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2F8D" w:rsidRPr="00EE3B6B" w:rsidP="006D1FD2" w14:paraId="66E7654B" w14:textId="77777777">
      <w:pPr>
        <w:keepLines/>
        <w:tabs>
          <w:tab w:val="left" w:pos="7976"/>
        </w:tabs>
        <w:spacing w:after="120" w:line="276" w:lineRule="auto"/>
        <w:ind w:left="1765"/>
        <w:rPr>
          <w:rFonts w:ascii="Times New Roman" w:hAnsi="Times New Roman" w:cs="Times New Roman"/>
        </w:rPr>
      </w:pPr>
      <w:r w:rsidRPr="00EE3B6B">
        <w:rPr>
          <w:rFonts w:ascii="Times New Roman" w:hAnsi="Times New Roman" w:cs="Times New Roman"/>
          <w:noProof/>
        </w:rPr>
        <w:drawing>
          <wp:anchor distT="0" distB="0" distL="0" distR="0" simplePos="0" relativeHeight="251658240" behindDoc="0" locked="0" layoutInCell="1" allowOverlap="1">
            <wp:simplePos x="0" y="0"/>
            <wp:positionH relativeFrom="page">
              <wp:posOffset>228600</wp:posOffset>
            </wp:positionH>
            <wp:positionV relativeFrom="paragraph">
              <wp:posOffset>-63</wp:posOffset>
            </wp:positionV>
            <wp:extent cx="819150" cy="819150"/>
            <wp:effectExtent l="0" t="0" r="0" b="0"/>
            <wp:wrapNone/>
            <wp:docPr id="1" name="image1.png">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1" cstate="print"/>
                    <a:stretch>
                      <a:fillRect/>
                    </a:stretch>
                  </pic:blipFill>
                  <pic:spPr>
                    <a:xfrm>
                      <a:off x="0" y="0"/>
                      <a:ext cx="819150" cy="819150"/>
                    </a:xfrm>
                    <a:prstGeom prst="rect">
                      <a:avLst/>
                    </a:prstGeom>
                  </pic:spPr>
                </pic:pic>
              </a:graphicData>
            </a:graphic>
          </wp:anchor>
        </w:drawing>
      </w:r>
      <w:r w:rsidRPr="00EE3B6B">
        <w:rPr>
          <w:rFonts w:ascii="Times New Roman" w:hAnsi="Times New Roman" w:cs="Times New Roman"/>
        </w:rPr>
        <w:t>DEPARTMENT OF HEALTH &amp;</w:t>
      </w:r>
      <w:r w:rsidRPr="00EE3B6B">
        <w:rPr>
          <w:rFonts w:ascii="Times New Roman" w:hAnsi="Times New Roman" w:cs="Times New Roman"/>
          <w:spacing w:val="-8"/>
        </w:rPr>
        <w:t xml:space="preserve"> </w:t>
      </w:r>
      <w:r w:rsidRPr="00EE3B6B">
        <w:rPr>
          <w:rFonts w:ascii="Times New Roman" w:hAnsi="Times New Roman" w:cs="Times New Roman"/>
        </w:rPr>
        <w:t>HUMAN</w:t>
      </w:r>
      <w:r w:rsidRPr="00EE3B6B">
        <w:rPr>
          <w:rFonts w:ascii="Times New Roman" w:hAnsi="Times New Roman" w:cs="Times New Roman"/>
          <w:spacing w:val="-2"/>
        </w:rPr>
        <w:t xml:space="preserve"> </w:t>
      </w:r>
      <w:r w:rsidRPr="00EE3B6B">
        <w:rPr>
          <w:rFonts w:ascii="Times New Roman" w:hAnsi="Times New Roman" w:cs="Times New Roman"/>
        </w:rPr>
        <w:t>SERVICES</w:t>
      </w:r>
    </w:p>
    <w:p w:rsidR="001736F6" w:rsidRPr="00EE3B6B" w:rsidP="006D1FD2" w14:paraId="5625E229" w14:textId="77777777">
      <w:pPr>
        <w:keepLines/>
        <w:tabs>
          <w:tab w:val="left" w:pos="7976"/>
        </w:tabs>
        <w:spacing w:after="120" w:line="276" w:lineRule="auto"/>
        <w:ind w:left="1765"/>
        <w:rPr>
          <w:rFonts w:ascii="Times New Roman" w:hAnsi="Times New Roman" w:cs="Times New Roman"/>
        </w:rPr>
      </w:pPr>
      <w:r w:rsidRPr="00EE3B6B">
        <w:rPr>
          <w:rFonts w:ascii="Times New Roman" w:hAnsi="Times New Roman" w:cs="Times New Roman"/>
        </w:rPr>
        <w:t>Centers for Medicare &amp; Medicaid</w:t>
      </w:r>
      <w:r w:rsidRPr="00EE3B6B">
        <w:rPr>
          <w:rFonts w:ascii="Times New Roman" w:hAnsi="Times New Roman" w:cs="Times New Roman"/>
          <w:spacing w:val="-13"/>
        </w:rPr>
        <w:t xml:space="preserve"> </w:t>
      </w:r>
      <w:r w:rsidRPr="00EE3B6B">
        <w:rPr>
          <w:rFonts w:ascii="Times New Roman" w:hAnsi="Times New Roman" w:cs="Times New Roman"/>
        </w:rPr>
        <w:t>Services</w:t>
      </w:r>
    </w:p>
    <w:p w:rsidR="001736F6" w:rsidRPr="00EE3B6B" w:rsidP="006D1FD2" w14:paraId="066218AA" w14:textId="77777777">
      <w:pPr>
        <w:pStyle w:val="BodyText"/>
        <w:keepLines/>
        <w:spacing w:after="120" w:line="276" w:lineRule="auto"/>
        <w:rPr>
          <w:rFonts w:ascii="Times New Roman" w:hAnsi="Times New Roman" w:cs="Times New Roman"/>
        </w:rPr>
      </w:pPr>
      <w:r w:rsidRPr="00EE3B6B">
        <w:rPr>
          <w:rFonts w:ascii="Times New Roman" w:hAnsi="Times New Roman" w:cs="Times New Roman"/>
          <w:noProof/>
        </w:rPr>
        <mc:AlternateContent>
          <mc:Choice Requires="wps">
            <w:drawing>
              <wp:anchor distT="0" distB="0" distL="0" distR="0" simplePos="0" relativeHeight="251659264" behindDoc="0" locked="0" layoutInCell="1" allowOverlap="1">
                <wp:simplePos x="0" y="0"/>
                <wp:positionH relativeFrom="page">
                  <wp:posOffset>1308735</wp:posOffset>
                </wp:positionH>
                <wp:positionV relativeFrom="paragraph">
                  <wp:posOffset>121920</wp:posOffset>
                </wp:positionV>
                <wp:extent cx="5829300" cy="0"/>
                <wp:effectExtent l="13335" t="8255" r="5715" b="10795"/>
                <wp:wrapTopAndBottom/>
                <wp:docPr id="86" name="Line 6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82930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o:spid="_x0000_s1025" alt="&quot;&quot;" style="mso-height-percent:0;mso-height-relative:page;mso-position-horizontal-relative:page;mso-width-percent:0;mso-width-relative:page;mso-wrap-distance-bottom:0;mso-wrap-distance-left:0;mso-wrap-distance-right:0;mso-wrap-distance-top:0;mso-wrap-style:square;position:absolute;visibility:visible;z-index:251660288" from="103.05pt,9.6pt" to="562.05pt,9.6pt" strokeweight="0.5pt">
                <w10:wrap type="topAndBottom"/>
              </v:line>
            </w:pict>
          </mc:Fallback>
        </mc:AlternateContent>
      </w:r>
    </w:p>
    <w:p w:rsidR="001736F6" w:rsidRPr="00EE3B6B" w:rsidP="006D1FD2" w14:paraId="7C58D618" w14:textId="77777777">
      <w:pPr>
        <w:pStyle w:val="BodyText"/>
        <w:keepLines/>
        <w:spacing w:after="120" w:line="276" w:lineRule="auto"/>
        <w:rPr>
          <w:rFonts w:ascii="Times New Roman" w:hAnsi="Times New Roman" w:cs="Times New Roman"/>
        </w:rPr>
      </w:pPr>
    </w:p>
    <w:p w:rsidR="001736F6" w:rsidRPr="00EE3B6B" w:rsidP="006D1FD2" w14:paraId="771A5A97" w14:textId="77777777">
      <w:pPr>
        <w:pStyle w:val="BodyText"/>
        <w:keepLines/>
        <w:spacing w:after="120" w:line="276" w:lineRule="auto"/>
        <w:rPr>
          <w:rFonts w:ascii="Times New Roman" w:hAnsi="Times New Roman" w:cs="Times New Roman"/>
        </w:rPr>
      </w:pPr>
    </w:p>
    <w:p w:rsidR="001736F6" w:rsidRPr="00EE3B6B" w:rsidP="006D1FD2" w14:paraId="49124712" w14:textId="77777777">
      <w:pPr>
        <w:pStyle w:val="BodyText"/>
        <w:keepLines/>
        <w:spacing w:after="120" w:line="276" w:lineRule="auto"/>
        <w:rPr>
          <w:rFonts w:ascii="Times New Roman" w:hAnsi="Times New Roman" w:cs="Times New Roman"/>
        </w:rPr>
      </w:pPr>
    </w:p>
    <w:p w:rsidR="001736F6" w:rsidRPr="00EE3B6B" w:rsidP="006D1FD2" w14:paraId="5D3D4CE3" w14:textId="77777777">
      <w:pPr>
        <w:pStyle w:val="BodyText"/>
        <w:keepLines/>
        <w:spacing w:after="120" w:line="276" w:lineRule="auto"/>
        <w:rPr>
          <w:rFonts w:ascii="Times New Roman" w:hAnsi="Times New Roman" w:cs="Times New Roman"/>
        </w:rPr>
      </w:pPr>
    </w:p>
    <w:p w:rsidR="001736F6" w:rsidRPr="00EE3B6B" w:rsidP="006D1FD2" w14:paraId="13BB8805" w14:textId="77777777">
      <w:pPr>
        <w:pStyle w:val="BodyText"/>
        <w:keepLines/>
        <w:spacing w:after="120" w:line="276" w:lineRule="auto"/>
        <w:rPr>
          <w:rFonts w:ascii="Times New Roman" w:hAnsi="Times New Roman" w:cs="Times New Roman"/>
        </w:rPr>
      </w:pPr>
    </w:p>
    <w:p w:rsidR="001736F6" w:rsidRPr="00EE3B6B" w:rsidP="006D1FD2" w14:paraId="1C5DDC58" w14:textId="77777777">
      <w:pPr>
        <w:pStyle w:val="BodyText"/>
        <w:keepLines/>
        <w:spacing w:after="120" w:line="276" w:lineRule="auto"/>
        <w:rPr>
          <w:rFonts w:ascii="Times New Roman" w:hAnsi="Times New Roman" w:cs="Times New Roman"/>
        </w:rPr>
      </w:pPr>
    </w:p>
    <w:p w:rsidR="001736F6" w:rsidRPr="00EE3B6B" w:rsidP="006D1FD2" w14:paraId="57DADC1B" w14:textId="77777777">
      <w:pPr>
        <w:pStyle w:val="BodyText"/>
        <w:keepLines/>
        <w:spacing w:after="120" w:line="276" w:lineRule="auto"/>
        <w:rPr>
          <w:rFonts w:ascii="Times New Roman" w:hAnsi="Times New Roman" w:cs="Times New Roman"/>
        </w:rPr>
      </w:pPr>
    </w:p>
    <w:p w:rsidR="001736F6" w:rsidRPr="00EE3B6B" w:rsidP="006D1FD2" w14:paraId="023AE43C" w14:textId="77777777">
      <w:pPr>
        <w:pStyle w:val="BodyText"/>
        <w:keepLines/>
        <w:spacing w:after="120" w:line="276" w:lineRule="auto"/>
        <w:rPr>
          <w:rFonts w:ascii="Times New Roman" w:hAnsi="Times New Roman" w:cs="Times New Roman"/>
        </w:rPr>
      </w:pPr>
    </w:p>
    <w:p w:rsidR="001736F6" w:rsidRPr="00EE3B6B" w:rsidP="006D1FD2" w14:paraId="28527EE8" w14:textId="77777777">
      <w:pPr>
        <w:pStyle w:val="BodyText"/>
        <w:keepLines/>
        <w:spacing w:after="120" w:line="276" w:lineRule="auto"/>
        <w:rPr>
          <w:rFonts w:ascii="Times New Roman" w:hAnsi="Times New Roman" w:cs="Times New Roman"/>
        </w:rPr>
      </w:pPr>
    </w:p>
    <w:p w:rsidR="001736F6" w:rsidRPr="00EE3B6B" w:rsidP="0054220F" w14:paraId="7FDB4B18" w14:textId="77E0855E">
      <w:pPr>
        <w:keepLines/>
        <w:spacing w:after="0"/>
        <w:ind w:left="1181"/>
        <w:jc w:val="center"/>
        <w:rPr>
          <w:rFonts w:ascii="Times New Roman" w:hAnsi="Times New Roman" w:cs="Times New Roman"/>
          <w:sz w:val="40"/>
          <w:szCs w:val="40"/>
        </w:rPr>
      </w:pPr>
      <w:r w:rsidRPr="00EE3B6B">
        <w:rPr>
          <w:rFonts w:ascii="Times New Roman" w:hAnsi="Times New Roman" w:cs="Times New Roman"/>
          <w:color w:val="17365D"/>
          <w:spacing w:val="3"/>
          <w:sz w:val="40"/>
          <w:szCs w:val="40"/>
        </w:rPr>
        <w:t xml:space="preserve">Unified </w:t>
      </w:r>
      <w:r w:rsidRPr="00EE3B6B">
        <w:rPr>
          <w:rFonts w:ascii="Times New Roman" w:hAnsi="Times New Roman" w:cs="Times New Roman"/>
          <w:color w:val="17365D"/>
          <w:sz w:val="40"/>
          <w:szCs w:val="40"/>
        </w:rPr>
        <w:t>Rate Review</w:t>
      </w:r>
      <w:r w:rsidR="005464B8">
        <w:rPr>
          <w:rFonts w:ascii="Times New Roman" w:hAnsi="Times New Roman" w:cs="Times New Roman"/>
          <w:color w:val="17365D"/>
          <w:spacing w:val="67"/>
          <w:sz w:val="40"/>
          <w:szCs w:val="40"/>
        </w:rPr>
        <w:t xml:space="preserve"> </w:t>
      </w:r>
      <w:r w:rsidRPr="00EE3B6B">
        <w:rPr>
          <w:rFonts w:ascii="Times New Roman" w:hAnsi="Times New Roman" w:cs="Times New Roman"/>
          <w:color w:val="17365D"/>
          <w:spacing w:val="3"/>
          <w:sz w:val="40"/>
          <w:szCs w:val="40"/>
        </w:rPr>
        <w:t>Instructions</w:t>
      </w:r>
    </w:p>
    <w:p w:rsidR="001736F6" w:rsidRPr="00EE3B6B" w:rsidP="006D1FD2" w14:paraId="1ADCCD22" w14:textId="77777777">
      <w:pPr>
        <w:keepLines/>
        <w:spacing w:after="120" w:line="276" w:lineRule="auto"/>
        <w:ind w:left="1180"/>
        <w:rPr>
          <w:rFonts w:ascii="Times New Roman" w:hAnsi="Times New Roman" w:cs="Times New Roman"/>
          <w:i/>
          <w:sz w:val="40"/>
          <w:szCs w:val="40"/>
        </w:rPr>
      </w:pPr>
      <w:r w:rsidRPr="00EE3B6B">
        <w:rPr>
          <w:rFonts w:ascii="Times New Roman" w:hAnsi="Times New Roman" w:cs="Times New Roman"/>
          <w:noProof/>
          <w:sz w:val="40"/>
          <w:szCs w:val="40"/>
        </w:rPr>
        <mc:AlternateContent>
          <mc:Choice Requires="wps">
            <w:drawing>
              <wp:anchor distT="0" distB="0" distL="0" distR="0" simplePos="0" relativeHeight="251661312" behindDoc="0" locked="0" layoutInCell="1" allowOverlap="1">
                <wp:simplePos x="0" y="0"/>
                <wp:positionH relativeFrom="page">
                  <wp:posOffset>895985</wp:posOffset>
                </wp:positionH>
                <wp:positionV relativeFrom="paragraph">
                  <wp:posOffset>354965</wp:posOffset>
                </wp:positionV>
                <wp:extent cx="5980430" cy="0"/>
                <wp:effectExtent l="10160" t="6985" r="10160" b="12065"/>
                <wp:wrapTopAndBottom/>
                <wp:docPr id="85" name="Line 6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80430" cy="0"/>
                        </a:xfrm>
                        <a:prstGeom prst="line">
                          <a:avLst/>
                        </a:prstGeom>
                        <a:noFill/>
                        <a:ln w="12179">
                          <a:solidFill>
                            <a:srgbClr val="4F81BD"/>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 o:spid="_x0000_s1026" alt="&quot;&quot;" style="mso-height-percent:0;mso-height-relative:page;mso-position-horizontal-relative:page;mso-width-percent:0;mso-width-relative:page;mso-wrap-distance-bottom:0;mso-wrap-distance-left:0;mso-wrap-distance-right:0;mso-wrap-distance-top:0;mso-wrap-style:square;position:absolute;visibility:visible;z-index:251662336" from="70.55pt,27.95pt" to="541.45pt,27.95pt" strokecolor="#4f81bd" strokeweight="0.96pt">
                <w10:wrap type="topAndBottom"/>
              </v:line>
            </w:pict>
          </mc:Fallback>
        </mc:AlternateContent>
      </w:r>
      <w:r w:rsidRPr="00EE3B6B">
        <w:rPr>
          <w:rFonts w:ascii="Times New Roman" w:hAnsi="Times New Roman" w:cs="Times New Roman"/>
          <w:i/>
          <w:color w:val="4F81BD"/>
          <w:spacing w:val="8"/>
          <w:sz w:val="40"/>
          <w:szCs w:val="40"/>
        </w:rPr>
        <w:t xml:space="preserve">Rate </w:t>
      </w:r>
      <w:r w:rsidRPr="00EE3B6B">
        <w:rPr>
          <w:rFonts w:ascii="Times New Roman" w:hAnsi="Times New Roman" w:cs="Times New Roman"/>
          <w:i/>
          <w:color w:val="4F81BD"/>
          <w:spacing w:val="11"/>
          <w:sz w:val="40"/>
          <w:szCs w:val="40"/>
        </w:rPr>
        <w:t xml:space="preserve">Filing </w:t>
      </w:r>
      <w:r w:rsidRPr="00EE3B6B">
        <w:rPr>
          <w:rFonts w:ascii="Times New Roman" w:hAnsi="Times New Roman" w:cs="Times New Roman"/>
          <w:i/>
          <w:color w:val="4F81BD"/>
          <w:spacing w:val="13"/>
          <w:sz w:val="40"/>
          <w:szCs w:val="40"/>
        </w:rPr>
        <w:t xml:space="preserve">Justification: </w:t>
      </w:r>
      <w:r w:rsidRPr="00EE3B6B">
        <w:rPr>
          <w:rFonts w:ascii="Times New Roman" w:hAnsi="Times New Roman" w:cs="Times New Roman"/>
          <w:i/>
          <w:color w:val="4F81BD"/>
          <w:spacing w:val="10"/>
          <w:sz w:val="40"/>
          <w:szCs w:val="40"/>
        </w:rPr>
        <w:t xml:space="preserve">Parts </w:t>
      </w:r>
      <w:r w:rsidRPr="00EE3B6B">
        <w:rPr>
          <w:rFonts w:ascii="Times New Roman" w:hAnsi="Times New Roman" w:cs="Times New Roman"/>
          <w:i/>
          <w:color w:val="4F81BD"/>
          <w:spacing w:val="6"/>
          <w:sz w:val="40"/>
          <w:szCs w:val="40"/>
        </w:rPr>
        <w:t xml:space="preserve">I, </w:t>
      </w:r>
      <w:r w:rsidRPr="00EE3B6B">
        <w:rPr>
          <w:rFonts w:ascii="Times New Roman" w:hAnsi="Times New Roman" w:cs="Times New Roman"/>
          <w:i/>
          <w:color w:val="4F81BD"/>
          <w:spacing w:val="9"/>
          <w:sz w:val="40"/>
          <w:szCs w:val="40"/>
        </w:rPr>
        <w:t xml:space="preserve">II, </w:t>
      </w:r>
      <w:r w:rsidRPr="00EE3B6B">
        <w:rPr>
          <w:rFonts w:ascii="Times New Roman" w:hAnsi="Times New Roman" w:cs="Times New Roman"/>
          <w:i/>
          <w:color w:val="4F81BD"/>
          <w:spacing w:val="10"/>
          <w:sz w:val="40"/>
          <w:szCs w:val="40"/>
        </w:rPr>
        <w:t>and</w:t>
      </w:r>
      <w:r w:rsidRPr="00EE3B6B">
        <w:rPr>
          <w:rFonts w:ascii="Times New Roman" w:hAnsi="Times New Roman" w:cs="Times New Roman"/>
          <w:i/>
          <w:color w:val="4F81BD"/>
          <w:spacing w:val="69"/>
          <w:sz w:val="40"/>
          <w:szCs w:val="40"/>
        </w:rPr>
        <w:t xml:space="preserve"> </w:t>
      </w:r>
      <w:r w:rsidRPr="00EE3B6B">
        <w:rPr>
          <w:rFonts w:ascii="Times New Roman" w:hAnsi="Times New Roman" w:cs="Times New Roman"/>
          <w:i/>
          <w:color w:val="4F81BD"/>
          <w:spacing w:val="9"/>
          <w:sz w:val="40"/>
          <w:szCs w:val="40"/>
        </w:rPr>
        <w:t>III</w:t>
      </w:r>
    </w:p>
    <w:p w:rsidR="008705B6" w:rsidRPr="0054220F" w:rsidP="0054220F" w14:paraId="65E45F54" w14:textId="78B3C111">
      <w:pPr>
        <w:keepLines/>
        <w:spacing w:after="120" w:line="276" w:lineRule="auto"/>
        <w:jc w:val="center"/>
        <w:rPr>
          <w:rFonts w:ascii="Times New Roman" w:hAnsi="Times New Roman" w:cs="Times New Roman"/>
          <w:color w:val="818181"/>
          <w:sz w:val="24"/>
        </w:rPr>
      </w:pPr>
      <w:r w:rsidRPr="0054220F">
        <w:rPr>
          <w:rFonts w:ascii="Times New Roman" w:hAnsi="Times New Roman" w:cs="Times New Roman"/>
          <w:color w:val="818181"/>
          <w:sz w:val="24"/>
        </w:rPr>
        <w:t>Effective for Plan Years Starting on or after January 1, 2024</w:t>
      </w:r>
    </w:p>
    <w:p w:rsidR="008705B6" w:rsidRPr="00EE3B6B" w:rsidP="006D1FD2" w14:paraId="052A1899" w14:textId="77777777">
      <w:pPr>
        <w:keepLines/>
        <w:spacing w:after="120" w:line="276" w:lineRule="auto"/>
        <w:rPr>
          <w:rFonts w:ascii="Times New Roman" w:hAnsi="Times New Roman" w:cs="Times New Roman"/>
          <w:color w:val="818181"/>
        </w:rPr>
      </w:pPr>
    </w:p>
    <w:p w:rsidR="008705B6" w:rsidRPr="00EE3B6B" w:rsidP="006D1FD2" w14:paraId="3AFE5B75" w14:textId="77777777">
      <w:pPr>
        <w:keepLines/>
        <w:spacing w:after="120" w:line="276" w:lineRule="auto"/>
        <w:rPr>
          <w:rFonts w:ascii="Times New Roman" w:hAnsi="Times New Roman" w:cs="Times New Roman"/>
          <w:color w:val="818181"/>
        </w:rPr>
      </w:pPr>
    </w:p>
    <w:p w:rsidR="008705B6" w:rsidRPr="00EE3B6B" w:rsidP="006D1FD2" w14:paraId="4B0761FB" w14:textId="77777777">
      <w:pPr>
        <w:keepLines/>
        <w:spacing w:after="120" w:line="276" w:lineRule="auto"/>
        <w:rPr>
          <w:rFonts w:ascii="Times New Roman" w:hAnsi="Times New Roman" w:cs="Times New Roman"/>
          <w:color w:val="818181"/>
        </w:rPr>
      </w:pPr>
    </w:p>
    <w:p w:rsidR="008705B6" w:rsidRPr="00EE3B6B" w:rsidP="006D1FD2" w14:paraId="7546C926" w14:textId="77777777">
      <w:pPr>
        <w:keepLines/>
        <w:spacing w:after="120" w:line="276" w:lineRule="auto"/>
        <w:rPr>
          <w:rFonts w:ascii="Times New Roman" w:hAnsi="Times New Roman" w:cs="Times New Roman"/>
          <w:color w:val="818181"/>
        </w:rPr>
      </w:pPr>
    </w:p>
    <w:p w:rsidR="008705B6" w:rsidRPr="00EE3B6B" w:rsidP="006D1FD2" w14:paraId="379FB762" w14:textId="77777777">
      <w:pPr>
        <w:keepLines/>
        <w:spacing w:after="120" w:line="276" w:lineRule="auto"/>
        <w:rPr>
          <w:rFonts w:ascii="Times New Roman" w:hAnsi="Times New Roman" w:cs="Times New Roman"/>
          <w:color w:val="818181"/>
        </w:rPr>
      </w:pPr>
    </w:p>
    <w:p w:rsidR="008705B6" w:rsidRPr="00EE3B6B" w:rsidP="006D1FD2" w14:paraId="054AF8C1" w14:textId="77777777">
      <w:pPr>
        <w:keepLines/>
        <w:spacing w:after="120" w:line="276" w:lineRule="auto"/>
        <w:rPr>
          <w:rFonts w:ascii="Times New Roman" w:hAnsi="Times New Roman" w:cs="Times New Roman"/>
          <w:color w:val="818181"/>
        </w:rPr>
      </w:pPr>
    </w:p>
    <w:p w:rsidR="008705B6" w:rsidRPr="00EE3B6B" w:rsidP="006D1FD2" w14:paraId="2835C8E6" w14:textId="77777777">
      <w:pPr>
        <w:keepLines/>
        <w:spacing w:after="120" w:line="276" w:lineRule="auto"/>
        <w:rPr>
          <w:rFonts w:ascii="Times New Roman" w:hAnsi="Times New Roman" w:cs="Times New Roman"/>
          <w:color w:val="818181"/>
        </w:rPr>
      </w:pPr>
    </w:p>
    <w:p w:rsidR="008120CE" w:rsidRPr="00EE3B6B" w:rsidP="006D1FD2" w14:paraId="087634C3" w14:textId="1F5ED322">
      <w:pPr>
        <w:keepLines/>
        <w:spacing w:after="120" w:line="276" w:lineRule="auto"/>
        <w:rPr>
          <w:rFonts w:ascii="Times New Roman" w:hAnsi="Times New Roman" w:cs="Times New Roman"/>
          <w:i/>
          <w:iCs/>
        </w:rPr>
      </w:pPr>
      <w:r w:rsidRPr="00EE3B6B">
        <w:rPr>
          <w:rFonts w:ascii="Times New Roman" w:hAnsi="Times New Roman" w:cs="Times New Roman"/>
          <w:i/>
          <w:iCs/>
        </w:rPr>
        <w:t>The contents of this document do not have the force and effect of law and are not meant to bind the public in any way, unless specifically incorporated into a contract. This document is intended only to provide clarity to the public regarding existing requirements under the law.</w:t>
      </w:r>
    </w:p>
    <w:p w:rsidR="006734B6" w:rsidRPr="00EE3B6B" w:rsidP="006D1FD2" w14:paraId="13D68B42" w14:textId="77777777">
      <w:pPr>
        <w:keepLines/>
        <w:spacing w:after="120" w:line="276" w:lineRule="auto"/>
        <w:rPr>
          <w:rFonts w:ascii="Times New Roman" w:eastAsia="Times New Roman" w:hAnsi="Times New Roman" w:cs="Times New Roman"/>
        </w:rPr>
      </w:pPr>
    </w:p>
    <w:p w:rsidR="001736F6" w:rsidRPr="00EE3B6B" w:rsidP="006D1FD2" w14:paraId="728F4849" w14:textId="4616C534">
      <w:pPr>
        <w:keepLines/>
        <w:spacing w:after="120" w:line="276" w:lineRule="auto"/>
        <w:rPr>
          <w:rFonts w:ascii="Times New Roman" w:hAnsi="Times New Roman" w:cs="Times New Roman"/>
          <w:i/>
          <w:color w:val="818181"/>
          <w:highlight w:val="yellow"/>
        </w:rPr>
      </w:pPr>
      <w:r w:rsidRPr="00EE3B6B">
        <w:rPr>
          <w:rFonts w:ascii="Times New Roman" w:eastAsia="Times New Roman" w:hAnsi="Times New Roman" w:cs="Times New Roman"/>
        </w:rPr>
        <w:t xml:space="preserve"> </w:t>
      </w:r>
      <w:r w:rsidRPr="00EE3B6B">
        <w:rPr>
          <w:rFonts w:ascii="Times New Roman" w:hAnsi="Times New Roman" w:cs="Times New Roman"/>
          <w:i/>
          <w:color w:val="818181"/>
          <w:highlight w:val="yellow"/>
        </w:rPr>
        <w:br w:type="page"/>
      </w:r>
    </w:p>
    <w:sdt>
      <w:sdtPr>
        <w:rPr>
          <w:rFonts w:ascii="Calibri" w:eastAsia="Calibri" w:hAnsi="Calibri" w:cs="Calibri"/>
          <w:b w:val="0"/>
          <w:color w:val="auto"/>
          <w:sz w:val="22"/>
          <w:szCs w:val="22"/>
        </w:rPr>
        <w:id w:val="553046836"/>
        <w:docPartObj>
          <w:docPartGallery w:val="Table of Contents"/>
          <w:docPartUnique/>
        </w:docPartObj>
      </w:sdtPr>
      <w:sdtEndPr>
        <w:rPr>
          <w:bCs/>
          <w:noProof/>
        </w:rPr>
      </w:sdtEndPr>
      <w:sdtContent>
        <w:p w:rsidR="00302F8D" w:rsidRPr="00EE3B6B" w:rsidP="00FA6F2C" w14:paraId="7DD50F21" w14:textId="77777777">
          <w:pPr>
            <w:pStyle w:val="TOCHeading"/>
          </w:pPr>
          <w:r w:rsidRPr="00EE3B6B">
            <w:t>Contents</w:t>
          </w:r>
        </w:p>
        <w:p w:rsidR="00C31DCD" w14:paraId="473F6CBD" w14:textId="142EF158">
          <w:pPr>
            <w:pStyle w:val="TOC1"/>
            <w:rPr>
              <w:rFonts w:asciiTheme="minorHAnsi" w:eastAsiaTheme="minorEastAsia" w:hAnsiTheme="minorHAnsi" w:cstheme="minorBidi"/>
              <w:noProof/>
              <w:kern w:val="2"/>
              <w:sz w:val="24"/>
              <w:szCs w:val="24"/>
              <w14:ligatures w14:val="standardContextual"/>
            </w:rPr>
          </w:pPr>
          <w:r w:rsidRPr="00EE3B6B">
            <w:rPr>
              <w:rFonts w:ascii="Times New Roman" w:hAnsi="Times New Roman" w:cs="Times New Roman"/>
            </w:rPr>
            <w:fldChar w:fldCharType="begin"/>
          </w:r>
          <w:r w:rsidRPr="00EE3B6B">
            <w:rPr>
              <w:rFonts w:ascii="Times New Roman" w:hAnsi="Times New Roman" w:cs="Times New Roman"/>
            </w:rPr>
            <w:instrText xml:space="preserve"> TOC \o "1-3" \h \z \u </w:instrText>
          </w:r>
          <w:r w:rsidRPr="00EE3B6B">
            <w:rPr>
              <w:rFonts w:ascii="Times New Roman" w:hAnsi="Times New Roman" w:cs="Times New Roman"/>
            </w:rPr>
            <w:fldChar w:fldCharType="separate"/>
          </w:r>
          <w:hyperlink w:anchor="_Toc174003416" w:history="1">
            <w:r w:rsidRPr="00C13BD8">
              <w:rPr>
                <w:rStyle w:val="Hyperlink"/>
                <w:noProof/>
              </w:rPr>
              <w:t>1.  Overview</w:t>
            </w:r>
            <w:r>
              <w:rPr>
                <w:noProof/>
                <w:webHidden/>
              </w:rPr>
              <w:tab/>
            </w:r>
            <w:r>
              <w:rPr>
                <w:noProof/>
                <w:webHidden/>
              </w:rPr>
              <w:fldChar w:fldCharType="begin"/>
            </w:r>
            <w:r>
              <w:rPr>
                <w:noProof/>
                <w:webHidden/>
              </w:rPr>
              <w:instrText xml:space="preserve"> PAGEREF _Toc174003416 \h </w:instrText>
            </w:r>
            <w:r>
              <w:rPr>
                <w:noProof/>
                <w:webHidden/>
              </w:rPr>
              <w:fldChar w:fldCharType="separate"/>
            </w:r>
            <w:r w:rsidR="0033365D">
              <w:rPr>
                <w:noProof/>
                <w:webHidden/>
              </w:rPr>
              <w:t>4</w:t>
            </w:r>
            <w:r>
              <w:rPr>
                <w:noProof/>
                <w:webHidden/>
              </w:rPr>
              <w:fldChar w:fldCharType="end"/>
            </w:r>
          </w:hyperlink>
        </w:p>
        <w:p w:rsidR="00C31DCD" w14:paraId="673B6FEA" w14:textId="5739EE8A">
          <w:pPr>
            <w:pStyle w:val="TOC2"/>
            <w:rPr>
              <w:rFonts w:asciiTheme="minorHAnsi" w:eastAsiaTheme="minorEastAsia" w:hAnsiTheme="minorHAnsi" w:cstheme="minorBidi"/>
              <w:noProof/>
              <w:kern w:val="2"/>
              <w:sz w:val="24"/>
              <w:szCs w:val="24"/>
              <w14:ligatures w14:val="standardContextual"/>
            </w:rPr>
          </w:pPr>
          <w:hyperlink w:anchor="_Toc174003417" w:history="1">
            <w:r w:rsidRPr="00C13BD8">
              <w:rPr>
                <w:rStyle w:val="Hyperlink"/>
                <w:noProof/>
              </w:rPr>
              <w:t>1.1</w:t>
            </w:r>
            <w:r>
              <w:rPr>
                <w:rFonts w:asciiTheme="minorHAnsi" w:eastAsiaTheme="minorEastAsia" w:hAnsiTheme="minorHAnsi" w:cstheme="minorBidi"/>
                <w:noProof/>
                <w:kern w:val="2"/>
                <w:sz w:val="24"/>
                <w:szCs w:val="24"/>
                <w14:ligatures w14:val="standardContextual"/>
              </w:rPr>
              <w:tab/>
            </w:r>
            <w:r w:rsidRPr="00C13BD8">
              <w:rPr>
                <w:rStyle w:val="Hyperlink"/>
                <w:noProof/>
              </w:rPr>
              <w:t>Purpose</w:t>
            </w:r>
            <w:r>
              <w:rPr>
                <w:noProof/>
                <w:webHidden/>
              </w:rPr>
              <w:tab/>
            </w:r>
            <w:r>
              <w:rPr>
                <w:noProof/>
                <w:webHidden/>
              </w:rPr>
              <w:fldChar w:fldCharType="begin"/>
            </w:r>
            <w:r>
              <w:rPr>
                <w:noProof/>
                <w:webHidden/>
              </w:rPr>
              <w:instrText xml:space="preserve"> PAGEREF _Toc174003417 \h </w:instrText>
            </w:r>
            <w:r>
              <w:rPr>
                <w:noProof/>
                <w:webHidden/>
              </w:rPr>
              <w:fldChar w:fldCharType="separate"/>
            </w:r>
            <w:r w:rsidR="0033365D">
              <w:rPr>
                <w:noProof/>
                <w:webHidden/>
              </w:rPr>
              <w:t>4</w:t>
            </w:r>
            <w:r>
              <w:rPr>
                <w:noProof/>
                <w:webHidden/>
              </w:rPr>
              <w:fldChar w:fldCharType="end"/>
            </w:r>
          </w:hyperlink>
        </w:p>
        <w:p w:rsidR="00C31DCD" w14:paraId="6E415B5E" w14:textId="468A4960">
          <w:pPr>
            <w:pStyle w:val="TOC2"/>
            <w:rPr>
              <w:rFonts w:asciiTheme="minorHAnsi" w:eastAsiaTheme="minorEastAsia" w:hAnsiTheme="minorHAnsi" w:cstheme="minorBidi"/>
              <w:noProof/>
              <w:kern w:val="2"/>
              <w:sz w:val="24"/>
              <w:szCs w:val="24"/>
              <w14:ligatures w14:val="standardContextual"/>
            </w:rPr>
          </w:pPr>
          <w:hyperlink w:anchor="_Toc174003418" w:history="1">
            <w:r w:rsidRPr="00C13BD8">
              <w:rPr>
                <w:rStyle w:val="Hyperlink"/>
                <w:noProof/>
              </w:rPr>
              <w:t>1.2</w:t>
            </w:r>
            <w:r>
              <w:rPr>
                <w:rFonts w:asciiTheme="minorHAnsi" w:eastAsiaTheme="minorEastAsia" w:hAnsiTheme="minorHAnsi" w:cstheme="minorBidi"/>
                <w:noProof/>
                <w:kern w:val="2"/>
                <w:sz w:val="24"/>
                <w:szCs w:val="24"/>
                <w14:ligatures w14:val="standardContextual"/>
              </w:rPr>
              <w:tab/>
            </w:r>
            <w:r w:rsidRPr="00C13BD8">
              <w:rPr>
                <w:rStyle w:val="Hyperlink"/>
                <w:noProof/>
              </w:rPr>
              <w:t>Public Disclosure</w:t>
            </w:r>
            <w:r>
              <w:rPr>
                <w:noProof/>
                <w:webHidden/>
              </w:rPr>
              <w:tab/>
            </w:r>
            <w:r>
              <w:rPr>
                <w:noProof/>
                <w:webHidden/>
              </w:rPr>
              <w:fldChar w:fldCharType="begin"/>
            </w:r>
            <w:r>
              <w:rPr>
                <w:noProof/>
                <w:webHidden/>
              </w:rPr>
              <w:instrText xml:space="preserve"> PAGEREF _Toc174003418 \h </w:instrText>
            </w:r>
            <w:r>
              <w:rPr>
                <w:noProof/>
                <w:webHidden/>
              </w:rPr>
              <w:fldChar w:fldCharType="separate"/>
            </w:r>
            <w:r w:rsidR="0033365D">
              <w:rPr>
                <w:noProof/>
                <w:webHidden/>
              </w:rPr>
              <w:t>5</w:t>
            </w:r>
            <w:r>
              <w:rPr>
                <w:noProof/>
                <w:webHidden/>
              </w:rPr>
              <w:fldChar w:fldCharType="end"/>
            </w:r>
          </w:hyperlink>
        </w:p>
        <w:p w:rsidR="00C31DCD" w14:paraId="5C5B0C8C" w14:textId="70257E62">
          <w:pPr>
            <w:pStyle w:val="TOC2"/>
            <w:rPr>
              <w:rFonts w:asciiTheme="minorHAnsi" w:eastAsiaTheme="minorEastAsia" w:hAnsiTheme="minorHAnsi" w:cstheme="minorBidi"/>
              <w:noProof/>
              <w:kern w:val="2"/>
              <w:sz w:val="24"/>
              <w:szCs w:val="24"/>
              <w14:ligatures w14:val="standardContextual"/>
            </w:rPr>
          </w:pPr>
          <w:hyperlink w:anchor="_Toc174003419" w:history="1">
            <w:r w:rsidRPr="00C13BD8">
              <w:rPr>
                <w:rStyle w:val="Hyperlink"/>
                <w:noProof/>
              </w:rPr>
              <w:t>1.3</w:t>
            </w:r>
            <w:r>
              <w:rPr>
                <w:rFonts w:asciiTheme="minorHAnsi" w:eastAsiaTheme="minorEastAsia" w:hAnsiTheme="minorHAnsi" w:cstheme="minorBidi"/>
                <w:noProof/>
                <w:kern w:val="2"/>
                <w:sz w:val="24"/>
                <w:szCs w:val="24"/>
                <w14:ligatures w14:val="standardContextual"/>
              </w:rPr>
              <w:tab/>
            </w:r>
            <w:r w:rsidRPr="00C13BD8">
              <w:rPr>
                <w:rStyle w:val="Hyperlink"/>
                <w:noProof/>
              </w:rPr>
              <w:t>General Instructions</w:t>
            </w:r>
            <w:r>
              <w:rPr>
                <w:noProof/>
                <w:webHidden/>
              </w:rPr>
              <w:tab/>
            </w:r>
            <w:r>
              <w:rPr>
                <w:noProof/>
                <w:webHidden/>
              </w:rPr>
              <w:fldChar w:fldCharType="begin"/>
            </w:r>
            <w:r>
              <w:rPr>
                <w:noProof/>
                <w:webHidden/>
              </w:rPr>
              <w:instrText xml:space="preserve"> PAGEREF _Toc174003419 \h </w:instrText>
            </w:r>
            <w:r>
              <w:rPr>
                <w:noProof/>
                <w:webHidden/>
              </w:rPr>
              <w:fldChar w:fldCharType="separate"/>
            </w:r>
            <w:r w:rsidR="0033365D">
              <w:rPr>
                <w:noProof/>
                <w:webHidden/>
              </w:rPr>
              <w:t>5</w:t>
            </w:r>
            <w:r>
              <w:rPr>
                <w:noProof/>
                <w:webHidden/>
              </w:rPr>
              <w:fldChar w:fldCharType="end"/>
            </w:r>
          </w:hyperlink>
        </w:p>
        <w:p w:rsidR="00C31DCD" w14:paraId="2BFD4A2D" w14:textId="4BCA271B">
          <w:pPr>
            <w:pStyle w:val="TOC2"/>
            <w:rPr>
              <w:rFonts w:asciiTheme="minorHAnsi" w:eastAsiaTheme="minorEastAsia" w:hAnsiTheme="minorHAnsi" w:cstheme="minorBidi"/>
              <w:noProof/>
              <w:kern w:val="2"/>
              <w:sz w:val="24"/>
              <w:szCs w:val="24"/>
              <w14:ligatures w14:val="standardContextual"/>
            </w:rPr>
          </w:pPr>
          <w:hyperlink w:anchor="_Toc174003420" w:history="1">
            <w:r w:rsidRPr="00C13BD8">
              <w:rPr>
                <w:rStyle w:val="Hyperlink"/>
                <w:noProof/>
              </w:rPr>
              <w:t>1.4</w:t>
            </w:r>
            <w:r>
              <w:rPr>
                <w:rFonts w:asciiTheme="minorHAnsi" w:eastAsiaTheme="minorEastAsia" w:hAnsiTheme="minorHAnsi" w:cstheme="minorBidi"/>
                <w:noProof/>
                <w:kern w:val="2"/>
                <w:sz w:val="24"/>
                <w:szCs w:val="24"/>
                <w14:ligatures w14:val="standardContextual"/>
              </w:rPr>
              <w:tab/>
            </w:r>
            <w:r w:rsidRPr="00C13BD8">
              <w:rPr>
                <w:rStyle w:val="Hyperlink"/>
                <w:noProof/>
              </w:rPr>
              <w:t>Market Reform Rating Rules</w:t>
            </w:r>
            <w:r>
              <w:rPr>
                <w:noProof/>
                <w:webHidden/>
              </w:rPr>
              <w:tab/>
            </w:r>
            <w:r>
              <w:rPr>
                <w:noProof/>
                <w:webHidden/>
              </w:rPr>
              <w:fldChar w:fldCharType="begin"/>
            </w:r>
            <w:r>
              <w:rPr>
                <w:noProof/>
                <w:webHidden/>
              </w:rPr>
              <w:instrText xml:space="preserve"> PAGEREF _Toc174003420 \h </w:instrText>
            </w:r>
            <w:r>
              <w:rPr>
                <w:noProof/>
                <w:webHidden/>
              </w:rPr>
              <w:fldChar w:fldCharType="separate"/>
            </w:r>
            <w:r w:rsidR="0033365D">
              <w:rPr>
                <w:noProof/>
                <w:webHidden/>
              </w:rPr>
              <w:t>7</w:t>
            </w:r>
            <w:r>
              <w:rPr>
                <w:noProof/>
                <w:webHidden/>
              </w:rPr>
              <w:fldChar w:fldCharType="end"/>
            </w:r>
          </w:hyperlink>
        </w:p>
        <w:p w:rsidR="00C31DCD" w14:paraId="2F1368BB" w14:textId="4B6026C3">
          <w:pPr>
            <w:pStyle w:val="TOC2"/>
            <w:rPr>
              <w:rFonts w:asciiTheme="minorHAnsi" w:eastAsiaTheme="minorEastAsia" w:hAnsiTheme="minorHAnsi" w:cstheme="minorBidi"/>
              <w:noProof/>
              <w:kern w:val="2"/>
              <w:sz w:val="24"/>
              <w:szCs w:val="24"/>
              <w14:ligatures w14:val="standardContextual"/>
            </w:rPr>
          </w:pPr>
          <w:hyperlink w:anchor="_Toc174003421" w:history="1">
            <w:r w:rsidRPr="00C13BD8">
              <w:rPr>
                <w:rStyle w:val="Hyperlink"/>
                <w:noProof/>
              </w:rPr>
              <w:t>1.5</w:t>
            </w:r>
            <w:r>
              <w:rPr>
                <w:rFonts w:asciiTheme="minorHAnsi" w:eastAsiaTheme="minorEastAsia" w:hAnsiTheme="minorHAnsi" w:cstheme="minorBidi"/>
                <w:noProof/>
                <w:kern w:val="2"/>
                <w:sz w:val="24"/>
                <w:szCs w:val="24"/>
                <w14:ligatures w14:val="standardContextual"/>
              </w:rPr>
              <w:tab/>
            </w:r>
            <w:r w:rsidRPr="00C13BD8">
              <w:rPr>
                <w:rStyle w:val="Hyperlink"/>
                <w:noProof/>
              </w:rPr>
              <w:t>Guaranteed Renewability and Uniform Modification of Coverage</w:t>
            </w:r>
            <w:r>
              <w:rPr>
                <w:noProof/>
                <w:webHidden/>
              </w:rPr>
              <w:tab/>
            </w:r>
            <w:r>
              <w:rPr>
                <w:noProof/>
                <w:webHidden/>
              </w:rPr>
              <w:fldChar w:fldCharType="begin"/>
            </w:r>
            <w:r>
              <w:rPr>
                <w:noProof/>
                <w:webHidden/>
              </w:rPr>
              <w:instrText xml:space="preserve"> PAGEREF _Toc174003421 \h </w:instrText>
            </w:r>
            <w:r>
              <w:rPr>
                <w:noProof/>
                <w:webHidden/>
              </w:rPr>
              <w:fldChar w:fldCharType="separate"/>
            </w:r>
            <w:r w:rsidR="0033365D">
              <w:rPr>
                <w:noProof/>
                <w:webHidden/>
              </w:rPr>
              <w:t>10</w:t>
            </w:r>
            <w:r>
              <w:rPr>
                <w:noProof/>
                <w:webHidden/>
              </w:rPr>
              <w:fldChar w:fldCharType="end"/>
            </w:r>
          </w:hyperlink>
        </w:p>
        <w:p w:rsidR="00C31DCD" w14:paraId="16A5933F" w14:textId="3C70A757">
          <w:pPr>
            <w:pStyle w:val="TOC1"/>
            <w:rPr>
              <w:rFonts w:asciiTheme="minorHAnsi" w:eastAsiaTheme="minorEastAsia" w:hAnsiTheme="minorHAnsi" w:cstheme="minorBidi"/>
              <w:noProof/>
              <w:kern w:val="2"/>
              <w:sz w:val="24"/>
              <w:szCs w:val="24"/>
              <w14:ligatures w14:val="standardContextual"/>
            </w:rPr>
          </w:pPr>
          <w:hyperlink w:anchor="_Toc174003422" w:history="1">
            <w:r w:rsidRPr="00C13BD8">
              <w:rPr>
                <w:rStyle w:val="Hyperlink"/>
                <w:noProof/>
              </w:rPr>
              <w:t>2.  Part I: Unified Rate Review Template</w:t>
            </w:r>
            <w:r>
              <w:rPr>
                <w:noProof/>
                <w:webHidden/>
              </w:rPr>
              <w:tab/>
            </w:r>
            <w:r>
              <w:rPr>
                <w:noProof/>
                <w:webHidden/>
              </w:rPr>
              <w:fldChar w:fldCharType="begin"/>
            </w:r>
            <w:r>
              <w:rPr>
                <w:noProof/>
                <w:webHidden/>
              </w:rPr>
              <w:instrText xml:space="preserve"> PAGEREF _Toc174003422 \h </w:instrText>
            </w:r>
            <w:r>
              <w:rPr>
                <w:noProof/>
                <w:webHidden/>
              </w:rPr>
              <w:fldChar w:fldCharType="separate"/>
            </w:r>
            <w:r w:rsidR="0033365D">
              <w:rPr>
                <w:noProof/>
                <w:webHidden/>
              </w:rPr>
              <w:t>12</w:t>
            </w:r>
            <w:r>
              <w:rPr>
                <w:noProof/>
                <w:webHidden/>
              </w:rPr>
              <w:fldChar w:fldCharType="end"/>
            </w:r>
          </w:hyperlink>
        </w:p>
        <w:p w:rsidR="00C31DCD" w14:paraId="690E8C09" w14:textId="04209B26">
          <w:pPr>
            <w:pStyle w:val="TOC2"/>
            <w:rPr>
              <w:rFonts w:asciiTheme="minorHAnsi" w:eastAsiaTheme="minorEastAsia" w:hAnsiTheme="minorHAnsi" w:cstheme="minorBidi"/>
              <w:noProof/>
              <w:kern w:val="2"/>
              <w:sz w:val="24"/>
              <w:szCs w:val="24"/>
              <w14:ligatures w14:val="standardContextual"/>
            </w:rPr>
          </w:pPr>
          <w:hyperlink w:anchor="_Toc174003423" w:history="1">
            <w:r w:rsidRPr="00C13BD8">
              <w:rPr>
                <w:rStyle w:val="Hyperlink"/>
                <w:noProof/>
              </w:rPr>
              <w:t>2.1  Worksheet 1 – Market Experience</w:t>
            </w:r>
            <w:r>
              <w:rPr>
                <w:noProof/>
                <w:webHidden/>
              </w:rPr>
              <w:tab/>
            </w:r>
            <w:r>
              <w:rPr>
                <w:noProof/>
                <w:webHidden/>
              </w:rPr>
              <w:fldChar w:fldCharType="begin"/>
            </w:r>
            <w:r>
              <w:rPr>
                <w:noProof/>
                <w:webHidden/>
              </w:rPr>
              <w:instrText xml:space="preserve"> PAGEREF _Toc174003423 \h </w:instrText>
            </w:r>
            <w:r>
              <w:rPr>
                <w:noProof/>
                <w:webHidden/>
              </w:rPr>
              <w:fldChar w:fldCharType="separate"/>
            </w:r>
            <w:r w:rsidR="0033365D">
              <w:rPr>
                <w:noProof/>
                <w:webHidden/>
              </w:rPr>
              <w:t>13</w:t>
            </w:r>
            <w:r>
              <w:rPr>
                <w:noProof/>
                <w:webHidden/>
              </w:rPr>
              <w:fldChar w:fldCharType="end"/>
            </w:r>
          </w:hyperlink>
        </w:p>
        <w:p w:rsidR="00C31DCD" w14:paraId="6E1F1F4A" w14:textId="22F7C6DF">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74003424" w:history="1">
            <w:r w:rsidRPr="00C13BD8">
              <w:rPr>
                <w:rStyle w:val="Hyperlink"/>
                <w:noProof/>
              </w:rPr>
              <w:t>2.1.1</w:t>
            </w:r>
            <w:r>
              <w:rPr>
                <w:rFonts w:asciiTheme="minorHAnsi" w:eastAsiaTheme="minorEastAsia" w:hAnsiTheme="minorHAnsi" w:cstheme="minorBidi"/>
                <w:noProof/>
                <w:kern w:val="2"/>
                <w:sz w:val="24"/>
                <w:szCs w:val="24"/>
                <w14:ligatures w14:val="standardContextual"/>
              </w:rPr>
              <w:tab/>
            </w:r>
            <w:r w:rsidRPr="00C13BD8">
              <w:rPr>
                <w:rStyle w:val="Hyperlink"/>
                <w:noProof/>
              </w:rPr>
              <w:t>General Information Section</w:t>
            </w:r>
            <w:r>
              <w:rPr>
                <w:noProof/>
                <w:webHidden/>
              </w:rPr>
              <w:tab/>
            </w:r>
            <w:r>
              <w:rPr>
                <w:noProof/>
                <w:webHidden/>
              </w:rPr>
              <w:fldChar w:fldCharType="begin"/>
            </w:r>
            <w:r>
              <w:rPr>
                <w:noProof/>
                <w:webHidden/>
              </w:rPr>
              <w:instrText xml:space="preserve"> PAGEREF _Toc174003424 \h </w:instrText>
            </w:r>
            <w:r>
              <w:rPr>
                <w:noProof/>
                <w:webHidden/>
              </w:rPr>
              <w:fldChar w:fldCharType="separate"/>
            </w:r>
            <w:r w:rsidR="0033365D">
              <w:rPr>
                <w:noProof/>
                <w:webHidden/>
              </w:rPr>
              <w:t>13</w:t>
            </w:r>
            <w:r>
              <w:rPr>
                <w:noProof/>
                <w:webHidden/>
              </w:rPr>
              <w:fldChar w:fldCharType="end"/>
            </w:r>
          </w:hyperlink>
        </w:p>
        <w:p w:rsidR="00C31DCD" w14:paraId="3B005AE9" w14:textId="70885802">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74003425" w:history="1">
            <w:r w:rsidRPr="00C13BD8">
              <w:rPr>
                <w:rStyle w:val="Hyperlink"/>
                <w:noProof/>
              </w:rPr>
              <w:t>2.1.2</w:t>
            </w:r>
            <w:r>
              <w:rPr>
                <w:rFonts w:asciiTheme="minorHAnsi" w:eastAsiaTheme="minorEastAsia" w:hAnsiTheme="minorHAnsi" w:cstheme="minorBidi"/>
                <w:noProof/>
                <w:kern w:val="2"/>
                <w:sz w:val="24"/>
                <w:szCs w:val="24"/>
                <w14:ligatures w14:val="standardContextual"/>
              </w:rPr>
              <w:tab/>
            </w:r>
            <w:r w:rsidRPr="00C13BD8">
              <w:rPr>
                <w:rStyle w:val="Hyperlink"/>
                <w:noProof/>
              </w:rPr>
              <w:t>Section I: Experience Period Data</w:t>
            </w:r>
            <w:r>
              <w:rPr>
                <w:noProof/>
                <w:webHidden/>
              </w:rPr>
              <w:tab/>
            </w:r>
            <w:r>
              <w:rPr>
                <w:noProof/>
                <w:webHidden/>
              </w:rPr>
              <w:fldChar w:fldCharType="begin"/>
            </w:r>
            <w:r>
              <w:rPr>
                <w:noProof/>
                <w:webHidden/>
              </w:rPr>
              <w:instrText xml:space="preserve"> PAGEREF _Toc174003425 \h </w:instrText>
            </w:r>
            <w:r>
              <w:rPr>
                <w:noProof/>
                <w:webHidden/>
              </w:rPr>
              <w:fldChar w:fldCharType="separate"/>
            </w:r>
            <w:r w:rsidR="0033365D">
              <w:rPr>
                <w:noProof/>
                <w:webHidden/>
              </w:rPr>
              <w:t>14</w:t>
            </w:r>
            <w:r>
              <w:rPr>
                <w:noProof/>
                <w:webHidden/>
              </w:rPr>
              <w:fldChar w:fldCharType="end"/>
            </w:r>
          </w:hyperlink>
        </w:p>
        <w:p w:rsidR="00C31DCD" w14:paraId="17AC6E65" w14:textId="13387CE2">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74003426" w:history="1">
            <w:r w:rsidRPr="00C13BD8">
              <w:rPr>
                <w:rStyle w:val="Hyperlink"/>
                <w:noProof/>
              </w:rPr>
              <w:t>2.1.3</w:t>
            </w:r>
            <w:r>
              <w:rPr>
                <w:rFonts w:asciiTheme="minorHAnsi" w:eastAsiaTheme="minorEastAsia" w:hAnsiTheme="minorHAnsi" w:cstheme="minorBidi"/>
                <w:noProof/>
                <w:kern w:val="2"/>
                <w:sz w:val="24"/>
                <w:szCs w:val="24"/>
                <w14:ligatures w14:val="standardContextual"/>
              </w:rPr>
              <w:tab/>
            </w:r>
            <w:r w:rsidRPr="00C13BD8">
              <w:rPr>
                <w:rStyle w:val="Hyperlink"/>
                <w:noProof/>
              </w:rPr>
              <w:t>Section II: Projections</w:t>
            </w:r>
            <w:r>
              <w:rPr>
                <w:noProof/>
                <w:webHidden/>
              </w:rPr>
              <w:tab/>
            </w:r>
            <w:r>
              <w:rPr>
                <w:noProof/>
                <w:webHidden/>
              </w:rPr>
              <w:fldChar w:fldCharType="begin"/>
            </w:r>
            <w:r>
              <w:rPr>
                <w:noProof/>
                <w:webHidden/>
              </w:rPr>
              <w:instrText xml:space="preserve"> PAGEREF _Toc174003426 \h </w:instrText>
            </w:r>
            <w:r>
              <w:rPr>
                <w:noProof/>
                <w:webHidden/>
              </w:rPr>
              <w:fldChar w:fldCharType="separate"/>
            </w:r>
            <w:r w:rsidR="0033365D">
              <w:rPr>
                <w:noProof/>
                <w:webHidden/>
              </w:rPr>
              <w:t>15</w:t>
            </w:r>
            <w:r>
              <w:rPr>
                <w:noProof/>
                <w:webHidden/>
              </w:rPr>
              <w:fldChar w:fldCharType="end"/>
            </w:r>
          </w:hyperlink>
        </w:p>
        <w:p w:rsidR="00C31DCD" w14:paraId="4D13D2AF" w14:textId="377B3A45">
          <w:pPr>
            <w:pStyle w:val="TOC2"/>
            <w:rPr>
              <w:rFonts w:asciiTheme="minorHAnsi" w:eastAsiaTheme="minorEastAsia" w:hAnsiTheme="minorHAnsi" w:cstheme="minorBidi"/>
              <w:noProof/>
              <w:kern w:val="2"/>
              <w:sz w:val="24"/>
              <w:szCs w:val="24"/>
              <w14:ligatures w14:val="standardContextual"/>
            </w:rPr>
          </w:pPr>
          <w:hyperlink w:anchor="_Toc174003427" w:history="1">
            <w:r w:rsidRPr="00C13BD8">
              <w:rPr>
                <w:rStyle w:val="Hyperlink"/>
                <w:noProof/>
              </w:rPr>
              <w:t>Section 2.2 Worksheet 2 – Plan Product Information</w:t>
            </w:r>
            <w:r>
              <w:rPr>
                <w:noProof/>
                <w:webHidden/>
              </w:rPr>
              <w:tab/>
            </w:r>
            <w:r>
              <w:rPr>
                <w:noProof/>
                <w:webHidden/>
              </w:rPr>
              <w:fldChar w:fldCharType="begin"/>
            </w:r>
            <w:r>
              <w:rPr>
                <w:noProof/>
                <w:webHidden/>
              </w:rPr>
              <w:instrText xml:space="preserve"> PAGEREF _Toc174003427 \h </w:instrText>
            </w:r>
            <w:r>
              <w:rPr>
                <w:noProof/>
                <w:webHidden/>
              </w:rPr>
              <w:fldChar w:fldCharType="separate"/>
            </w:r>
            <w:r w:rsidR="0033365D">
              <w:rPr>
                <w:noProof/>
                <w:webHidden/>
              </w:rPr>
              <w:t>19</w:t>
            </w:r>
            <w:r>
              <w:rPr>
                <w:noProof/>
                <w:webHidden/>
              </w:rPr>
              <w:fldChar w:fldCharType="end"/>
            </w:r>
          </w:hyperlink>
        </w:p>
        <w:p w:rsidR="00C31DCD" w14:paraId="0C86740C" w14:textId="313DA7C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4003428" w:history="1">
            <w:r w:rsidRPr="00C13BD8">
              <w:rPr>
                <w:rStyle w:val="Hyperlink"/>
                <w:noProof/>
              </w:rPr>
              <w:t>2.2.1 Section I: General Product and Plan Information</w:t>
            </w:r>
            <w:r>
              <w:rPr>
                <w:noProof/>
                <w:webHidden/>
              </w:rPr>
              <w:tab/>
            </w:r>
            <w:r>
              <w:rPr>
                <w:noProof/>
                <w:webHidden/>
              </w:rPr>
              <w:fldChar w:fldCharType="begin"/>
            </w:r>
            <w:r>
              <w:rPr>
                <w:noProof/>
                <w:webHidden/>
              </w:rPr>
              <w:instrText xml:space="preserve"> PAGEREF _Toc174003428 \h </w:instrText>
            </w:r>
            <w:r>
              <w:rPr>
                <w:noProof/>
                <w:webHidden/>
              </w:rPr>
              <w:fldChar w:fldCharType="separate"/>
            </w:r>
            <w:r w:rsidR="0033365D">
              <w:rPr>
                <w:noProof/>
                <w:webHidden/>
              </w:rPr>
              <w:t>19</w:t>
            </w:r>
            <w:r>
              <w:rPr>
                <w:noProof/>
                <w:webHidden/>
              </w:rPr>
              <w:fldChar w:fldCharType="end"/>
            </w:r>
          </w:hyperlink>
        </w:p>
        <w:p w:rsidR="00C31DCD" w14:paraId="1D1E9620" w14:textId="6C2524D2">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4003429" w:history="1">
            <w:r w:rsidRPr="00C13BD8">
              <w:rPr>
                <w:rStyle w:val="Hyperlink"/>
                <w:noProof/>
              </w:rPr>
              <w:t>2.2.2 Section II: Experience Period and Current Plan Level Information</w:t>
            </w:r>
            <w:r>
              <w:rPr>
                <w:noProof/>
                <w:webHidden/>
              </w:rPr>
              <w:tab/>
            </w:r>
            <w:r>
              <w:rPr>
                <w:noProof/>
                <w:webHidden/>
              </w:rPr>
              <w:fldChar w:fldCharType="begin"/>
            </w:r>
            <w:r>
              <w:rPr>
                <w:noProof/>
                <w:webHidden/>
              </w:rPr>
              <w:instrText xml:space="preserve"> PAGEREF _Toc174003429 \h </w:instrText>
            </w:r>
            <w:r>
              <w:rPr>
                <w:noProof/>
                <w:webHidden/>
              </w:rPr>
              <w:fldChar w:fldCharType="separate"/>
            </w:r>
            <w:r w:rsidR="0033365D">
              <w:rPr>
                <w:noProof/>
                <w:webHidden/>
              </w:rPr>
              <w:t>23</w:t>
            </w:r>
            <w:r>
              <w:rPr>
                <w:noProof/>
                <w:webHidden/>
              </w:rPr>
              <w:fldChar w:fldCharType="end"/>
            </w:r>
          </w:hyperlink>
        </w:p>
        <w:p w:rsidR="00C31DCD" w14:paraId="39721215" w14:textId="42172F1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4003430" w:history="1">
            <w:r w:rsidRPr="00C13BD8">
              <w:rPr>
                <w:rStyle w:val="Hyperlink"/>
                <w:noProof/>
              </w:rPr>
              <w:t>2.2.3 Section III: Plan Adjustment Factors</w:t>
            </w:r>
            <w:r>
              <w:rPr>
                <w:noProof/>
                <w:webHidden/>
              </w:rPr>
              <w:tab/>
            </w:r>
            <w:r>
              <w:rPr>
                <w:noProof/>
                <w:webHidden/>
              </w:rPr>
              <w:fldChar w:fldCharType="begin"/>
            </w:r>
            <w:r>
              <w:rPr>
                <w:noProof/>
                <w:webHidden/>
              </w:rPr>
              <w:instrText xml:space="preserve"> PAGEREF _Toc174003430 \h </w:instrText>
            </w:r>
            <w:r>
              <w:rPr>
                <w:noProof/>
                <w:webHidden/>
              </w:rPr>
              <w:fldChar w:fldCharType="separate"/>
            </w:r>
            <w:r w:rsidR="0033365D">
              <w:rPr>
                <w:noProof/>
                <w:webHidden/>
              </w:rPr>
              <w:t>26</w:t>
            </w:r>
            <w:r>
              <w:rPr>
                <w:noProof/>
                <w:webHidden/>
              </w:rPr>
              <w:fldChar w:fldCharType="end"/>
            </w:r>
          </w:hyperlink>
        </w:p>
        <w:p w:rsidR="00C31DCD" w14:paraId="682C7BE7" w14:textId="5960627A">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4003431" w:history="1">
            <w:r w:rsidRPr="00C13BD8">
              <w:rPr>
                <w:rStyle w:val="Hyperlink"/>
                <w:noProof/>
              </w:rPr>
              <w:t>2.2.4 Section IV: Projected Plan Level Information</w:t>
            </w:r>
            <w:r>
              <w:rPr>
                <w:noProof/>
                <w:webHidden/>
              </w:rPr>
              <w:tab/>
            </w:r>
            <w:r>
              <w:rPr>
                <w:noProof/>
                <w:webHidden/>
              </w:rPr>
              <w:fldChar w:fldCharType="begin"/>
            </w:r>
            <w:r>
              <w:rPr>
                <w:noProof/>
                <w:webHidden/>
              </w:rPr>
              <w:instrText xml:space="preserve"> PAGEREF _Toc174003431 \h </w:instrText>
            </w:r>
            <w:r>
              <w:rPr>
                <w:noProof/>
                <w:webHidden/>
              </w:rPr>
              <w:fldChar w:fldCharType="separate"/>
            </w:r>
            <w:r w:rsidR="0033365D">
              <w:rPr>
                <w:noProof/>
                <w:webHidden/>
              </w:rPr>
              <w:t>30</w:t>
            </w:r>
            <w:r>
              <w:rPr>
                <w:noProof/>
                <w:webHidden/>
              </w:rPr>
              <w:fldChar w:fldCharType="end"/>
            </w:r>
          </w:hyperlink>
        </w:p>
        <w:p w:rsidR="00C31DCD" w14:paraId="0D9A49AD" w14:textId="07B19FDB">
          <w:pPr>
            <w:pStyle w:val="TOC2"/>
            <w:rPr>
              <w:rFonts w:asciiTheme="minorHAnsi" w:eastAsiaTheme="minorEastAsia" w:hAnsiTheme="minorHAnsi" w:cstheme="minorBidi"/>
              <w:noProof/>
              <w:kern w:val="2"/>
              <w:sz w:val="24"/>
              <w:szCs w:val="24"/>
              <w14:ligatures w14:val="standardContextual"/>
            </w:rPr>
          </w:pPr>
          <w:hyperlink w:anchor="_Toc174003432" w:history="1">
            <w:r w:rsidRPr="00C13BD8">
              <w:rPr>
                <w:rStyle w:val="Hyperlink"/>
                <w:noProof/>
              </w:rPr>
              <w:t>Section 2.3 Worksheet 3 – Rating Areas</w:t>
            </w:r>
            <w:r>
              <w:rPr>
                <w:noProof/>
                <w:webHidden/>
              </w:rPr>
              <w:tab/>
            </w:r>
            <w:r>
              <w:rPr>
                <w:noProof/>
                <w:webHidden/>
              </w:rPr>
              <w:fldChar w:fldCharType="begin"/>
            </w:r>
            <w:r>
              <w:rPr>
                <w:noProof/>
                <w:webHidden/>
              </w:rPr>
              <w:instrText xml:space="preserve"> PAGEREF _Toc174003432 \h </w:instrText>
            </w:r>
            <w:r>
              <w:rPr>
                <w:noProof/>
                <w:webHidden/>
              </w:rPr>
              <w:fldChar w:fldCharType="separate"/>
            </w:r>
            <w:r w:rsidR="0033365D">
              <w:rPr>
                <w:noProof/>
                <w:webHidden/>
              </w:rPr>
              <w:t>32</w:t>
            </w:r>
            <w:r>
              <w:rPr>
                <w:noProof/>
                <w:webHidden/>
              </w:rPr>
              <w:fldChar w:fldCharType="end"/>
            </w:r>
          </w:hyperlink>
        </w:p>
        <w:p w:rsidR="00C31DCD" w14:paraId="730935E1" w14:textId="08A484AA">
          <w:pPr>
            <w:pStyle w:val="TOC1"/>
            <w:rPr>
              <w:rFonts w:asciiTheme="minorHAnsi" w:eastAsiaTheme="minorEastAsia" w:hAnsiTheme="minorHAnsi" w:cstheme="minorBidi"/>
              <w:noProof/>
              <w:kern w:val="2"/>
              <w:sz w:val="24"/>
              <w:szCs w:val="24"/>
              <w14:ligatures w14:val="standardContextual"/>
            </w:rPr>
          </w:pPr>
          <w:hyperlink w:anchor="_Toc174003433" w:history="1">
            <w:r w:rsidRPr="00C13BD8">
              <w:rPr>
                <w:rStyle w:val="Hyperlink"/>
                <w:noProof/>
              </w:rPr>
              <w:t>3.  Part II: Written Description Justifying the Rate Increase</w:t>
            </w:r>
            <w:r>
              <w:rPr>
                <w:noProof/>
                <w:webHidden/>
              </w:rPr>
              <w:tab/>
            </w:r>
            <w:r>
              <w:rPr>
                <w:noProof/>
                <w:webHidden/>
              </w:rPr>
              <w:fldChar w:fldCharType="begin"/>
            </w:r>
            <w:r>
              <w:rPr>
                <w:noProof/>
                <w:webHidden/>
              </w:rPr>
              <w:instrText xml:space="preserve"> PAGEREF _Toc174003433 \h </w:instrText>
            </w:r>
            <w:r>
              <w:rPr>
                <w:noProof/>
                <w:webHidden/>
              </w:rPr>
              <w:fldChar w:fldCharType="separate"/>
            </w:r>
            <w:r w:rsidR="0033365D">
              <w:rPr>
                <w:noProof/>
                <w:webHidden/>
              </w:rPr>
              <w:t>32</w:t>
            </w:r>
            <w:r>
              <w:rPr>
                <w:noProof/>
                <w:webHidden/>
              </w:rPr>
              <w:fldChar w:fldCharType="end"/>
            </w:r>
          </w:hyperlink>
        </w:p>
        <w:p w:rsidR="00C31DCD" w14:paraId="4364F63E" w14:textId="5B8FBFFF">
          <w:pPr>
            <w:pStyle w:val="TOC1"/>
            <w:rPr>
              <w:rFonts w:asciiTheme="minorHAnsi" w:eastAsiaTheme="minorEastAsia" w:hAnsiTheme="minorHAnsi" w:cstheme="minorBidi"/>
              <w:noProof/>
              <w:kern w:val="2"/>
              <w:sz w:val="24"/>
              <w:szCs w:val="24"/>
              <w14:ligatures w14:val="standardContextual"/>
            </w:rPr>
          </w:pPr>
          <w:hyperlink w:anchor="_Toc174003434" w:history="1">
            <w:r w:rsidRPr="00C13BD8">
              <w:rPr>
                <w:rStyle w:val="Hyperlink"/>
                <w:noProof/>
              </w:rPr>
              <w:t>4.  Part III: Actuarial Memorandum and Certification Instructions</w:t>
            </w:r>
            <w:r>
              <w:rPr>
                <w:noProof/>
                <w:webHidden/>
              </w:rPr>
              <w:tab/>
            </w:r>
            <w:r>
              <w:rPr>
                <w:noProof/>
                <w:webHidden/>
              </w:rPr>
              <w:fldChar w:fldCharType="begin"/>
            </w:r>
            <w:r>
              <w:rPr>
                <w:noProof/>
                <w:webHidden/>
              </w:rPr>
              <w:instrText xml:space="preserve"> PAGEREF _Toc174003434 \h </w:instrText>
            </w:r>
            <w:r>
              <w:rPr>
                <w:noProof/>
                <w:webHidden/>
              </w:rPr>
              <w:fldChar w:fldCharType="separate"/>
            </w:r>
            <w:r w:rsidR="0033365D">
              <w:rPr>
                <w:noProof/>
                <w:webHidden/>
              </w:rPr>
              <w:t>33</w:t>
            </w:r>
            <w:r>
              <w:rPr>
                <w:noProof/>
                <w:webHidden/>
              </w:rPr>
              <w:fldChar w:fldCharType="end"/>
            </w:r>
          </w:hyperlink>
        </w:p>
        <w:p w:rsidR="00C31DCD" w14:paraId="13478BF5" w14:textId="171F7328">
          <w:pPr>
            <w:pStyle w:val="TOC2"/>
            <w:rPr>
              <w:rFonts w:asciiTheme="minorHAnsi" w:eastAsiaTheme="minorEastAsia" w:hAnsiTheme="minorHAnsi" w:cstheme="minorBidi"/>
              <w:noProof/>
              <w:kern w:val="2"/>
              <w:sz w:val="24"/>
              <w:szCs w:val="24"/>
              <w14:ligatures w14:val="standardContextual"/>
            </w:rPr>
          </w:pPr>
          <w:hyperlink w:anchor="_Toc174003435" w:history="1">
            <w:r w:rsidRPr="00C13BD8">
              <w:rPr>
                <w:rStyle w:val="Hyperlink"/>
                <w:noProof/>
              </w:rPr>
              <w:t>4.1 Redacted Actuarial Memorandum</w:t>
            </w:r>
            <w:r>
              <w:rPr>
                <w:noProof/>
                <w:webHidden/>
              </w:rPr>
              <w:tab/>
            </w:r>
            <w:r>
              <w:rPr>
                <w:noProof/>
                <w:webHidden/>
              </w:rPr>
              <w:fldChar w:fldCharType="begin"/>
            </w:r>
            <w:r>
              <w:rPr>
                <w:noProof/>
                <w:webHidden/>
              </w:rPr>
              <w:instrText xml:space="preserve"> PAGEREF _Toc174003435 \h </w:instrText>
            </w:r>
            <w:r>
              <w:rPr>
                <w:noProof/>
                <w:webHidden/>
              </w:rPr>
              <w:fldChar w:fldCharType="separate"/>
            </w:r>
            <w:r w:rsidR="0033365D">
              <w:rPr>
                <w:noProof/>
                <w:webHidden/>
              </w:rPr>
              <w:t>34</w:t>
            </w:r>
            <w:r>
              <w:rPr>
                <w:noProof/>
                <w:webHidden/>
              </w:rPr>
              <w:fldChar w:fldCharType="end"/>
            </w:r>
          </w:hyperlink>
        </w:p>
        <w:p w:rsidR="00C31DCD" w14:paraId="3AD0EAE7" w14:textId="66B352AD">
          <w:pPr>
            <w:pStyle w:val="TOC2"/>
            <w:rPr>
              <w:rFonts w:asciiTheme="minorHAnsi" w:eastAsiaTheme="minorEastAsia" w:hAnsiTheme="minorHAnsi" w:cstheme="minorBidi"/>
              <w:noProof/>
              <w:kern w:val="2"/>
              <w:sz w:val="24"/>
              <w:szCs w:val="24"/>
              <w14:ligatures w14:val="standardContextual"/>
            </w:rPr>
          </w:pPr>
          <w:hyperlink w:anchor="_Toc174003436" w:history="1">
            <w:r w:rsidRPr="00C13BD8">
              <w:rPr>
                <w:rStyle w:val="Hyperlink"/>
                <w:noProof/>
              </w:rPr>
              <w:t>4.2 General Information Section</w:t>
            </w:r>
            <w:r>
              <w:rPr>
                <w:noProof/>
                <w:webHidden/>
              </w:rPr>
              <w:tab/>
            </w:r>
            <w:r>
              <w:rPr>
                <w:noProof/>
                <w:webHidden/>
              </w:rPr>
              <w:fldChar w:fldCharType="begin"/>
            </w:r>
            <w:r>
              <w:rPr>
                <w:noProof/>
                <w:webHidden/>
              </w:rPr>
              <w:instrText xml:space="preserve"> PAGEREF _Toc174003436 \h </w:instrText>
            </w:r>
            <w:r>
              <w:rPr>
                <w:noProof/>
                <w:webHidden/>
              </w:rPr>
              <w:fldChar w:fldCharType="separate"/>
            </w:r>
            <w:r w:rsidR="0033365D">
              <w:rPr>
                <w:noProof/>
                <w:webHidden/>
              </w:rPr>
              <w:t>34</w:t>
            </w:r>
            <w:r>
              <w:rPr>
                <w:noProof/>
                <w:webHidden/>
              </w:rPr>
              <w:fldChar w:fldCharType="end"/>
            </w:r>
          </w:hyperlink>
        </w:p>
        <w:p w:rsidR="00C31DCD" w14:paraId="7BD082E5" w14:textId="729F6BF0">
          <w:pPr>
            <w:pStyle w:val="TOC2"/>
            <w:rPr>
              <w:rFonts w:asciiTheme="minorHAnsi" w:eastAsiaTheme="minorEastAsia" w:hAnsiTheme="minorHAnsi" w:cstheme="minorBidi"/>
              <w:noProof/>
              <w:kern w:val="2"/>
              <w:sz w:val="24"/>
              <w:szCs w:val="24"/>
              <w14:ligatures w14:val="standardContextual"/>
            </w:rPr>
          </w:pPr>
          <w:hyperlink w:anchor="_Toc174003437" w:history="1">
            <w:r w:rsidRPr="00C13BD8">
              <w:rPr>
                <w:rStyle w:val="Hyperlink"/>
                <w:noProof/>
              </w:rPr>
              <w:t>4.3 Proposed Rate Changes</w:t>
            </w:r>
            <w:r>
              <w:rPr>
                <w:noProof/>
                <w:webHidden/>
              </w:rPr>
              <w:tab/>
            </w:r>
            <w:r>
              <w:rPr>
                <w:noProof/>
                <w:webHidden/>
              </w:rPr>
              <w:fldChar w:fldCharType="begin"/>
            </w:r>
            <w:r>
              <w:rPr>
                <w:noProof/>
                <w:webHidden/>
              </w:rPr>
              <w:instrText xml:space="preserve"> PAGEREF _Toc174003437 \h </w:instrText>
            </w:r>
            <w:r>
              <w:rPr>
                <w:noProof/>
                <w:webHidden/>
              </w:rPr>
              <w:fldChar w:fldCharType="separate"/>
            </w:r>
            <w:r w:rsidR="0033365D">
              <w:rPr>
                <w:noProof/>
                <w:webHidden/>
              </w:rPr>
              <w:t>35</w:t>
            </w:r>
            <w:r>
              <w:rPr>
                <w:noProof/>
                <w:webHidden/>
              </w:rPr>
              <w:fldChar w:fldCharType="end"/>
            </w:r>
          </w:hyperlink>
        </w:p>
        <w:p w:rsidR="00C31DCD" w14:paraId="093A8960" w14:textId="43529330">
          <w:pPr>
            <w:pStyle w:val="TOC2"/>
            <w:rPr>
              <w:rFonts w:asciiTheme="minorHAnsi" w:eastAsiaTheme="minorEastAsia" w:hAnsiTheme="minorHAnsi" w:cstheme="minorBidi"/>
              <w:noProof/>
              <w:kern w:val="2"/>
              <w:sz w:val="24"/>
              <w:szCs w:val="24"/>
              <w14:ligatures w14:val="standardContextual"/>
            </w:rPr>
          </w:pPr>
          <w:hyperlink w:anchor="_Toc174003438" w:history="1">
            <w:r w:rsidRPr="00C13BD8">
              <w:rPr>
                <w:rStyle w:val="Hyperlink"/>
                <w:noProof/>
              </w:rPr>
              <w:t>4.4 Market Experience</w:t>
            </w:r>
            <w:r>
              <w:rPr>
                <w:noProof/>
                <w:webHidden/>
              </w:rPr>
              <w:tab/>
            </w:r>
            <w:r>
              <w:rPr>
                <w:noProof/>
                <w:webHidden/>
              </w:rPr>
              <w:fldChar w:fldCharType="begin"/>
            </w:r>
            <w:r>
              <w:rPr>
                <w:noProof/>
                <w:webHidden/>
              </w:rPr>
              <w:instrText xml:space="preserve"> PAGEREF _Toc174003438 \h </w:instrText>
            </w:r>
            <w:r>
              <w:rPr>
                <w:noProof/>
                <w:webHidden/>
              </w:rPr>
              <w:fldChar w:fldCharType="separate"/>
            </w:r>
            <w:r w:rsidR="0033365D">
              <w:rPr>
                <w:noProof/>
                <w:webHidden/>
              </w:rPr>
              <w:t>35</w:t>
            </w:r>
            <w:r>
              <w:rPr>
                <w:noProof/>
                <w:webHidden/>
              </w:rPr>
              <w:fldChar w:fldCharType="end"/>
            </w:r>
          </w:hyperlink>
        </w:p>
        <w:p w:rsidR="00C31DCD" w14:paraId="25B4D6DB" w14:textId="67B49E1D">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4003439" w:history="1">
            <w:r w:rsidRPr="00C13BD8">
              <w:rPr>
                <w:rStyle w:val="Hyperlink"/>
                <w:noProof/>
              </w:rPr>
              <w:t>4.4.1 Experience and Current Period Premium, Claims, and Enrollment</w:t>
            </w:r>
            <w:r>
              <w:rPr>
                <w:noProof/>
                <w:webHidden/>
              </w:rPr>
              <w:tab/>
            </w:r>
            <w:r>
              <w:rPr>
                <w:noProof/>
                <w:webHidden/>
              </w:rPr>
              <w:fldChar w:fldCharType="begin"/>
            </w:r>
            <w:r>
              <w:rPr>
                <w:noProof/>
                <w:webHidden/>
              </w:rPr>
              <w:instrText xml:space="preserve"> PAGEREF _Toc174003439 \h </w:instrText>
            </w:r>
            <w:r>
              <w:rPr>
                <w:noProof/>
                <w:webHidden/>
              </w:rPr>
              <w:fldChar w:fldCharType="separate"/>
            </w:r>
            <w:r w:rsidR="0033365D">
              <w:rPr>
                <w:noProof/>
                <w:webHidden/>
              </w:rPr>
              <w:t>35</w:t>
            </w:r>
            <w:r>
              <w:rPr>
                <w:noProof/>
                <w:webHidden/>
              </w:rPr>
              <w:fldChar w:fldCharType="end"/>
            </w:r>
          </w:hyperlink>
        </w:p>
        <w:p w:rsidR="00C31DCD" w14:paraId="25A36521" w14:textId="27CEAEEF">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4003440" w:history="1">
            <w:r w:rsidRPr="00C13BD8">
              <w:rPr>
                <w:rStyle w:val="Hyperlink"/>
                <w:noProof/>
              </w:rPr>
              <w:t>4.4.2 Benefit Categories</w:t>
            </w:r>
            <w:r>
              <w:rPr>
                <w:noProof/>
                <w:webHidden/>
              </w:rPr>
              <w:tab/>
            </w:r>
            <w:r>
              <w:rPr>
                <w:noProof/>
                <w:webHidden/>
              </w:rPr>
              <w:fldChar w:fldCharType="begin"/>
            </w:r>
            <w:r>
              <w:rPr>
                <w:noProof/>
                <w:webHidden/>
              </w:rPr>
              <w:instrText xml:space="preserve"> PAGEREF _Toc174003440 \h </w:instrText>
            </w:r>
            <w:r>
              <w:rPr>
                <w:noProof/>
                <w:webHidden/>
              </w:rPr>
              <w:fldChar w:fldCharType="separate"/>
            </w:r>
            <w:r w:rsidR="0033365D">
              <w:rPr>
                <w:noProof/>
                <w:webHidden/>
              </w:rPr>
              <w:t>36</w:t>
            </w:r>
            <w:r>
              <w:rPr>
                <w:noProof/>
                <w:webHidden/>
              </w:rPr>
              <w:fldChar w:fldCharType="end"/>
            </w:r>
          </w:hyperlink>
        </w:p>
        <w:p w:rsidR="00C31DCD" w14:paraId="086B671A" w14:textId="5B48F3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4003441" w:history="1">
            <w:r w:rsidRPr="00C13BD8">
              <w:rPr>
                <w:rStyle w:val="Hyperlink"/>
                <w:noProof/>
              </w:rPr>
              <w:t>4.4.3 Projection Factors</w:t>
            </w:r>
            <w:r>
              <w:rPr>
                <w:noProof/>
                <w:webHidden/>
              </w:rPr>
              <w:tab/>
            </w:r>
            <w:r>
              <w:rPr>
                <w:noProof/>
                <w:webHidden/>
              </w:rPr>
              <w:fldChar w:fldCharType="begin"/>
            </w:r>
            <w:r>
              <w:rPr>
                <w:noProof/>
                <w:webHidden/>
              </w:rPr>
              <w:instrText xml:space="preserve"> PAGEREF _Toc174003441 \h </w:instrText>
            </w:r>
            <w:r>
              <w:rPr>
                <w:noProof/>
                <w:webHidden/>
              </w:rPr>
              <w:fldChar w:fldCharType="separate"/>
            </w:r>
            <w:r w:rsidR="0033365D">
              <w:rPr>
                <w:noProof/>
                <w:webHidden/>
              </w:rPr>
              <w:t>36</w:t>
            </w:r>
            <w:r>
              <w:rPr>
                <w:noProof/>
                <w:webHidden/>
              </w:rPr>
              <w:fldChar w:fldCharType="end"/>
            </w:r>
          </w:hyperlink>
        </w:p>
        <w:p w:rsidR="00C31DCD" w14:paraId="1B5F0832" w14:textId="65035F7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4003442" w:history="1">
            <w:r w:rsidRPr="00C13BD8">
              <w:rPr>
                <w:rStyle w:val="Hyperlink"/>
                <w:noProof/>
              </w:rPr>
              <w:t>4.4.4 Plan Adjusted Index Rate</w:t>
            </w:r>
            <w:r>
              <w:rPr>
                <w:noProof/>
                <w:webHidden/>
              </w:rPr>
              <w:tab/>
            </w:r>
            <w:r>
              <w:rPr>
                <w:noProof/>
                <w:webHidden/>
              </w:rPr>
              <w:fldChar w:fldCharType="begin"/>
            </w:r>
            <w:r>
              <w:rPr>
                <w:noProof/>
                <w:webHidden/>
              </w:rPr>
              <w:instrText xml:space="preserve"> PAGEREF _Toc174003442 \h </w:instrText>
            </w:r>
            <w:r>
              <w:rPr>
                <w:noProof/>
                <w:webHidden/>
              </w:rPr>
              <w:fldChar w:fldCharType="separate"/>
            </w:r>
            <w:r w:rsidR="0033365D">
              <w:rPr>
                <w:noProof/>
                <w:webHidden/>
              </w:rPr>
              <w:t>41</w:t>
            </w:r>
            <w:r>
              <w:rPr>
                <w:noProof/>
                <w:webHidden/>
              </w:rPr>
              <w:fldChar w:fldCharType="end"/>
            </w:r>
          </w:hyperlink>
        </w:p>
        <w:p w:rsidR="00C31DCD" w14:paraId="27CA1F09" w14:textId="21D1FCAC">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4003443" w:history="1">
            <w:r w:rsidRPr="00C13BD8">
              <w:rPr>
                <w:rStyle w:val="Hyperlink"/>
                <w:noProof/>
              </w:rPr>
              <w:t>4.4.5 Calibration</w:t>
            </w:r>
            <w:r>
              <w:rPr>
                <w:noProof/>
                <w:webHidden/>
              </w:rPr>
              <w:tab/>
            </w:r>
            <w:r>
              <w:rPr>
                <w:noProof/>
                <w:webHidden/>
              </w:rPr>
              <w:fldChar w:fldCharType="begin"/>
            </w:r>
            <w:r>
              <w:rPr>
                <w:noProof/>
                <w:webHidden/>
              </w:rPr>
              <w:instrText xml:space="preserve"> PAGEREF _Toc174003443 \h </w:instrText>
            </w:r>
            <w:r>
              <w:rPr>
                <w:noProof/>
                <w:webHidden/>
              </w:rPr>
              <w:fldChar w:fldCharType="separate"/>
            </w:r>
            <w:r w:rsidR="0033365D">
              <w:rPr>
                <w:noProof/>
                <w:webHidden/>
              </w:rPr>
              <w:t>41</w:t>
            </w:r>
            <w:r>
              <w:rPr>
                <w:noProof/>
                <w:webHidden/>
              </w:rPr>
              <w:fldChar w:fldCharType="end"/>
            </w:r>
          </w:hyperlink>
        </w:p>
        <w:p w:rsidR="00C31DCD" w14:paraId="101570F1" w14:textId="4C39A46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4003444" w:history="1">
            <w:r w:rsidRPr="00C13BD8">
              <w:rPr>
                <w:rStyle w:val="Hyperlink"/>
                <w:noProof/>
              </w:rPr>
              <w:t>4.4.6 Consumer Adjusted Premium Rate Development</w:t>
            </w:r>
            <w:r>
              <w:rPr>
                <w:noProof/>
                <w:webHidden/>
              </w:rPr>
              <w:tab/>
            </w:r>
            <w:r>
              <w:rPr>
                <w:noProof/>
                <w:webHidden/>
              </w:rPr>
              <w:fldChar w:fldCharType="begin"/>
            </w:r>
            <w:r>
              <w:rPr>
                <w:noProof/>
                <w:webHidden/>
              </w:rPr>
              <w:instrText xml:space="preserve"> PAGEREF _Toc174003444 \h </w:instrText>
            </w:r>
            <w:r>
              <w:rPr>
                <w:noProof/>
                <w:webHidden/>
              </w:rPr>
              <w:fldChar w:fldCharType="separate"/>
            </w:r>
            <w:r w:rsidR="0033365D">
              <w:rPr>
                <w:noProof/>
                <w:webHidden/>
              </w:rPr>
              <w:t>43</w:t>
            </w:r>
            <w:r>
              <w:rPr>
                <w:noProof/>
                <w:webHidden/>
              </w:rPr>
              <w:fldChar w:fldCharType="end"/>
            </w:r>
          </w:hyperlink>
        </w:p>
        <w:p w:rsidR="00C31DCD" w14:paraId="219A8AC5" w14:textId="0436F6E2">
          <w:pPr>
            <w:pStyle w:val="TOC2"/>
            <w:rPr>
              <w:rFonts w:asciiTheme="minorHAnsi" w:eastAsiaTheme="minorEastAsia" w:hAnsiTheme="minorHAnsi" w:cstheme="minorBidi"/>
              <w:noProof/>
              <w:kern w:val="2"/>
              <w:sz w:val="24"/>
              <w:szCs w:val="24"/>
              <w14:ligatures w14:val="standardContextual"/>
            </w:rPr>
          </w:pPr>
          <w:hyperlink w:anchor="_Toc174003445" w:history="1">
            <w:r w:rsidRPr="00C13BD8">
              <w:rPr>
                <w:rStyle w:val="Hyperlink"/>
                <w:noProof/>
              </w:rPr>
              <w:t>4.5 Projected Loss Ratio</w:t>
            </w:r>
            <w:r>
              <w:rPr>
                <w:noProof/>
                <w:webHidden/>
              </w:rPr>
              <w:tab/>
            </w:r>
            <w:r>
              <w:rPr>
                <w:noProof/>
                <w:webHidden/>
              </w:rPr>
              <w:fldChar w:fldCharType="begin"/>
            </w:r>
            <w:r>
              <w:rPr>
                <w:noProof/>
                <w:webHidden/>
              </w:rPr>
              <w:instrText xml:space="preserve"> PAGEREF _Toc174003445 \h </w:instrText>
            </w:r>
            <w:r>
              <w:rPr>
                <w:noProof/>
                <w:webHidden/>
              </w:rPr>
              <w:fldChar w:fldCharType="separate"/>
            </w:r>
            <w:r w:rsidR="0033365D">
              <w:rPr>
                <w:noProof/>
                <w:webHidden/>
              </w:rPr>
              <w:t>43</w:t>
            </w:r>
            <w:r>
              <w:rPr>
                <w:noProof/>
                <w:webHidden/>
              </w:rPr>
              <w:fldChar w:fldCharType="end"/>
            </w:r>
          </w:hyperlink>
        </w:p>
        <w:p w:rsidR="00C31DCD" w14:paraId="40CA6A67" w14:textId="53279D9D">
          <w:pPr>
            <w:pStyle w:val="TOC2"/>
            <w:rPr>
              <w:rFonts w:asciiTheme="minorHAnsi" w:eastAsiaTheme="minorEastAsia" w:hAnsiTheme="minorHAnsi" w:cstheme="minorBidi"/>
              <w:noProof/>
              <w:kern w:val="2"/>
              <w:sz w:val="24"/>
              <w:szCs w:val="24"/>
              <w14:ligatures w14:val="standardContextual"/>
            </w:rPr>
          </w:pPr>
          <w:hyperlink w:anchor="_Toc174003446" w:history="1">
            <w:r w:rsidRPr="00C13BD8">
              <w:rPr>
                <w:rStyle w:val="Hyperlink"/>
                <w:noProof/>
              </w:rPr>
              <w:t>4.6 Plan Product Information</w:t>
            </w:r>
            <w:r>
              <w:rPr>
                <w:noProof/>
                <w:webHidden/>
              </w:rPr>
              <w:tab/>
            </w:r>
            <w:r>
              <w:rPr>
                <w:noProof/>
                <w:webHidden/>
              </w:rPr>
              <w:fldChar w:fldCharType="begin"/>
            </w:r>
            <w:r>
              <w:rPr>
                <w:noProof/>
                <w:webHidden/>
              </w:rPr>
              <w:instrText xml:space="preserve"> PAGEREF _Toc174003446 \h </w:instrText>
            </w:r>
            <w:r>
              <w:rPr>
                <w:noProof/>
                <w:webHidden/>
              </w:rPr>
              <w:fldChar w:fldCharType="separate"/>
            </w:r>
            <w:r w:rsidR="0033365D">
              <w:rPr>
                <w:noProof/>
                <w:webHidden/>
              </w:rPr>
              <w:t>43</w:t>
            </w:r>
            <w:r>
              <w:rPr>
                <w:noProof/>
                <w:webHidden/>
              </w:rPr>
              <w:fldChar w:fldCharType="end"/>
            </w:r>
          </w:hyperlink>
        </w:p>
        <w:p w:rsidR="00C31DCD" w14:paraId="3060CC28" w14:textId="0DA4FA2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4003447" w:history="1">
            <w:r w:rsidRPr="00C13BD8">
              <w:rPr>
                <w:rStyle w:val="Hyperlink"/>
                <w:noProof/>
              </w:rPr>
              <w:t>4.6.1 AV Metal Values</w:t>
            </w:r>
            <w:r>
              <w:rPr>
                <w:noProof/>
                <w:webHidden/>
              </w:rPr>
              <w:tab/>
            </w:r>
            <w:r>
              <w:rPr>
                <w:noProof/>
                <w:webHidden/>
              </w:rPr>
              <w:fldChar w:fldCharType="begin"/>
            </w:r>
            <w:r>
              <w:rPr>
                <w:noProof/>
                <w:webHidden/>
              </w:rPr>
              <w:instrText xml:space="preserve"> PAGEREF _Toc174003447 \h </w:instrText>
            </w:r>
            <w:r>
              <w:rPr>
                <w:noProof/>
                <w:webHidden/>
              </w:rPr>
              <w:fldChar w:fldCharType="separate"/>
            </w:r>
            <w:r w:rsidR="0033365D">
              <w:rPr>
                <w:noProof/>
                <w:webHidden/>
              </w:rPr>
              <w:t>43</w:t>
            </w:r>
            <w:r>
              <w:rPr>
                <w:noProof/>
                <w:webHidden/>
              </w:rPr>
              <w:fldChar w:fldCharType="end"/>
            </w:r>
          </w:hyperlink>
        </w:p>
        <w:p w:rsidR="00C31DCD" w14:paraId="0C84F31A" w14:textId="288784F5">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4003448" w:history="1">
            <w:r w:rsidRPr="00C13BD8">
              <w:rPr>
                <w:rStyle w:val="Hyperlink"/>
                <w:noProof/>
              </w:rPr>
              <w:t>4.6.2 Membership Projections</w:t>
            </w:r>
            <w:r>
              <w:rPr>
                <w:noProof/>
                <w:webHidden/>
              </w:rPr>
              <w:tab/>
            </w:r>
            <w:r>
              <w:rPr>
                <w:noProof/>
                <w:webHidden/>
              </w:rPr>
              <w:fldChar w:fldCharType="begin"/>
            </w:r>
            <w:r>
              <w:rPr>
                <w:noProof/>
                <w:webHidden/>
              </w:rPr>
              <w:instrText xml:space="preserve"> PAGEREF _Toc174003448 \h </w:instrText>
            </w:r>
            <w:r>
              <w:rPr>
                <w:noProof/>
                <w:webHidden/>
              </w:rPr>
              <w:fldChar w:fldCharType="separate"/>
            </w:r>
            <w:r w:rsidR="0033365D">
              <w:rPr>
                <w:noProof/>
                <w:webHidden/>
              </w:rPr>
              <w:t>43</w:t>
            </w:r>
            <w:r>
              <w:rPr>
                <w:noProof/>
                <w:webHidden/>
              </w:rPr>
              <w:fldChar w:fldCharType="end"/>
            </w:r>
          </w:hyperlink>
        </w:p>
        <w:p w:rsidR="00C31DCD" w14:paraId="636ED461" w14:textId="32AB412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4003449" w:history="1">
            <w:r w:rsidRPr="00C13BD8">
              <w:rPr>
                <w:rStyle w:val="Hyperlink"/>
                <w:noProof/>
              </w:rPr>
              <w:t>4.6.3 Terminated Plans and Products</w:t>
            </w:r>
            <w:r>
              <w:rPr>
                <w:noProof/>
                <w:webHidden/>
              </w:rPr>
              <w:tab/>
            </w:r>
            <w:r>
              <w:rPr>
                <w:noProof/>
                <w:webHidden/>
              </w:rPr>
              <w:fldChar w:fldCharType="begin"/>
            </w:r>
            <w:r>
              <w:rPr>
                <w:noProof/>
                <w:webHidden/>
              </w:rPr>
              <w:instrText xml:space="preserve"> PAGEREF _Toc174003449 \h </w:instrText>
            </w:r>
            <w:r>
              <w:rPr>
                <w:noProof/>
                <w:webHidden/>
              </w:rPr>
              <w:fldChar w:fldCharType="separate"/>
            </w:r>
            <w:r w:rsidR="0033365D">
              <w:rPr>
                <w:noProof/>
                <w:webHidden/>
              </w:rPr>
              <w:t>44</w:t>
            </w:r>
            <w:r>
              <w:rPr>
                <w:noProof/>
                <w:webHidden/>
              </w:rPr>
              <w:fldChar w:fldCharType="end"/>
            </w:r>
          </w:hyperlink>
        </w:p>
        <w:p w:rsidR="00C31DCD" w14:paraId="2DD68653" w14:textId="01F2A85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4003450" w:history="1">
            <w:r w:rsidRPr="00C13BD8">
              <w:rPr>
                <w:rStyle w:val="Hyperlink"/>
                <w:noProof/>
              </w:rPr>
              <w:t>4.6.4 Plan Type</w:t>
            </w:r>
            <w:r>
              <w:rPr>
                <w:noProof/>
                <w:webHidden/>
              </w:rPr>
              <w:tab/>
            </w:r>
            <w:r>
              <w:rPr>
                <w:noProof/>
                <w:webHidden/>
              </w:rPr>
              <w:fldChar w:fldCharType="begin"/>
            </w:r>
            <w:r>
              <w:rPr>
                <w:noProof/>
                <w:webHidden/>
              </w:rPr>
              <w:instrText xml:space="preserve"> PAGEREF _Toc174003450 \h </w:instrText>
            </w:r>
            <w:r>
              <w:rPr>
                <w:noProof/>
                <w:webHidden/>
              </w:rPr>
              <w:fldChar w:fldCharType="separate"/>
            </w:r>
            <w:r w:rsidR="0033365D">
              <w:rPr>
                <w:noProof/>
                <w:webHidden/>
              </w:rPr>
              <w:t>44</w:t>
            </w:r>
            <w:r>
              <w:rPr>
                <w:noProof/>
                <w:webHidden/>
              </w:rPr>
              <w:fldChar w:fldCharType="end"/>
            </w:r>
          </w:hyperlink>
        </w:p>
        <w:p w:rsidR="00C31DCD" w14:paraId="19EBE603" w14:textId="6465E406">
          <w:pPr>
            <w:pStyle w:val="TOC2"/>
            <w:rPr>
              <w:rFonts w:asciiTheme="minorHAnsi" w:eastAsiaTheme="minorEastAsia" w:hAnsiTheme="minorHAnsi" w:cstheme="minorBidi"/>
              <w:noProof/>
              <w:kern w:val="2"/>
              <w:sz w:val="24"/>
              <w:szCs w:val="24"/>
              <w14:ligatures w14:val="standardContextual"/>
            </w:rPr>
          </w:pPr>
          <w:hyperlink w:anchor="_Toc174003451" w:history="1">
            <w:r w:rsidRPr="00C13BD8">
              <w:rPr>
                <w:rStyle w:val="Hyperlink"/>
                <w:noProof/>
              </w:rPr>
              <w:t>4.7 Miscellaneous Instructions</w:t>
            </w:r>
            <w:r>
              <w:rPr>
                <w:noProof/>
                <w:webHidden/>
              </w:rPr>
              <w:tab/>
            </w:r>
            <w:r>
              <w:rPr>
                <w:noProof/>
                <w:webHidden/>
              </w:rPr>
              <w:fldChar w:fldCharType="begin"/>
            </w:r>
            <w:r>
              <w:rPr>
                <w:noProof/>
                <w:webHidden/>
              </w:rPr>
              <w:instrText xml:space="preserve"> PAGEREF _Toc174003451 \h </w:instrText>
            </w:r>
            <w:r>
              <w:rPr>
                <w:noProof/>
                <w:webHidden/>
              </w:rPr>
              <w:fldChar w:fldCharType="separate"/>
            </w:r>
            <w:r w:rsidR="0033365D">
              <w:rPr>
                <w:noProof/>
                <w:webHidden/>
              </w:rPr>
              <w:t>44</w:t>
            </w:r>
            <w:r>
              <w:rPr>
                <w:noProof/>
                <w:webHidden/>
              </w:rPr>
              <w:fldChar w:fldCharType="end"/>
            </w:r>
          </w:hyperlink>
        </w:p>
        <w:p w:rsidR="00C31DCD" w14:paraId="09E3BBFD" w14:textId="278EFF9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4003452" w:history="1">
            <w:r w:rsidRPr="00C13BD8">
              <w:rPr>
                <w:rStyle w:val="Hyperlink"/>
                <w:noProof/>
              </w:rPr>
              <w:t>4.7.1 Effective Rate Review Information (Optional)</w:t>
            </w:r>
            <w:r>
              <w:rPr>
                <w:noProof/>
                <w:webHidden/>
              </w:rPr>
              <w:tab/>
            </w:r>
            <w:r>
              <w:rPr>
                <w:noProof/>
                <w:webHidden/>
              </w:rPr>
              <w:fldChar w:fldCharType="begin"/>
            </w:r>
            <w:r>
              <w:rPr>
                <w:noProof/>
                <w:webHidden/>
              </w:rPr>
              <w:instrText xml:space="preserve"> PAGEREF _Toc174003452 \h </w:instrText>
            </w:r>
            <w:r>
              <w:rPr>
                <w:noProof/>
                <w:webHidden/>
              </w:rPr>
              <w:fldChar w:fldCharType="separate"/>
            </w:r>
            <w:r w:rsidR="0033365D">
              <w:rPr>
                <w:noProof/>
                <w:webHidden/>
              </w:rPr>
              <w:t>44</w:t>
            </w:r>
            <w:r>
              <w:rPr>
                <w:noProof/>
                <w:webHidden/>
              </w:rPr>
              <w:fldChar w:fldCharType="end"/>
            </w:r>
          </w:hyperlink>
        </w:p>
        <w:p w:rsidR="00C31DCD" w14:paraId="00AF838C" w14:textId="70CEAC4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4003453" w:history="1">
            <w:r w:rsidRPr="00C13BD8">
              <w:rPr>
                <w:rStyle w:val="Hyperlink"/>
                <w:noProof/>
              </w:rPr>
              <w:t>4.7.2 Reliance</w:t>
            </w:r>
            <w:r>
              <w:rPr>
                <w:noProof/>
                <w:webHidden/>
              </w:rPr>
              <w:tab/>
            </w:r>
            <w:r>
              <w:rPr>
                <w:noProof/>
                <w:webHidden/>
              </w:rPr>
              <w:fldChar w:fldCharType="begin"/>
            </w:r>
            <w:r>
              <w:rPr>
                <w:noProof/>
                <w:webHidden/>
              </w:rPr>
              <w:instrText xml:space="preserve"> PAGEREF _Toc174003453 \h </w:instrText>
            </w:r>
            <w:r>
              <w:rPr>
                <w:noProof/>
                <w:webHidden/>
              </w:rPr>
              <w:fldChar w:fldCharType="separate"/>
            </w:r>
            <w:r w:rsidR="0033365D">
              <w:rPr>
                <w:noProof/>
                <w:webHidden/>
              </w:rPr>
              <w:t>44</w:t>
            </w:r>
            <w:r>
              <w:rPr>
                <w:noProof/>
                <w:webHidden/>
              </w:rPr>
              <w:fldChar w:fldCharType="end"/>
            </w:r>
          </w:hyperlink>
        </w:p>
        <w:p w:rsidR="00C31DCD" w14:paraId="685652E5" w14:textId="4446A59F">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4003454" w:history="1">
            <w:r w:rsidRPr="00C13BD8">
              <w:rPr>
                <w:rStyle w:val="Hyperlink"/>
                <w:noProof/>
              </w:rPr>
              <w:t>4.7.3 Actuarial Certification</w:t>
            </w:r>
            <w:r>
              <w:rPr>
                <w:noProof/>
                <w:webHidden/>
              </w:rPr>
              <w:tab/>
            </w:r>
            <w:r>
              <w:rPr>
                <w:noProof/>
                <w:webHidden/>
              </w:rPr>
              <w:fldChar w:fldCharType="begin"/>
            </w:r>
            <w:r>
              <w:rPr>
                <w:noProof/>
                <w:webHidden/>
              </w:rPr>
              <w:instrText xml:space="preserve"> PAGEREF _Toc174003454 \h </w:instrText>
            </w:r>
            <w:r>
              <w:rPr>
                <w:noProof/>
                <w:webHidden/>
              </w:rPr>
              <w:fldChar w:fldCharType="separate"/>
            </w:r>
            <w:r w:rsidR="0033365D">
              <w:rPr>
                <w:noProof/>
                <w:webHidden/>
              </w:rPr>
              <w:t>44</w:t>
            </w:r>
            <w:r>
              <w:rPr>
                <w:noProof/>
                <w:webHidden/>
              </w:rPr>
              <w:fldChar w:fldCharType="end"/>
            </w:r>
          </w:hyperlink>
        </w:p>
        <w:p w:rsidR="00C31DCD" w14:paraId="52B70E82" w14:textId="44CF89C0">
          <w:pPr>
            <w:pStyle w:val="TOC1"/>
            <w:rPr>
              <w:rFonts w:asciiTheme="minorHAnsi" w:eastAsiaTheme="minorEastAsia" w:hAnsiTheme="minorHAnsi" w:cstheme="minorBidi"/>
              <w:noProof/>
              <w:kern w:val="2"/>
              <w:sz w:val="24"/>
              <w:szCs w:val="24"/>
              <w14:ligatures w14:val="standardContextual"/>
            </w:rPr>
          </w:pPr>
          <w:hyperlink w:anchor="_Toc174003455" w:history="1">
            <w:r w:rsidRPr="00C13BD8">
              <w:rPr>
                <w:rStyle w:val="Hyperlink"/>
                <w:noProof/>
              </w:rPr>
              <w:t>5.  HIOS Submission</w:t>
            </w:r>
            <w:r>
              <w:rPr>
                <w:noProof/>
                <w:webHidden/>
              </w:rPr>
              <w:tab/>
            </w:r>
            <w:r>
              <w:rPr>
                <w:noProof/>
                <w:webHidden/>
              </w:rPr>
              <w:fldChar w:fldCharType="begin"/>
            </w:r>
            <w:r>
              <w:rPr>
                <w:noProof/>
                <w:webHidden/>
              </w:rPr>
              <w:instrText xml:space="preserve"> PAGEREF _Toc174003455 \h </w:instrText>
            </w:r>
            <w:r>
              <w:rPr>
                <w:noProof/>
                <w:webHidden/>
              </w:rPr>
              <w:fldChar w:fldCharType="separate"/>
            </w:r>
            <w:r w:rsidR="0033365D">
              <w:rPr>
                <w:noProof/>
                <w:webHidden/>
              </w:rPr>
              <w:t>46</w:t>
            </w:r>
            <w:r>
              <w:rPr>
                <w:noProof/>
                <w:webHidden/>
              </w:rPr>
              <w:fldChar w:fldCharType="end"/>
            </w:r>
          </w:hyperlink>
        </w:p>
        <w:p w:rsidR="00C31DCD" w14:paraId="53B46512" w14:textId="1D0DA55E">
          <w:pPr>
            <w:pStyle w:val="TOC2"/>
            <w:rPr>
              <w:rFonts w:asciiTheme="minorHAnsi" w:eastAsiaTheme="minorEastAsia" w:hAnsiTheme="minorHAnsi" w:cstheme="minorBidi"/>
              <w:noProof/>
              <w:kern w:val="2"/>
              <w:sz w:val="24"/>
              <w:szCs w:val="24"/>
              <w14:ligatures w14:val="standardContextual"/>
            </w:rPr>
          </w:pPr>
          <w:hyperlink w:anchor="_Toc174003456" w:history="1">
            <w:r w:rsidRPr="00C13BD8">
              <w:rPr>
                <w:rStyle w:val="Hyperlink"/>
                <w:noProof/>
              </w:rPr>
              <w:t>5.1 HIOS Submission Statuses</w:t>
            </w:r>
            <w:r>
              <w:rPr>
                <w:noProof/>
                <w:webHidden/>
              </w:rPr>
              <w:tab/>
            </w:r>
            <w:r>
              <w:rPr>
                <w:noProof/>
                <w:webHidden/>
              </w:rPr>
              <w:fldChar w:fldCharType="begin"/>
            </w:r>
            <w:r>
              <w:rPr>
                <w:noProof/>
                <w:webHidden/>
              </w:rPr>
              <w:instrText xml:space="preserve"> PAGEREF _Toc174003456 \h </w:instrText>
            </w:r>
            <w:r>
              <w:rPr>
                <w:noProof/>
                <w:webHidden/>
              </w:rPr>
              <w:fldChar w:fldCharType="separate"/>
            </w:r>
            <w:r w:rsidR="0033365D">
              <w:rPr>
                <w:noProof/>
                <w:webHidden/>
              </w:rPr>
              <w:t>46</w:t>
            </w:r>
            <w:r>
              <w:rPr>
                <w:noProof/>
                <w:webHidden/>
              </w:rPr>
              <w:fldChar w:fldCharType="end"/>
            </w:r>
          </w:hyperlink>
        </w:p>
        <w:p w:rsidR="00C31DCD" w14:paraId="4A964732" w14:textId="6B5CFC5F">
          <w:pPr>
            <w:pStyle w:val="TOC2"/>
            <w:rPr>
              <w:rFonts w:asciiTheme="minorHAnsi" w:eastAsiaTheme="minorEastAsia" w:hAnsiTheme="minorHAnsi" w:cstheme="minorBidi"/>
              <w:noProof/>
              <w:kern w:val="2"/>
              <w:sz w:val="24"/>
              <w:szCs w:val="24"/>
              <w14:ligatures w14:val="standardContextual"/>
            </w:rPr>
          </w:pPr>
          <w:hyperlink w:anchor="_Toc174003457" w:history="1">
            <w:r w:rsidRPr="00C13BD8">
              <w:rPr>
                <w:rStyle w:val="Hyperlink"/>
                <w:noProof/>
              </w:rPr>
              <w:t>5.2 Unlocking a Submission</w:t>
            </w:r>
            <w:r>
              <w:rPr>
                <w:noProof/>
                <w:webHidden/>
              </w:rPr>
              <w:tab/>
            </w:r>
            <w:r>
              <w:rPr>
                <w:noProof/>
                <w:webHidden/>
              </w:rPr>
              <w:fldChar w:fldCharType="begin"/>
            </w:r>
            <w:r>
              <w:rPr>
                <w:noProof/>
                <w:webHidden/>
              </w:rPr>
              <w:instrText xml:space="preserve"> PAGEREF _Toc174003457 \h </w:instrText>
            </w:r>
            <w:r>
              <w:rPr>
                <w:noProof/>
                <w:webHidden/>
              </w:rPr>
              <w:fldChar w:fldCharType="separate"/>
            </w:r>
            <w:r w:rsidR="0033365D">
              <w:rPr>
                <w:noProof/>
                <w:webHidden/>
              </w:rPr>
              <w:t>51</w:t>
            </w:r>
            <w:r>
              <w:rPr>
                <w:noProof/>
                <w:webHidden/>
              </w:rPr>
              <w:fldChar w:fldCharType="end"/>
            </w:r>
          </w:hyperlink>
        </w:p>
        <w:p w:rsidR="00C31DCD" w14:paraId="023612F9" w14:textId="73E652F4">
          <w:pPr>
            <w:pStyle w:val="TOC1"/>
            <w:rPr>
              <w:rFonts w:asciiTheme="minorHAnsi" w:eastAsiaTheme="minorEastAsia" w:hAnsiTheme="minorHAnsi" w:cstheme="minorBidi"/>
              <w:noProof/>
              <w:kern w:val="2"/>
              <w:sz w:val="24"/>
              <w:szCs w:val="24"/>
              <w14:ligatures w14:val="standardContextual"/>
            </w:rPr>
          </w:pPr>
          <w:hyperlink w:anchor="_Toc174003458" w:history="1">
            <w:r w:rsidRPr="00C13BD8">
              <w:rPr>
                <w:rStyle w:val="Hyperlink"/>
                <w:noProof/>
              </w:rPr>
              <w:t>6.  SERFF Submission</w:t>
            </w:r>
            <w:r>
              <w:rPr>
                <w:noProof/>
                <w:webHidden/>
              </w:rPr>
              <w:tab/>
            </w:r>
            <w:r>
              <w:rPr>
                <w:noProof/>
                <w:webHidden/>
              </w:rPr>
              <w:fldChar w:fldCharType="begin"/>
            </w:r>
            <w:r>
              <w:rPr>
                <w:noProof/>
                <w:webHidden/>
              </w:rPr>
              <w:instrText xml:space="preserve"> PAGEREF _Toc174003458 \h </w:instrText>
            </w:r>
            <w:r>
              <w:rPr>
                <w:noProof/>
                <w:webHidden/>
              </w:rPr>
              <w:fldChar w:fldCharType="separate"/>
            </w:r>
            <w:r w:rsidR="0033365D">
              <w:rPr>
                <w:noProof/>
                <w:webHidden/>
              </w:rPr>
              <w:t>52</w:t>
            </w:r>
            <w:r>
              <w:rPr>
                <w:noProof/>
                <w:webHidden/>
              </w:rPr>
              <w:fldChar w:fldCharType="end"/>
            </w:r>
          </w:hyperlink>
        </w:p>
        <w:p w:rsidR="00302F8D" w:rsidRPr="00EE3B6B" w:rsidP="006D1FD2" w14:paraId="0F05049D" w14:textId="6F828AB5">
          <w:pPr>
            <w:keepLines/>
            <w:spacing w:after="120" w:line="276" w:lineRule="auto"/>
            <w:rPr>
              <w:rFonts w:ascii="Times New Roman" w:hAnsi="Times New Roman" w:cs="Times New Roman"/>
            </w:rPr>
          </w:pPr>
          <w:r w:rsidRPr="00EE3B6B">
            <w:rPr>
              <w:rFonts w:ascii="Times New Roman" w:hAnsi="Times New Roman" w:cs="Times New Roman"/>
              <w:b/>
              <w:bCs/>
              <w:noProof/>
            </w:rPr>
            <w:fldChar w:fldCharType="end"/>
          </w:r>
        </w:p>
      </w:sdtContent>
    </w:sdt>
    <w:p w:rsidR="00302F8D" w:rsidRPr="00EE3B6B" w:rsidP="006D1FD2" w14:paraId="4E8EBB19" w14:textId="77777777">
      <w:pPr>
        <w:keepLines/>
        <w:widowControl/>
        <w:autoSpaceDE/>
        <w:autoSpaceDN/>
        <w:spacing w:after="120" w:line="276" w:lineRule="auto"/>
        <w:rPr>
          <w:rFonts w:ascii="Times New Roman" w:hAnsi="Times New Roman" w:eastAsiaTheme="majorEastAsia" w:cs="Times New Roman"/>
          <w:b/>
          <w:color w:val="2E74B5" w:themeColor="accent1" w:themeShade="BF"/>
        </w:rPr>
      </w:pPr>
      <w:r w:rsidRPr="00EE3B6B">
        <w:rPr>
          <w:rFonts w:ascii="Times New Roman" w:hAnsi="Times New Roman" w:eastAsiaTheme="majorEastAsia" w:cs="Times New Roman"/>
          <w:b/>
          <w:color w:val="2E74B5" w:themeColor="accent1" w:themeShade="BF"/>
        </w:rPr>
        <w:br w:type="page"/>
      </w:r>
    </w:p>
    <w:p w:rsidR="00944E87" w:rsidRPr="00FA6F2C" w:rsidP="00FA6F2C" w14:paraId="54AC9389" w14:textId="6037F870">
      <w:pPr>
        <w:pStyle w:val="Heading1"/>
      </w:pPr>
      <w:bookmarkStart w:id="0" w:name="_Toc174003416"/>
      <w:r w:rsidRPr="00FA6F2C">
        <w:t>1</w:t>
      </w:r>
      <w:r w:rsidRPr="00FA6F2C" w:rsidR="001E38B7">
        <w:t>.</w:t>
      </w:r>
      <w:r w:rsidRPr="00FA6F2C">
        <w:t xml:space="preserve">  Overview</w:t>
      </w:r>
      <w:bookmarkEnd w:id="0"/>
    </w:p>
    <w:p w:rsidR="001736F6" w:rsidRPr="00FA6F2C" w:rsidP="00FA6F2C" w14:paraId="7BA4C65B" w14:textId="77777777">
      <w:pPr>
        <w:pStyle w:val="Heading2"/>
      </w:pPr>
      <w:bookmarkStart w:id="1" w:name="_Toc174003417"/>
      <w:r w:rsidRPr="00FA6F2C">
        <w:t>Purpose</w:t>
      </w:r>
      <w:bookmarkEnd w:id="1"/>
    </w:p>
    <w:p w:rsidR="001736F6" w:rsidRPr="00EE3B6B" w:rsidP="00EE3B6B" w14:paraId="7B5A9E38" w14:textId="22C74CAD">
      <w:pPr>
        <w:pStyle w:val="BodyText"/>
        <w:keepLines/>
        <w:spacing w:after="120" w:line="276" w:lineRule="auto"/>
        <w:rPr>
          <w:rFonts w:ascii="Times New Roman" w:hAnsi="Times New Roman" w:cs="Times New Roman"/>
        </w:rPr>
      </w:pPr>
      <w:r w:rsidRPr="00EE3B6B">
        <w:rPr>
          <w:rFonts w:ascii="Times New Roman" w:hAnsi="Times New Roman" w:cs="Times New Roman"/>
        </w:rPr>
        <w:t>Section 2794 of the Public Health Service Act (PHS</w:t>
      </w:r>
      <w:r w:rsidRPr="00EE3B6B" w:rsidR="002B5CBA">
        <w:rPr>
          <w:rFonts w:ascii="Times New Roman" w:hAnsi="Times New Roman" w:cs="Times New Roman"/>
        </w:rPr>
        <w:t xml:space="preserve"> Act</w:t>
      </w:r>
      <w:r w:rsidRPr="00EE3B6B">
        <w:rPr>
          <w:rFonts w:ascii="Times New Roman" w:hAnsi="Times New Roman" w:cs="Times New Roman"/>
        </w:rPr>
        <w:t xml:space="preserve">) and the implementing regulations, 45 CFR </w:t>
      </w:r>
      <w:r w:rsidRPr="00EE3B6B" w:rsidR="00185C31">
        <w:rPr>
          <w:rFonts w:ascii="Times New Roman" w:hAnsi="Times New Roman" w:cs="Times New Roman"/>
        </w:rPr>
        <w:t xml:space="preserve">Part </w:t>
      </w:r>
      <w:r w:rsidRPr="00EE3B6B">
        <w:rPr>
          <w:rFonts w:ascii="Times New Roman" w:hAnsi="Times New Roman" w:cs="Times New Roman"/>
        </w:rPr>
        <w:t xml:space="preserve">154, establish requirements for issuers offering non-grandfathered health insurance coverage in the small group and/or individual markets to submit rate filing information on rate increases to the Centers for Medicare &amp; Medicaid Services (CMS). Rate Filing Justification submissions must provide sufficient information for </w:t>
      </w:r>
      <w:r w:rsidRPr="00EE3B6B" w:rsidR="00B93349">
        <w:rPr>
          <w:rFonts w:ascii="Times New Roman" w:hAnsi="Times New Roman" w:cs="Times New Roman"/>
        </w:rPr>
        <w:t>s</w:t>
      </w:r>
      <w:r w:rsidRPr="00EE3B6B">
        <w:rPr>
          <w:rFonts w:ascii="Times New Roman" w:hAnsi="Times New Roman" w:cs="Times New Roman"/>
        </w:rPr>
        <w:t xml:space="preserve">tate or </w:t>
      </w:r>
      <w:r w:rsidRPr="00EE3B6B" w:rsidR="00B93349">
        <w:rPr>
          <w:rFonts w:ascii="Times New Roman" w:hAnsi="Times New Roman" w:cs="Times New Roman"/>
        </w:rPr>
        <w:t>f</w:t>
      </w:r>
      <w:r w:rsidRPr="00EE3B6B">
        <w:rPr>
          <w:rFonts w:ascii="Times New Roman" w:hAnsi="Times New Roman" w:cs="Times New Roman"/>
        </w:rPr>
        <w:t xml:space="preserve">ederal regulators to review rate filings for compliance with 45 CFR 154.215, 154.225, 147.102, and 156.80. </w:t>
      </w:r>
    </w:p>
    <w:p w:rsidR="001736F6" w:rsidRPr="00EE3B6B" w:rsidP="006D1FD2" w14:paraId="5E74D2A3" w14:textId="5CED65FE">
      <w:pPr>
        <w:pStyle w:val="BodyText"/>
        <w:keepLines/>
        <w:spacing w:after="120" w:line="276" w:lineRule="auto"/>
        <w:ind w:right="432"/>
        <w:rPr>
          <w:rFonts w:ascii="Times New Roman" w:hAnsi="Times New Roman" w:cs="Times New Roman"/>
        </w:rPr>
      </w:pPr>
      <w:r w:rsidRPr="00EE3B6B">
        <w:rPr>
          <w:rFonts w:ascii="Times New Roman" w:hAnsi="Times New Roman" w:cs="Times New Roman"/>
        </w:rPr>
        <w:t>A</w:t>
      </w:r>
      <w:r w:rsidRPr="00EE3B6B" w:rsidR="00922545">
        <w:rPr>
          <w:rFonts w:ascii="Times New Roman" w:hAnsi="Times New Roman" w:cs="Times New Roman"/>
        </w:rPr>
        <w:t xml:space="preserve"> </w:t>
      </w:r>
      <w:r w:rsidRPr="00EE3B6B">
        <w:rPr>
          <w:rFonts w:ascii="Times New Roman" w:hAnsi="Times New Roman" w:cs="Times New Roman"/>
        </w:rPr>
        <w:t>Rate Filing Justification (RFJ) for single risk pool plans</w:t>
      </w:r>
      <w:r>
        <w:rPr>
          <w:rStyle w:val="FootnoteReference"/>
          <w:rFonts w:ascii="Times New Roman" w:hAnsi="Times New Roman" w:cs="Times New Roman"/>
        </w:rPr>
        <w:footnoteReference w:id="3"/>
      </w:r>
      <w:r w:rsidRPr="00EE3B6B">
        <w:rPr>
          <w:rFonts w:ascii="Times New Roman" w:hAnsi="Times New Roman" w:cs="Times New Roman"/>
        </w:rPr>
        <w:t xml:space="preserve"> consists of the following three parts:</w:t>
      </w:r>
    </w:p>
    <w:p w:rsidR="001736F6" w:rsidRPr="00EE3B6B" w:rsidP="00EE3B6B" w14:paraId="42C1A0A4" w14:textId="1A6E975E">
      <w:pPr>
        <w:pStyle w:val="ListParagraph"/>
        <w:keepLines/>
        <w:numPr>
          <w:ilvl w:val="2"/>
          <w:numId w:val="2"/>
        </w:numPr>
        <w:tabs>
          <w:tab w:val="left" w:pos="720"/>
        </w:tabs>
        <w:spacing w:after="120" w:line="276" w:lineRule="auto"/>
        <w:ind w:left="720" w:right="230" w:hanging="360"/>
        <w:contextualSpacing w:val="0"/>
        <w:rPr>
          <w:rFonts w:ascii="Times New Roman" w:hAnsi="Times New Roman" w:cs="Times New Roman"/>
        </w:rPr>
      </w:pPr>
      <w:r w:rsidRPr="00EE3B6B">
        <w:rPr>
          <w:rFonts w:ascii="Times New Roman" w:hAnsi="Times New Roman" w:cs="Times New Roman"/>
          <w:b/>
        </w:rPr>
        <w:t xml:space="preserve">Part I </w:t>
      </w:r>
      <w:r w:rsidRPr="00EE3B6B">
        <w:rPr>
          <w:rFonts w:ascii="Times New Roman" w:hAnsi="Times New Roman" w:cs="Times New Roman"/>
        </w:rPr>
        <w:t>- Unified Rate Review Template (URRT): The URRT is required for all single risk pool plans in the individual</w:t>
      </w:r>
      <w:r w:rsidRPr="00EE3B6B" w:rsidR="00786195">
        <w:rPr>
          <w:rFonts w:ascii="Times New Roman" w:hAnsi="Times New Roman" w:cs="Times New Roman"/>
        </w:rPr>
        <w:t>,</w:t>
      </w:r>
      <w:r w:rsidRPr="00EE3B6B">
        <w:rPr>
          <w:rFonts w:ascii="Times New Roman" w:hAnsi="Times New Roman" w:cs="Times New Roman"/>
        </w:rPr>
        <w:t xml:space="preserve"> small group</w:t>
      </w:r>
      <w:r w:rsidRPr="00EE3B6B" w:rsidR="0001281E">
        <w:rPr>
          <w:rFonts w:ascii="Times New Roman" w:hAnsi="Times New Roman" w:cs="Times New Roman"/>
        </w:rPr>
        <w:t>, and combined</w:t>
      </w:r>
      <w:r w:rsidRPr="00EE3B6B">
        <w:rPr>
          <w:rFonts w:ascii="Times New Roman" w:hAnsi="Times New Roman" w:cs="Times New Roman"/>
        </w:rPr>
        <w:t xml:space="preserve"> markets. This includes single risk pool plans that experience no rate changes, rate decreases, as well as new single risk pool plans. It is intended to capture information needed to monitor premium increases of health insurance coverage offered through and outside an Exchange and ensure compliance with the single risk pool methodology, including allowable market level </w:t>
      </w:r>
      <w:r w:rsidRPr="00EE3B6B" w:rsidR="00C66220">
        <w:rPr>
          <w:rFonts w:ascii="Times New Roman" w:hAnsi="Times New Roman" w:cs="Times New Roman"/>
        </w:rPr>
        <w:t>Index Rate</w:t>
      </w:r>
      <w:r w:rsidRPr="00EE3B6B">
        <w:rPr>
          <w:rFonts w:ascii="Times New Roman" w:hAnsi="Times New Roman" w:cs="Times New Roman"/>
        </w:rPr>
        <w:t xml:space="preserve"> adjustments to reflect risk adjustment payments and charges, and other </w:t>
      </w:r>
      <w:r w:rsidRPr="00EE3B6B" w:rsidR="00DF2F3B">
        <w:rPr>
          <w:rFonts w:ascii="Times New Roman" w:hAnsi="Times New Roman" w:cs="Times New Roman"/>
        </w:rPr>
        <w:t>f</w:t>
      </w:r>
      <w:r w:rsidRPr="00EE3B6B">
        <w:rPr>
          <w:rFonts w:ascii="Times New Roman" w:hAnsi="Times New Roman" w:cs="Times New Roman"/>
        </w:rPr>
        <w:t>ederal rating requirements.</w:t>
      </w:r>
    </w:p>
    <w:p w:rsidR="001736F6" w:rsidRPr="00EE3B6B" w:rsidP="00EE3B6B" w14:paraId="193C7CDC" w14:textId="4263D0DA">
      <w:pPr>
        <w:pStyle w:val="ListParagraph"/>
        <w:keepLines/>
        <w:numPr>
          <w:ilvl w:val="2"/>
          <w:numId w:val="2"/>
        </w:numPr>
        <w:tabs>
          <w:tab w:val="left" w:pos="720"/>
        </w:tabs>
        <w:spacing w:after="120" w:line="276" w:lineRule="auto"/>
        <w:ind w:left="720" w:right="259" w:hanging="360"/>
        <w:contextualSpacing w:val="0"/>
        <w:rPr>
          <w:rFonts w:ascii="Times New Roman" w:hAnsi="Times New Roman" w:cs="Times New Roman"/>
        </w:rPr>
      </w:pPr>
      <w:r w:rsidRPr="00EE3B6B">
        <w:rPr>
          <w:rFonts w:ascii="Times New Roman" w:hAnsi="Times New Roman" w:cs="Times New Roman"/>
          <w:b/>
        </w:rPr>
        <w:t xml:space="preserve">Part II </w:t>
      </w:r>
      <w:r w:rsidRPr="00EE3B6B">
        <w:rPr>
          <w:rFonts w:ascii="Times New Roman" w:hAnsi="Times New Roman" w:cs="Times New Roman"/>
        </w:rPr>
        <w:t>- Written Description Justifying the Rate Increase</w:t>
      </w:r>
      <w:r w:rsidRPr="00EE3B6B" w:rsidR="007317DC">
        <w:rPr>
          <w:rFonts w:ascii="Times New Roman" w:hAnsi="Times New Roman" w:cs="Times New Roman"/>
        </w:rPr>
        <w:t xml:space="preserve"> (Consumer Justification Narrative)</w:t>
      </w:r>
      <w:r w:rsidRPr="00EE3B6B">
        <w:rPr>
          <w:rFonts w:ascii="Times New Roman" w:hAnsi="Times New Roman" w:cs="Times New Roman"/>
        </w:rPr>
        <w:t>: Part II is required only for rate increases in single risk pool products that are subject to review (i.e.</w:t>
      </w:r>
      <w:r w:rsidRPr="00EE3B6B" w:rsidR="006B1246">
        <w:rPr>
          <w:rFonts w:ascii="Times New Roman" w:hAnsi="Times New Roman" w:cs="Times New Roman"/>
        </w:rPr>
        <w:t>,</w:t>
      </w:r>
      <w:r w:rsidRPr="00EE3B6B">
        <w:rPr>
          <w:rFonts w:ascii="Times New Roman" w:hAnsi="Times New Roman" w:cs="Times New Roman"/>
        </w:rPr>
        <w:t xml:space="preserve"> a plan within the product has a rate increase of 1</w:t>
      </w:r>
      <w:r w:rsidRPr="00EE3B6B" w:rsidR="0016481A">
        <w:rPr>
          <w:rFonts w:ascii="Times New Roman" w:hAnsi="Times New Roman" w:cs="Times New Roman"/>
        </w:rPr>
        <w:t>5</w:t>
      </w:r>
      <w:r w:rsidRPr="00EE3B6B">
        <w:rPr>
          <w:rFonts w:ascii="Times New Roman" w:hAnsi="Times New Roman" w:cs="Times New Roman"/>
        </w:rPr>
        <w:t>% or greater). Part II is a consumer-friendly narrative that provides the justification for the rate increase, describes the relevant Part I data, the assumptions used to develop the rate increase, and an explanation of the most significant factors causing the rate increase.</w:t>
      </w:r>
    </w:p>
    <w:p w:rsidR="006D1FD2" w:rsidRPr="00EE3B6B" w:rsidP="00EE3B6B" w14:paraId="41D32B0D" w14:textId="5EB09854">
      <w:pPr>
        <w:pStyle w:val="ListParagraph"/>
        <w:keepLines/>
        <w:numPr>
          <w:ilvl w:val="2"/>
          <w:numId w:val="2"/>
        </w:numPr>
        <w:tabs>
          <w:tab w:val="left" w:pos="720"/>
        </w:tabs>
        <w:spacing w:after="120" w:line="276" w:lineRule="auto"/>
        <w:ind w:left="720" w:right="864" w:hanging="360"/>
        <w:contextualSpacing w:val="0"/>
        <w:rPr>
          <w:rFonts w:ascii="Times New Roman" w:hAnsi="Times New Roman" w:cs="Times New Roman"/>
        </w:rPr>
      </w:pPr>
      <w:r w:rsidRPr="00EE3B6B">
        <w:rPr>
          <w:rFonts w:ascii="Times New Roman" w:hAnsi="Times New Roman" w:cs="Times New Roman"/>
          <w:b/>
        </w:rPr>
        <w:t xml:space="preserve">Part III </w:t>
      </w:r>
      <w:r w:rsidRPr="00EE3B6B">
        <w:rPr>
          <w:rFonts w:ascii="Times New Roman" w:hAnsi="Times New Roman" w:cs="Times New Roman"/>
        </w:rPr>
        <w:t xml:space="preserve">- Rating Filing Documentation (Actuarial Memorandum): Part III is required for any rate increase in a single risk pool plan. It is also required for any rate filing containing Qualified Health Plans (QHPs) or whenever a </w:t>
      </w:r>
      <w:r w:rsidRPr="00EE3B6B" w:rsidR="00B93349">
        <w:rPr>
          <w:rFonts w:ascii="Times New Roman" w:hAnsi="Times New Roman" w:cs="Times New Roman"/>
        </w:rPr>
        <w:t>s</w:t>
      </w:r>
      <w:r w:rsidRPr="00EE3B6B">
        <w:rPr>
          <w:rFonts w:ascii="Times New Roman" w:hAnsi="Times New Roman" w:cs="Times New Roman"/>
        </w:rPr>
        <w:t xml:space="preserve">tate requires it to be submitted. </w:t>
      </w:r>
      <w:r w:rsidRPr="00EE3B6B" w:rsidR="006C01ED">
        <w:rPr>
          <w:rFonts w:ascii="Times New Roman" w:hAnsi="Times New Roman" w:cs="Times New Roman"/>
        </w:rPr>
        <w:t xml:space="preserve">It is required for </w:t>
      </w:r>
      <w:r w:rsidRPr="00EE3B6B" w:rsidR="003E59E8">
        <w:rPr>
          <w:rFonts w:ascii="Times New Roman" w:hAnsi="Times New Roman" w:cs="Times New Roman"/>
        </w:rPr>
        <w:t xml:space="preserve">all </w:t>
      </w:r>
      <w:r w:rsidRPr="00EE3B6B" w:rsidR="004447EC">
        <w:rPr>
          <w:rFonts w:ascii="Times New Roman" w:hAnsi="Times New Roman" w:cs="Times New Roman"/>
        </w:rPr>
        <w:t xml:space="preserve">plans in </w:t>
      </w:r>
      <w:r w:rsidRPr="00EE3B6B" w:rsidR="00B93349">
        <w:rPr>
          <w:rFonts w:ascii="Times New Roman" w:hAnsi="Times New Roman" w:cs="Times New Roman"/>
        </w:rPr>
        <w:t>s</w:t>
      </w:r>
      <w:r w:rsidRPr="00EE3B6B" w:rsidR="003E59E8">
        <w:rPr>
          <w:rFonts w:ascii="Times New Roman" w:hAnsi="Times New Roman" w:cs="Times New Roman"/>
        </w:rPr>
        <w:t xml:space="preserve">tates that do not have </w:t>
      </w:r>
      <w:r w:rsidRPr="00EE3B6B" w:rsidR="006B1246">
        <w:rPr>
          <w:rFonts w:ascii="Times New Roman" w:hAnsi="Times New Roman" w:cs="Times New Roman"/>
        </w:rPr>
        <w:t xml:space="preserve">an </w:t>
      </w:r>
      <w:r w:rsidRPr="00EE3B6B" w:rsidR="003E59E8">
        <w:rPr>
          <w:rFonts w:ascii="Times New Roman" w:hAnsi="Times New Roman" w:cs="Times New Roman"/>
        </w:rPr>
        <w:t>Effective Rate Review Program</w:t>
      </w:r>
      <w:r>
        <w:rPr>
          <w:rStyle w:val="FootnoteReference"/>
          <w:rFonts w:ascii="Times New Roman" w:hAnsi="Times New Roman" w:cs="Times New Roman"/>
        </w:rPr>
        <w:footnoteReference w:id="4"/>
      </w:r>
      <w:r w:rsidRPr="00EE3B6B" w:rsidR="003E59E8">
        <w:rPr>
          <w:rFonts w:ascii="Times New Roman" w:hAnsi="Times New Roman" w:cs="Times New Roman"/>
        </w:rPr>
        <w:t xml:space="preserve"> and </w:t>
      </w:r>
      <w:r w:rsidRPr="00EE3B6B" w:rsidR="004447EC">
        <w:rPr>
          <w:rFonts w:ascii="Times New Roman" w:hAnsi="Times New Roman" w:cs="Times New Roman"/>
        </w:rPr>
        <w:t xml:space="preserve">for which </w:t>
      </w:r>
      <w:r w:rsidRPr="00EE3B6B" w:rsidR="003E59E8">
        <w:rPr>
          <w:rFonts w:ascii="Times New Roman" w:hAnsi="Times New Roman" w:cs="Times New Roman"/>
        </w:rPr>
        <w:t xml:space="preserve">CMS is responsible for reviewing the rate filing. </w:t>
      </w:r>
      <w:r w:rsidRPr="00EE3B6B">
        <w:rPr>
          <w:rFonts w:ascii="Times New Roman" w:hAnsi="Times New Roman" w:cs="Times New Roman"/>
        </w:rPr>
        <w:t>Part III is a</w:t>
      </w:r>
      <w:r w:rsidRPr="00EE3B6B" w:rsidR="00D14085">
        <w:rPr>
          <w:rFonts w:ascii="Times New Roman" w:hAnsi="Times New Roman" w:cs="Times New Roman"/>
        </w:rPr>
        <w:t xml:space="preserve"> </w:t>
      </w:r>
      <w:r w:rsidRPr="00EE3B6B" w:rsidR="007317DC">
        <w:rPr>
          <w:rFonts w:ascii="Times New Roman" w:hAnsi="Times New Roman" w:cs="Times New Roman"/>
        </w:rPr>
        <w:t>m</w:t>
      </w:r>
      <w:r w:rsidRPr="00EE3B6B">
        <w:rPr>
          <w:rFonts w:ascii="Times New Roman" w:hAnsi="Times New Roman" w:cs="Times New Roman"/>
        </w:rPr>
        <w:t>emorandum that includes the actuarial reasoning and assumptions, justifications</w:t>
      </w:r>
      <w:r w:rsidRPr="00EE3B6B" w:rsidR="006B1246">
        <w:rPr>
          <w:rFonts w:ascii="Times New Roman" w:hAnsi="Times New Roman" w:cs="Times New Roman"/>
        </w:rPr>
        <w:t>,</w:t>
      </w:r>
      <w:r w:rsidRPr="00EE3B6B">
        <w:rPr>
          <w:rFonts w:ascii="Times New Roman" w:hAnsi="Times New Roman" w:cs="Times New Roman"/>
        </w:rPr>
        <w:t xml:space="preserve"> and methodologies that support the entries in the URRT.</w:t>
      </w:r>
    </w:p>
    <w:p w:rsidR="002B5CBA" w:rsidRPr="00EE3B6B" w:rsidP="006D1FD2" w14:paraId="15C8978D" w14:textId="181FFD75">
      <w:pPr>
        <w:widowControl/>
        <w:autoSpaceDE/>
        <w:autoSpaceDN/>
        <w:spacing w:after="160" w:line="259" w:lineRule="auto"/>
        <w:rPr>
          <w:rFonts w:ascii="Times New Roman" w:hAnsi="Times New Roman" w:cs="Times New Roman"/>
        </w:rPr>
      </w:pPr>
      <w:r w:rsidRPr="00EE3B6B">
        <w:rPr>
          <w:rFonts w:ascii="Times New Roman" w:hAnsi="Times New Roman" w:cs="Times New Roman"/>
        </w:rPr>
        <w:t xml:space="preserve">For questions regarding submission of rate filings, please contact the rate review </w:t>
      </w:r>
      <w:r w:rsidRPr="00EE3B6B" w:rsidR="00430A37">
        <w:rPr>
          <w:rFonts w:ascii="Times New Roman" w:hAnsi="Times New Roman" w:cs="Times New Roman"/>
        </w:rPr>
        <w:t>inbox at ratereview@cms.hhs.gov</w:t>
      </w:r>
      <w:r w:rsidR="000950CD">
        <w:rPr>
          <w:rFonts w:ascii="Times New Roman" w:hAnsi="Times New Roman" w:cs="Times New Roman"/>
        </w:rPr>
        <w:t>.</w:t>
      </w:r>
    </w:p>
    <w:p w:rsidR="00FB4C4E" w:rsidRPr="00EE3B6B" w:rsidP="006D1FD2" w14:paraId="56D90563" w14:textId="4B6AADFA">
      <w:pPr>
        <w:widowControl/>
        <w:autoSpaceDE/>
        <w:autoSpaceDN/>
        <w:spacing w:after="160" w:line="259" w:lineRule="auto"/>
        <w:rPr>
          <w:rFonts w:ascii="Times New Roman" w:hAnsi="Times New Roman" w:cs="Times New Roman"/>
        </w:rPr>
      </w:pPr>
      <w:r w:rsidRPr="00EE3B6B">
        <w:rPr>
          <w:rFonts w:ascii="Times New Roman" w:hAnsi="Times New Roman" w:cs="Times New Roman"/>
        </w:rPr>
        <w:br w:type="page"/>
      </w:r>
    </w:p>
    <w:p w:rsidR="001736F6" w:rsidRPr="00FA6F2C" w:rsidP="00FA6F2C" w14:paraId="4D14238D" w14:textId="24BDC1C7">
      <w:pPr>
        <w:pStyle w:val="Heading2"/>
      </w:pPr>
      <w:bookmarkStart w:id="2" w:name="_Toc131110214"/>
      <w:bookmarkStart w:id="3" w:name="_Toc131110215"/>
      <w:bookmarkStart w:id="4" w:name="_Toc131110216"/>
      <w:bookmarkStart w:id="5" w:name="_Toc34754792"/>
      <w:bookmarkStart w:id="6" w:name="_Toc531192321"/>
      <w:bookmarkStart w:id="7" w:name="_Toc531192954"/>
      <w:bookmarkStart w:id="8" w:name="_Toc531192322"/>
      <w:bookmarkStart w:id="9" w:name="_Toc531192955"/>
      <w:bookmarkStart w:id="10" w:name="_Toc531192323"/>
      <w:bookmarkStart w:id="11" w:name="_Toc531192956"/>
      <w:bookmarkStart w:id="12" w:name="_Toc531192324"/>
      <w:bookmarkStart w:id="13" w:name="_Toc531192957"/>
      <w:bookmarkStart w:id="14" w:name="_Toc531192325"/>
      <w:bookmarkStart w:id="15" w:name="_Toc531192958"/>
      <w:bookmarkStart w:id="16" w:name="_Toc531192326"/>
      <w:bookmarkStart w:id="17" w:name="_Toc531192959"/>
      <w:bookmarkStart w:id="18" w:name="_Toc531192327"/>
      <w:bookmarkStart w:id="19" w:name="_Toc531192960"/>
      <w:bookmarkStart w:id="20" w:name="_Toc174003418"/>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Pr="00FA6F2C">
        <w:t>Public Disclosure</w:t>
      </w:r>
      <w:bookmarkEnd w:id="20"/>
    </w:p>
    <w:p w:rsidR="00502F07" w:rsidRPr="00EE3B6B" w:rsidP="006D1FD2" w14:paraId="18A4C58C" w14:textId="06063DE4">
      <w:pPr>
        <w:pStyle w:val="BodyText"/>
        <w:keepLines/>
        <w:spacing w:after="120" w:line="276" w:lineRule="auto"/>
        <w:ind w:right="115"/>
        <w:rPr>
          <w:rFonts w:ascii="Times New Roman" w:hAnsi="Times New Roman" w:cs="Times New Roman"/>
        </w:rPr>
      </w:pPr>
      <w:r w:rsidRPr="00EE3B6B">
        <w:rPr>
          <w:rFonts w:ascii="Times New Roman" w:hAnsi="Times New Roman" w:cs="Times New Roman"/>
        </w:rPr>
        <w:t xml:space="preserve">CMS will </w:t>
      </w:r>
      <w:r w:rsidRPr="00EE3B6B" w:rsidR="00786195">
        <w:rPr>
          <w:rFonts w:ascii="Times New Roman" w:hAnsi="Times New Roman" w:cs="Times New Roman"/>
        </w:rPr>
        <w:t xml:space="preserve">publicly </w:t>
      </w:r>
      <w:r w:rsidRPr="00EE3B6B">
        <w:rPr>
          <w:rFonts w:ascii="Times New Roman" w:hAnsi="Times New Roman" w:cs="Times New Roman"/>
        </w:rPr>
        <w:t xml:space="preserve">post the Part II written description and the information contained in Parts I and III </w:t>
      </w:r>
      <w:r w:rsidRPr="00EE3B6B" w:rsidR="00FF7257">
        <w:rPr>
          <w:rFonts w:ascii="Times New Roman" w:hAnsi="Times New Roman" w:cs="Times New Roman"/>
        </w:rPr>
        <w:t xml:space="preserve">of the RFJ </w:t>
      </w:r>
      <w:r w:rsidRPr="00EE3B6B">
        <w:rPr>
          <w:rFonts w:ascii="Times New Roman" w:hAnsi="Times New Roman" w:cs="Times New Roman"/>
        </w:rPr>
        <w:t>that do not constitute trade secret</w:t>
      </w:r>
      <w:r w:rsidRPr="00EE3B6B" w:rsidR="007324A4">
        <w:rPr>
          <w:rFonts w:ascii="Times New Roman" w:hAnsi="Times New Roman" w:cs="Times New Roman"/>
        </w:rPr>
        <w:t>s</w:t>
      </w:r>
      <w:r w:rsidRPr="00EE3B6B">
        <w:rPr>
          <w:rFonts w:ascii="Times New Roman" w:hAnsi="Times New Roman" w:cs="Times New Roman"/>
        </w:rPr>
        <w:t xml:space="preserve"> or confidential commercial or financial information as defined in HHS’s Freedom of Information Act (FOIA) regulations</w:t>
      </w:r>
      <w:r w:rsidRPr="00EE3B6B" w:rsidR="0028698F">
        <w:rPr>
          <w:rFonts w:ascii="Times New Roman" w:hAnsi="Times New Roman" w:cs="Times New Roman"/>
        </w:rPr>
        <w:t>.</w:t>
      </w:r>
      <w:r>
        <w:rPr>
          <w:rStyle w:val="FootnoteReference"/>
          <w:rFonts w:ascii="Times New Roman" w:hAnsi="Times New Roman" w:cs="Times New Roman"/>
        </w:rPr>
        <w:footnoteReference w:id="5"/>
      </w:r>
      <w:r w:rsidRPr="00EE3B6B">
        <w:rPr>
          <w:rFonts w:ascii="Times New Roman" w:hAnsi="Times New Roman" w:cs="Times New Roman"/>
        </w:rPr>
        <w:t xml:space="preserve"> The information for all single risk pool coverage proposed rate </w:t>
      </w:r>
      <w:r w:rsidRPr="00EE3B6B" w:rsidR="00522AD6">
        <w:rPr>
          <w:rFonts w:ascii="Times New Roman" w:hAnsi="Times New Roman" w:cs="Times New Roman"/>
        </w:rPr>
        <w:t>chang</w:t>
      </w:r>
      <w:r w:rsidRPr="00EE3B6B">
        <w:rPr>
          <w:rFonts w:ascii="Times New Roman" w:hAnsi="Times New Roman" w:cs="Times New Roman"/>
        </w:rPr>
        <w:t xml:space="preserve">es (regardless of whether the increase is subject to review) and all final rate </w:t>
      </w:r>
      <w:r w:rsidRPr="00EE3B6B" w:rsidR="00522AD6">
        <w:rPr>
          <w:rFonts w:ascii="Times New Roman" w:hAnsi="Times New Roman" w:cs="Times New Roman"/>
        </w:rPr>
        <w:t>chang</w:t>
      </w:r>
      <w:r w:rsidRPr="00EE3B6B">
        <w:rPr>
          <w:rFonts w:ascii="Times New Roman" w:hAnsi="Times New Roman" w:cs="Times New Roman"/>
        </w:rPr>
        <w:t xml:space="preserve">es will be posted at </w:t>
      </w:r>
      <w:hyperlink r:id="rId12">
        <w:r w:rsidRPr="00EE3B6B">
          <w:rPr>
            <w:rFonts w:ascii="Times New Roman" w:hAnsi="Times New Roman" w:cs="Times New Roman"/>
            <w:color w:val="0000FF"/>
            <w:u w:val="single" w:color="0000FF"/>
          </w:rPr>
          <w:t xml:space="preserve">https://ratereview.healthcare.gov/ </w:t>
        </w:r>
      </w:hyperlink>
      <w:r w:rsidRPr="00EE3B6B">
        <w:rPr>
          <w:rFonts w:ascii="Times New Roman" w:hAnsi="Times New Roman" w:cs="Times New Roman"/>
        </w:rPr>
        <w:t xml:space="preserve">and at </w:t>
      </w:r>
      <w:hyperlink r:id="rId13">
        <w:r w:rsidRPr="00EE3B6B">
          <w:rPr>
            <w:rFonts w:ascii="Times New Roman" w:hAnsi="Times New Roman" w:cs="Times New Roman"/>
            <w:color w:val="0000FF"/>
            <w:u w:val="single" w:color="0000FF"/>
          </w:rPr>
          <w:t>http://www.cms.gov/CCIIO/Resources/Data-Resources/ratereview.html</w:t>
        </w:r>
      </w:hyperlink>
      <w:r w:rsidRPr="00EE3B6B">
        <w:rPr>
          <w:rFonts w:ascii="Times New Roman" w:hAnsi="Times New Roman" w:cs="Times New Roman"/>
        </w:rPr>
        <w:t>.</w:t>
      </w:r>
    </w:p>
    <w:p w:rsidR="00502F07" w:rsidRPr="00EE3B6B" w:rsidP="006D1FD2" w14:paraId="463A5474" w14:textId="228FED48">
      <w:pPr>
        <w:pStyle w:val="BodyText"/>
        <w:keepLines/>
        <w:spacing w:after="120" w:line="276" w:lineRule="auto"/>
        <w:ind w:right="101"/>
        <w:rPr>
          <w:rFonts w:ascii="Times New Roman" w:hAnsi="Times New Roman" w:cs="Times New Roman"/>
        </w:rPr>
      </w:pPr>
      <w:r w:rsidRPr="00EE3B6B">
        <w:rPr>
          <w:rFonts w:ascii="Times New Roman" w:hAnsi="Times New Roman" w:cs="Times New Roman"/>
        </w:rPr>
        <w:t xml:space="preserve">A </w:t>
      </w:r>
      <w:r w:rsidRPr="00EE3B6B" w:rsidR="00B93349">
        <w:rPr>
          <w:rFonts w:ascii="Times New Roman" w:hAnsi="Times New Roman" w:cs="Times New Roman"/>
        </w:rPr>
        <w:t>s</w:t>
      </w:r>
      <w:r w:rsidRPr="00EE3B6B">
        <w:rPr>
          <w:rFonts w:ascii="Times New Roman" w:hAnsi="Times New Roman" w:cs="Times New Roman"/>
        </w:rPr>
        <w:t xml:space="preserve">tate with an Effective Rate Review Program must post on the </w:t>
      </w:r>
      <w:r w:rsidRPr="00EE3B6B" w:rsidR="00B93349">
        <w:rPr>
          <w:rFonts w:ascii="Times New Roman" w:hAnsi="Times New Roman" w:cs="Times New Roman"/>
        </w:rPr>
        <w:t>s</w:t>
      </w:r>
      <w:r w:rsidRPr="00EE3B6B">
        <w:rPr>
          <w:rFonts w:ascii="Times New Roman" w:hAnsi="Times New Roman" w:cs="Times New Roman"/>
        </w:rPr>
        <w:t xml:space="preserve">tate’s website at least the information contained in Parts I, II, and III of the RFJ that CMS makes available on its website (or provide </w:t>
      </w:r>
      <w:r w:rsidRPr="00EE3B6B" w:rsidR="00736085">
        <w:rPr>
          <w:rFonts w:ascii="Times New Roman" w:hAnsi="Times New Roman" w:cs="Times New Roman"/>
        </w:rPr>
        <w:t xml:space="preserve">a link to </w:t>
      </w:r>
      <w:r w:rsidRPr="00EE3B6B">
        <w:rPr>
          <w:rFonts w:ascii="Times New Roman" w:hAnsi="Times New Roman" w:cs="Times New Roman"/>
        </w:rPr>
        <w:t>CMS’s web address for such information) for proposed rate increases subject to review</w:t>
      </w:r>
      <w:r w:rsidRPr="00EE3B6B" w:rsidR="00877652">
        <w:rPr>
          <w:rFonts w:ascii="Times New Roman" w:hAnsi="Times New Roman" w:cs="Times New Roman"/>
        </w:rPr>
        <w:t>.</w:t>
      </w:r>
      <w:r>
        <w:rPr>
          <w:rStyle w:val="FootnoteReference"/>
          <w:rFonts w:ascii="Times New Roman" w:hAnsi="Times New Roman" w:cs="Times New Roman"/>
        </w:rPr>
        <w:footnoteReference w:id="6"/>
      </w:r>
      <w:r w:rsidRPr="00EE3B6B" w:rsidR="00877652">
        <w:rPr>
          <w:rFonts w:ascii="Times New Roman" w:hAnsi="Times New Roman" w:cs="Times New Roman"/>
        </w:rPr>
        <w:t xml:space="preserve"> That information must be posted</w:t>
      </w:r>
      <w:r w:rsidRPr="00EE3B6B">
        <w:rPr>
          <w:rFonts w:ascii="Times New Roman" w:hAnsi="Times New Roman" w:cs="Times New Roman"/>
        </w:rPr>
        <w:t xml:space="preserve"> on a uniform date no later than the date specified by the Secretary in guidance. The deadline for a </w:t>
      </w:r>
      <w:r w:rsidRPr="00EE3B6B" w:rsidR="00B93349">
        <w:rPr>
          <w:rFonts w:ascii="Times New Roman" w:hAnsi="Times New Roman" w:cs="Times New Roman"/>
        </w:rPr>
        <w:t>s</w:t>
      </w:r>
      <w:r w:rsidRPr="00EE3B6B">
        <w:rPr>
          <w:rFonts w:ascii="Times New Roman" w:hAnsi="Times New Roman" w:cs="Times New Roman"/>
        </w:rPr>
        <w:t xml:space="preserve">tate with an Effective Rate Review Program to post the same information on all final rate increases (not just those subject to review) is no later than the first day of the </w:t>
      </w:r>
      <w:r w:rsidRPr="00EE3B6B" w:rsidR="007D7DEC">
        <w:rPr>
          <w:rFonts w:ascii="Times New Roman" w:hAnsi="Times New Roman" w:cs="Times New Roman"/>
        </w:rPr>
        <w:t xml:space="preserve">annual </w:t>
      </w:r>
      <w:r w:rsidRPr="00EE3B6B">
        <w:rPr>
          <w:rFonts w:ascii="Times New Roman" w:hAnsi="Times New Roman" w:cs="Times New Roman"/>
        </w:rPr>
        <w:t>individual market annual open enrollment period</w:t>
      </w:r>
      <w:r w:rsidRPr="00EE3B6B" w:rsidR="007D7DEC">
        <w:rPr>
          <w:rFonts w:ascii="Times New Roman" w:hAnsi="Times New Roman" w:cs="Times New Roman"/>
        </w:rPr>
        <w:t xml:space="preserve"> for the applicable calendar year</w:t>
      </w:r>
      <w:r w:rsidRPr="00EE3B6B" w:rsidR="0028698F">
        <w:rPr>
          <w:rFonts w:ascii="Times New Roman" w:hAnsi="Times New Roman" w:cs="Times New Roman"/>
        </w:rPr>
        <w:t>.</w:t>
      </w:r>
      <w:r>
        <w:rPr>
          <w:rStyle w:val="FootnoteReference"/>
          <w:rFonts w:ascii="Times New Roman" w:hAnsi="Times New Roman" w:cs="Times New Roman"/>
        </w:rPr>
        <w:footnoteReference w:id="7"/>
      </w:r>
    </w:p>
    <w:p w:rsidR="00502F07" w:rsidRPr="00FA6F2C" w:rsidP="00FA6F2C" w14:paraId="700DB702" w14:textId="76B49266">
      <w:pPr>
        <w:pStyle w:val="Heading2"/>
      </w:pPr>
      <w:bookmarkStart w:id="21" w:name="_Toc174003419"/>
      <w:r w:rsidRPr="00EE3B6B">
        <w:rPr>
          <w:noProof/>
        </w:rPr>
        <mc:AlternateContent>
          <mc:Choice Requires="wps">
            <w:drawing>
              <wp:anchor distT="45720" distB="45720" distL="114300" distR="114300" simplePos="0" relativeHeight="251664384" behindDoc="0" locked="0" layoutInCell="1" allowOverlap="1">
                <wp:simplePos x="0" y="0"/>
                <wp:positionH relativeFrom="margin">
                  <wp:posOffset>0</wp:posOffset>
                </wp:positionH>
                <wp:positionV relativeFrom="paragraph">
                  <wp:posOffset>819785</wp:posOffset>
                </wp:positionV>
                <wp:extent cx="5916930" cy="487680"/>
                <wp:effectExtent l="0" t="0" r="26670" b="2667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16930" cy="487680"/>
                        </a:xfrm>
                        <a:prstGeom prst="rect">
                          <a:avLst/>
                        </a:prstGeom>
                        <a:solidFill>
                          <a:schemeClr val="bg1">
                            <a:lumMod val="85000"/>
                          </a:schemeClr>
                        </a:solidFill>
                        <a:ln w="9525">
                          <a:solidFill>
                            <a:srgbClr val="000000"/>
                          </a:solidFill>
                          <a:miter lim="800000"/>
                          <a:headEnd/>
                          <a:tailEnd/>
                        </a:ln>
                      </wps:spPr>
                      <wps:txbx>
                        <w:txbxContent>
                          <w:p w:rsidR="00D33AE9" w:rsidRPr="00EE3B6B" w14:textId="0461E0FA">
                            <w:pPr>
                              <w:rPr>
                                <w:rFonts w:ascii="Times New Roman" w:hAnsi="Times New Roman" w:cs="Times New Roman"/>
                                <w:color w:val="323E4F" w:themeColor="text2" w:themeShade="BF"/>
                              </w:rPr>
                            </w:pPr>
                            <w:r w:rsidRPr="00EE3B6B">
                              <w:rPr>
                                <w:rFonts w:ascii="Times New Roman" w:hAnsi="Times New Roman" w:cs="Times New Roman"/>
                                <w:b/>
                                <w:color w:val="323E4F" w:themeColor="text2" w:themeShade="BF"/>
                                <w:u w:val="single"/>
                              </w:rPr>
                              <w:t>Tip:</w:t>
                            </w:r>
                            <w:r w:rsidRPr="00EE3B6B">
                              <w:rPr>
                                <w:rFonts w:ascii="Times New Roman" w:hAnsi="Times New Roman" w:cs="Times New Roman"/>
                                <w:color w:val="323E4F" w:themeColor="text2" w:themeShade="BF"/>
                              </w:rPr>
                              <w:t xml:space="preserve"> Issuers may only introduce new plans for sale through the </w:t>
                            </w:r>
                            <w:r w:rsidRPr="00EE3B6B">
                              <w:rPr>
                                <w:rFonts w:ascii="Times New Roman" w:hAnsi="Times New Roman" w:cs="Times New Roman"/>
                                <w:color w:val="323E4F" w:themeColor="text2" w:themeShade="BF"/>
                              </w:rPr>
                              <w:t>Federally-facilitated</w:t>
                            </w:r>
                            <w:r w:rsidRPr="00EE3B6B">
                              <w:rPr>
                                <w:rFonts w:ascii="Times New Roman" w:hAnsi="Times New Roman" w:cs="Times New Roman"/>
                                <w:color w:val="323E4F" w:themeColor="text2" w:themeShade="BF"/>
                              </w:rPr>
                              <w:t xml:space="preserve"> Exchanges at the beginning of a calendar year.</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width:465.9pt;height:38.4pt;margin-top:64.55pt;margin-left:0;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5408" fillcolor="#d8d8d8">
                <v:textbox>
                  <w:txbxContent>
                    <w:p w:rsidR="00D33AE9" w:rsidRPr="00EE3B6B" w14:paraId="223ED64F" w14:textId="0461E0FA">
                      <w:pPr>
                        <w:rPr>
                          <w:rFonts w:ascii="Times New Roman" w:hAnsi="Times New Roman" w:cs="Times New Roman"/>
                          <w:color w:val="323E4F" w:themeColor="text2" w:themeShade="BF"/>
                        </w:rPr>
                      </w:pPr>
                      <w:r w:rsidRPr="00EE3B6B">
                        <w:rPr>
                          <w:rFonts w:ascii="Times New Roman" w:hAnsi="Times New Roman" w:cs="Times New Roman"/>
                          <w:b/>
                          <w:color w:val="323E4F" w:themeColor="text2" w:themeShade="BF"/>
                          <w:u w:val="single"/>
                        </w:rPr>
                        <w:t>Tip:</w:t>
                      </w:r>
                      <w:r w:rsidRPr="00EE3B6B">
                        <w:rPr>
                          <w:rFonts w:ascii="Times New Roman" w:hAnsi="Times New Roman" w:cs="Times New Roman"/>
                          <w:color w:val="323E4F" w:themeColor="text2" w:themeShade="BF"/>
                        </w:rPr>
                        <w:t xml:space="preserve"> Issuers may only introduce new plans for sale through the </w:t>
                      </w:r>
                      <w:r w:rsidRPr="00EE3B6B">
                        <w:rPr>
                          <w:rFonts w:ascii="Times New Roman" w:hAnsi="Times New Roman" w:cs="Times New Roman"/>
                          <w:color w:val="323E4F" w:themeColor="text2" w:themeShade="BF"/>
                        </w:rPr>
                        <w:t>Federally-facilitated</w:t>
                      </w:r>
                      <w:r w:rsidRPr="00EE3B6B">
                        <w:rPr>
                          <w:rFonts w:ascii="Times New Roman" w:hAnsi="Times New Roman" w:cs="Times New Roman"/>
                          <w:color w:val="323E4F" w:themeColor="text2" w:themeShade="BF"/>
                        </w:rPr>
                        <w:t xml:space="preserve"> Exchanges at the beginning of a calendar year.</w:t>
                      </w:r>
                    </w:p>
                  </w:txbxContent>
                </v:textbox>
                <w10:wrap type="square"/>
              </v:shape>
            </w:pict>
          </mc:Fallback>
        </mc:AlternateContent>
      </w:r>
      <w:r w:rsidRPr="00FA6F2C" w:rsidR="00502F07">
        <w:t>General Instructions</w:t>
      </w:r>
      <w:bookmarkEnd w:id="21"/>
    </w:p>
    <w:p w:rsidR="00502F07" w:rsidRPr="00EE3B6B" w:rsidP="006D1FD2" w14:paraId="5932AAA1" w14:textId="359A2CC7">
      <w:pPr>
        <w:keepLines/>
        <w:spacing w:after="120" w:line="276" w:lineRule="auto"/>
        <w:rPr>
          <w:rFonts w:ascii="Times New Roman" w:hAnsi="Times New Roman" w:cs="Times New Roman"/>
        </w:rPr>
      </w:pPr>
      <w:r w:rsidRPr="00EE3B6B">
        <w:rPr>
          <w:rFonts w:ascii="Times New Roman" w:hAnsi="Times New Roman" w:cs="Times New Roman"/>
          <w:b/>
        </w:rPr>
        <w:t>Annual Submissions</w:t>
      </w:r>
    </w:p>
    <w:p w:rsidR="00502F07" w:rsidRPr="00EE3B6B" w:rsidP="006D1FD2" w14:paraId="07C8D9B4" w14:textId="1B89D888">
      <w:pPr>
        <w:keepLines/>
        <w:spacing w:after="120" w:line="276" w:lineRule="auto"/>
        <w:rPr>
          <w:rFonts w:ascii="Times New Roman" w:hAnsi="Times New Roman" w:cs="Times New Roman"/>
        </w:rPr>
      </w:pPr>
      <w:r w:rsidRPr="00EE3B6B">
        <w:rPr>
          <w:rFonts w:ascii="Times New Roman" w:hAnsi="Times New Roman" w:cs="Times New Roman"/>
        </w:rPr>
        <w:t xml:space="preserve">All health insurance issuers offering single risk pool products in the individual, small group, and/or </w:t>
      </w:r>
      <w:r w:rsidRPr="00EE3B6B" w:rsidR="0001281E">
        <w:rPr>
          <w:rFonts w:ascii="Times New Roman" w:hAnsi="Times New Roman" w:cs="Times New Roman"/>
        </w:rPr>
        <w:t>combined</w:t>
      </w:r>
      <w:r w:rsidRPr="00EE3B6B">
        <w:rPr>
          <w:rFonts w:ascii="Times New Roman" w:hAnsi="Times New Roman" w:cs="Times New Roman"/>
        </w:rPr>
        <w:t xml:space="preserve"> markets must submit the applicable parts of the RFJ via the Unified Rate Review (URR) module in HIOS</w:t>
      </w:r>
      <w:r w:rsidR="0042609B">
        <w:rPr>
          <w:rFonts w:ascii="Times New Roman" w:hAnsi="Times New Roman" w:cs="Times New Roman"/>
        </w:rPr>
        <w:t>.</w:t>
      </w:r>
      <w:r>
        <w:rPr>
          <w:rStyle w:val="FootnoteReference"/>
          <w:rFonts w:ascii="Times New Roman" w:hAnsi="Times New Roman" w:cs="Times New Roman"/>
        </w:rPr>
        <w:footnoteReference w:id="8"/>
      </w:r>
      <w:r w:rsidRPr="00EE3B6B">
        <w:rPr>
          <w:rFonts w:ascii="Times New Roman" w:hAnsi="Times New Roman" w:cs="Times New Roman"/>
        </w:rPr>
        <w:t xml:space="preserve"> </w:t>
      </w:r>
      <w:r w:rsidRPr="00EE3B6B" w:rsidR="00F84C4C">
        <w:rPr>
          <w:rFonts w:ascii="Times New Roman" w:hAnsi="Times New Roman" w:cs="Times New Roman"/>
        </w:rPr>
        <w:t xml:space="preserve">Issuers </w:t>
      </w:r>
      <w:r w:rsidRPr="00EE3B6B" w:rsidR="00256AE2">
        <w:rPr>
          <w:rFonts w:ascii="Times New Roman" w:hAnsi="Times New Roman" w:cs="Times New Roman"/>
        </w:rPr>
        <w:t xml:space="preserve">should check the Final Bulletin regarding the Timing of Submission and Posting of Rate Filing Justifications for the </w:t>
      </w:r>
      <w:r w:rsidR="00D33AE9">
        <w:rPr>
          <w:rFonts w:ascii="Times New Roman" w:hAnsi="Times New Roman" w:cs="Times New Roman"/>
        </w:rPr>
        <w:t>applicable</w:t>
      </w:r>
      <w:r w:rsidRPr="00EE3B6B" w:rsidR="00256AE2">
        <w:rPr>
          <w:rFonts w:ascii="Times New Roman" w:hAnsi="Times New Roman" w:cs="Times New Roman"/>
        </w:rPr>
        <w:t xml:space="preserve"> Filing Year for Single Risk Pool Coverage</w:t>
      </w:r>
      <w:r w:rsidRPr="00EE3B6B" w:rsidR="00B92D4E">
        <w:rPr>
          <w:rFonts w:ascii="Times New Roman" w:hAnsi="Times New Roman" w:cs="Times New Roman"/>
        </w:rPr>
        <w:t xml:space="preserve"> </w:t>
      </w:r>
      <w:r w:rsidRPr="00EE3B6B" w:rsidR="00B972FC">
        <w:rPr>
          <w:rFonts w:ascii="Times New Roman" w:hAnsi="Times New Roman" w:cs="Times New Roman"/>
        </w:rPr>
        <w:t xml:space="preserve">to determine when annual rate filings </w:t>
      </w:r>
      <w:r w:rsidRPr="00EE3B6B" w:rsidR="00F84C4C">
        <w:rPr>
          <w:rFonts w:ascii="Times New Roman" w:hAnsi="Times New Roman" w:cs="Times New Roman"/>
        </w:rPr>
        <w:t>must</w:t>
      </w:r>
      <w:r w:rsidRPr="00EE3B6B" w:rsidR="00B972FC">
        <w:rPr>
          <w:rFonts w:ascii="Times New Roman" w:hAnsi="Times New Roman" w:cs="Times New Roman"/>
        </w:rPr>
        <w:t xml:space="preserve"> be</w:t>
      </w:r>
      <w:r w:rsidRPr="00EE3B6B" w:rsidR="00F84C4C">
        <w:rPr>
          <w:rFonts w:ascii="Times New Roman" w:hAnsi="Times New Roman" w:cs="Times New Roman"/>
        </w:rPr>
        <w:t xml:space="preserve"> submit</w:t>
      </w:r>
      <w:r w:rsidRPr="00EE3B6B" w:rsidR="00B972FC">
        <w:rPr>
          <w:rFonts w:ascii="Times New Roman" w:hAnsi="Times New Roman" w:cs="Times New Roman"/>
        </w:rPr>
        <w:t>ted</w:t>
      </w:r>
      <w:r w:rsidRPr="00EE3B6B" w:rsidR="00F84C4C">
        <w:rPr>
          <w:rFonts w:ascii="Times New Roman" w:hAnsi="Times New Roman" w:cs="Times New Roman"/>
        </w:rPr>
        <w:t>.</w:t>
      </w:r>
      <w:r>
        <w:rPr>
          <w:rStyle w:val="FootnoteReference"/>
          <w:rFonts w:ascii="Times New Roman" w:hAnsi="Times New Roman" w:cs="Times New Roman"/>
        </w:rPr>
        <w:footnoteReference w:id="9"/>
      </w:r>
    </w:p>
    <w:p w:rsidR="006D1FD2" w:rsidRPr="00EE3B6B" w:rsidP="006D1FD2" w14:paraId="07584E27" w14:textId="4298546A">
      <w:pPr>
        <w:keepLines/>
        <w:spacing w:after="120" w:line="276" w:lineRule="auto"/>
        <w:rPr>
          <w:rFonts w:ascii="Times New Roman" w:hAnsi="Times New Roman" w:cs="Times New Roman"/>
        </w:rPr>
      </w:pPr>
      <w:r w:rsidRPr="00EE3B6B">
        <w:rPr>
          <w:rFonts w:ascii="Times New Roman" w:hAnsi="Times New Roman" w:cs="Times New Roman"/>
        </w:rPr>
        <w:t>Small group issuers may include scheduled quarterly trend increases within the annual filing (i.e., the January 1, XXXX rate submission). An issuer may only have one active annual single risk pool</w:t>
      </w:r>
      <w:r w:rsidRPr="00EE3B6B">
        <w:rPr>
          <w:rFonts w:ascii="Times New Roman" w:hAnsi="Times New Roman" w:cs="Times New Roman"/>
        </w:rPr>
        <w:t xml:space="preserve"> submission per market in HIOS.</w:t>
      </w:r>
      <w:r w:rsidRPr="00EE3B6B">
        <w:rPr>
          <w:rFonts w:ascii="Times New Roman" w:hAnsi="Times New Roman" w:cs="Times New Roman"/>
          <w:noProof/>
        </w:rPr>
        <mc:AlternateContent>
          <mc:Choice Requires="wps">
            <w:drawing>
              <wp:anchor distT="45720" distB="45720" distL="114300" distR="114300" simplePos="0" relativeHeight="251682816" behindDoc="0" locked="1" layoutInCell="1" allowOverlap="1">
                <wp:simplePos x="0" y="0"/>
                <wp:positionH relativeFrom="margin">
                  <wp:align>right</wp:align>
                </wp:positionH>
                <wp:positionV relativeFrom="margin">
                  <wp:posOffset>3096895</wp:posOffset>
                </wp:positionV>
                <wp:extent cx="5916168" cy="438912"/>
                <wp:effectExtent l="0" t="0" r="27940" b="1841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16168" cy="438912"/>
                        </a:xfrm>
                        <a:prstGeom prst="rect">
                          <a:avLst/>
                        </a:prstGeom>
                        <a:solidFill>
                          <a:schemeClr val="bg1">
                            <a:lumMod val="85000"/>
                          </a:schemeClr>
                        </a:solidFill>
                        <a:ln w="9525">
                          <a:solidFill>
                            <a:srgbClr val="000000"/>
                          </a:solidFill>
                          <a:miter lim="800000"/>
                          <a:headEnd/>
                          <a:tailEnd/>
                        </a:ln>
                      </wps:spPr>
                      <wps:txbx>
                        <w:txbxContent>
                          <w:p w:rsidR="00D33AE9" w:rsidRPr="00EE3B6B" w:rsidP="006D1FD2" w14:textId="3A009490">
                            <w:pPr>
                              <w:rPr>
                                <w:rFonts w:ascii="Times New Roman" w:hAnsi="Times New Roman" w:cs="Times New Roman"/>
                                <w:color w:val="323E4F" w:themeColor="text2" w:themeShade="BF"/>
                              </w:rPr>
                            </w:pPr>
                            <w:r w:rsidRPr="00EE3B6B">
                              <w:rPr>
                                <w:rFonts w:ascii="Times New Roman" w:hAnsi="Times New Roman" w:cs="Times New Roman"/>
                                <w:b/>
                                <w:color w:val="323E4F" w:themeColor="text2" w:themeShade="BF"/>
                                <w:u w:val="single"/>
                              </w:rPr>
                              <w:t>Tip:</w:t>
                            </w:r>
                            <w:r w:rsidRPr="00EE3B6B">
                              <w:rPr>
                                <w:rFonts w:ascii="Times New Roman" w:hAnsi="Times New Roman" w:cs="Times New Roman"/>
                                <w:b/>
                                <w:color w:val="323E4F" w:themeColor="text2" w:themeShade="BF"/>
                              </w:rPr>
                              <w:t xml:space="preserve"> </w:t>
                            </w:r>
                            <w:r w:rsidRPr="00EE3B6B">
                              <w:rPr>
                                <w:rFonts w:ascii="Times New Roman" w:hAnsi="Times New Roman" w:cs="Times New Roman"/>
                                <w:color w:val="323E4F" w:themeColor="text2" w:themeShade="BF"/>
                              </w:rPr>
                              <w:t>An “Annual Submission” has an effective date of January 1.   “Quarterly Submissions” have an effective date of April 1, July 1, or October 1.</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465.85pt;height:34.55pt;margin-top:243.85pt;margin-left:414.65pt;mso-height-percent:0;mso-height-relative:margin;mso-position-horizontal:right;mso-position-horizontal-relative:margin;mso-position-vertical-relative:margin;mso-width-percent:0;mso-width-relative:margin;mso-wrap-distance-bottom:3.6pt;mso-wrap-distance-left:9pt;mso-wrap-distance-right:9pt;mso-wrap-distance-top:3.6pt;mso-wrap-style:square;position:absolute;visibility:visible;v-text-anchor:top;z-index:251683840" fillcolor="#d8d8d8">
                <v:textbox>
                  <w:txbxContent>
                    <w:p w:rsidR="00D33AE9" w:rsidRPr="00EE3B6B" w:rsidP="006D1FD2" w14:paraId="7B5FB417" w14:textId="3A009490">
                      <w:pPr>
                        <w:rPr>
                          <w:rFonts w:ascii="Times New Roman" w:hAnsi="Times New Roman" w:cs="Times New Roman"/>
                          <w:color w:val="323E4F" w:themeColor="text2" w:themeShade="BF"/>
                        </w:rPr>
                      </w:pPr>
                      <w:r w:rsidRPr="00EE3B6B">
                        <w:rPr>
                          <w:rFonts w:ascii="Times New Roman" w:hAnsi="Times New Roman" w:cs="Times New Roman"/>
                          <w:b/>
                          <w:color w:val="323E4F" w:themeColor="text2" w:themeShade="BF"/>
                          <w:u w:val="single"/>
                        </w:rPr>
                        <w:t>Tip:</w:t>
                      </w:r>
                      <w:r w:rsidRPr="00EE3B6B">
                        <w:rPr>
                          <w:rFonts w:ascii="Times New Roman" w:hAnsi="Times New Roman" w:cs="Times New Roman"/>
                          <w:b/>
                          <w:color w:val="323E4F" w:themeColor="text2" w:themeShade="BF"/>
                        </w:rPr>
                        <w:t xml:space="preserve"> </w:t>
                      </w:r>
                      <w:r w:rsidRPr="00EE3B6B">
                        <w:rPr>
                          <w:rFonts w:ascii="Times New Roman" w:hAnsi="Times New Roman" w:cs="Times New Roman"/>
                          <w:color w:val="323E4F" w:themeColor="text2" w:themeShade="BF"/>
                        </w:rPr>
                        <w:t>An “Annual Submission” has an effective date of January 1.   “Quarterly Submissions” have an effective date of April 1, July 1, or October 1.</w:t>
                      </w:r>
                    </w:p>
                  </w:txbxContent>
                </v:textbox>
                <w10:wrap type="square"/>
                <w10:anchorlock/>
              </v:shape>
            </w:pict>
          </mc:Fallback>
        </mc:AlternateContent>
      </w:r>
    </w:p>
    <w:p w:rsidR="00F84C4C" w:rsidRPr="00EE3B6B" w:rsidP="006D1FD2" w14:paraId="27F893F8" w14:textId="36904A87">
      <w:pPr>
        <w:keepLines/>
        <w:spacing w:after="120" w:line="276" w:lineRule="auto"/>
        <w:rPr>
          <w:rFonts w:ascii="Times New Roman" w:hAnsi="Times New Roman" w:cs="Times New Roman"/>
          <w:b/>
        </w:rPr>
      </w:pPr>
      <w:r w:rsidRPr="00EE3B6B">
        <w:rPr>
          <w:rFonts w:ascii="Times New Roman" w:hAnsi="Times New Roman" w:cs="Times New Roman"/>
          <w:b/>
        </w:rPr>
        <w:t>Quarterly Submissions</w:t>
      </w:r>
    </w:p>
    <w:p w:rsidR="00F84C4C" w:rsidRPr="00EE3B6B" w:rsidP="006D1FD2" w14:paraId="065158BB" w14:textId="11811B81">
      <w:pPr>
        <w:keepLines/>
        <w:spacing w:after="120" w:line="276" w:lineRule="auto"/>
        <w:rPr>
          <w:rFonts w:ascii="Times New Roman" w:hAnsi="Times New Roman" w:cs="Times New Roman"/>
        </w:rPr>
      </w:pPr>
      <w:r w:rsidRPr="00EE3B6B">
        <w:rPr>
          <w:rFonts w:ascii="Times New Roman" w:hAnsi="Times New Roman" w:cs="Times New Roman"/>
          <w:noProof/>
        </w:rPr>
        <mc:AlternateContent>
          <mc:Choice Requires="wps">
            <w:drawing>
              <wp:anchor distT="45720" distB="45720" distL="114300" distR="114300" simplePos="0" relativeHeight="251666432" behindDoc="0" locked="1" layoutInCell="1" allowOverlap="0">
                <wp:simplePos x="0" y="0"/>
                <wp:positionH relativeFrom="margin">
                  <wp:align>right</wp:align>
                </wp:positionH>
                <wp:positionV relativeFrom="margin">
                  <wp:posOffset>4951095</wp:posOffset>
                </wp:positionV>
                <wp:extent cx="5934456" cy="438912"/>
                <wp:effectExtent l="0" t="0" r="28575" b="18415"/>
                <wp:wrapSquare wrapText="bothSides"/>
                <wp:docPr id="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34456" cy="438912"/>
                        </a:xfrm>
                        <a:prstGeom prst="rect">
                          <a:avLst/>
                        </a:prstGeom>
                        <a:solidFill>
                          <a:schemeClr val="bg1">
                            <a:lumMod val="85000"/>
                          </a:schemeClr>
                        </a:solidFill>
                        <a:ln w="9525">
                          <a:solidFill>
                            <a:srgbClr val="000000"/>
                          </a:solidFill>
                          <a:miter lim="800000"/>
                          <a:headEnd/>
                          <a:tailEnd/>
                        </a:ln>
                      </wps:spPr>
                      <wps:txbx>
                        <w:txbxContent>
                          <w:p w:rsidR="00D33AE9" w:rsidRPr="00FA5020" w14:textId="43502590">
                            <w:pPr>
                              <w:rPr>
                                <w:rFonts w:ascii="Times New Roman" w:hAnsi="Times New Roman" w:cs="Times New Roman"/>
                                <w:color w:val="323E4F" w:themeColor="text2" w:themeShade="BF"/>
                              </w:rPr>
                            </w:pPr>
                            <w:r w:rsidRPr="00FA5020">
                              <w:rPr>
                                <w:rFonts w:ascii="Times New Roman" w:hAnsi="Times New Roman" w:cs="Times New Roman"/>
                                <w:b/>
                                <w:color w:val="323E4F" w:themeColor="text2" w:themeShade="BF"/>
                                <w:u w:val="single"/>
                              </w:rPr>
                              <w:t>Tip:</w:t>
                            </w:r>
                            <w:r w:rsidRPr="00FA5020">
                              <w:rPr>
                                <w:rFonts w:ascii="Times New Roman" w:hAnsi="Times New Roman" w:cs="Times New Roman"/>
                                <w:color w:val="323E4F" w:themeColor="text2" w:themeShade="BF"/>
                              </w:rPr>
                              <w:t xml:space="preserve"> When submitting quarterly rate changes in the small group market, make sure you file early enough to allow for regulatory review in time to submit new rates to the SHOP.</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9" type="#_x0000_t202" style="width:467.3pt;height:34.55pt;margin-top:389.85pt;margin-left:416.1pt;mso-height-percent:0;mso-height-relative:margin;mso-position-horizontal:right;mso-position-horizontal-relative:margin;mso-position-vertical-relative:margin;mso-width-percent:0;mso-width-relative:margin;mso-wrap-distance-bottom:3.6pt;mso-wrap-distance-left:9pt;mso-wrap-distance-right:9pt;mso-wrap-distance-top:3.6pt;mso-wrap-style:square;position:absolute;visibility:visible;v-text-anchor:top;z-index:251667456" o:allowoverlap="f" fillcolor="#d8d8d8">
                <v:textbox>
                  <w:txbxContent>
                    <w:p w:rsidR="00D33AE9" w:rsidRPr="00FA5020" w14:paraId="08C7F848" w14:textId="43502590">
                      <w:pPr>
                        <w:rPr>
                          <w:rFonts w:ascii="Times New Roman" w:hAnsi="Times New Roman" w:cs="Times New Roman"/>
                          <w:color w:val="323E4F" w:themeColor="text2" w:themeShade="BF"/>
                        </w:rPr>
                      </w:pPr>
                      <w:r w:rsidRPr="00FA5020">
                        <w:rPr>
                          <w:rFonts w:ascii="Times New Roman" w:hAnsi="Times New Roman" w:cs="Times New Roman"/>
                          <w:b/>
                          <w:color w:val="323E4F" w:themeColor="text2" w:themeShade="BF"/>
                          <w:u w:val="single"/>
                        </w:rPr>
                        <w:t>Tip:</w:t>
                      </w:r>
                      <w:r w:rsidRPr="00FA5020">
                        <w:rPr>
                          <w:rFonts w:ascii="Times New Roman" w:hAnsi="Times New Roman" w:cs="Times New Roman"/>
                          <w:color w:val="323E4F" w:themeColor="text2" w:themeShade="BF"/>
                        </w:rPr>
                        <w:t xml:space="preserve"> When submitting quarterly rate changes in the small group market, make sure you file early enough to allow for regulatory review in time to submit new rates to the SHOP.</w:t>
                      </w:r>
                    </w:p>
                  </w:txbxContent>
                </v:textbox>
                <w10:wrap type="square"/>
                <w10:anchorlock/>
              </v:shape>
            </w:pict>
          </mc:Fallback>
        </mc:AlternateContent>
      </w:r>
      <w:r w:rsidRPr="00EE3B6B" w:rsidR="00F84C4C">
        <w:rPr>
          <w:rFonts w:ascii="Times New Roman" w:hAnsi="Times New Roman" w:cs="Times New Roman"/>
        </w:rPr>
        <w:t>Issuers can submit a</w:t>
      </w:r>
      <w:r w:rsidR="00EE3B6B">
        <w:rPr>
          <w:rFonts w:ascii="Times New Roman" w:hAnsi="Times New Roman" w:cs="Times New Roman"/>
        </w:rPr>
        <w:t>n</w:t>
      </w:r>
      <w:r w:rsidRPr="00EE3B6B" w:rsidR="00F84C4C">
        <w:rPr>
          <w:rFonts w:ascii="Times New Roman" w:hAnsi="Times New Roman" w:cs="Times New Roman"/>
        </w:rPr>
        <w:t xml:space="preserve"> RFJ for quarterly rate changes in the small group market for single risk pool plans, if allowed by the </w:t>
      </w:r>
      <w:r w:rsidRPr="00EE3B6B" w:rsidR="00B93349">
        <w:rPr>
          <w:rFonts w:ascii="Times New Roman" w:hAnsi="Times New Roman" w:cs="Times New Roman"/>
        </w:rPr>
        <w:t>s</w:t>
      </w:r>
      <w:r w:rsidRPr="00EE3B6B" w:rsidR="00F84C4C">
        <w:rPr>
          <w:rFonts w:ascii="Times New Roman" w:hAnsi="Times New Roman" w:cs="Times New Roman"/>
        </w:rPr>
        <w:t>tate regulatory authority. The quarterly submission would contain rate changes beyond any scheduled trend increases included in the annual submission for subsequent quarters in the same calendar year (i.e.</w:t>
      </w:r>
      <w:r w:rsidRPr="00EE3B6B" w:rsidR="008C4912">
        <w:rPr>
          <w:rFonts w:ascii="Times New Roman" w:hAnsi="Times New Roman" w:cs="Times New Roman"/>
        </w:rPr>
        <w:t>,</w:t>
      </w:r>
      <w:r w:rsidRPr="00EE3B6B" w:rsidR="00F84C4C">
        <w:rPr>
          <w:rFonts w:ascii="Times New Roman" w:hAnsi="Times New Roman" w:cs="Times New Roman"/>
        </w:rPr>
        <w:t xml:space="preserve"> second, third, and/or fourth quarters). Issuers are not allowed to file trended rates for effective dates </w:t>
      </w:r>
      <w:r w:rsidRPr="00EE3B6B" w:rsidR="00462599">
        <w:rPr>
          <w:rFonts w:ascii="Times New Roman" w:hAnsi="Times New Roman" w:cs="Times New Roman"/>
        </w:rPr>
        <w:t>in the subsequent calendar year. An issuer may only have one active quarterly single risk pool submission per market in HIOS.</w:t>
      </w:r>
    </w:p>
    <w:p w:rsidR="00462599" w:rsidRPr="00EE3B6B" w:rsidP="006D1FD2" w14:paraId="79C5A3EB" w14:textId="24826FAF">
      <w:pPr>
        <w:keepLines/>
        <w:spacing w:after="120" w:line="276" w:lineRule="auto"/>
        <w:rPr>
          <w:rFonts w:ascii="Times New Roman" w:hAnsi="Times New Roman" w:cs="Times New Roman"/>
        </w:rPr>
      </w:pPr>
      <w:r w:rsidRPr="00EE3B6B">
        <w:rPr>
          <w:rFonts w:ascii="Times New Roman" w:hAnsi="Times New Roman" w:cs="Times New Roman"/>
        </w:rPr>
        <w:t xml:space="preserve">Quarterly rate changes must be submitted at least 105 days prior to the effective date of the rate change, or such earlier deadline as established by the </w:t>
      </w:r>
      <w:r w:rsidRPr="00EE3B6B" w:rsidR="00B93349">
        <w:rPr>
          <w:rFonts w:ascii="Times New Roman" w:hAnsi="Times New Roman" w:cs="Times New Roman"/>
        </w:rPr>
        <w:t>s</w:t>
      </w:r>
      <w:r w:rsidRPr="00EE3B6B">
        <w:rPr>
          <w:rFonts w:ascii="Times New Roman" w:hAnsi="Times New Roman" w:cs="Times New Roman"/>
        </w:rPr>
        <w:t xml:space="preserve">tate. Quarterly submissions must be finalized at least 45 days prior to the effective date. Issuers offering QHPs in </w:t>
      </w:r>
      <w:r w:rsidRPr="00EE3B6B" w:rsidR="004E2495">
        <w:rPr>
          <w:rFonts w:ascii="Times New Roman" w:hAnsi="Times New Roman" w:cs="Times New Roman"/>
        </w:rPr>
        <w:t xml:space="preserve">a </w:t>
      </w:r>
      <w:r w:rsidRPr="00EE3B6B">
        <w:rPr>
          <w:rFonts w:ascii="Times New Roman" w:hAnsi="Times New Roman" w:cs="Times New Roman"/>
        </w:rPr>
        <w:t>Federally-facilitated</w:t>
      </w:r>
      <w:r w:rsidRPr="00EE3B6B">
        <w:rPr>
          <w:rFonts w:ascii="Times New Roman" w:hAnsi="Times New Roman" w:cs="Times New Roman"/>
        </w:rPr>
        <w:t xml:space="preserve"> Small Business Health Options Program (SHOP) should also be mindful of the data correction windows when a new Rates Table Template must be submitted. Rate filings should be submitted to allow for sufficient time for the review to be completed prior to submitting the Rates Table Template in the Plan Management module of HIOS during the data correction window.</w:t>
      </w:r>
    </w:p>
    <w:p w:rsidR="00A712F5" w:rsidP="00A712F5" w14:paraId="6E72B48A" w14:textId="77777777">
      <w:pPr>
        <w:widowControl/>
        <w:autoSpaceDE/>
        <w:autoSpaceDN/>
        <w:spacing w:after="160" w:line="259" w:lineRule="auto"/>
        <w:rPr>
          <w:rFonts w:ascii="Times New Roman" w:hAnsi="Times New Roman" w:cs="Times New Roman"/>
          <w:b/>
        </w:rPr>
      </w:pPr>
      <w:r w:rsidRPr="00EE3B6B">
        <w:rPr>
          <w:rFonts w:ascii="Times New Roman" w:hAnsi="Times New Roman" w:cs="Times New Roman"/>
          <w:b/>
        </w:rPr>
        <w:t>Index Rate</w:t>
      </w:r>
      <w:r w:rsidRPr="00EE3B6B" w:rsidR="00845E39">
        <w:rPr>
          <w:rFonts w:ascii="Times New Roman" w:hAnsi="Times New Roman" w:cs="Times New Roman"/>
          <w:b/>
        </w:rPr>
        <w:t>s</w:t>
      </w:r>
    </w:p>
    <w:p w:rsidR="00462599" w:rsidRPr="00EE3B6B" w:rsidP="00A712F5" w14:paraId="46DBE925" w14:textId="2CB31D2B">
      <w:pPr>
        <w:widowControl/>
        <w:autoSpaceDE/>
        <w:autoSpaceDN/>
        <w:spacing w:after="160" w:line="259" w:lineRule="auto"/>
        <w:rPr>
          <w:rFonts w:ascii="Times New Roman" w:hAnsi="Times New Roman" w:cs="Times New Roman"/>
        </w:rPr>
      </w:pPr>
      <w:r w:rsidRPr="00EE3B6B">
        <w:rPr>
          <w:rFonts w:ascii="Times New Roman" w:hAnsi="Times New Roman" w:cs="Times New Roman"/>
        </w:rPr>
        <w:t xml:space="preserve">All issuers with single risk pool plans are required to </w:t>
      </w:r>
      <w:r w:rsidRPr="00EE3B6B" w:rsidR="00FF3D33">
        <w:rPr>
          <w:rFonts w:ascii="Times New Roman" w:hAnsi="Times New Roman" w:cs="Times New Roman"/>
        </w:rPr>
        <w:t>establish an</w:t>
      </w:r>
      <w:r w:rsidRPr="00EE3B6B">
        <w:rPr>
          <w:rFonts w:ascii="Times New Roman" w:hAnsi="Times New Roman" w:cs="Times New Roman"/>
        </w:rPr>
        <w:t xml:space="preserve"> </w:t>
      </w:r>
      <w:r w:rsidRPr="00EE3B6B" w:rsidR="00C66220">
        <w:rPr>
          <w:rFonts w:ascii="Times New Roman" w:hAnsi="Times New Roman" w:cs="Times New Roman"/>
        </w:rPr>
        <w:t>Index Rate</w:t>
      </w:r>
      <w:r w:rsidRPr="00EE3B6B">
        <w:rPr>
          <w:rFonts w:ascii="Times New Roman" w:hAnsi="Times New Roman" w:cs="Times New Roman"/>
        </w:rPr>
        <w:t xml:space="preserve"> for an effective date of January 1 of each year and file the </w:t>
      </w:r>
      <w:r w:rsidRPr="00EE3B6B" w:rsidR="00C66220">
        <w:rPr>
          <w:rFonts w:ascii="Times New Roman" w:hAnsi="Times New Roman" w:cs="Times New Roman"/>
        </w:rPr>
        <w:t>Index Rate</w:t>
      </w:r>
      <w:r w:rsidRPr="00EE3B6B">
        <w:rPr>
          <w:rFonts w:ascii="Times New Roman" w:hAnsi="Times New Roman" w:cs="Times New Roman"/>
        </w:rPr>
        <w:t xml:space="preserve"> with the applicable regulatory authority. This is the annual submission described above and will be labeled as the annual filing in the URR module of HIOS, even if the filing includes scheduled </w:t>
      </w:r>
      <w:r w:rsidRPr="00EE3B6B" w:rsidR="008B631C">
        <w:rPr>
          <w:rFonts w:ascii="Times New Roman" w:hAnsi="Times New Roman" w:cs="Times New Roman"/>
        </w:rPr>
        <w:t xml:space="preserve">quarterly small group trend increases. Subject to </w:t>
      </w:r>
      <w:r w:rsidRPr="00EE3B6B" w:rsidR="00B93349">
        <w:rPr>
          <w:rFonts w:ascii="Times New Roman" w:hAnsi="Times New Roman" w:cs="Times New Roman"/>
        </w:rPr>
        <w:t>s</w:t>
      </w:r>
      <w:r w:rsidRPr="00EE3B6B" w:rsidR="008B631C">
        <w:rPr>
          <w:rFonts w:ascii="Times New Roman" w:hAnsi="Times New Roman" w:cs="Times New Roman"/>
        </w:rPr>
        <w:t xml:space="preserve">tate requirements, small group issuers are allowed to file subsequent submissions that reset the </w:t>
      </w:r>
      <w:r w:rsidRPr="00EE3B6B" w:rsidR="00C66220">
        <w:rPr>
          <w:rFonts w:ascii="Times New Roman" w:hAnsi="Times New Roman" w:cs="Times New Roman"/>
        </w:rPr>
        <w:t>Index Rate</w:t>
      </w:r>
      <w:r w:rsidRPr="00EE3B6B" w:rsidR="008B631C">
        <w:rPr>
          <w:rFonts w:ascii="Times New Roman" w:hAnsi="Times New Roman" w:cs="Times New Roman"/>
        </w:rPr>
        <w:t xml:space="preserve">, the market level adjustments, or the plan level adjustments for the remaining quarters of the calendar year. These are the quarterly submissions described above. The </w:t>
      </w:r>
      <w:r w:rsidRPr="00EE3B6B" w:rsidR="00C66220">
        <w:rPr>
          <w:rFonts w:ascii="Times New Roman" w:hAnsi="Times New Roman" w:cs="Times New Roman"/>
        </w:rPr>
        <w:t>Index Rate</w:t>
      </w:r>
      <w:r w:rsidRPr="00EE3B6B" w:rsidR="008B631C">
        <w:rPr>
          <w:rFonts w:ascii="Times New Roman" w:hAnsi="Times New Roman" w:cs="Times New Roman"/>
        </w:rPr>
        <w:t xml:space="preserve"> in the quarterly filings should only reflect remaining quarterly effective dates in the same calendar year (i.e.</w:t>
      </w:r>
      <w:r w:rsidRPr="00EE3B6B" w:rsidR="008C4912">
        <w:rPr>
          <w:rFonts w:ascii="Times New Roman" w:hAnsi="Times New Roman" w:cs="Times New Roman"/>
        </w:rPr>
        <w:t>,</w:t>
      </w:r>
      <w:r w:rsidRPr="00EE3B6B" w:rsidR="008B631C">
        <w:rPr>
          <w:rFonts w:ascii="Times New Roman" w:hAnsi="Times New Roman" w:cs="Times New Roman"/>
        </w:rPr>
        <w:t xml:space="preserve"> rates for groups with effective dates in the subsequent calendar year should not be included).</w:t>
      </w:r>
    </w:p>
    <w:p w:rsidR="008B631C" w:rsidRPr="00EE3B6B" w:rsidP="006D1FD2" w14:paraId="7D8C15E4" w14:textId="0DADD7E3">
      <w:pPr>
        <w:keepLines/>
        <w:spacing w:after="120" w:line="276" w:lineRule="auto"/>
        <w:rPr>
          <w:rFonts w:ascii="Times New Roman" w:hAnsi="Times New Roman" w:cs="Times New Roman"/>
          <w:b/>
        </w:rPr>
      </w:pPr>
      <w:r w:rsidRPr="00EE3B6B">
        <w:rPr>
          <w:rFonts w:ascii="Times New Roman" w:hAnsi="Times New Roman" w:cs="Times New Roman"/>
          <w:b/>
        </w:rPr>
        <w:t>Dental Plans</w:t>
      </w:r>
    </w:p>
    <w:p w:rsidR="00C66220" w:rsidRPr="00EE3B6B" w:rsidP="006D1FD2" w14:paraId="0230C9C9" w14:textId="3AA5DBA7">
      <w:pPr>
        <w:pStyle w:val="BodyText"/>
        <w:keepLines/>
        <w:spacing w:after="120" w:line="276" w:lineRule="auto"/>
        <w:ind w:right="104"/>
        <w:rPr>
          <w:rFonts w:ascii="Times New Roman" w:hAnsi="Times New Roman" w:cs="Times New Roman"/>
        </w:rPr>
      </w:pPr>
      <w:r w:rsidRPr="00EE3B6B">
        <w:rPr>
          <w:rFonts w:ascii="Times New Roman" w:hAnsi="Times New Roman" w:cs="Times New Roman"/>
        </w:rPr>
        <w:t xml:space="preserve">Only embedded pediatric dental benefits within a medical plan should be reflected in the URRT. Further, </w:t>
      </w:r>
      <w:r w:rsidRPr="00EE3B6B">
        <w:rPr>
          <w:rFonts w:ascii="Times New Roman" w:hAnsi="Times New Roman" w:cs="Times New Roman"/>
        </w:rPr>
        <w:t>in order for</w:t>
      </w:r>
      <w:r w:rsidRPr="00EE3B6B">
        <w:rPr>
          <w:rFonts w:ascii="Times New Roman" w:hAnsi="Times New Roman" w:cs="Times New Roman"/>
        </w:rPr>
        <w:t xml:space="preserve"> the dental costs to be included in the URRT, the dental costs must be spread across the entire single risk pool in accordance with the market rating rules in calculating the projected </w:t>
      </w:r>
      <w:r w:rsidRPr="00EE3B6B">
        <w:rPr>
          <w:rFonts w:ascii="Times New Roman" w:hAnsi="Times New Roman" w:cs="Times New Roman"/>
        </w:rPr>
        <w:t>Index Rate</w:t>
      </w:r>
      <w:r w:rsidRPr="00EE3B6B">
        <w:rPr>
          <w:rFonts w:ascii="Times New Roman" w:hAnsi="Times New Roman" w:cs="Times New Roman"/>
        </w:rPr>
        <w:t xml:space="preserve">. Stand-alone dental plans should never be reflected in the URRT. </w:t>
      </w:r>
    </w:p>
    <w:p w:rsidR="00E600A6" w:rsidRPr="00EE3B6B" w:rsidP="00E600A6" w14:paraId="4A7968FA" w14:textId="5EAA829F">
      <w:pPr>
        <w:pStyle w:val="BodyText"/>
        <w:keepLines/>
        <w:spacing w:after="120" w:line="276" w:lineRule="auto"/>
        <w:ind w:right="104"/>
        <w:rPr>
          <w:rFonts w:ascii="Times New Roman" w:hAnsi="Times New Roman" w:cs="Times New Roman"/>
          <w:b/>
        </w:rPr>
      </w:pPr>
      <w:r w:rsidRPr="00EE3B6B">
        <w:rPr>
          <w:rFonts w:ascii="Times New Roman" w:hAnsi="Times New Roman" w:cs="Times New Roman"/>
          <w:b/>
        </w:rPr>
        <w:t>Grandmothered</w:t>
      </w:r>
      <w:r w:rsidRPr="00EE3B6B">
        <w:rPr>
          <w:rFonts w:ascii="Times New Roman" w:hAnsi="Times New Roman" w:cs="Times New Roman"/>
          <w:b/>
        </w:rPr>
        <w:t xml:space="preserve"> Plans</w:t>
      </w:r>
    </w:p>
    <w:p w:rsidR="00E600A6" w:rsidRPr="00EE3B6B" w:rsidP="00E600A6" w14:paraId="2EDFBAEA" w14:textId="4E61EFFE">
      <w:pPr>
        <w:pStyle w:val="BodyText"/>
        <w:keepLines/>
        <w:spacing w:after="120" w:line="276" w:lineRule="auto"/>
        <w:ind w:right="104"/>
        <w:rPr>
          <w:rFonts w:ascii="Times New Roman" w:hAnsi="Times New Roman" w:cs="Times New Roman"/>
        </w:rPr>
      </w:pPr>
      <w:r w:rsidRPr="00EE3B6B">
        <w:rPr>
          <w:rFonts w:ascii="Times New Roman" w:hAnsi="Times New Roman" w:cs="Times New Roman"/>
        </w:rPr>
        <w:t>Issuers of plans subject to the CMS non-enforcement policy</w:t>
      </w:r>
      <w:r>
        <w:rPr>
          <w:rStyle w:val="FootnoteReference"/>
          <w:rFonts w:ascii="Times New Roman" w:hAnsi="Times New Roman" w:cs="Times New Roman"/>
        </w:rPr>
        <w:footnoteReference w:id="10"/>
      </w:r>
      <w:r w:rsidRPr="00EE3B6B">
        <w:rPr>
          <w:rFonts w:ascii="Times New Roman" w:hAnsi="Times New Roman" w:cs="Times New Roman"/>
        </w:rPr>
        <w:t xml:space="preserve"> (also known as </w:t>
      </w:r>
      <w:r w:rsidRPr="00EE3B6B">
        <w:rPr>
          <w:rFonts w:ascii="Times New Roman" w:hAnsi="Times New Roman" w:cs="Times New Roman"/>
        </w:rPr>
        <w:t>grandmothered</w:t>
      </w:r>
      <w:r w:rsidRPr="00EE3B6B">
        <w:rPr>
          <w:rFonts w:ascii="Times New Roman" w:hAnsi="Times New Roman" w:cs="Times New Roman"/>
        </w:rPr>
        <w:t xml:space="preserve"> plans) must submit a Preliminary Justification for any </w:t>
      </w:r>
      <w:r w:rsidRPr="00EE3B6B" w:rsidR="00585723">
        <w:rPr>
          <w:rFonts w:ascii="Times New Roman" w:hAnsi="Times New Roman" w:cs="Times New Roman"/>
        </w:rPr>
        <w:t xml:space="preserve">filing which includes a </w:t>
      </w:r>
      <w:r w:rsidRPr="00EE3B6B">
        <w:rPr>
          <w:rFonts w:ascii="Times New Roman" w:hAnsi="Times New Roman" w:cs="Times New Roman"/>
        </w:rPr>
        <w:t xml:space="preserve">rate increase of 10% or more into the HIOS Rate Review Justification (RRJ) Module, which generally consists of Part I – Rate Increase Summary Form, Part II – Written Explanation of the Rate Increase, and Part III – Rate Filing Documentation. </w:t>
      </w:r>
      <w:r w:rsidRPr="00EE3B6B" w:rsidR="004A4D87">
        <w:rPr>
          <w:rFonts w:ascii="Times New Roman" w:hAnsi="Times New Roman" w:cs="Times New Roman"/>
        </w:rPr>
        <w:t>In states that do not have an Effective Rate Review Program, i</w:t>
      </w:r>
      <w:r w:rsidRPr="00EE3B6B">
        <w:rPr>
          <w:rFonts w:ascii="Times New Roman" w:hAnsi="Times New Roman" w:cs="Times New Roman"/>
        </w:rPr>
        <w:t xml:space="preserve">ssuers are encouraged to submit the Preliminary Justification at least 60 days in advance of implementation of any rate increase which is subject to review. Instructions for submitting these types of plans can be found at: </w:t>
      </w:r>
      <w:hyperlink r:id="rId14" w:history="1">
        <w:r w:rsidRPr="00EE3B6B" w:rsidR="00023133">
          <w:rPr>
            <w:rStyle w:val="Hyperlink"/>
            <w:rFonts w:ascii="Times New Roman" w:hAnsi="Times New Roman" w:cs="Times New Roman"/>
          </w:rPr>
          <w:t>https://www.cms.gov/CCIIO/Resources/Forms-Reports-and-Other-Resources/Downloads/HIOS-Rate-Review-Technical-Instructions-for-States-and-Health-Insurance-Issuers.pdf</w:t>
        </w:r>
      </w:hyperlink>
      <w:r w:rsidRPr="00EE3B6B" w:rsidR="00344F61">
        <w:rPr>
          <w:rFonts w:ascii="Times New Roman" w:hAnsi="Times New Roman" w:cs="Times New Roman"/>
        </w:rPr>
        <w:t>.</w:t>
      </w:r>
    </w:p>
    <w:p w:rsidR="008B631C" w:rsidRPr="00EE3B6B" w:rsidP="006D1FD2" w14:paraId="24B9E489" w14:textId="31AAD647">
      <w:pPr>
        <w:pStyle w:val="BodyText"/>
        <w:keepLines/>
        <w:spacing w:after="120" w:line="276" w:lineRule="auto"/>
        <w:ind w:right="104"/>
        <w:rPr>
          <w:rFonts w:ascii="Times New Roman" w:hAnsi="Times New Roman" w:cs="Times New Roman"/>
          <w:b/>
        </w:rPr>
      </w:pPr>
      <w:r w:rsidRPr="00EE3B6B">
        <w:rPr>
          <w:rFonts w:ascii="Times New Roman" w:hAnsi="Times New Roman" w:cs="Times New Roman"/>
          <w:b/>
        </w:rPr>
        <w:t>Optional Benefits</w:t>
      </w:r>
    </w:p>
    <w:p w:rsidR="008B631C" w:rsidRPr="00EE3B6B" w:rsidP="006D1FD2" w14:paraId="0A811E50" w14:textId="3B546212">
      <w:pPr>
        <w:pStyle w:val="BodyText"/>
        <w:keepLines/>
        <w:spacing w:after="120" w:line="276" w:lineRule="auto"/>
        <w:ind w:right="104"/>
        <w:rPr>
          <w:rFonts w:ascii="Times New Roman" w:hAnsi="Times New Roman" w:cs="Times New Roman"/>
        </w:rPr>
      </w:pPr>
      <w:r w:rsidRPr="00EE3B6B">
        <w:rPr>
          <w:rFonts w:ascii="Times New Roman" w:hAnsi="Times New Roman" w:cs="Times New Roman"/>
        </w:rPr>
        <w:t>ALL benefits offered in a plan must be embedded in that plan</w:t>
      </w:r>
      <w:r w:rsidRPr="00EE3B6B" w:rsidR="00F22442">
        <w:rPr>
          <w:rFonts w:ascii="Times New Roman" w:hAnsi="Times New Roman" w:cs="Times New Roman"/>
        </w:rPr>
        <w:t>. If an issuer wants to offer an “optional” benefit, there are two options:</w:t>
      </w:r>
    </w:p>
    <w:p w:rsidR="00F22442" w:rsidRPr="00EE3B6B" w:rsidP="00FA5020" w14:paraId="16749292" w14:textId="3116382A">
      <w:pPr>
        <w:pStyle w:val="BodyText"/>
        <w:keepLines/>
        <w:numPr>
          <w:ilvl w:val="0"/>
          <w:numId w:val="3"/>
        </w:numPr>
        <w:spacing w:after="120" w:line="276" w:lineRule="auto"/>
        <w:ind w:left="720" w:right="104"/>
        <w:rPr>
          <w:rFonts w:ascii="Times New Roman" w:hAnsi="Times New Roman" w:cs="Times New Roman"/>
        </w:rPr>
      </w:pPr>
      <w:r w:rsidRPr="00EE3B6B">
        <w:rPr>
          <w:rFonts w:ascii="Times New Roman" w:hAnsi="Times New Roman" w:cs="Times New Roman"/>
        </w:rPr>
        <w:t>The issuer can create a separate p</w:t>
      </w:r>
      <w:r w:rsidRPr="00EE3B6B" w:rsidR="00DB2E7D">
        <w:rPr>
          <w:rFonts w:ascii="Times New Roman" w:hAnsi="Times New Roman" w:cs="Times New Roman"/>
        </w:rPr>
        <w:t>roduct</w:t>
      </w:r>
      <w:r w:rsidRPr="00EE3B6B">
        <w:rPr>
          <w:rFonts w:ascii="Times New Roman" w:hAnsi="Times New Roman" w:cs="Times New Roman"/>
        </w:rPr>
        <w:t xml:space="preserve"> with the required Essential Health Benefits (EHBs) and the “optional” benefit included.</w:t>
      </w:r>
    </w:p>
    <w:p w:rsidR="00F22442" w:rsidRPr="00EE3B6B" w:rsidP="00FA5020" w14:paraId="1127A4A9" w14:textId="2B55AF3F">
      <w:pPr>
        <w:pStyle w:val="BodyText"/>
        <w:keepLines/>
        <w:numPr>
          <w:ilvl w:val="0"/>
          <w:numId w:val="3"/>
        </w:numPr>
        <w:spacing w:after="120" w:line="276" w:lineRule="auto"/>
        <w:ind w:left="720" w:right="104"/>
        <w:rPr>
          <w:rFonts w:ascii="Times New Roman" w:hAnsi="Times New Roman" w:cs="Times New Roman"/>
        </w:rPr>
      </w:pPr>
      <w:r w:rsidRPr="00EE3B6B">
        <w:rPr>
          <w:rFonts w:ascii="Times New Roman" w:hAnsi="Times New Roman" w:cs="Times New Roman"/>
        </w:rPr>
        <w:t>The issuer can offer the “optional” benefit as a separate policy in a manner that satisfies the definition of one of the categories of excepted benefits</w:t>
      </w:r>
      <w:r w:rsidRPr="00EE3B6B" w:rsidR="00367C50">
        <w:rPr>
          <w:rFonts w:ascii="Times New Roman" w:hAnsi="Times New Roman" w:cs="Times New Roman"/>
        </w:rPr>
        <w:t>.</w:t>
      </w:r>
      <w:r>
        <w:rPr>
          <w:rStyle w:val="FootnoteReference"/>
          <w:rFonts w:ascii="Times New Roman" w:hAnsi="Times New Roman" w:cs="Times New Roman"/>
        </w:rPr>
        <w:footnoteReference w:id="11"/>
      </w:r>
    </w:p>
    <w:p w:rsidR="008B631C" w:rsidRPr="00EE3B6B" w:rsidP="006D1FD2" w14:paraId="38E4B505" w14:textId="635171EE">
      <w:pPr>
        <w:keepLines/>
        <w:spacing w:after="120" w:line="276" w:lineRule="auto"/>
        <w:rPr>
          <w:rFonts w:ascii="Times New Roman" w:hAnsi="Times New Roman" w:cs="Times New Roman"/>
        </w:rPr>
      </w:pPr>
      <w:r w:rsidRPr="00EE3B6B">
        <w:rPr>
          <w:rFonts w:ascii="Times New Roman" w:hAnsi="Times New Roman" w:cs="Times New Roman"/>
        </w:rPr>
        <w:t xml:space="preserve">The concept of “optional riders” is incongruent with </w:t>
      </w:r>
      <w:r w:rsidRPr="00EE3B6B" w:rsidR="00DF2F3B">
        <w:rPr>
          <w:rFonts w:ascii="Times New Roman" w:hAnsi="Times New Roman" w:cs="Times New Roman"/>
        </w:rPr>
        <w:t>f</w:t>
      </w:r>
      <w:r w:rsidRPr="00EE3B6B">
        <w:rPr>
          <w:rFonts w:ascii="Times New Roman" w:hAnsi="Times New Roman" w:cs="Times New Roman"/>
        </w:rPr>
        <w:t>ederal rules, including the single risk pool requirements.</w:t>
      </w:r>
    </w:p>
    <w:p w:rsidR="00F22442" w:rsidRPr="00FA6F2C" w:rsidP="00FA6F2C" w14:paraId="3901618D" w14:textId="79B5383B">
      <w:pPr>
        <w:pStyle w:val="Heading2"/>
      </w:pPr>
      <w:bookmarkStart w:id="22" w:name="_Toc174003420"/>
      <w:r w:rsidRPr="00FA6F2C">
        <w:t>Market Reform Rating Rules</w:t>
      </w:r>
      <w:bookmarkEnd w:id="22"/>
    </w:p>
    <w:p w:rsidR="000A1538" w:rsidRPr="00EE3B6B" w:rsidP="006D1FD2" w14:paraId="2478D0B9" w14:textId="28A37A8E">
      <w:pPr>
        <w:keepLines/>
        <w:spacing w:after="120" w:line="276" w:lineRule="auto"/>
        <w:rPr>
          <w:rFonts w:ascii="Times New Roman" w:hAnsi="Times New Roman" w:cs="Times New Roman"/>
          <w:b/>
        </w:rPr>
      </w:pPr>
      <w:r w:rsidRPr="00EE3B6B">
        <w:rPr>
          <w:rFonts w:ascii="Times New Roman" w:hAnsi="Times New Roman" w:cs="Times New Roman"/>
        </w:rPr>
        <w:t>Issuers must comply with the Market Reform Rating Rules specified in 45 CFR 156.80 and 147.102. The following is a description of allowable rating methods and factors issuers may use when establishing their rates</w:t>
      </w:r>
      <w:r w:rsidR="006A6A62">
        <w:rPr>
          <w:rFonts w:ascii="Times New Roman" w:hAnsi="Times New Roman" w:cs="Times New Roman"/>
        </w:rPr>
        <w:t>.</w:t>
      </w:r>
    </w:p>
    <w:p w:rsidR="00A712F5" w:rsidP="006D1FD2" w14:paraId="0206329B" w14:textId="77777777">
      <w:pPr>
        <w:keepLines/>
        <w:spacing w:after="120" w:line="276" w:lineRule="auto"/>
        <w:rPr>
          <w:rFonts w:ascii="Times New Roman" w:hAnsi="Times New Roman" w:cs="Times New Roman"/>
          <w:b/>
        </w:rPr>
      </w:pPr>
    </w:p>
    <w:p w:rsidR="00F22442" w:rsidRPr="00EE3B6B" w:rsidP="006D1FD2" w14:paraId="49EC1389" w14:textId="6BBB0D9D">
      <w:pPr>
        <w:keepLines/>
        <w:spacing w:after="120" w:line="276" w:lineRule="auto"/>
        <w:rPr>
          <w:rFonts w:ascii="Times New Roman" w:hAnsi="Times New Roman" w:cs="Times New Roman"/>
          <w:b/>
        </w:rPr>
      </w:pPr>
      <w:r w:rsidRPr="00EE3B6B">
        <w:rPr>
          <w:rFonts w:ascii="Times New Roman" w:hAnsi="Times New Roman" w:cs="Times New Roman"/>
          <w:b/>
        </w:rPr>
        <w:t>Single Risk Pool</w:t>
      </w:r>
    </w:p>
    <w:p w:rsidR="00F22442" w:rsidRPr="00EE3B6B" w:rsidP="006D1FD2" w14:paraId="00B64FCE" w14:textId="5480D2EC">
      <w:pPr>
        <w:keepLines/>
        <w:spacing w:after="120" w:line="276" w:lineRule="auto"/>
        <w:rPr>
          <w:rFonts w:ascii="Times New Roman" w:hAnsi="Times New Roman" w:cs="Times New Roman"/>
        </w:rPr>
      </w:pPr>
      <w:r w:rsidRPr="00EE3B6B">
        <w:rPr>
          <w:rFonts w:ascii="Times New Roman" w:hAnsi="Times New Roman" w:cs="Times New Roman"/>
        </w:rPr>
        <w:t>The single risk pool, as specified in 45 CFR 156.80(a-c), include</w:t>
      </w:r>
      <w:r w:rsidRPr="00EE3B6B" w:rsidR="0058613B">
        <w:rPr>
          <w:rFonts w:ascii="Times New Roman" w:hAnsi="Times New Roman" w:cs="Times New Roman"/>
        </w:rPr>
        <w:t>s</w:t>
      </w:r>
      <w:r w:rsidRPr="00EE3B6B">
        <w:rPr>
          <w:rFonts w:ascii="Times New Roman" w:hAnsi="Times New Roman" w:cs="Times New Roman"/>
        </w:rPr>
        <w:t xml:space="preserve"> ALL non-grandfathered covered persons (lives) an issuer has in a </w:t>
      </w:r>
      <w:r w:rsidRPr="00EE3B6B" w:rsidR="00B93349">
        <w:rPr>
          <w:rFonts w:ascii="Times New Roman" w:hAnsi="Times New Roman" w:cs="Times New Roman"/>
        </w:rPr>
        <w:t>s</w:t>
      </w:r>
      <w:r w:rsidRPr="00EE3B6B">
        <w:rPr>
          <w:rFonts w:ascii="Times New Roman" w:hAnsi="Times New Roman" w:cs="Times New Roman"/>
        </w:rPr>
        <w:t>tate, within a market (individual, small group, or combined). Th</w:t>
      </w:r>
      <w:r w:rsidRPr="00EE3B6B" w:rsidR="00F9462E">
        <w:rPr>
          <w:rFonts w:ascii="Times New Roman" w:hAnsi="Times New Roman" w:cs="Times New Roman"/>
        </w:rPr>
        <w:t>is</w:t>
      </w:r>
      <w:r w:rsidRPr="00EE3B6B">
        <w:rPr>
          <w:rFonts w:ascii="Times New Roman" w:hAnsi="Times New Roman" w:cs="Times New Roman"/>
        </w:rPr>
        <w:t xml:space="preserve"> includes information for transitional products/plans</w:t>
      </w:r>
      <w:r w:rsidRPr="00EE3B6B" w:rsidR="00877652">
        <w:rPr>
          <w:rFonts w:ascii="Times New Roman" w:hAnsi="Times New Roman" w:cs="Times New Roman"/>
        </w:rPr>
        <w:t>.</w:t>
      </w:r>
      <w:r w:rsidRPr="00EE3B6B" w:rsidR="00F9462E">
        <w:rPr>
          <w:rFonts w:ascii="Times New Roman" w:hAnsi="Times New Roman" w:cs="Times New Roman"/>
        </w:rPr>
        <w:t xml:space="preserve"> </w:t>
      </w:r>
      <w:r w:rsidRPr="00EE3B6B" w:rsidR="00877652">
        <w:rPr>
          <w:rFonts w:ascii="Times New Roman" w:hAnsi="Times New Roman" w:cs="Times New Roman"/>
        </w:rPr>
        <w:t>H</w:t>
      </w:r>
      <w:r w:rsidRPr="00EE3B6B" w:rsidR="00F9462E">
        <w:rPr>
          <w:rFonts w:ascii="Times New Roman" w:hAnsi="Times New Roman" w:cs="Times New Roman"/>
        </w:rPr>
        <w:t xml:space="preserve">owever, for reporting purposes and build-up of the projected </w:t>
      </w:r>
      <w:r w:rsidRPr="00EE3B6B" w:rsidR="00C66220">
        <w:rPr>
          <w:rFonts w:ascii="Times New Roman" w:hAnsi="Times New Roman" w:cs="Times New Roman"/>
        </w:rPr>
        <w:t>Index Rate</w:t>
      </w:r>
      <w:r w:rsidRPr="00EE3B6B" w:rsidR="00F9462E">
        <w:rPr>
          <w:rFonts w:ascii="Times New Roman" w:hAnsi="Times New Roman" w:cs="Times New Roman"/>
        </w:rPr>
        <w:t xml:space="preserve">, an issuer should only list transitional plan experience that </w:t>
      </w:r>
      <w:r w:rsidRPr="00EE3B6B" w:rsidR="00F9462E">
        <w:rPr>
          <w:rFonts w:ascii="Times New Roman" w:hAnsi="Times New Roman" w:cs="Times New Roman"/>
        </w:rPr>
        <w:t>actually affects</w:t>
      </w:r>
      <w:r w:rsidRPr="00EE3B6B" w:rsidR="00F9462E">
        <w:rPr>
          <w:rFonts w:ascii="Times New Roman" w:hAnsi="Times New Roman" w:cs="Times New Roman"/>
        </w:rPr>
        <w:t xml:space="preserve"> the projected </w:t>
      </w:r>
      <w:r w:rsidRPr="00EE3B6B" w:rsidR="00C66220">
        <w:rPr>
          <w:rFonts w:ascii="Times New Roman" w:hAnsi="Times New Roman" w:cs="Times New Roman"/>
        </w:rPr>
        <w:t>Index Rate</w:t>
      </w:r>
      <w:r w:rsidRPr="00EE3B6B" w:rsidR="00991F20">
        <w:rPr>
          <w:rFonts w:ascii="Times New Roman" w:hAnsi="Times New Roman" w:cs="Times New Roman"/>
        </w:rPr>
        <w:t xml:space="preserve">. </w:t>
      </w:r>
      <w:r w:rsidRPr="00EE3B6B" w:rsidR="00F9462E">
        <w:rPr>
          <w:rFonts w:ascii="Times New Roman" w:hAnsi="Times New Roman" w:cs="Times New Roman"/>
        </w:rPr>
        <w:t xml:space="preserve">In other words, an issuer is not required to include transitional plan experience from the </w:t>
      </w:r>
      <w:r w:rsidRPr="00EE3B6B" w:rsidR="00C66220">
        <w:rPr>
          <w:rFonts w:ascii="Times New Roman" w:hAnsi="Times New Roman" w:cs="Times New Roman"/>
        </w:rPr>
        <w:t>Experience Period</w:t>
      </w:r>
      <w:r w:rsidRPr="00EE3B6B" w:rsidR="00F9462E">
        <w:rPr>
          <w:rFonts w:ascii="Times New Roman" w:hAnsi="Times New Roman" w:cs="Times New Roman"/>
        </w:rPr>
        <w:t xml:space="preserve">, only to back that experience out when calculating the projected </w:t>
      </w:r>
      <w:r w:rsidRPr="00EE3B6B" w:rsidR="00C66220">
        <w:rPr>
          <w:rFonts w:ascii="Times New Roman" w:hAnsi="Times New Roman" w:cs="Times New Roman"/>
        </w:rPr>
        <w:t>Index Rate</w:t>
      </w:r>
      <w:r w:rsidRPr="00EE3B6B" w:rsidR="00F9462E">
        <w:rPr>
          <w:rFonts w:ascii="Times New Roman" w:hAnsi="Times New Roman" w:cs="Times New Roman"/>
        </w:rPr>
        <w:t xml:space="preserve">. </w:t>
      </w:r>
      <w:r w:rsidRPr="00EE3B6B" w:rsidR="00991F20">
        <w:rPr>
          <w:rFonts w:ascii="Times New Roman" w:hAnsi="Times New Roman" w:cs="Times New Roman"/>
        </w:rPr>
        <w:t xml:space="preserve">The </w:t>
      </w:r>
      <w:r w:rsidRPr="00EE3B6B" w:rsidR="00C66220">
        <w:rPr>
          <w:rFonts w:ascii="Times New Roman" w:hAnsi="Times New Roman" w:cs="Times New Roman"/>
        </w:rPr>
        <w:t>Projection Period</w:t>
      </w:r>
      <w:r w:rsidRPr="00EE3B6B" w:rsidR="00991F20">
        <w:rPr>
          <w:rFonts w:ascii="Times New Roman" w:hAnsi="Times New Roman" w:cs="Times New Roman"/>
        </w:rPr>
        <w:t xml:space="preserve"> should reflect experience of transitional policies to the extent the issuer anticipates the members of those policies will be enr</w:t>
      </w:r>
      <w:r w:rsidRPr="00EE3B6B" w:rsidR="00302F8D">
        <w:rPr>
          <w:rFonts w:ascii="Times New Roman" w:hAnsi="Times New Roman" w:cs="Times New Roman"/>
        </w:rPr>
        <w:t>olled in single risk pool plans</w:t>
      </w:r>
      <w:r w:rsidRPr="00EE3B6B" w:rsidR="00991F20">
        <w:rPr>
          <w:rFonts w:ascii="Times New Roman" w:hAnsi="Times New Roman" w:cs="Times New Roman"/>
        </w:rPr>
        <w:t xml:space="preserve"> during the </w:t>
      </w:r>
      <w:r w:rsidRPr="00EE3B6B" w:rsidR="00C66220">
        <w:rPr>
          <w:rFonts w:ascii="Times New Roman" w:hAnsi="Times New Roman" w:cs="Times New Roman"/>
        </w:rPr>
        <w:t>Projection Period</w:t>
      </w:r>
      <w:r w:rsidRPr="00EE3B6B" w:rsidR="00991F20">
        <w:rPr>
          <w:rFonts w:ascii="Times New Roman" w:hAnsi="Times New Roman" w:cs="Times New Roman"/>
        </w:rPr>
        <w:t>.</w:t>
      </w:r>
    </w:p>
    <w:p w:rsidR="006D1FD2" w:rsidRPr="00EE3B6B" w:rsidP="006D1FD2" w14:paraId="2FDBB138" w14:textId="751A3BC0">
      <w:pPr>
        <w:keepLines/>
        <w:spacing w:after="120" w:line="276" w:lineRule="auto"/>
        <w:rPr>
          <w:rFonts w:ascii="Times New Roman" w:hAnsi="Times New Roman" w:cs="Times New Roman"/>
          <w:b/>
        </w:rPr>
      </w:pPr>
      <w:r w:rsidRPr="00EE3B6B">
        <w:rPr>
          <w:rFonts w:ascii="Times New Roman" w:hAnsi="Times New Roman" w:cs="Times New Roman"/>
          <w:b/>
        </w:rPr>
        <w:t>Index Rate</w:t>
      </w:r>
    </w:p>
    <w:p w:rsidR="006D1FD2" w:rsidRPr="00EE3B6B" w:rsidP="006D1FD2" w14:paraId="76D14065" w14:textId="070502ED">
      <w:pPr>
        <w:keepLines/>
        <w:spacing w:after="120" w:line="276" w:lineRule="auto"/>
        <w:rPr>
          <w:rFonts w:ascii="Times New Roman" w:hAnsi="Times New Roman" w:cs="Times New Roman"/>
        </w:rPr>
      </w:pPr>
      <w:r w:rsidRPr="00EE3B6B">
        <w:rPr>
          <w:rFonts w:ascii="Times New Roman" w:hAnsi="Times New Roman" w:cs="Times New Roman"/>
          <w:noProof/>
        </w:rPr>
        <mc:AlternateContent>
          <mc:Choice Requires="wps">
            <w:drawing>
              <wp:anchor distT="45720" distB="45720" distL="114300" distR="114300" simplePos="0" relativeHeight="251691008" behindDoc="0" locked="1" layoutInCell="1" allowOverlap="1">
                <wp:simplePos x="0" y="0"/>
                <wp:positionH relativeFrom="margin">
                  <wp:align>left</wp:align>
                </wp:positionH>
                <wp:positionV relativeFrom="margin">
                  <wp:posOffset>4441190</wp:posOffset>
                </wp:positionV>
                <wp:extent cx="5934075" cy="349885"/>
                <wp:effectExtent l="0" t="0" r="28575" b="12065"/>
                <wp:wrapSquare wrapText="bothSides"/>
                <wp:docPr id="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34075" cy="349885"/>
                        </a:xfrm>
                        <a:prstGeom prst="rect">
                          <a:avLst/>
                        </a:prstGeom>
                        <a:solidFill>
                          <a:schemeClr val="bg1">
                            <a:lumMod val="85000"/>
                          </a:schemeClr>
                        </a:solidFill>
                        <a:ln w="9525">
                          <a:solidFill>
                            <a:srgbClr val="000000"/>
                          </a:solidFill>
                          <a:miter lim="800000"/>
                          <a:headEnd/>
                          <a:tailEnd/>
                        </a:ln>
                      </wps:spPr>
                      <wps:txbx>
                        <w:txbxContent>
                          <w:p w:rsidR="00D33AE9" w:rsidRPr="00FA5020" w:rsidP="00023133" w14:textId="77777777">
                            <w:pPr>
                              <w:rPr>
                                <w:rFonts w:ascii="Times New Roman" w:hAnsi="Times New Roman" w:cs="Times New Roman"/>
                                <w:color w:val="323E4F" w:themeColor="text2" w:themeShade="BF"/>
                              </w:rPr>
                            </w:pPr>
                            <w:r w:rsidRPr="00FA5020">
                              <w:rPr>
                                <w:rFonts w:ascii="Times New Roman" w:hAnsi="Times New Roman" w:cs="Times New Roman"/>
                                <w:b/>
                                <w:color w:val="323E4F" w:themeColor="text2" w:themeShade="BF"/>
                                <w:u w:val="single"/>
                              </w:rPr>
                              <w:t>Tip:</w:t>
                            </w:r>
                            <w:r w:rsidRPr="00FA5020">
                              <w:rPr>
                                <w:rFonts w:ascii="Times New Roman" w:hAnsi="Times New Roman" w:cs="Times New Roman"/>
                                <w:color w:val="323E4F" w:themeColor="text2" w:themeShade="BF"/>
                              </w:rPr>
                              <w:t xml:space="preserve"> The Index Rate is the allowed claims PMPM for providing EHBs during the applicable period.</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0" type="#_x0000_t202" style="width:467.25pt;height:27.55pt;margin-top:349.7pt;margin-left:0;mso-height-percent:0;mso-height-relative:margin;mso-position-horizontal:left;mso-position-horizontal-relative:margin;mso-position-vertical-relative:margin;mso-width-percent:0;mso-width-relative:margin;mso-wrap-distance-bottom:3.6pt;mso-wrap-distance-left:9pt;mso-wrap-distance-right:9pt;mso-wrap-distance-top:3.6pt;mso-wrap-style:square;position:absolute;visibility:visible;v-text-anchor:top;z-index:251692032" fillcolor="#d8d8d8">
                <v:textbox>
                  <w:txbxContent>
                    <w:p w:rsidR="00D33AE9" w:rsidRPr="00FA5020" w:rsidP="00023133" w14:paraId="7FB95DD1" w14:textId="77777777">
                      <w:pPr>
                        <w:rPr>
                          <w:rFonts w:ascii="Times New Roman" w:hAnsi="Times New Roman" w:cs="Times New Roman"/>
                          <w:color w:val="323E4F" w:themeColor="text2" w:themeShade="BF"/>
                        </w:rPr>
                      </w:pPr>
                      <w:r w:rsidRPr="00FA5020">
                        <w:rPr>
                          <w:rFonts w:ascii="Times New Roman" w:hAnsi="Times New Roman" w:cs="Times New Roman"/>
                          <w:b/>
                          <w:color w:val="323E4F" w:themeColor="text2" w:themeShade="BF"/>
                          <w:u w:val="single"/>
                        </w:rPr>
                        <w:t>Tip:</w:t>
                      </w:r>
                      <w:r w:rsidRPr="00FA5020">
                        <w:rPr>
                          <w:rFonts w:ascii="Times New Roman" w:hAnsi="Times New Roman" w:cs="Times New Roman"/>
                          <w:color w:val="323E4F" w:themeColor="text2" w:themeShade="BF"/>
                        </w:rPr>
                        <w:t xml:space="preserve"> The Index Rate is the allowed claims PMPM for providing EHBs during the applicable period.</w:t>
                      </w:r>
                    </w:p>
                  </w:txbxContent>
                </v:textbox>
                <w10:wrap type="square"/>
                <w10:anchorlock/>
              </v:shape>
            </w:pict>
          </mc:Fallback>
        </mc:AlternateContent>
      </w:r>
      <w:r w:rsidRPr="00EE3B6B" w:rsidR="00991F20">
        <w:rPr>
          <w:rFonts w:ascii="Times New Roman" w:hAnsi="Times New Roman" w:cs="Times New Roman"/>
        </w:rPr>
        <w:t xml:space="preserve">The </w:t>
      </w:r>
      <w:r w:rsidRPr="00EE3B6B" w:rsidR="00C66220">
        <w:rPr>
          <w:rFonts w:ascii="Times New Roman" w:hAnsi="Times New Roman" w:cs="Times New Roman"/>
        </w:rPr>
        <w:t>Index Rate</w:t>
      </w:r>
      <w:r w:rsidRPr="00EE3B6B" w:rsidR="002E0F85">
        <w:rPr>
          <w:rFonts w:ascii="Times New Roman" w:hAnsi="Times New Roman" w:cs="Times New Roman"/>
        </w:rPr>
        <w:t xml:space="preserve"> is the allowed claims costs for providing EHBs within the single risk pool of that market expressed on a </w:t>
      </w:r>
      <w:r w:rsidRPr="00EE3B6B" w:rsidR="00AF1E08">
        <w:rPr>
          <w:rFonts w:ascii="Times New Roman" w:hAnsi="Times New Roman" w:cs="Times New Roman"/>
        </w:rPr>
        <w:t>PMPM</w:t>
      </w:r>
      <w:r w:rsidRPr="00EE3B6B" w:rsidR="002932B1">
        <w:rPr>
          <w:rFonts w:ascii="Times New Roman" w:hAnsi="Times New Roman" w:cs="Times New Roman"/>
        </w:rPr>
        <w:t xml:space="preserve"> </w:t>
      </w:r>
      <w:r w:rsidRPr="00EE3B6B" w:rsidR="002E0F85">
        <w:rPr>
          <w:rFonts w:ascii="Times New Roman" w:hAnsi="Times New Roman" w:cs="Times New Roman"/>
        </w:rPr>
        <w:t xml:space="preserve">basis. As a result, the </w:t>
      </w:r>
      <w:r w:rsidRPr="00EE3B6B" w:rsidR="00C66220">
        <w:rPr>
          <w:rFonts w:ascii="Times New Roman" w:hAnsi="Times New Roman" w:cs="Times New Roman"/>
        </w:rPr>
        <w:t>Index Rate</w:t>
      </w:r>
      <w:r w:rsidRPr="00EE3B6B" w:rsidR="002E0F85">
        <w:rPr>
          <w:rFonts w:ascii="Times New Roman" w:hAnsi="Times New Roman" w:cs="Times New Roman"/>
        </w:rPr>
        <w:t xml:space="preserve"> should be the </w:t>
      </w:r>
      <w:r w:rsidRPr="00EE3B6B" w:rsidR="009831BB">
        <w:rPr>
          <w:rFonts w:ascii="Times New Roman" w:hAnsi="Times New Roman" w:cs="Times New Roman"/>
        </w:rPr>
        <w:t>SAME</w:t>
      </w:r>
      <w:r w:rsidRPr="00EE3B6B" w:rsidR="002E0F85">
        <w:rPr>
          <w:rFonts w:ascii="Times New Roman" w:hAnsi="Times New Roman" w:cs="Times New Roman"/>
          <w:b/>
        </w:rPr>
        <w:t xml:space="preserve"> </w:t>
      </w:r>
      <w:r w:rsidRPr="00EE3B6B" w:rsidR="002E0F85">
        <w:rPr>
          <w:rFonts w:ascii="Times New Roman" w:hAnsi="Times New Roman" w:cs="Times New Roman"/>
        </w:rPr>
        <w:t xml:space="preserve">value for all non-grandfathered plans for an issuer in a </w:t>
      </w:r>
      <w:r w:rsidRPr="00EE3B6B" w:rsidR="00B93349">
        <w:rPr>
          <w:rFonts w:ascii="Times New Roman" w:hAnsi="Times New Roman" w:cs="Times New Roman"/>
        </w:rPr>
        <w:t>s</w:t>
      </w:r>
      <w:r w:rsidRPr="00EE3B6B" w:rsidR="002E0F85">
        <w:rPr>
          <w:rFonts w:ascii="Times New Roman" w:hAnsi="Times New Roman" w:cs="Times New Roman"/>
        </w:rPr>
        <w:t xml:space="preserve">tate and market. This includes claims and enrollment for transitional products/plans in the </w:t>
      </w:r>
      <w:r w:rsidRPr="00EE3B6B" w:rsidR="00C66220">
        <w:rPr>
          <w:rFonts w:ascii="Times New Roman" w:hAnsi="Times New Roman" w:cs="Times New Roman"/>
        </w:rPr>
        <w:t>Experience Period</w:t>
      </w:r>
      <w:r w:rsidRPr="00EE3B6B" w:rsidR="002E0F85">
        <w:rPr>
          <w:rFonts w:ascii="Times New Roman" w:hAnsi="Times New Roman" w:cs="Times New Roman"/>
        </w:rPr>
        <w:t xml:space="preserve"> and in the </w:t>
      </w:r>
      <w:r w:rsidRPr="00EE3B6B" w:rsidR="00C66220">
        <w:rPr>
          <w:rFonts w:ascii="Times New Roman" w:hAnsi="Times New Roman" w:cs="Times New Roman"/>
        </w:rPr>
        <w:t>Projection Period</w:t>
      </w:r>
      <w:r w:rsidRPr="00EE3B6B" w:rsidR="009218CD">
        <w:rPr>
          <w:rFonts w:ascii="Times New Roman" w:hAnsi="Times New Roman" w:cs="Times New Roman"/>
        </w:rPr>
        <w:t xml:space="preserve"> to the extent the issuer anticipates the members in those policies will be enrolled in single risk pool plans during the </w:t>
      </w:r>
      <w:r w:rsidRPr="00EE3B6B" w:rsidR="00C66220">
        <w:rPr>
          <w:rFonts w:ascii="Times New Roman" w:hAnsi="Times New Roman" w:cs="Times New Roman"/>
        </w:rPr>
        <w:t>Projection Period</w:t>
      </w:r>
      <w:r w:rsidRPr="00EE3B6B" w:rsidR="009218CD">
        <w:rPr>
          <w:rFonts w:ascii="Times New Roman" w:hAnsi="Times New Roman" w:cs="Times New Roman"/>
        </w:rPr>
        <w:t>.</w:t>
      </w:r>
    </w:p>
    <w:p w:rsidR="00991F20" w:rsidRPr="00EE3B6B" w:rsidP="006D1FD2" w14:paraId="0B5A70DE" w14:textId="22A168CA">
      <w:pPr>
        <w:keepLines/>
        <w:spacing w:after="120" w:line="276" w:lineRule="auto"/>
        <w:rPr>
          <w:rFonts w:ascii="Times New Roman" w:hAnsi="Times New Roman" w:cs="Times New Roman"/>
        </w:rPr>
      </w:pPr>
      <w:r w:rsidRPr="00EE3B6B">
        <w:rPr>
          <w:rFonts w:ascii="Times New Roman" w:hAnsi="Times New Roman" w:cs="Times New Roman"/>
        </w:rPr>
        <w:t>If an issuer projects members in transitional policies to migrate to a single risk pool policy, appropriate adjustments should be made in Worksheet 1 – Section II of the URRT to bring the costs associated with the transitional policies in line with projected costs of the sing</w:t>
      </w:r>
      <w:r w:rsidRPr="00EE3B6B" w:rsidR="003C19D8">
        <w:rPr>
          <w:rFonts w:ascii="Times New Roman" w:hAnsi="Times New Roman" w:cs="Times New Roman"/>
        </w:rPr>
        <w:t>l</w:t>
      </w:r>
      <w:r w:rsidRPr="00EE3B6B">
        <w:rPr>
          <w:rFonts w:ascii="Times New Roman" w:hAnsi="Times New Roman" w:cs="Times New Roman"/>
        </w:rPr>
        <w:t>e risk pool policy in the projected experience. Projected member experience should reflect when those members are expected to enter a single risk pool plan. For example, transitional plan members expected to enroll in a single risk pool plan in October would contribute three months of projected experience.</w:t>
      </w:r>
    </w:p>
    <w:p w:rsidR="009218CD" w:rsidRPr="00EE3B6B" w:rsidP="006D1FD2" w14:paraId="27A8A5BA" w14:textId="196EEB0A">
      <w:pPr>
        <w:keepLines/>
        <w:spacing w:after="120" w:line="276" w:lineRule="auto"/>
        <w:rPr>
          <w:rFonts w:ascii="Times New Roman" w:hAnsi="Times New Roman" w:cs="Times New Roman"/>
          <w:b/>
        </w:rPr>
      </w:pPr>
      <w:r w:rsidRPr="00EE3B6B">
        <w:rPr>
          <w:rFonts w:ascii="Times New Roman" w:hAnsi="Times New Roman" w:cs="Times New Roman"/>
          <w:b/>
        </w:rPr>
        <w:t xml:space="preserve">Market-Wide Adjusted </w:t>
      </w:r>
      <w:r w:rsidRPr="00EE3B6B" w:rsidR="00C66220">
        <w:rPr>
          <w:rFonts w:ascii="Times New Roman" w:hAnsi="Times New Roman" w:cs="Times New Roman"/>
          <w:b/>
        </w:rPr>
        <w:t>Index Rate</w:t>
      </w:r>
    </w:p>
    <w:p w:rsidR="009218CD" w:rsidRPr="00EE3B6B" w:rsidP="006D1FD2" w14:paraId="0BEAA970" w14:textId="34516BC4">
      <w:pPr>
        <w:keepLines/>
        <w:spacing w:after="120" w:line="276" w:lineRule="auto"/>
        <w:rPr>
          <w:rFonts w:ascii="Times New Roman" w:hAnsi="Times New Roman" w:cs="Times New Roman"/>
        </w:rPr>
      </w:pPr>
      <w:r w:rsidRPr="00EE3B6B">
        <w:rPr>
          <w:rFonts w:ascii="Times New Roman" w:hAnsi="Times New Roman" w:cs="Times New Roman"/>
        </w:rPr>
        <w:t xml:space="preserve">The Market-Wide Adjusted </w:t>
      </w:r>
      <w:r w:rsidRPr="00EE3B6B" w:rsidR="00C66220">
        <w:rPr>
          <w:rFonts w:ascii="Times New Roman" w:hAnsi="Times New Roman" w:cs="Times New Roman"/>
        </w:rPr>
        <w:t>Index Rate</w:t>
      </w:r>
      <w:r w:rsidRPr="00EE3B6B" w:rsidR="003D2DF3">
        <w:rPr>
          <w:rFonts w:ascii="Times New Roman" w:hAnsi="Times New Roman" w:cs="Times New Roman"/>
        </w:rPr>
        <w:t xml:space="preserve"> (MAIR)</w:t>
      </w:r>
      <w:r w:rsidRPr="00EE3B6B">
        <w:rPr>
          <w:rFonts w:ascii="Times New Roman" w:hAnsi="Times New Roman" w:cs="Times New Roman"/>
        </w:rPr>
        <w:t xml:space="preserve"> is the </w:t>
      </w:r>
      <w:r w:rsidRPr="00EE3B6B" w:rsidR="00C66220">
        <w:rPr>
          <w:rFonts w:ascii="Times New Roman" w:hAnsi="Times New Roman" w:cs="Times New Roman"/>
        </w:rPr>
        <w:t>Index Rate</w:t>
      </w:r>
      <w:r w:rsidRPr="00EE3B6B">
        <w:rPr>
          <w:rFonts w:ascii="Times New Roman" w:hAnsi="Times New Roman" w:cs="Times New Roman"/>
        </w:rPr>
        <w:t xml:space="preserve"> adjusted for</w:t>
      </w:r>
      <w:r w:rsidRPr="00EE3B6B" w:rsidR="00ED2076">
        <w:rPr>
          <w:rFonts w:ascii="Times New Roman" w:hAnsi="Times New Roman" w:cs="Times New Roman"/>
        </w:rPr>
        <w:t xml:space="preserve"> payments and charges under the risk adjustment program and</w:t>
      </w:r>
      <w:r w:rsidRPr="00EE3B6B">
        <w:rPr>
          <w:rFonts w:ascii="Times New Roman" w:hAnsi="Times New Roman" w:cs="Times New Roman"/>
        </w:rPr>
        <w:t xml:space="preserve"> </w:t>
      </w:r>
      <w:r w:rsidRPr="00EE3B6B" w:rsidR="00AA10AA">
        <w:rPr>
          <w:rFonts w:ascii="Times New Roman" w:hAnsi="Times New Roman" w:cs="Times New Roman"/>
        </w:rPr>
        <w:t>Exchange</w:t>
      </w:r>
      <w:r w:rsidRPr="00EE3B6B">
        <w:rPr>
          <w:rFonts w:ascii="Times New Roman" w:hAnsi="Times New Roman" w:cs="Times New Roman"/>
        </w:rPr>
        <w:t xml:space="preserve"> Fees (with impacts and costs spread across the whole risk pool). As a result, the M</w:t>
      </w:r>
      <w:r w:rsidRPr="00EE3B6B" w:rsidR="003D2DF3">
        <w:rPr>
          <w:rFonts w:ascii="Times New Roman" w:hAnsi="Times New Roman" w:cs="Times New Roman"/>
        </w:rPr>
        <w:t>AIR</w:t>
      </w:r>
      <w:r w:rsidRPr="00EE3B6B">
        <w:rPr>
          <w:rFonts w:ascii="Times New Roman" w:hAnsi="Times New Roman" w:cs="Times New Roman"/>
        </w:rPr>
        <w:t xml:space="preserve"> should be the same value for ALL non-grandfathered plans for an issuer in a </w:t>
      </w:r>
      <w:r w:rsidRPr="00EE3B6B" w:rsidR="00B93349">
        <w:rPr>
          <w:rFonts w:ascii="Times New Roman" w:hAnsi="Times New Roman" w:cs="Times New Roman"/>
        </w:rPr>
        <w:t>s</w:t>
      </w:r>
      <w:r w:rsidRPr="00EE3B6B">
        <w:rPr>
          <w:rFonts w:ascii="Times New Roman" w:hAnsi="Times New Roman" w:cs="Times New Roman"/>
        </w:rPr>
        <w:t>tate and market.</w:t>
      </w:r>
    </w:p>
    <w:p w:rsidR="009218CD" w:rsidRPr="00EE3B6B" w:rsidP="006D1FD2" w14:paraId="4472F17F" w14:textId="5F2F5B01">
      <w:pPr>
        <w:keepLines/>
        <w:spacing w:after="120" w:line="276" w:lineRule="auto"/>
        <w:rPr>
          <w:rFonts w:ascii="Times New Roman" w:hAnsi="Times New Roman" w:cs="Times New Roman"/>
          <w:b/>
        </w:rPr>
      </w:pPr>
      <w:r w:rsidRPr="00EE3B6B">
        <w:rPr>
          <w:rFonts w:ascii="Times New Roman" w:hAnsi="Times New Roman" w:cs="Times New Roman"/>
          <w:b/>
        </w:rPr>
        <w:t>Plan Adjusted Index Rate</w:t>
      </w:r>
    </w:p>
    <w:p w:rsidR="009218CD" w:rsidRPr="00EE3B6B" w:rsidP="006D1FD2" w14:paraId="08A77DBE" w14:textId="3E25EE90">
      <w:pPr>
        <w:keepLines/>
        <w:spacing w:after="120" w:line="276" w:lineRule="auto"/>
        <w:rPr>
          <w:rFonts w:ascii="Times New Roman" w:hAnsi="Times New Roman" w:cs="Times New Roman"/>
        </w:rPr>
      </w:pPr>
      <w:r w:rsidRPr="00EE3B6B">
        <w:rPr>
          <w:rFonts w:ascii="Times New Roman" w:hAnsi="Times New Roman" w:cs="Times New Roman"/>
        </w:rPr>
        <w:t xml:space="preserve">The </w:t>
      </w:r>
      <w:r w:rsidRPr="00EE3B6B" w:rsidR="00C66220">
        <w:rPr>
          <w:rFonts w:ascii="Times New Roman" w:hAnsi="Times New Roman" w:cs="Times New Roman"/>
        </w:rPr>
        <w:t>Plan Adjusted Index Rate</w:t>
      </w:r>
      <w:r w:rsidRPr="00EE3B6B">
        <w:rPr>
          <w:rFonts w:ascii="Times New Roman" w:hAnsi="Times New Roman" w:cs="Times New Roman"/>
        </w:rPr>
        <w:t xml:space="preserve"> </w:t>
      </w:r>
      <w:r w:rsidRPr="00EE3B6B" w:rsidR="003D2DF3">
        <w:rPr>
          <w:rFonts w:ascii="Times New Roman" w:hAnsi="Times New Roman" w:cs="Times New Roman"/>
        </w:rPr>
        <w:t xml:space="preserve">(PAIR) </w:t>
      </w:r>
      <w:r w:rsidRPr="00EE3B6B">
        <w:rPr>
          <w:rFonts w:ascii="Times New Roman" w:hAnsi="Times New Roman" w:cs="Times New Roman"/>
        </w:rPr>
        <w:t xml:space="preserve">is the </w:t>
      </w:r>
      <w:r w:rsidRPr="00EE3B6B" w:rsidR="000339CF">
        <w:rPr>
          <w:rFonts w:ascii="Times New Roman" w:hAnsi="Times New Roman" w:cs="Times New Roman"/>
        </w:rPr>
        <w:t>MAIR</w:t>
      </w:r>
      <w:r w:rsidRPr="00EE3B6B" w:rsidR="00C66220">
        <w:rPr>
          <w:rFonts w:ascii="Times New Roman" w:hAnsi="Times New Roman" w:cs="Times New Roman"/>
        </w:rPr>
        <w:t xml:space="preserve"> Rate</w:t>
      </w:r>
      <w:r w:rsidRPr="00EE3B6B">
        <w:rPr>
          <w:rFonts w:ascii="Times New Roman" w:hAnsi="Times New Roman" w:cs="Times New Roman"/>
        </w:rPr>
        <w:t xml:space="preserve"> further adjusted for </w:t>
      </w:r>
      <w:r w:rsidRPr="00EE3B6B" w:rsidR="009831BB">
        <w:rPr>
          <w:rFonts w:ascii="Times New Roman" w:hAnsi="Times New Roman" w:cs="Times New Roman"/>
        </w:rPr>
        <w:t>ONLY</w:t>
      </w:r>
      <w:r w:rsidRPr="00EE3B6B">
        <w:rPr>
          <w:rFonts w:ascii="Times New Roman" w:hAnsi="Times New Roman" w:cs="Times New Roman"/>
        </w:rPr>
        <w:t xml:space="preserve"> the plan specific factors allowed by 45 CFR 156.80(d)(2)</w:t>
      </w:r>
      <w:r w:rsidRPr="00EE3B6B" w:rsidR="00793D97">
        <w:rPr>
          <w:rFonts w:ascii="Times New Roman" w:hAnsi="Times New Roman" w:cs="Times New Roman"/>
        </w:rPr>
        <w:t>,</w:t>
      </w:r>
      <w:r w:rsidRPr="00EE3B6B">
        <w:rPr>
          <w:rFonts w:ascii="Times New Roman" w:hAnsi="Times New Roman" w:cs="Times New Roman"/>
        </w:rPr>
        <w:t xml:space="preserve"> which are:</w:t>
      </w:r>
    </w:p>
    <w:p w:rsidR="009218CD" w:rsidRPr="00EE3B6B" w:rsidP="00FA5020" w14:paraId="1C8F8504" w14:textId="2D7AE39C">
      <w:pPr>
        <w:pStyle w:val="ListParagraph"/>
        <w:keepLines/>
        <w:numPr>
          <w:ilvl w:val="0"/>
          <w:numId w:val="4"/>
        </w:numPr>
        <w:spacing w:after="120" w:line="276" w:lineRule="auto"/>
        <w:ind w:left="720"/>
        <w:rPr>
          <w:rFonts w:ascii="Times New Roman" w:hAnsi="Times New Roman" w:cs="Times New Roman"/>
        </w:rPr>
      </w:pPr>
      <w:r w:rsidRPr="00EE3B6B">
        <w:rPr>
          <w:rFonts w:ascii="Times New Roman" w:hAnsi="Times New Roman" w:cs="Times New Roman"/>
        </w:rPr>
        <w:t>Actuarial value and cost-sharing design of the plan.</w:t>
      </w:r>
    </w:p>
    <w:p w:rsidR="009218CD" w:rsidRPr="00EE3B6B" w:rsidP="00FA5020" w14:paraId="48EEBDA0" w14:textId="31676194">
      <w:pPr>
        <w:pStyle w:val="ListParagraph"/>
        <w:keepLines/>
        <w:numPr>
          <w:ilvl w:val="0"/>
          <w:numId w:val="4"/>
        </w:numPr>
        <w:spacing w:after="120" w:line="276" w:lineRule="auto"/>
        <w:ind w:left="720"/>
        <w:rPr>
          <w:rFonts w:ascii="Times New Roman" w:hAnsi="Times New Roman" w:cs="Times New Roman"/>
        </w:rPr>
      </w:pPr>
      <w:r w:rsidRPr="00EE3B6B">
        <w:rPr>
          <w:rFonts w:ascii="Times New Roman" w:hAnsi="Times New Roman" w:cs="Times New Roman"/>
        </w:rPr>
        <w:t>The plan’s provider network, delivery system characteristics, and utilization management practices.</w:t>
      </w:r>
    </w:p>
    <w:p w:rsidR="009218CD" w:rsidRPr="00EE3B6B" w:rsidP="00FA5020" w14:paraId="09ED6E6E" w14:textId="39EEBCFA">
      <w:pPr>
        <w:pStyle w:val="ListParagraph"/>
        <w:keepLines/>
        <w:numPr>
          <w:ilvl w:val="0"/>
          <w:numId w:val="4"/>
        </w:numPr>
        <w:spacing w:after="120" w:line="276" w:lineRule="auto"/>
        <w:ind w:left="720"/>
        <w:rPr>
          <w:rFonts w:ascii="Times New Roman" w:hAnsi="Times New Roman" w:cs="Times New Roman"/>
        </w:rPr>
      </w:pPr>
      <w:r w:rsidRPr="00EE3B6B">
        <w:rPr>
          <w:rFonts w:ascii="Times New Roman" w:hAnsi="Times New Roman" w:cs="Times New Roman"/>
        </w:rPr>
        <w:t>Benefits provided under the plan that are in addition to EHBs.</w:t>
      </w:r>
    </w:p>
    <w:p w:rsidR="009218CD" w:rsidRPr="00EE3B6B" w:rsidP="00FA5020" w14:paraId="74B23A7D" w14:textId="2FD5E2CE">
      <w:pPr>
        <w:pStyle w:val="ListParagraph"/>
        <w:keepLines/>
        <w:numPr>
          <w:ilvl w:val="0"/>
          <w:numId w:val="4"/>
        </w:numPr>
        <w:spacing w:after="120" w:line="276" w:lineRule="auto"/>
        <w:ind w:left="720"/>
        <w:rPr>
          <w:rFonts w:ascii="Times New Roman" w:hAnsi="Times New Roman" w:cs="Times New Roman"/>
        </w:rPr>
      </w:pPr>
      <w:r w:rsidRPr="00EE3B6B">
        <w:rPr>
          <w:rFonts w:ascii="Times New Roman" w:hAnsi="Times New Roman" w:cs="Times New Roman"/>
        </w:rPr>
        <w:t xml:space="preserve">Administrative costs, excluding Exchange user fees (which are already accounted for in the </w:t>
      </w:r>
      <w:r w:rsidRPr="00EE3B6B" w:rsidR="000339CF">
        <w:rPr>
          <w:rFonts w:ascii="Times New Roman" w:hAnsi="Times New Roman" w:cs="Times New Roman"/>
        </w:rPr>
        <w:t>MAIR</w:t>
      </w:r>
      <w:r w:rsidRPr="00EE3B6B">
        <w:rPr>
          <w:rFonts w:ascii="Times New Roman" w:hAnsi="Times New Roman" w:cs="Times New Roman"/>
        </w:rPr>
        <w:t>).</w:t>
      </w:r>
    </w:p>
    <w:p w:rsidR="009218CD" w:rsidRPr="00EE3B6B" w:rsidP="00FA5020" w14:paraId="747AC704" w14:textId="144F39ED">
      <w:pPr>
        <w:pStyle w:val="ListParagraph"/>
        <w:keepLines/>
        <w:numPr>
          <w:ilvl w:val="0"/>
          <w:numId w:val="4"/>
        </w:numPr>
        <w:spacing w:after="120" w:line="276" w:lineRule="auto"/>
        <w:ind w:left="720"/>
        <w:rPr>
          <w:rFonts w:ascii="Times New Roman" w:hAnsi="Times New Roman" w:cs="Times New Roman"/>
        </w:rPr>
      </w:pPr>
      <w:r w:rsidRPr="00EE3B6B">
        <w:rPr>
          <w:rFonts w:ascii="Times New Roman" w:hAnsi="Times New Roman" w:cs="Times New Roman"/>
        </w:rPr>
        <w:t xml:space="preserve">Only </w:t>
      </w:r>
      <w:r w:rsidRPr="00EE3B6B" w:rsidR="001C1B00">
        <w:rPr>
          <w:rFonts w:ascii="Times New Roman" w:hAnsi="Times New Roman" w:cs="Times New Roman"/>
        </w:rPr>
        <w:t>c</w:t>
      </w:r>
      <w:r w:rsidRPr="00EE3B6B">
        <w:rPr>
          <w:rFonts w:ascii="Times New Roman" w:hAnsi="Times New Roman" w:cs="Times New Roman"/>
        </w:rPr>
        <w:t>atastrophic plans may be adjusted for the expected impact of the special eligibility categories of these plans. If an adjustment is made to catastrophic plans, this adjustment may not be recovered elsewhere in the rating process, as that would be seen as removing the catastrophic plan experience from the single risk pool.</w:t>
      </w:r>
    </w:p>
    <w:p w:rsidR="006D1FD2" w:rsidRPr="00EE3B6B" w:rsidP="0007362B" w14:paraId="423E70EF" w14:textId="0F29B1D6">
      <w:pPr>
        <w:pStyle w:val="TableText"/>
        <w:keepLines/>
        <w:spacing w:before="0" w:after="120" w:line="276" w:lineRule="auto"/>
        <w:rPr>
          <w:rFonts w:ascii="Times New Roman" w:hAnsi="Times New Roman" w:cs="Times New Roman"/>
          <w:b/>
          <w:sz w:val="22"/>
          <w:szCs w:val="22"/>
        </w:rPr>
      </w:pPr>
      <w:r w:rsidRPr="00EE3B6B">
        <w:rPr>
          <w:rFonts w:ascii="Times New Roman" w:hAnsi="Times New Roman" w:cs="Times New Roman"/>
          <w:bCs w:val="0"/>
          <w:noProof/>
          <w:sz w:val="22"/>
          <w:szCs w:val="22"/>
        </w:rPr>
        <mc:AlternateContent>
          <mc:Choice Requires="wps">
            <w:drawing>
              <wp:anchor distT="45720" distB="45720" distL="114300" distR="114300" simplePos="0" relativeHeight="251668480" behindDoc="0" locked="1" layoutInCell="1" allowOverlap="1">
                <wp:simplePos x="0" y="0"/>
                <wp:positionH relativeFrom="margin">
                  <wp:posOffset>16510</wp:posOffset>
                </wp:positionH>
                <wp:positionV relativeFrom="margin">
                  <wp:posOffset>1103630</wp:posOffset>
                </wp:positionV>
                <wp:extent cx="6007100" cy="474980"/>
                <wp:effectExtent l="0" t="0" r="12700" b="20320"/>
                <wp:wrapSquare wrapText="bothSides"/>
                <wp:docPr id="1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07100" cy="474980"/>
                        </a:xfrm>
                        <a:prstGeom prst="rect">
                          <a:avLst/>
                        </a:prstGeom>
                        <a:solidFill>
                          <a:schemeClr val="bg1">
                            <a:lumMod val="85000"/>
                          </a:schemeClr>
                        </a:solidFill>
                        <a:ln w="9525">
                          <a:solidFill>
                            <a:srgbClr val="000000"/>
                          </a:solidFill>
                          <a:miter lim="800000"/>
                          <a:headEnd/>
                          <a:tailEnd/>
                        </a:ln>
                      </wps:spPr>
                      <wps:txbx>
                        <w:txbxContent>
                          <w:p w:rsidR="00D33AE9" w:rsidRPr="00FA5020" w14:textId="34B63ADD">
                            <w:pPr>
                              <w:rPr>
                                <w:rFonts w:ascii="Times New Roman" w:hAnsi="Times New Roman" w:cs="Times New Roman"/>
                                <w:color w:val="323E4F" w:themeColor="text2" w:themeShade="BF"/>
                              </w:rPr>
                            </w:pPr>
                            <w:r w:rsidRPr="00FA5020">
                              <w:rPr>
                                <w:rFonts w:ascii="Times New Roman" w:hAnsi="Times New Roman" w:cs="Times New Roman"/>
                                <w:b/>
                                <w:color w:val="323E4F" w:themeColor="text2" w:themeShade="BF"/>
                                <w:u w:val="single"/>
                              </w:rPr>
                              <w:t>Tip:</w:t>
                            </w:r>
                            <w:r w:rsidRPr="00FA5020">
                              <w:rPr>
                                <w:rFonts w:ascii="Times New Roman" w:hAnsi="Times New Roman" w:cs="Times New Roman"/>
                                <w:color w:val="323E4F" w:themeColor="text2" w:themeShade="BF"/>
                              </w:rPr>
                              <w:t xml:space="preserve"> The only allowable plan adjustments are found in 45 CFR 156.80(d)(2). “Other” is not an allowable plan adjustment.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1" type="#_x0000_t202" style="width:473pt;height:37.4pt;margin-top:86.9pt;margin-left:1.3pt;mso-height-percent:0;mso-height-relative:margin;mso-position-horizontal-relative:margin;mso-position-vertical-relative:margin;mso-width-percent:0;mso-width-relative:margin;mso-wrap-distance-bottom:3.6pt;mso-wrap-distance-left:9pt;mso-wrap-distance-right:9pt;mso-wrap-distance-top:3.6pt;mso-wrap-style:square;position:absolute;visibility:visible;v-text-anchor:top;z-index:251669504" fillcolor="#d8d8d8">
                <v:textbox>
                  <w:txbxContent>
                    <w:p w:rsidR="00D33AE9" w:rsidRPr="00FA5020" w14:paraId="535F0CAB" w14:textId="34B63ADD">
                      <w:pPr>
                        <w:rPr>
                          <w:rFonts w:ascii="Times New Roman" w:hAnsi="Times New Roman" w:cs="Times New Roman"/>
                          <w:color w:val="323E4F" w:themeColor="text2" w:themeShade="BF"/>
                        </w:rPr>
                      </w:pPr>
                      <w:r w:rsidRPr="00FA5020">
                        <w:rPr>
                          <w:rFonts w:ascii="Times New Roman" w:hAnsi="Times New Roman" w:cs="Times New Roman"/>
                          <w:b/>
                          <w:color w:val="323E4F" w:themeColor="text2" w:themeShade="BF"/>
                          <w:u w:val="single"/>
                        </w:rPr>
                        <w:t>Tip:</w:t>
                      </w:r>
                      <w:r w:rsidRPr="00FA5020">
                        <w:rPr>
                          <w:rFonts w:ascii="Times New Roman" w:hAnsi="Times New Roman" w:cs="Times New Roman"/>
                          <w:color w:val="323E4F" w:themeColor="text2" w:themeShade="BF"/>
                        </w:rPr>
                        <w:t xml:space="preserve"> The only allowable plan adjustments are found in 45 CFR 156.80(d)(2). “Other” is not an allowable plan adjustment.</w:t>
                      </w:r>
                    </w:p>
                  </w:txbxContent>
                </v:textbox>
                <w10:wrap type="square"/>
                <w10:anchorlock/>
              </v:shape>
            </w:pict>
          </mc:Fallback>
        </mc:AlternateContent>
      </w:r>
      <w:r w:rsidRPr="00EE3B6B" w:rsidR="009218CD">
        <w:rPr>
          <w:rFonts w:ascii="Times New Roman" w:hAnsi="Times New Roman" w:cs="Times New Roman"/>
          <w:sz w:val="22"/>
          <w:szCs w:val="22"/>
        </w:rPr>
        <w:t>Other adjustments not specified in 45 CFR 156.80(d)(2) are not allowed at this point in the development</w:t>
      </w:r>
      <w:r w:rsidRPr="00EE3B6B" w:rsidR="00CA632B">
        <w:rPr>
          <w:rFonts w:ascii="Times New Roman" w:hAnsi="Times New Roman" w:cs="Times New Roman"/>
          <w:sz w:val="22"/>
          <w:szCs w:val="22"/>
        </w:rPr>
        <w:t>.</w:t>
      </w:r>
      <w:r w:rsidRPr="00EE3B6B" w:rsidR="003840B6">
        <w:rPr>
          <w:rFonts w:ascii="Times New Roman" w:hAnsi="Times New Roman" w:cs="Times New Roman"/>
          <w:sz w:val="22"/>
          <w:szCs w:val="22"/>
        </w:rPr>
        <w:t xml:space="preserve"> </w:t>
      </w:r>
    </w:p>
    <w:p w:rsidR="003D029E" w:rsidRPr="00EE3B6B" w:rsidP="006D1FD2" w14:paraId="05B90880" w14:textId="00DBA59A">
      <w:pPr>
        <w:keepLines/>
        <w:spacing w:after="120" w:line="276" w:lineRule="auto"/>
        <w:rPr>
          <w:rFonts w:ascii="Times New Roman" w:hAnsi="Times New Roman" w:cs="Times New Roman"/>
          <w:b/>
        </w:rPr>
      </w:pPr>
      <w:r w:rsidRPr="00EE3B6B">
        <w:rPr>
          <w:rFonts w:ascii="Times New Roman" w:hAnsi="Times New Roman" w:cs="Times New Roman"/>
          <w:b/>
        </w:rPr>
        <w:t>C</w:t>
      </w:r>
      <w:r w:rsidRPr="00EE3B6B" w:rsidR="006D1FD2">
        <w:rPr>
          <w:rFonts w:ascii="Times New Roman" w:hAnsi="Times New Roman" w:cs="Times New Roman"/>
          <w:b/>
        </w:rPr>
        <w:t>alibration</w:t>
      </w:r>
    </w:p>
    <w:p w:rsidR="007002A2" w:rsidRPr="00EE3B6B" w:rsidP="006D1FD2" w14:paraId="2687C329" w14:textId="767F4AEB">
      <w:pPr>
        <w:keepLines/>
        <w:spacing w:after="120" w:line="276" w:lineRule="auto"/>
        <w:rPr>
          <w:rFonts w:ascii="Times New Roman" w:hAnsi="Times New Roman" w:cs="Times New Roman"/>
        </w:rPr>
      </w:pPr>
      <w:r w:rsidRPr="00EE3B6B">
        <w:rPr>
          <w:rFonts w:ascii="Times New Roman" w:hAnsi="Times New Roman" w:cs="Times New Roman"/>
        </w:rPr>
        <w:t xml:space="preserve">The </w:t>
      </w:r>
      <w:r w:rsidRPr="00EE3B6B" w:rsidR="00C66220">
        <w:rPr>
          <w:rFonts w:ascii="Times New Roman" w:hAnsi="Times New Roman" w:cs="Times New Roman"/>
        </w:rPr>
        <w:t>P</w:t>
      </w:r>
      <w:r w:rsidRPr="00EE3B6B" w:rsidR="003D2DF3">
        <w:rPr>
          <w:rFonts w:ascii="Times New Roman" w:hAnsi="Times New Roman" w:cs="Times New Roman"/>
        </w:rPr>
        <w:t xml:space="preserve">AIR </w:t>
      </w:r>
      <w:r w:rsidRPr="00EE3B6B">
        <w:rPr>
          <w:rFonts w:ascii="Times New Roman" w:hAnsi="Times New Roman" w:cs="Times New Roman"/>
        </w:rPr>
        <w:t>must be calibrated for plans within the single risk pool to correspond to an age rating factor of 1.0, a geographic rating factor of 1.0, and a tobacco use rating factor of 1.0</w:t>
      </w:r>
      <w:r w:rsidRPr="00EE3B6B" w:rsidR="00367C50">
        <w:rPr>
          <w:rFonts w:ascii="Times New Roman" w:hAnsi="Times New Roman" w:cs="Times New Roman"/>
        </w:rPr>
        <w:t>.</w:t>
      </w:r>
      <w:r>
        <w:rPr>
          <w:rStyle w:val="FootnoteReference"/>
          <w:rFonts w:ascii="Times New Roman" w:hAnsi="Times New Roman" w:cs="Times New Roman"/>
        </w:rPr>
        <w:footnoteReference w:id="12"/>
      </w:r>
      <w:r w:rsidRPr="00EE3B6B">
        <w:rPr>
          <w:rFonts w:ascii="Times New Roman" w:hAnsi="Times New Roman" w:cs="Times New Roman"/>
        </w:rPr>
        <w:t xml:space="preserve"> The intent of the calibration factors is to reset the </w:t>
      </w:r>
      <w:r w:rsidRPr="00EE3B6B" w:rsidR="00C66220">
        <w:rPr>
          <w:rFonts w:ascii="Times New Roman" w:hAnsi="Times New Roman" w:cs="Times New Roman"/>
        </w:rPr>
        <w:t>P</w:t>
      </w:r>
      <w:r w:rsidRPr="00EE3B6B" w:rsidR="003D2DF3">
        <w:rPr>
          <w:rFonts w:ascii="Times New Roman" w:hAnsi="Times New Roman" w:cs="Times New Roman"/>
        </w:rPr>
        <w:t>AIR</w:t>
      </w:r>
      <w:r w:rsidRPr="00EE3B6B">
        <w:rPr>
          <w:rFonts w:ascii="Times New Roman" w:hAnsi="Times New Roman" w:cs="Times New Roman"/>
        </w:rPr>
        <w:t xml:space="preserve"> so that applying the age factor, geographic rating area factor, and tobacco use factor will result in the appropriate consumer adjusted premium rate for an individual age X, living in rating area Y, with the applicable tobacco load factor applied.</w:t>
      </w:r>
    </w:p>
    <w:p w:rsidR="007002A2" w:rsidRPr="00EE3B6B" w:rsidP="006D1FD2" w14:paraId="4156B943" w14:textId="0BCA2549">
      <w:pPr>
        <w:keepLines/>
        <w:spacing w:after="120" w:line="276" w:lineRule="auto"/>
        <w:rPr>
          <w:rFonts w:ascii="Times New Roman" w:hAnsi="Times New Roman" w:cs="Times New Roman"/>
        </w:rPr>
      </w:pPr>
      <w:r w:rsidRPr="00EE3B6B">
        <w:rPr>
          <w:rFonts w:ascii="Times New Roman" w:hAnsi="Times New Roman" w:cs="Times New Roman"/>
        </w:rPr>
        <w:t xml:space="preserve">For each of the allowable rating factors of age, geography, and tobacco use; there is ONLY ONE calibration allowed. That is, the calibration from the single risk pool to the allowable rating factors may not vary by plan; it must be a common adjustment for all plans in a </w:t>
      </w:r>
      <w:r w:rsidRPr="00EE3B6B" w:rsidR="00B93349">
        <w:rPr>
          <w:rFonts w:ascii="Times New Roman" w:hAnsi="Times New Roman" w:cs="Times New Roman"/>
        </w:rPr>
        <w:t>s</w:t>
      </w:r>
      <w:r w:rsidRPr="00EE3B6B">
        <w:rPr>
          <w:rFonts w:ascii="Times New Roman" w:hAnsi="Times New Roman" w:cs="Times New Roman"/>
        </w:rPr>
        <w:t xml:space="preserve">tate and market. </w:t>
      </w:r>
      <w:r w:rsidRPr="00EE3B6B" w:rsidR="009831BB">
        <w:rPr>
          <w:rFonts w:ascii="Times New Roman" w:hAnsi="Times New Roman" w:cs="Times New Roman"/>
        </w:rPr>
        <w:t>T</w:t>
      </w:r>
      <w:r w:rsidRPr="00EE3B6B">
        <w:rPr>
          <w:rFonts w:ascii="Times New Roman" w:hAnsi="Times New Roman" w:cs="Times New Roman"/>
        </w:rPr>
        <w:t xml:space="preserve">he </w:t>
      </w:r>
      <w:r w:rsidRPr="00EE3B6B" w:rsidR="009831BB">
        <w:rPr>
          <w:rFonts w:ascii="Times New Roman" w:hAnsi="Times New Roman" w:cs="Times New Roman"/>
        </w:rPr>
        <w:t>ONLY</w:t>
      </w:r>
      <w:r w:rsidRPr="00EE3B6B">
        <w:rPr>
          <w:rFonts w:ascii="Times New Roman" w:hAnsi="Times New Roman" w:cs="Times New Roman"/>
        </w:rPr>
        <w:t xml:space="preserve"> allowable consumer level premium rate modifiers that can be calibrated are age, geography, and tobacco use.</w:t>
      </w:r>
    </w:p>
    <w:p w:rsidR="007002A2" w:rsidRPr="00EE3B6B" w:rsidP="006D1FD2" w14:paraId="370E101D" w14:textId="19E6AFBE">
      <w:pPr>
        <w:keepLines/>
        <w:spacing w:after="120" w:line="276" w:lineRule="auto"/>
        <w:rPr>
          <w:rFonts w:ascii="Times New Roman" w:hAnsi="Times New Roman" w:cs="Times New Roman"/>
        </w:rPr>
      </w:pPr>
      <w:r w:rsidRPr="00EE3B6B">
        <w:rPr>
          <w:rFonts w:ascii="Times New Roman" w:hAnsi="Times New Roman" w:cs="Times New Roman"/>
        </w:rPr>
        <w:t xml:space="preserve">It is important to note that the calibration process should ONLY occur after the </w:t>
      </w:r>
      <w:r w:rsidRPr="00EE3B6B" w:rsidR="003D2DF3">
        <w:rPr>
          <w:rFonts w:ascii="Times New Roman" w:hAnsi="Times New Roman" w:cs="Times New Roman"/>
        </w:rPr>
        <w:t>PAIR</w:t>
      </w:r>
      <w:r w:rsidRPr="00EE3B6B">
        <w:rPr>
          <w:rFonts w:ascii="Times New Roman" w:hAnsi="Times New Roman" w:cs="Times New Roman"/>
        </w:rPr>
        <w:t xml:space="preserve"> has been determined, not at any point before. The cost of all benefits (EHB and non-EHB) and other expenses may not be charged to the consumer using a flat dollar amount. All components under the plan must be part of the premium charged. All components of the premium are subject to the consumer level rating adjustments</w:t>
      </w:r>
      <w:r w:rsidRPr="00EE3B6B" w:rsidR="009831BB">
        <w:rPr>
          <w:rFonts w:ascii="Times New Roman" w:hAnsi="Times New Roman" w:cs="Times New Roman"/>
        </w:rPr>
        <w:t>,</w:t>
      </w:r>
      <w:r w:rsidRPr="00EE3B6B">
        <w:rPr>
          <w:rFonts w:ascii="Times New Roman" w:hAnsi="Times New Roman" w:cs="Times New Roman"/>
        </w:rPr>
        <w:t xml:space="preserve"> and therefore</w:t>
      </w:r>
      <w:r w:rsidRPr="00EE3B6B" w:rsidR="009831BB">
        <w:rPr>
          <w:rFonts w:ascii="Times New Roman" w:hAnsi="Times New Roman" w:cs="Times New Roman"/>
        </w:rPr>
        <w:t>,</w:t>
      </w:r>
      <w:r w:rsidRPr="00EE3B6B">
        <w:rPr>
          <w:rFonts w:ascii="Times New Roman" w:hAnsi="Times New Roman" w:cs="Times New Roman"/>
        </w:rPr>
        <w:t xml:space="preserve"> all components of the premium should likewise have the calibration applied to them.</w:t>
      </w:r>
    </w:p>
    <w:p w:rsidR="007002A2" w:rsidRPr="00EE3B6B" w:rsidP="00CD1D79" w14:paraId="318CFB08" w14:textId="3E664D4E">
      <w:pPr>
        <w:widowControl/>
        <w:autoSpaceDE/>
        <w:autoSpaceDN/>
        <w:spacing w:after="160" w:line="259" w:lineRule="auto"/>
        <w:rPr>
          <w:rFonts w:ascii="Times New Roman" w:hAnsi="Times New Roman" w:cs="Times New Roman"/>
          <w:b/>
        </w:rPr>
      </w:pPr>
      <w:r w:rsidRPr="00EE3B6B">
        <w:rPr>
          <w:rFonts w:ascii="Times New Roman" w:hAnsi="Times New Roman" w:cs="Times New Roman"/>
          <w:b/>
        </w:rPr>
        <w:t>Fees</w:t>
      </w:r>
    </w:p>
    <w:p w:rsidR="007002A2" w:rsidP="006D1FD2" w14:paraId="08873B39" w14:textId="787FB319">
      <w:pPr>
        <w:keepLines/>
        <w:spacing w:after="120" w:line="276" w:lineRule="auto"/>
        <w:rPr>
          <w:rFonts w:ascii="Times New Roman" w:hAnsi="Times New Roman" w:cs="Times New Roman"/>
        </w:rPr>
      </w:pPr>
      <w:r w:rsidRPr="00EE3B6B">
        <w:rPr>
          <w:rFonts w:ascii="Times New Roman" w:hAnsi="Times New Roman" w:cs="Times New Roman"/>
        </w:rPr>
        <w:t xml:space="preserve">Fees and costs are included in the premium and applied at the plan level as part of the distribution and administrative costs adjustment. The only exception is the application of the </w:t>
      </w:r>
      <w:r w:rsidRPr="00EE3B6B" w:rsidR="00AA10AA">
        <w:rPr>
          <w:rFonts w:ascii="Times New Roman" w:hAnsi="Times New Roman" w:cs="Times New Roman"/>
        </w:rPr>
        <w:t>Exchange</w:t>
      </w:r>
      <w:r w:rsidRPr="00EE3B6B">
        <w:rPr>
          <w:rFonts w:ascii="Times New Roman" w:hAnsi="Times New Roman" w:cs="Times New Roman"/>
        </w:rPr>
        <w:t xml:space="preserve"> user fees, which are applied to the </w:t>
      </w:r>
      <w:r w:rsidRPr="00EE3B6B" w:rsidR="00C66220">
        <w:rPr>
          <w:rFonts w:ascii="Times New Roman" w:hAnsi="Times New Roman" w:cs="Times New Roman"/>
        </w:rPr>
        <w:t>Index Rate</w:t>
      </w:r>
      <w:r w:rsidRPr="00EE3B6B">
        <w:rPr>
          <w:rFonts w:ascii="Times New Roman" w:hAnsi="Times New Roman" w:cs="Times New Roman"/>
        </w:rPr>
        <w:t xml:space="preserve"> at the market level as instructed by 45 CFR 156.80(d). All other fees must be included in the development of the </w:t>
      </w:r>
      <w:r w:rsidRPr="00EE3B6B" w:rsidR="008A2A32">
        <w:rPr>
          <w:rFonts w:ascii="Times New Roman" w:hAnsi="Times New Roman" w:cs="Times New Roman"/>
        </w:rPr>
        <w:t>PAIR</w:t>
      </w:r>
      <w:r w:rsidRPr="00EE3B6B">
        <w:rPr>
          <w:rFonts w:ascii="Times New Roman" w:hAnsi="Times New Roman" w:cs="Times New Roman"/>
        </w:rPr>
        <w:t xml:space="preserve">, prior to the application of member level rating factors, such as age factors. No additional fees may be charged outside of the development of the </w:t>
      </w:r>
      <w:r w:rsidRPr="00EE3B6B" w:rsidR="00C66220">
        <w:rPr>
          <w:rFonts w:ascii="Times New Roman" w:hAnsi="Times New Roman" w:cs="Times New Roman"/>
        </w:rPr>
        <w:t>P</w:t>
      </w:r>
      <w:r w:rsidRPr="00EE3B6B" w:rsidR="008A2A32">
        <w:rPr>
          <w:rFonts w:ascii="Times New Roman" w:hAnsi="Times New Roman" w:cs="Times New Roman"/>
        </w:rPr>
        <w:t>AIR</w:t>
      </w:r>
      <w:r w:rsidRPr="00EE3B6B">
        <w:rPr>
          <w:rFonts w:ascii="Times New Roman" w:hAnsi="Times New Roman" w:cs="Times New Roman"/>
        </w:rPr>
        <w:t>. For example, if it costs an issuer $35 to process an application, that cost must be included in the premium rate development of all policies (new issues and renewals) and subject to the member level rating factors such as age, geographic rating, and tobacco use factors. The issuer may not, in that example, charge a $35 fee per policy for submission of the application.</w:t>
      </w:r>
    </w:p>
    <w:p w:rsidR="007731CE" w:rsidP="006D1FD2" w14:paraId="5606C3D0" w14:textId="5C92D49C">
      <w:pPr>
        <w:keepLines/>
        <w:spacing w:after="120" w:line="276" w:lineRule="auto"/>
        <w:rPr>
          <w:rFonts w:ascii="Times New Roman" w:hAnsi="Times New Roman" w:cs="Times New Roman"/>
        </w:rPr>
      </w:pPr>
    </w:p>
    <w:p w:rsidR="007731CE" w:rsidP="006D1FD2" w14:paraId="07F33A8B" w14:textId="1919A01E">
      <w:pPr>
        <w:keepLines/>
        <w:spacing w:after="120" w:line="276" w:lineRule="auto"/>
        <w:rPr>
          <w:rFonts w:ascii="Times New Roman" w:hAnsi="Times New Roman" w:cs="Times New Roman"/>
        </w:rPr>
      </w:pPr>
    </w:p>
    <w:p w:rsidR="007731CE" w:rsidRPr="00EE3B6B" w:rsidP="006D1FD2" w14:paraId="07206C87" w14:textId="77777777">
      <w:pPr>
        <w:keepLines/>
        <w:spacing w:after="120" w:line="276" w:lineRule="auto"/>
        <w:rPr>
          <w:rFonts w:ascii="Times New Roman" w:hAnsi="Times New Roman" w:cs="Times New Roman"/>
        </w:rPr>
      </w:pPr>
    </w:p>
    <w:p w:rsidR="007002A2" w:rsidRPr="00EE3B6B" w:rsidP="006D1FD2" w14:paraId="46F7C0F7" w14:textId="67BD6026">
      <w:pPr>
        <w:keepLines/>
        <w:spacing w:after="120" w:line="276" w:lineRule="auto"/>
        <w:rPr>
          <w:rFonts w:ascii="Times New Roman" w:hAnsi="Times New Roman" w:cs="Times New Roman"/>
          <w:b/>
        </w:rPr>
      </w:pPr>
      <w:r w:rsidRPr="00EE3B6B">
        <w:rPr>
          <w:rFonts w:ascii="Times New Roman" w:hAnsi="Times New Roman" w:cs="Times New Roman"/>
          <w:b/>
        </w:rPr>
        <w:t>Consumer Adjusted Premium Rate</w:t>
      </w:r>
    </w:p>
    <w:p w:rsidR="007002A2" w:rsidRPr="00EE3B6B" w:rsidP="006D1FD2" w14:paraId="29B2939B" w14:textId="0A6F4C9D">
      <w:pPr>
        <w:keepLines/>
        <w:spacing w:after="120" w:line="276" w:lineRule="auto"/>
        <w:rPr>
          <w:rFonts w:ascii="Times New Roman" w:hAnsi="Times New Roman" w:cs="Times New Roman"/>
        </w:rPr>
      </w:pPr>
      <w:r w:rsidRPr="00EE3B6B">
        <w:rPr>
          <w:rFonts w:ascii="Times New Roman" w:hAnsi="Times New Roman" w:cs="Times New Roman"/>
        </w:rPr>
        <w:t xml:space="preserve">The Consumer Adjusted Premium Rate is the final premium rate for a plan that is charged to an individual, family, or small employer group after applying the rating and premium adjustments in the applicable Market Reform Rating Rules. The Consumer Adjusted Premium Rate is developed by calibrating the </w:t>
      </w:r>
      <w:r w:rsidRPr="00EE3B6B" w:rsidR="00C66220">
        <w:rPr>
          <w:rFonts w:ascii="Times New Roman" w:hAnsi="Times New Roman" w:cs="Times New Roman"/>
        </w:rPr>
        <w:t>P</w:t>
      </w:r>
      <w:r w:rsidRPr="00EE3B6B" w:rsidR="008A2A32">
        <w:rPr>
          <w:rFonts w:ascii="Times New Roman" w:hAnsi="Times New Roman" w:cs="Times New Roman"/>
        </w:rPr>
        <w:t xml:space="preserve">AIR </w:t>
      </w:r>
      <w:r w:rsidRPr="00EE3B6B">
        <w:rPr>
          <w:rFonts w:ascii="Times New Roman" w:hAnsi="Times New Roman" w:cs="Times New Roman"/>
        </w:rPr>
        <w:t>to the age curve as described above, calibrating for geography and tobacco use if necessary, and applying the allowable rating factors</w:t>
      </w:r>
      <w:r w:rsidRPr="00EE3B6B" w:rsidR="003840B6">
        <w:rPr>
          <w:rFonts w:ascii="Times New Roman" w:hAnsi="Times New Roman" w:cs="Times New Roman"/>
        </w:rPr>
        <w:t>.</w:t>
      </w:r>
      <w:r>
        <w:rPr>
          <w:rStyle w:val="FootnoteReference"/>
          <w:rFonts w:ascii="Times New Roman" w:hAnsi="Times New Roman" w:cs="Times New Roman"/>
        </w:rPr>
        <w:footnoteReference w:id="13"/>
      </w:r>
      <w:r w:rsidRPr="00EE3B6B">
        <w:rPr>
          <w:rFonts w:ascii="Times New Roman" w:hAnsi="Times New Roman" w:cs="Times New Roman"/>
        </w:rPr>
        <w:t xml:space="preserve"> Allowable rating factors, found in 45 CFR 147.102(a), are as follows:</w:t>
      </w:r>
    </w:p>
    <w:p w:rsidR="007002A2" w:rsidRPr="00EE3B6B" w:rsidP="006738FF" w14:paraId="42D56CE9" w14:textId="637C77FF">
      <w:pPr>
        <w:pStyle w:val="ListParagraph"/>
        <w:keepLines/>
        <w:numPr>
          <w:ilvl w:val="0"/>
          <w:numId w:val="5"/>
        </w:numPr>
        <w:spacing w:after="120" w:line="276" w:lineRule="auto"/>
        <w:ind w:left="720"/>
        <w:rPr>
          <w:rFonts w:ascii="Times New Roman" w:hAnsi="Times New Roman" w:cs="Times New Roman"/>
        </w:rPr>
      </w:pPr>
      <w:r w:rsidRPr="00EE3B6B">
        <w:rPr>
          <w:rFonts w:ascii="Times New Roman" w:hAnsi="Times New Roman" w:cs="Times New Roman"/>
          <w:u w:val="single"/>
        </w:rPr>
        <w:t>Family Structure:</w:t>
      </w:r>
      <w:r w:rsidRPr="00EE3B6B">
        <w:rPr>
          <w:rFonts w:ascii="Times New Roman" w:hAnsi="Times New Roman" w:cs="Times New Roman"/>
        </w:rPr>
        <w:t xml:space="preserve">  Family structure </w:t>
      </w:r>
      <w:r w:rsidRPr="00EE3B6B">
        <w:rPr>
          <w:rFonts w:ascii="Times New Roman" w:hAnsi="Times New Roman" w:cs="Times New Roman"/>
        </w:rPr>
        <w:t>takes into account</w:t>
      </w:r>
      <w:r w:rsidRPr="00EE3B6B">
        <w:rPr>
          <w:rFonts w:ascii="Times New Roman" w:hAnsi="Times New Roman" w:cs="Times New Roman"/>
        </w:rPr>
        <w:t xml:space="preserve"> family composition and the maximum of three under</w:t>
      </w:r>
      <w:r w:rsidRPr="00EE3B6B" w:rsidR="00444B22">
        <w:rPr>
          <w:rFonts w:ascii="Times New Roman" w:hAnsi="Times New Roman" w:cs="Times New Roman"/>
        </w:rPr>
        <w:t>-</w:t>
      </w:r>
      <w:r w:rsidRPr="00EE3B6B">
        <w:rPr>
          <w:rFonts w:ascii="Times New Roman" w:hAnsi="Times New Roman" w:cs="Times New Roman"/>
        </w:rPr>
        <w:t>age</w:t>
      </w:r>
      <w:r w:rsidRPr="00EE3B6B" w:rsidR="00444B22">
        <w:rPr>
          <w:rFonts w:ascii="Times New Roman" w:hAnsi="Times New Roman" w:cs="Times New Roman"/>
        </w:rPr>
        <w:t>-</w:t>
      </w:r>
      <w:r w:rsidRPr="00EE3B6B">
        <w:rPr>
          <w:rFonts w:ascii="Times New Roman" w:hAnsi="Times New Roman" w:cs="Times New Roman"/>
        </w:rPr>
        <w:t xml:space="preserve">21 child dependents. The </w:t>
      </w:r>
      <w:r w:rsidRPr="00EE3B6B" w:rsidR="000A1538">
        <w:rPr>
          <w:rFonts w:ascii="Times New Roman" w:hAnsi="Times New Roman" w:cs="Times New Roman"/>
        </w:rPr>
        <w:t xml:space="preserve">total </w:t>
      </w:r>
      <w:r w:rsidRPr="00EE3B6B">
        <w:rPr>
          <w:rFonts w:ascii="Times New Roman" w:hAnsi="Times New Roman" w:cs="Times New Roman"/>
        </w:rPr>
        <w:t>premium for family coverage is determined by summing the premiums for each individual family</w:t>
      </w:r>
      <w:r w:rsidRPr="00EE3B6B" w:rsidR="000A1538">
        <w:rPr>
          <w:rFonts w:ascii="Times New Roman" w:hAnsi="Times New Roman" w:cs="Times New Roman"/>
        </w:rPr>
        <w:t xml:space="preserve">. With respect to family members under the age of 21, the premiums for no more than the three oldest covered children must be </w:t>
      </w:r>
      <w:r w:rsidRPr="00EE3B6B" w:rsidR="000A1538">
        <w:rPr>
          <w:rFonts w:ascii="Times New Roman" w:hAnsi="Times New Roman" w:cs="Times New Roman"/>
        </w:rPr>
        <w:t>taken into account</w:t>
      </w:r>
      <w:r w:rsidRPr="00EE3B6B" w:rsidR="000A1538">
        <w:rPr>
          <w:rFonts w:ascii="Times New Roman" w:hAnsi="Times New Roman" w:cs="Times New Roman"/>
        </w:rPr>
        <w:t xml:space="preserve"> in determining the total family premium. This adjustment does not result in a separate rating factor. </w:t>
      </w:r>
      <w:r w:rsidRPr="00EE3B6B">
        <w:rPr>
          <w:rFonts w:ascii="Times New Roman" w:hAnsi="Times New Roman" w:cs="Times New Roman"/>
        </w:rPr>
        <w:t xml:space="preserve">Family tiering only occurs in </w:t>
      </w:r>
      <w:r w:rsidRPr="00EE3B6B" w:rsidR="00B93349">
        <w:rPr>
          <w:rFonts w:ascii="Times New Roman" w:hAnsi="Times New Roman" w:cs="Times New Roman"/>
        </w:rPr>
        <w:t>s</w:t>
      </w:r>
      <w:r w:rsidRPr="00EE3B6B">
        <w:rPr>
          <w:rFonts w:ascii="Times New Roman" w:hAnsi="Times New Roman" w:cs="Times New Roman"/>
        </w:rPr>
        <w:t>tates that use pure community rating and is uniformly applied to all plans in the risk pool</w:t>
      </w:r>
      <w:r w:rsidRPr="00EE3B6B" w:rsidR="00FD04D2">
        <w:rPr>
          <w:rFonts w:ascii="Times New Roman" w:hAnsi="Times New Roman" w:cs="Times New Roman"/>
        </w:rPr>
        <w:t xml:space="preserve"> (tier information available at</w:t>
      </w:r>
      <w:r w:rsidR="00ED75F7">
        <w:rPr>
          <w:rFonts w:ascii="Times New Roman" w:hAnsi="Times New Roman" w:cs="Times New Roman"/>
        </w:rPr>
        <w:t>:</w:t>
      </w:r>
      <w:r w:rsidRPr="00EE3B6B" w:rsidR="00FD04D2">
        <w:rPr>
          <w:rFonts w:ascii="Times New Roman" w:hAnsi="Times New Roman" w:cs="Times New Roman"/>
        </w:rPr>
        <w:t xml:space="preserve"> https://www.cms.gov/CCIIO/Programs-and-Initiatives/Health-Insurance-Market-Reforms/state-rating#family)</w:t>
      </w:r>
      <w:r w:rsidRPr="00EE3B6B" w:rsidR="003C19D8">
        <w:rPr>
          <w:rFonts w:ascii="Times New Roman" w:hAnsi="Times New Roman" w:cs="Times New Roman"/>
        </w:rPr>
        <w:t>.</w:t>
      </w:r>
    </w:p>
    <w:p w:rsidR="007002A2" w:rsidRPr="00EE3B6B" w:rsidP="006738FF" w14:paraId="10C00B0D" w14:textId="39145A76">
      <w:pPr>
        <w:pStyle w:val="ListParagraph"/>
        <w:keepLines/>
        <w:numPr>
          <w:ilvl w:val="0"/>
          <w:numId w:val="5"/>
        </w:numPr>
        <w:spacing w:after="120" w:line="276" w:lineRule="auto"/>
        <w:ind w:left="720"/>
        <w:rPr>
          <w:rFonts w:ascii="Times New Roman" w:hAnsi="Times New Roman" w:cs="Times New Roman"/>
        </w:rPr>
      </w:pPr>
      <w:r w:rsidRPr="00EE3B6B">
        <w:rPr>
          <w:rFonts w:ascii="Times New Roman" w:hAnsi="Times New Roman" w:cs="Times New Roman"/>
          <w:u w:val="single"/>
        </w:rPr>
        <w:t>Rating Area:</w:t>
      </w:r>
      <w:r w:rsidRPr="00EE3B6B">
        <w:rPr>
          <w:rFonts w:ascii="Times New Roman" w:hAnsi="Times New Roman" w:cs="Times New Roman"/>
        </w:rPr>
        <w:t xml:space="preserve">  Geographic rating areas are specific to each </w:t>
      </w:r>
      <w:r w:rsidRPr="00EE3B6B" w:rsidR="00B93349">
        <w:rPr>
          <w:rFonts w:ascii="Times New Roman" w:hAnsi="Times New Roman" w:cs="Times New Roman"/>
        </w:rPr>
        <w:t>s</w:t>
      </w:r>
      <w:r w:rsidRPr="00EE3B6B">
        <w:rPr>
          <w:rFonts w:ascii="Times New Roman" w:hAnsi="Times New Roman" w:cs="Times New Roman"/>
        </w:rPr>
        <w:t>tate</w:t>
      </w:r>
      <w:r w:rsidRPr="00EE3B6B" w:rsidR="009831BB">
        <w:rPr>
          <w:rFonts w:ascii="Times New Roman" w:hAnsi="Times New Roman" w:cs="Times New Roman"/>
        </w:rPr>
        <w:t>,</w:t>
      </w:r>
      <w:r w:rsidRPr="00EE3B6B">
        <w:rPr>
          <w:rFonts w:ascii="Times New Roman" w:hAnsi="Times New Roman" w:cs="Times New Roman"/>
        </w:rPr>
        <w:t xml:space="preserve"> and all issuers in the </w:t>
      </w:r>
      <w:r w:rsidRPr="00EE3B6B" w:rsidR="00B93349">
        <w:rPr>
          <w:rFonts w:ascii="Times New Roman" w:hAnsi="Times New Roman" w:cs="Times New Roman"/>
        </w:rPr>
        <w:t>s</w:t>
      </w:r>
      <w:r w:rsidRPr="00EE3B6B">
        <w:rPr>
          <w:rFonts w:ascii="Times New Roman" w:hAnsi="Times New Roman" w:cs="Times New Roman"/>
        </w:rPr>
        <w:t xml:space="preserve">tate are required to follow them. Issuers may only set one rating factor per rating area, per </w:t>
      </w:r>
      <w:r w:rsidRPr="00EE3B6B" w:rsidR="00B93349">
        <w:rPr>
          <w:rFonts w:ascii="Times New Roman" w:hAnsi="Times New Roman" w:cs="Times New Roman"/>
        </w:rPr>
        <w:t>s</w:t>
      </w:r>
      <w:r w:rsidRPr="00EE3B6B">
        <w:rPr>
          <w:rFonts w:ascii="Times New Roman" w:hAnsi="Times New Roman" w:cs="Times New Roman"/>
        </w:rPr>
        <w:t>tate, per market, and that factor must apply uniformly to all plans the issuer has in that rating area. If an issuer has multiple networks within a given rating area and wants to develop premiums specific for each network, the issuer must have a separate plan for each network in the rating area. Geographic factors should only reflect differences in the cost of delivery (which can include both unit cost and provider practice pattern differences). Geographic factors may not reflect differences in morbidity by region.</w:t>
      </w:r>
      <w:r w:rsidRPr="00EE3B6B" w:rsidR="007E32B6">
        <w:rPr>
          <w:rFonts w:ascii="Times New Roman" w:hAnsi="Times New Roman" w:cs="Times New Roman"/>
        </w:rPr>
        <w:t xml:space="preserve"> State specific geographic rating areas are available at</w:t>
      </w:r>
      <w:r w:rsidR="00ED75F7">
        <w:rPr>
          <w:rFonts w:ascii="Times New Roman" w:hAnsi="Times New Roman" w:cs="Times New Roman"/>
        </w:rPr>
        <w:t>:</w:t>
      </w:r>
      <w:r w:rsidRPr="00EE3B6B" w:rsidR="007E32B6">
        <w:rPr>
          <w:rFonts w:ascii="Times New Roman" w:hAnsi="Times New Roman" w:cs="Times New Roman"/>
        </w:rPr>
        <w:t xml:space="preserve"> https://www.cms.gov/CCIIO/Programs-and-Initiatives/Health-Insurance-Market-Reforms/state-gra.</w:t>
      </w:r>
    </w:p>
    <w:p w:rsidR="007002A2" w:rsidRPr="00EE3B6B" w:rsidP="006738FF" w14:paraId="3274B47C" w14:textId="09A61363">
      <w:pPr>
        <w:pStyle w:val="ListParagraph"/>
        <w:keepLines/>
        <w:numPr>
          <w:ilvl w:val="0"/>
          <w:numId w:val="5"/>
        </w:numPr>
        <w:spacing w:after="120" w:line="276" w:lineRule="auto"/>
        <w:ind w:left="720"/>
        <w:rPr>
          <w:rFonts w:ascii="Times New Roman" w:hAnsi="Times New Roman" w:cs="Times New Roman"/>
        </w:rPr>
      </w:pPr>
      <w:r w:rsidRPr="00EE3B6B">
        <w:rPr>
          <w:rFonts w:ascii="Times New Roman" w:hAnsi="Times New Roman" w:cs="Times New Roman"/>
          <w:u w:val="single"/>
        </w:rPr>
        <w:t>Age Factor:</w:t>
      </w:r>
      <w:r w:rsidRPr="00EE3B6B">
        <w:rPr>
          <w:rFonts w:ascii="Times New Roman" w:hAnsi="Times New Roman" w:cs="Times New Roman"/>
        </w:rPr>
        <w:t xml:space="preserve">  Once the </w:t>
      </w:r>
      <w:r w:rsidRPr="00EE3B6B" w:rsidR="00786486">
        <w:rPr>
          <w:rFonts w:ascii="Times New Roman" w:hAnsi="Times New Roman" w:cs="Times New Roman"/>
        </w:rPr>
        <w:t>PAIR</w:t>
      </w:r>
      <w:r w:rsidRPr="00EE3B6B">
        <w:rPr>
          <w:rFonts w:ascii="Times New Roman" w:hAnsi="Times New Roman" w:cs="Times New Roman"/>
        </w:rPr>
        <w:t xml:space="preserve"> is calibrated to </w:t>
      </w:r>
      <w:r w:rsidRPr="00EE3B6B" w:rsidR="00786486">
        <w:rPr>
          <w:rFonts w:ascii="Times New Roman" w:hAnsi="Times New Roman" w:cs="Times New Roman"/>
        </w:rPr>
        <w:t xml:space="preserve">a 1.0 value on </w:t>
      </w:r>
      <w:r w:rsidRPr="00EE3B6B">
        <w:rPr>
          <w:rFonts w:ascii="Times New Roman" w:hAnsi="Times New Roman" w:cs="Times New Roman"/>
        </w:rPr>
        <w:t xml:space="preserve">the age curve, the entire set of age rates is determined using the standard age factor of each age. The age factors must be the standard age curve set by HHS or a </w:t>
      </w:r>
      <w:r w:rsidRPr="00EE3B6B" w:rsidR="00B93349">
        <w:rPr>
          <w:rFonts w:ascii="Times New Roman" w:hAnsi="Times New Roman" w:cs="Times New Roman"/>
        </w:rPr>
        <w:t>s</w:t>
      </w:r>
      <w:r w:rsidRPr="00EE3B6B">
        <w:rPr>
          <w:rFonts w:ascii="Times New Roman" w:hAnsi="Times New Roman" w:cs="Times New Roman"/>
        </w:rPr>
        <w:t xml:space="preserve">tate specific age curve (if the </w:t>
      </w:r>
      <w:r w:rsidRPr="00EE3B6B" w:rsidR="00B93349">
        <w:rPr>
          <w:rFonts w:ascii="Times New Roman" w:hAnsi="Times New Roman" w:cs="Times New Roman"/>
        </w:rPr>
        <w:t>s</w:t>
      </w:r>
      <w:r w:rsidRPr="00EE3B6B">
        <w:rPr>
          <w:rFonts w:ascii="Times New Roman" w:hAnsi="Times New Roman" w:cs="Times New Roman"/>
        </w:rPr>
        <w:t xml:space="preserve">tate requires different age factors than the standard </w:t>
      </w:r>
      <w:r w:rsidRPr="00EE3B6B" w:rsidR="00DF2F3B">
        <w:rPr>
          <w:rFonts w:ascii="Times New Roman" w:hAnsi="Times New Roman" w:cs="Times New Roman"/>
        </w:rPr>
        <w:t>f</w:t>
      </w:r>
      <w:r w:rsidRPr="00EE3B6B">
        <w:rPr>
          <w:rFonts w:ascii="Times New Roman" w:hAnsi="Times New Roman" w:cs="Times New Roman"/>
        </w:rPr>
        <w:t>ederal age curve)</w:t>
      </w:r>
      <w:r w:rsidRPr="00EE3B6B" w:rsidR="00367C50">
        <w:rPr>
          <w:rFonts w:ascii="Times New Roman" w:hAnsi="Times New Roman" w:cs="Times New Roman"/>
        </w:rPr>
        <w:t>.</w:t>
      </w:r>
      <w:r>
        <w:rPr>
          <w:rStyle w:val="FootnoteReference"/>
          <w:rFonts w:ascii="Times New Roman" w:hAnsi="Times New Roman" w:cs="Times New Roman"/>
        </w:rPr>
        <w:footnoteReference w:id="14"/>
      </w:r>
    </w:p>
    <w:p w:rsidR="00DE3BBA" w:rsidRPr="00EE3B6B" w:rsidP="006738FF" w14:paraId="7FE0896E" w14:textId="01AAB698">
      <w:pPr>
        <w:pStyle w:val="ListParagraph"/>
        <w:keepLines/>
        <w:numPr>
          <w:ilvl w:val="0"/>
          <w:numId w:val="5"/>
        </w:numPr>
        <w:spacing w:after="120" w:line="276" w:lineRule="auto"/>
        <w:ind w:left="720"/>
        <w:rPr>
          <w:rFonts w:ascii="Times New Roman" w:hAnsi="Times New Roman" w:cs="Times New Roman"/>
          <w:u w:val="single"/>
        </w:rPr>
      </w:pPr>
      <w:r w:rsidRPr="00EE3B6B">
        <w:rPr>
          <w:rFonts w:ascii="Times New Roman" w:hAnsi="Times New Roman" w:cs="Times New Roman"/>
          <w:u w:val="single"/>
        </w:rPr>
        <w:t>Tobacco Use:</w:t>
      </w:r>
      <w:r w:rsidRPr="00EE3B6B">
        <w:rPr>
          <w:rFonts w:ascii="Times New Roman" w:hAnsi="Times New Roman" w:cs="Times New Roman"/>
        </w:rPr>
        <w:t xml:space="preserve">  A tobacco use surcharge (limited to 50% of the Consumer Adjusted Premium Rate) may be applied to individuals who may legally use tobacco under </w:t>
      </w:r>
      <w:r w:rsidRPr="00EE3B6B" w:rsidR="00B93349">
        <w:rPr>
          <w:rFonts w:ascii="Times New Roman" w:hAnsi="Times New Roman" w:cs="Times New Roman"/>
        </w:rPr>
        <w:t>f</w:t>
      </w:r>
      <w:r w:rsidRPr="00EE3B6B">
        <w:rPr>
          <w:rFonts w:ascii="Times New Roman" w:hAnsi="Times New Roman" w:cs="Times New Roman"/>
        </w:rPr>
        <w:t xml:space="preserve">ederal and </w:t>
      </w:r>
      <w:r w:rsidRPr="00EE3B6B" w:rsidR="00B93349">
        <w:rPr>
          <w:rFonts w:ascii="Times New Roman" w:hAnsi="Times New Roman" w:cs="Times New Roman"/>
        </w:rPr>
        <w:t>s</w:t>
      </w:r>
      <w:r w:rsidRPr="00EE3B6B" w:rsidR="006D1FD2">
        <w:rPr>
          <w:rFonts w:ascii="Times New Roman" w:hAnsi="Times New Roman" w:cs="Times New Roman"/>
        </w:rPr>
        <w:t>tate law.</w:t>
      </w:r>
    </w:p>
    <w:p w:rsidR="004221BA" w:rsidRPr="00EE3B6B" w:rsidP="006D1FD2" w14:paraId="215D36F6" w14:textId="6C07BCBD">
      <w:pPr>
        <w:keepLines/>
        <w:spacing w:after="120" w:line="276" w:lineRule="auto"/>
        <w:rPr>
          <w:rFonts w:ascii="Times New Roman" w:hAnsi="Times New Roman" w:cs="Times New Roman"/>
        </w:rPr>
      </w:pPr>
      <w:r w:rsidRPr="00EE3B6B">
        <w:rPr>
          <w:rFonts w:ascii="Times New Roman" w:hAnsi="Times New Roman" w:cs="Times New Roman"/>
        </w:rPr>
        <w:t xml:space="preserve">The following graphic depicts the flow of the </w:t>
      </w:r>
      <w:r w:rsidRPr="00EE3B6B" w:rsidR="00C66220">
        <w:rPr>
          <w:rFonts w:ascii="Times New Roman" w:hAnsi="Times New Roman" w:cs="Times New Roman"/>
        </w:rPr>
        <w:t>Index Rate</w:t>
      </w:r>
      <w:r w:rsidRPr="00EE3B6B">
        <w:rPr>
          <w:rFonts w:ascii="Times New Roman" w:hAnsi="Times New Roman" w:cs="Times New Roman"/>
        </w:rPr>
        <w:t xml:space="preserve"> development process:</w:t>
      </w:r>
    </w:p>
    <w:p w:rsidR="005B0809" w:rsidRPr="00EE3B6B" w:rsidP="006D1FD2" w14:paraId="1012519D" w14:textId="77F21DFC">
      <w:pPr>
        <w:pStyle w:val="Caption"/>
        <w:keepLines/>
        <w:spacing w:after="120" w:line="276" w:lineRule="auto"/>
        <w:jc w:val="center"/>
        <w:rPr>
          <w:rFonts w:ascii="Times New Roman" w:hAnsi="Times New Roman" w:cs="Times New Roman"/>
          <w:b/>
          <w:color w:val="auto"/>
          <w:sz w:val="22"/>
          <w:szCs w:val="22"/>
        </w:rPr>
      </w:pPr>
      <w:bookmarkStart w:id="23" w:name="_Toc2246525"/>
      <w:r w:rsidRPr="00EE3B6B">
        <w:rPr>
          <w:rFonts w:ascii="Times New Roman" w:hAnsi="Times New Roman" w:cs="Times New Roman"/>
          <w:noProof/>
          <w:sz w:val="22"/>
          <w:szCs w:val="22"/>
        </w:rPr>
        <w:drawing>
          <wp:anchor distT="0" distB="0" distL="0" distR="0" simplePos="0" relativeHeight="251663360" behindDoc="0" locked="1" layoutInCell="1" allowOverlap="1">
            <wp:simplePos x="0" y="0"/>
            <wp:positionH relativeFrom="margin">
              <wp:posOffset>-5080</wp:posOffset>
            </wp:positionH>
            <wp:positionV relativeFrom="page">
              <wp:posOffset>7686675</wp:posOffset>
            </wp:positionV>
            <wp:extent cx="5943600" cy="676275"/>
            <wp:effectExtent l="0" t="0" r="0" b="9525"/>
            <wp:wrapTopAndBottom/>
            <wp:docPr id="3" name="image7.png" descr="The issuer develops the Experience Period Index Rate from the experience of the Single Risk Pool. The issuer develops the Projected Index Rate applying the applicable adjustments to the Experience Period Index Rate.  The issuer develops the Market Adjusted Index Rate by applying the allowable Market Level Adjustments to the Index Rate. The issuer develops the Plan Adjusted Index Rate by applying the allowable Plan Level Adjustments to the Market Adjusted Index Rate. The issuer develops the Consumer Adjusted Index Rates by applying the allowable calibrations and allowable Consumer Level Adjustments to the Plan Adjusted Index 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7.png"/>
                    <pic:cNvPicPr/>
                  </pic:nvPicPr>
                  <pic:blipFill>
                    <a:blip xmlns:r="http://schemas.openxmlformats.org/officeDocument/2006/relationships" r:embed="rId15" cstate="print"/>
                    <a:stretch>
                      <a:fillRect/>
                    </a:stretch>
                  </pic:blipFill>
                  <pic:spPr>
                    <a:xfrm>
                      <a:off x="0" y="0"/>
                      <a:ext cx="5943600" cy="676275"/>
                    </a:xfrm>
                    <a:prstGeom prst="rect">
                      <a:avLst/>
                    </a:prstGeom>
                  </pic:spPr>
                </pic:pic>
              </a:graphicData>
            </a:graphic>
            <wp14:sizeRelH relativeFrom="margin">
              <wp14:pctWidth>0</wp14:pctWidth>
            </wp14:sizeRelH>
            <wp14:sizeRelV relativeFrom="margin">
              <wp14:pctHeight>0</wp14:pctHeight>
            </wp14:sizeRelV>
          </wp:anchor>
        </w:drawing>
      </w:r>
      <w:r w:rsidRPr="00EE3B6B">
        <w:rPr>
          <w:rFonts w:ascii="Times New Roman" w:hAnsi="Times New Roman" w:cs="Times New Roman"/>
          <w:b/>
          <w:color w:val="auto"/>
          <w:sz w:val="22"/>
          <w:szCs w:val="22"/>
        </w:rPr>
        <w:t xml:space="preserve">Figure </w:t>
      </w:r>
      <w:r w:rsidRPr="00EE3B6B">
        <w:rPr>
          <w:rFonts w:ascii="Times New Roman" w:hAnsi="Times New Roman" w:cs="Times New Roman"/>
          <w:b/>
          <w:color w:val="auto"/>
          <w:sz w:val="22"/>
          <w:szCs w:val="22"/>
        </w:rPr>
        <w:fldChar w:fldCharType="begin"/>
      </w:r>
      <w:r w:rsidRPr="00EE3B6B">
        <w:rPr>
          <w:rFonts w:ascii="Times New Roman" w:hAnsi="Times New Roman" w:cs="Times New Roman"/>
          <w:b/>
          <w:color w:val="auto"/>
          <w:sz w:val="22"/>
          <w:szCs w:val="22"/>
        </w:rPr>
        <w:instrText xml:space="preserve"> SEQ Figure \* ARABIC </w:instrText>
      </w:r>
      <w:r w:rsidRPr="00EE3B6B">
        <w:rPr>
          <w:rFonts w:ascii="Times New Roman" w:hAnsi="Times New Roman" w:cs="Times New Roman"/>
          <w:b/>
          <w:color w:val="auto"/>
          <w:sz w:val="22"/>
          <w:szCs w:val="22"/>
        </w:rPr>
        <w:fldChar w:fldCharType="separate"/>
      </w:r>
      <w:r w:rsidR="0033365D">
        <w:rPr>
          <w:rFonts w:ascii="Times New Roman" w:hAnsi="Times New Roman" w:cs="Times New Roman"/>
          <w:b/>
          <w:noProof/>
          <w:color w:val="auto"/>
          <w:sz w:val="22"/>
          <w:szCs w:val="22"/>
        </w:rPr>
        <w:t>1</w:t>
      </w:r>
      <w:r w:rsidRPr="00EE3B6B">
        <w:rPr>
          <w:rFonts w:ascii="Times New Roman" w:hAnsi="Times New Roman" w:cs="Times New Roman"/>
          <w:b/>
          <w:color w:val="auto"/>
          <w:sz w:val="22"/>
          <w:szCs w:val="22"/>
        </w:rPr>
        <w:fldChar w:fldCharType="end"/>
      </w:r>
      <w:r w:rsidRPr="00EE3B6B">
        <w:rPr>
          <w:rFonts w:ascii="Times New Roman" w:hAnsi="Times New Roman" w:cs="Times New Roman"/>
          <w:b/>
          <w:color w:val="auto"/>
          <w:sz w:val="22"/>
          <w:szCs w:val="22"/>
        </w:rPr>
        <w:t xml:space="preserve"> Flow of the Index Rate development process</w:t>
      </w:r>
      <w:bookmarkEnd w:id="23"/>
    </w:p>
    <w:p w:rsidR="008D7C3C" w:rsidRPr="00FA6F2C" w:rsidP="00FA6F2C" w14:paraId="6B78B9BC" w14:textId="1113B830">
      <w:pPr>
        <w:pStyle w:val="Heading2"/>
      </w:pPr>
      <w:bookmarkStart w:id="24" w:name="_Toc174003421"/>
      <w:r w:rsidRPr="00FA6F2C">
        <w:t>Guaranteed Renewability and Uniform Modification of Coverage</w:t>
      </w:r>
      <w:bookmarkEnd w:id="24"/>
    </w:p>
    <w:p w:rsidR="008D7C3C" w:rsidRPr="00EE3B6B" w:rsidP="006D1FD2" w14:paraId="117A43E8" w14:textId="7CB37667">
      <w:pPr>
        <w:keepLines/>
        <w:spacing w:after="120" w:line="276" w:lineRule="auto"/>
        <w:rPr>
          <w:rFonts w:ascii="Times New Roman" w:hAnsi="Times New Roman" w:cs="Times New Roman"/>
        </w:rPr>
      </w:pPr>
      <w:r w:rsidRPr="00EE3B6B">
        <w:rPr>
          <w:rFonts w:ascii="Times New Roman" w:hAnsi="Times New Roman" w:cs="Times New Roman"/>
        </w:rPr>
        <w:t xml:space="preserve">Issuers should review 45 CFR 147.106(e), 146.152(d) and (f), 148.122(e), and 144.103 when determining if a product or plan </w:t>
      </w:r>
      <w:r w:rsidRPr="00EE3B6B">
        <w:rPr>
          <w:rFonts w:ascii="Times New Roman" w:hAnsi="Times New Roman" w:cs="Times New Roman"/>
        </w:rPr>
        <w:t>is considered to be</w:t>
      </w:r>
      <w:r w:rsidRPr="00EE3B6B">
        <w:rPr>
          <w:rFonts w:ascii="Times New Roman" w:hAnsi="Times New Roman" w:cs="Times New Roman"/>
        </w:rPr>
        <w:t xml:space="preserve"> the same product or plan for rate review purposes. Note that changing the HIOS Product or Plan ID does not necessarily result in the product or plan being considered new for rate review purposes.  </w:t>
      </w:r>
    </w:p>
    <w:p w:rsidR="008D7C3C" w:rsidRPr="00EE3B6B" w:rsidP="006D1FD2" w14:paraId="1A8BD042" w14:textId="5DA76F3A">
      <w:pPr>
        <w:keepLines/>
        <w:spacing w:after="120" w:line="276" w:lineRule="auto"/>
        <w:rPr>
          <w:rFonts w:ascii="Times New Roman" w:hAnsi="Times New Roman" w:cs="Times New Roman"/>
        </w:rPr>
      </w:pPr>
      <w:r w:rsidRPr="00EE3B6B">
        <w:rPr>
          <w:rFonts w:ascii="Times New Roman" w:hAnsi="Times New Roman" w:cs="Times New Roman"/>
        </w:rPr>
        <w:t>In the individual</w:t>
      </w:r>
      <w:r w:rsidRPr="00EE3B6B" w:rsidR="009445BB">
        <w:rPr>
          <w:rFonts w:ascii="Times New Roman" w:hAnsi="Times New Roman" w:cs="Times New Roman"/>
        </w:rPr>
        <w:t>,</w:t>
      </w:r>
      <w:r w:rsidRPr="00EE3B6B">
        <w:rPr>
          <w:rFonts w:ascii="Times New Roman" w:hAnsi="Times New Roman" w:cs="Times New Roman"/>
        </w:rPr>
        <w:t xml:space="preserve"> small group</w:t>
      </w:r>
      <w:r w:rsidRPr="00EE3B6B" w:rsidR="009445BB">
        <w:rPr>
          <w:rFonts w:ascii="Times New Roman" w:hAnsi="Times New Roman" w:cs="Times New Roman"/>
        </w:rPr>
        <w:t>,</w:t>
      </w:r>
      <w:r w:rsidRPr="00EE3B6B" w:rsidR="0001281E">
        <w:rPr>
          <w:rFonts w:ascii="Times New Roman" w:hAnsi="Times New Roman" w:cs="Times New Roman"/>
        </w:rPr>
        <w:t xml:space="preserve"> and combined</w:t>
      </w:r>
      <w:r w:rsidRPr="00EE3B6B">
        <w:rPr>
          <w:rFonts w:ascii="Times New Roman" w:hAnsi="Times New Roman" w:cs="Times New Roman"/>
        </w:rPr>
        <w:t xml:space="preserve"> markets, product modifications made uniformly at the time of coverage renewal and solely pursuant to applicable </w:t>
      </w:r>
      <w:r w:rsidRPr="00EE3B6B" w:rsidR="00B93349">
        <w:rPr>
          <w:rFonts w:ascii="Times New Roman" w:hAnsi="Times New Roman" w:cs="Times New Roman"/>
        </w:rPr>
        <w:t>f</w:t>
      </w:r>
      <w:r w:rsidRPr="00EE3B6B">
        <w:rPr>
          <w:rFonts w:ascii="Times New Roman" w:hAnsi="Times New Roman" w:cs="Times New Roman"/>
        </w:rPr>
        <w:t xml:space="preserve">ederal or </w:t>
      </w:r>
      <w:r w:rsidRPr="00EE3B6B" w:rsidR="00B93349">
        <w:rPr>
          <w:rFonts w:ascii="Times New Roman" w:hAnsi="Times New Roman" w:cs="Times New Roman"/>
        </w:rPr>
        <w:t>s</w:t>
      </w:r>
      <w:r w:rsidRPr="00EE3B6B">
        <w:rPr>
          <w:rFonts w:ascii="Times New Roman" w:hAnsi="Times New Roman" w:cs="Times New Roman"/>
        </w:rPr>
        <w:t xml:space="preserve">tate requirements are considered a uniform modification of coverage if the modification is made within a reasonable time period after the imposition or modification of a </w:t>
      </w:r>
      <w:r w:rsidRPr="00EE3B6B" w:rsidR="00B93349">
        <w:rPr>
          <w:rFonts w:ascii="Times New Roman" w:hAnsi="Times New Roman" w:cs="Times New Roman"/>
        </w:rPr>
        <w:t>f</w:t>
      </w:r>
      <w:r w:rsidRPr="00EE3B6B">
        <w:rPr>
          <w:rFonts w:ascii="Times New Roman" w:hAnsi="Times New Roman" w:cs="Times New Roman"/>
        </w:rPr>
        <w:t xml:space="preserve">ederal or </w:t>
      </w:r>
      <w:r w:rsidRPr="00EE3B6B" w:rsidR="00B93349">
        <w:rPr>
          <w:rFonts w:ascii="Times New Roman" w:hAnsi="Times New Roman" w:cs="Times New Roman"/>
        </w:rPr>
        <w:t>s</w:t>
      </w:r>
      <w:r w:rsidRPr="00EE3B6B">
        <w:rPr>
          <w:rFonts w:ascii="Times New Roman" w:hAnsi="Times New Roman" w:cs="Times New Roman"/>
        </w:rPr>
        <w:t xml:space="preserve">tate requirement, and the modification is directly related to the imposition or modification of the </w:t>
      </w:r>
      <w:r w:rsidRPr="00EE3B6B" w:rsidR="00B93349">
        <w:rPr>
          <w:rFonts w:ascii="Times New Roman" w:hAnsi="Times New Roman" w:cs="Times New Roman"/>
        </w:rPr>
        <w:t>f</w:t>
      </w:r>
      <w:r w:rsidRPr="00EE3B6B">
        <w:rPr>
          <w:rFonts w:ascii="Times New Roman" w:hAnsi="Times New Roman" w:cs="Times New Roman"/>
        </w:rPr>
        <w:t xml:space="preserve">ederal or </w:t>
      </w:r>
      <w:r w:rsidRPr="00EE3B6B" w:rsidR="00B93349">
        <w:rPr>
          <w:rFonts w:ascii="Times New Roman" w:hAnsi="Times New Roman" w:cs="Times New Roman"/>
        </w:rPr>
        <w:t>s</w:t>
      </w:r>
      <w:r w:rsidRPr="00EE3B6B">
        <w:rPr>
          <w:rFonts w:ascii="Times New Roman" w:hAnsi="Times New Roman" w:cs="Times New Roman"/>
        </w:rPr>
        <w:t xml:space="preserve">tate requirement. For example, if the </w:t>
      </w:r>
      <w:r w:rsidRPr="00EE3B6B" w:rsidR="00B93349">
        <w:rPr>
          <w:rFonts w:ascii="Times New Roman" w:hAnsi="Times New Roman" w:cs="Times New Roman"/>
        </w:rPr>
        <w:t>f</w:t>
      </w:r>
      <w:r w:rsidRPr="00EE3B6B">
        <w:rPr>
          <w:rFonts w:ascii="Times New Roman" w:hAnsi="Times New Roman" w:cs="Times New Roman"/>
        </w:rPr>
        <w:t xml:space="preserve">ederal or </w:t>
      </w:r>
      <w:r w:rsidRPr="00EE3B6B" w:rsidR="00B93349">
        <w:rPr>
          <w:rFonts w:ascii="Times New Roman" w:hAnsi="Times New Roman" w:cs="Times New Roman"/>
        </w:rPr>
        <w:t>s</w:t>
      </w:r>
      <w:r w:rsidRPr="00EE3B6B">
        <w:rPr>
          <w:rFonts w:ascii="Times New Roman" w:hAnsi="Times New Roman" w:cs="Times New Roman"/>
        </w:rPr>
        <w:t>tate government mandates coverage of a new benefit, existing products may be altered to include coverage of the mandated benefit without being considered “new” products.</w:t>
      </w:r>
    </w:p>
    <w:p w:rsidR="008D7C3C" w:rsidRPr="00EE3B6B" w:rsidP="006D1FD2" w14:paraId="00C13791" w14:textId="40AA297B">
      <w:pPr>
        <w:keepLines/>
        <w:spacing w:after="120" w:line="276" w:lineRule="auto"/>
        <w:rPr>
          <w:rFonts w:ascii="Times New Roman" w:hAnsi="Times New Roman" w:cs="Times New Roman"/>
        </w:rPr>
      </w:pPr>
      <w:r w:rsidRPr="00EE3B6B">
        <w:rPr>
          <w:rFonts w:ascii="Times New Roman" w:hAnsi="Times New Roman" w:cs="Times New Roman"/>
        </w:rPr>
        <w:t>A modification made uniformly at the time of coverage renewal in the individual</w:t>
      </w:r>
      <w:r w:rsidRPr="00EE3B6B" w:rsidR="009445BB">
        <w:rPr>
          <w:rFonts w:ascii="Times New Roman" w:hAnsi="Times New Roman" w:cs="Times New Roman"/>
        </w:rPr>
        <w:t xml:space="preserve">, </w:t>
      </w:r>
      <w:r w:rsidRPr="00EE3B6B">
        <w:rPr>
          <w:rFonts w:ascii="Times New Roman" w:hAnsi="Times New Roman" w:cs="Times New Roman"/>
        </w:rPr>
        <w:t>small group</w:t>
      </w:r>
      <w:r w:rsidRPr="00EE3B6B" w:rsidR="0001281E">
        <w:rPr>
          <w:rFonts w:ascii="Times New Roman" w:hAnsi="Times New Roman" w:cs="Times New Roman"/>
        </w:rPr>
        <w:t>, or combined</w:t>
      </w:r>
      <w:r w:rsidRPr="00EE3B6B">
        <w:rPr>
          <w:rFonts w:ascii="Times New Roman" w:hAnsi="Times New Roman" w:cs="Times New Roman"/>
        </w:rPr>
        <w:t xml:space="preserve"> market is also considered to be a uniform modification of coverage if the resulting health insurance coverage for the product meets the following criteria:</w:t>
      </w:r>
    </w:p>
    <w:p w:rsidR="008D7C3C" w:rsidRPr="00EE3B6B" w:rsidP="006738FF" w14:paraId="0F7D6303" w14:textId="0761A4F1">
      <w:pPr>
        <w:pStyle w:val="ListParagraph"/>
        <w:keepLines/>
        <w:numPr>
          <w:ilvl w:val="0"/>
          <w:numId w:val="13"/>
        </w:numPr>
        <w:spacing w:after="120" w:line="276" w:lineRule="auto"/>
        <w:ind w:left="720"/>
        <w:rPr>
          <w:rFonts w:ascii="Times New Roman" w:hAnsi="Times New Roman" w:cs="Times New Roman"/>
        </w:rPr>
      </w:pPr>
      <w:r w:rsidRPr="00EE3B6B">
        <w:rPr>
          <w:rFonts w:ascii="Times New Roman" w:hAnsi="Times New Roman" w:cs="Times New Roman"/>
        </w:rPr>
        <w:t xml:space="preserve">The product is offered by the same health insurance issuer or a member of the </w:t>
      </w:r>
      <w:r w:rsidRPr="00EE3B6B">
        <w:rPr>
          <w:rFonts w:ascii="Times New Roman" w:hAnsi="Times New Roman" w:cs="Times New Roman"/>
        </w:rPr>
        <w:t>issuer’s controlled</w:t>
      </w:r>
      <w:r w:rsidRPr="00EE3B6B">
        <w:rPr>
          <w:rFonts w:ascii="Times New Roman" w:hAnsi="Times New Roman" w:cs="Times New Roman"/>
        </w:rPr>
        <w:t xml:space="preserve"> group.</w:t>
      </w:r>
    </w:p>
    <w:p w:rsidR="008D7C3C" w:rsidRPr="00EE3B6B" w:rsidP="006738FF" w14:paraId="584C1972" w14:textId="6A2C8C96">
      <w:pPr>
        <w:pStyle w:val="ListParagraph"/>
        <w:keepLines/>
        <w:numPr>
          <w:ilvl w:val="0"/>
          <w:numId w:val="13"/>
        </w:numPr>
        <w:spacing w:after="120" w:line="276" w:lineRule="auto"/>
        <w:ind w:left="720"/>
        <w:rPr>
          <w:rFonts w:ascii="Times New Roman" w:hAnsi="Times New Roman" w:cs="Times New Roman"/>
        </w:rPr>
      </w:pPr>
      <w:r w:rsidRPr="00EE3B6B">
        <w:rPr>
          <w:rFonts w:ascii="Times New Roman" w:hAnsi="Times New Roman" w:cs="Times New Roman"/>
        </w:rPr>
        <w:t>The product network type remains the same, for example a health maintenance organization remains a health maintenance organization, or a preferred provider organization remains a preferred provider organization.</w:t>
      </w:r>
    </w:p>
    <w:p w:rsidR="008D7C3C" w:rsidRPr="00EE3B6B" w:rsidP="006738FF" w14:paraId="7A7907F5" w14:textId="037083C0">
      <w:pPr>
        <w:pStyle w:val="ListParagraph"/>
        <w:keepLines/>
        <w:numPr>
          <w:ilvl w:val="0"/>
          <w:numId w:val="13"/>
        </w:numPr>
        <w:spacing w:after="120" w:line="276" w:lineRule="auto"/>
        <w:ind w:left="720"/>
        <w:rPr>
          <w:rFonts w:ascii="Times New Roman" w:hAnsi="Times New Roman" w:cs="Times New Roman"/>
        </w:rPr>
      </w:pPr>
      <w:r w:rsidRPr="00EE3B6B">
        <w:rPr>
          <w:rFonts w:ascii="Times New Roman" w:hAnsi="Times New Roman" w:cs="Times New Roman"/>
        </w:rPr>
        <w:t xml:space="preserve">The product continues to cover </w:t>
      </w:r>
      <w:r w:rsidRPr="00EE3B6B">
        <w:rPr>
          <w:rFonts w:ascii="Times New Roman" w:hAnsi="Times New Roman" w:cs="Times New Roman"/>
        </w:rPr>
        <w:t>a majority of</w:t>
      </w:r>
      <w:r w:rsidRPr="00EE3B6B">
        <w:rPr>
          <w:rFonts w:ascii="Times New Roman" w:hAnsi="Times New Roman" w:cs="Times New Roman"/>
        </w:rPr>
        <w:t xml:space="preserve"> the same service area.</w:t>
      </w:r>
    </w:p>
    <w:p w:rsidR="008D7C3C" w:rsidRPr="00EE3B6B" w:rsidP="006738FF" w14:paraId="10334CED" w14:textId="165C128D">
      <w:pPr>
        <w:pStyle w:val="ListParagraph"/>
        <w:keepLines/>
        <w:numPr>
          <w:ilvl w:val="0"/>
          <w:numId w:val="13"/>
        </w:numPr>
        <w:spacing w:after="120" w:line="276" w:lineRule="auto"/>
        <w:ind w:left="720"/>
        <w:rPr>
          <w:rFonts w:ascii="Times New Roman" w:hAnsi="Times New Roman" w:cs="Times New Roman"/>
        </w:rPr>
      </w:pPr>
      <w:r w:rsidRPr="00EE3B6B">
        <w:rPr>
          <w:rFonts w:ascii="Times New Roman" w:hAnsi="Times New Roman" w:cs="Times New Roman"/>
        </w:rPr>
        <w:t>Within the product, each plan has the same cost-sharing structure as before the modification, except for any variation in cost sharing solely related to changes in cost and utilization of medical care, or to maintain the same metal tier level.</w:t>
      </w:r>
    </w:p>
    <w:p w:rsidR="008D7C3C" w:rsidRPr="00EE3B6B" w:rsidP="006738FF" w14:paraId="1B1ACA96" w14:textId="6E3C56A9">
      <w:pPr>
        <w:pStyle w:val="ListParagraph"/>
        <w:keepLines/>
        <w:numPr>
          <w:ilvl w:val="0"/>
          <w:numId w:val="13"/>
        </w:numPr>
        <w:spacing w:after="120" w:line="276" w:lineRule="auto"/>
        <w:ind w:left="720"/>
        <w:rPr>
          <w:rFonts w:ascii="Times New Roman" w:hAnsi="Times New Roman" w:cs="Times New Roman"/>
        </w:rPr>
      </w:pPr>
      <w:r w:rsidRPr="00EE3B6B">
        <w:rPr>
          <w:rFonts w:ascii="Times New Roman" w:hAnsi="Times New Roman" w:cs="Times New Roman"/>
        </w:rPr>
        <w:t xml:space="preserve">The product provides the same covered benefits (i.e., covered items and services), except for changes in benefits that cumulatively impact the PAIR for any plan within the product within an allowable variation of ±2 percentage points (not including changes pursuant to applicable </w:t>
      </w:r>
      <w:r w:rsidRPr="00EE3B6B" w:rsidR="00A52393">
        <w:rPr>
          <w:rFonts w:ascii="Times New Roman" w:hAnsi="Times New Roman" w:cs="Times New Roman"/>
        </w:rPr>
        <w:t>f</w:t>
      </w:r>
      <w:r w:rsidRPr="00EE3B6B">
        <w:rPr>
          <w:rFonts w:ascii="Times New Roman" w:hAnsi="Times New Roman" w:cs="Times New Roman"/>
        </w:rPr>
        <w:t xml:space="preserve">ederal or </w:t>
      </w:r>
      <w:r w:rsidRPr="00EE3B6B" w:rsidR="00A52393">
        <w:rPr>
          <w:rFonts w:ascii="Times New Roman" w:hAnsi="Times New Roman" w:cs="Times New Roman"/>
        </w:rPr>
        <w:t>s</w:t>
      </w:r>
      <w:r w:rsidRPr="00EE3B6B">
        <w:rPr>
          <w:rFonts w:ascii="Times New Roman" w:hAnsi="Times New Roman" w:cs="Times New Roman"/>
        </w:rPr>
        <w:t>tate requirements).</w:t>
      </w:r>
    </w:p>
    <w:p w:rsidR="008D7C3C" w:rsidRPr="00EE3B6B" w:rsidP="006D1FD2" w14:paraId="6DDA8F97" w14:textId="4D13E9FB">
      <w:pPr>
        <w:keepLines/>
        <w:spacing w:after="120" w:line="276" w:lineRule="auto"/>
        <w:rPr>
          <w:rFonts w:ascii="Times New Roman" w:hAnsi="Times New Roman" w:cs="Times New Roman"/>
        </w:rPr>
      </w:pPr>
      <w:r w:rsidRPr="00EE3B6B">
        <w:rPr>
          <w:rFonts w:ascii="Times New Roman" w:hAnsi="Times New Roman" w:cs="Times New Roman"/>
        </w:rPr>
        <w:t xml:space="preserve">A </w:t>
      </w:r>
      <w:r w:rsidRPr="00EE3B6B" w:rsidR="00A52393">
        <w:rPr>
          <w:rFonts w:ascii="Times New Roman" w:hAnsi="Times New Roman" w:cs="Times New Roman"/>
        </w:rPr>
        <w:t>s</w:t>
      </w:r>
      <w:r w:rsidRPr="00EE3B6B">
        <w:rPr>
          <w:rFonts w:ascii="Times New Roman" w:hAnsi="Times New Roman" w:cs="Times New Roman"/>
        </w:rPr>
        <w:t xml:space="preserve">tate may broaden the standards mentioned in the third and fourth bullet points, so an issuer may need to check with the </w:t>
      </w:r>
      <w:r w:rsidRPr="00EE3B6B" w:rsidR="00A52393">
        <w:rPr>
          <w:rFonts w:ascii="Times New Roman" w:hAnsi="Times New Roman" w:cs="Times New Roman"/>
        </w:rPr>
        <w:t>s</w:t>
      </w:r>
      <w:r w:rsidRPr="00EE3B6B">
        <w:rPr>
          <w:rFonts w:ascii="Times New Roman" w:hAnsi="Times New Roman" w:cs="Times New Roman"/>
        </w:rPr>
        <w:t xml:space="preserve">tate to determine if a change to a product’s service area or cost-sharing structure </w:t>
      </w:r>
      <w:r w:rsidRPr="00EE3B6B">
        <w:rPr>
          <w:rFonts w:ascii="Times New Roman" w:hAnsi="Times New Roman" w:cs="Times New Roman"/>
        </w:rPr>
        <w:t>is considered to be</w:t>
      </w:r>
      <w:r w:rsidRPr="00EE3B6B">
        <w:rPr>
          <w:rFonts w:ascii="Times New Roman" w:hAnsi="Times New Roman" w:cs="Times New Roman"/>
        </w:rPr>
        <w:t xml:space="preserve"> a uniform modification of coverage.</w:t>
      </w:r>
    </w:p>
    <w:p w:rsidR="008D7C3C" w:rsidRPr="00EE3B6B" w:rsidP="006D1FD2" w14:paraId="74C38F69" w14:textId="77777777">
      <w:pPr>
        <w:keepLines/>
        <w:spacing w:after="120" w:line="276" w:lineRule="auto"/>
        <w:rPr>
          <w:rFonts w:ascii="Times New Roman" w:hAnsi="Times New Roman" w:cs="Times New Roman"/>
        </w:rPr>
      </w:pPr>
      <w:r w:rsidRPr="00EE3B6B">
        <w:rPr>
          <w:rFonts w:ascii="Times New Roman" w:hAnsi="Times New Roman" w:cs="Times New Roman"/>
        </w:rPr>
        <w:t xml:space="preserve">In addition, an issuer is not considered to have discontinued offering all health insurance coverage in a market if the issuer or a member of the issuer’s controlled group continues to offer and make available for enrollment in the applicable market in the </w:t>
      </w:r>
      <w:r w:rsidRPr="00EE3B6B" w:rsidR="00A52393">
        <w:rPr>
          <w:rFonts w:ascii="Times New Roman" w:hAnsi="Times New Roman" w:cs="Times New Roman"/>
        </w:rPr>
        <w:t>s</w:t>
      </w:r>
      <w:r w:rsidRPr="00EE3B6B">
        <w:rPr>
          <w:rFonts w:ascii="Times New Roman" w:hAnsi="Times New Roman" w:cs="Times New Roman"/>
        </w:rPr>
        <w:t>tate at least one product of the original issuer that is considered to be the same product, meaning that any change to the product is within the scope of uniform modification. For this purpose, ‘‘controlled group’’ means a group of two or more persons that is treated as a single employer under sections 52(a), 52(b), 414(m), or 414(o) of the Internal Revenue Code, 26 U.S.C. 1, et seq.</w:t>
      </w:r>
    </w:p>
    <w:p w:rsidR="008D7C3C" w:rsidRPr="00EE3B6B" w:rsidP="006D1FD2" w14:paraId="0D619D38" w14:textId="77777777">
      <w:pPr>
        <w:keepLines/>
        <w:spacing w:after="120" w:line="276" w:lineRule="auto"/>
        <w:rPr>
          <w:rFonts w:ascii="Times New Roman" w:hAnsi="Times New Roman" w:cs="Times New Roman"/>
        </w:rPr>
      </w:pPr>
      <w:r w:rsidRPr="00EE3B6B">
        <w:rPr>
          <w:rFonts w:ascii="Times New Roman" w:hAnsi="Times New Roman" w:cs="Times New Roman"/>
        </w:rPr>
        <w:t xml:space="preserve">States that interpret or apply market withdrawal provisions differently under </w:t>
      </w:r>
      <w:r w:rsidRPr="00EE3B6B" w:rsidR="00A52393">
        <w:rPr>
          <w:rFonts w:ascii="Times New Roman" w:hAnsi="Times New Roman" w:cs="Times New Roman"/>
        </w:rPr>
        <w:t>s</w:t>
      </w:r>
      <w:r w:rsidRPr="00EE3B6B">
        <w:rPr>
          <w:rFonts w:ascii="Times New Roman" w:hAnsi="Times New Roman" w:cs="Times New Roman"/>
        </w:rPr>
        <w:t xml:space="preserve">tate law are not prohibited from considering the transfer of all products in a market to a different issuer within a controlled group to be new products and the scenario a market withdrawal. A controlled group may be defined more narrowly under </w:t>
      </w:r>
      <w:r w:rsidRPr="00EE3B6B" w:rsidR="00A52393">
        <w:rPr>
          <w:rFonts w:ascii="Times New Roman" w:hAnsi="Times New Roman" w:cs="Times New Roman"/>
        </w:rPr>
        <w:t>s</w:t>
      </w:r>
      <w:r w:rsidRPr="00EE3B6B">
        <w:rPr>
          <w:rFonts w:ascii="Times New Roman" w:hAnsi="Times New Roman" w:cs="Times New Roman"/>
        </w:rPr>
        <w:t xml:space="preserve">tate law—that is, a controlled group may be defined to not include </w:t>
      </w:r>
      <w:r w:rsidRPr="00EE3B6B">
        <w:rPr>
          <w:rFonts w:ascii="Times New Roman" w:hAnsi="Times New Roman" w:cs="Times New Roman"/>
        </w:rPr>
        <w:t>all of</w:t>
      </w:r>
      <w:r w:rsidRPr="00EE3B6B">
        <w:rPr>
          <w:rFonts w:ascii="Times New Roman" w:hAnsi="Times New Roman" w:cs="Times New Roman"/>
        </w:rPr>
        <w:t xml:space="preserve"> the entities that would be included under the </w:t>
      </w:r>
      <w:r w:rsidRPr="00EE3B6B" w:rsidR="00DF2F3B">
        <w:rPr>
          <w:rFonts w:ascii="Times New Roman" w:hAnsi="Times New Roman" w:cs="Times New Roman"/>
        </w:rPr>
        <w:t>f</w:t>
      </w:r>
      <w:r w:rsidRPr="00EE3B6B">
        <w:rPr>
          <w:rFonts w:ascii="Times New Roman" w:hAnsi="Times New Roman" w:cs="Times New Roman"/>
        </w:rPr>
        <w:t>ederal definition.</w:t>
      </w:r>
    </w:p>
    <w:p w:rsidR="008D7C3C" w:rsidRPr="00EE3B6B" w:rsidP="006D1FD2" w14:paraId="47D5B515" w14:textId="55DADBE8">
      <w:pPr>
        <w:keepLines/>
        <w:spacing w:after="120" w:line="276" w:lineRule="auto"/>
        <w:rPr>
          <w:rFonts w:ascii="Times New Roman" w:hAnsi="Times New Roman" w:cs="Times New Roman"/>
        </w:rPr>
      </w:pPr>
      <w:r w:rsidRPr="00EE3B6B">
        <w:rPr>
          <w:rFonts w:ascii="Times New Roman" w:hAnsi="Times New Roman" w:cs="Times New Roman"/>
        </w:rPr>
        <w:t xml:space="preserve">Issuers that replace an entire portfolio of products in a market with new products may also avoid a 5-year ban under the market withdrawal provision provided the issuer reasonably identifies which newly offered product (or products) is replacing the discontinued product (or products) and subjects the new product (or products) to the </w:t>
      </w:r>
      <w:r w:rsidRPr="00EE3B6B" w:rsidR="00DF2F3B">
        <w:rPr>
          <w:rFonts w:ascii="Times New Roman" w:hAnsi="Times New Roman" w:cs="Times New Roman"/>
        </w:rPr>
        <w:t>f</w:t>
      </w:r>
      <w:r w:rsidRPr="00EE3B6B">
        <w:rPr>
          <w:rFonts w:ascii="Times New Roman" w:hAnsi="Times New Roman" w:cs="Times New Roman"/>
        </w:rPr>
        <w:t xml:space="preserve">ederal rate review process, where the process is otherwise applicable to the type of product and market.  An issuer’s identification of which new product replaces which discontinued product will be considered reasonable if it reflects the issuer’s expectations regarding significant transfer of enrollment from one product to the other (for example, because the products have been </w:t>
      </w:r>
      <w:r w:rsidRPr="00EE3B6B">
        <w:rPr>
          <w:rFonts w:ascii="Times New Roman" w:hAnsi="Times New Roman" w:cs="Times New Roman"/>
        </w:rPr>
        <w:t>cross-walked</w:t>
      </w:r>
      <w:r w:rsidRPr="00EE3B6B">
        <w:rPr>
          <w:rFonts w:ascii="Times New Roman" w:hAnsi="Times New Roman" w:cs="Times New Roman"/>
        </w:rPr>
        <w:t xml:space="preserve"> for that purpose). Issuers should identify which new product replaces which discontinued product in the actuarial memorandum.  This provides a way for issuers to completely revise their product portfolio offerings without triggering a 5-year ban, provided they are not revising </w:t>
      </w:r>
      <w:r w:rsidRPr="00EE3B6B">
        <w:rPr>
          <w:rFonts w:ascii="Times New Roman" w:hAnsi="Times New Roman" w:cs="Times New Roman"/>
        </w:rPr>
        <w:t>all of</w:t>
      </w:r>
      <w:r w:rsidRPr="00EE3B6B">
        <w:rPr>
          <w:rFonts w:ascii="Times New Roman" w:hAnsi="Times New Roman" w:cs="Times New Roman"/>
        </w:rPr>
        <w:t xml:space="preserve"> their products simply to avoid rate review.  Issuers that do not adhere to these conditions will be considered to have effectuated a market withdrawal subject to the 5-year ban on market re</w:t>
      </w:r>
      <w:r w:rsidRPr="00EE3B6B" w:rsidR="00551FB2">
        <w:rPr>
          <w:rFonts w:ascii="Times New Roman" w:hAnsi="Times New Roman" w:cs="Times New Roman"/>
        </w:rPr>
        <w:t xml:space="preserve">-entry. </w:t>
      </w:r>
    </w:p>
    <w:p w:rsidR="004221BA" w:rsidRPr="00FA6F2C" w:rsidP="00FA6F2C" w14:paraId="6C90C928" w14:textId="5DDA69CE">
      <w:pPr>
        <w:pStyle w:val="Heading1"/>
      </w:pPr>
      <w:bookmarkStart w:id="25" w:name="_Toc174003422"/>
      <w:r w:rsidRPr="00FA6F2C">
        <w:t xml:space="preserve">2.  </w:t>
      </w:r>
      <w:r w:rsidRPr="00FA6F2C">
        <w:t>Part I: Unified Rate Review Template</w:t>
      </w:r>
      <w:bookmarkEnd w:id="25"/>
    </w:p>
    <w:p w:rsidR="004221BA" w:rsidRPr="00EE3B6B" w:rsidP="006D1FD2" w14:paraId="0981FE44" w14:textId="4C689D20">
      <w:pPr>
        <w:keepLines/>
        <w:spacing w:after="120" w:line="276" w:lineRule="auto"/>
        <w:rPr>
          <w:rFonts w:ascii="Times New Roman" w:hAnsi="Times New Roman" w:cs="Times New Roman"/>
        </w:rPr>
      </w:pPr>
      <w:r w:rsidRPr="00EE3B6B">
        <w:rPr>
          <w:rFonts w:ascii="Times New Roman" w:hAnsi="Times New Roman" w:cs="Times New Roman"/>
        </w:rPr>
        <w:t>The Unified Rate Review Template (URRT) is intended to help regulators review rates for single risk pool plans for compliance with the Affordable Care Act and determine whether proposed rate increases subject to review are unreasonable. The URRT also collects data from issuers so that CMS can fulfill its duty to monitor premium increases in</w:t>
      </w:r>
      <w:r w:rsidRPr="00EE3B6B" w:rsidR="00444B22">
        <w:rPr>
          <w:rFonts w:ascii="Times New Roman" w:hAnsi="Times New Roman" w:cs="Times New Roman"/>
        </w:rPr>
        <w:t>side and outside of the Exchanges</w:t>
      </w:r>
      <w:r w:rsidRPr="00EE3B6B">
        <w:rPr>
          <w:rFonts w:ascii="Times New Roman" w:hAnsi="Times New Roman" w:cs="Times New Roman"/>
        </w:rPr>
        <w:t xml:space="preserve">. This includes single risk pool plans that experience no rate changes, rate decreases, as well as rates for new single risk pool plans. The </w:t>
      </w:r>
      <w:r w:rsidRPr="00EE3B6B" w:rsidR="00011098">
        <w:rPr>
          <w:rFonts w:ascii="Times New Roman" w:hAnsi="Times New Roman" w:cs="Times New Roman"/>
        </w:rPr>
        <w:t>‘S</w:t>
      </w:r>
      <w:r w:rsidRPr="00EE3B6B" w:rsidR="00602FBA">
        <w:rPr>
          <w:rFonts w:ascii="Times New Roman" w:hAnsi="Times New Roman" w:cs="Times New Roman"/>
        </w:rPr>
        <w:t xml:space="preserve">ubmission </w:t>
      </w:r>
      <w:r w:rsidRPr="00EE3B6B" w:rsidR="00011098">
        <w:rPr>
          <w:rFonts w:ascii="Times New Roman" w:hAnsi="Times New Roman" w:cs="Times New Roman"/>
        </w:rPr>
        <w:t>Level Rate Increase</w:t>
      </w:r>
      <w:r w:rsidRPr="00EE3B6B" w:rsidR="002C42E2">
        <w:rPr>
          <w:rFonts w:ascii="Times New Roman" w:hAnsi="Times New Roman" w:cs="Times New Roman"/>
        </w:rPr>
        <w:t xml:space="preserve"> %</w:t>
      </w:r>
      <w:r w:rsidRPr="00EE3B6B" w:rsidR="00011098">
        <w:rPr>
          <w:rFonts w:ascii="Times New Roman" w:hAnsi="Times New Roman" w:cs="Times New Roman"/>
        </w:rPr>
        <w:t xml:space="preserve">’ </w:t>
      </w:r>
      <w:r w:rsidRPr="00EE3B6B" w:rsidR="00602FBA">
        <w:rPr>
          <w:rFonts w:ascii="Times New Roman" w:hAnsi="Times New Roman" w:cs="Times New Roman"/>
        </w:rPr>
        <w:t xml:space="preserve">and </w:t>
      </w:r>
      <w:r w:rsidRPr="00EE3B6B" w:rsidR="00011098">
        <w:rPr>
          <w:rFonts w:ascii="Times New Roman" w:hAnsi="Times New Roman" w:cs="Times New Roman"/>
        </w:rPr>
        <w:t>‘P</w:t>
      </w:r>
      <w:r w:rsidRPr="00EE3B6B">
        <w:rPr>
          <w:rFonts w:ascii="Times New Roman" w:hAnsi="Times New Roman" w:cs="Times New Roman"/>
        </w:rPr>
        <w:t xml:space="preserve">roduct </w:t>
      </w:r>
      <w:r w:rsidRPr="00EE3B6B" w:rsidR="00011098">
        <w:rPr>
          <w:rFonts w:ascii="Times New Roman" w:hAnsi="Times New Roman" w:cs="Times New Roman"/>
        </w:rPr>
        <w:t>R</w:t>
      </w:r>
      <w:r w:rsidRPr="00EE3B6B">
        <w:rPr>
          <w:rFonts w:ascii="Times New Roman" w:hAnsi="Times New Roman" w:cs="Times New Roman"/>
        </w:rPr>
        <w:t xml:space="preserve">ate </w:t>
      </w:r>
      <w:r w:rsidRPr="00EE3B6B" w:rsidR="00011098">
        <w:rPr>
          <w:rFonts w:ascii="Times New Roman" w:hAnsi="Times New Roman" w:cs="Times New Roman"/>
        </w:rPr>
        <w:t>Increase %’ on Worksheet 2 of</w:t>
      </w:r>
      <w:r w:rsidRPr="00EE3B6B">
        <w:rPr>
          <w:rFonts w:ascii="Times New Roman" w:hAnsi="Times New Roman" w:cs="Times New Roman"/>
        </w:rPr>
        <w:t xml:space="preserve"> the URRT will display on the CMS website, regardless of the size of the </w:t>
      </w:r>
      <w:r w:rsidRPr="00EE3B6B" w:rsidR="00380AF1">
        <w:rPr>
          <w:rFonts w:ascii="Times New Roman" w:hAnsi="Times New Roman" w:cs="Times New Roman"/>
        </w:rPr>
        <w:t>change</w:t>
      </w:r>
      <w:r w:rsidRPr="00EE3B6B">
        <w:rPr>
          <w:rFonts w:ascii="Times New Roman" w:hAnsi="Times New Roman" w:cs="Times New Roman"/>
        </w:rPr>
        <w:t>. If a plan within a product has a rate increase of 1</w:t>
      </w:r>
      <w:r w:rsidRPr="00EE3B6B" w:rsidR="008479A9">
        <w:rPr>
          <w:rFonts w:ascii="Times New Roman" w:hAnsi="Times New Roman" w:cs="Times New Roman"/>
        </w:rPr>
        <w:t>5</w:t>
      </w:r>
      <w:r w:rsidRPr="00EE3B6B">
        <w:rPr>
          <w:rFonts w:ascii="Times New Roman" w:hAnsi="Times New Roman" w:cs="Times New Roman"/>
        </w:rPr>
        <w:t xml:space="preserve"> percent or greater (i.e.</w:t>
      </w:r>
      <w:r w:rsidRPr="00EE3B6B" w:rsidR="00E35D3D">
        <w:rPr>
          <w:rFonts w:ascii="Times New Roman" w:hAnsi="Times New Roman" w:cs="Times New Roman"/>
        </w:rPr>
        <w:t>,</w:t>
      </w:r>
      <w:r w:rsidRPr="00EE3B6B">
        <w:rPr>
          <w:rFonts w:ascii="Times New Roman" w:hAnsi="Times New Roman" w:cs="Times New Roman"/>
        </w:rPr>
        <w:t xml:space="preserve"> the product is subject to review), HIOS will require the issuer to enter a written description justifying the product rate increase. The written justification will also be displayed on the CMS website.</w:t>
      </w:r>
    </w:p>
    <w:p w:rsidR="00D174B4" w:rsidRPr="00EE3B6B" w:rsidP="006D1FD2" w14:paraId="108C335A" w14:textId="12449AF9">
      <w:pPr>
        <w:keepLines/>
        <w:spacing w:after="120" w:line="276" w:lineRule="auto"/>
        <w:rPr>
          <w:rFonts w:ascii="Times New Roman" w:hAnsi="Times New Roman" w:cs="Times New Roman"/>
        </w:rPr>
      </w:pPr>
      <w:r w:rsidRPr="00EE3B6B">
        <w:rPr>
          <w:rFonts w:ascii="Times New Roman" w:hAnsi="Times New Roman" w:cs="Times New Roman"/>
        </w:rPr>
        <w:t xml:space="preserve">It is critically important that issuers provide accurate and complete information in the URRT. Failure to provide accurate information in the first submission increases the likelihood that </w:t>
      </w:r>
      <w:r w:rsidRPr="00EE3B6B" w:rsidR="00A52393">
        <w:rPr>
          <w:rFonts w:ascii="Times New Roman" w:hAnsi="Times New Roman" w:cs="Times New Roman"/>
        </w:rPr>
        <w:t>s</w:t>
      </w:r>
      <w:r w:rsidRPr="00EE3B6B">
        <w:rPr>
          <w:rFonts w:ascii="Times New Roman" w:hAnsi="Times New Roman" w:cs="Times New Roman"/>
        </w:rPr>
        <w:t xml:space="preserve">tate or </w:t>
      </w:r>
      <w:r w:rsidRPr="00EE3B6B" w:rsidR="00A52393">
        <w:rPr>
          <w:rFonts w:ascii="Times New Roman" w:hAnsi="Times New Roman" w:cs="Times New Roman"/>
        </w:rPr>
        <w:t>f</w:t>
      </w:r>
      <w:r w:rsidRPr="00EE3B6B">
        <w:rPr>
          <w:rFonts w:ascii="Times New Roman" w:hAnsi="Times New Roman" w:cs="Times New Roman"/>
        </w:rPr>
        <w:t>ederal regulators will need to request additional information. Issuers must respond promptly to all questions from the applicable regulator(s). Failure to provide information on a timely basis or failure to provide accurate information slows the review process and puts issuers at risk for missing critical deadlines to offer products and plans in the individual</w:t>
      </w:r>
      <w:r w:rsidRPr="00EE3B6B" w:rsidR="0001281E">
        <w:rPr>
          <w:rFonts w:ascii="Times New Roman" w:hAnsi="Times New Roman" w:cs="Times New Roman"/>
        </w:rPr>
        <w:t>,</w:t>
      </w:r>
      <w:r w:rsidRPr="00EE3B6B">
        <w:rPr>
          <w:rFonts w:ascii="Times New Roman" w:hAnsi="Times New Roman" w:cs="Times New Roman"/>
        </w:rPr>
        <w:t xml:space="preserve"> small group</w:t>
      </w:r>
      <w:r w:rsidRPr="00EE3B6B" w:rsidR="0001281E">
        <w:rPr>
          <w:rFonts w:ascii="Times New Roman" w:hAnsi="Times New Roman" w:cs="Times New Roman"/>
        </w:rPr>
        <w:t>, and combined</w:t>
      </w:r>
      <w:r w:rsidRPr="00EE3B6B">
        <w:rPr>
          <w:rFonts w:ascii="Times New Roman" w:hAnsi="Times New Roman" w:cs="Times New Roman"/>
        </w:rPr>
        <w:t xml:space="preserve"> markets. Issuers should verify that the data entered in the URRT is consistent with decimal place limits and instructions to avoid delays in the review process.</w:t>
      </w:r>
      <w:r w:rsidRPr="00EE3B6B" w:rsidR="0001281E">
        <w:rPr>
          <w:rFonts w:ascii="Times New Roman" w:hAnsi="Times New Roman" w:cs="Times New Roman"/>
        </w:rPr>
        <w:t xml:space="preserve"> </w:t>
      </w:r>
      <w:r w:rsidRPr="00EE3B6B" w:rsidR="000E0C5F">
        <w:rPr>
          <w:rFonts w:ascii="Times New Roman" w:hAnsi="Times New Roman" w:cs="Times New Roman"/>
        </w:rPr>
        <w:t>Issuers</w:t>
      </w:r>
      <w:r w:rsidRPr="00EE3B6B" w:rsidR="0001281E">
        <w:rPr>
          <w:rFonts w:ascii="Times New Roman" w:hAnsi="Times New Roman" w:cs="Times New Roman"/>
        </w:rPr>
        <w:t xml:space="preserve"> should not </w:t>
      </w:r>
      <w:r w:rsidRPr="00EE3B6B" w:rsidR="000E0C5F">
        <w:rPr>
          <w:rFonts w:ascii="Times New Roman" w:hAnsi="Times New Roman" w:cs="Times New Roman"/>
        </w:rPr>
        <w:t>finalize a URRT containing</w:t>
      </w:r>
      <w:r w:rsidRPr="00EE3B6B" w:rsidR="0001281E">
        <w:rPr>
          <w:rFonts w:ascii="Times New Roman" w:hAnsi="Times New Roman" w:cs="Times New Roman"/>
        </w:rPr>
        <w:t xml:space="preserve"> </w:t>
      </w:r>
      <w:r w:rsidRPr="00EE3B6B" w:rsidR="00CC65BF">
        <w:rPr>
          <w:rFonts w:ascii="Times New Roman" w:hAnsi="Times New Roman" w:cs="Times New Roman"/>
        </w:rPr>
        <w:t xml:space="preserve">input </w:t>
      </w:r>
      <w:r w:rsidRPr="00EE3B6B" w:rsidR="000E0C5F">
        <w:rPr>
          <w:rFonts w:ascii="Times New Roman" w:hAnsi="Times New Roman" w:cs="Times New Roman"/>
        </w:rPr>
        <w:t xml:space="preserve">cells with formula </w:t>
      </w:r>
      <w:r w:rsidRPr="00EE3B6B" w:rsidR="0001281E">
        <w:rPr>
          <w:rFonts w:ascii="Times New Roman" w:hAnsi="Times New Roman" w:cs="Times New Roman"/>
        </w:rPr>
        <w:t>links</w:t>
      </w:r>
      <w:r w:rsidRPr="00EE3B6B" w:rsidR="00CC65BF">
        <w:rPr>
          <w:rFonts w:ascii="Times New Roman" w:hAnsi="Times New Roman" w:cs="Times New Roman"/>
        </w:rPr>
        <w:t>, as this can cause problems with the file once it has been uploaded into HIOS</w:t>
      </w:r>
      <w:r w:rsidRPr="00EE3B6B" w:rsidR="0001281E">
        <w:rPr>
          <w:rFonts w:ascii="Times New Roman" w:hAnsi="Times New Roman" w:cs="Times New Roman"/>
        </w:rPr>
        <w:t>.</w:t>
      </w:r>
      <w:r w:rsidRPr="00EE3B6B" w:rsidR="00CC65BF">
        <w:rPr>
          <w:rFonts w:ascii="Times New Roman" w:hAnsi="Times New Roman" w:cs="Times New Roman"/>
        </w:rPr>
        <w:t xml:space="preserve"> If formula links are used to bring input data into the URRT, be sure to copy and paste values in the input cells before clicking “Finalize” in the template.</w:t>
      </w:r>
    </w:p>
    <w:p w:rsidR="004221BA" w:rsidRPr="00EE3B6B" w:rsidP="006D1FD2" w14:paraId="4CE0D535" w14:textId="561F79B0">
      <w:pPr>
        <w:keepLines/>
        <w:spacing w:after="120" w:line="276" w:lineRule="auto"/>
        <w:rPr>
          <w:rFonts w:ascii="Times New Roman" w:hAnsi="Times New Roman" w:cs="Times New Roman"/>
        </w:rPr>
      </w:pPr>
      <w:r w:rsidRPr="00EE3B6B">
        <w:rPr>
          <w:rFonts w:ascii="Times New Roman" w:hAnsi="Times New Roman" w:cs="Times New Roman"/>
        </w:rPr>
        <w:t xml:space="preserve">Under no circumstance should issuers attempt to overwrite protected cells. For example, the totals in </w:t>
      </w:r>
      <w:r w:rsidRPr="00EE3B6B" w:rsidR="00D174B4">
        <w:rPr>
          <w:rFonts w:ascii="Times New Roman" w:hAnsi="Times New Roman" w:cs="Times New Roman"/>
          <w:noProof/>
        </w:rPr>
        <mc:AlternateContent>
          <mc:Choice Requires="wps">
            <w:drawing>
              <wp:anchor distT="45720" distB="45720" distL="114300" distR="114300" simplePos="0" relativeHeight="251672576" behindDoc="0" locked="1" layoutInCell="1" allowOverlap="1">
                <wp:simplePos x="0" y="0"/>
                <wp:positionH relativeFrom="margin">
                  <wp:posOffset>-1270</wp:posOffset>
                </wp:positionH>
                <wp:positionV relativeFrom="margin">
                  <wp:posOffset>2229485</wp:posOffset>
                </wp:positionV>
                <wp:extent cx="5915660" cy="609600"/>
                <wp:effectExtent l="0" t="0" r="27940" b="19050"/>
                <wp:wrapSquare wrapText="bothSides"/>
                <wp:docPr id="1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15660" cy="609600"/>
                        </a:xfrm>
                        <a:prstGeom prst="rect">
                          <a:avLst/>
                        </a:prstGeom>
                        <a:solidFill>
                          <a:schemeClr val="bg1">
                            <a:lumMod val="85000"/>
                          </a:schemeClr>
                        </a:solidFill>
                        <a:ln w="9525">
                          <a:solidFill>
                            <a:srgbClr val="000000"/>
                          </a:solidFill>
                          <a:miter lim="800000"/>
                          <a:headEnd/>
                          <a:tailEnd/>
                        </a:ln>
                      </wps:spPr>
                      <wps:txbx>
                        <w:txbxContent>
                          <w:p w:rsidR="00D33AE9" w:rsidRPr="00FF4B61" w14:textId="7FD07B6A">
                            <w:pPr>
                              <w:rPr>
                                <w:rFonts w:ascii="Times New Roman" w:hAnsi="Times New Roman" w:cs="Times New Roman"/>
                                <w:color w:val="323E4F" w:themeColor="text2" w:themeShade="BF"/>
                              </w:rPr>
                            </w:pPr>
                            <w:r w:rsidRPr="00FF4B61">
                              <w:rPr>
                                <w:rFonts w:ascii="Times New Roman" w:hAnsi="Times New Roman" w:cs="Times New Roman"/>
                                <w:b/>
                                <w:color w:val="323E4F" w:themeColor="text2" w:themeShade="BF"/>
                                <w:u w:val="single"/>
                              </w:rPr>
                              <w:t>Tip:</w:t>
                            </w:r>
                            <w:r w:rsidRPr="00FF4B61">
                              <w:rPr>
                                <w:rFonts w:ascii="Times New Roman" w:hAnsi="Times New Roman" w:cs="Times New Roman"/>
                                <w:color w:val="323E4F" w:themeColor="text2" w:themeShade="BF"/>
                              </w:rPr>
                              <w:t xml:space="preserve"> If copying and pasting values into the URRT, make sure pasted values are consistent with decimal place limits and formatting instructions found within the URRT cells. Do not finalize a URRT that has linked formulas in the input cells.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2" type="#_x0000_t202" style="width:465.8pt;height:48pt;margin-top:175.55pt;margin-left:-0.1pt;mso-height-percent:0;mso-height-relative:margin;mso-position-horizontal-relative:margin;mso-position-vertical-relative:margin;mso-width-percent:0;mso-width-relative:margin;mso-wrap-distance-bottom:3.6pt;mso-wrap-distance-left:9pt;mso-wrap-distance-right:9pt;mso-wrap-distance-top:3.6pt;mso-wrap-style:square;position:absolute;visibility:visible;v-text-anchor:top;z-index:251673600" fillcolor="#d8d8d8">
                <v:textbox>
                  <w:txbxContent>
                    <w:p w:rsidR="00D33AE9" w:rsidRPr="00FF4B61" w14:paraId="25BD6A8C" w14:textId="7FD07B6A">
                      <w:pPr>
                        <w:rPr>
                          <w:rFonts w:ascii="Times New Roman" w:hAnsi="Times New Roman" w:cs="Times New Roman"/>
                          <w:color w:val="323E4F" w:themeColor="text2" w:themeShade="BF"/>
                        </w:rPr>
                      </w:pPr>
                      <w:r w:rsidRPr="00FF4B61">
                        <w:rPr>
                          <w:rFonts w:ascii="Times New Roman" w:hAnsi="Times New Roman" w:cs="Times New Roman"/>
                          <w:b/>
                          <w:color w:val="323E4F" w:themeColor="text2" w:themeShade="BF"/>
                          <w:u w:val="single"/>
                        </w:rPr>
                        <w:t>Tip:</w:t>
                      </w:r>
                      <w:r w:rsidRPr="00FF4B61">
                        <w:rPr>
                          <w:rFonts w:ascii="Times New Roman" w:hAnsi="Times New Roman" w:cs="Times New Roman"/>
                          <w:color w:val="323E4F" w:themeColor="text2" w:themeShade="BF"/>
                        </w:rPr>
                        <w:t xml:space="preserve"> If copying and pasting values into the URRT, make sure pasted values are consistent with decimal place limits and formatting instructions found within the URRT cells. Do not finalize a URRT that has linked formulas in the input cells.</w:t>
                      </w:r>
                    </w:p>
                  </w:txbxContent>
                </v:textbox>
                <w10:wrap type="square"/>
                <w10:anchorlock/>
              </v:shape>
            </w:pict>
          </mc:Fallback>
        </mc:AlternateContent>
      </w:r>
      <w:r w:rsidRPr="00EE3B6B">
        <w:rPr>
          <w:rFonts w:ascii="Times New Roman" w:hAnsi="Times New Roman" w:cs="Times New Roman"/>
        </w:rPr>
        <w:t xml:space="preserve">column </w:t>
      </w:r>
      <w:r w:rsidRPr="00EE3B6B" w:rsidR="00011098">
        <w:rPr>
          <w:rFonts w:ascii="Times New Roman" w:hAnsi="Times New Roman" w:cs="Times New Roman"/>
        </w:rPr>
        <w:t>D</w:t>
      </w:r>
      <w:r w:rsidRPr="00EE3B6B">
        <w:rPr>
          <w:rFonts w:ascii="Times New Roman" w:hAnsi="Times New Roman" w:cs="Times New Roman"/>
        </w:rPr>
        <w:t xml:space="preserve"> of Worksheet 2 are protected and calculated by formula. Issuers should not attempt to overwrite the values calculated by the template. Any overwriting of the workbook’s protection is likely to result in delays and resubmissions.</w:t>
      </w:r>
    </w:p>
    <w:p w:rsidR="00D4090E" w:rsidRPr="00FA6F2C" w:rsidP="00FA6F2C" w14:paraId="68602340" w14:textId="4D7A3A6C">
      <w:pPr>
        <w:pStyle w:val="Heading2"/>
        <w:numPr>
          <w:ilvl w:val="0"/>
          <w:numId w:val="0"/>
        </w:numPr>
        <w:ind w:left="360" w:hanging="360"/>
      </w:pPr>
      <w:bookmarkStart w:id="26" w:name="_Toc174003423"/>
      <w:r w:rsidRPr="00FA6F2C">
        <w:t xml:space="preserve">2.1  </w:t>
      </w:r>
      <w:r w:rsidRPr="00FA6F2C">
        <w:t>Worksheet</w:t>
      </w:r>
      <w:r w:rsidRPr="00FA6F2C">
        <w:t xml:space="preserve"> 1 – Market Experience</w:t>
      </w:r>
      <w:bookmarkEnd w:id="26"/>
    </w:p>
    <w:p w:rsidR="00D4090E" w:rsidRPr="00EE3B6B" w:rsidP="006D1FD2" w14:paraId="4B3535A7" w14:textId="77777777">
      <w:pPr>
        <w:keepLines/>
        <w:spacing w:after="120" w:line="276" w:lineRule="auto"/>
        <w:rPr>
          <w:rFonts w:ascii="Times New Roman" w:hAnsi="Times New Roman" w:cs="Times New Roman"/>
        </w:rPr>
      </w:pPr>
      <w:r w:rsidRPr="00EE3B6B">
        <w:rPr>
          <w:rFonts w:ascii="Times New Roman" w:hAnsi="Times New Roman" w:cs="Times New Roman"/>
        </w:rPr>
        <w:t xml:space="preserve">The purpose of Worksheet 1 of the URRT is to capture information at the market level for non- grandfathered individual and small group (or combined) products, consistent with the requirement to set premium rates using a single risk pool, as defined in 45 CFR 156.80. The worksheet is not intended to prescribe a rate development methodology. Rather, the worksheet captures </w:t>
      </w:r>
      <w:r w:rsidRPr="00EE3B6B" w:rsidR="00C66220">
        <w:rPr>
          <w:rFonts w:ascii="Times New Roman" w:hAnsi="Times New Roman" w:cs="Times New Roman"/>
        </w:rPr>
        <w:t>Experience Period</w:t>
      </w:r>
      <w:r w:rsidRPr="00EE3B6B">
        <w:rPr>
          <w:rFonts w:ascii="Times New Roman" w:hAnsi="Times New Roman" w:cs="Times New Roman"/>
        </w:rPr>
        <w:t xml:space="preserve"> data and key assumptions consistent with those used in the development of the </w:t>
      </w:r>
      <w:r w:rsidRPr="00EE3B6B" w:rsidR="00276CC5">
        <w:rPr>
          <w:rFonts w:ascii="Times New Roman" w:hAnsi="Times New Roman" w:cs="Times New Roman"/>
        </w:rPr>
        <w:t>MAIR</w:t>
      </w:r>
      <w:r w:rsidRPr="00EE3B6B">
        <w:rPr>
          <w:rFonts w:ascii="Times New Roman" w:hAnsi="Times New Roman" w:cs="Times New Roman"/>
        </w:rPr>
        <w:t xml:space="preserve">. There are </w:t>
      </w:r>
      <w:r w:rsidRPr="00EE3B6B" w:rsidR="00FF1D13">
        <w:rPr>
          <w:rFonts w:ascii="Times New Roman" w:hAnsi="Times New Roman" w:cs="Times New Roman"/>
        </w:rPr>
        <w:t>three</w:t>
      </w:r>
      <w:r w:rsidRPr="00EE3B6B">
        <w:rPr>
          <w:rFonts w:ascii="Times New Roman" w:hAnsi="Times New Roman" w:cs="Times New Roman"/>
        </w:rPr>
        <w:t xml:space="preserve"> sections in this worksheet.</w:t>
      </w:r>
    </w:p>
    <w:p w:rsidR="00D4090E" w:rsidRPr="00EE3B6B" w:rsidP="00FF4B61" w14:paraId="5358149E" w14:textId="62F1F04C">
      <w:pPr>
        <w:pStyle w:val="ListParagraph"/>
        <w:keepLines/>
        <w:numPr>
          <w:ilvl w:val="0"/>
          <w:numId w:val="6"/>
        </w:numPr>
        <w:spacing w:after="120" w:line="276" w:lineRule="auto"/>
        <w:ind w:left="720"/>
        <w:rPr>
          <w:rFonts w:ascii="Times New Roman" w:hAnsi="Times New Roman" w:cs="Times New Roman"/>
        </w:rPr>
      </w:pPr>
      <w:r w:rsidRPr="00EE3B6B">
        <w:rPr>
          <w:rFonts w:ascii="Times New Roman" w:hAnsi="Times New Roman" w:cs="Times New Roman"/>
          <w:u w:val="single"/>
        </w:rPr>
        <w:t>General Information Section</w:t>
      </w:r>
      <w:r w:rsidRPr="00EE3B6B">
        <w:rPr>
          <w:rFonts w:ascii="Times New Roman" w:hAnsi="Times New Roman" w:cs="Times New Roman"/>
        </w:rPr>
        <w:t xml:space="preserve">:  Captures information about the issuer, </w:t>
      </w:r>
      <w:r w:rsidRPr="00EE3B6B" w:rsidR="00A52393">
        <w:rPr>
          <w:rFonts w:ascii="Times New Roman" w:hAnsi="Times New Roman" w:cs="Times New Roman"/>
        </w:rPr>
        <w:t>s</w:t>
      </w:r>
      <w:r w:rsidRPr="00EE3B6B">
        <w:rPr>
          <w:rFonts w:ascii="Times New Roman" w:hAnsi="Times New Roman" w:cs="Times New Roman"/>
        </w:rPr>
        <w:t>tate</w:t>
      </w:r>
      <w:r w:rsidRPr="00EE3B6B" w:rsidR="00E35D3D">
        <w:rPr>
          <w:rFonts w:ascii="Times New Roman" w:hAnsi="Times New Roman" w:cs="Times New Roman"/>
        </w:rPr>
        <w:t>,</w:t>
      </w:r>
      <w:r w:rsidRPr="00EE3B6B">
        <w:rPr>
          <w:rFonts w:ascii="Times New Roman" w:hAnsi="Times New Roman" w:cs="Times New Roman"/>
        </w:rPr>
        <w:t xml:space="preserve"> and the health insurance market to which the proposed rate changes will apply</w:t>
      </w:r>
      <w:r w:rsidRPr="00EE3B6B" w:rsidR="00367C50">
        <w:rPr>
          <w:rFonts w:ascii="Times New Roman" w:hAnsi="Times New Roman" w:cs="Times New Roman"/>
        </w:rPr>
        <w:t>.</w:t>
      </w:r>
      <w:r>
        <w:rPr>
          <w:rStyle w:val="FootnoteReference"/>
          <w:rFonts w:ascii="Times New Roman" w:hAnsi="Times New Roman" w:cs="Times New Roman"/>
        </w:rPr>
        <w:footnoteReference w:id="15"/>
      </w:r>
      <w:r w:rsidRPr="00EE3B6B">
        <w:rPr>
          <w:rFonts w:ascii="Times New Roman" w:hAnsi="Times New Roman" w:cs="Times New Roman"/>
        </w:rPr>
        <w:t xml:space="preserve"> This information is displayed on </w:t>
      </w:r>
      <w:r w:rsidRPr="00EE3B6B" w:rsidR="000D6326">
        <w:rPr>
          <w:rFonts w:ascii="Times New Roman" w:hAnsi="Times New Roman" w:cs="Times New Roman"/>
        </w:rPr>
        <w:t>W</w:t>
      </w:r>
      <w:r w:rsidRPr="00EE3B6B">
        <w:rPr>
          <w:rFonts w:ascii="Times New Roman" w:hAnsi="Times New Roman" w:cs="Times New Roman"/>
        </w:rPr>
        <w:t>orksheets</w:t>
      </w:r>
      <w:r w:rsidRPr="00EE3B6B" w:rsidR="000D6326">
        <w:rPr>
          <w:rFonts w:ascii="Times New Roman" w:hAnsi="Times New Roman" w:cs="Times New Roman"/>
        </w:rPr>
        <w:t xml:space="preserve"> 1 and 2</w:t>
      </w:r>
      <w:r w:rsidRPr="00EE3B6B">
        <w:rPr>
          <w:rFonts w:ascii="Times New Roman" w:hAnsi="Times New Roman" w:cs="Times New Roman"/>
        </w:rPr>
        <w:t xml:space="preserve"> of the URRT.</w:t>
      </w:r>
    </w:p>
    <w:p w:rsidR="00D4090E" w:rsidRPr="00EE3B6B" w:rsidP="00FF4B61" w14:paraId="751BE024" w14:textId="77777777">
      <w:pPr>
        <w:pStyle w:val="ListParagraph"/>
        <w:keepLines/>
        <w:numPr>
          <w:ilvl w:val="0"/>
          <w:numId w:val="6"/>
        </w:numPr>
        <w:spacing w:after="120" w:line="276" w:lineRule="auto"/>
        <w:ind w:left="720"/>
        <w:rPr>
          <w:rFonts w:ascii="Times New Roman" w:hAnsi="Times New Roman" w:cs="Times New Roman"/>
        </w:rPr>
      </w:pPr>
      <w:r w:rsidRPr="00EE3B6B">
        <w:rPr>
          <w:rFonts w:ascii="Times New Roman" w:hAnsi="Times New Roman" w:cs="Times New Roman"/>
          <w:u w:val="single"/>
        </w:rPr>
        <w:t>Section I</w:t>
      </w:r>
      <w:r w:rsidRPr="00EE3B6B" w:rsidR="00E46A4F">
        <w:rPr>
          <w:rFonts w:ascii="Times New Roman" w:hAnsi="Times New Roman" w:cs="Times New Roman"/>
          <w:u w:val="single"/>
        </w:rPr>
        <w:t xml:space="preserve"> (</w:t>
      </w:r>
      <w:r w:rsidRPr="00EE3B6B" w:rsidR="00C66220">
        <w:rPr>
          <w:rFonts w:ascii="Times New Roman" w:hAnsi="Times New Roman" w:cs="Times New Roman"/>
          <w:u w:val="single"/>
        </w:rPr>
        <w:t>Experience Period</w:t>
      </w:r>
      <w:r w:rsidRPr="00EE3B6B" w:rsidR="00E46A4F">
        <w:rPr>
          <w:rFonts w:ascii="Times New Roman" w:hAnsi="Times New Roman" w:cs="Times New Roman"/>
          <w:u w:val="single"/>
        </w:rPr>
        <w:t xml:space="preserve"> Data)</w:t>
      </w:r>
      <w:r w:rsidRPr="00EE3B6B">
        <w:rPr>
          <w:rFonts w:ascii="Times New Roman" w:hAnsi="Times New Roman" w:cs="Times New Roman"/>
        </w:rPr>
        <w:t xml:space="preserve">:  Captures summarized historical financial and enrollment information from a recent historical </w:t>
      </w:r>
      <w:r w:rsidRPr="00EE3B6B" w:rsidR="00C66220">
        <w:rPr>
          <w:rFonts w:ascii="Times New Roman" w:hAnsi="Times New Roman" w:cs="Times New Roman"/>
        </w:rPr>
        <w:t>Experience Period</w:t>
      </w:r>
      <w:r w:rsidRPr="00EE3B6B">
        <w:rPr>
          <w:rFonts w:ascii="Times New Roman" w:hAnsi="Times New Roman" w:cs="Times New Roman"/>
        </w:rPr>
        <w:t>.</w:t>
      </w:r>
    </w:p>
    <w:p w:rsidR="00D4090E" w:rsidRPr="00EE3B6B" w:rsidP="00FF4B61" w14:paraId="4972B0C0" w14:textId="77777777">
      <w:pPr>
        <w:pStyle w:val="ListParagraph"/>
        <w:keepLines/>
        <w:numPr>
          <w:ilvl w:val="0"/>
          <w:numId w:val="6"/>
        </w:numPr>
        <w:spacing w:after="120" w:line="276" w:lineRule="auto"/>
        <w:ind w:left="720"/>
        <w:rPr>
          <w:rFonts w:ascii="Times New Roman" w:hAnsi="Times New Roman" w:cs="Times New Roman"/>
        </w:rPr>
      </w:pPr>
      <w:r w:rsidRPr="00EE3B6B">
        <w:rPr>
          <w:rFonts w:ascii="Times New Roman" w:hAnsi="Times New Roman" w:cs="Times New Roman"/>
          <w:u w:val="single"/>
        </w:rPr>
        <w:t>Section II</w:t>
      </w:r>
      <w:r w:rsidRPr="00EE3B6B" w:rsidR="00E46A4F">
        <w:rPr>
          <w:rFonts w:ascii="Times New Roman" w:hAnsi="Times New Roman" w:cs="Times New Roman"/>
          <w:u w:val="single"/>
        </w:rPr>
        <w:t xml:space="preserve"> (Projections)</w:t>
      </w:r>
      <w:r w:rsidRPr="00EE3B6B">
        <w:rPr>
          <w:rFonts w:ascii="Times New Roman" w:hAnsi="Times New Roman" w:cs="Times New Roman"/>
        </w:rPr>
        <w:t xml:space="preserve">:  </w:t>
      </w:r>
      <w:r w:rsidRPr="00EE3B6B" w:rsidR="002B6B91">
        <w:rPr>
          <w:rFonts w:ascii="Times New Roman" w:hAnsi="Times New Roman" w:cs="Times New Roman"/>
        </w:rPr>
        <w:t xml:space="preserve">Captures projections for factors such as trend, demographics, changes in plan design, and other information for the upcoming plan year. </w:t>
      </w:r>
    </w:p>
    <w:p w:rsidR="00D4090E" w:rsidRPr="00FA6F2C" w:rsidP="00FA6F2C" w14:paraId="4FF39056" w14:textId="77777777">
      <w:pPr>
        <w:pStyle w:val="Heading3"/>
      </w:pPr>
      <w:bookmarkStart w:id="27" w:name="_Toc531192333"/>
      <w:bookmarkStart w:id="28" w:name="_Toc531192966"/>
      <w:bookmarkStart w:id="29" w:name="_Toc174003424"/>
      <w:bookmarkEnd w:id="27"/>
      <w:bookmarkEnd w:id="28"/>
      <w:r w:rsidRPr="00FA6F2C">
        <w:t>General Information Section</w:t>
      </w:r>
      <w:bookmarkEnd w:id="29"/>
    </w:p>
    <w:p w:rsidR="00D4090E" w:rsidRPr="00EE3B6B" w:rsidP="006D1FD2" w14:paraId="4DF5243C" w14:textId="77777777">
      <w:pPr>
        <w:keepLines/>
        <w:spacing w:after="120" w:line="276" w:lineRule="auto"/>
        <w:rPr>
          <w:rFonts w:ascii="Times New Roman" w:hAnsi="Times New Roman" w:cs="Times New Roman"/>
        </w:rPr>
      </w:pPr>
      <w:r w:rsidRPr="00EE3B6B">
        <w:rPr>
          <w:rFonts w:ascii="Times New Roman" w:hAnsi="Times New Roman" w:cs="Times New Roman"/>
          <w:b/>
        </w:rPr>
        <w:t>Company Legal Name:</w:t>
      </w:r>
      <w:r w:rsidRPr="00EE3B6B">
        <w:rPr>
          <w:rFonts w:ascii="Times New Roman" w:hAnsi="Times New Roman" w:cs="Times New Roman"/>
        </w:rPr>
        <w:t xml:space="preserve">  Enter the organization’s legal entity name. The name entered in this cell must be the name that is associated with the HIOS Issuer ID.</w:t>
      </w:r>
    </w:p>
    <w:p w:rsidR="00D4090E" w:rsidRPr="00EE3B6B" w:rsidP="006D1FD2" w14:paraId="507BE857" w14:textId="77777777">
      <w:pPr>
        <w:keepLines/>
        <w:spacing w:after="120" w:line="276" w:lineRule="auto"/>
        <w:rPr>
          <w:rFonts w:ascii="Times New Roman" w:hAnsi="Times New Roman" w:cs="Times New Roman"/>
        </w:rPr>
      </w:pPr>
      <w:r w:rsidRPr="00EE3B6B">
        <w:rPr>
          <w:rFonts w:ascii="Times New Roman" w:hAnsi="Times New Roman" w:cs="Times New Roman"/>
          <w:b/>
        </w:rPr>
        <w:t>State:</w:t>
      </w:r>
      <w:r w:rsidRPr="00EE3B6B">
        <w:rPr>
          <w:rFonts w:ascii="Times New Roman" w:hAnsi="Times New Roman" w:cs="Times New Roman"/>
        </w:rPr>
        <w:t xml:space="preserve">  Enter the </w:t>
      </w:r>
      <w:r w:rsidRPr="00EE3B6B" w:rsidR="00A52393">
        <w:rPr>
          <w:rFonts w:ascii="Times New Roman" w:hAnsi="Times New Roman" w:cs="Times New Roman"/>
        </w:rPr>
        <w:t>s</w:t>
      </w:r>
      <w:r w:rsidRPr="00EE3B6B">
        <w:rPr>
          <w:rFonts w:ascii="Times New Roman" w:hAnsi="Times New Roman" w:cs="Times New Roman"/>
        </w:rPr>
        <w:t xml:space="preserve">tate that has regulatory authority over the policies. A separate template must be completed for each </w:t>
      </w:r>
      <w:r w:rsidRPr="00EE3B6B" w:rsidR="00A52393">
        <w:rPr>
          <w:rFonts w:ascii="Times New Roman" w:hAnsi="Times New Roman" w:cs="Times New Roman"/>
        </w:rPr>
        <w:t>s</w:t>
      </w:r>
      <w:r w:rsidRPr="00EE3B6B">
        <w:rPr>
          <w:rFonts w:ascii="Times New Roman" w:hAnsi="Times New Roman" w:cs="Times New Roman"/>
        </w:rPr>
        <w:t>tate in which the issuer is offering single risk pool products in the individual or small group (or combined) market.</w:t>
      </w:r>
    </w:p>
    <w:p w:rsidR="00D4090E" w:rsidRPr="00EE3B6B" w:rsidP="006D1FD2" w14:paraId="3C8D2394" w14:textId="77777777">
      <w:pPr>
        <w:keepLines/>
        <w:spacing w:after="120" w:line="276" w:lineRule="auto"/>
        <w:rPr>
          <w:rFonts w:ascii="Times New Roman" w:hAnsi="Times New Roman" w:cs="Times New Roman"/>
        </w:rPr>
      </w:pPr>
      <w:r w:rsidRPr="00EE3B6B">
        <w:rPr>
          <w:rFonts w:ascii="Times New Roman" w:hAnsi="Times New Roman" w:cs="Times New Roman"/>
          <w:b/>
        </w:rPr>
        <w:t xml:space="preserve">HIOS Issuer ID:  </w:t>
      </w:r>
      <w:r w:rsidRPr="00EE3B6B" w:rsidR="000B6DA9">
        <w:rPr>
          <w:rFonts w:ascii="Times New Roman" w:hAnsi="Times New Roman" w:cs="Times New Roman"/>
        </w:rPr>
        <w:t>Enter the HIOS ID assigned to the legal entity.</w:t>
      </w:r>
    </w:p>
    <w:p w:rsidR="000B6DA9" w:rsidRPr="00EE3B6B" w:rsidP="006D1FD2" w14:paraId="0D9AB3AB" w14:textId="77777777">
      <w:pPr>
        <w:keepLines/>
        <w:spacing w:after="120" w:line="276" w:lineRule="auto"/>
        <w:rPr>
          <w:rFonts w:ascii="Times New Roman" w:hAnsi="Times New Roman" w:cs="Times New Roman"/>
        </w:rPr>
      </w:pPr>
      <w:r w:rsidRPr="00EE3B6B">
        <w:rPr>
          <w:rFonts w:ascii="Times New Roman" w:hAnsi="Times New Roman" w:cs="Times New Roman"/>
          <w:b/>
        </w:rPr>
        <w:t xml:space="preserve">Market:  </w:t>
      </w:r>
      <w:r w:rsidRPr="00EE3B6B">
        <w:rPr>
          <w:rFonts w:ascii="Times New Roman" w:hAnsi="Times New Roman" w:cs="Times New Roman"/>
        </w:rPr>
        <w:t>Select the applicable market from the drop-down box. Valid markets are Individual, Small Group, or Combined.</w:t>
      </w:r>
    </w:p>
    <w:p w:rsidR="000B6DA9" w:rsidRPr="00EE3B6B" w:rsidP="00FF4B61" w14:paraId="02EB64DE" w14:textId="77777777">
      <w:pPr>
        <w:keepLines/>
        <w:spacing w:after="120" w:line="276" w:lineRule="auto"/>
        <w:ind w:left="360"/>
        <w:rPr>
          <w:rFonts w:ascii="Times New Roman" w:hAnsi="Times New Roman" w:cs="Times New Roman"/>
        </w:rPr>
      </w:pPr>
      <w:r w:rsidRPr="00EE3B6B">
        <w:rPr>
          <w:rFonts w:ascii="Times New Roman" w:hAnsi="Times New Roman" w:cs="Times New Roman"/>
        </w:rPr>
        <w:t xml:space="preserve">The market chosen must be consistent with the </w:t>
      </w:r>
      <w:r w:rsidRPr="00EE3B6B" w:rsidR="00A52393">
        <w:rPr>
          <w:rFonts w:ascii="Times New Roman" w:hAnsi="Times New Roman" w:cs="Times New Roman"/>
        </w:rPr>
        <w:t>s</w:t>
      </w:r>
      <w:r w:rsidRPr="00EE3B6B">
        <w:rPr>
          <w:rFonts w:ascii="Times New Roman" w:hAnsi="Times New Roman" w:cs="Times New Roman"/>
        </w:rPr>
        <w:t>tate’s determination of their allowable markets (i.e.</w:t>
      </w:r>
      <w:r w:rsidRPr="00EE3B6B" w:rsidR="00E35D3D">
        <w:rPr>
          <w:rFonts w:ascii="Times New Roman" w:hAnsi="Times New Roman" w:cs="Times New Roman"/>
        </w:rPr>
        <w:t>,</w:t>
      </w:r>
      <w:r w:rsidRPr="00EE3B6B">
        <w:rPr>
          <w:rFonts w:ascii="Times New Roman" w:hAnsi="Times New Roman" w:cs="Times New Roman"/>
        </w:rPr>
        <w:t xml:space="preserve"> if a </w:t>
      </w:r>
      <w:r w:rsidRPr="00EE3B6B" w:rsidR="00A52393">
        <w:rPr>
          <w:rFonts w:ascii="Times New Roman" w:hAnsi="Times New Roman" w:cs="Times New Roman"/>
        </w:rPr>
        <w:t>s</w:t>
      </w:r>
      <w:r w:rsidRPr="00EE3B6B">
        <w:rPr>
          <w:rFonts w:ascii="Times New Roman" w:hAnsi="Times New Roman" w:cs="Times New Roman"/>
        </w:rPr>
        <w:t>tate requires issuers to merge the individual and small group market</w:t>
      </w:r>
      <w:r w:rsidRPr="00EE3B6B" w:rsidR="00E35D3D">
        <w:rPr>
          <w:rFonts w:ascii="Times New Roman" w:hAnsi="Times New Roman" w:cs="Times New Roman"/>
        </w:rPr>
        <w:t>s</w:t>
      </w:r>
      <w:r w:rsidRPr="00EE3B6B">
        <w:rPr>
          <w:rFonts w:ascii="Times New Roman" w:hAnsi="Times New Roman" w:cs="Times New Roman"/>
        </w:rPr>
        <w:t xml:space="preserve"> into a single risk pool with the same plan options, the issuer must choose “Combined”).</w:t>
      </w:r>
    </w:p>
    <w:p w:rsidR="00BD108F" w:rsidRPr="00EE3B6B" w:rsidP="006D1FD2" w14:paraId="5B8B2D91" w14:textId="683513F8">
      <w:pPr>
        <w:keepLines/>
        <w:spacing w:after="120" w:line="276" w:lineRule="auto"/>
        <w:rPr>
          <w:rFonts w:ascii="Times New Roman" w:hAnsi="Times New Roman" w:cs="Times New Roman"/>
        </w:rPr>
      </w:pPr>
      <w:r w:rsidRPr="00EE3B6B">
        <w:rPr>
          <w:rFonts w:ascii="Times New Roman" w:hAnsi="Times New Roman" w:cs="Times New Roman"/>
          <w:b/>
        </w:rPr>
        <w:t>Effective Date</w:t>
      </w:r>
      <w:r w:rsidRPr="00EE3B6B" w:rsidR="00880813">
        <w:rPr>
          <w:rFonts w:ascii="Times New Roman" w:hAnsi="Times New Roman" w:cs="Times New Roman"/>
          <w:b/>
        </w:rPr>
        <w:t xml:space="preserve"> of Rate Change(s)</w:t>
      </w:r>
      <w:r w:rsidRPr="00EE3B6B">
        <w:rPr>
          <w:rFonts w:ascii="Times New Roman" w:hAnsi="Times New Roman" w:cs="Times New Roman"/>
          <w:b/>
        </w:rPr>
        <w:t xml:space="preserve">:  </w:t>
      </w:r>
      <w:r w:rsidRPr="00EE3B6B">
        <w:rPr>
          <w:rFonts w:ascii="Times New Roman" w:hAnsi="Times New Roman" w:cs="Times New Roman"/>
        </w:rPr>
        <w:t xml:space="preserve">This is the effective date for which rates are being submitted. This field is automatically populated based on the </w:t>
      </w:r>
      <w:r w:rsidRPr="00EE3B6B" w:rsidR="00473B94">
        <w:rPr>
          <w:rFonts w:ascii="Times New Roman" w:hAnsi="Times New Roman" w:cs="Times New Roman"/>
        </w:rPr>
        <w:t xml:space="preserve">latest </w:t>
      </w:r>
      <w:r w:rsidRPr="00EE3B6B" w:rsidR="00B97AF9">
        <w:rPr>
          <w:rFonts w:ascii="Times New Roman" w:hAnsi="Times New Roman" w:cs="Times New Roman"/>
        </w:rPr>
        <w:t>“</w:t>
      </w:r>
      <w:r w:rsidRPr="00EE3B6B">
        <w:rPr>
          <w:rFonts w:ascii="Times New Roman" w:hAnsi="Times New Roman" w:cs="Times New Roman"/>
        </w:rPr>
        <w:t xml:space="preserve">Effective Date </w:t>
      </w:r>
      <w:r w:rsidRPr="00EE3B6B" w:rsidR="00473B94">
        <w:rPr>
          <w:rFonts w:ascii="Times New Roman" w:hAnsi="Times New Roman" w:cs="Times New Roman"/>
        </w:rPr>
        <w:t>of Proposed Rates</w:t>
      </w:r>
      <w:r w:rsidRPr="00EE3B6B" w:rsidR="00B97AF9">
        <w:rPr>
          <w:rFonts w:ascii="Times New Roman" w:hAnsi="Times New Roman" w:cs="Times New Roman"/>
        </w:rPr>
        <w:t>”</w:t>
      </w:r>
      <w:r w:rsidRPr="00EE3B6B" w:rsidR="00473B94">
        <w:rPr>
          <w:rFonts w:ascii="Times New Roman" w:hAnsi="Times New Roman" w:cs="Times New Roman"/>
        </w:rPr>
        <w:t xml:space="preserve"> </w:t>
      </w:r>
      <w:r w:rsidRPr="00EE3B6B">
        <w:rPr>
          <w:rFonts w:ascii="Times New Roman" w:hAnsi="Times New Roman" w:cs="Times New Roman"/>
        </w:rPr>
        <w:t xml:space="preserve">entered in Row </w:t>
      </w:r>
      <w:r w:rsidRPr="00EE3B6B" w:rsidR="00473B94">
        <w:rPr>
          <w:rFonts w:ascii="Times New Roman" w:hAnsi="Times New Roman" w:cs="Times New Roman"/>
        </w:rPr>
        <w:t>19</w:t>
      </w:r>
      <w:r w:rsidRPr="00EE3B6B">
        <w:rPr>
          <w:rFonts w:ascii="Times New Roman" w:hAnsi="Times New Roman" w:cs="Times New Roman"/>
        </w:rPr>
        <w:t xml:space="preserve"> of Worksheet 2. All new and renewing products and plans must have the same effective date.</w:t>
      </w:r>
    </w:p>
    <w:p w:rsidR="000B6DA9" w:rsidRPr="00EE3B6B" w:rsidP="00FF4B61" w14:paraId="7B574F06" w14:textId="6D975C6E">
      <w:pPr>
        <w:keepLines/>
        <w:spacing w:after="120" w:line="276" w:lineRule="auto"/>
        <w:ind w:left="360"/>
        <w:rPr>
          <w:rFonts w:ascii="Times New Roman" w:hAnsi="Times New Roman" w:cs="Times New Roman"/>
        </w:rPr>
      </w:pPr>
      <w:r w:rsidRPr="00EE3B6B">
        <w:rPr>
          <w:rFonts w:ascii="Times New Roman" w:hAnsi="Times New Roman" w:cs="Times New Roman"/>
        </w:rPr>
        <w:t xml:space="preserve">If the submission is for the individual or combined markets, the effective date must be January 1 of the year for which rates are being submitted. If the submission is for the small group market, enter the effective date for which the </w:t>
      </w:r>
      <w:r w:rsidRPr="00EE3B6B" w:rsidR="00C66220">
        <w:rPr>
          <w:rFonts w:ascii="Times New Roman" w:hAnsi="Times New Roman" w:cs="Times New Roman"/>
        </w:rPr>
        <w:t>Index Rate</w:t>
      </w:r>
      <w:r w:rsidRPr="00EE3B6B">
        <w:rPr>
          <w:rFonts w:ascii="Times New Roman" w:hAnsi="Times New Roman" w:cs="Times New Roman"/>
        </w:rPr>
        <w:t xml:space="preserve"> is being revised. For example, if the small group submission revises the </w:t>
      </w:r>
      <w:r w:rsidRPr="00EE3B6B" w:rsidR="00C66220">
        <w:rPr>
          <w:rFonts w:ascii="Times New Roman" w:hAnsi="Times New Roman" w:cs="Times New Roman"/>
        </w:rPr>
        <w:t>Index Rate</w:t>
      </w:r>
      <w:r w:rsidRPr="00EE3B6B">
        <w:rPr>
          <w:rFonts w:ascii="Times New Roman" w:hAnsi="Times New Roman" w:cs="Times New Roman"/>
        </w:rPr>
        <w:t xml:space="preserve"> for July 1, </w:t>
      </w:r>
      <w:r w:rsidRPr="00EE3B6B" w:rsidR="002825D3">
        <w:rPr>
          <w:rFonts w:ascii="Times New Roman" w:hAnsi="Times New Roman" w:cs="Times New Roman"/>
        </w:rPr>
        <w:t>20</w:t>
      </w:r>
      <w:r w:rsidRPr="00EE3B6B" w:rsidR="00473B94">
        <w:rPr>
          <w:rFonts w:ascii="Times New Roman" w:hAnsi="Times New Roman" w:cs="Times New Roman"/>
        </w:rPr>
        <w:t>2</w:t>
      </w:r>
      <w:r w:rsidRPr="00EE3B6B" w:rsidR="00DB2E7D">
        <w:rPr>
          <w:rFonts w:ascii="Times New Roman" w:hAnsi="Times New Roman" w:cs="Times New Roman"/>
        </w:rPr>
        <w:t>1</w:t>
      </w:r>
      <w:r w:rsidRPr="00EE3B6B" w:rsidR="002825D3">
        <w:rPr>
          <w:rFonts w:ascii="Times New Roman" w:hAnsi="Times New Roman" w:cs="Times New Roman"/>
        </w:rPr>
        <w:t xml:space="preserve"> </w:t>
      </w:r>
      <w:r w:rsidRPr="00EE3B6B">
        <w:rPr>
          <w:rFonts w:ascii="Times New Roman" w:hAnsi="Times New Roman" w:cs="Times New Roman"/>
        </w:rPr>
        <w:t>and includes a trend increase applicable on October 1, 20</w:t>
      </w:r>
      <w:r w:rsidRPr="00EE3B6B" w:rsidR="002825D3">
        <w:rPr>
          <w:rFonts w:ascii="Times New Roman" w:hAnsi="Times New Roman" w:cs="Times New Roman"/>
        </w:rPr>
        <w:t>2</w:t>
      </w:r>
      <w:r w:rsidRPr="00EE3B6B" w:rsidR="00DB2E7D">
        <w:rPr>
          <w:rFonts w:ascii="Times New Roman" w:hAnsi="Times New Roman" w:cs="Times New Roman"/>
        </w:rPr>
        <w:t>1</w:t>
      </w:r>
      <w:r w:rsidRPr="00EE3B6B">
        <w:rPr>
          <w:rFonts w:ascii="Times New Roman" w:hAnsi="Times New Roman" w:cs="Times New Roman"/>
        </w:rPr>
        <w:t>, enter July 1, 20</w:t>
      </w:r>
      <w:r w:rsidRPr="00EE3B6B" w:rsidR="002825D3">
        <w:rPr>
          <w:rFonts w:ascii="Times New Roman" w:hAnsi="Times New Roman" w:cs="Times New Roman"/>
        </w:rPr>
        <w:t>2</w:t>
      </w:r>
      <w:r w:rsidRPr="00EE3B6B" w:rsidR="00DB2E7D">
        <w:rPr>
          <w:rFonts w:ascii="Times New Roman" w:hAnsi="Times New Roman" w:cs="Times New Roman"/>
        </w:rPr>
        <w:t>1</w:t>
      </w:r>
      <w:r w:rsidRPr="00EE3B6B">
        <w:rPr>
          <w:rFonts w:ascii="Times New Roman" w:hAnsi="Times New Roman" w:cs="Times New Roman"/>
        </w:rPr>
        <w:t xml:space="preserve"> as the effective date.</w:t>
      </w:r>
    </w:p>
    <w:p w:rsidR="000B6DA9" w:rsidRPr="00FA6F2C" w:rsidP="00FA6F2C" w14:paraId="5F7F8B5E" w14:textId="77777777">
      <w:pPr>
        <w:pStyle w:val="Heading3"/>
      </w:pPr>
      <w:bookmarkStart w:id="30" w:name="_Toc174003425"/>
      <w:r w:rsidRPr="00FA6F2C">
        <w:t xml:space="preserve">Section </w:t>
      </w:r>
      <w:r w:rsidRPr="00FA6F2C" w:rsidR="00627638">
        <w:t xml:space="preserve">I: </w:t>
      </w:r>
      <w:r w:rsidRPr="00FA6F2C" w:rsidR="00C66220">
        <w:t>Experience Period</w:t>
      </w:r>
      <w:r w:rsidRPr="00FA6F2C">
        <w:t xml:space="preserve"> Data</w:t>
      </w:r>
      <w:bookmarkEnd w:id="30"/>
    </w:p>
    <w:p w:rsidR="000B6DA9" w:rsidRPr="00EE3B6B" w:rsidP="006D1FD2" w14:paraId="3B128E75" w14:textId="77777777">
      <w:pPr>
        <w:keepLines/>
        <w:spacing w:after="120" w:line="276" w:lineRule="auto"/>
        <w:rPr>
          <w:rFonts w:ascii="Times New Roman" w:hAnsi="Times New Roman" w:cs="Times New Roman"/>
        </w:rPr>
      </w:pPr>
      <w:r w:rsidRPr="00EE3B6B">
        <w:rPr>
          <w:rFonts w:ascii="Times New Roman" w:hAnsi="Times New Roman" w:cs="Times New Roman"/>
        </w:rPr>
        <w:t>The financial and enrollment information entered in this section should reflect the experi</w:t>
      </w:r>
      <w:r w:rsidRPr="00EE3B6B" w:rsidR="00C66220">
        <w:rPr>
          <w:rFonts w:ascii="Times New Roman" w:hAnsi="Times New Roman" w:cs="Times New Roman"/>
        </w:rPr>
        <w:t xml:space="preserve">ence of all non- grandfathered </w:t>
      </w:r>
      <w:r w:rsidRPr="00EE3B6B">
        <w:rPr>
          <w:rFonts w:ascii="Times New Roman" w:hAnsi="Times New Roman" w:cs="Times New Roman"/>
        </w:rPr>
        <w:t xml:space="preserve">policies </w:t>
      </w:r>
      <w:r w:rsidRPr="00EE3B6B" w:rsidR="006F0E24">
        <w:rPr>
          <w:rFonts w:ascii="Times New Roman" w:hAnsi="Times New Roman" w:cs="Times New Roman"/>
        </w:rPr>
        <w:t xml:space="preserve">used in building up the rates </w:t>
      </w:r>
      <w:r w:rsidRPr="00EE3B6B">
        <w:rPr>
          <w:rFonts w:ascii="Times New Roman" w:hAnsi="Times New Roman" w:cs="Times New Roman"/>
        </w:rPr>
        <w:t xml:space="preserve">for the specified market and </w:t>
      </w:r>
      <w:r w:rsidRPr="00EE3B6B" w:rsidR="00A52393">
        <w:rPr>
          <w:rFonts w:ascii="Times New Roman" w:hAnsi="Times New Roman" w:cs="Times New Roman"/>
        </w:rPr>
        <w:t>s</w:t>
      </w:r>
      <w:r w:rsidRPr="00EE3B6B">
        <w:rPr>
          <w:rFonts w:ascii="Times New Roman" w:hAnsi="Times New Roman" w:cs="Times New Roman"/>
        </w:rPr>
        <w:t>tate. The information is intended to reflect the single risk pool for the market as required by 45 CFR 156.80. The information in this section should reflect historical financial and enrollment information for the identified legal entity only, except in cases where legal entities combine to provide coverage as a “joint” policy.  A “joint” policy in this case refers to an arrangement between licensed entities where each entity covers a part of the total benefits (e.g.</w:t>
      </w:r>
      <w:r w:rsidRPr="00EE3B6B" w:rsidR="00E35D3D">
        <w:rPr>
          <w:rFonts w:ascii="Times New Roman" w:hAnsi="Times New Roman" w:cs="Times New Roman"/>
        </w:rPr>
        <w:t>,</w:t>
      </w:r>
      <w:r w:rsidRPr="00EE3B6B">
        <w:rPr>
          <w:rFonts w:ascii="Times New Roman" w:hAnsi="Times New Roman" w:cs="Times New Roman"/>
        </w:rPr>
        <w:t xml:space="preserve"> a Point of Service type plan where an HMO entity offers in-network benefits, while a licensed insurance company offers out-of-network benefits). </w:t>
      </w:r>
      <w:r w:rsidRPr="00EE3B6B">
        <w:rPr>
          <w:rFonts w:ascii="Times New Roman" w:hAnsi="Times New Roman" w:cs="Times New Roman"/>
        </w:rPr>
        <w:t>In order to</w:t>
      </w:r>
      <w:r w:rsidRPr="00EE3B6B">
        <w:rPr>
          <w:rFonts w:ascii="Times New Roman" w:hAnsi="Times New Roman" w:cs="Times New Roman"/>
        </w:rPr>
        <w:t xml:space="preserve"> be considered a “joint” policy, the coverage from both licensed entities must be purchased together, and the “joint” policy cannot be offered as stand-alone coverage.</w:t>
      </w:r>
    </w:p>
    <w:p w:rsidR="000B6DA9" w:rsidRPr="00EE3B6B" w:rsidP="006D1FD2" w14:paraId="51EFFB44" w14:textId="77777777">
      <w:pPr>
        <w:keepLines/>
        <w:spacing w:after="120" w:line="276" w:lineRule="auto"/>
        <w:rPr>
          <w:rFonts w:ascii="Times New Roman" w:hAnsi="Times New Roman" w:cs="Times New Roman"/>
        </w:rPr>
      </w:pPr>
      <w:r w:rsidRPr="00EE3B6B">
        <w:rPr>
          <w:rFonts w:ascii="Times New Roman" w:hAnsi="Times New Roman" w:cs="Times New Roman"/>
          <w:b/>
        </w:rPr>
        <w:t>Experience Period</w:t>
      </w:r>
      <w:r w:rsidRPr="00EE3B6B">
        <w:rPr>
          <w:rFonts w:ascii="Times New Roman" w:hAnsi="Times New Roman" w:cs="Times New Roman"/>
          <w:b/>
        </w:rPr>
        <w:t>:</w:t>
      </w:r>
      <w:r w:rsidRPr="00EE3B6B">
        <w:rPr>
          <w:rFonts w:ascii="Times New Roman" w:hAnsi="Times New Roman" w:cs="Times New Roman"/>
        </w:rPr>
        <w:t xml:space="preserve">  Enter the first date of the </w:t>
      </w:r>
      <w:r w:rsidRPr="00EE3B6B">
        <w:rPr>
          <w:rFonts w:ascii="Times New Roman" w:hAnsi="Times New Roman" w:cs="Times New Roman"/>
        </w:rPr>
        <w:t>Experience Period</w:t>
      </w:r>
      <w:r w:rsidRPr="00EE3B6B">
        <w:rPr>
          <w:rFonts w:ascii="Times New Roman" w:hAnsi="Times New Roman" w:cs="Times New Roman"/>
        </w:rPr>
        <w:t>.</w:t>
      </w:r>
    </w:p>
    <w:p w:rsidR="000B6DA9" w:rsidRPr="00EE3B6B" w:rsidP="00FF4B61" w14:paraId="7E873498" w14:textId="77777777">
      <w:pPr>
        <w:keepLines/>
        <w:spacing w:after="120" w:line="276" w:lineRule="auto"/>
        <w:ind w:left="360"/>
        <w:rPr>
          <w:rFonts w:ascii="Times New Roman" w:hAnsi="Times New Roman" w:cs="Times New Roman"/>
        </w:rPr>
      </w:pPr>
      <w:r w:rsidRPr="00EE3B6B">
        <w:rPr>
          <w:rFonts w:ascii="Times New Roman" w:hAnsi="Times New Roman" w:cs="Times New Roman"/>
        </w:rPr>
        <w:t xml:space="preserve">The </w:t>
      </w:r>
      <w:r w:rsidRPr="00EE3B6B" w:rsidR="00C66220">
        <w:rPr>
          <w:rFonts w:ascii="Times New Roman" w:hAnsi="Times New Roman" w:cs="Times New Roman"/>
        </w:rPr>
        <w:t>Experience Period</w:t>
      </w:r>
      <w:r w:rsidRPr="00EE3B6B">
        <w:rPr>
          <w:rFonts w:ascii="Times New Roman" w:hAnsi="Times New Roman" w:cs="Times New Roman"/>
        </w:rPr>
        <w:t xml:space="preserve"> must be a twelve-month period. The template calculates the end date of the </w:t>
      </w:r>
      <w:r w:rsidRPr="00EE3B6B" w:rsidR="00C66220">
        <w:rPr>
          <w:rFonts w:ascii="Times New Roman" w:hAnsi="Times New Roman" w:cs="Times New Roman"/>
        </w:rPr>
        <w:t>Experience Period</w:t>
      </w:r>
      <w:r w:rsidRPr="00EE3B6B">
        <w:rPr>
          <w:rFonts w:ascii="Times New Roman" w:hAnsi="Times New Roman" w:cs="Times New Roman"/>
        </w:rPr>
        <w:t xml:space="preserve"> such that the period is twelve months long.</w:t>
      </w:r>
    </w:p>
    <w:p w:rsidR="000B6DA9" w:rsidRPr="00EE3B6B" w:rsidP="00FF4B61" w14:paraId="23F9A3B5" w14:textId="6CF9F375">
      <w:pPr>
        <w:keepLines/>
        <w:spacing w:after="120" w:line="276" w:lineRule="auto"/>
        <w:ind w:left="360"/>
        <w:rPr>
          <w:rFonts w:ascii="Times New Roman" w:hAnsi="Times New Roman" w:cs="Times New Roman"/>
        </w:rPr>
      </w:pPr>
      <w:r w:rsidRPr="00EE3B6B">
        <w:rPr>
          <w:rFonts w:ascii="Times New Roman" w:hAnsi="Times New Roman" w:cs="Times New Roman"/>
        </w:rPr>
        <w:t xml:space="preserve">For individual and combined market submissions, the </w:t>
      </w:r>
      <w:r w:rsidRPr="00EE3B6B" w:rsidR="00C66220">
        <w:rPr>
          <w:rFonts w:ascii="Times New Roman" w:hAnsi="Times New Roman" w:cs="Times New Roman"/>
        </w:rPr>
        <w:t>Experience Period</w:t>
      </w:r>
      <w:r w:rsidRPr="00EE3B6B">
        <w:rPr>
          <w:rFonts w:ascii="Times New Roman" w:hAnsi="Times New Roman" w:cs="Times New Roman"/>
        </w:rPr>
        <w:t xml:space="preserve"> must be a calendar year period. It should be the most recently completed calendar year</w:t>
      </w:r>
      <w:r w:rsidRPr="00EE3B6B" w:rsidR="0020151F">
        <w:rPr>
          <w:rFonts w:ascii="Times New Roman" w:hAnsi="Times New Roman" w:cs="Times New Roman"/>
        </w:rPr>
        <w:t>.</w:t>
      </w:r>
      <w:r w:rsidRPr="00EE3B6B">
        <w:rPr>
          <w:rFonts w:ascii="Times New Roman" w:hAnsi="Times New Roman" w:cs="Times New Roman"/>
        </w:rPr>
        <w:t xml:space="preserve"> Therefore, the first date of the </w:t>
      </w:r>
      <w:r w:rsidRPr="00EE3B6B" w:rsidR="00C66220">
        <w:rPr>
          <w:rFonts w:ascii="Times New Roman" w:hAnsi="Times New Roman" w:cs="Times New Roman"/>
        </w:rPr>
        <w:t>Experience Period</w:t>
      </w:r>
      <w:r w:rsidRPr="00EE3B6B">
        <w:rPr>
          <w:rFonts w:ascii="Times New Roman" w:hAnsi="Times New Roman" w:cs="Times New Roman"/>
        </w:rPr>
        <w:t xml:space="preserve"> must be January 1. For small group market submissions, the first date of the </w:t>
      </w:r>
      <w:r w:rsidRPr="00EE3B6B" w:rsidR="00C66220">
        <w:rPr>
          <w:rFonts w:ascii="Times New Roman" w:hAnsi="Times New Roman" w:cs="Times New Roman"/>
        </w:rPr>
        <w:t>Experience Period</w:t>
      </w:r>
      <w:r w:rsidRPr="00EE3B6B">
        <w:rPr>
          <w:rFonts w:ascii="Times New Roman" w:hAnsi="Times New Roman" w:cs="Times New Roman"/>
        </w:rPr>
        <w:t xml:space="preserve"> must be the first date of a calendar quarter (i.e.</w:t>
      </w:r>
      <w:r w:rsidRPr="00EE3B6B" w:rsidR="00E35D3D">
        <w:rPr>
          <w:rFonts w:ascii="Times New Roman" w:hAnsi="Times New Roman" w:cs="Times New Roman"/>
        </w:rPr>
        <w:t>,</w:t>
      </w:r>
      <w:r w:rsidRPr="00EE3B6B">
        <w:rPr>
          <w:rFonts w:ascii="Times New Roman" w:hAnsi="Times New Roman" w:cs="Times New Roman"/>
        </w:rPr>
        <w:t xml:space="preserve"> January 1, April 1, July 1, or October 1).</w:t>
      </w:r>
    </w:p>
    <w:p w:rsidR="000B6DA9" w:rsidRPr="00EE3B6B" w:rsidP="00FF4B61" w14:paraId="3B0A0D3A" w14:textId="27700233">
      <w:pPr>
        <w:keepLines/>
        <w:spacing w:after="120" w:line="276" w:lineRule="auto"/>
        <w:ind w:left="360"/>
        <w:rPr>
          <w:rFonts w:ascii="Times New Roman" w:hAnsi="Times New Roman" w:cs="Times New Roman"/>
        </w:rPr>
      </w:pPr>
      <w:r w:rsidRPr="00EE3B6B">
        <w:rPr>
          <w:rFonts w:ascii="Times New Roman" w:hAnsi="Times New Roman" w:cs="Times New Roman"/>
        </w:rPr>
        <w:t xml:space="preserve">The </w:t>
      </w:r>
      <w:r w:rsidRPr="00EE3B6B" w:rsidR="00C66220">
        <w:rPr>
          <w:rFonts w:ascii="Times New Roman" w:hAnsi="Times New Roman" w:cs="Times New Roman"/>
        </w:rPr>
        <w:t>Experience Period</w:t>
      </w:r>
      <w:r w:rsidRPr="00EE3B6B">
        <w:rPr>
          <w:rFonts w:ascii="Times New Roman" w:hAnsi="Times New Roman" w:cs="Times New Roman"/>
        </w:rPr>
        <w:t xml:space="preserve"> reflects a period during which premiums were earned and claims were incurred. For example, if the </w:t>
      </w:r>
      <w:r w:rsidRPr="00EE3B6B" w:rsidR="00C66220">
        <w:rPr>
          <w:rFonts w:ascii="Times New Roman" w:hAnsi="Times New Roman" w:cs="Times New Roman"/>
        </w:rPr>
        <w:t>Experience Period</w:t>
      </w:r>
      <w:r w:rsidRPr="00EE3B6B">
        <w:rPr>
          <w:rFonts w:ascii="Times New Roman" w:hAnsi="Times New Roman" w:cs="Times New Roman"/>
        </w:rPr>
        <w:t xml:space="preserve"> is January 1, </w:t>
      </w:r>
      <w:r w:rsidRPr="00EE3B6B">
        <w:rPr>
          <w:rFonts w:ascii="Times New Roman" w:hAnsi="Times New Roman" w:cs="Times New Roman"/>
        </w:rPr>
        <w:t>20</w:t>
      </w:r>
      <w:r w:rsidRPr="00EE3B6B" w:rsidR="00DB2E7D">
        <w:rPr>
          <w:rFonts w:ascii="Times New Roman" w:hAnsi="Times New Roman" w:cs="Times New Roman"/>
        </w:rPr>
        <w:t>2</w:t>
      </w:r>
      <w:r w:rsidRPr="00EE3B6B" w:rsidR="00EB7145">
        <w:rPr>
          <w:rFonts w:ascii="Times New Roman" w:hAnsi="Times New Roman" w:cs="Times New Roman"/>
        </w:rPr>
        <w:t>1</w:t>
      </w:r>
      <w:r w:rsidRPr="00EE3B6B">
        <w:rPr>
          <w:rFonts w:ascii="Times New Roman" w:hAnsi="Times New Roman" w:cs="Times New Roman"/>
        </w:rPr>
        <w:t xml:space="preserve"> through December 31, </w:t>
      </w:r>
      <w:r w:rsidRPr="00EE3B6B" w:rsidR="002825D3">
        <w:rPr>
          <w:rFonts w:ascii="Times New Roman" w:hAnsi="Times New Roman" w:cs="Times New Roman"/>
        </w:rPr>
        <w:t>20</w:t>
      </w:r>
      <w:r w:rsidRPr="00EE3B6B" w:rsidR="00DB2E7D">
        <w:rPr>
          <w:rFonts w:ascii="Times New Roman" w:hAnsi="Times New Roman" w:cs="Times New Roman"/>
        </w:rPr>
        <w:t>2</w:t>
      </w:r>
      <w:r w:rsidRPr="00EE3B6B" w:rsidR="00EB7145">
        <w:rPr>
          <w:rFonts w:ascii="Times New Roman" w:hAnsi="Times New Roman" w:cs="Times New Roman"/>
        </w:rPr>
        <w:t>1</w:t>
      </w:r>
      <w:r w:rsidRPr="00EE3B6B">
        <w:rPr>
          <w:rFonts w:ascii="Times New Roman" w:hAnsi="Times New Roman" w:cs="Times New Roman"/>
        </w:rPr>
        <w:t xml:space="preserve">, the issuer may include claims payments through a date beyond the end of the </w:t>
      </w:r>
      <w:r w:rsidRPr="00EE3B6B" w:rsidR="00C66220">
        <w:rPr>
          <w:rFonts w:ascii="Times New Roman" w:hAnsi="Times New Roman" w:cs="Times New Roman"/>
        </w:rPr>
        <w:t>Experience Period</w:t>
      </w:r>
      <w:r w:rsidRPr="00EE3B6B">
        <w:rPr>
          <w:rFonts w:ascii="Times New Roman" w:hAnsi="Times New Roman" w:cs="Times New Roman"/>
        </w:rPr>
        <w:t xml:space="preserve"> (e.g., February 28, </w:t>
      </w:r>
      <w:r w:rsidRPr="00EE3B6B" w:rsidR="002825D3">
        <w:rPr>
          <w:rFonts w:ascii="Times New Roman" w:hAnsi="Times New Roman" w:cs="Times New Roman"/>
        </w:rPr>
        <w:t>20</w:t>
      </w:r>
      <w:r w:rsidRPr="00EE3B6B" w:rsidR="00DB2E7D">
        <w:rPr>
          <w:rFonts w:ascii="Times New Roman" w:hAnsi="Times New Roman" w:cs="Times New Roman"/>
        </w:rPr>
        <w:t>2</w:t>
      </w:r>
      <w:r w:rsidRPr="00EE3B6B" w:rsidR="00EB7145">
        <w:rPr>
          <w:rFonts w:ascii="Times New Roman" w:hAnsi="Times New Roman" w:cs="Times New Roman"/>
        </w:rPr>
        <w:t>2</w:t>
      </w:r>
      <w:r w:rsidRPr="00EE3B6B">
        <w:rPr>
          <w:rFonts w:ascii="Times New Roman" w:hAnsi="Times New Roman" w:cs="Times New Roman"/>
        </w:rPr>
        <w:t xml:space="preserve">) for claims with dates of service within the </w:t>
      </w:r>
      <w:r w:rsidRPr="00EE3B6B" w:rsidR="00C66220">
        <w:rPr>
          <w:rFonts w:ascii="Times New Roman" w:hAnsi="Times New Roman" w:cs="Times New Roman"/>
        </w:rPr>
        <w:t>Experience Period</w:t>
      </w:r>
      <w:r w:rsidRPr="00EE3B6B">
        <w:rPr>
          <w:rFonts w:ascii="Times New Roman" w:hAnsi="Times New Roman" w:cs="Times New Roman"/>
        </w:rPr>
        <w:t xml:space="preserve"> when estimating the total claims incurred during the period. The paid through date is not captured in the </w:t>
      </w:r>
      <w:r w:rsidRPr="00EE3B6B">
        <w:rPr>
          <w:rFonts w:ascii="Times New Roman" w:hAnsi="Times New Roman" w:cs="Times New Roman"/>
        </w:rPr>
        <w:t>template, but</w:t>
      </w:r>
      <w:r w:rsidRPr="00EE3B6B">
        <w:rPr>
          <w:rFonts w:ascii="Times New Roman" w:hAnsi="Times New Roman" w:cs="Times New Roman"/>
        </w:rPr>
        <w:t xml:space="preserve"> is requested in the Actuarial Memorandum.</w:t>
      </w:r>
    </w:p>
    <w:p w:rsidR="00FF4B61" w:rsidP="00FF4B61" w14:paraId="51A90FB2" w14:textId="77777777">
      <w:pPr>
        <w:widowControl/>
        <w:autoSpaceDE/>
        <w:autoSpaceDN/>
        <w:spacing w:after="160" w:line="259" w:lineRule="auto"/>
        <w:rPr>
          <w:rFonts w:ascii="Times New Roman" w:hAnsi="Times New Roman" w:cs="Times New Roman"/>
        </w:rPr>
      </w:pPr>
      <w:r w:rsidRPr="00EE3B6B">
        <w:rPr>
          <w:rFonts w:ascii="Times New Roman" w:hAnsi="Times New Roman" w:cs="Times New Roman"/>
          <w:b/>
        </w:rPr>
        <w:t xml:space="preserve">Allowed Claims:  </w:t>
      </w:r>
      <w:r w:rsidRPr="00EE3B6B">
        <w:rPr>
          <w:rFonts w:ascii="Times New Roman" w:hAnsi="Times New Roman" w:cs="Times New Roman"/>
        </w:rPr>
        <w:t xml:space="preserve">Enter total allowed claims with dates of service during the </w:t>
      </w:r>
      <w:r w:rsidRPr="00EE3B6B" w:rsidR="00C66220">
        <w:rPr>
          <w:rFonts w:ascii="Times New Roman" w:hAnsi="Times New Roman" w:cs="Times New Roman"/>
        </w:rPr>
        <w:t>Experience Period</w:t>
      </w:r>
      <w:r w:rsidRPr="00EE3B6B">
        <w:rPr>
          <w:rFonts w:ascii="Times New Roman" w:hAnsi="Times New Roman" w:cs="Times New Roman"/>
        </w:rPr>
        <w:t>.</w:t>
      </w:r>
    </w:p>
    <w:p w:rsidR="00D80365" w:rsidRPr="00EE3B6B" w:rsidP="00FF4B61" w14:paraId="1E49AFD4" w14:textId="1BB3895A">
      <w:pPr>
        <w:widowControl/>
        <w:autoSpaceDE/>
        <w:autoSpaceDN/>
        <w:spacing w:after="160" w:line="259" w:lineRule="auto"/>
        <w:ind w:left="360"/>
        <w:rPr>
          <w:rFonts w:ascii="Times New Roman" w:hAnsi="Times New Roman" w:cs="Times New Roman"/>
        </w:rPr>
      </w:pPr>
      <w:r w:rsidRPr="00EE3B6B">
        <w:rPr>
          <w:rFonts w:ascii="Times New Roman" w:hAnsi="Times New Roman" w:cs="Times New Roman"/>
        </w:rPr>
        <w:t>Allowed Claims are defined as the total payments made under the policy to healthcare providers on behalf of covered members and include payments made by the issuer, member cost-sharing, cost-sharing paid by HHS on behalf of low-income members</w:t>
      </w:r>
      <w:r w:rsidRPr="00EE3B6B" w:rsidR="00047EE1">
        <w:rPr>
          <w:rFonts w:ascii="Times New Roman" w:hAnsi="Times New Roman" w:cs="Times New Roman"/>
        </w:rPr>
        <w:t xml:space="preserve">, as well as </w:t>
      </w:r>
      <w:r w:rsidRPr="00EE3B6B" w:rsidR="00C863E3">
        <w:rPr>
          <w:rFonts w:ascii="Times New Roman" w:hAnsi="Times New Roman" w:cs="Times New Roman"/>
        </w:rPr>
        <w:t xml:space="preserve">net </w:t>
      </w:r>
      <w:r w:rsidRPr="00EE3B6B" w:rsidR="00685A04">
        <w:rPr>
          <w:rFonts w:ascii="Times New Roman" w:hAnsi="Times New Roman" w:cs="Times New Roman"/>
        </w:rPr>
        <w:t xml:space="preserve">payments from </w:t>
      </w:r>
      <w:r w:rsidRPr="00EE3B6B" w:rsidR="00047EE1">
        <w:rPr>
          <w:rFonts w:ascii="Times New Roman" w:hAnsi="Times New Roman" w:cs="Times New Roman"/>
        </w:rPr>
        <w:t xml:space="preserve">any </w:t>
      </w:r>
      <w:r w:rsidRPr="00EE3B6B" w:rsidR="001E6807">
        <w:rPr>
          <w:rFonts w:ascii="Times New Roman" w:hAnsi="Times New Roman" w:cs="Times New Roman"/>
        </w:rPr>
        <w:t>federal or s</w:t>
      </w:r>
      <w:r w:rsidRPr="00EE3B6B" w:rsidR="00C863E3">
        <w:rPr>
          <w:rFonts w:ascii="Times New Roman" w:hAnsi="Times New Roman" w:cs="Times New Roman"/>
        </w:rPr>
        <w:t xml:space="preserve">tate </w:t>
      </w:r>
      <w:r w:rsidRPr="00EE3B6B" w:rsidR="00047EE1">
        <w:rPr>
          <w:rFonts w:ascii="Times New Roman" w:hAnsi="Times New Roman" w:cs="Times New Roman"/>
        </w:rPr>
        <w:t>reinsurance arrangement</w:t>
      </w:r>
      <w:r w:rsidRPr="00EE3B6B" w:rsidR="008D1708">
        <w:rPr>
          <w:rFonts w:ascii="Times New Roman" w:hAnsi="Times New Roman" w:cs="Times New Roman"/>
        </w:rPr>
        <w:t xml:space="preserve"> or program</w:t>
      </w:r>
      <w:r w:rsidRPr="00EE3B6B">
        <w:rPr>
          <w:rFonts w:ascii="Times New Roman" w:hAnsi="Times New Roman" w:cs="Times New Roman"/>
        </w:rPr>
        <w:t xml:space="preserve">. Consequently, </w:t>
      </w:r>
      <w:r w:rsidRPr="00EE3B6B" w:rsidR="00943091">
        <w:rPr>
          <w:rFonts w:ascii="Times New Roman" w:hAnsi="Times New Roman" w:cs="Times New Roman"/>
        </w:rPr>
        <w:t xml:space="preserve">allowed claims </w:t>
      </w:r>
      <w:r w:rsidRPr="00EE3B6B" w:rsidR="00782BF9">
        <w:rPr>
          <w:rFonts w:ascii="Times New Roman" w:hAnsi="Times New Roman" w:cs="Times New Roman"/>
        </w:rPr>
        <w:t xml:space="preserve">should </w:t>
      </w:r>
      <w:r w:rsidRPr="00EE3B6B">
        <w:rPr>
          <w:rFonts w:ascii="Times New Roman" w:hAnsi="Times New Roman" w:cs="Times New Roman"/>
        </w:rPr>
        <w:t xml:space="preserve">include actual payments made </w:t>
      </w:r>
      <w:r w:rsidRPr="00EE3B6B" w:rsidR="00782BF9">
        <w:rPr>
          <w:rFonts w:ascii="Times New Roman" w:hAnsi="Times New Roman" w:cs="Times New Roman"/>
        </w:rPr>
        <w:t>and</w:t>
      </w:r>
      <w:r w:rsidRPr="00EE3B6B">
        <w:rPr>
          <w:rFonts w:ascii="Times New Roman" w:hAnsi="Times New Roman" w:cs="Times New Roman"/>
        </w:rPr>
        <w:t xml:space="preserve"> estimates of c</w:t>
      </w:r>
      <w:r w:rsidRPr="00EE3B6B" w:rsidR="00782BF9">
        <w:rPr>
          <w:rFonts w:ascii="Times New Roman" w:hAnsi="Times New Roman" w:cs="Times New Roman"/>
        </w:rPr>
        <w:t>laim</w:t>
      </w:r>
      <w:r w:rsidRPr="00EE3B6B">
        <w:rPr>
          <w:rFonts w:ascii="Times New Roman" w:hAnsi="Times New Roman" w:cs="Times New Roman"/>
        </w:rPr>
        <w:t xml:space="preserve">s incurred but not </w:t>
      </w:r>
      <w:r w:rsidRPr="00EE3B6B" w:rsidR="00782BF9">
        <w:rPr>
          <w:rFonts w:ascii="Times New Roman" w:hAnsi="Times New Roman" w:cs="Times New Roman"/>
        </w:rPr>
        <w:t>reported</w:t>
      </w:r>
      <w:r w:rsidRPr="00EE3B6B">
        <w:rPr>
          <w:rFonts w:ascii="Times New Roman" w:hAnsi="Times New Roman" w:cs="Times New Roman"/>
        </w:rPr>
        <w:t xml:space="preserve"> during the period.  See the Actuarial Memorandum instructions for guidance related to incurred but not </w:t>
      </w:r>
      <w:r w:rsidRPr="00EE3B6B" w:rsidR="00782BF9">
        <w:rPr>
          <w:rFonts w:ascii="Times New Roman" w:hAnsi="Times New Roman" w:cs="Times New Roman"/>
        </w:rPr>
        <w:t>reported</w:t>
      </w:r>
      <w:r w:rsidRPr="00EE3B6B">
        <w:rPr>
          <w:rFonts w:ascii="Times New Roman" w:hAnsi="Times New Roman" w:cs="Times New Roman"/>
        </w:rPr>
        <w:t xml:space="preserve"> claim reserve documentation. </w:t>
      </w:r>
      <w:r w:rsidRPr="00EE3B6B" w:rsidR="00C66220">
        <w:rPr>
          <w:rFonts w:ascii="Times New Roman" w:hAnsi="Times New Roman" w:cs="Times New Roman"/>
        </w:rPr>
        <w:t>Allowed Claims</w:t>
      </w:r>
      <w:r w:rsidRPr="00EE3B6B">
        <w:rPr>
          <w:rFonts w:ascii="Times New Roman" w:hAnsi="Times New Roman" w:cs="Times New Roman"/>
        </w:rPr>
        <w:t xml:space="preserve"> also include claims not tied to a specific date of service, such as capitation or risk sharing payments, if the payments were for services provided during the </w:t>
      </w:r>
      <w:r w:rsidRPr="00EE3B6B" w:rsidR="00C66220">
        <w:rPr>
          <w:rFonts w:ascii="Times New Roman" w:hAnsi="Times New Roman" w:cs="Times New Roman"/>
        </w:rPr>
        <w:t>Experience Period</w:t>
      </w:r>
      <w:r w:rsidRPr="00EE3B6B">
        <w:rPr>
          <w:rFonts w:ascii="Times New Roman" w:hAnsi="Times New Roman" w:cs="Times New Roman"/>
        </w:rPr>
        <w:t xml:space="preserve">. They include claims for EHBs as well as non-EHBs. This would not include the </w:t>
      </w:r>
      <w:r w:rsidRPr="00EE3B6B">
        <w:rPr>
          <w:rFonts w:ascii="Times New Roman" w:hAnsi="Times New Roman" w:cs="Times New Roman"/>
        </w:rPr>
        <w:t>amount</w:t>
      </w:r>
      <w:r w:rsidRPr="00EE3B6B">
        <w:rPr>
          <w:rFonts w:ascii="Times New Roman" w:hAnsi="Times New Roman" w:cs="Times New Roman"/>
        </w:rPr>
        <w:t xml:space="preserve"> of billed charges the member must pay in excess of the issuer’s contractual allowed amount (often described as “balance billing”)</w:t>
      </w:r>
      <w:r w:rsidRPr="00EE3B6B" w:rsidR="00C863E3">
        <w:rPr>
          <w:rFonts w:ascii="Times New Roman" w:hAnsi="Times New Roman" w:cs="Times New Roman"/>
        </w:rPr>
        <w:t>.</w:t>
      </w:r>
    </w:p>
    <w:p w:rsidR="00D80365" w:rsidRPr="00EE3B6B" w:rsidP="00423979" w14:paraId="0BEB0EDE" w14:textId="77777777">
      <w:pPr>
        <w:keepLines/>
        <w:spacing w:after="120" w:line="276" w:lineRule="auto"/>
        <w:ind w:left="360"/>
        <w:rPr>
          <w:rFonts w:ascii="Times New Roman" w:hAnsi="Times New Roman" w:cs="Times New Roman"/>
        </w:rPr>
      </w:pPr>
      <w:r w:rsidRPr="00EE3B6B">
        <w:rPr>
          <w:rFonts w:ascii="Times New Roman" w:hAnsi="Times New Roman" w:cs="Times New Roman"/>
        </w:rPr>
        <w:t>By definition, “Allowed Claims” do not include:</w:t>
      </w:r>
    </w:p>
    <w:p w:rsidR="00D80365" w:rsidRPr="00EE3B6B" w:rsidP="00423979" w14:paraId="53A60CA0" w14:textId="77777777">
      <w:pPr>
        <w:pStyle w:val="ListParagraph"/>
        <w:keepLines/>
        <w:numPr>
          <w:ilvl w:val="0"/>
          <w:numId w:val="7"/>
        </w:numPr>
        <w:spacing w:after="120" w:line="276" w:lineRule="auto"/>
        <w:ind w:left="1080"/>
        <w:rPr>
          <w:rFonts w:ascii="Times New Roman" w:hAnsi="Times New Roman" w:cs="Times New Roman"/>
        </w:rPr>
      </w:pPr>
      <w:r w:rsidRPr="00EE3B6B">
        <w:rPr>
          <w:rFonts w:ascii="Times New Roman" w:hAnsi="Times New Roman" w:cs="Times New Roman"/>
        </w:rPr>
        <w:t>Ineligible claims, such as duplicate claims, third party liabilities (e.g., coordination of benefits claims), and any other claims that are denied under the policy terms.</w:t>
      </w:r>
    </w:p>
    <w:p w:rsidR="00D80365" w:rsidRPr="00EE3B6B" w:rsidP="00423979" w14:paraId="243F35E3" w14:textId="77777777">
      <w:pPr>
        <w:pStyle w:val="ListParagraph"/>
        <w:keepLines/>
        <w:numPr>
          <w:ilvl w:val="0"/>
          <w:numId w:val="7"/>
        </w:numPr>
        <w:spacing w:after="120" w:line="276" w:lineRule="auto"/>
        <w:ind w:left="1080"/>
        <w:rPr>
          <w:rFonts w:ascii="Times New Roman" w:hAnsi="Times New Roman" w:cs="Times New Roman"/>
        </w:rPr>
      </w:pPr>
      <w:r w:rsidRPr="00EE3B6B">
        <w:rPr>
          <w:rFonts w:ascii="Times New Roman" w:hAnsi="Times New Roman" w:cs="Times New Roman"/>
        </w:rPr>
        <w:t xml:space="preserve">Payments for services other than medical care provided, (e.g., medical management, quality improvement, and fraud detection and recovery expenses) even if these amounts are included in claims for </w:t>
      </w:r>
      <w:r w:rsidRPr="00EE3B6B" w:rsidR="00D803EF">
        <w:rPr>
          <w:rFonts w:ascii="Times New Roman" w:hAnsi="Times New Roman" w:cs="Times New Roman"/>
        </w:rPr>
        <w:t>Medical Loss Ratio (</w:t>
      </w:r>
      <w:r w:rsidRPr="00EE3B6B">
        <w:rPr>
          <w:rFonts w:ascii="Times New Roman" w:hAnsi="Times New Roman" w:cs="Times New Roman"/>
        </w:rPr>
        <w:t>MLR</w:t>
      </w:r>
      <w:r w:rsidRPr="00EE3B6B" w:rsidR="00D803EF">
        <w:rPr>
          <w:rFonts w:ascii="Times New Roman" w:hAnsi="Times New Roman" w:cs="Times New Roman"/>
        </w:rPr>
        <w:t>)</w:t>
      </w:r>
      <w:r w:rsidRPr="00EE3B6B">
        <w:rPr>
          <w:rFonts w:ascii="Times New Roman" w:hAnsi="Times New Roman" w:cs="Times New Roman"/>
        </w:rPr>
        <w:t xml:space="preserve"> reporting purposes.</w:t>
      </w:r>
    </w:p>
    <w:p w:rsidR="00D80365" w:rsidRPr="00EE3B6B" w:rsidP="00423979" w14:paraId="2802FE30" w14:textId="77777777">
      <w:pPr>
        <w:pStyle w:val="ListParagraph"/>
        <w:keepLines/>
        <w:numPr>
          <w:ilvl w:val="0"/>
          <w:numId w:val="7"/>
        </w:numPr>
        <w:spacing w:after="120" w:line="276" w:lineRule="auto"/>
        <w:ind w:left="1080"/>
        <w:rPr>
          <w:rFonts w:ascii="Times New Roman" w:hAnsi="Times New Roman" w:cs="Times New Roman"/>
        </w:rPr>
      </w:pPr>
      <w:r w:rsidRPr="00EE3B6B">
        <w:rPr>
          <w:rFonts w:ascii="Times New Roman" w:hAnsi="Times New Roman" w:cs="Times New Roman"/>
        </w:rPr>
        <w:t xml:space="preserve">Active life reserves (policy reserves, contract reserves, contingency reserves, or any kind of reserves except traditionally defined reserves for claims incurred but not </w:t>
      </w:r>
      <w:r w:rsidRPr="00EE3B6B" w:rsidR="00782BF9">
        <w:rPr>
          <w:rFonts w:ascii="Times New Roman" w:hAnsi="Times New Roman" w:cs="Times New Roman"/>
        </w:rPr>
        <w:t>reporte</w:t>
      </w:r>
      <w:r w:rsidRPr="00EE3B6B">
        <w:rPr>
          <w:rFonts w:ascii="Times New Roman" w:hAnsi="Times New Roman" w:cs="Times New Roman"/>
        </w:rPr>
        <w:t>d) or change in such reserves.</w:t>
      </w:r>
    </w:p>
    <w:p w:rsidR="00D80365" w:rsidRPr="00EE3B6B" w:rsidP="00423979" w14:paraId="15DE3E2C" w14:textId="77777777">
      <w:pPr>
        <w:pStyle w:val="ListParagraph"/>
        <w:keepLines/>
        <w:numPr>
          <w:ilvl w:val="0"/>
          <w:numId w:val="7"/>
        </w:numPr>
        <w:spacing w:after="120" w:line="276" w:lineRule="auto"/>
        <w:ind w:left="1080"/>
        <w:rPr>
          <w:rFonts w:ascii="Times New Roman" w:hAnsi="Times New Roman" w:cs="Times New Roman"/>
        </w:rPr>
      </w:pPr>
      <w:r w:rsidRPr="00EE3B6B">
        <w:rPr>
          <w:rFonts w:ascii="Times New Roman" w:hAnsi="Times New Roman" w:cs="Times New Roman"/>
        </w:rPr>
        <w:t xml:space="preserve">Charges or payments from the </w:t>
      </w:r>
      <w:r w:rsidRPr="00EE3B6B" w:rsidR="00DF2F3B">
        <w:rPr>
          <w:rFonts w:ascii="Times New Roman" w:hAnsi="Times New Roman" w:cs="Times New Roman"/>
        </w:rPr>
        <w:t>f</w:t>
      </w:r>
      <w:r w:rsidRPr="00EE3B6B">
        <w:rPr>
          <w:rFonts w:ascii="Times New Roman" w:hAnsi="Times New Roman" w:cs="Times New Roman"/>
        </w:rPr>
        <w:t>ederal risk adjustment program.</w:t>
      </w:r>
    </w:p>
    <w:p w:rsidR="00E369BC" w:rsidRPr="00EE3B6B" w:rsidP="006D1FD2" w14:paraId="0A03E372" w14:textId="77777777">
      <w:pPr>
        <w:keepLines/>
        <w:spacing w:after="120" w:line="276" w:lineRule="auto"/>
        <w:rPr>
          <w:rFonts w:ascii="Times New Roman" w:hAnsi="Times New Roman" w:cs="Times New Roman"/>
        </w:rPr>
      </w:pPr>
      <w:r w:rsidRPr="00EE3B6B">
        <w:rPr>
          <w:rFonts w:ascii="Times New Roman" w:hAnsi="Times New Roman" w:cs="Times New Roman"/>
          <w:b/>
        </w:rPr>
        <w:t>Reinsurance:</w:t>
      </w:r>
      <w:r w:rsidRPr="00EE3B6B" w:rsidR="00047EE1">
        <w:rPr>
          <w:rFonts w:ascii="Times New Roman" w:hAnsi="Times New Roman" w:cs="Times New Roman"/>
          <w:b/>
        </w:rPr>
        <w:t xml:space="preserve">  </w:t>
      </w:r>
      <w:r w:rsidRPr="00EE3B6B" w:rsidR="00047EE1">
        <w:rPr>
          <w:rFonts w:ascii="Times New Roman" w:hAnsi="Times New Roman" w:cs="Times New Roman"/>
        </w:rPr>
        <w:t xml:space="preserve">Enter any claims reimbursement received through </w:t>
      </w:r>
      <w:r w:rsidRPr="00EE3B6B" w:rsidR="001E6807">
        <w:rPr>
          <w:rFonts w:ascii="Times New Roman" w:hAnsi="Times New Roman" w:cs="Times New Roman"/>
        </w:rPr>
        <w:t>a federal or s</w:t>
      </w:r>
      <w:r w:rsidRPr="00EE3B6B" w:rsidR="00E12DFF">
        <w:rPr>
          <w:rFonts w:ascii="Times New Roman" w:hAnsi="Times New Roman" w:cs="Times New Roman"/>
        </w:rPr>
        <w:t>tate</w:t>
      </w:r>
      <w:r w:rsidRPr="00EE3B6B" w:rsidR="00047EE1">
        <w:rPr>
          <w:rFonts w:ascii="Times New Roman" w:hAnsi="Times New Roman" w:cs="Times New Roman"/>
        </w:rPr>
        <w:t xml:space="preserve"> reinsurance program</w:t>
      </w:r>
      <w:r w:rsidRPr="00EE3B6B" w:rsidR="00C863E3">
        <w:rPr>
          <w:rFonts w:ascii="Times New Roman" w:hAnsi="Times New Roman" w:cs="Times New Roman"/>
        </w:rPr>
        <w:t>, net of any reinsurance fees</w:t>
      </w:r>
      <w:r w:rsidRPr="00EE3B6B" w:rsidR="00047EE1">
        <w:rPr>
          <w:rFonts w:ascii="Times New Roman" w:hAnsi="Times New Roman" w:cs="Times New Roman"/>
        </w:rPr>
        <w:t xml:space="preserve">. </w:t>
      </w:r>
    </w:p>
    <w:p w:rsidR="00E369BC" w:rsidRPr="00EE3B6B" w:rsidP="006D1FD2" w14:paraId="52394E80" w14:textId="77777777">
      <w:pPr>
        <w:keepLines/>
        <w:spacing w:after="120" w:line="276" w:lineRule="auto"/>
        <w:rPr>
          <w:rFonts w:ascii="Times New Roman" w:hAnsi="Times New Roman" w:cs="Times New Roman"/>
        </w:rPr>
      </w:pPr>
      <w:r w:rsidRPr="00EE3B6B">
        <w:rPr>
          <w:rFonts w:ascii="Times New Roman" w:hAnsi="Times New Roman" w:cs="Times New Roman"/>
          <w:b/>
        </w:rPr>
        <w:t xml:space="preserve">Incurred Claims in </w:t>
      </w:r>
      <w:r w:rsidRPr="00EE3B6B" w:rsidR="00C66220">
        <w:rPr>
          <w:rFonts w:ascii="Times New Roman" w:hAnsi="Times New Roman" w:cs="Times New Roman"/>
          <w:b/>
        </w:rPr>
        <w:t>Experience Period</w:t>
      </w:r>
      <w:r w:rsidRPr="00EE3B6B">
        <w:rPr>
          <w:rFonts w:ascii="Times New Roman" w:hAnsi="Times New Roman" w:cs="Times New Roman"/>
          <w:b/>
        </w:rPr>
        <w:t xml:space="preserve">: </w:t>
      </w:r>
      <w:r w:rsidRPr="00EE3B6B">
        <w:rPr>
          <w:rFonts w:ascii="Times New Roman" w:hAnsi="Times New Roman" w:cs="Times New Roman"/>
        </w:rPr>
        <w:t xml:space="preserve">Enter total claims incurred in the </w:t>
      </w:r>
      <w:r w:rsidRPr="00EE3B6B" w:rsidR="00C66220">
        <w:rPr>
          <w:rFonts w:ascii="Times New Roman" w:hAnsi="Times New Roman" w:cs="Times New Roman"/>
        </w:rPr>
        <w:t>Experience Period</w:t>
      </w:r>
      <w:r w:rsidRPr="00EE3B6B">
        <w:rPr>
          <w:rFonts w:ascii="Times New Roman" w:hAnsi="Times New Roman" w:cs="Times New Roman"/>
        </w:rPr>
        <w:t>.</w:t>
      </w:r>
    </w:p>
    <w:p w:rsidR="00E369BC" w:rsidRPr="00EE3B6B" w:rsidP="00423979" w14:paraId="7B856647" w14:textId="77777777">
      <w:pPr>
        <w:keepLines/>
        <w:spacing w:after="120" w:line="276" w:lineRule="auto"/>
        <w:ind w:left="360"/>
        <w:rPr>
          <w:rFonts w:ascii="Times New Roman" w:hAnsi="Times New Roman" w:cs="Times New Roman"/>
        </w:rPr>
      </w:pPr>
      <w:r w:rsidRPr="00EE3B6B">
        <w:rPr>
          <w:rFonts w:ascii="Times New Roman" w:hAnsi="Times New Roman" w:cs="Times New Roman"/>
        </w:rPr>
        <w:t xml:space="preserve">Incurred claims are defined as </w:t>
      </w:r>
      <w:r w:rsidRPr="00EE3B6B" w:rsidR="00C66220">
        <w:rPr>
          <w:rFonts w:ascii="Times New Roman" w:hAnsi="Times New Roman" w:cs="Times New Roman"/>
        </w:rPr>
        <w:t>Allowed Claims</w:t>
      </w:r>
      <w:r w:rsidRPr="00EE3B6B">
        <w:rPr>
          <w:rFonts w:ascii="Times New Roman" w:hAnsi="Times New Roman" w:cs="Times New Roman"/>
        </w:rPr>
        <w:t xml:space="preserve"> (defined </w:t>
      </w:r>
      <w:r w:rsidRPr="00EE3B6B" w:rsidR="00685A04">
        <w:rPr>
          <w:rFonts w:ascii="Times New Roman" w:hAnsi="Times New Roman" w:cs="Times New Roman"/>
        </w:rPr>
        <w:t>above</w:t>
      </w:r>
      <w:r w:rsidRPr="00EE3B6B">
        <w:rPr>
          <w:rFonts w:ascii="Times New Roman" w:hAnsi="Times New Roman" w:cs="Times New Roman"/>
        </w:rPr>
        <w:t>) less member cost-sharing</w:t>
      </w:r>
      <w:r w:rsidRPr="00EE3B6B" w:rsidR="00685A04">
        <w:rPr>
          <w:rFonts w:ascii="Times New Roman" w:hAnsi="Times New Roman" w:cs="Times New Roman"/>
        </w:rPr>
        <w:t>,</w:t>
      </w:r>
      <w:r w:rsidRPr="00EE3B6B">
        <w:rPr>
          <w:rFonts w:ascii="Times New Roman" w:hAnsi="Times New Roman" w:cs="Times New Roman"/>
        </w:rPr>
        <w:t xml:space="preserve"> cost-sharing paid by HHS on behalf of low-income members</w:t>
      </w:r>
      <w:r w:rsidRPr="00EE3B6B" w:rsidR="00685A04">
        <w:rPr>
          <w:rFonts w:ascii="Times New Roman" w:hAnsi="Times New Roman" w:cs="Times New Roman"/>
        </w:rPr>
        <w:t xml:space="preserve">, as well as any </w:t>
      </w:r>
      <w:r w:rsidRPr="00EE3B6B" w:rsidR="002931D6">
        <w:rPr>
          <w:rFonts w:ascii="Times New Roman" w:hAnsi="Times New Roman" w:cs="Times New Roman"/>
        </w:rPr>
        <w:t xml:space="preserve">net </w:t>
      </w:r>
      <w:r w:rsidRPr="00EE3B6B" w:rsidR="00685A04">
        <w:rPr>
          <w:rFonts w:ascii="Times New Roman" w:hAnsi="Times New Roman" w:cs="Times New Roman"/>
        </w:rPr>
        <w:t>payments from a</w:t>
      </w:r>
      <w:r w:rsidRPr="00EE3B6B" w:rsidR="001E6807">
        <w:rPr>
          <w:rFonts w:ascii="Times New Roman" w:hAnsi="Times New Roman" w:cs="Times New Roman"/>
        </w:rPr>
        <w:t xml:space="preserve"> federal or s</w:t>
      </w:r>
      <w:r w:rsidRPr="00EE3B6B" w:rsidR="004263B0">
        <w:rPr>
          <w:rFonts w:ascii="Times New Roman" w:hAnsi="Times New Roman" w:cs="Times New Roman"/>
        </w:rPr>
        <w:t>tate</w:t>
      </w:r>
      <w:r w:rsidRPr="00EE3B6B" w:rsidR="00685A04">
        <w:rPr>
          <w:rFonts w:ascii="Times New Roman" w:hAnsi="Times New Roman" w:cs="Times New Roman"/>
        </w:rPr>
        <w:t xml:space="preserve"> reinsurance arrangement</w:t>
      </w:r>
      <w:r w:rsidRPr="00EE3B6B">
        <w:rPr>
          <w:rFonts w:ascii="Times New Roman" w:hAnsi="Times New Roman" w:cs="Times New Roman"/>
        </w:rPr>
        <w:t xml:space="preserve">. Incurred claims </w:t>
      </w:r>
      <w:r w:rsidRPr="00EE3B6B">
        <w:rPr>
          <w:rFonts w:ascii="Times New Roman" w:hAnsi="Times New Roman" w:cs="Times New Roman"/>
        </w:rPr>
        <w:t>includes</w:t>
      </w:r>
      <w:r w:rsidRPr="00EE3B6B">
        <w:rPr>
          <w:rFonts w:ascii="Times New Roman" w:hAnsi="Times New Roman" w:cs="Times New Roman"/>
        </w:rPr>
        <w:t xml:space="preserve"> claims for EHBs and non-EHBs.</w:t>
      </w:r>
    </w:p>
    <w:p w:rsidR="00E369BC" w:rsidRPr="00EE3B6B" w:rsidP="00423979" w14:paraId="47B1B392" w14:textId="77777777">
      <w:pPr>
        <w:keepLines/>
        <w:spacing w:after="120" w:line="276" w:lineRule="auto"/>
        <w:ind w:left="360"/>
        <w:rPr>
          <w:rFonts w:ascii="Times New Roman" w:hAnsi="Times New Roman" w:cs="Times New Roman"/>
          <w:b/>
        </w:rPr>
      </w:pPr>
      <w:r w:rsidRPr="00EE3B6B">
        <w:rPr>
          <w:rFonts w:ascii="Times New Roman" w:hAnsi="Times New Roman" w:cs="Times New Roman"/>
        </w:rPr>
        <w:t xml:space="preserve">Member cost-sharing is defined as payments made against the </w:t>
      </w:r>
      <w:r w:rsidRPr="00EE3B6B" w:rsidR="00C66220">
        <w:rPr>
          <w:rFonts w:ascii="Times New Roman" w:hAnsi="Times New Roman" w:cs="Times New Roman"/>
        </w:rPr>
        <w:t>Allowed Claims</w:t>
      </w:r>
      <w:r w:rsidRPr="00EE3B6B">
        <w:rPr>
          <w:rFonts w:ascii="Times New Roman" w:hAnsi="Times New Roman" w:cs="Times New Roman"/>
        </w:rPr>
        <w:t xml:space="preserve"> by the member for health care services (e.g., deductible, coinsurance, and copayments). This does not include premium or the </w:t>
      </w:r>
      <w:r w:rsidRPr="00EE3B6B">
        <w:rPr>
          <w:rFonts w:ascii="Times New Roman" w:hAnsi="Times New Roman" w:cs="Times New Roman"/>
        </w:rPr>
        <w:t>amount</w:t>
      </w:r>
      <w:r w:rsidRPr="00EE3B6B">
        <w:rPr>
          <w:rFonts w:ascii="Times New Roman" w:hAnsi="Times New Roman" w:cs="Times New Roman"/>
        </w:rPr>
        <w:t xml:space="preserve"> of billed charges the member must pay in excess of the issuer’s contractual allowed amount (often described as “balance billing”).</w:t>
      </w:r>
    </w:p>
    <w:p w:rsidR="00E369BC" w:rsidRPr="00EE3B6B" w:rsidP="006D1FD2" w14:paraId="0742B299" w14:textId="41172D44">
      <w:pPr>
        <w:keepLines/>
        <w:spacing w:after="120" w:line="276" w:lineRule="auto"/>
        <w:rPr>
          <w:rFonts w:ascii="Times New Roman" w:hAnsi="Times New Roman" w:cs="Times New Roman"/>
        </w:rPr>
      </w:pPr>
      <w:r w:rsidRPr="00EE3B6B">
        <w:rPr>
          <w:rFonts w:ascii="Times New Roman" w:hAnsi="Times New Roman" w:cs="Times New Roman"/>
          <w:b/>
        </w:rPr>
        <w:t>Risk Adjustment:</w:t>
      </w:r>
      <w:r w:rsidRPr="00EE3B6B" w:rsidR="00A37511">
        <w:rPr>
          <w:rFonts w:ascii="Times New Roman" w:hAnsi="Times New Roman" w:cs="Times New Roman"/>
          <w:b/>
        </w:rPr>
        <w:t xml:space="preserve"> </w:t>
      </w:r>
      <w:r w:rsidRPr="00EE3B6B" w:rsidR="00A37511">
        <w:rPr>
          <w:rFonts w:ascii="Times New Roman" w:hAnsi="Times New Roman" w:cs="Times New Roman"/>
        </w:rPr>
        <w:t>E</w:t>
      </w:r>
      <w:r w:rsidRPr="00EE3B6B" w:rsidR="004E47B7">
        <w:rPr>
          <w:rFonts w:ascii="Times New Roman" w:hAnsi="Times New Roman" w:cs="Times New Roman"/>
        </w:rPr>
        <w:t>nter the</w:t>
      </w:r>
      <w:r w:rsidRPr="00EE3B6B" w:rsidR="00A37511">
        <w:rPr>
          <w:rFonts w:ascii="Times New Roman" w:hAnsi="Times New Roman" w:cs="Times New Roman"/>
        </w:rPr>
        <w:t xml:space="preserve"> </w:t>
      </w:r>
      <w:r w:rsidRPr="00EE3B6B" w:rsidR="003E7855">
        <w:rPr>
          <w:rFonts w:ascii="Times New Roman" w:hAnsi="Times New Roman" w:cs="Times New Roman"/>
        </w:rPr>
        <w:t xml:space="preserve">transfer </w:t>
      </w:r>
      <w:r w:rsidRPr="00EE3B6B" w:rsidR="00A37511">
        <w:rPr>
          <w:rFonts w:ascii="Times New Roman" w:hAnsi="Times New Roman" w:cs="Times New Roman"/>
        </w:rPr>
        <w:t xml:space="preserve">payments </w:t>
      </w:r>
      <w:r w:rsidRPr="00EE3B6B" w:rsidR="004E47B7">
        <w:rPr>
          <w:rFonts w:ascii="Times New Roman" w:hAnsi="Times New Roman" w:cs="Times New Roman"/>
        </w:rPr>
        <w:t xml:space="preserve">or charges from the </w:t>
      </w:r>
      <w:r w:rsidRPr="00EE3B6B" w:rsidR="00DF2F3B">
        <w:rPr>
          <w:rFonts w:ascii="Times New Roman" w:hAnsi="Times New Roman" w:cs="Times New Roman"/>
        </w:rPr>
        <w:t>f</w:t>
      </w:r>
      <w:r w:rsidRPr="00EE3B6B" w:rsidR="004E47B7">
        <w:rPr>
          <w:rFonts w:ascii="Times New Roman" w:hAnsi="Times New Roman" w:cs="Times New Roman"/>
        </w:rPr>
        <w:t>ederal risk adjustment program</w:t>
      </w:r>
      <w:r w:rsidRPr="00EE3B6B" w:rsidR="00BD0250">
        <w:rPr>
          <w:rFonts w:ascii="Times New Roman" w:hAnsi="Times New Roman" w:cs="Times New Roman"/>
        </w:rPr>
        <w:t>.</w:t>
      </w:r>
    </w:p>
    <w:p w:rsidR="004E47B7" w:rsidRPr="00EE3B6B" w:rsidP="00423979" w14:paraId="24CA40CB" w14:textId="77777777">
      <w:pPr>
        <w:keepLines/>
        <w:spacing w:after="120" w:line="276" w:lineRule="auto"/>
        <w:ind w:left="360"/>
        <w:rPr>
          <w:rFonts w:ascii="Times New Roman" w:hAnsi="Times New Roman" w:cs="Times New Roman"/>
        </w:rPr>
      </w:pPr>
      <w:r w:rsidRPr="00EE3B6B">
        <w:rPr>
          <w:rFonts w:ascii="Times New Roman" w:hAnsi="Times New Roman" w:cs="Times New Roman"/>
        </w:rPr>
        <w:t xml:space="preserve">Transfer amounts should include </w:t>
      </w:r>
      <w:r w:rsidRPr="00EE3B6B" w:rsidR="003E7855">
        <w:rPr>
          <w:rFonts w:ascii="Times New Roman" w:hAnsi="Times New Roman" w:cs="Times New Roman"/>
        </w:rPr>
        <w:t xml:space="preserve">the </w:t>
      </w:r>
      <w:r w:rsidRPr="00EE3B6B" w:rsidR="003E7855">
        <w:rPr>
          <w:rFonts w:ascii="Times New Roman" w:hAnsi="Times New Roman" w:cs="Times New Roman"/>
        </w:rPr>
        <w:t>high cost</w:t>
      </w:r>
      <w:r w:rsidRPr="00EE3B6B" w:rsidR="003E7855">
        <w:rPr>
          <w:rFonts w:ascii="Times New Roman" w:hAnsi="Times New Roman" w:cs="Times New Roman"/>
        </w:rPr>
        <w:t xml:space="preserve"> risk pool adjustment to claims and any assessment to pay for those claims. </w:t>
      </w:r>
      <w:r w:rsidRPr="00EE3B6B" w:rsidR="00E51C59">
        <w:rPr>
          <w:rFonts w:ascii="Times New Roman" w:hAnsi="Times New Roman" w:cs="Times New Roman"/>
        </w:rPr>
        <w:t xml:space="preserve">The risk adjustment user fee should not be included here, but rather in the taxes and fees portion of administrative costs. </w:t>
      </w:r>
      <w:r w:rsidRPr="00EE3B6B">
        <w:rPr>
          <w:rFonts w:ascii="Times New Roman" w:hAnsi="Times New Roman" w:cs="Times New Roman"/>
        </w:rPr>
        <w:t xml:space="preserve">Payments made to an issuer from the risk adjustment program should be entered as a positive amount, while charges assessed to an issuer should be entered as a negative amount. </w:t>
      </w:r>
    </w:p>
    <w:p w:rsidR="00946D47" w:rsidRPr="00EE3B6B" w:rsidP="00423979" w14:paraId="7E2481D6" w14:textId="77777777">
      <w:pPr>
        <w:keepLines/>
        <w:spacing w:after="120" w:line="276" w:lineRule="auto"/>
        <w:ind w:left="360"/>
        <w:rPr>
          <w:rFonts w:ascii="Times New Roman" w:hAnsi="Times New Roman" w:cs="Times New Roman"/>
        </w:rPr>
      </w:pPr>
      <w:r w:rsidRPr="00EE3B6B">
        <w:rPr>
          <w:rFonts w:ascii="Times New Roman" w:hAnsi="Times New Roman" w:cs="Times New Roman"/>
        </w:rPr>
        <w:t>Risk adjustment should account for Risk Adjustment Data Validation (RADV) adjustments, including default data validation charges (DDVCs)</w:t>
      </w:r>
      <w:r w:rsidRPr="00EE3B6B" w:rsidR="000B3711">
        <w:rPr>
          <w:rFonts w:ascii="Times New Roman" w:hAnsi="Times New Roman" w:cs="Times New Roman"/>
        </w:rPr>
        <w:t xml:space="preserve"> and allocations</w:t>
      </w:r>
      <w:r w:rsidRPr="00EE3B6B">
        <w:rPr>
          <w:rFonts w:ascii="Times New Roman" w:hAnsi="Times New Roman" w:cs="Times New Roman"/>
        </w:rPr>
        <w:t>, as appropriate</w:t>
      </w:r>
      <w:r w:rsidRPr="00EE3B6B" w:rsidR="00C937CC">
        <w:rPr>
          <w:rFonts w:ascii="Times New Roman" w:hAnsi="Times New Roman" w:cs="Times New Roman"/>
        </w:rPr>
        <w:t>.</w:t>
      </w:r>
    </w:p>
    <w:p w:rsidR="0014164C" w:rsidRPr="00EE3B6B" w:rsidP="00423979" w14:paraId="664A7F1D" w14:textId="57839798">
      <w:pPr>
        <w:keepLines/>
        <w:spacing w:after="120" w:line="276" w:lineRule="auto"/>
        <w:ind w:left="360"/>
        <w:rPr>
          <w:rFonts w:ascii="Times New Roman" w:hAnsi="Times New Roman" w:cs="Times New Roman"/>
        </w:rPr>
      </w:pPr>
      <w:r w:rsidRPr="00EE3B6B">
        <w:rPr>
          <w:rFonts w:ascii="Times New Roman" w:hAnsi="Times New Roman" w:cs="Times New Roman"/>
        </w:rPr>
        <w:t xml:space="preserve">In some </w:t>
      </w:r>
      <w:r w:rsidRPr="00EE3B6B">
        <w:rPr>
          <w:rFonts w:ascii="Times New Roman" w:hAnsi="Times New Roman" w:cs="Times New Roman"/>
        </w:rPr>
        <w:t>cases</w:t>
      </w:r>
      <w:r w:rsidRPr="00EE3B6B">
        <w:rPr>
          <w:rFonts w:ascii="Times New Roman" w:hAnsi="Times New Roman" w:cs="Times New Roman"/>
        </w:rPr>
        <w:t xml:space="preserve"> the risk adjustment payment or charge from the </w:t>
      </w:r>
      <w:r w:rsidRPr="00EE3B6B" w:rsidR="00C66220">
        <w:rPr>
          <w:rFonts w:ascii="Times New Roman" w:hAnsi="Times New Roman" w:cs="Times New Roman"/>
        </w:rPr>
        <w:t>Experience Period</w:t>
      </w:r>
      <w:r w:rsidRPr="00EE3B6B">
        <w:rPr>
          <w:rFonts w:ascii="Times New Roman" w:hAnsi="Times New Roman" w:cs="Times New Roman"/>
        </w:rPr>
        <w:t xml:space="preserve"> may not be final. Issuers should provide their best estimate in these cases.</w:t>
      </w:r>
    </w:p>
    <w:p w:rsidR="00C77B4D" w:rsidRPr="00EE3B6B" w:rsidP="006D1FD2" w14:paraId="52FB5D64" w14:textId="77777777">
      <w:pPr>
        <w:keepLines/>
        <w:spacing w:after="120" w:line="276" w:lineRule="auto"/>
        <w:rPr>
          <w:rFonts w:ascii="Times New Roman" w:hAnsi="Times New Roman" w:cs="Times New Roman"/>
        </w:rPr>
      </w:pPr>
      <w:r w:rsidRPr="00EE3B6B">
        <w:rPr>
          <w:rFonts w:ascii="Times New Roman" w:hAnsi="Times New Roman" w:cs="Times New Roman"/>
          <w:b/>
        </w:rPr>
        <w:t>Experience Period</w:t>
      </w:r>
      <w:r w:rsidRPr="00EE3B6B" w:rsidR="00D80365">
        <w:rPr>
          <w:rFonts w:ascii="Times New Roman" w:hAnsi="Times New Roman" w:cs="Times New Roman"/>
          <w:b/>
        </w:rPr>
        <w:t xml:space="preserve"> </w:t>
      </w:r>
      <w:r w:rsidRPr="00EE3B6B">
        <w:rPr>
          <w:rFonts w:ascii="Times New Roman" w:hAnsi="Times New Roman" w:cs="Times New Roman"/>
          <w:b/>
        </w:rPr>
        <w:t xml:space="preserve">Premium:  </w:t>
      </w:r>
      <w:r w:rsidRPr="00EE3B6B">
        <w:rPr>
          <w:rFonts w:ascii="Times New Roman" w:hAnsi="Times New Roman" w:cs="Times New Roman"/>
        </w:rPr>
        <w:t xml:space="preserve">Enter the amount of premium earned during the </w:t>
      </w:r>
      <w:r w:rsidRPr="00EE3B6B">
        <w:rPr>
          <w:rFonts w:ascii="Times New Roman" w:hAnsi="Times New Roman" w:cs="Times New Roman"/>
        </w:rPr>
        <w:t>Experience Period</w:t>
      </w:r>
      <w:r w:rsidRPr="00EE3B6B">
        <w:rPr>
          <w:rFonts w:ascii="Times New Roman" w:hAnsi="Times New Roman" w:cs="Times New Roman"/>
        </w:rPr>
        <w:t xml:space="preserve">. </w:t>
      </w:r>
    </w:p>
    <w:p w:rsidR="004221BA" w:rsidRPr="00EE3B6B" w:rsidP="00423979" w14:paraId="103AA7B6" w14:textId="77777777">
      <w:pPr>
        <w:keepLines/>
        <w:spacing w:after="120" w:line="276" w:lineRule="auto"/>
        <w:ind w:left="360"/>
        <w:rPr>
          <w:rFonts w:ascii="Times New Roman" w:hAnsi="Times New Roman" w:cs="Times New Roman"/>
        </w:rPr>
      </w:pPr>
      <w:r w:rsidRPr="00EE3B6B">
        <w:rPr>
          <w:rFonts w:ascii="Times New Roman" w:hAnsi="Times New Roman" w:cs="Times New Roman"/>
        </w:rPr>
        <w:t>This should simply be the premium earned and should not reflect any MLR rebates</w:t>
      </w:r>
    </w:p>
    <w:p w:rsidR="00E369BC" w:rsidRPr="00EE3B6B" w:rsidP="006D1FD2" w14:paraId="3540B78D" w14:textId="77777777">
      <w:pPr>
        <w:keepLines/>
        <w:spacing w:after="120" w:line="276" w:lineRule="auto"/>
        <w:rPr>
          <w:rFonts w:ascii="Times New Roman" w:hAnsi="Times New Roman" w:cs="Times New Roman"/>
        </w:rPr>
      </w:pPr>
      <w:r w:rsidRPr="00EE3B6B">
        <w:rPr>
          <w:rFonts w:ascii="Times New Roman" w:hAnsi="Times New Roman" w:cs="Times New Roman"/>
          <w:b/>
        </w:rPr>
        <w:t>Experience Period</w:t>
      </w:r>
      <w:r w:rsidRPr="00EE3B6B">
        <w:rPr>
          <w:rFonts w:ascii="Times New Roman" w:hAnsi="Times New Roman" w:cs="Times New Roman"/>
          <w:b/>
        </w:rPr>
        <w:t xml:space="preserve"> Member Months:</w:t>
      </w:r>
      <w:r w:rsidRPr="00EE3B6B">
        <w:rPr>
          <w:rFonts w:ascii="Times New Roman" w:hAnsi="Times New Roman" w:cs="Times New Roman"/>
        </w:rPr>
        <w:t xml:space="preserve">  </w:t>
      </w:r>
      <w:r w:rsidRPr="00EE3B6B" w:rsidR="006D002B">
        <w:rPr>
          <w:rFonts w:ascii="Times New Roman" w:hAnsi="Times New Roman" w:cs="Times New Roman"/>
        </w:rPr>
        <w:t xml:space="preserve">This number is </w:t>
      </w:r>
      <w:r w:rsidRPr="00EE3B6B" w:rsidR="00060859">
        <w:rPr>
          <w:rFonts w:ascii="Times New Roman" w:hAnsi="Times New Roman" w:cs="Times New Roman"/>
        </w:rPr>
        <w:t>auto</w:t>
      </w:r>
      <w:r w:rsidRPr="00EE3B6B" w:rsidR="00F81E90">
        <w:rPr>
          <w:rFonts w:ascii="Times New Roman" w:hAnsi="Times New Roman" w:cs="Times New Roman"/>
        </w:rPr>
        <w:t xml:space="preserve">matically calculated </w:t>
      </w:r>
      <w:r w:rsidRPr="00EE3B6B" w:rsidR="006D002B">
        <w:rPr>
          <w:rFonts w:ascii="Times New Roman" w:hAnsi="Times New Roman" w:cs="Times New Roman"/>
        </w:rPr>
        <w:t xml:space="preserve">from Worksheet 2 and should reflect </w:t>
      </w:r>
      <w:r w:rsidRPr="00EE3B6B" w:rsidR="00870866">
        <w:rPr>
          <w:rFonts w:ascii="Times New Roman" w:hAnsi="Times New Roman" w:cs="Times New Roman"/>
        </w:rPr>
        <w:t xml:space="preserve">the total number of member months from the </w:t>
      </w:r>
      <w:r w:rsidRPr="00EE3B6B">
        <w:rPr>
          <w:rFonts w:ascii="Times New Roman" w:hAnsi="Times New Roman" w:cs="Times New Roman"/>
        </w:rPr>
        <w:t>Experience Period</w:t>
      </w:r>
      <w:r w:rsidRPr="00EE3B6B">
        <w:rPr>
          <w:rFonts w:ascii="Times New Roman" w:hAnsi="Times New Roman" w:cs="Times New Roman"/>
        </w:rPr>
        <w:t>.</w:t>
      </w:r>
    </w:p>
    <w:p w:rsidR="006F0E24" w:rsidRPr="00EE3B6B" w:rsidP="00FA6F2C" w14:paraId="0ECE6C2D" w14:textId="77777777">
      <w:pPr>
        <w:pStyle w:val="Heading3"/>
      </w:pPr>
      <w:bookmarkStart w:id="31" w:name="_Toc531192336"/>
      <w:bookmarkStart w:id="32" w:name="_Toc531192969"/>
      <w:bookmarkStart w:id="33" w:name="_Toc174003426"/>
      <w:bookmarkEnd w:id="31"/>
      <w:bookmarkEnd w:id="32"/>
      <w:r w:rsidRPr="00EE3B6B">
        <w:t xml:space="preserve">Section II: </w:t>
      </w:r>
      <w:r w:rsidRPr="00EE3B6B" w:rsidR="00E369BC">
        <w:t>Projections</w:t>
      </w:r>
      <w:bookmarkEnd w:id="33"/>
    </w:p>
    <w:p w:rsidR="001C210F" w:rsidRPr="00EE3B6B" w:rsidP="006D1FD2" w14:paraId="2018A68F" w14:textId="77777777">
      <w:pPr>
        <w:keepLines/>
        <w:spacing w:after="120" w:line="276" w:lineRule="auto"/>
        <w:rPr>
          <w:rFonts w:ascii="Times New Roman" w:hAnsi="Times New Roman" w:cs="Times New Roman"/>
          <w:b/>
          <w:i/>
          <w:color w:val="2E74B5" w:themeColor="accent1" w:themeShade="BF"/>
        </w:rPr>
      </w:pPr>
      <w:r w:rsidRPr="00EE3B6B">
        <w:rPr>
          <w:rFonts w:ascii="Times New Roman" w:hAnsi="Times New Roman" w:cs="Times New Roman"/>
        </w:rPr>
        <w:t>The</w:t>
      </w:r>
      <w:r w:rsidRPr="00EE3B6B">
        <w:rPr>
          <w:rFonts w:ascii="Times New Roman" w:hAnsi="Times New Roman" w:cs="Times New Roman"/>
          <w:b/>
          <w:i/>
          <w:color w:val="2E74B5" w:themeColor="accent1" w:themeShade="BF"/>
        </w:rPr>
        <w:t xml:space="preserve"> </w:t>
      </w:r>
      <w:r w:rsidRPr="00EE3B6B">
        <w:rPr>
          <w:rFonts w:ascii="Times New Roman" w:hAnsi="Times New Roman" w:cs="Times New Roman"/>
        </w:rPr>
        <w:t xml:space="preserve">section begins with the </w:t>
      </w:r>
      <w:r w:rsidRPr="00EE3B6B" w:rsidR="00C66220">
        <w:rPr>
          <w:rFonts w:ascii="Times New Roman" w:hAnsi="Times New Roman" w:cs="Times New Roman"/>
        </w:rPr>
        <w:t>Index Rate</w:t>
      </w:r>
      <w:r w:rsidRPr="00EE3B6B">
        <w:rPr>
          <w:rFonts w:ascii="Times New Roman" w:hAnsi="Times New Roman" w:cs="Times New Roman"/>
        </w:rPr>
        <w:t xml:space="preserve"> of the </w:t>
      </w:r>
      <w:r w:rsidRPr="00EE3B6B" w:rsidR="00C66220">
        <w:rPr>
          <w:rFonts w:ascii="Times New Roman" w:hAnsi="Times New Roman" w:cs="Times New Roman"/>
        </w:rPr>
        <w:t>Experience Period</w:t>
      </w:r>
      <w:r w:rsidRPr="00EE3B6B">
        <w:rPr>
          <w:rFonts w:ascii="Times New Roman" w:hAnsi="Times New Roman" w:cs="Times New Roman"/>
        </w:rPr>
        <w:t>, broken out by benefit category, and applies trend</w:t>
      </w:r>
      <w:r w:rsidRPr="00EE3B6B" w:rsidR="007F56C7">
        <w:rPr>
          <w:rFonts w:ascii="Times New Roman" w:hAnsi="Times New Roman" w:cs="Times New Roman"/>
        </w:rPr>
        <w:t xml:space="preserve"> and other adjustments to arrive at the </w:t>
      </w:r>
      <w:r w:rsidRPr="00EE3B6B" w:rsidR="00D92746">
        <w:rPr>
          <w:rFonts w:ascii="Times New Roman" w:hAnsi="Times New Roman" w:cs="Times New Roman"/>
        </w:rPr>
        <w:t>MAIR</w:t>
      </w:r>
      <w:r w:rsidRPr="00EE3B6B" w:rsidR="007F56C7">
        <w:rPr>
          <w:rFonts w:ascii="Times New Roman" w:hAnsi="Times New Roman" w:cs="Times New Roman"/>
        </w:rPr>
        <w:t>. The information entered here should represent the actuary’s best estimate.</w:t>
      </w:r>
    </w:p>
    <w:p w:rsidR="006F5DEE" w:rsidRPr="00FA6F2C" w:rsidP="00FA6F2C" w14:paraId="6CBA75DE" w14:textId="77777777">
      <w:pPr>
        <w:pStyle w:val="Heading4"/>
      </w:pPr>
      <w:r w:rsidRPr="00FA6F2C">
        <w:t xml:space="preserve">2.1.3.1 </w:t>
      </w:r>
      <w:r w:rsidRPr="00FA6F2C">
        <w:t>Benefit Category</w:t>
      </w:r>
      <w:r w:rsidRPr="00FA6F2C" w:rsidR="00870866">
        <w:t xml:space="preserve"> and Manual Rate</w:t>
      </w:r>
    </w:p>
    <w:p w:rsidR="006F5DEE" w:rsidRPr="00EE3B6B" w:rsidP="006D1FD2" w14:paraId="4848AF26" w14:textId="77777777">
      <w:pPr>
        <w:keepLines/>
        <w:spacing w:after="120" w:line="276" w:lineRule="auto"/>
        <w:rPr>
          <w:rFonts w:ascii="Times New Roman" w:hAnsi="Times New Roman" w:cs="Times New Roman"/>
        </w:rPr>
      </w:pPr>
      <w:r w:rsidRPr="00EE3B6B">
        <w:rPr>
          <w:rFonts w:ascii="Times New Roman" w:hAnsi="Times New Roman" w:cs="Times New Roman"/>
        </w:rPr>
        <w:t>Several fields listed below require issuers to enter data by Benefit Category. The preferred definitions for each Benefit Category follow:</w:t>
      </w:r>
    </w:p>
    <w:p w:rsidR="00001589" w:rsidRPr="00EE3B6B" w:rsidP="00423979" w14:paraId="2774150E" w14:textId="77777777">
      <w:pPr>
        <w:pStyle w:val="ListParagraph"/>
        <w:keepLines/>
        <w:numPr>
          <w:ilvl w:val="0"/>
          <w:numId w:val="8"/>
        </w:numPr>
        <w:spacing w:after="120" w:line="276" w:lineRule="auto"/>
        <w:ind w:left="720"/>
        <w:rPr>
          <w:rFonts w:ascii="Times New Roman" w:hAnsi="Times New Roman" w:cs="Times New Roman"/>
        </w:rPr>
      </w:pPr>
      <w:r w:rsidRPr="00EE3B6B">
        <w:rPr>
          <w:rFonts w:ascii="Times New Roman" w:hAnsi="Times New Roman" w:cs="Times New Roman"/>
          <w:b/>
          <w:i/>
        </w:rPr>
        <w:t xml:space="preserve">Inpatient Hospital:  </w:t>
      </w:r>
      <w:r w:rsidRPr="00EE3B6B">
        <w:rPr>
          <w:rFonts w:ascii="Times New Roman" w:hAnsi="Times New Roman" w:cs="Times New Roman"/>
        </w:rPr>
        <w:t>Includes non-capitated facility services for medical, surgical, maternity, mental health and substance abuse disorder, skilled nursing, and other services provided in an inpatient facility setting and billed by the facility.</w:t>
      </w:r>
    </w:p>
    <w:p w:rsidR="00B103B9" w:rsidRPr="00EE3B6B" w:rsidP="00423979" w14:paraId="2B58822B" w14:textId="77777777">
      <w:pPr>
        <w:pStyle w:val="ListParagraph"/>
        <w:keepLines/>
        <w:numPr>
          <w:ilvl w:val="0"/>
          <w:numId w:val="8"/>
        </w:numPr>
        <w:spacing w:after="120" w:line="276" w:lineRule="auto"/>
        <w:ind w:left="720"/>
        <w:rPr>
          <w:rFonts w:ascii="Times New Roman" w:hAnsi="Times New Roman" w:cs="Times New Roman"/>
        </w:rPr>
      </w:pPr>
      <w:r w:rsidRPr="00EE3B6B">
        <w:rPr>
          <w:rFonts w:ascii="Times New Roman" w:hAnsi="Times New Roman" w:cs="Times New Roman"/>
          <w:b/>
          <w:i/>
        </w:rPr>
        <w:t>Outpatient</w:t>
      </w:r>
      <w:r w:rsidRPr="00EE3B6B" w:rsidR="00001589">
        <w:rPr>
          <w:rFonts w:ascii="Times New Roman" w:hAnsi="Times New Roman" w:cs="Times New Roman"/>
          <w:b/>
          <w:i/>
        </w:rPr>
        <w:t xml:space="preserve"> Hospital:  </w:t>
      </w:r>
      <w:r w:rsidRPr="00EE3B6B" w:rsidR="00001589">
        <w:rPr>
          <w:rFonts w:ascii="Times New Roman" w:hAnsi="Times New Roman" w:cs="Times New Roman"/>
        </w:rPr>
        <w:t>Includes non-capitated facility services for surgery, emergency services, lab, radiology, therapy, observation</w:t>
      </w:r>
      <w:r w:rsidRPr="00EE3B6B" w:rsidR="00E35D3D">
        <w:rPr>
          <w:rFonts w:ascii="Times New Roman" w:hAnsi="Times New Roman" w:cs="Times New Roman"/>
        </w:rPr>
        <w:t>,</w:t>
      </w:r>
      <w:r w:rsidRPr="00EE3B6B" w:rsidR="00001589">
        <w:rPr>
          <w:rFonts w:ascii="Times New Roman" w:hAnsi="Times New Roman" w:cs="Times New Roman"/>
        </w:rPr>
        <w:t xml:space="preserve"> and other services provided in an outpatient facility setting and billed by the facility.</w:t>
      </w:r>
    </w:p>
    <w:p w:rsidR="00001589" w:rsidRPr="00EE3B6B" w:rsidP="00423979" w14:paraId="7D867B6B" w14:textId="77777777">
      <w:pPr>
        <w:pStyle w:val="ListParagraph"/>
        <w:keepLines/>
        <w:numPr>
          <w:ilvl w:val="0"/>
          <w:numId w:val="8"/>
        </w:numPr>
        <w:spacing w:after="120" w:line="276" w:lineRule="auto"/>
        <w:ind w:left="720"/>
        <w:rPr>
          <w:rFonts w:ascii="Times New Roman" w:hAnsi="Times New Roman" w:cs="Times New Roman"/>
        </w:rPr>
      </w:pPr>
      <w:r w:rsidRPr="00EE3B6B">
        <w:rPr>
          <w:rFonts w:ascii="Times New Roman" w:hAnsi="Times New Roman" w:cs="Times New Roman"/>
          <w:b/>
          <w:i/>
        </w:rPr>
        <w:t xml:space="preserve">Professional:  </w:t>
      </w:r>
      <w:r w:rsidRPr="00EE3B6B">
        <w:rPr>
          <w:rFonts w:ascii="Times New Roman" w:hAnsi="Times New Roman" w:cs="Times New Roman"/>
        </w:rPr>
        <w:t xml:space="preserve">Includes non-capitated primary care, specialist, therapy, the professional component of laboratory and radiology, and other professional services, other than </w:t>
      </w:r>
      <w:r w:rsidRPr="00EE3B6B">
        <w:rPr>
          <w:rFonts w:ascii="Times New Roman" w:hAnsi="Times New Roman" w:cs="Times New Roman"/>
        </w:rPr>
        <w:t>hospital based</w:t>
      </w:r>
      <w:r w:rsidRPr="00EE3B6B">
        <w:rPr>
          <w:rFonts w:ascii="Times New Roman" w:hAnsi="Times New Roman" w:cs="Times New Roman"/>
        </w:rPr>
        <w:t xml:space="preserve"> professionals whose payments are included in facility fees.</w:t>
      </w:r>
    </w:p>
    <w:p w:rsidR="00001589" w:rsidRPr="00EE3B6B" w:rsidP="00423979" w14:paraId="2B39A2DF" w14:textId="77777777">
      <w:pPr>
        <w:pStyle w:val="ListParagraph"/>
        <w:keepLines/>
        <w:numPr>
          <w:ilvl w:val="0"/>
          <w:numId w:val="8"/>
        </w:numPr>
        <w:spacing w:after="120" w:line="276" w:lineRule="auto"/>
        <w:ind w:left="720"/>
        <w:rPr>
          <w:rFonts w:ascii="Times New Roman" w:hAnsi="Times New Roman" w:cs="Times New Roman"/>
        </w:rPr>
      </w:pPr>
      <w:r w:rsidRPr="00EE3B6B">
        <w:rPr>
          <w:rFonts w:ascii="Times New Roman" w:hAnsi="Times New Roman" w:cs="Times New Roman"/>
          <w:b/>
          <w:i/>
        </w:rPr>
        <w:t xml:space="preserve">Other Medical:  </w:t>
      </w:r>
      <w:r w:rsidRPr="00EE3B6B">
        <w:rPr>
          <w:rFonts w:ascii="Times New Roman" w:hAnsi="Times New Roman" w:cs="Times New Roman"/>
        </w:rPr>
        <w:t>Includes non-capitated ambulance, home health care, DME, prosthetics, supplies, vision exams, dental services, and other services.</w:t>
      </w:r>
    </w:p>
    <w:p w:rsidR="00001589" w:rsidRPr="00EE3B6B" w:rsidP="00423979" w14:paraId="5D2A072C" w14:textId="77777777">
      <w:pPr>
        <w:pStyle w:val="ListParagraph"/>
        <w:keepLines/>
        <w:numPr>
          <w:ilvl w:val="0"/>
          <w:numId w:val="8"/>
        </w:numPr>
        <w:spacing w:after="120" w:line="276" w:lineRule="auto"/>
        <w:ind w:left="720"/>
        <w:rPr>
          <w:rFonts w:ascii="Times New Roman" w:hAnsi="Times New Roman" w:cs="Times New Roman"/>
        </w:rPr>
      </w:pPr>
      <w:r w:rsidRPr="00EE3B6B">
        <w:rPr>
          <w:rFonts w:ascii="Times New Roman" w:hAnsi="Times New Roman" w:cs="Times New Roman"/>
          <w:b/>
          <w:i/>
        </w:rPr>
        <w:t xml:space="preserve">Capitation:  </w:t>
      </w:r>
      <w:r w:rsidRPr="00EE3B6B">
        <w:rPr>
          <w:rFonts w:ascii="Times New Roman" w:hAnsi="Times New Roman" w:cs="Times New Roman"/>
        </w:rPr>
        <w:t>Includes all services provided under one or more capitated arrangements.</w:t>
      </w:r>
    </w:p>
    <w:p w:rsidR="00EF7CD1" w:rsidRPr="00EE3B6B" w:rsidP="00423979" w14:paraId="30620BBC" w14:textId="77777777">
      <w:pPr>
        <w:pStyle w:val="ListParagraph"/>
        <w:keepLines/>
        <w:numPr>
          <w:ilvl w:val="0"/>
          <w:numId w:val="8"/>
        </w:numPr>
        <w:spacing w:after="120" w:line="276" w:lineRule="auto"/>
        <w:ind w:left="720"/>
        <w:rPr>
          <w:rFonts w:ascii="Times New Roman" w:hAnsi="Times New Roman" w:cs="Times New Roman"/>
          <w:b/>
        </w:rPr>
      </w:pPr>
      <w:r w:rsidRPr="00EE3B6B">
        <w:rPr>
          <w:rFonts w:ascii="Times New Roman" w:hAnsi="Times New Roman" w:cs="Times New Roman"/>
          <w:b/>
          <w:i/>
        </w:rPr>
        <w:t xml:space="preserve">Prescription Drug:  </w:t>
      </w:r>
      <w:r w:rsidRPr="00EE3B6B">
        <w:rPr>
          <w:rFonts w:ascii="Times New Roman" w:hAnsi="Times New Roman" w:cs="Times New Roman"/>
        </w:rPr>
        <w:t>Includes drugs dispensed by a pharmacy. This amount should be net of rebates received from drug manufacturers.</w:t>
      </w:r>
    </w:p>
    <w:p w:rsidR="00EF7CD1" w:rsidRPr="00EE3B6B" w:rsidP="006D1FD2" w14:paraId="3C690297" w14:textId="77777777">
      <w:pPr>
        <w:keepLines/>
        <w:spacing w:after="120" w:line="276" w:lineRule="auto"/>
        <w:rPr>
          <w:rFonts w:ascii="Times New Roman" w:hAnsi="Times New Roman" w:cs="Times New Roman"/>
        </w:rPr>
      </w:pPr>
      <w:r w:rsidRPr="00EE3B6B">
        <w:rPr>
          <w:rFonts w:ascii="Times New Roman" w:hAnsi="Times New Roman" w:cs="Times New Roman"/>
          <w:b/>
        </w:rPr>
        <w:t>Experience Period</w:t>
      </w:r>
      <w:r w:rsidRPr="00EE3B6B">
        <w:rPr>
          <w:rFonts w:ascii="Times New Roman" w:hAnsi="Times New Roman" w:cs="Times New Roman"/>
          <w:b/>
        </w:rPr>
        <w:t xml:space="preserve"> </w:t>
      </w:r>
      <w:r w:rsidRPr="00EE3B6B">
        <w:rPr>
          <w:rFonts w:ascii="Times New Roman" w:hAnsi="Times New Roman" w:cs="Times New Roman"/>
          <w:b/>
        </w:rPr>
        <w:t>Index Rate</w:t>
      </w:r>
      <w:r w:rsidRPr="00EE3B6B" w:rsidR="00D92746">
        <w:rPr>
          <w:rFonts w:ascii="Times New Roman" w:hAnsi="Times New Roman" w:cs="Times New Roman"/>
          <w:b/>
        </w:rPr>
        <w:t xml:space="preserve"> PMPM</w:t>
      </w:r>
      <w:r w:rsidRPr="00EE3B6B">
        <w:rPr>
          <w:rFonts w:ascii="Times New Roman" w:hAnsi="Times New Roman" w:cs="Times New Roman"/>
          <w:b/>
        </w:rPr>
        <w:t xml:space="preserve">: </w:t>
      </w:r>
      <w:r w:rsidRPr="00EE3B6B">
        <w:rPr>
          <w:rFonts w:ascii="Times New Roman" w:hAnsi="Times New Roman" w:cs="Times New Roman"/>
        </w:rPr>
        <w:t xml:space="preserve">The </w:t>
      </w:r>
      <w:r w:rsidRPr="00EE3B6B">
        <w:rPr>
          <w:rFonts w:ascii="Times New Roman" w:hAnsi="Times New Roman" w:cs="Times New Roman"/>
        </w:rPr>
        <w:t>Index Rate</w:t>
      </w:r>
      <w:r w:rsidRPr="00EE3B6B">
        <w:rPr>
          <w:rFonts w:ascii="Times New Roman" w:hAnsi="Times New Roman" w:cs="Times New Roman"/>
        </w:rPr>
        <w:t xml:space="preserve"> from the </w:t>
      </w:r>
      <w:r w:rsidRPr="00EE3B6B">
        <w:rPr>
          <w:rFonts w:ascii="Times New Roman" w:hAnsi="Times New Roman" w:cs="Times New Roman"/>
        </w:rPr>
        <w:t>Experience Period</w:t>
      </w:r>
      <w:r w:rsidRPr="00EE3B6B">
        <w:rPr>
          <w:rFonts w:ascii="Times New Roman" w:hAnsi="Times New Roman" w:cs="Times New Roman"/>
        </w:rPr>
        <w:t xml:space="preserve"> should be broken out by the benefit categories listed above.</w:t>
      </w:r>
    </w:p>
    <w:p w:rsidR="00EF7CD1" w:rsidRPr="00EE3B6B" w:rsidP="00423979" w14:paraId="239525C9" w14:textId="77777777">
      <w:pPr>
        <w:keepLines/>
        <w:spacing w:after="120" w:line="276" w:lineRule="auto"/>
        <w:ind w:left="360"/>
        <w:rPr>
          <w:rFonts w:ascii="Times New Roman" w:hAnsi="Times New Roman" w:cs="Times New Roman"/>
        </w:rPr>
      </w:pPr>
      <w:r w:rsidRPr="00EE3B6B">
        <w:rPr>
          <w:rFonts w:ascii="Times New Roman" w:hAnsi="Times New Roman" w:cs="Times New Roman"/>
        </w:rPr>
        <w:t xml:space="preserve">The </w:t>
      </w:r>
      <w:r w:rsidRPr="00EE3B6B" w:rsidR="00C66220">
        <w:rPr>
          <w:rFonts w:ascii="Times New Roman" w:hAnsi="Times New Roman" w:cs="Times New Roman"/>
        </w:rPr>
        <w:t>Index Rate</w:t>
      </w:r>
      <w:r w:rsidRPr="00EE3B6B">
        <w:rPr>
          <w:rFonts w:ascii="Times New Roman" w:hAnsi="Times New Roman" w:cs="Times New Roman"/>
        </w:rPr>
        <w:t xml:space="preserve"> is the average allowed claims </w:t>
      </w:r>
      <w:r w:rsidRPr="00EE3B6B" w:rsidR="00BB21D5">
        <w:rPr>
          <w:rFonts w:ascii="Times New Roman" w:hAnsi="Times New Roman" w:cs="Times New Roman"/>
        </w:rPr>
        <w:t>PMPM</w:t>
      </w:r>
      <w:r w:rsidRPr="00EE3B6B">
        <w:rPr>
          <w:rFonts w:ascii="Times New Roman" w:hAnsi="Times New Roman" w:cs="Times New Roman"/>
        </w:rPr>
        <w:t xml:space="preserve"> for providing EHBs within the single risk pool of the </w:t>
      </w:r>
      <w:r w:rsidRPr="00EE3B6B" w:rsidR="00A52393">
        <w:rPr>
          <w:rFonts w:ascii="Times New Roman" w:hAnsi="Times New Roman" w:cs="Times New Roman"/>
        </w:rPr>
        <w:t>s</w:t>
      </w:r>
      <w:r w:rsidRPr="00EE3B6B">
        <w:rPr>
          <w:rFonts w:ascii="Times New Roman" w:hAnsi="Times New Roman" w:cs="Times New Roman"/>
        </w:rPr>
        <w:t xml:space="preserve">tate market. It is the legal entity-specific rate for the market that is being submitted (i.e., the issuer’s individual, small group, or combined market).  It is the </w:t>
      </w:r>
      <w:r w:rsidRPr="00EE3B6B" w:rsidR="00C66220">
        <w:rPr>
          <w:rFonts w:ascii="Times New Roman" w:hAnsi="Times New Roman" w:cs="Times New Roman"/>
        </w:rPr>
        <w:t>Allowed Claims</w:t>
      </w:r>
      <w:r w:rsidRPr="00EE3B6B">
        <w:rPr>
          <w:rFonts w:ascii="Times New Roman" w:hAnsi="Times New Roman" w:cs="Times New Roman"/>
        </w:rPr>
        <w:t xml:space="preserve"> </w:t>
      </w:r>
      <w:r w:rsidRPr="00EE3B6B" w:rsidR="00BB21D5">
        <w:rPr>
          <w:rFonts w:ascii="Times New Roman" w:hAnsi="Times New Roman" w:cs="Times New Roman"/>
        </w:rPr>
        <w:t>PMPM</w:t>
      </w:r>
      <w:r w:rsidRPr="00EE3B6B">
        <w:rPr>
          <w:rFonts w:ascii="Times New Roman" w:hAnsi="Times New Roman" w:cs="Times New Roman"/>
        </w:rPr>
        <w:t xml:space="preserve"> for EHBs only.</w:t>
      </w:r>
      <w:r w:rsidRPr="00EE3B6B" w:rsidR="00E96FA5">
        <w:rPr>
          <w:rFonts w:ascii="Times New Roman" w:hAnsi="Times New Roman" w:cs="Times New Roman"/>
        </w:rPr>
        <w:t xml:space="preserve">  </w:t>
      </w:r>
    </w:p>
    <w:p w:rsidR="004A7248" w:rsidRPr="00EE3B6B" w:rsidP="006D1FD2" w14:paraId="2BD75C13" w14:textId="77777777">
      <w:pPr>
        <w:keepLines/>
        <w:spacing w:after="120" w:line="276" w:lineRule="auto"/>
        <w:rPr>
          <w:rFonts w:ascii="Times New Roman" w:hAnsi="Times New Roman" w:cs="Times New Roman"/>
        </w:rPr>
      </w:pPr>
      <w:r w:rsidRPr="00EE3B6B">
        <w:rPr>
          <w:rFonts w:ascii="Times New Roman" w:hAnsi="Times New Roman" w:cs="Times New Roman"/>
          <w:b/>
        </w:rPr>
        <w:t xml:space="preserve">Year 1 and Year 2 Trend: </w:t>
      </w:r>
      <w:r w:rsidRPr="00EE3B6B">
        <w:rPr>
          <w:rFonts w:ascii="Times New Roman" w:hAnsi="Times New Roman" w:cs="Times New Roman"/>
        </w:rPr>
        <w:t xml:space="preserve">The </w:t>
      </w:r>
      <w:r w:rsidRPr="00EE3B6B" w:rsidR="00C66220">
        <w:rPr>
          <w:rFonts w:ascii="Times New Roman" w:hAnsi="Times New Roman" w:cs="Times New Roman"/>
        </w:rPr>
        <w:t>Experience Period</w:t>
      </w:r>
      <w:r w:rsidRPr="00EE3B6B">
        <w:rPr>
          <w:rFonts w:ascii="Times New Roman" w:hAnsi="Times New Roman" w:cs="Times New Roman"/>
        </w:rPr>
        <w:t xml:space="preserve"> </w:t>
      </w:r>
      <w:r w:rsidRPr="00EE3B6B" w:rsidR="00C66220">
        <w:rPr>
          <w:rFonts w:ascii="Times New Roman" w:hAnsi="Times New Roman" w:cs="Times New Roman"/>
        </w:rPr>
        <w:t>Index Rate</w:t>
      </w:r>
      <w:r w:rsidRPr="00EE3B6B">
        <w:rPr>
          <w:rFonts w:ascii="Times New Roman" w:hAnsi="Times New Roman" w:cs="Times New Roman"/>
        </w:rPr>
        <w:t xml:space="preserve"> should be trended forward to the </w:t>
      </w:r>
      <w:r w:rsidRPr="00EE3B6B" w:rsidR="00C66220">
        <w:rPr>
          <w:rFonts w:ascii="Times New Roman" w:hAnsi="Times New Roman" w:cs="Times New Roman"/>
        </w:rPr>
        <w:t>Projection Period</w:t>
      </w:r>
      <w:r w:rsidRPr="00EE3B6B">
        <w:rPr>
          <w:rFonts w:ascii="Times New Roman" w:hAnsi="Times New Roman" w:cs="Times New Roman"/>
        </w:rPr>
        <w:t xml:space="preserve"> by benefit category. </w:t>
      </w:r>
      <w:r w:rsidRPr="00EE3B6B" w:rsidR="00D134E1">
        <w:rPr>
          <w:rFonts w:ascii="Times New Roman" w:hAnsi="Times New Roman" w:cs="Times New Roman"/>
        </w:rPr>
        <w:t xml:space="preserve"> The trend should be broken out between cost and utilization.</w:t>
      </w:r>
    </w:p>
    <w:p w:rsidR="00D134E1" w:rsidRPr="00EE3B6B" w:rsidP="00423979" w14:paraId="2D9087AA" w14:textId="2A0AC539">
      <w:pPr>
        <w:keepLines/>
        <w:spacing w:after="120" w:line="276" w:lineRule="auto"/>
        <w:ind w:left="360"/>
        <w:rPr>
          <w:rFonts w:ascii="Times New Roman" w:hAnsi="Times New Roman" w:cs="Times New Roman"/>
        </w:rPr>
      </w:pPr>
      <w:r w:rsidRPr="00EE3B6B">
        <w:rPr>
          <w:rFonts w:ascii="Times New Roman" w:hAnsi="Times New Roman" w:cs="Times New Roman"/>
        </w:rPr>
        <w:t xml:space="preserve">The </w:t>
      </w:r>
      <w:r w:rsidRPr="00EE3B6B" w:rsidR="00C66220">
        <w:rPr>
          <w:rFonts w:ascii="Times New Roman" w:hAnsi="Times New Roman" w:cs="Times New Roman"/>
        </w:rPr>
        <w:t>Experience Period</w:t>
      </w:r>
      <w:r w:rsidRPr="00EE3B6B">
        <w:rPr>
          <w:rFonts w:ascii="Times New Roman" w:hAnsi="Times New Roman" w:cs="Times New Roman"/>
        </w:rPr>
        <w:t xml:space="preserve"> </w:t>
      </w:r>
      <w:r w:rsidRPr="00EE3B6B" w:rsidR="00C66220">
        <w:rPr>
          <w:rFonts w:ascii="Times New Roman" w:hAnsi="Times New Roman" w:cs="Times New Roman"/>
        </w:rPr>
        <w:t>Index Rate</w:t>
      </w:r>
      <w:r w:rsidRPr="00EE3B6B">
        <w:rPr>
          <w:rFonts w:ascii="Times New Roman" w:hAnsi="Times New Roman" w:cs="Times New Roman"/>
        </w:rPr>
        <w:t xml:space="preserve"> is multiplied by the cost and utilization trend factors for years 1 and 2</w:t>
      </w:r>
      <w:r w:rsidRPr="00EE3B6B" w:rsidR="00627BDE">
        <w:rPr>
          <w:rFonts w:ascii="Times New Roman" w:hAnsi="Times New Roman" w:cs="Times New Roman"/>
        </w:rPr>
        <w:t>. Trend should be entered as one plus the trend amount (e.g., a 3.5% cost trend for Year 1 should be entered as 1.035).</w:t>
      </w:r>
      <w:r w:rsidR="00423979">
        <w:rPr>
          <w:rFonts w:ascii="Times New Roman" w:hAnsi="Times New Roman" w:cs="Times New Roman"/>
        </w:rPr>
        <w:t xml:space="preserve"> </w:t>
      </w:r>
      <w:r w:rsidRPr="00EE3B6B" w:rsidR="007F7592">
        <w:rPr>
          <w:rFonts w:ascii="Times New Roman" w:hAnsi="Times New Roman" w:cs="Times New Roman"/>
        </w:rPr>
        <w:t xml:space="preserve">For quarterly small group filings, the terms “Year 1” and “Year 2” are used loosely. Depending upon the </w:t>
      </w:r>
      <w:r w:rsidRPr="00EE3B6B" w:rsidR="00C66220">
        <w:rPr>
          <w:rFonts w:ascii="Times New Roman" w:hAnsi="Times New Roman" w:cs="Times New Roman"/>
        </w:rPr>
        <w:t>Experience Period</w:t>
      </w:r>
      <w:r w:rsidRPr="00EE3B6B" w:rsidR="007F7592">
        <w:rPr>
          <w:rFonts w:ascii="Times New Roman" w:hAnsi="Times New Roman" w:cs="Times New Roman"/>
        </w:rPr>
        <w:t xml:space="preserve"> and </w:t>
      </w:r>
      <w:r w:rsidRPr="00EE3B6B" w:rsidR="00C66220">
        <w:rPr>
          <w:rFonts w:ascii="Times New Roman" w:hAnsi="Times New Roman" w:cs="Times New Roman"/>
        </w:rPr>
        <w:t>Projection Period</w:t>
      </w:r>
      <w:r w:rsidRPr="00EE3B6B" w:rsidR="007F7592">
        <w:rPr>
          <w:rFonts w:ascii="Times New Roman" w:hAnsi="Times New Roman" w:cs="Times New Roman"/>
        </w:rPr>
        <w:t xml:space="preserve"> used, Years 1 and 2 might not cover a </w:t>
      </w:r>
      <w:r w:rsidRPr="00EE3B6B" w:rsidR="007F7592">
        <w:rPr>
          <w:rFonts w:ascii="Times New Roman" w:hAnsi="Times New Roman" w:cs="Times New Roman"/>
        </w:rPr>
        <w:t>12 month</w:t>
      </w:r>
      <w:r w:rsidRPr="00EE3B6B" w:rsidR="007F7592">
        <w:rPr>
          <w:rFonts w:ascii="Times New Roman" w:hAnsi="Times New Roman" w:cs="Times New Roman"/>
        </w:rPr>
        <w:t xml:space="preserve"> period. The trend rates entered should be the applicable trend that takes the </w:t>
      </w:r>
      <w:r w:rsidRPr="00EE3B6B" w:rsidR="00C66220">
        <w:rPr>
          <w:rFonts w:ascii="Times New Roman" w:hAnsi="Times New Roman" w:cs="Times New Roman"/>
        </w:rPr>
        <w:t>Experience Period</w:t>
      </w:r>
      <w:r w:rsidRPr="00EE3B6B" w:rsidR="007F7592">
        <w:rPr>
          <w:rFonts w:ascii="Times New Roman" w:hAnsi="Times New Roman" w:cs="Times New Roman"/>
        </w:rPr>
        <w:t xml:space="preserve"> </w:t>
      </w:r>
      <w:r w:rsidRPr="00EE3B6B" w:rsidR="00C66220">
        <w:rPr>
          <w:rFonts w:ascii="Times New Roman" w:hAnsi="Times New Roman" w:cs="Times New Roman"/>
        </w:rPr>
        <w:t>Index Rate</w:t>
      </w:r>
      <w:r w:rsidRPr="00EE3B6B" w:rsidR="007F7592">
        <w:rPr>
          <w:rFonts w:ascii="Times New Roman" w:hAnsi="Times New Roman" w:cs="Times New Roman"/>
        </w:rPr>
        <w:t xml:space="preserve"> to the </w:t>
      </w:r>
      <w:r w:rsidRPr="00EE3B6B" w:rsidR="00D92746">
        <w:rPr>
          <w:rFonts w:ascii="Times New Roman" w:hAnsi="Times New Roman" w:cs="Times New Roman"/>
        </w:rPr>
        <w:t xml:space="preserve">MAIR </w:t>
      </w:r>
      <w:r w:rsidRPr="00EE3B6B" w:rsidR="007F7592">
        <w:rPr>
          <w:rFonts w:ascii="Times New Roman" w:hAnsi="Times New Roman" w:cs="Times New Roman"/>
        </w:rPr>
        <w:t xml:space="preserve">for the effective date of the filing. For example, if an issuer were to file a third quarter rate increase, the trends entered should lead to a projected </w:t>
      </w:r>
      <w:r w:rsidRPr="00EE3B6B" w:rsidR="00C66220">
        <w:rPr>
          <w:rFonts w:ascii="Times New Roman" w:hAnsi="Times New Roman" w:cs="Times New Roman"/>
        </w:rPr>
        <w:t>Index Rate</w:t>
      </w:r>
      <w:r w:rsidRPr="00EE3B6B" w:rsidR="007F7592">
        <w:rPr>
          <w:rFonts w:ascii="Times New Roman" w:hAnsi="Times New Roman" w:cs="Times New Roman"/>
        </w:rPr>
        <w:t xml:space="preserve"> and </w:t>
      </w:r>
      <w:r w:rsidRPr="00EE3B6B" w:rsidR="00D92746">
        <w:rPr>
          <w:rFonts w:ascii="Times New Roman" w:hAnsi="Times New Roman" w:cs="Times New Roman"/>
        </w:rPr>
        <w:t>MAIR</w:t>
      </w:r>
      <w:r w:rsidRPr="00EE3B6B" w:rsidR="007F7592">
        <w:rPr>
          <w:rFonts w:ascii="Times New Roman" w:hAnsi="Times New Roman" w:cs="Times New Roman"/>
        </w:rPr>
        <w:t xml:space="preserve"> for July 1. Once the permitted plan-level adjustments and calibrations are applied, the Calibrated Plan Adjustment </w:t>
      </w:r>
      <w:r w:rsidRPr="00EE3B6B" w:rsidR="00C66220">
        <w:rPr>
          <w:rFonts w:ascii="Times New Roman" w:hAnsi="Times New Roman" w:cs="Times New Roman"/>
        </w:rPr>
        <w:t>Index Rate</w:t>
      </w:r>
      <w:r w:rsidRPr="00EE3B6B" w:rsidR="007F7592">
        <w:rPr>
          <w:rFonts w:ascii="Times New Roman" w:hAnsi="Times New Roman" w:cs="Times New Roman"/>
        </w:rPr>
        <w:t xml:space="preserve"> should be the effective base rate for July 1. Applying the appropriate age, rating area, and tobacco use factors should generate consumer premium rates effective July 1.</w:t>
      </w:r>
      <w:r w:rsidRPr="00EE3B6B" w:rsidR="008B0A69">
        <w:rPr>
          <w:rFonts w:ascii="Times New Roman" w:hAnsi="Times New Roman" w:cs="Times New Roman"/>
        </w:rPr>
        <w:t xml:space="preserve"> The trend calculation should be explained in the actuarial memorandum.</w:t>
      </w:r>
    </w:p>
    <w:p w:rsidR="00C60838" w:rsidRPr="00EE3B6B" w:rsidP="006D1FD2" w14:paraId="1CB15349" w14:textId="77777777">
      <w:pPr>
        <w:keepLines/>
        <w:spacing w:after="120" w:line="276" w:lineRule="auto"/>
        <w:rPr>
          <w:rFonts w:ascii="Times New Roman" w:hAnsi="Times New Roman" w:cs="Times New Roman"/>
        </w:rPr>
      </w:pPr>
      <w:r w:rsidRPr="00EE3B6B">
        <w:rPr>
          <w:rFonts w:ascii="Times New Roman" w:hAnsi="Times New Roman" w:cs="Times New Roman"/>
          <w:b/>
        </w:rPr>
        <w:t xml:space="preserve">Trended EHB Allowed Claims </w:t>
      </w:r>
      <w:r w:rsidRPr="00EE3B6B" w:rsidR="00BB21D5">
        <w:rPr>
          <w:rFonts w:ascii="Times New Roman" w:hAnsi="Times New Roman" w:cs="Times New Roman"/>
          <w:b/>
        </w:rPr>
        <w:t>PMPM</w:t>
      </w:r>
      <w:r w:rsidRPr="00EE3B6B">
        <w:rPr>
          <w:rFonts w:ascii="Times New Roman" w:hAnsi="Times New Roman" w:cs="Times New Roman"/>
          <w:b/>
        </w:rPr>
        <w:t>:</w:t>
      </w:r>
      <w:r w:rsidRPr="00EE3B6B">
        <w:rPr>
          <w:rFonts w:ascii="Times New Roman" w:hAnsi="Times New Roman" w:cs="Times New Roman"/>
          <w:b/>
        </w:rPr>
        <w:t xml:space="preserve"> </w:t>
      </w:r>
      <w:r w:rsidRPr="00EE3B6B">
        <w:rPr>
          <w:rFonts w:ascii="Times New Roman" w:hAnsi="Times New Roman" w:cs="Times New Roman"/>
        </w:rPr>
        <w:t xml:space="preserve">This is </w:t>
      </w:r>
      <w:r w:rsidRPr="00EE3B6B" w:rsidR="00E96FA5">
        <w:rPr>
          <w:rFonts w:ascii="Times New Roman" w:hAnsi="Times New Roman" w:cs="Times New Roman"/>
        </w:rPr>
        <w:t xml:space="preserve">automatically </w:t>
      </w:r>
      <w:r w:rsidRPr="00EE3B6B">
        <w:rPr>
          <w:rFonts w:ascii="Times New Roman" w:hAnsi="Times New Roman" w:cs="Times New Roman"/>
        </w:rPr>
        <w:t xml:space="preserve">calculated in the spreadsheet by applying Years 1 and 2 cost and utilization trends to the </w:t>
      </w:r>
      <w:r w:rsidRPr="00EE3B6B" w:rsidR="00C66220">
        <w:rPr>
          <w:rFonts w:ascii="Times New Roman" w:hAnsi="Times New Roman" w:cs="Times New Roman"/>
        </w:rPr>
        <w:t>Experience Period</w:t>
      </w:r>
      <w:r w:rsidRPr="00EE3B6B">
        <w:rPr>
          <w:rFonts w:ascii="Times New Roman" w:hAnsi="Times New Roman" w:cs="Times New Roman"/>
        </w:rPr>
        <w:t xml:space="preserve"> </w:t>
      </w:r>
      <w:r w:rsidRPr="00EE3B6B" w:rsidR="00C66220">
        <w:rPr>
          <w:rFonts w:ascii="Times New Roman" w:hAnsi="Times New Roman" w:cs="Times New Roman"/>
        </w:rPr>
        <w:t>Index Rate</w:t>
      </w:r>
      <w:r w:rsidRPr="00EE3B6B" w:rsidR="00F44172">
        <w:rPr>
          <w:rFonts w:ascii="Times New Roman" w:hAnsi="Times New Roman" w:cs="Times New Roman"/>
        </w:rPr>
        <w:t xml:space="preserve"> PMPM</w:t>
      </w:r>
      <w:r w:rsidRPr="00EE3B6B">
        <w:rPr>
          <w:rFonts w:ascii="Times New Roman" w:hAnsi="Times New Roman" w:cs="Times New Roman"/>
        </w:rPr>
        <w:t>.</w:t>
      </w:r>
    </w:p>
    <w:p w:rsidR="0064680C" w:rsidRPr="00EE3B6B" w:rsidP="00FA6F2C" w14:paraId="59D4D8C8" w14:textId="77777777">
      <w:pPr>
        <w:pStyle w:val="Heading4"/>
      </w:pPr>
      <w:r w:rsidRPr="00EE3B6B">
        <w:t xml:space="preserve">2.1.3.2 Adjustments to EHB Allowed Claims </w:t>
      </w:r>
      <w:r w:rsidRPr="00EE3B6B" w:rsidR="00BB21D5">
        <w:t>PMPM</w:t>
      </w:r>
    </w:p>
    <w:p w:rsidR="009F0AD1" w:rsidRPr="00EE3B6B" w:rsidP="006D1FD2" w14:paraId="558D5283" w14:textId="77777777">
      <w:pPr>
        <w:keepLines/>
        <w:spacing w:after="120" w:line="276" w:lineRule="auto"/>
        <w:rPr>
          <w:rFonts w:ascii="Times New Roman" w:hAnsi="Times New Roman" w:cs="Times New Roman"/>
        </w:rPr>
      </w:pPr>
      <w:r w:rsidRPr="00EE3B6B">
        <w:rPr>
          <w:rFonts w:ascii="Times New Roman" w:hAnsi="Times New Roman" w:cs="Times New Roman"/>
          <w:b/>
        </w:rPr>
        <w:t>Morbidity</w:t>
      </w:r>
      <w:r w:rsidRPr="00EE3B6B" w:rsidR="00C60838">
        <w:rPr>
          <w:rFonts w:ascii="Times New Roman" w:hAnsi="Times New Roman" w:cs="Times New Roman"/>
          <w:b/>
        </w:rPr>
        <w:t xml:space="preserve"> Adjustment</w:t>
      </w:r>
      <w:r w:rsidRPr="00EE3B6B">
        <w:rPr>
          <w:rFonts w:ascii="Times New Roman" w:hAnsi="Times New Roman" w:cs="Times New Roman"/>
          <w:b/>
        </w:rPr>
        <w:t xml:space="preserve">:  </w:t>
      </w:r>
      <w:r w:rsidRPr="00EE3B6B">
        <w:rPr>
          <w:rFonts w:ascii="Times New Roman" w:hAnsi="Times New Roman" w:cs="Times New Roman"/>
        </w:rPr>
        <w:t xml:space="preserve">Enter the assumed change in morbidity of the covered population from the </w:t>
      </w:r>
      <w:r w:rsidRPr="00EE3B6B" w:rsidR="00C66220">
        <w:rPr>
          <w:rFonts w:ascii="Times New Roman" w:hAnsi="Times New Roman" w:cs="Times New Roman"/>
        </w:rPr>
        <w:t>Experience Period</w:t>
      </w:r>
      <w:r w:rsidRPr="00EE3B6B">
        <w:rPr>
          <w:rFonts w:ascii="Times New Roman" w:hAnsi="Times New Roman" w:cs="Times New Roman"/>
        </w:rPr>
        <w:t xml:space="preserve"> to the </w:t>
      </w:r>
      <w:r w:rsidRPr="00EE3B6B" w:rsidR="00C66220">
        <w:rPr>
          <w:rFonts w:ascii="Times New Roman" w:hAnsi="Times New Roman" w:cs="Times New Roman"/>
        </w:rPr>
        <w:t>Projection Period</w:t>
      </w:r>
      <w:r w:rsidRPr="00EE3B6B">
        <w:rPr>
          <w:rFonts w:ascii="Times New Roman" w:hAnsi="Times New Roman" w:cs="Times New Roman"/>
        </w:rPr>
        <w:t>.</w:t>
      </w:r>
    </w:p>
    <w:p w:rsidR="009F0AD1" w:rsidRPr="00EE3B6B" w:rsidP="00423979" w14:paraId="29A34DF9" w14:textId="77777777">
      <w:pPr>
        <w:keepLines/>
        <w:spacing w:after="120" w:line="276" w:lineRule="auto"/>
        <w:ind w:left="360"/>
        <w:rPr>
          <w:rFonts w:ascii="Times New Roman" w:hAnsi="Times New Roman" w:cs="Times New Roman"/>
        </w:rPr>
      </w:pPr>
      <w:r w:rsidRPr="00EE3B6B">
        <w:rPr>
          <w:rFonts w:ascii="Times New Roman" w:hAnsi="Times New Roman" w:cs="Times New Roman"/>
        </w:rPr>
        <w:t xml:space="preserve">“Change in morbidity” means that component of the change in average allowed claims </w:t>
      </w:r>
      <w:r w:rsidRPr="00EE3B6B" w:rsidR="00BB21D5">
        <w:rPr>
          <w:rFonts w:ascii="Times New Roman" w:hAnsi="Times New Roman" w:cs="Times New Roman"/>
        </w:rPr>
        <w:t>PMPM</w:t>
      </w:r>
      <w:r w:rsidRPr="00EE3B6B">
        <w:rPr>
          <w:rFonts w:ascii="Times New Roman" w:hAnsi="Times New Roman" w:cs="Times New Roman"/>
        </w:rPr>
        <w:t xml:space="preserve"> that will occur under the circumstances where all demographic (e.g., age, gender, and region) and product mix, </w:t>
      </w:r>
      <w:r w:rsidRPr="00EE3B6B" w:rsidR="008C166E">
        <w:rPr>
          <w:rFonts w:ascii="Times New Roman" w:hAnsi="Times New Roman" w:cs="Times New Roman"/>
        </w:rPr>
        <w:t xml:space="preserve">and </w:t>
      </w:r>
      <w:r w:rsidRPr="00EE3B6B">
        <w:rPr>
          <w:rFonts w:ascii="Times New Roman" w:hAnsi="Times New Roman" w:cs="Times New Roman"/>
        </w:rPr>
        <w:t xml:space="preserve">all provider network contracts and time parameters (i.e., trends = 0) are held constant on the population that exists in the </w:t>
      </w:r>
      <w:r w:rsidRPr="00EE3B6B" w:rsidR="00C66220">
        <w:rPr>
          <w:rFonts w:ascii="Times New Roman" w:hAnsi="Times New Roman" w:cs="Times New Roman"/>
        </w:rPr>
        <w:t>Experience Period</w:t>
      </w:r>
      <w:r w:rsidRPr="00EE3B6B">
        <w:rPr>
          <w:rFonts w:ascii="Times New Roman" w:hAnsi="Times New Roman" w:cs="Times New Roman"/>
        </w:rPr>
        <w:t>.</w:t>
      </w:r>
    </w:p>
    <w:p w:rsidR="009F0AD1" w:rsidRPr="00EE3B6B" w:rsidP="00423979" w14:paraId="78F30FE3" w14:textId="77777777">
      <w:pPr>
        <w:keepLines/>
        <w:spacing w:after="120" w:line="276" w:lineRule="auto"/>
        <w:ind w:left="360"/>
        <w:rPr>
          <w:rFonts w:ascii="Times New Roman" w:hAnsi="Times New Roman" w:cs="Times New Roman"/>
        </w:rPr>
      </w:pPr>
      <w:r w:rsidRPr="00EE3B6B">
        <w:rPr>
          <w:rFonts w:ascii="Times New Roman" w:hAnsi="Times New Roman" w:cs="Times New Roman"/>
        </w:rPr>
        <w:t xml:space="preserve">The change in morbidity must be entered as 1 plus the total anticipated percent change in morbidity from the </w:t>
      </w:r>
      <w:r w:rsidRPr="00EE3B6B" w:rsidR="00C66220">
        <w:rPr>
          <w:rFonts w:ascii="Times New Roman" w:hAnsi="Times New Roman" w:cs="Times New Roman"/>
        </w:rPr>
        <w:t>Experience Period</w:t>
      </w:r>
      <w:r w:rsidRPr="00EE3B6B">
        <w:rPr>
          <w:rFonts w:ascii="Times New Roman" w:hAnsi="Times New Roman" w:cs="Times New Roman"/>
        </w:rPr>
        <w:t xml:space="preserve"> to the </w:t>
      </w:r>
      <w:r w:rsidRPr="00EE3B6B" w:rsidR="00C66220">
        <w:rPr>
          <w:rFonts w:ascii="Times New Roman" w:hAnsi="Times New Roman" w:cs="Times New Roman"/>
        </w:rPr>
        <w:t>Projection Period</w:t>
      </w:r>
      <w:r w:rsidRPr="00EE3B6B">
        <w:rPr>
          <w:rFonts w:ascii="Times New Roman" w:hAnsi="Times New Roman" w:cs="Times New Roman"/>
        </w:rPr>
        <w:t xml:space="preserve">. For example, if in a 24-month period from the </w:t>
      </w:r>
      <w:r w:rsidRPr="00EE3B6B" w:rsidR="00C66220">
        <w:rPr>
          <w:rFonts w:ascii="Times New Roman" w:hAnsi="Times New Roman" w:cs="Times New Roman"/>
        </w:rPr>
        <w:t>Experience Period</w:t>
      </w:r>
      <w:r w:rsidRPr="00EE3B6B">
        <w:rPr>
          <w:rFonts w:ascii="Times New Roman" w:hAnsi="Times New Roman" w:cs="Times New Roman"/>
        </w:rPr>
        <w:t xml:space="preserve"> to the </w:t>
      </w:r>
      <w:r w:rsidRPr="00EE3B6B" w:rsidR="00C66220">
        <w:rPr>
          <w:rFonts w:ascii="Times New Roman" w:hAnsi="Times New Roman" w:cs="Times New Roman"/>
        </w:rPr>
        <w:t>Projection Period</w:t>
      </w:r>
      <w:r w:rsidRPr="00EE3B6B">
        <w:rPr>
          <w:rFonts w:ascii="Times New Roman" w:hAnsi="Times New Roman" w:cs="Times New Roman"/>
        </w:rPr>
        <w:t xml:space="preserve"> the morbidity is expected to increase by 10%, enter 1.100. Similarly, if the morbidity is expected to decrease by 10% over the 24- month period, enter 0.900.</w:t>
      </w:r>
    </w:p>
    <w:p w:rsidR="009F0AD1" w:rsidRPr="00EE3B6B" w:rsidP="00423979" w14:paraId="1FB56DC7" w14:textId="77777777">
      <w:pPr>
        <w:keepLines/>
        <w:spacing w:after="120" w:line="276" w:lineRule="auto"/>
        <w:ind w:left="360"/>
        <w:rPr>
          <w:rFonts w:ascii="Times New Roman" w:hAnsi="Times New Roman" w:cs="Times New Roman"/>
        </w:rPr>
      </w:pPr>
      <w:r w:rsidRPr="00EE3B6B">
        <w:rPr>
          <w:rFonts w:ascii="Times New Roman" w:hAnsi="Times New Roman" w:cs="Times New Roman"/>
        </w:rPr>
        <w:t>Some of the adjustments issuers might include are:</w:t>
      </w:r>
    </w:p>
    <w:p w:rsidR="00510631" w:rsidRPr="00EE3B6B" w:rsidP="00423979" w14:paraId="0E413DF1" w14:textId="77777777">
      <w:pPr>
        <w:pStyle w:val="ListParagraph"/>
        <w:keepLines/>
        <w:numPr>
          <w:ilvl w:val="0"/>
          <w:numId w:val="10"/>
        </w:numPr>
        <w:spacing w:after="120" w:line="276" w:lineRule="auto"/>
        <w:ind w:left="1080"/>
        <w:rPr>
          <w:rFonts w:ascii="Times New Roman" w:hAnsi="Times New Roman" w:cs="Times New Roman"/>
        </w:rPr>
      </w:pPr>
      <w:r w:rsidRPr="00EE3B6B">
        <w:rPr>
          <w:rFonts w:ascii="Times New Roman" w:hAnsi="Times New Roman" w:cs="Times New Roman"/>
        </w:rPr>
        <w:t xml:space="preserve">Take-up rate of the uninsured (the percent of currently uninsured that purchase coverage during the </w:t>
      </w:r>
      <w:r w:rsidRPr="00EE3B6B" w:rsidR="00C66220">
        <w:rPr>
          <w:rFonts w:ascii="Times New Roman" w:hAnsi="Times New Roman" w:cs="Times New Roman"/>
        </w:rPr>
        <w:t>Projection Period</w:t>
      </w:r>
      <w:r w:rsidRPr="00EE3B6B">
        <w:rPr>
          <w:rFonts w:ascii="Times New Roman" w:hAnsi="Times New Roman" w:cs="Times New Roman"/>
        </w:rPr>
        <w:t>)</w:t>
      </w:r>
    </w:p>
    <w:p w:rsidR="00510631" w:rsidRPr="00EE3B6B" w:rsidP="00423979" w14:paraId="77F20770" w14:textId="77777777">
      <w:pPr>
        <w:pStyle w:val="ListParagraph"/>
        <w:keepLines/>
        <w:numPr>
          <w:ilvl w:val="0"/>
          <w:numId w:val="10"/>
        </w:numPr>
        <w:spacing w:after="120" w:line="276" w:lineRule="auto"/>
        <w:ind w:left="1080"/>
        <w:rPr>
          <w:rFonts w:ascii="Times New Roman" w:hAnsi="Times New Roman" w:cs="Times New Roman"/>
        </w:rPr>
      </w:pPr>
      <w:r w:rsidRPr="00EE3B6B">
        <w:rPr>
          <w:rFonts w:ascii="Times New Roman" w:hAnsi="Times New Roman" w:cs="Times New Roman"/>
        </w:rPr>
        <w:t>Health status of newly insured</w:t>
      </w:r>
    </w:p>
    <w:p w:rsidR="00510631" w:rsidRPr="00EE3B6B" w:rsidP="00423979" w14:paraId="1B143911" w14:textId="77777777">
      <w:pPr>
        <w:pStyle w:val="ListParagraph"/>
        <w:keepLines/>
        <w:numPr>
          <w:ilvl w:val="0"/>
          <w:numId w:val="10"/>
        </w:numPr>
        <w:spacing w:after="120" w:line="276" w:lineRule="auto"/>
        <w:ind w:left="1080"/>
        <w:rPr>
          <w:rFonts w:ascii="Times New Roman" w:hAnsi="Times New Roman" w:cs="Times New Roman"/>
        </w:rPr>
      </w:pPr>
      <w:r w:rsidRPr="00EE3B6B">
        <w:rPr>
          <w:rFonts w:ascii="Times New Roman" w:hAnsi="Times New Roman" w:cs="Times New Roman"/>
        </w:rPr>
        <w:t>Induced demand of newly insured</w:t>
      </w:r>
    </w:p>
    <w:p w:rsidR="00510631" w:rsidRPr="00EE3B6B" w:rsidP="00423979" w14:paraId="71DE11DF" w14:textId="77777777">
      <w:pPr>
        <w:pStyle w:val="ListParagraph"/>
        <w:keepLines/>
        <w:numPr>
          <w:ilvl w:val="0"/>
          <w:numId w:val="10"/>
        </w:numPr>
        <w:spacing w:after="120" w:line="276" w:lineRule="auto"/>
        <w:ind w:left="1080"/>
        <w:rPr>
          <w:rFonts w:ascii="Times New Roman" w:hAnsi="Times New Roman" w:cs="Times New Roman"/>
        </w:rPr>
      </w:pPr>
      <w:r w:rsidRPr="00EE3B6B">
        <w:rPr>
          <w:rFonts w:ascii="Times New Roman" w:hAnsi="Times New Roman" w:cs="Times New Roman"/>
        </w:rPr>
        <w:t>Pent-up demand of newly insured</w:t>
      </w:r>
    </w:p>
    <w:p w:rsidR="00510631" w:rsidRPr="00EE3B6B" w:rsidP="00423979" w14:paraId="6F6089E6" w14:textId="77777777">
      <w:pPr>
        <w:pStyle w:val="ListParagraph"/>
        <w:keepLines/>
        <w:numPr>
          <w:ilvl w:val="0"/>
          <w:numId w:val="10"/>
        </w:numPr>
        <w:spacing w:after="120" w:line="276" w:lineRule="auto"/>
        <w:ind w:left="1080"/>
        <w:rPr>
          <w:rFonts w:ascii="Times New Roman" w:hAnsi="Times New Roman" w:cs="Times New Roman"/>
        </w:rPr>
      </w:pPr>
      <w:r w:rsidRPr="00EE3B6B">
        <w:rPr>
          <w:rFonts w:ascii="Times New Roman" w:hAnsi="Times New Roman" w:cs="Times New Roman"/>
        </w:rPr>
        <w:t>Subsidy effects</w:t>
      </w:r>
    </w:p>
    <w:p w:rsidR="00510631" w:rsidRPr="00EE3B6B" w:rsidP="00423979" w14:paraId="6597405A" w14:textId="3FA6A5EF">
      <w:pPr>
        <w:keepLines/>
        <w:spacing w:after="120" w:line="276" w:lineRule="auto"/>
        <w:ind w:left="360"/>
        <w:rPr>
          <w:rFonts w:ascii="Times New Roman" w:hAnsi="Times New Roman" w:cs="Times New Roman"/>
        </w:rPr>
      </w:pPr>
      <w:r w:rsidRPr="00EE3B6B">
        <w:rPr>
          <w:rFonts w:ascii="Times New Roman" w:hAnsi="Times New Roman" w:cs="Times New Roman"/>
        </w:rPr>
        <w:t xml:space="preserve">A description of the methodology used to develop the adjustment must be included in the </w:t>
      </w:r>
      <w:r w:rsidRPr="00EE3B6B" w:rsidR="00F27FB1">
        <w:rPr>
          <w:rFonts w:ascii="Times New Roman" w:hAnsi="Times New Roman" w:cs="Times New Roman"/>
        </w:rPr>
        <w:t>a</w:t>
      </w:r>
      <w:r w:rsidRPr="00EE3B6B">
        <w:rPr>
          <w:rFonts w:ascii="Times New Roman" w:hAnsi="Times New Roman" w:cs="Times New Roman"/>
        </w:rPr>
        <w:t xml:space="preserve">ctuarial </w:t>
      </w:r>
      <w:r w:rsidRPr="00EE3B6B" w:rsidR="00F27FB1">
        <w:rPr>
          <w:rFonts w:ascii="Times New Roman" w:hAnsi="Times New Roman" w:cs="Times New Roman"/>
        </w:rPr>
        <w:t>m</w:t>
      </w:r>
      <w:r w:rsidRPr="00EE3B6B">
        <w:rPr>
          <w:rFonts w:ascii="Times New Roman" w:hAnsi="Times New Roman" w:cs="Times New Roman"/>
        </w:rPr>
        <w:t>emorandum.</w:t>
      </w:r>
      <w:r w:rsidRPr="00EE3B6B" w:rsidR="00027399">
        <w:rPr>
          <w:rFonts w:ascii="Times New Roman" w:hAnsi="Times New Roman" w:cs="Times New Roman"/>
        </w:rPr>
        <w:t xml:space="preserve"> </w:t>
      </w:r>
    </w:p>
    <w:p w:rsidR="00C60838" w:rsidRPr="00EE3B6B" w:rsidP="006D1FD2" w14:paraId="768CAA03" w14:textId="77777777">
      <w:pPr>
        <w:keepLines/>
        <w:spacing w:after="120" w:line="276" w:lineRule="auto"/>
        <w:rPr>
          <w:rFonts w:ascii="Times New Roman" w:hAnsi="Times New Roman" w:cs="Times New Roman"/>
        </w:rPr>
      </w:pPr>
      <w:r w:rsidRPr="00EE3B6B">
        <w:rPr>
          <w:rFonts w:ascii="Times New Roman" w:hAnsi="Times New Roman" w:cs="Times New Roman"/>
          <w:b/>
        </w:rPr>
        <w:t>Demographic Shift:</w:t>
      </w:r>
      <w:r w:rsidRPr="00EE3B6B" w:rsidR="008E04EC">
        <w:rPr>
          <w:rFonts w:ascii="Times New Roman" w:hAnsi="Times New Roman" w:cs="Times New Roman"/>
          <w:b/>
        </w:rPr>
        <w:t xml:space="preserve"> </w:t>
      </w:r>
      <w:bookmarkStart w:id="34" w:name="OLE_LINK1"/>
      <w:r w:rsidRPr="00EE3B6B" w:rsidR="008E04EC">
        <w:rPr>
          <w:rFonts w:ascii="Times New Roman" w:hAnsi="Times New Roman" w:cs="Times New Roman"/>
        </w:rPr>
        <w:t xml:space="preserve">Enter the assumed change in </w:t>
      </w:r>
      <w:r w:rsidRPr="00EE3B6B" w:rsidR="009459DE">
        <w:rPr>
          <w:rFonts w:ascii="Times New Roman" w:hAnsi="Times New Roman" w:cs="Times New Roman"/>
        </w:rPr>
        <w:t xml:space="preserve">allowed claims due to </w:t>
      </w:r>
      <w:r w:rsidRPr="00EE3B6B" w:rsidR="008E04EC">
        <w:rPr>
          <w:rFonts w:ascii="Times New Roman" w:hAnsi="Times New Roman" w:cs="Times New Roman"/>
        </w:rPr>
        <w:t>de</w:t>
      </w:r>
      <w:r w:rsidRPr="00EE3B6B" w:rsidR="009459DE">
        <w:rPr>
          <w:rFonts w:ascii="Times New Roman" w:hAnsi="Times New Roman" w:cs="Times New Roman"/>
        </w:rPr>
        <w:t xml:space="preserve">mographic shifts of the covered population from the </w:t>
      </w:r>
      <w:r w:rsidRPr="00EE3B6B" w:rsidR="00C66220">
        <w:rPr>
          <w:rFonts w:ascii="Times New Roman" w:hAnsi="Times New Roman" w:cs="Times New Roman"/>
        </w:rPr>
        <w:t>Experience Period</w:t>
      </w:r>
      <w:r w:rsidRPr="00EE3B6B" w:rsidR="009459DE">
        <w:rPr>
          <w:rFonts w:ascii="Times New Roman" w:hAnsi="Times New Roman" w:cs="Times New Roman"/>
        </w:rPr>
        <w:t xml:space="preserve"> to the </w:t>
      </w:r>
      <w:r w:rsidRPr="00EE3B6B" w:rsidR="00C66220">
        <w:rPr>
          <w:rFonts w:ascii="Times New Roman" w:hAnsi="Times New Roman" w:cs="Times New Roman"/>
        </w:rPr>
        <w:t>Projection Period</w:t>
      </w:r>
      <w:r w:rsidRPr="00EE3B6B" w:rsidR="009459DE">
        <w:rPr>
          <w:rFonts w:ascii="Times New Roman" w:hAnsi="Times New Roman" w:cs="Times New Roman"/>
        </w:rPr>
        <w:t>. Demographics may include things like age, gender, and geographic area changes in the population.</w:t>
      </w:r>
    </w:p>
    <w:p w:rsidR="009459DE" w:rsidRPr="00EE3B6B" w:rsidP="00423979" w14:paraId="0D6335D2" w14:textId="77777777">
      <w:pPr>
        <w:keepLines/>
        <w:spacing w:after="120" w:line="276" w:lineRule="auto"/>
        <w:ind w:left="360"/>
        <w:rPr>
          <w:rFonts w:ascii="Times New Roman" w:hAnsi="Times New Roman" w:cs="Times New Roman"/>
        </w:rPr>
      </w:pPr>
      <w:r w:rsidRPr="00EE3B6B">
        <w:rPr>
          <w:rFonts w:ascii="Times New Roman" w:hAnsi="Times New Roman" w:cs="Times New Roman"/>
        </w:rPr>
        <w:t>Similar to</w:t>
      </w:r>
      <w:r w:rsidRPr="00EE3B6B">
        <w:rPr>
          <w:rFonts w:ascii="Times New Roman" w:hAnsi="Times New Roman" w:cs="Times New Roman"/>
        </w:rPr>
        <w:t xml:space="preserve"> the morbidity adjustment, t</w:t>
      </w:r>
      <w:r w:rsidRPr="00EE3B6B">
        <w:rPr>
          <w:rFonts w:ascii="Times New Roman" w:hAnsi="Times New Roman" w:cs="Times New Roman"/>
        </w:rPr>
        <w:t xml:space="preserve">he change in demographics should be entered as 1 plus the total anticipated percent change in </w:t>
      </w:r>
      <w:r w:rsidRPr="00EE3B6B">
        <w:rPr>
          <w:rFonts w:ascii="Times New Roman" w:hAnsi="Times New Roman" w:cs="Times New Roman"/>
        </w:rPr>
        <w:t xml:space="preserve">allowed claims related to </w:t>
      </w:r>
      <w:r w:rsidRPr="00EE3B6B">
        <w:rPr>
          <w:rFonts w:ascii="Times New Roman" w:hAnsi="Times New Roman" w:cs="Times New Roman"/>
        </w:rPr>
        <w:t>demo</w:t>
      </w:r>
      <w:r w:rsidRPr="00EE3B6B">
        <w:rPr>
          <w:rFonts w:ascii="Times New Roman" w:hAnsi="Times New Roman" w:cs="Times New Roman"/>
        </w:rPr>
        <w:t>graphic changes</w:t>
      </w:r>
      <w:r w:rsidRPr="00EE3B6B">
        <w:rPr>
          <w:rFonts w:ascii="Times New Roman" w:hAnsi="Times New Roman" w:cs="Times New Roman"/>
        </w:rPr>
        <w:t xml:space="preserve"> from the </w:t>
      </w:r>
      <w:r w:rsidRPr="00EE3B6B" w:rsidR="00C66220">
        <w:rPr>
          <w:rFonts w:ascii="Times New Roman" w:hAnsi="Times New Roman" w:cs="Times New Roman"/>
        </w:rPr>
        <w:t>Experience Period</w:t>
      </w:r>
      <w:r w:rsidRPr="00EE3B6B">
        <w:rPr>
          <w:rFonts w:ascii="Times New Roman" w:hAnsi="Times New Roman" w:cs="Times New Roman"/>
        </w:rPr>
        <w:t xml:space="preserve"> to the </w:t>
      </w:r>
      <w:r w:rsidRPr="00EE3B6B" w:rsidR="00C66220">
        <w:rPr>
          <w:rFonts w:ascii="Times New Roman" w:hAnsi="Times New Roman" w:cs="Times New Roman"/>
        </w:rPr>
        <w:t>Projection Period</w:t>
      </w:r>
      <w:r w:rsidRPr="00EE3B6B">
        <w:rPr>
          <w:rFonts w:ascii="Times New Roman" w:hAnsi="Times New Roman" w:cs="Times New Roman"/>
        </w:rPr>
        <w:t>.</w:t>
      </w:r>
    </w:p>
    <w:bookmarkEnd w:id="34"/>
    <w:p w:rsidR="00F27FB1" w:rsidRPr="00EE3B6B" w:rsidP="00423979" w14:paraId="32146F2A" w14:textId="77777777">
      <w:pPr>
        <w:keepLines/>
        <w:spacing w:after="120" w:line="276" w:lineRule="auto"/>
        <w:ind w:left="360"/>
        <w:rPr>
          <w:rFonts w:ascii="Times New Roman" w:hAnsi="Times New Roman" w:cs="Times New Roman"/>
        </w:rPr>
      </w:pPr>
      <w:r w:rsidRPr="00EE3B6B">
        <w:rPr>
          <w:rFonts w:ascii="Times New Roman" w:hAnsi="Times New Roman" w:cs="Times New Roman"/>
        </w:rPr>
        <w:t>The methodology used to develop the adjustment must be included in the actuarial memorandum.</w:t>
      </w:r>
    </w:p>
    <w:p w:rsidR="00C60838" w:rsidRPr="00EE3B6B" w:rsidP="006D1FD2" w14:paraId="54F968BC" w14:textId="77777777">
      <w:pPr>
        <w:keepLines/>
        <w:spacing w:after="120" w:line="276" w:lineRule="auto"/>
        <w:rPr>
          <w:rFonts w:ascii="Times New Roman" w:hAnsi="Times New Roman" w:cs="Times New Roman"/>
        </w:rPr>
      </w:pPr>
      <w:r w:rsidRPr="00EE3B6B">
        <w:rPr>
          <w:rFonts w:ascii="Times New Roman" w:hAnsi="Times New Roman" w:cs="Times New Roman"/>
          <w:b/>
        </w:rPr>
        <w:t>Plan Design Changes:</w:t>
      </w:r>
      <w:r w:rsidRPr="00EE3B6B" w:rsidR="00977D03">
        <w:rPr>
          <w:rFonts w:ascii="Times New Roman" w:hAnsi="Times New Roman" w:cs="Times New Roman"/>
          <w:b/>
        </w:rPr>
        <w:t xml:space="preserve"> </w:t>
      </w:r>
      <w:bookmarkStart w:id="35" w:name="OLE_LINK2"/>
      <w:r w:rsidRPr="00EE3B6B" w:rsidR="00977D03">
        <w:rPr>
          <w:rFonts w:ascii="Times New Roman" w:hAnsi="Times New Roman" w:cs="Times New Roman"/>
        </w:rPr>
        <w:t xml:space="preserve">Enter the </w:t>
      </w:r>
      <w:r w:rsidRPr="00EE3B6B" w:rsidR="0055086C">
        <w:rPr>
          <w:rFonts w:ascii="Times New Roman" w:hAnsi="Times New Roman" w:cs="Times New Roman"/>
        </w:rPr>
        <w:t>assumed change in EHB allowed claims due to plan design changes.</w:t>
      </w:r>
    </w:p>
    <w:p w:rsidR="0055086C" w:rsidRPr="00EE3B6B" w:rsidP="00423979" w14:paraId="7F33E343" w14:textId="77777777">
      <w:pPr>
        <w:keepLines/>
        <w:spacing w:after="120" w:line="276" w:lineRule="auto"/>
        <w:ind w:left="360"/>
        <w:rPr>
          <w:rFonts w:ascii="Times New Roman" w:hAnsi="Times New Roman" w:cs="Times New Roman"/>
        </w:rPr>
      </w:pPr>
      <w:r w:rsidRPr="00EE3B6B">
        <w:rPr>
          <w:rFonts w:ascii="Times New Roman" w:hAnsi="Times New Roman" w:cs="Times New Roman"/>
        </w:rPr>
        <w:t>The change should be entered as 1 plus the total anticipated percent change in EHB allowed claims. For example, if plan design changes are expected to decrease allowed EHB claims by 3.5%, enter 0.965 in the field.</w:t>
      </w:r>
    </w:p>
    <w:bookmarkEnd w:id="35"/>
    <w:p w:rsidR="00510631" w:rsidRPr="00EE3B6B" w:rsidP="006D1FD2" w14:paraId="04A281EC" w14:textId="77777777">
      <w:pPr>
        <w:keepLines/>
        <w:spacing w:after="120" w:line="276" w:lineRule="auto"/>
        <w:rPr>
          <w:rFonts w:ascii="Times New Roman" w:hAnsi="Times New Roman" w:cs="Times New Roman"/>
        </w:rPr>
      </w:pPr>
      <w:r w:rsidRPr="00EE3B6B">
        <w:rPr>
          <w:rFonts w:ascii="Times New Roman" w:hAnsi="Times New Roman" w:cs="Times New Roman"/>
          <w:b/>
        </w:rPr>
        <w:t xml:space="preserve">Other:  </w:t>
      </w:r>
      <w:bookmarkStart w:id="36" w:name="OLE_LINK3"/>
      <w:r w:rsidRPr="00EE3B6B">
        <w:rPr>
          <w:rFonts w:ascii="Times New Roman" w:hAnsi="Times New Roman" w:cs="Times New Roman"/>
        </w:rPr>
        <w:t xml:space="preserve">Enter the assumed change in cost related to things other than a change in Morbidity, </w:t>
      </w:r>
      <w:r w:rsidRPr="00EE3B6B" w:rsidR="009C764D">
        <w:rPr>
          <w:rFonts w:ascii="Times New Roman" w:hAnsi="Times New Roman" w:cs="Times New Roman"/>
        </w:rPr>
        <w:t>Demographic Shift</w:t>
      </w:r>
      <w:r w:rsidRPr="00EE3B6B">
        <w:rPr>
          <w:rFonts w:ascii="Times New Roman" w:hAnsi="Times New Roman" w:cs="Times New Roman"/>
        </w:rPr>
        <w:t xml:space="preserve">, </w:t>
      </w:r>
      <w:r w:rsidRPr="00EE3B6B" w:rsidR="008C166E">
        <w:rPr>
          <w:rFonts w:ascii="Times New Roman" w:hAnsi="Times New Roman" w:cs="Times New Roman"/>
        </w:rPr>
        <w:t>or</w:t>
      </w:r>
      <w:r w:rsidRPr="00EE3B6B">
        <w:rPr>
          <w:rFonts w:ascii="Times New Roman" w:hAnsi="Times New Roman" w:cs="Times New Roman"/>
        </w:rPr>
        <w:t xml:space="preserve"> </w:t>
      </w:r>
      <w:r w:rsidRPr="00EE3B6B" w:rsidR="009C764D">
        <w:rPr>
          <w:rFonts w:ascii="Times New Roman" w:hAnsi="Times New Roman" w:cs="Times New Roman"/>
        </w:rPr>
        <w:t>Plan Design Changes</w:t>
      </w:r>
      <w:r w:rsidRPr="00EE3B6B">
        <w:rPr>
          <w:rFonts w:ascii="Times New Roman" w:hAnsi="Times New Roman" w:cs="Times New Roman"/>
        </w:rPr>
        <w:t>.</w:t>
      </w:r>
    </w:p>
    <w:p w:rsidR="00510631" w:rsidRPr="00EE3B6B" w:rsidP="00423979" w14:paraId="695EE285" w14:textId="77777777">
      <w:pPr>
        <w:keepLines/>
        <w:spacing w:after="120" w:line="276" w:lineRule="auto"/>
        <w:ind w:left="360"/>
        <w:rPr>
          <w:rFonts w:ascii="Times New Roman" w:hAnsi="Times New Roman" w:cs="Times New Roman"/>
        </w:rPr>
      </w:pPr>
      <w:r w:rsidRPr="00EE3B6B">
        <w:rPr>
          <w:rFonts w:ascii="Times New Roman" w:hAnsi="Times New Roman" w:cs="Times New Roman"/>
        </w:rPr>
        <w:t xml:space="preserve">The “Other” change must be entered as 1 plus the total anticipated percent change in </w:t>
      </w:r>
      <w:r w:rsidRPr="00EE3B6B" w:rsidR="009C764D">
        <w:rPr>
          <w:rFonts w:ascii="Times New Roman" w:hAnsi="Times New Roman" w:cs="Times New Roman"/>
        </w:rPr>
        <w:t>EHB allowed claims</w:t>
      </w:r>
      <w:r w:rsidRPr="00EE3B6B">
        <w:rPr>
          <w:rFonts w:ascii="Times New Roman" w:hAnsi="Times New Roman" w:cs="Times New Roman"/>
        </w:rPr>
        <w:t xml:space="preserve"> from the </w:t>
      </w:r>
      <w:r w:rsidRPr="00EE3B6B" w:rsidR="00C66220">
        <w:rPr>
          <w:rFonts w:ascii="Times New Roman" w:hAnsi="Times New Roman" w:cs="Times New Roman"/>
        </w:rPr>
        <w:t>Experience Period</w:t>
      </w:r>
      <w:r w:rsidRPr="00EE3B6B">
        <w:rPr>
          <w:rFonts w:ascii="Times New Roman" w:hAnsi="Times New Roman" w:cs="Times New Roman"/>
        </w:rPr>
        <w:t xml:space="preserve"> to the </w:t>
      </w:r>
      <w:r w:rsidRPr="00EE3B6B" w:rsidR="00C66220">
        <w:rPr>
          <w:rFonts w:ascii="Times New Roman" w:hAnsi="Times New Roman" w:cs="Times New Roman"/>
        </w:rPr>
        <w:t>Projection Period</w:t>
      </w:r>
      <w:r w:rsidRPr="00EE3B6B">
        <w:rPr>
          <w:rFonts w:ascii="Times New Roman" w:hAnsi="Times New Roman" w:cs="Times New Roman"/>
        </w:rPr>
        <w:t>.</w:t>
      </w:r>
    </w:p>
    <w:bookmarkEnd w:id="36"/>
    <w:p w:rsidR="00510631" w:rsidRPr="00EE3B6B" w:rsidP="00423979" w14:paraId="7824F376" w14:textId="77777777">
      <w:pPr>
        <w:keepLines/>
        <w:spacing w:after="120" w:line="276" w:lineRule="auto"/>
        <w:ind w:left="360"/>
        <w:rPr>
          <w:rFonts w:ascii="Times New Roman" w:hAnsi="Times New Roman" w:cs="Times New Roman"/>
        </w:rPr>
      </w:pPr>
      <w:r w:rsidRPr="00EE3B6B">
        <w:rPr>
          <w:rFonts w:ascii="Times New Roman" w:hAnsi="Times New Roman" w:cs="Times New Roman"/>
        </w:rPr>
        <w:t>Some of the adjustments an issuer might include in this section are:</w:t>
      </w:r>
    </w:p>
    <w:p w:rsidR="000C5A78" w:rsidRPr="00EE3B6B" w:rsidP="00423979" w14:paraId="3C9CEC54" w14:textId="77777777">
      <w:pPr>
        <w:pStyle w:val="ListParagraph"/>
        <w:keepLines/>
        <w:numPr>
          <w:ilvl w:val="0"/>
          <w:numId w:val="11"/>
        </w:numPr>
        <w:spacing w:after="120" w:line="276" w:lineRule="auto"/>
        <w:ind w:left="720"/>
        <w:rPr>
          <w:rFonts w:ascii="Times New Roman" w:hAnsi="Times New Roman" w:cs="Times New Roman"/>
        </w:rPr>
      </w:pPr>
      <w:r w:rsidRPr="00EE3B6B">
        <w:rPr>
          <w:rFonts w:ascii="Times New Roman" w:hAnsi="Times New Roman" w:cs="Times New Roman"/>
        </w:rPr>
        <w:t>Legislative changes affecting the market.</w:t>
      </w:r>
    </w:p>
    <w:p w:rsidR="000C5A78" w:rsidRPr="00EE3B6B" w:rsidP="00423979" w14:paraId="6B233319" w14:textId="77777777">
      <w:pPr>
        <w:pStyle w:val="ListParagraph"/>
        <w:keepLines/>
        <w:numPr>
          <w:ilvl w:val="0"/>
          <w:numId w:val="11"/>
        </w:numPr>
        <w:spacing w:after="120" w:line="276" w:lineRule="auto"/>
        <w:ind w:left="720"/>
        <w:rPr>
          <w:rFonts w:ascii="Times New Roman" w:hAnsi="Times New Roman" w:cs="Times New Roman"/>
        </w:rPr>
      </w:pPr>
      <w:r w:rsidRPr="00EE3B6B">
        <w:rPr>
          <w:rFonts w:ascii="Times New Roman" w:hAnsi="Times New Roman" w:cs="Times New Roman"/>
        </w:rPr>
        <w:t xml:space="preserve">Changes brought about by </w:t>
      </w:r>
      <w:r w:rsidRPr="00EE3B6B" w:rsidR="003E62EC">
        <w:rPr>
          <w:rFonts w:ascii="Times New Roman" w:hAnsi="Times New Roman" w:cs="Times New Roman"/>
        </w:rPr>
        <w:t>State Relief and Empowerment Waivers under section 1332</w:t>
      </w:r>
      <w:r w:rsidRPr="00EE3B6B" w:rsidR="00CB16C9">
        <w:rPr>
          <w:rFonts w:ascii="Times New Roman" w:hAnsi="Times New Roman" w:cs="Times New Roman"/>
        </w:rPr>
        <w:t xml:space="preserve"> of the Affordable Care Act</w:t>
      </w:r>
      <w:r w:rsidRPr="00EE3B6B">
        <w:rPr>
          <w:rFonts w:ascii="Times New Roman" w:hAnsi="Times New Roman" w:cs="Times New Roman"/>
        </w:rPr>
        <w:t>.</w:t>
      </w:r>
    </w:p>
    <w:p w:rsidR="00EF69E8" w:rsidRPr="00EE3B6B" w:rsidP="00423979" w14:paraId="406C2517" w14:textId="77777777">
      <w:pPr>
        <w:keepLines/>
        <w:spacing w:after="120" w:line="276" w:lineRule="auto"/>
        <w:ind w:left="360"/>
        <w:rPr>
          <w:rFonts w:ascii="Times New Roman" w:hAnsi="Times New Roman" w:cs="Times New Roman"/>
        </w:rPr>
      </w:pPr>
      <w:r w:rsidRPr="00EE3B6B">
        <w:rPr>
          <w:rFonts w:ascii="Times New Roman" w:hAnsi="Times New Roman" w:cs="Times New Roman"/>
        </w:rPr>
        <w:t xml:space="preserve">A description of </w:t>
      </w:r>
      <w:r w:rsidRPr="00EE3B6B" w:rsidR="00F27FB1">
        <w:rPr>
          <w:rFonts w:ascii="Times New Roman" w:hAnsi="Times New Roman" w:cs="Times New Roman"/>
        </w:rPr>
        <w:t xml:space="preserve">what is included in the adjustment and </w:t>
      </w:r>
      <w:r w:rsidRPr="00EE3B6B">
        <w:rPr>
          <w:rFonts w:ascii="Times New Roman" w:hAnsi="Times New Roman" w:cs="Times New Roman"/>
        </w:rPr>
        <w:t>the methodology used to develop the adjustment must be included in the Actuarial Memorandum.</w:t>
      </w:r>
    </w:p>
    <w:p w:rsidR="00F44172" w:rsidRPr="00EE3B6B" w:rsidP="006D1FD2" w14:paraId="0FD7C97C" w14:textId="77777777">
      <w:pPr>
        <w:keepLines/>
        <w:spacing w:after="120" w:line="276" w:lineRule="auto"/>
        <w:rPr>
          <w:rFonts w:ascii="Times New Roman" w:hAnsi="Times New Roman" w:cs="Times New Roman"/>
        </w:rPr>
      </w:pPr>
      <w:r w:rsidRPr="00EE3B6B">
        <w:rPr>
          <w:rFonts w:ascii="Times New Roman" w:hAnsi="Times New Roman" w:cs="Times New Roman"/>
          <w:b/>
        </w:rPr>
        <w:t>Adjusted Trended EHB Allowed Claims PMPM</w:t>
      </w:r>
      <w:r w:rsidRPr="00EE3B6B" w:rsidR="004611DA">
        <w:rPr>
          <w:rFonts w:ascii="Times New Roman" w:hAnsi="Times New Roman" w:cs="Times New Roman"/>
          <w:b/>
        </w:rPr>
        <w:t xml:space="preserve"> for MM/DD/YYYY</w:t>
      </w:r>
      <w:r w:rsidRPr="00EE3B6B">
        <w:rPr>
          <w:rFonts w:ascii="Times New Roman" w:hAnsi="Times New Roman" w:cs="Times New Roman"/>
          <w:b/>
        </w:rPr>
        <w:t xml:space="preserve">: </w:t>
      </w:r>
      <w:r w:rsidRPr="00EE3B6B">
        <w:rPr>
          <w:rFonts w:ascii="Times New Roman" w:hAnsi="Times New Roman" w:cs="Times New Roman"/>
        </w:rPr>
        <w:t>This is automatically calculated in the spreadsheet by applying the morbidity adjustment, demographic shift, plan design changes, and other adjustments to the Total Trended EHB Allowed Claims PMPM.</w:t>
      </w:r>
    </w:p>
    <w:p w:rsidR="00F44172" w:rsidRPr="00EE3B6B" w:rsidP="006D1FD2" w14:paraId="645963A0" w14:textId="77777777">
      <w:pPr>
        <w:keepLines/>
        <w:spacing w:after="120" w:line="276" w:lineRule="auto"/>
        <w:rPr>
          <w:rFonts w:ascii="Times New Roman" w:hAnsi="Times New Roman" w:cs="Times New Roman"/>
        </w:rPr>
      </w:pPr>
      <w:r w:rsidRPr="00EE3B6B">
        <w:rPr>
          <w:rFonts w:ascii="Times New Roman" w:hAnsi="Times New Roman" w:cs="Times New Roman"/>
          <w:b/>
        </w:rPr>
        <w:t xml:space="preserve">Manual EHB Allowed Claims PMPM: </w:t>
      </w:r>
      <w:r w:rsidRPr="00EE3B6B">
        <w:rPr>
          <w:rFonts w:ascii="Times New Roman" w:hAnsi="Times New Roman" w:cs="Times New Roman"/>
        </w:rPr>
        <w:t>In cases where the issuer’s experience is not credible, a manual rate for EHB allowed claims can be entered here. An explanation of how the manual rate was developed should be included in the actuarial memorandum if an issuer uses a manual rate.</w:t>
      </w:r>
    </w:p>
    <w:p w:rsidR="00F44172" w:rsidRPr="00EE3B6B" w:rsidP="006D1FD2" w14:paraId="544FD933" w14:textId="77777777">
      <w:pPr>
        <w:keepLines/>
        <w:spacing w:after="120" w:line="276" w:lineRule="auto"/>
        <w:rPr>
          <w:rFonts w:ascii="Times New Roman" w:hAnsi="Times New Roman" w:cs="Times New Roman"/>
        </w:rPr>
      </w:pPr>
      <w:r w:rsidRPr="00EE3B6B">
        <w:rPr>
          <w:rFonts w:ascii="Times New Roman" w:hAnsi="Times New Roman" w:cs="Times New Roman"/>
          <w:b/>
        </w:rPr>
        <w:t xml:space="preserve">Applied Credibility %: </w:t>
      </w:r>
      <w:r w:rsidRPr="00EE3B6B">
        <w:rPr>
          <w:rFonts w:ascii="Times New Roman" w:hAnsi="Times New Roman" w:cs="Times New Roman"/>
        </w:rPr>
        <w:t>Enter the credibility percentage that should be applied to the Trended EHB Allowed Claims PMPM. For fully credible experience, enter 100% in this field.</w:t>
      </w:r>
    </w:p>
    <w:p w:rsidR="00CD5C57" w:rsidRPr="00EE3B6B" w:rsidP="00FA6F2C" w14:paraId="164C5ED5" w14:textId="77777777">
      <w:pPr>
        <w:pStyle w:val="Heading4"/>
      </w:pPr>
      <w:r w:rsidRPr="00EE3B6B">
        <w:t xml:space="preserve">2.1.3.3 Adjustments to the Projected </w:t>
      </w:r>
      <w:r w:rsidRPr="00EE3B6B" w:rsidR="00C66220">
        <w:t>Index Rate</w:t>
      </w:r>
    </w:p>
    <w:p w:rsidR="002825D3" w:rsidRPr="00EE3B6B" w:rsidP="006D1FD2" w14:paraId="0ADEDB09" w14:textId="77777777">
      <w:pPr>
        <w:keepLines/>
        <w:spacing w:after="120" w:line="276" w:lineRule="auto"/>
        <w:rPr>
          <w:rFonts w:ascii="Times New Roman" w:hAnsi="Times New Roman" w:cs="Times New Roman"/>
        </w:rPr>
      </w:pPr>
      <w:r w:rsidRPr="00EE3B6B">
        <w:rPr>
          <w:rFonts w:ascii="Times New Roman" w:hAnsi="Times New Roman" w:cs="Times New Roman"/>
          <w:b/>
        </w:rPr>
        <w:t xml:space="preserve">Projected </w:t>
      </w:r>
      <w:r w:rsidRPr="00EE3B6B" w:rsidR="00C66220">
        <w:rPr>
          <w:rFonts w:ascii="Times New Roman" w:hAnsi="Times New Roman" w:cs="Times New Roman"/>
          <w:b/>
        </w:rPr>
        <w:t>Index Rate</w:t>
      </w:r>
      <w:r w:rsidRPr="00EE3B6B">
        <w:rPr>
          <w:rFonts w:ascii="Times New Roman" w:hAnsi="Times New Roman" w:cs="Times New Roman"/>
          <w:b/>
        </w:rPr>
        <w:t xml:space="preserve"> for</w:t>
      </w:r>
      <w:r w:rsidRPr="00EE3B6B" w:rsidR="000C5A78">
        <w:rPr>
          <w:rFonts w:ascii="Times New Roman" w:hAnsi="Times New Roman" w:cs="Times New Roman"/>
          <w:b/>
        </w:rPr>
        <w:t xml:space="preserve"> MM/DD/YYYY</w:t>
      </w:r>
      <w:r w:rsidRPr="00EE3B6B">
        <w:rPr>
          <w:rFonts w:ascii="Times New Roman" w:hAnsi="Times New Roman" w:cs="Times New Roman"/>
          <w:b/>
        </w:rPr>
        <w:t>:</w:t>
      </w:r>
      <w:r w:rsidRPr="00EE3B6B" w:rsidR="000C5A78">
        <w:rPr>
          <w:rFonts w:ascii="Times New Roman" w:hAnsi="Times New Roman" w:cs="Times New Roman"/>
        </w:rPr>
        <w:t xml:space="preserve"> This field is </w:t>
      </w:r>
      <w:r w:rsidRPr="00EE3B6B" w:rsidR="000333BB">
        <w:rPr>
          <w:rFonts w:ascii="Times New Roman" w:hAnsi="Times New Roman" w:cs="Times New Roman"/>
        </w:rPr>
        <w:t xml:space="preserve">automatically </w:t>
      </w:r>
      <w:r w:rsidRPr="00EE3B6B" w:rsidR="000C5A78">
        <w:rPr>
          <w:rFonts w:ascii="Times New Roman" w:hAnsi="Times New Roman" w:cs="Times New Roman"/>
        </w:rPr>
        <w:t xml:space="preserve">calculated in the </w:t>
      </w:r>
      <w:r w:rsidRPr="00EE3B6B" w:rsidR="00943091">
        <w:rPr>
          <w:rFonts w:ascii="Times New Roman" w:hAnsi="Times New Roman" w:cs="Times New Roman"/>
        </w:rPr>
        <w:t>URRT</w:t>
      </w:r>
      <w:r w:rsidRPr="00EE3B6B" w:rsidR="000C5A78">
        <w:rPr>
          <w:rFonts w:ascii="Times New Roman" w:hAnsi="Times New Roman" w:cs="Times New Roman"/>
        </w:rPr>
        <w:t xml:space="preserve"> by </w:t>
      </w:r>
      <w:r w:rsidRPr="00EE3B6B" w:rsidR="004611DA">
        <w:rPr>
          <w:rFonts w:ascii="Times New Roman" w:hAnsi="Times New Roman" w:cs="Times New Roman"/>
        </w:rPr>
        <w:t>weighting the Adjusted Trended EHB Allowed Claims PMPM and Manual EHB Allowed Claims PMPM by the Applied Credibility % entered above</w:t>
      </w:r>
      <w:r w:rsidRPr="00EE3B6B" w:rsidR="000C5A78">
        <w:rPr>
          <w:rFonts w:ascii="Times New Roman" w:hAnsi="Times New Roman" w:cs="Times New Roman"/>
        </w:rPr>
        <w:t>.</w:t>
      </w:r>
    </w:p>
    <w:p w:rsidR="000C5A78" w:rsidRPr="00EE3B6B" w:rsidP="00423979" w14:paraId="2285B0F4" w14:textId="26B3B8B2">
      <w:pPr>
        <w:keepLines/>
        <w:spacing w:after="120" w:line="276" w:lineRule="auto"/>
        <w:ind w:firstLine="360"/>
        <w:rPr>
          <w:rFonts w:ascii="Times New Roman" w:hAnsi="Times New Roman" w:cs="Times New Roman"/>
        </w:rPr>
      </w:pPr>
      <w:r w:rsidRPr="00EE3B6B">
        <w:rPr>
          <w:rFonts w:ascii="Times New Roman" w:hAnsi="Times New Roman" w:cs="Times New Roman"/>
        </w:rPr>
        <w:t xml:space="preserve">This should be the projected </w:t>
      </w:r>
      <w:r w:rsidRPr="00EE3B6B" w:rsidR="00C66220">
        <w:rPr>
          <w:rFonts w:ascii="Times New Roman" w:hAnsi="Times New Roman" w:cs="Times New Roman"/>
        </w:rPr>
        <w:t>Index Rate</w:t>
      </w:r>
      <w:r w:rsidRPr="00EE3B6B">
        <w:rPr>
          <w:rFonts w:ascii="Times New Roman" w:hAnsi="Times New Roman" w:cs="Times New Roman"/>
        </w:rPr>
        <w:t xml:space="preserve">, which is the </w:t>
      </w:r>
      <w:r w:rsidRPr="00EE3B6B" w:rsidR="00C66220">
        <w:rPr>
          <w:rFonts w:ascii="Times New Roman" w:hAnsi="Times New Roman" w:cs="Times New Roman"/>
        </w:rPr>
        <w:t>Allowed Claims</w:t>
      </w:r>
      <w:r w:rsidRPr="00EE3B6B">
        <w:rPr>
          <w:rFonts w:ascii="Times New Roman" w:hAnsi="Times New Roman" w:cs="Times New Roman"/>
        </w:rPr>
        <w:t xml:space="preserve"> </w:t>
      </w:r>
      <w:r w:rsidRPr="00EE3B6B" w:rsidR="00BB21D5">
        <w:rPr>
          <w:rFonts w:ascii="Times New Roman" w:hAnsi="Times New Roman" w:cs="Times New Roman"/>
        </w:rPr>
        <w:t>PMPM</w:t>
      </w:r>
      <w:r w:rsidRPr="00EE3B6B">
        <w:rPr>
          <w:rFonts w:ascii="Times New Roman" w:hAnsi="Times New Roman" w:cs="Times New Roman"/>
        </w:rPr>
        <w:t xml:space="preserve"> for EHBs only.</w:t>
      </w:r>
    </w:p>
    <w:p w:rsidR="007A01A2" w:rsidRPr="00EE3B6B" w:rsidP="006D1FD2" w14:paraId="7DE23B75" w14:textId="77777777">
      <w:pPr>
        <w:keepLines/>
        <w:spacing w:after="120" w:line="276" w:lineRule="auto"/>
        <w:rPr>
          <w:rFonts w:ascii="Times New Roman" w:hAnsi="Times New Roman" w:cs="Times New Roman"/>
        </w:rPr>
      </w:pPr>
      <w:r w:rsidRPr="00EE3B6B">
        <w:rPr>
          <w:rFonts w:ascii="Times New Roman" w:hAnsi="Times New Roman" w:cs="Times New Roman"/>
          <w:b/>
        </w:rPr>
        <w:t>Reinsurance:</w:t>
      </w:r>
      <w:r w:rsidRPr="00EE3B6B">
        <w:rPr>
          <w:rFonts w:ascii="Times New Roman" w:hAnsi="Times New Roman" w:cs="Times New Roman"/>
        </w:rPr>
        <w:t xml:space="preserve">  </w:t>
      </w:r>
      <w:bookmarkStart w:id="37" w:name="OLE_LINK4"/>
      <w:r w:rsidRPr="00EE3B6B" w:rsidR="000C5A78">
        <w:rPr>
          <w:rFonts w:ascii="Times New Roman" w:hAnsi="Times New Roman" w:cs="Times New Roman"/>
        </w:rPr>
        <w:t xml:space="preserve">Enter </w:t>
      </w:r>
      <w:r w:rsidRPr="00EE3B6B" w:rsidR="005363ED">
        <w:rPr>
          <w:rFonts w:ascii="Times New Roman" w:hAnsi="Times New Roman" w:cs="Times New Roman"/>
        </w:rPr>
        <w:t xml:space="preserve">any expected </w:t>
      </w:r>
      <w:r w:rsidRPr="00EE3B6B" w:rsidR="00A932D6">
        <w:rPr>
          <w:rFonts w:ascii="Times New Roman" w:hAnsi="Times New Roman" w:cs="Times New Roman"/>
        </w:rPr>
        <w:t xml:space="preserve">net </w:t>
      </w:r>
      <w:r w:rsidRPr="00EE3B6B" w:rsidR="005363ED">
        <w:rPr>
          <w:rFonts w:ascii="Times New Roman" w:hAnsi="Times New Roman" w:cs="Times New Roman"/>
        </w:rPr>
        <w:t xml:space="preserve">reinsurance </w:t>
      </w:r>
      <w:r w:rsidRPr="00EE3B6B" w:rsidR="005363ED">
        <w:rPr>
          <w:rFonts w:ascii="Times New Roman" w:hAnsi="Times New Roman" w:cs="Times New Roman"/>
        </w:rPr>
        <w:t>recoverable</w:t>
      </w:r>
      <w:r w:rsidRPr="00EE3B6B" w:rsidR="000C5A78">
        <w:rPr>
          <w:rFonts w:ascii="Times New Roman" w:hAnsi="Times New Roman" w:cs="Times New Roman"/>
        </w:rPr>
        <w:t>s</w:t>
      </w:r>
      <w:r w:rsidRPr="00EE3B6B" w:rsidR="000C5A78">
        <w:rPr>
          <w:rFonts w:ascii="Times New Roman" w:hAnsi="Times New Roman" w:cs="Times New Roman"/>
        </w:rPr>
        <w:t xml:space="preserve"> </w:t>
      </w:r>
      <w:r w:rsidRPr="00EE3B6B" w:rsidR="004B1590">
        <w:rPr>
          <w:rFonts w:ascii="Times New Roman" w:hAnsi="Times New Roman" w:cs="Times New Roman"/>
        </w:rPr>
        <w:t xml:space="preserve">received through a </w:t>
      </w:r>
      <w:r w:rsidRPr="00EE3B6B" w:rsidR="001E6807">
        <w:rPr>
          <w:rFonts w:ascii="Times New Roman" w:hAnsi="Times New Roman" w:cs="Times New Roman"/>
        </w:rPr>
        <w:t>state or federal rei</w:t>
      </w:r>
      <w:r w:rsidRPr="00EE3B6B" w:rsidR="004B1590">
        <w:rPr>
          <w:rFonts w:ascii="Times New Roman" w:hAnsi="Times New Roman" w:cs="Times New Roman"/>
        </w:rPr>
        <w:t xml:space="preserve">nsurance program </w:t>
      </w:r>
      <w:r w:rsidRPr="00EE3B6B" w:rsidR="000C5A78">
        <w:rPr>
          <w:rFonts w:ascii="Times New Roman" w:hAnsi="Times New Roman" w:cs="Times New Roman"/>
        </w:rPr>
        <w:t>here on a</w:t>
      </w:r>
      <w:r w:rsidRPr="00EE3B6B" w:rsidR="001B0314">
        <w:rPr>
          <w:rFonts w:ascii="Times New Roman" w:hAnsi="Times New Roman" w:cs="Times New Roman"/>
        </w:rPr>
        <w:t>n allowed</w:t>
      </w:r>
      <w:r w:rsidRPr="00EE3B6B" w:rsidR="000C5A78">
        <w:rPr>
          <w:rFonts w:ascii="Times New Roman" w:hAnsi="Times New Roman" w:cs="Times New Roman"/>
        </w:rPr>
        <w:t xml:space="preserve"> </w:t>
      </w:r>
      <w:r w:rsidRPr="00EE3B6B" w:rsidR="003E62EC">
        <w:rPr>
          <w:rFonts w:ascii="Times New Roman" w:hAnsi="Times New Roman" w:cs="Times New Roman"/>
        </w:rPr>
        <w:t xml:space="preserve">amount </w:t>
      </w:r>
      <w:r w:rsidRPr="00EE3B6B" w:rsidR="00BB21D5">
        <w:rPr>
          <w:rFonts w:ascii="Times New Roman" w:hAnsi="Times New Roman" w:cs="Times New Roman"/>
        </w:rPr>
        <w:t>PMPM</w:t>
      </w:r>
      <w:r w:rsidRPr="00EE3B6B" w:rsidR="000C5A78">
        <w:rPr>
          <w:rFonts w:ascii="Times New Roman" w:hAnsi="Times New Roman" w:cs="Times New Roman"/>
        </w:rPr>
        <w:t xml:space="preserve"> basis.</w:t>
      </w:r>
      <w:bookmarkEnd w:id="37"/>
      <w:r w:rsidRPr="00EE3B6B" w:rsidR="003E62EC">
        <w:rPr>
          <w:rFonts w:ascii="Times New Roman" w:hAnsi="Times New Roman" w:cs="Times New Roman"/>
        </w:rPr>
        <w:t xml:space="preserve"> Since the Projected </w:t>
      </w:r>
      <w:r w:rsidRPr="00EE3B6B" w:rsidR="00C66220">
        <w:rPr>
          <w:rFonts w:ascii="Times New Roman" w:hAnsi="Times New Roman" w:cs="Times New Roman"/>
        </w:rPr>
        <w:t>Index Rate</w:t>
      </w:r>
      <w:r w:rsidRPr="00EE3B6B" w:rsidR="003E62EC">
        <w:rPr>
          <w:rFonts w:ascii="Times New Roman" w:hAnsi="Times New Roman" w:cs="Times New Roman"/>
        </w:rPr>
        <w:t xml:space="preserve"> represents EHB allowed claims, the reinsurance amount entered here should be grossed up by the paid to allowed average factor.</w:t>
      </w:r>
    </w:p>
    <w:p w:rsidR="000C5A78" w:rsidRPr="00EE3B6B" w:rsidP="00423979" w14:paraId="6B0FE7E5" w14:textId="77777777">
      <w:pPr>
        <w:keepLines/>
        <w:spacing w:after="120" w:line="276" w:lineRule="auto"/>
        <w:ind w:left="360"/>
        <w:rPr>
          <w:rFonts w:ascii="Times New Roman" w:hAnsi="Times New Roman" w:cs="Times New Roman"/>
        </w:rPr>
      </w:pPr>
      <w:r w:rsidRPr="00EE3B6B">
        <w:rPr>
          <w:rFonts w:ascii="Times New Roman" w:hAnsi="Times New Roman" w:cs="Times New Roman"/>
        </w:rPr>
        <w:t xml:space="preserve">While </w:t>
      </w:r>
      <w:r w:rsidRPr="00EE3B6B" w:rsidR="00A52393">
        <w:rPr>
          <w:rFonts w:ascii="Times New Roman" w:hAnsi="Times New Roman" w:cs="Times New Roman"/>
        </w:rPr>
        <w:t>s</w:t>
      </w:r>
      <w:r w:rsidRPr="00EE3B6B">
        <w:rPr>
          <w:rFonts w:ascii="Times New Roman" w:hAnsi="Times New Roman" w:cs="Times New Roman"/>
        </w:rPr>
        <w:t xml:space="preserve">tate reinsurance payments are not </w:t>
      </w:r>
      <w:r w:rsidRPr="00EE3B6B" w:rsidR="00FD2CCC">
        <w:rPr>
          <w:rFonts w:ascii="Times New Roman" w:hAnsi="Times New Roman" w:cs="Times New Roman"/>
        </w:rPr>
        <w:t>identified</w:t>
      </w:r>
      <w:r w:rsidRPr="00EE3B6B">
        <w:rPr>
          <w:rFonts w:ascii="Times New Roman" w:hAnsi="Times New Roman" w:cs="Times New Roman"/>
        </w:rPr>
        <w:t xml:space="preserve"> as an allowable adjustment to the </w:t>
      </w:r>
      <w:r w:rsidRPr="00EE3B6B" w:rsidR="00C66220">
        <w:rPr>
          <w:rFonts w:ascii="Times New Roman" w:hAnsi="Times New Roman" w:cs="Times New Roman"/>
        </w:rPr>
        <w:t>Index Rate</w:t>
      </w:r>
      <w:r w:rsidRPr="00EE3B6B">
        <w:rPr>
          <w:rFonts w:ascii="Times New Roman" w:hAnsi="Times New Roman" w:cs="Times New Roman"/>
        </w:rPr>
        <w:t xml:space="preserve"> in 45 CFR 156.80, this is </w:t>
      </w:r>
      <w:r w:rsidRPr="00EE3B6B" w:rsidR="00FD2CCC">
        <w:rPr>
          <w:rFonts w:ascii="Times New Roman" w:hAnsi="Times New Roman" w:cs="Times New Roman"/>
        </w:rPr>
        <w:t xml:space="preserve">an appropriate </w:t>
      </w:r>
      <w:r w:rsidRPr="00EE3B6B">
        <w:rPr>
          <w:rFonts w:ascii="Times New Roman" w:hAnsi="Times New Roman" w:cs="Times New Roman"/>
        </w:rPr>
        <w:t xml:space="preserve">place to enter reinsurance </w:t>
      </w:r>
      <w:r w:rsidRPr="00EE3B6B" w:rsidR="001B0314">
        <w:rPr>
          <w:rFonts w:ascii="Times New Roman" w:hAnsi="Times New Roman" w:cs="Times New Roman"/>
        </w:rPr>
        <w:t xml:space="preserve">amounts for reporting purposes. Amounts an issuer receives </w:t>
      </w:r>
      <w:r w:rsidRPr="00EE3B6B" w:rsidR="00FD2CCC">
        <w:rPr>
          <w:rFonts w:ascii="Times New Roman" w:hAnsi="Times New Roman" w:cs="Times New Roman"/>
        </w:rPr>
        <w:t>as</w:t>
      </w:r>
      <w:r w:rsidRPr="00EE3B6B" w:rsidR="001B0314">
        <w:rPr>
          <w:rFonts w:ascii="Times New Roman" w:hAnsi="Times New Roman" w:cs="Times New Roman"/>
        </w:rPr>
        <w:t xml:space="preserve"> reinsurance payments should be entered as a positive number.  For example, if an issuer expects to receive $10.75 </w:t>
      </w:r>
      <w:r w:rsidRPr="00EE3B6B" w:rsidR="00BB21D5">
        <w:rPr>
          <w:rFonts w:ascii="Times New Roman" w:hAnsi="Times New Roman" w:cs="Times New Roman"/>
        </w:rPr>
        <w:t>PMPM</w:t>
      </w:r>
      <w:r w:rsidRPr="00EE3B6B" w:rsidR="001B0314">
        <w:rPr>
          <w:rFonts w:ascii="Times New Roman" w:hAnsi="Times New Roman" w:cs="Times New Roman"/>
        </w:rPr>
        <w:t xml:space="preserve"> in </w:t>
      </w:r>
      <w:r w:rsidRPr="00EE3B6B" w:rsidR="004B1590">
        <w:rPr>
          <w:rFonts w:ascii="Times New Roman" w:hAnsi="Times New Roman" w:cs="Times New Roman"/>
        </w:rPr>
        <w:t xml:space="preserve">net </w:t>
      </w:r>
      <w:r w:rsidRPr="00EE3B6B" w:rsidR="001B0314">
        <w:rPr>
          <w:rFonts w:ascii="Times New Roman" w:hAnsi="Times New Roman" w:cs="Times New Roman"/>
        </w:rPr>
        <w:t>reinsurance</w:t>
      </w:r>
      <w:r w:rsidRPr="00EE3B6B" w:rsidR="00F1525C">
        <w:rPr>
          <w:rFonts w:ascii="Times New Roman" w:hAnsi="Times New Roman" w:cs="Times New Roman"/>
        </w:rPr>
        <w:t xml:space="preserve"> </w:t>
      </w:r>
      <w:r w:rsidRPr="00EE3B6B" w:rsidR="004B1590">
        <w:rPr>
          <w:rFonts w:ascii="Times New Roman" w:hAnsi="Times New Roman" w:cs="Times New Roman"/>
        </w:rPr>
        <w:t xml:space="preserve">payments </w:t>
      </w:r>
      <w:r w:rsidRPr="00EE3B6B" w:rsidR="00F1525C">
        <w:rPr>
          <w:rFonts w:ascii="Times New Roman" w:hAnsi="Times New Roman" w:cs="Times New Roman"/>
        </w:rPr>
        <w:t>on an allowed basis</w:t>
      </w:r>
      <w:r w:rsidRPr="00EE3B6B" w:rsidR="001B0314">
        <w:rPr>
          <w:rFonts w:ascii="Times New Roman" w:hAnsi="Times New Roman" w:cs="Times New Roman"/>
        </w:rPr>
        <w:t>, then $10.75 should be entered in this field.</w:t>
      </w:r>
    </w:p>
    <w:p w:rsidR="007A01A2" w:rsidRPr="00EE3B6B" w:rsidP="006D1FD2" w14:paraId="5C4027B6" w14:textId="77777777">
      <w:pPr>
        <w:keepLines/>
        <w:spacing w:after="120" w:line="276" w:lineRule="auto"/>
        <w:rPr>
          <w:rFonts w:ascii="Times New Roman" w:hAnsi="Times New Roman" w:cs="Times New Roman"/>
        </w:rPr>
      </w:pPr>
      <w:r w:rsidRPr="00EE3B6B">
        <w:rPr>
          <w:rFonts w:ascii="Times New Roman" w:hAnsi="Times New Roman" w:cs="Times New Roman"/>
          <w:b/>
        </w:rPr>
        <w:t xml:space="preserve">Risk Adjustment </w:t>
      </w:r>
      <w:r w:rsidRPr="00EE3B6B" w:rsidR="00BF26CE">
        <w:rPr>
          <w:rFonts w:ascii="Times New Roman" w:hAnsi="Times New Roman" w:cs="Times New Roman"/>
          <w:b/>
        </w:rPr>
        <w:t>Payment/Charge</w:t>
      </w:r>
      <w:r w:rsidRPr="00EE3B6B">
        <w:rPr>
          <w:rFonts w:ascii="Times New Roman" w:hAnsi="Times New Roman" w:cs="Times New Roman"/>
          <w:b/>
        </w:rPr>
        <w:t xml:space="preserve">:  </w:t>
      </w:r>
      <w:r w:rsidRPr="00EE3B6B">
        <w:rPr>
          <w:rFonts w:ascii="Times New Roman" w:hAnsi="Times New Roman" w:cs="Times New Roman"/>
        </w:rPr>
        <w:t xml:space="preserve">Enter the projected </w:t>
      </w:r>
      <w:r w:rsidRPr="00EE3B6B" w:rsidR="00BB21D5">
        <w:rPr>
          <w:rFonts w:ascii="Times New Roman" w:hAnsi="Times New Roman" w:cs="Times New Roman"/>
        </w:rPr>
        <w:t>PMPM</w:t>
      </w:r>
      <w:r w:rsidRPr="00EE3B6B">
        <w:rPr>
          <w:rFonts w:ascii="Times New Roman" w:hAnsi="Times New Roman" w:cs="Times New Roman"/>
        </w:rPr>
        <w:t xml:space="preserve"> amount of risk adjustment transfers for the </w:t>
      </w:r>
      <w:r w:rsidRPr="00EE3B6B" w:rsidR="00C66220">
        <w:rPr>
          <w:rFonts w:ascii="Times New Roman" w:hAnsi="Times New Roman" w:cs="Times New Roman"/>
        </w:rPr>
        <w:t>Projection Period</w:t>
      </w:r>
      <w:r w:rsidRPr="00EE3B6B">
        <w:rPr>
          <w:rFonts w:ascii="Times New Roman" w:hAnsi="Times New Roman" w:cs="Times New Roman"/>
        </w:rPr>
        <w:t xml:space="preserve">. The value should reflect the actual </w:t>
      </w:r>
      <w:r w:rsidRPr="00EE3B6B" w:rsidR="00BB21D5">
        <w:rPr>
          <w:rFonts w:ascii="Times New Roman" w:hAnsi="Times New Roman" w:cs="Times New Roman"/>
        </w:rPr>
        <w:t>PMPM</w:t>
      </w:r>
      <w:r w:rsidRPr="00EE3B6B">
        <w:rPr>
          <w:rFonts w:ascii="Times New Roman" w:hAnsi="Times New Roman" w:cs="Times New Roman"/>
        </w:rPr>
        <w:t xml:space="preserve"> amounts expected in the </w:t>
      </w:r>
      <w:r w:rsidRPr="00EE3B6B" w:rsidR="00C66220">
        <w:rPr>
          <w:rFonts w:ascii="Times New Roman" w:hAnsi="Times New Roman" w:cs="Times New Roman"/>
        </w:rPr>
        <w:t>Projection Period</w:t>
      </w:r>
      <w:r w:rsidRPr="00EE3B6B">
        <w:rPr>
          <w:rFonts w:ascii="Times New Roman" w:hAnsi="Times New Roman" w:cs="Times New Roman"/>
        </w:rPr>
        <w:t xml:space="preserve">. However, the net risk adjustment transfer amount applied in the calculation of the </w:t>
      </w:r>
      <w:r w:rsidRPr="00EE3B6B" w:rsidR="000339CF">
        <w:rPr>
          <w:rFonts w:ascii="Times New Roman" w:hAnsi="Times New Roman" w:cs="Times New Roman"/>
        </w:rPr>
        <w:t>MAIR</w:t>
      </w:r>
      <w:r w:rsidRPr="00EE3B6B">
        <w:rPr>
          <w:rFonts w:ascii="Times New Roman" w:hAnsi="Times New Roman" w:cs="Times New Roman"/>
        </w:rPr>
        <w:t xml:space="preserve"> s</w:t>
      </w:r>
      <w:r w:rsidRPr="00EE3B6B" w:rsidR="00C66220">
        <w:rPr>
          <w:rFonts w:ascii="Times New Roman" w:hAnsi="Times New Roman" w:cs="Times New Roman"/>
        </w:rPr>
        <w:t>hould be grossed up by the paid-to-</w:t>
      </w:r>
      <w:r w:rsidRPr="00EE3B6B">
        <w:rPr>
          <w:rFonts w:ascii="Times New Roman" w:hAnsi="Times New Roman" w:cs="Times New Roman"/>
        </w:rPr>
        <w:t xml:space="preserve">allowed average factor as the </w:t>
      </w:r>
      <w:r w:rsidRPr="00EE3B6B" w:rsidR="00C66220">
        <w:rPr>
          <w:rFonts w:ascii="Times New Roman" w:hAnsi="Times New Roman" w:cs="Times New Roman"/>
        </w:rPr>
        <w:t>Index Rate</w:t>
      </w:r>
      <w:r w:rsidRPr="00EE3B6B">
        <w:rPr>
          <w:rFonts w:ascii="Times New Roman" w:hAnsi="Times New Roman" w:cs="Times New Roman"/>
        </w:rPr>
        <w:t xml:space="preserve"> and </w:t>
      </w:r>
      <w:r w:rsidRPr="00EE3B6B" w:rsidR="00C66220">
        <w:rPr>
          <w:rFonts w:ascii="Times New Roman" w:hAnsi="Times New Roman" w:cs="Times New Roman"/>
        </w:rPr>
        <w:t>M</w:t>
      </w:r>
      <w:r w:rsidRPr="00EE3B6B" w:rsidR="000339CF">
        <w:rPr>
          <w:rFonts w:ascii="Times New Roman" w:hAnsi="Times New Roman" w:cs="Times New Roman"/>
        </w:rPr>
        <w:t>AIR</w:t>
      </w:r>
      <w:r w:rsidRPr="00EE3B6B">
        <w:rPr>
          <w:rFonts w:ascii="Times New Roman" w:hAnsi="Times New Roman" w:cs="Times New Roman"/>
        </w:rPr>
        <w:t xml:space="preserve"> reflect claim costs on an allowed basis.</w:t>
      </w:r>
    </w:p>
    <w:p w:rsidR="007A01A2" w:rsidRPr="00EE3B6B" w:rsidP="00423979" w14:paraId="24406422" w14:textId="77777777">
      <w:pPr>
        <w:keepLines/>
        <w:spacing w:after="120" w:line="276" w:lineRule="auto"/>
        <w:ind w:left="360"/>
        <w:rPr>
          <w:rFonts w:ascii="Times New Roman" w:hAnsi="Times New Roman" w:cs="Times New Roman"/>
        </w:rPr>
      </w:pPr>
      <w:r w:rsidRPr="00EE3B6B">
        <w:rPr>
          <w:rFonts w:ascii="Times New Roman" w:hAnsi="Times New Roman" w:cs="Times New Roman"/>
        </w:rPr>
        <w:t xml:space="preserve">Transfer amounts should include the </w:t>
      </w:r>
      <w:r w:rsidRPr="00EE3B6B">
        <w:rPr>
          <w:rFonts w:ascii="Times New Roman" w:hAnsi="Times New Roman" w:cs="Times New Roman"/>
        </w:rPr>
        <w:t>high cost</w:t>
      </w:r>
      <w:r w:rsidRPr="00EE3B6B">
        <w:rPr>
          <w:rFonts w:ascii="Times New Roman" w:hAnsi="Times New Roman" w:cs="Times New Roman"/>
        </w:rPr>
        <w:t xml:space="preserve"> risk pool adjustment to claims and any assessment to pay for those claims. The risk adjustment user fee should not be included here, but rather in the taxes and fees portion of administrative costs. </w:t>
      </w:r>
      <w:r w:rsidRPr="00EE3B6B">
        <w:rPr>
          <w:rFonts w:ascii="Times New Roman" w:hAnsi="Times New Roman" w:cs="Times New Roman"/>
        </w:rPr>
        <w:t xml:space="preserve">If the issuer expects to receive a projected risk adjustment </w:t>
      </w:r>
      <w:r w:rsidRPr="00EE3B6B" w:rsidR="00CD732F">
        <w:rPr>
          <w:rFonts w:ascii="Times New Roman" w:hAnsi="Times New Roman" w:cs="Times New Roman"/>
        </w:rPr>
        <w:t>payment</w:t>
      </w:r>
      <w:r w:rsidRPr="00EE3B6B">
        <w:rPr>
          <w:rFonts w:ascii="Times New Roman" w:hAnsi="Times New Roman" w:cs="Times New Roman"/>
        </w:rPr>
        <w:t xml:space="preserve">, then the entry should be a positive value. If the issuer expects to </w:t>
      </w:r>
      <w:r w:rsidRPr="00EE3B6B" w:rsidR="00FD2CCC">
        <w:rPr>
          <w:rFonts w:ascii="Times New Roman" w:hAnsi="Times New Roman" w:cs="Times New Roman"/>
        </w:rPr>
        <w:t xml:space="preserve">owe </w:t>
      </w:r>
      <w:r w:rsidRPr="00EE3B6B">
        <w:rPr>
          <w:rFonts w:ascii="Times New Roman" w:hAnsi="Times New Roman" w:cs="Times New Roman"/>
        </w:rPr>
        <w:t xml:space="preserve">a projected risk adjustment </w:t>
      </w:r>
      <w:r w:rsidRPr="00EE3B6B" w:rsidR="00CD732F">
        <w:rPr>
          <w:rFonts w:ascii="Times New Roman" w:hAnsi="Times New Roman" w:cs="Times New Roman"/>
        </w:rPr>
        <w:t>charge</w:t>
      </w:r>
      <w:r w:rsidRPr="00EE3B6B">
        <w:rPr>
          <w:rFonts w:ascii="Times New Roman" w:hAnsi="Times New Roman" w:cs="Times New Roman"/>
        </w:rPr>
        <w:t>, then the entry should be a negative value.</w:t>
      </w:r>
    </w:p>
    <w:p w:rsidR="00C937CC" w:rsidRPr="00EE3B6B" w:rsidP="00423979" w14:paraId="554E3F39" w14:textId="77777777">
      <w:pPr>
        <w:keepLines/>
        <w:spacing w:after="120" w:line="276" w:lineRule="auto"/>
        <w:ind w:left="360"/>
        <w:rPr>
          <w:rFonts w:ascii="Times New Roman" w:hAnsi="Times New Roman" w:cs="Times New Roman"/>
        </w:rPr>
      </w:pPr>
      <w:r w:rsidRPr="00EE3B6B">
        <w:rPr>
          <w:rFonts w:ascii="Times New Roman" w:hAnsi="Times New Roman" w:cs="Times New Roman"/>
        </w:rPr>
        <w:t>As previously mentioned, r</w:t>
      </w:r>
      <w:r w:rsidRPr="00EE3B6B">
        <w:rPr>
          <w:rFonts w:ascii="Times New Roman" w:hAnsi="Times New Roman" w:cs="Times New Roman"/>
        </w:rPr>
        <w:t xml:space="preserve">isk adjustment should account for </w:t>
      </w:r>
      <w:r w:rsidRPr="00EE3B6B">
        <w:rPr>
          <w:rFonts w:ascii="Times New Roman" w:hAnsi="Times New Roman" w:cs="Times New Roman"/>
        </w:rPr>
        <w:t>RADV adjustments</w:t>
      </w:r>
      <w:r w:rsidRPr="00EE3B6B">
        <w:rPr>
          <w:rFonts w:ascii="Times New Roman" w:hAnsi="Times New Roman" w:cs="Times New Roman"/>
        </w:rPr>
        <w:t xml:space="preserve">, </w:t>
      </w:r>
      <w:r w:rsidRPr="00EE3B6B" w:rsidR="00992EBD">
        <w:rPr>
          <w:rFonts w:ascii="Times New Roman" w:hAnsi="Times New Roman" w:cs="Times New Roman"/>
        </w:rPr>
        <w:t>including DDVCs</w:t>
      </w:r>
      <w:r w:rsidRPr="00EE3B6B" w:rsidR="0025702A">
        <w:rPr>
          <w:rFonts w:ascii="Times New Roman" w:hAnsi="Times New Roman" w:cs="Times New Roman"/>
        </w:rPr>
        <w:t xml:space="preserve"> and allocations</w:t>
      </w:r>
      <w:r w:rsidRPr="00EE3B6B" w:rsidR="00992EBD">
        <w:rPr>
          <w:rFonts w:ascii="Times New Roman" w:hAnsi="Times New Roman" w:cs="Times New Roman"/>
        </w:rPr>
        <w:t xml:space="preserve">, </w:t>
      </w:r>
      <w:r w:rsidRPr="00EE3B6B">
        <w:rPr>
          <w:rFonts w:ascii="Times New Roman" w:hAnsi="Times New Roman" w:cs="Times New Roman"/>
        </w:rPr>
        <w:t>as appropriate.</w:t>
      </w:r>
    </w:p>
    <w:p w:rsidR="007A01A2" w:rsidRPr="00EE3B6B" w:rsidP="00423979" w14:paraId="1B34BFB4" w14:textId="2EBE56B6">
      <w:pPr>
        <w:keepLines/>
        <w:spacing w:after="120" w:line="276" w:lineRule="auto"/>
        <w:ind w:left="360"/>
        <w:rPr>
          <w:rFonts w:ascii="Times New Roman" w:hAnsi="Times New Roman" w:cs="Times New Roman"/>
        </w:rPr>
      </w:pPr>
      <w:r w:rsidRPr="00EE3B6B">
        <w:rPr>
          <w:rFonts w:ascii="Times New Roman" w:hAnsi="Times New Roman" w:cs="Times New Roman"/>
        </w:rPr>
        <w:t xml:space="preserve">The calculation of the projected risk adjustments should consider the appropriate published transfer equation. Please describe the methodology for estimating the </w:t>
      </w:r>
      <w:r w:rsidRPr="00EE3B6B" w:rsidR="00BB21D5">
        <w:rPr>
          <w:rFonts w:ascii="Times New Roman" w:hAnsi="Times New Roman" w:cs="Times New Roman"/>
        </w:rPr>
        <w:t>PMPM</w:t>
      </w:r>
      <w:r w:rsidRPr="00EE3B6B">
        <w:rPr>
          <w:rFonts w:ascii="Times New Roman" w:hAnsi="Times New Roman" w:cs="Times New Roman"/>
        </w:rPr>
        <w:t xml:space="preserve"> amount in the Actuarial Memorandum.</w:t>
      </w:r>
    </w:p>
    <w:p w:rsidR="00E93878" w:rsidRPr="00EE3B6B" w:rsidP="006D1FD2" w14:paraId="51AB1662" w14:textId="77777777">
      <w:pPr>
        <w:keepLines/>
        <w:spacing w:after="120" w:line="276" w:lineRule="auto"/>
        <w:rPr>
          <w:rFonts w:ascii="Times New Roman" w:hAnsi="Times New Roman" w:cs="Times New Roman"/>
        </w:rPr>
      </w:pPr>
      <w:r w:rsidRPr="00EE3B6B">
        <w:rPr>
          <w:rFonts w:ascii="Times New Roman" w:hAnsi="Times New Roman" w:cs="Times New Roman"/>
          <w:b/>
        </w:rPr>
        <w:t>Exchange User Fees:</w:t>
      </w:r>
      <w:r w:rsidRPr="00EE3B6B" w:rsidR="008925F3">
        <w:rPr>
          <w:rFonts w:ascii="Times New Roman" w:hAnsi="Times New Roman" w:cs="Times New Roman"/>
          <w:b/>
        </w:rPr>
        <w:t xml:space="preserve"> </w:t>
      </w:r>
      <w:r w:rsidRPr="00EE3B6B" w:rsidR="008925F3">
        <w:rPr>
          <w:rFonts w:ascii="Times New Roman" w:hAnsi="Times New Roman" w:cs="Times New Roman"/>
        </w:rPr>
        <w:t>Enter the expected exchange user fees as a</w:t>
      </w:r>
      <w:r w:rsidRPr="00EE3B6B" w:rsidR="00B4171C">
        <w:rPr>
          <w:rFonts w:ascii="Times New Roman" w:hAnsi="Times New Roman" w:cs="Times New Roman"/>
        </w:rPr>
        <w:t xml:space="preserve"> percentage</w:t>
      </w:r>
      <w:r w:rsidRPr="00EE3B6B" w:rsidR="008925F3">
        <w:rPr>
          <w:rFonts w:ascii="Times New Roman" w:hAnsi="Times New Roman" w:cs="Times New Roman"/>
        </w:rPr>
        <w:t xml:space="preserve"> charge.</w:t>
      </w:r>
    </w:p>
    <w:p w:rsidR="00B4171C" w:rsidRPr="00EE3B6B" w:rsidP="00423979" w14:paraId="2B869E12" w14:textId="77777777">
      <w:pPr>
        <w:keepLines/>
        <w:spacing w:after="120" w:line="276" w:lineRule="auto"/>
        <w:ind w:left="360"/>
        <w:rPr>
          <w:rFonts w:ascii="Times New Roman" w:hAnsi="Times New Roman" w:cs="Times New Roman"/>
        </w:rPr>
      </w:pPr>
      <w:r w:rsidRPr="00EE3B6B">
        <w:rPr>
          <w:rFonts w:ascii="Times New Roman" w:hAnsi="Times New Roman" w:cs="Times New Roman"/>
        </w:rPr>
        <w:t xml:space="preserve">Remember </w:t>
      </w:r>
      <w:r w:rsidRPr="00EE3B6B" w:rsidR="00E947B0">
        <w:rPr>
          <w:rFonts w:ascii="Times New Roman" w:hAnsi="Times New Roman" w:cs="Times New Roman"/>
        </w:rPr>
        <w:t>we are</w:t>
      </w:r>
      <w:r w:rsidRPr="00EE3B6B">
        <w:rPr>
          <w:rFonts w:ascii="Times New Roman" w:hAnsi="Times New Roman" w:cs="Times New Roman"/>
        </w:rPr>
        <w:t xml:space="preserve"> dealing with claims on an allowed basis</w:t>
      </w:r>
      <w:r w:rsidRPr="00EE3B6B" w:rsidR="00E947B0">
        <w:rPr>
          <w:rFonts w:ascii="Times New Roman" w:hAnsi="Times New Roman" w:cs="Times New Roman"/>
        </w:rPr>
        <w:t xml:space="preserve"> at this point</w:t>
      </w:r>
      <w:r w:rsidRPr="00EE3B6B">
        <w:rPr>
          <w:rFonts w:ascii="Times New Roman" w:hAnsi="Times New Roman" w:cs="Times New Roman"/>
        </w:rPr>
        <w:t>.</w:t>
      </w:r>
      <w:r w:rsidRPr="00EE3B6B" w:rsidR="00157347">
        <w:rPr>
          <w:rFonts w:ascii="Times New Roman" w:hAnsi="Times New Roman" w:cs="Times New Roman"/>
        </w:rPr>
        <w:t xml:space="preserve"> A description of the process the issuer used to calculate the adjustment should be </w:t>
      </w:r>
      <w:r w:rsidRPr="00EE3B6B" w:rsidR="008432CA">
        <w:rPr>
          <w:rFonts w:ascii="Times New Roman" w:hAnsi="Times New Roman" w:cs="Times New Roman"/>
        </w:rPr>
        <w:t>provided</w:t>
      </w:r>
      <w:r w:rsidRPr="00EE3B6B" w:rsidR="008A41AB">
        <w:rPr>
          <w:rFonts w:ascii="Times New Roman" w:hAnsi="Times New Roman" w:cs="Times New Roman"/>
        </w:rPr>
        <w:t xml:space="preserve">, along with a narrative that demonstrates that the Exchange user fees are applied as an adjustment to the </w:t>
      </w:r>
      <w:r w:rsidRPr="00EE3B6B" w:rsidR="00C66220">
        <w:rPr>
          <w:rFonts w:ascii="Times New Roman" w:hAnsi="Times New Roman" w:cs="Times New Roman"/>
        </w:rPr>
        <w:t>Index Rate</w:t>
      </w:r>
      <w:r w:rsidRPr="00EE3B6B" w:rsidR="008A41AB">
        <w:rPr>
          <w:rFonts w:ascii="Times New Roman" w:hAnsi="Times New Roman" w:cs="Times New Roman"/>
        </w:rPr>
        <w:t xml:space="preserve"> at the market level</w:t>
      </w:r>
      <w:r w:rsidRPr="00EE3B6B" w:rsidR="00157347">
        <w:rPr>
          <w:rFonts w:ascii="Times New Roman" w:hAnsi="Times New Roman" w:cs="Times New Roman"/>
        </w:rPr>
        <w:t>. The value should reflect the expected mix of Exchange and non-Exchange enrollees.</w:t>
      </w:r>
    </w:p>
    <w:p w:rsidR="00E947B0" w:rsidRPr="00EE3B6B" w:rsidP="006D1FD2" w14:paraId="666AE4AA" w14:textId="77777777">
      <w:pPr>
        <w:keepLines/>
        <w:spacing w:after="120" w:line="276" w:lineRule="auto"/>
        <w:rPr>
          <w:rFonts w:ascii="Times New Roman" w:hAnsi="Times New Roman" w:cs="Times New Roman"/>
        </w:rPr>
      </w:pPr>
      <w:r w:rsidRPr="00EE3B6B">
        <w:rPr>
          <w:rFonts w:ascii="Times New Roman" w:hAnsi="Times New Roman" w:cs="Times New Roman"/>
          <w:b/>
        </w:rPr>
        <w:t>Market</w:t>
      </w:r>
      <w:r w:rsidRPr="00EE3B6B" w:rsidR="000339CF">
        <w:rPr>
          <w:rFonts w:ascii="Times New Roman" w:hAnsi="Times New Roman" w:cs="Times New Roman"/>
          <w:b/>
        </w:rPr>
        <w:t xml:space="preserve"> A</w:t>
      </w:r>
      <w:r w:rsidRPr="00EE3B6B">
        <w:rPr>
          <w:rFonts w:ascii="Times New Roman" w:hAnsi="Times New Roman" w:cs="Times New Roman"/>
          <w:b/>
        </w:rPr>
        <w:t xml:space="preserve">djusted </w:t>
      </w:r>
      <w:r w:rsidRPr="00EE3B6B" w:rsidR="000339CF">
        <w:rPr>
          <w:rFonts w:ascii="Times New Roman" w:hAnsi="Times New Roman" w:cs="Times New Roman"/>
          <w:b/>
        </w:rPr>
        <w:t>I</w:t>
      </w:r>
      <w:r w:rsidRPr="00EE3B6B">
        <w:rPr>
          <w:rFonts w:ascii="Times New Roman" w:hAnsi="Times New Roman" w:cs="Times New Roman"/>
          <w:b/>
        </w:rPr>
        <w:t xml:space="preserve">ndex </w:t>
      </w:r>
      <w:r w:rsidRPr="00EE3B6B" w:rsidR="000339CF">
        <w:rPr>
          <w:rFonts w:ascii="Times New Roman" w:hAnsi="Times New Roman" w:cs="Times New Roman"/>
          <w:b/>
        </w:rPr>
        <w:t>R</w:t>
      </w:r>
      <w:r w:rsidRPr="00EE3B6B">
        <w:rPr>
          <w:rFonts w:ascii="Times New Roman" w:hAnsi="Times New Roman" w:cs="Times New Roman"/>
          <w:b/>
        </w:rPr>
        <w:t>ate</w:t>
      </w:r>
      <w:r w:rsidRPr="00EE3B6B" w:rsidR="007A01A2">
        <w:rPr>
          <w:rFonts w:ascii="Times New Roman" w:hAnsi="Times New Roman" w:cs="Times New Roman"/>
          <w:b/>
        </w:rPr>
        <w:t>:</w:t>
      </w:r>
      <w:r w:rsidRPr="00EE3B6B" w:rsidR="007A01A2">
        <w:rPr>
          <w:rFonts w:ascii="Times New Roman" w:hAnsi="Times New Roman" w:cs="Times New Roman"/>
        </w:rPr>
        <w:t xml:space="preserve"> </w:t>
      </w:r>
      <w:r w:rsidRPr="00EE3B6B" w:rsidR="00E93878">
        <w:rPr>
          <w:rFonts w:ascii="Times New Roman" w:hAnsi="Times New Roman" w:cs="Times New Roman"/>
        </w:rPr>
        <w:t xml:space="preserve">The template calculates a </w:t>
      </w:r>
      <w:r w:rsidRPr="00EE3B6B" w:rsidR="00945DAA">
        <w:rPr>
          <w:rFonts w:ascii="Times New Roman" w:hAnsi="Times New Roman" w:cs="Times New Roman"/>
        </w:rPr>
        <w:t>MAIR</w:t>
      </w:r>
      <w:r w:rsidRPr="00EE3B6B">
        <w:rPr>
          <w:rFonts w:ascii="Times New Roman" w:hAnsi="Times New Roman" w:cs="Times New Roman"/>
        </w:rPr>
        <w:t xml:space="preserve"> by subtracting the amounts entered for reinsurance and risk adjustment (so a </w:t>
      </w:r>
      <w:r w:rsidRPr="00EE3B6B">
        <w:rPr>
          <w:rFonts w:ascii="Times New Roman" w:hAnsi="Times New Roman" w:cs="Times New Roman"/>
        </w:rPr>
        <w:t>negative risk adjustment entry results</w:t>
      </w:r>
      <w:r w:rsidRPr="00EE3B6B">
        <w:rPr>
          <w:rFonts w:ascii="Times New Roman" w:hAnsi="Times New Roman" w:cs="Times New Roman"/>
        </w:rPr>
        <w:t xml:space="preserve"> in an increase to the </w:t>
      </w:r>
      <w:r w:rsidRPr="00EE3B6B" w:rsidR="00945DAA">
        <w:rPr>
          <w:rFonts w:ascii="Times New Roman" w:hAnsi="Times New Roman" w:cs="Times New Roman"/>
        </w:rPr>
        <w:t>MAIR</w:t>
      </w:r>
      <w:r w:rsidRPr="00EE3B6B">
        <w:rPr>
          <w:rFonts w:ascii="Times New Roman" w:hAnsi="Times New Roman" w:cs="Times New Roman"/>
        </w:rPr>
        <w:t>) and dividing by 1 minus the exchange user fee percentage</w:t>
      </w:r>
      <w:r w:rsidRPr="00EE3B6B" w:rsidR="00E93878">
        <w:rPr>
          <w:rFonts w:ascii="Times New Roman" w:hAnsi="Times New Roman" w:cs="Times New Roman"/>
        </w:rPr>
        <w:t xml:space="preserve">. </w:t>
      </w:r>
    </w:p>
    <w:p w:rsidR="007A01A2" w:rsidRPr="00EE3B6B" w:rsidP="00423979" w14:paraId="2DD33C94" w14:textId="77777777">
      <w:pPr>
        <w:keepLines/>
        <w:spacing w:after="120" w:line="276" w:lineRule="auto"/>
        <w:ind w:left="360"/>
        <w:rPr>
          <w:rFonts w:ascii="Times New Roman" w:hAnsi="Times New Roman" w:cs="Times New Roman"/>
        </w:rPr>
      </w:pPr>
      <w:r w:rsidRPr="00EE3B6B">
        <w:rPr>
          <w:rFonts w:ascii="Times New Roman" w:hAnsi="Times New Roman" w:cs="Times New Roman"/>
        </w:rPr>
        <w:t xml:space="preserve">The </w:t>
      </w:r>
      <w:r w:rsidRPr="00EE3B6B" w:rsidR="00945DAA">
        <w:rPr>
          <w:rFonts w:ascii="Times New Roman" w:hAnsi="Times New Roman" w:cs="Times New Roman"/>
        </w:rPr>
        <w:t>MAIR</w:t>
      </w:r>
      <w:r w:rsidRPr="00EE3B6B">
        <w:rPr>
          <w:rFonts w:ascii="Times New Roman" w:hAnsi="Times New Roman" w:cs="Times New Roman"/>
        </w:rPr>
        <w:t xml:space="preserve"> calculation flows into Worksheet 2 where the allowable plan adjustment factors are applied to determine the </w:t>
      </w:r>
      <w:r w:rsidRPr="00EE3B6B" w:rsidR="00945DAA">
        <w:rPr>
          <w:rFonts w:ascii="Times New Roman" w:hAnsi="Times New Roman" w:cs="Times New Roman"/>
        </w:rPr>
        <w:t>PAIR</w:t>
      </w:r>
      <w:r w:rsidRPr="00EE3B6B" w:rsidR="00C9080B">
        <w:rPr>
          <w:rFonts w:ascii="Times New Roman" w:hAnsi="Times New Roman" w:cs="Times New Roman"/>
        </w:rPr>
        <w:t>.</w:t>
      </w:r>
      <w:r w:rsidRPr="00EE3B6B" w:rsidR="00321DE0">
        <w:rPr>
          <w:rFonts w:ascii="Times New Roman" w:hAnsi="Times New Roman" w:cs="Times New Roman"/>
        </w:rPr>
        <w:t xml:space="preserve"> For annual filings, this should be the </w:t>
      </w:r>
      <w:r w:rsidRPr="00EE3B6B" w:rsidR="00C66220">
        <w:rPr>
          <w:rFonts w:ascii="Times New Roman" w:hAnsi="Times New Roman" w:cs="Times New Roman"/>
        </w:rPr>
        <w:t>Index Rate</w:t>
      </w:r>
      <w:r w:rsidRPr="00EE3B6B" w:rsidR="00321DE0">
        <w:rPr>
          <w:rFonts w:ascii="Times New Roman" w:hAnsi="Times New Roman" w:cs="Times New Roman"/>
        </w:rPr>
        <w:t xml:space="preserve"> that applies for </w:t>
      </w:r>
      <w:r w:rsidRPr="00EE3B6B" w:rsidR="005E1791">
        <w:rPr>
          <w:rFonts w:ascii="Times New Roman" w:hAnsi="Times New Roman" w:cs="Times New Roman"/>
        </w:rPr>
        <w:t xml:space="preserve">the </w:t>
      </w:r>
      <w:r w:rsidRPr="00EE3B6B" w:rsidR="00321DE0">
        <w:rPr>
          <w:rFonts w:ascii="Times New Roman" w:hAnsi="Times New Roman" w:cs="Times New Roman"/>
        </w:rPr>
        <w:t xml:space="preserve">first quarter. For quarterly small group filings, the </w:t>
      </w:r>
      <w:r w:rsidRPr="00EE3B6B" w:rsidR="00C66220">
        <w:rPr>
          <w:rFonts w:ascii="Times New Roman" w:hAnsi="Times New Roman" w:cs="Times New Roman"/>
        </w:rPr>
        <w:t>Index Rate</w:t>
      </w:r>
      <w:r w:rsidRPr="00EE3B6B" w:rsidR="00321DE0">
        <w:rPr>
          <w:rFonts w:ascii="Times New Roman" w:hAnsi="Times New Roman" w:cs="Times New Roman"/>
        </w:rPr>
        <w:t xml:space="preserve"> should represent the </w:t>
      </w:r>
      <w:r w:rsidRPr="00EE3B6B" w:rsidR="00C66220">
        <w:rPr>
          <w:rFonts w:ascii="Times New Roman" w:hAnsi="Times New Roman" w:cs="Times New Roman"/>
        </w:rPr>
        <w:t>Index Rate</w:t>
      </w:r>
      <w:r w:rsidRPr="00EE3B6B" w:rsidR="00321DE0">
        <w:rPr>
          <w:rFonts w:ascii="Times New Roman" w:hAnsi="Times New Roman" w:cs="Times New Roman"/>
        </w:rPr>
        <w:t xml:space="preserve"> applicable to the initial quarter being changed. For instance, a small group rate filing applicable to the third and fourth quarter rates should reflect the third quarter </w:t>
      </w:r>
      <w:r w:rsidRPr="00EE3B6B" w:rsidR="00C66220">
        <w:rPr>
          <w:rFonts w:ascii="Times New Roman" w:hAnsi="Times New Roman" w:cs="Times New Roman"/>
        </w:rPr>
        <w:t>Index Rate</w:t>
      </w:r>
      <w:r w:rsidRPr="00EE3B6B" w:rsidR="00321DE0">
        <w:rPr>
          <w:rFonts w:ascii="Times New Roman" w:hAnsi="Times New Roman" w:cs="Times New Roman"/>
        </w:rPr>
        <w:t>.</w:t>
      </w:r>
    </w:p>
    <w:p w:rsidR="007A01A2" w:rsidRPr="00EE3B6B" w:rsidP="006D1FD2" w14:paraId="1BC7C60C" w14:textId="77777777">
      <w:pPr>
        <w:keepLines/>
        <w:spacing w:after="120" w:line="276" w:lineRule="auto"/>
        <w:rPr>
          <w:rFonts w:ascii="Times New Roman" w:hAnsi="Times New Roman" w:cs="Times New Roman"/>
        </w:rPr>
      </w:pPr>
      <w:r w:rsidRPr="00EE3B6B">
        <w:rPr>
          <w:rFonts w:ascii="Times New Roman" w:hAnsi="Times New Roman" w:cs="Times New Roman"/>
          <w:b/>
        </w:rPr>
        <w:t>Projected Member Months:</w:t>
      </w:r>
      <w:r w:rsidRPr="00EE3B6B" w:rsidR="00F66EC9">
        <w:rPr>
          <w:rFonts w:ascii="Times New Roman" w:hAnsi="Times New Roman" w:cs="Times New Roman"/>
        </w:rPr>
        <w:t xml:space="preserve"> </w:t>
      </w:r>
      <w:r w:rsidRPr="00EE3B6B">
        <w:rPr>
          <w:rFonts w:ascii="Times New Roman" w:hAnsi="Times New Roman" w:cs="Times New Roman"/>
        </w:rPr>
        <w:t xml:space="preserve"> </w:t>
      </w:r>
      <w:r w:rsidRPr="00EE3B6B" w:rsidR="00321DE0">
        <w:rPr>
          <w:rFonts w:ascii="Times New Roman" w:hAnsi="Times New Roman" w:cs="Times New Roman"/>
        </w:rPr>
        <w:t xml:space="preserve">This field is </w:t>
      </w:r>
      <w:r w:rsidRPr="00EE3B6B" w:rsidR="005E1791">
        <w:rPr>
          <w:rFonts w:ascii="Times New Roman" w:hAnsi="Times New Roman" w:cs="Times New Roman"/>
        </w:rPr>
        <w:t xml:space="preserve">automatically </w:t>
      </w:r>
      <w:r w:rsidRPr="00EE3B6B" w:rsidR="00321DE0">
        <w:rPr>
          <w:rFonts w:ascii="Times New Roman" w:hAnsi="Times New Roman" w:cs="Times New Roman"/>
        </w:rPr>
        <w:t>pulled from Worksheet 2</w:t>
      </w:r>
      <w:r w:rsidRPr="00EE3B6B">
        <w:rPr>
          <w:rFonts w:ascii="Times New Roman" w:hAnsi="Times New Roman" w:cs="Times New Roman"/>
        </w:rPr>
        <w:t>.</w:t>
      </w:r>
    </w:p>
    <w:p w:rsidR="00F66EC9" w:rsidRPr="006C6C1A" w:rsidP="006C6C1A" w14:paraId="5A056A63" w14:textId="77777777">
      <w:pPr>
        <w:pStyle w:val="Heading2"/>
        <w:numPr>
          <w:ilvl w:val="0"/>
          <w:numId w:val="0"/>
        </w:numPr>
        <w:ind w:left="360" w:hanging="360"/>
      </w:pPr>
      <w:bookmarkStart w:id="38" w:name="_Toc174003427"/>
      <w:r w:rsidRPr="006C6C1A">
        <w:t>Section 2.2 Worksheet 2 – Plan Product Information</w:t>
      </w:r>
      <w:bookmarkEnd w:id="38"/>
    </w:p>
    <w:p w:rsidR="00F66EC9" w:rsidRPr="00EE3B6B" w:rsidP="006D1FD2" w14:paraId="1CCF425E" w14:textId="77777777">
      <w:pPr>
        <w:keepLines/>
        <w:spacing w:after="120" w:line="276" w:lineRule="auto"/>
        <w:rPr>
          <w:rFonts w:ascii="Times New Roman" w:hAnsi="Times New Roman" w:cs="Times New Roman"/>
        </w:rPr>
      </w:pPr>
      <w:r w:rsidRPr="00EE3B6B">
        <w:rPr>
          <w:rFonts w:ascii="Times New Roman" w:hAnsi="Times New Roman" w:cs="Times New Roman"/>
        </w:rPr>
        <w:t xml:space="preserve">The purpose of Worksheet 2 is to capture information at the product and plan level. The worksheet captures information on </w:t>
      </w:r>
      <w:r w:rsidRPr="00EE3B6B" w:rsidR="00C66220">
        <w:rPr>
          <w:rFonts w:ascii="Times New Roman" w:hAnsi="Times New Roman" w:cs="Times New Roman"/>
        </w:rPr>
        <w:t>Experience Period</w:t>
      </w:r>
      <w:r w:rsidRPr="00EE3B6B">
        <w:rPr>
          <w:rFonts w:ascii="Times New Roman" w:hAnsi="Times New Roman" w:cs="Times New Roman"/>
        </w:rPr>
        <w:t xml:space="preserve"> data, </w:t>
      </w:r>
      <w:r w:rsidRPr="00EE3B6B" w:rsidR="00945DAA">
        <w:rPr>
          <w:rFonts w:ascii="Times New Roman" w:hAnsi="Times New Roman" w:cs="Times New Roman"/>
        </w:rPr>
        <w:t xml:space="preserve">Plan Adjustment Factors, </w:t>
      </w:r>
      <w:r w:rsidRPr="00EE3B6B" w:rsidR="00C66220">
        <w:rPr>
          <w:rFonts w:ascii="Times New Roman" w:hAnsi="Times New Roman" w:cs="Times New Roman"/>
        </w:rPr>
        <w:t>Projection Period</w:t>
      </w:r>
      <w:r w:rsidRPr="00EE3B6B">
        <w:rPr>
          <w:rFonts w:ascii="Times New Roman" w:hAnsi="Times New Roman" w:cs="Times New Roman"/>
        </w:rPr>
        <w:t xml:space="preserve"> data</w:t>
      </w:r>
      <w:r w:rsidRPr="00EE3B6B" w:rsidR="001F6909">
        <w:rPr>
          <w:rFonts w:ascii="Times New Roman" w:hAnsi="Times New Roman" w:cs="Times New Roman"/>
        </w:rPr>
        <w:t>,</w:t>
      </w:r>
      <w:r w:rsidRPr="00EE3B6B">
        <w:rPr>
          <w:rFonts w:ascii="Times New Roman" w:hAnsi="Times New Roman" w:cs="Times New Roman"/>
        </w:rPr>
        <w:t xml:space="preserve"> and other information related to each product or plan. There are four sections in this worksheet.</w:t>
      </w:r>
    </w:p>
    <w:p w:rsidR="00B439A5" w:rsidRPr="00EE3B6B" w:rsidP="00423979" w14:paraId="5631C0ED" w14:textId="77777777">
      <w:pPr>
        <w:pStyle w:val="ListParagraph"/>
        <w:keepLines/>
        <w:numPr>
          <w:ilvl w:val="0"/>
          <w:numId w:val="12"/>
        </w:numPr>
        <w:spacing w:after="120" w:line="276" w:lineRule="auto"/>
        <w:ind w:left="720"/>
        <w:rPr>
          <w:rFonts w:ascii="Times New Roman" w:hAnsi="Times New Roman" w:cs="Times New Roman"/>
        </w:rPr>
      </w:pPr>
      <w:r w:rsidRPr="00EE3B6B">
        <w:rPr>
          <w:rFonts w:ascii="Times New Roman" w:hAnsi="Times New Roman" w:cs="Times New Roman"/>
          <w:u w:val="single"/>
        </w:rPr>
        <w:t>Section I</w:t>
      </w:r>
      <w:r w:rsidRPr="00EE3B6B">
        <w:rPr>
          <w:rFonts w:ascii="Times New Roman" w:hAnsi="Times New Roman" w:cs="Times New Roman"/>
        </w:rPr>
        <w:t xml:space="preserve"> </w:t>
      </w:r>
      <w:r w:rsidRPr="00EE3B6B" w:rsidR="005D643D">
        <w:rPr>
          <w:rFonts w:ascii="Times New Roman" w:hAnsi="Times New Roman" w:cs="Times New Roman"/>
        </w:rPr>
        <w:t xml:space="preserve">(General Product and Plan Information) </w:t>
      </w:r>
      <w:r w:rsidRPr="00EE3B6B">
        <w:rPr>
          <w:rFonts w:ascii="Times New Roman" w:hAnsi="Times New Roman" w:cs="Times New Roman"/>
        </w:rPr>
        <w:t>captures information about each product and plan. This includes general information such as the plan and product IDs, along with more specific information such as the effective date, A</w:t>
      </w:r>
      <w:r w:rsidRPr="00EE3B6B" w:rsidR="00A6386B">
        <w:rPr>
          <w:rFonts w:ascii="Times New Roman" w:hAnsi="Times New Roman" w:cs="Times New Roman"/>
        </w:rPr>
        <w:t>ctuarial Value (AV)</w:t>
      </w:r>
      <w:r w:rsidRPr="00EE3B6B" w:rsidR="001F6909">
        <w:rPr>
          <w:rFonts w:ascii="Times New Roman" w:hAnsi="Times New Roman" w:cs="Times New Roman"/>
        </w:rPr>
        <w:t>,</w:t>
      </w:r>
      <w:r w:rsidRPr="00EE3B6B">
        <w:rPr>
          <w:rFonts w:ascii="Times New Roman" w:hAnsi="Times New Roman" w:cs="Times New Roman"/>
        </w:rPr>
        <w:t xml:space="preserve"> and rate</w:t>
      </w:r>
      <w:r w:rsidRPr="00EE3B6B">
        <w:rPr>
          <w:rFonts w:ascii="Times New Roman" w:hAnsi="Times New Roman" w:cs="Times New Roman"/>
          <w:spacing w:val="-10"/>
        </w:rPr>
        <w:t xml:space="preserve"> </w:t>
      </w:r>
      <w:r w:rsidRPr="00EE3B6B">
        <w:rPr>
          <w:rFonts w:ascii="Times New Roman" w:hAnsi="Times New Roman" w:cs="Times New Roman"/>
        </w:rPr>
        <w:t>change.</w:t>
      </w:r>
    </w:p>
    <w:p w:rsidR="00B439A5" w:rsidRPr="00EE3B6B" w:rsidP="00423979" w14:paraId="4DC32774" w14:textId="77777777">
      <w:pPr>
        <w:pStyle w:val="ListParagraph"/>
        <w:keepLines/>
        <w:numPr>
          <w:ilvl w:val="0"/>
          <w:numId w:val="12"/>
        </w:numPr>
        <w:spacing w:after="120" w:line="276" w:lineRule="auto"/>
        <w:ind w:left="720"/>
        <w:rPr>
          <w:rFonts w:ascii="Times New Roman" w:hAnsi="Times New Roman" w:cs="Times New Roman"/>
        </w:rPr>
      </w:pPr>
      <w:r w:rsidRPr="00EE3B6B">
        <w:rPr>
          <w:rFonts w:ascii="Times New Roman" w:hAnsi="Times New Roman" w:cs="Times New Roman"/>
          <w:u w:val="single"/>
        </w:rPr>
        <w:t>Section II</w:t>
      </w:r>
      <w:r w:rsidRPr="00EE3B6B">
        <w:rPr>
          <w:rFonts w:ascii="Times New Roman" w:hAnsi="Times New Roman" w:cs="Times New Roman"/>
        </w:rPr>
        <w:t xml:space="preserve"> </w:t>
      </w:r>
      <w:r w:rsidRPr="00EE3B6B" w:rsidR="005D643D">
        <w:rPr>
          <w:rFonts w:ascii="Times New Roman" w:hAnsi="Times New Roman" w:cs="Times New Roman"/>
        </w:rPr>
        <w:t>(</w:t>
      </w:r>
      <w:r w:rsidRPr="00EE3B6B" w:rsidR="00C66220">
        <w:rPr>
          <w:rFonts w:ascii="Times New Roman" w:hAnsi="Times New Roman" w:cs="Times New Roman"/>
        </w:rPr>
        <w:t>Experience Period</w:t>
      </w:r>
      <w:r w:rsidRPr="00EE3B6B" w:rsidR="005D643D">
        <w:rPr>
          <w:rFonts w:ascii="Times New Roman" w:hAnsi="Times New Roman" w:cs="Times New Roman"/>
        </w:rPr>
        <w:t xml:space="preserve"> and Current Plan Level Information) </w:t>
      </w:r>
      <w:r w:rsidRPr="00EE3B6B">
        <w:rPr>
          <w:rFonts w:ascii="Times New Roman" w:hAnsi="Times New Roman" w:cs="Times New Roman"/>
        </w:rPr>
        <w:t>captures</w:t>
      </w:r>
      <w:r w:rsidRPr="00EE3B6B" w:rsidR="00D0457A">
        <w:rPr>
          <w:rFonts w:ascii="Times New Roman" w:hAnsi="Times New Roman" w:cs="Times New Roman"/>
        </w:rPr>
        <w:t xml:space="preserve"> current and</w:t>
      </w:r>
      <w:r w:rsidRPr="00EE3B6B">
        <w:rPr>
          <w:rFonts w:ascii="Times New Roman" w:hAnsi="Times New Roman" w:cs="Times New Roman"/>
        </w:rPr>
        <w:t xml:space="preserve"> historical information such as premium and claims in a more detailed manner than in Worksheet 1. Information related to risk </w:t>
      </w:r>
      <w:r w:rsidRPr="00EE3B6B" w:rsidR="00A6386B">
        <w:rPr>
          <w:rFonts w:ascii="Times New Roman" w:hAnsi="Times New Roman" w:cs="Times New Roman"/>
        </w:rPr>
        <w:t xml:space="preserve">adjustment </w:t>
      </w:r>
      <w:r w:rsidRPr="00EE3B6B">
        <w:rPr>
          <w:rFonts w:ascii="Times New Roman" w:hAnsi="Times New Roman" w:cs="Times New Roman"/>
        </w:rPr>
        <w:t>transfer charges and payments, reinsurance, and c</w:t>
      </w:r>
      <w:r w:rsidRPr="00EE3B6B" w:rsidR="00D0457A">
        <w:rPr>
          <w:rFonts w:ascii="Times New Roman" w:hAnsi="Times New Roman" w:cs="Times New Roman"/>
        </w:rPr>
        <w:t>urrent membership</w:t>
      </w:r>
      <w:r w:rsidRPr="00EE3B6B" w:rsidR="0079086E">
        <w:rPr>
          <w:rFonts w:ascii="Times New Roman" w:hAnsi="Times New Roman" w:cs="Times New Roman"/>
        </w:rPr>
        <w:t xml:space="preserve"> is also collected</w:t>
      </w:r>
      <w:r w:rsidRPr="00EE3B6B">
        <w:rPr>
          <w:rFonts w:ascii="Times New Roman" w:hAnsi="Times New Roman" w:cs="Times New Roman"/>
        </w:rPr>
        <w:t>.</w:t>
      </w:r>
    </w:p>
    <w:p w:rsidR="006769D4" w:rsidRPr="00EE3B6B" w:rsidP="00423979" w14:paraId="52CD616F" w14:textId="77777777">
      <w:pPr>
        <w:pStyle w:val="ListParagraph"/>
        <w:keepLines/>
        <w:numPr>
          <w:ilvl w:val="0"/>
          <w:numId w:val="12"/>
        </w:numPr>
        <w:spacing w:after="120" w:line="276" w:lineRule="auto"/>
        <w:ind w:left="720"/>
        <w:rPr>
          <w:rFonts w:ascii="Times New Roman" w:hAnsi="Times New Roman" w:cs="Times New Roman"/>
        </w:rPr>
      </w:pPr>
      <w:r w:rsidRPr="00EE3B6B">
        <w:rPr>
          <w:rFonts w:ascii="Times New Roman" w:hAnsi="Times New Roman" w:cs="Times New Roman"/>
          <w:u w:val="single"/>
        </w:rPr>
        <w:t>Section I</w:t>
      </w:r>
      <w:r w:rsidRPr="00EE3B6B" w:rsidR="00D0457A">
        <w:rPr>
          <w:rFonts w:ascii="Times New Roman" w:hAnsi="Times New Roman" w:cs="Times New Roman"/>
          <w:u w:val="single"/>
        </w:rPr>
        <w:t>II</w:t>
      </w:r>
      <w:r w:rsidRPr="00EE3B6B">
        <w:rPr>
          <w:rFonts w:ascii="Times New Roman" w:hAnsi="Times New Roman" w:cs="Times New Roman"/>
          <w:u w:val="single"/>
        </w:rPr>
        <w:t xml:space="preserve"> </w:t>
      </w:r>
      <w:r w:rsidRPr="00EE3B6B">
        <w:rPr>
          <w:rFonts w:ascii="Times New Roman" w:hAnsi="Times New Roman" w:cs="Times New Roman"/>
        </w:rPr>
        <w:t>(Plan Adjustment Factors)</w:t>
      </w:r>
      <w:r w:rsidRPr="00EE3B6B" w:rsidR="00A6386B">
        <w:rPr>
          <w:rFonts w:ascii="Times New Roman" w:hAnsi="Times New Roman" w:cs="Times New Roman"/>
        </w:rPr>
        <w:t xml:space="preserve"> collects the allowable plan level adjustments found in 45 CFR 156.80(d)(2) and the calibration factors discussed in 45 CFR 156.80(d)(3).</w:t>
      </w:r>
    </w:p>
    <w:p w:rsidR="00B439A5" w:rsidRPr="00EE3B6B" w:rsidP="00423979" w14:paraId="2C1FC66D" w14:textId="77777777">
      <w:pPr>
        <w:pStyle w:val="ListParagraph"/>
        <w:keepLines/>
        <w:numPr>
          <w:ilvl w:val="0"/>
          <w:numId w:val="12"/>
        </w:numPr>
        <w:spacing w:after="120" w:line="276" w:lineRule="auto"/>
        <w:ind w:left="720"/>
        <w:rPr>
          <w:rFonts w:ascii="Times New Roman" w:hAnsi="Times New Roman" w:cs="Times New Roman"/>
        </w:rPr>
      </w:pPr>
      <w:r w:rsidRPr="00EE3B6B">
        <w:rPr>
          <w:rFonts w:ascii="Times New Roman" w:hAnsi="Times New Roman" w:cs="Times New Roman"/>
          <w:u w:val="single"/>
        </w:rPr>
        <w:t>Section IV</w:t>
      </w:r>
      <w:r w:rsidRPr="00EE3B6B">
        <w:rPr>
          <w:rFonts w:ascii="Times New Roman" w:hAnsi="Times New Roman" w:cs="Times New Roman"/>
        </w:rPr>
        <w:t xml:space="preserve"> </w:t>
      </w:r>
      <w:r w:rsidRPr="00EE3B6B" w:rsidR="005D643D">
        <w:rPr>
          <w:rFonts w:ascii="Times New Roman" w:hAnsi="Times New Roman" w:cs="Times New Roman"/>
        </w:rPr>
        <w:t>(P</w:t>
      </w:r>
      <w:r w:rsidRPr="00EE3B6B">
        <w:rPr>
          <w:rFonts w:ascii="Times New Roman" w:hAnsi="Times New Roman" w:cs="Times New Roman"/>
        </w:rPr>
        <w:t>rojected Plan Level Information</w:t>
      </w:r>
      <w:r w:rsidRPr="00EE3B6B" w:rsidR="005D643D">
        <w:rPr>
          <w:rFonts w:ascii="Times New Roman" w:hAnsi="Times New Roman" w:cs="Times New Roman"/>
        </w:rPr>
        <w:t xml:space="preserve">) </w:t>
      </w:r>
      <w:r w:rsidRPr="00EE3B6B">
        <w:rPr>
          <w:rFonts w:ascii="Times New Roman" w:hAnsi="Times New Roman" w:cs="Times New Roman"/>
        </w:rPr>
        <w:t>c</w:t>
      </w:r>
      <w:r w:rsidRPr="00EE3B6B" w:rsidR="001458AB">
        <w:rPr>
          <w:rFonts w:ascii="Times New Roman" w:hAnsi="Times New Roman" w:cs="Times New Roman"/>
        </w:rPr>
        <w:t>apture</w:t>
      </w:r>
      <w:r w:rsidRPr="00EE3B6B">
        <w:rPr>
          <w:rFonts w:ascii="Times New Roman" w:hAnsi="Times New Roman" w:cs="Times New Roman"/>
        </w:rPr>
        <w:t xml:space="preserve">s </w:t>
      </w:r>
      <w:r w:rsidRPr="00EE3B6B" w:rsidR="001458AB">
        <w:rPr>
          <w:rFonts w:ascii="Times New Roman" w:hAnsi="Times New Roman" w:cs="Times New Roman"/>
        </w:rPr>
        <w:t>similar</w:t>
      </w:r>
      <w:r w:rsidRPr="00EE3B6B">
        <w:rPr>
          <w:rFonts w:ascii="Times New Roman" w:hAnsi="Times New Roman" w:cs="Times New Roman"/>
        </w:rPr>
        <w:t xml:space="preserve"> information collected in Section II, for the </w:t>
      </w:r>
      <w:r w:rsidRPr="00EE3B6B" w:rsidR="00C66220">
        <w:rPr>
          <w:rFonts w:ascii="Times New Roman" w:hAnsi="Times New Roman" w:cs="Times New Roman"/>
        </w:rPr>
        <w:t>Projection Period</w:t>
      </w:r>
      <w:r w:rsidRPr="00EE3B6B">
        <w:rPr>
          <w:rFonts w:ascii="Times New Roman" w:hAnsi="Times New Roman" w:cs="Times New Roman"/>
        </w:rPr>
        <w:t>.</w:t>
      </w:r>
    </w:p>
    <w:p w:rsidR="00FA1E74" w:rsidRPr="006C6C1A" w:rsidP="006C6C1A" w14:paraId="5A0C1B0A" w14:textId="77777777">
      <w:pPr>
        <w:pStyle w:val="Heading3"/>
        <w:numPr>
          <w:ilvl w:val="0"/>
          <w:numId w:val="0"/>
        </w:numPr>
        <w:ind w:left="720" w:hanging="720"/>
      </w:pPr>
      <w:bookmarkStart w:id="39" w:name="_Toc174003428"/>
      <w:r w:rsidRPr="006C6C1A">
        <w:t>2.2.</w:t>
      </w:r>
      <w:r w:rsidRPr="006C6C1A" w:rsidR="000D6583">
        <w:t>1</w:t>
      </w:r>
      <w:r w:rsidRPr="006C6C1A">
        <w:t xml:space="preserve"> Section I: General Product and Plan Information</w:t>
      </w:r>
      <w:bookmarkEnd w:id="39"/>
    </w:p>
    <w:p w:rsidR="009B78BC" w:rsidRPr="00EE3B6B" w:rsidP="006D1FD2" w14:paraId="1D762780" w14:textId="77777777">
      <w:pPr>
        <w:keepLines/>
        <w:spacing w:after="120" w:line="276" w:lineRule="auto"/>
        <w:rPr>
          <w:rFonts w:ascii="Times New Roman" w:hAnsi="Times New Roman" w:cs="Times New Roman"/>
        </w:rPr>
      </w:pPr>
      <w:r w:rsidRPr="00EE3B6B">
        <w:rPr>
          <w:rFonts w:ascii="Times New Roman" w:hAnsi="Times New Roman" w:cs="Times New Roman"/>
        </w:rPr>
        <w:t>All products and plans i</w:t>
      </w:r>
      <w:r w:rsidRPr="00EE3B6B" w:rsidR="0056755E">
        <w:rPr>
          <w:rFonts w:ascii="Times New Roman" w:hAnsi="Times New Roman" w:cs="Times New Roman"/>
        </w:rPr>
        <w:t>ncluded in the single risk pool</w:t>
      </w:r>
      <w:r w:rsidRPr="00EE3B6B">
        <w:rPr>
          <w:rFonts w:ascii="Times New Roman" w:hAnsi="Times New Roman" w:cs="Times New Roman"/>
        </w:rPr>
        <w:t xml:space="preserve"> must be accounted for on Worksheet 2 of the URRT. Each </w:t>
      </w:r>
      <w:r w:rsidRPr="00EE3B6B" w:rsidR="00D5058D">
        <w:rPr>
          <w:rFonts w:ascii="Times New Roman" w:hAnsi="Times New Roman" w:cs="Times New Roman"/>
        </w:rPr>
        <w:t xml:space="preserve">non-transitional </w:t>
      </w:r>
      <w:r w:rsidRPr="00EE3B6B">
        <w:rPr>
          <w:rFonts w:ascii="Times New Roman" w:hAnsi="Times New Roman" w:cs="Times New Roman"/>
        </w:rPr>
        <w:t xml:space="preserve">plan that will be offered for sale must have its own column in the URRT indicating if the plan is new or renewing, along with an appropriate rate change entered in </w:t>
      </w:r>
      <w:r w:rsidRPr="00EE3B6B" w:rsidR="00E63A9E">
        <w:rPr>
          <w:rFonts w:ascii="Times New Roman" w:hAnsi="Times New Roman" w:cs="Times New Roman"/>
        </w:rPr>
        <w:t>the Cumulative Rate Change % (over 12 mo</w:t>
      </w:r>
      <w:r w:rsidRPr="00EE3B6B" w:rsidR="00CA6340">
        <w:rPr>
          <w:rFonts w:ascii="Times New Roman" w:hAnsi="Times New Roman" w:cs="Times New Roman"/>
        </w:rPr>
        <w:t>nth</w:t>
      </w:r>
      <w:r w:rsidRPr="00EE3B6B" w:rsidR="00E63A9E">
        <w:rPr>
          <w:rFonts w:ascii="Times New Roman" w:hAnsi="Times New Roman" w:cs="Times New Roman"/>
        </w:rPr>
        <w:t>s prior) field</w:t>
      </w:r>
      <w:r w:rsidRPr="00EE3B6B">
        <w:rPr>
          <w:rFonts w:ascii="Times New Roman" w:hAnsi="Times New Roman" w:cs="Times New Roman"/>
        </w:rPr>
        <w:t xml:space="preserve"> </w:t>
      </w:r>
      <w:r w:rsidRPr="00EE3B6B" w:rsidR="00E63A9E">
        <w:rPr>
          <w:rFonts w:ascii="Times New Roman" w:hAnsi="Times New Roman" w:cs="Times New Roman"/>
        </w:rPr>
        <w:t xml:space="preserve">(Field 1.11) </w:t>
      </w:r>
      <w:r w:rsidRPr="00EE3B6B">
        <w:rPr>
          <w:rFonts w:ascii="Times New Roman" w:hAnsi="Times New Roman" w:cs="Times New Roman"/>
        </w:rPr>
        <w:t xml:space="preserve">of the URRT. Each plan </w:t>
      </w:r>
      <w:r w:rsidRPr="00EE3B6B" w:rsidR="00234528">
        <w:rPr>
          <w:rFonts w:ascii="Times New Roman" w:hAnsi="Times New Roman" w:cs="Times New Roman"/>
        </w:rPr>
        <w:t>offered in the experience period</w:t>
      </w:r>
      <w:r w:rsidRPr="00EE3B6B" w:rsidR="00AF2585">
        <w:rPr>
          <w:rFonts w:ascii="Times New Roman" w:hAnsi="Times New Roman" w:cs="Times New Roman"/>
        </w:rPr>
        <w:t>,</w:t>
      </w:r>
      <w:r w:rsidRPr="00EE3B6B" w:rsidR="00234528">
        <w:rPr>
          <w:rFonts w:ascii="Times New Roman" w:hAnsi="Times New Roman" w:cs="Times New Roman"/>
        </w:rPr>
        <w:t xml:space="preserve"> but </w:t>
      </w:r>
      <w:r w:rsidRPr="00EE3B6B">
        <w:rPr>
          <w:rFonts w:ascii="Times New Roman" w:hAnsi="Times New Roman" w:cs="Times New Roman"/>
        </w:rPr>
        <w:t xml:space="preserve">terminated prior to the effective date </w:t>
      </w:r>
      <w:r w:rsidRPr="00EE3B6B" w:rsidR="00234528">
        <w:rPr>
          <w:rFonts w:ascii="Times New Roman" w:hAnsi="Times New Roman" w:cs="Times New Roman"/>
        </w:rPr>
        <w:t>of the filing</w:t>
      </w:r>
      <w:r w:rsidRPr="00EE3B6B" w:rsidR="00AF2585">
        <w:rPr>
          <w:rFonts w:ascii="Times New Roman" w:hAnsi="Times New Roman" w:cs="Times New Roman"/>
        </w:rPr>
        <w:t>,</w:t>
      </w:r>
      <w:r w:rsidRPr="00EE3B6B" w:rsidR="00234528">
        <w:rPr>
          <w:rFonts w:ascii="Times New Roman" w:hAnsi="Times New Roman" w:cs="Times New Roman"/>
        </w:rPr>
        <w:t xml:space="preserve"> </w:t>
      </w:r>
      <w:r w:rsidRPr="00EE3B6B">
        <w:rPr>
          <w:rFonts w:ascii="Times New Roman" w:hAnsi="Times New Roman" w:cs="Times New Roman"/>
        </w:rPr>
        <w:t>should also have its own column indicating the plan will be terminated.</w:t>
      </w:r>
      <w:r w:rsidRPr="00EE3B6B" w:rsidR="00D5058D">
        <w:rPr>
          <w:rFonts w:ascii="Times New Roman" w:hAnsi="Times New Roman" w:cs="Times New Roman"/>
        </w:rPr>
        <w:t xml:space="preserve"> Transitional plan experience included in Worksheet 2 may be combined and entered under</w:t>
      </w:r>
      <w:r w:rsidRPr="00EE3B6B" w:rsidR="00F108ED">
        <w:rPr>
          <w:rFonts w:ascii="Times New Roman" w:hAnsi="Times New Roman" w:cs="Times New Roman"/>
        </w:rPr>
        <w:t xml:space="preserve"> a single plan.</w:t>
      </w:r>
    </w:p>
    <w:p w:rsidR="00630018" w:rsidRPr="00EE3B6B" w:rsidP="006D1FD2" w14:paraId="58D61D4F" w14:textId="77777777">
      <w:pPr>
        <w:keepLines/>
        <w:spacing w:after="120" w:line="276" w:lineRule="auto"/>
        <w:rPr>
          <w:rFonts w:ascii="Times New Roman" w:hAnsi="Times New Roman" w:cs="Times New Roman"/>
        </w:rPr>
      </w:pPr>
      <w:r w:rsidRPr="00EE3B6B">
        <w:rPr>
          <w:rFonts w:ascii="Times New Roman" w:hAnsi="Times New Roman" w:cs="Times New Roman"/>
        </w:rPr>
        <w:t>Terminated plans should have Experience Period information entered in Section II of the URRT, but Sections III and IV will be populated with 0. If members in a plan being terminated are mapped into a new or renewing plan(s), the projected experience of those members being mapped should be reflected under the mapped plan(s) in Section IV.</w:t>
      </w:r>
    </w:p>
    <w:p w:rsidR="00FA1E74" w:rsidRPr="00EE3B6B" w:rsidP="006D1FD2" w14:paraId="292F484D" w14:textId="27118C8F">
      <w:pPr>
        <w:keepLines/>
        <w:spacing w:after="120" w:line="276" w:lineRule="auto"/>
        <w:rPr>
          <w:rFonts w:ascii="Times New Roman" w:hAnsi="Times New Roman" w:cs="Times New Roman"/>
        </w:rPr>
      </w:pPr>
      <w:r w:rsidRPr="00EE3B6B">
        <w:rPr>
          <w:rFonts w:ascii="Times New Roman" w:hAnsi="Times New Roman" w:cs="Times New Roman"/>
          <w:b/>
        </w:rPr>
        <w:t>Product</w:t>
      </w:r>
      <w:r w:rsidRPr="00EE3B6B" w:rsidR="002701B2">
        <w:rPr>
          <w:rFonts w:ascii="Times New Roman" w:hAnsi="Times New Roman" w:cs="Times New Roman"/>
          <w:b/>
        </w:rPr>
        <w:t xml:space="preserve"> Name</w:t>
      </w:r>
      <w:r w:rsidRPr="00EE3B6B">
        <w:rPr>
          <w:rFonts w:ascii="Times New Roman" w:hAnsi="Times New Roman" w:cs="Times New Roman"/>
          <w:b/>
        </w:rPr>
        <w:t xml:space="preserve">: </w:t>
      </w:r>
      <w:r w:rsidRPr="00EE3B6B">
        <w:rPr>
          <w:rFonts w:ascii="Times New Roman" w:hAnsi="Times New Roman" w:cs="Times New Roman"/>
        </w:rPr>
        <w:t xml:space="preserve"> Enter the product name in the corresponding column(s).</w:t>
      </w:r>
    </w:p>
    <w:p w:rsidR="00FA1E74" w:rsidRPr="00EE3B6B" w:rsidP="00423979" w14:paraId="15F57B55" w14:textId="77777777">
      <w:pPr>
        <w:keepLines/>
        <w:spacing w:after="120" w:line="276" w:lineRule="auto"/>
        <w:ind w:left="360"/>
        <w:rPr>
          <w:rFonts w:ascii="Times New Roman" w:hAnsi="Times New Roman" w:cs="Times New Roman"/>
        </w:rPr>
      </w:pPr>
      <w:r w:rsidRPr="00EE3B6B">
        <w:rPr>
          <w:rFonts w:ascii="Times New Roman" w:hAnsi="Times New Roman" w:cs="Times New Roman"/>
        </w:rPr>
        <w:t>The term “product” means a discrete package of health insurance benefits a health insurance issuer offers using a particular product network type (e.g., HMO, PPO, EPO, POS, etc.) within a service area.  “Product” has the same meaning as included in 45 CFR 154.102 and 144.103.</w:t>
      </w:r>
    </w:p>
    <w:p w:rsidR="00F5707E" w:rsidRPr="00EE3B6B" w:rsidP="00423979" w14:paraId="058918B1" w14:textId="77777777">
      <w:pPr>
        <w:keepLines/>
        <w:spacing w:after="120" w:line="276" w:lineRule="auto"/>
        <w:ind w:left="360"/>
        <w:rPr>
          <w:rFonts w:ascii="Times New Roman" w:hAnsi="Times New Roman" w:cs="Times New Roman"/>
        </w:rPr>
      </w:pPr>
      <w:r w:rsidRPr="00423979">
        <w:rPr>
          <w:rFonts w:ascii="Times New Roman" w:hAnsi="Times New Roman" w:cs="Times New Roman"/>
          <w:noProof/>
        </w:rPr>
        <mc:AlternateContent>
          <mc:Choice Requires="wps">
            <w:drawing>
              <wp:anchor distT="45720" distB="45720" distL="114300" distR="114300" simplePos="0" relativeHeight="251676672" behindDoc="0" locked="1" layoutInCell="1" allowOverlap="1">
                <wp:simplePos x="0" y="0"/>
                <wp:positionH relativeFrom="margin">
                  <wp:posOffset>102235</wp:posOffset>
                </wp:positionH>
                <wp:positionV relativeFrom="margin">
                  <wp:posOffset>5920740</wp:posOffset>
                </wp:positionV>
                <wp:extent cx="5925185" cy="447040"/>
                <wp:effectExtent l="0" t="0" r="18415" b="10160"/>
                <wp:wrapSquare wrapText="bothSides"/>
                <wp:docPr id="6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5185" cy="447040"/>
                        </a:xfrm>
                        <a:prstGeom prst="rect">
                          <a:avLst/>
                        </a:prstGeom>
                        <a:solidFill>
                          <a:sysClr val="window" lastClr="FFFFFF">
                            <a:lumMod val="85000"/>
                          </a:sysClr>
                        </a:solidFill>
                        <a:ln w="9525">
                          <a:solidFill>
                            <a:srgbClr val="000000"/>
                          </a:solidFill>
                          <a:miter lim="800000"/>
                          <a:headEnd/>
                          <a:tailEnd/>
                        </a:ln>
                      </wps:spPr>
                      <wps:txbx>
                        <w:txbxContent>
                          <w:p w:rsidR="00D33AE9" w:rsidRPr="00423979" w:rsidP="003377A5" w14:textId="7C1B88B7">
                            <w:pPr>
                              <w:rPr>
                                <w:rFonts w:ascii="Times New Roman" w:hAnsi="Times New Roman" w:cs="Times New Roman"/>
                                <w:color w:val="323E4F"/>
                              </w:rPr>
                            </w:pPr>
                            <w:r w:rsidRPr="00423979">
                              <w:rPr>
                                <w:rFonts w:ascii="Times New Roman" w:hAnsi="Times New Roman" w:cs="Times New Roman"/>
                                <w:b/>
                                <w:color w:val="323E4F"/>
                                <w:u w:val="single"/>
                              </w:rPr>
                              <w:t>Tip:</w:t>
                            </w:r>
                            <w:r w:rsidRPr="00423979">
                              <w:rPr>
                                <w:rFonts w:ascii="Times New Roman" w:hAnsi="Times New Roman" w:cs="Times New Roman"/>
                                <w:color w:val="323E4F"/>
                              </w:rPr>
                              <w:t xml:space="preserve"> HIOS does not report product or plan names containing special characters. Consider spelling out name of special characters (e.g., “20Percent Coinsurance” rather than “20% Coinsurance”).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3" type="#_x0000_t202" style="width:466.55pt;height:35.2pt;margin-top:466.2pt;margin-left:8.05pt;mso-height-percent:0;mso-height-relative:margin;mso-position-horizontal-relative:margin;mso-position-vertical-relative:margin;mso-width-percent:0;mso-width-relative:margin;mso-wrap-distance-bottom:3.6pt;mso-wrap-distance-left:9pt;mso-wrap-distance-right:9pt;mso-wrap-distance-top:3.6pt;mso-wrap-style:square;position:absolute;visibility:visible;v-text-anchor:top;z-index:251677696" fillcolor="#d9d9d9">
                <v:textbox>
                  <w:txbxContent>
                    <w:p w:rsidR="00D33AE9" w:rsidRPr="00423979" w:rsidP="003377A5" w14:paraId="0A0C4C67" w14:textId="7C1B88B7">
                      <w:pPr>
                        <w:rPr>
                          <w:rFonts w:ascii="Times New Roman" w:hAnsi="Times New Roman" w:cs="Times New Roman"/>
                          <w:color w:val="323E4F"/>
                        </w:rPr>
                      </w:pPr>
                      <w:r w:rsidRPr="00423979">
                        <w:rPr>
                          <w:rFonts w:ascii="Times New Roman" w:hAnsi="Times New Roman" w:cs="Times New Roman"/>
                          <w:b/>
                          <w:color w:val="323E4F"/>
                          <w:u w:val="single"/>
                        </w:rPr>
                        <w:t>Tip:</w:t>
                      </w:r>
                      <w:r w:rsidRPr="00423979">
                        <w:rPr>
                          <w:rFonts w:ascii="Times New Roman" w:hAnsi="Times New Roman" w:cs="Times New Roman"/>
                          <w:color w:val="323E4F"/>
                        </w:rPr>
                        <w:t xml:space="preserve"> HIOS does not report product or plan names containing special characters. Consider spelling out name of special characters (e.g., “20Percent Coinsurance” rather than “20% Coinsurance”).</w:t>
                      </w:r>
                    </w:p>
                  </w:txbxContent>
                </v:textbox>
                <w10:wrap type="square"/>
                <w10:anchorlock/>
              </v:shape>
            </w:pict>
          </mc:Fallback>
        </mc:AlternateContent>
      </w:r>
      <w:r w:rsidRPr="00423979" w:rsidR="00F5707E">
        <w:rPr>
          <w:rFonts w:ascii="Times New Roman" w:hAnsi="Times New Roman" w:cs="Times New Roman"/>
        </w:rPr>
        <w:t>Currently</w:t>
      </w:r>
      <w:r w:rsidRPr="00EE3B6B" w:rsidR="00F5707E">
        <w:rPr>
          <w:rFonts w:ascii="Times New Roman" w:hAnsi="Times New Roman" w:cs="Times New Roman"/>
        </w:rPr>
        <w:t xml:space="preserve">, HIOS does not report product names containing special characters </w:t>
      </w:r>
      <w:r w:rsidRPr="00EE3B6B" w:rsidR="003C0673">
        <w:rPr>
          <w:rFonts w:ascii="Times New Roman" w:hAnsi="Times New Roman" w:cs="Times New Roman"/>
        </w:rPr>
        <w:t>(</w:t>
      </w:r>
      <w:r w:rsidRPr="00EE3B6B" w:rsidR="00F5707E">
        <w:rPr>
          <w:rFonts w:ascii="Times New Roman" w:hAnsi="Times New Roman" w:cs="Times New Roman"/>
        </w:rPr>
        <w:t>e.g.</w:t>
      </w:r>
      <w:r w:rsidRPr="00EE3B6B" w:rsidR="003C0673">
        <w:rPr>
          <w:rFonts w:ascii="Times New Roman" w:hAnsi="Times New Roman" w:cs="Times New Roman"/>
        </w:rPr>
        <w:t>,</w:t>
      </w:r>
      <w:r w:rsidRPr="00EE3B6B" w:rsidR="00F5707E">
        <w:rPr>
          <w:rFonts w:ascii="Times New Roman" w:hAnsi="Times New Roman" w:cs="Times New Roman"/>
        </w:rPr>
        <w:t xml:space="preserve"> “%”</w:t>
      </w:r>
      <w:r w:rsidRPr="00EE3B6B" w:rsidR="003C0673">
        <w:rPr>
          <w:rFonts w:ascii="Times New Roman" w:hAnsi="Times New Roman" w:cs="Times New Roman"/>
        </w:rPr>
        <w:t>).</w:t>
      </w:r>
      <w:r w:rsidRPr="00EE3B6B" w:rsidR="00F5707E">
        <w:rPr>
          <w:rFonts w:ascii="Times New Roman" w:hAnsi="Times New Roman" w:cs="Times New Roman"/>
        </w:rPr>
        <w:t xml:space="preserve"> It is recommended that products containing special characters spell out the name of the special character </w:t>
      </w:r>
      <w:r w:rsidRPr="00EE3B6B" w:rsidR="003C0673">
        <w:rPr>
          <w:rFonts w:ascii="Times New Roman" w:hAnsi="Times New Roman" w:cs="Times New Roman"/>
        </w:rPr>
        <w:t>(</w:t>
      </w:r>
      <w:r w:rsidRPr="00EE3B6B" w:rsidR="00F5707E">
        <w:rPr>
          <w:rFonts w:ascii="Times New Roman" w:hAnsi="Times New Roman" w:cs="Times New Roman"/>
        </w:rPr>
        <w:t>e.g.</w:t>
      </w:r>
      <w:r w:rsidRPr="00EE3B6B" w:rsidR="003C0673">
        <w:rPr>
          <w:rFonts w:ascii="Times New Roman" w:hAnsi="Times New Roman" w:cs="Times New Roman"/>
        </w:rPr>
        <w:t>,</w:t>
      </w:r>
      <w:r w:rsidRPr="00EE3B6B" w:rsidR="00F5707E">
        <w:rPr>
          <w:rFonts w:ascii="Times New Roman" w:hAnsi="Times New Roman" w:cs="Times New Roman"/>
        </w:rPr>
        <w:t xml:space="preserve"> “20Percent Coinsurance” instead of “20% Coinsurance”</w:t>
      </w:r>
      <w:r w:rsidRPr="00EE3B6B" w:rsidR="003C0673">
        <w:rPr>
          <w:rFonts w:ascii="Times New Roman" w:hAnsi="Times New Roman" w:cs="Times New Roman"/>
        </w:rPr>
        <w:t>).</w:t>
      </w:r>
    </w:p>
    <w:p w:rsidR="00F069D2" w:rsidRPr="00EE3B6B" w:rsidP="006D1FD2" w14:paraId="7784E33D" w14:textId="77777777">
      <w:pPr>
        <w:keepLines/>
        <w:spacing w:after="120" w:line="276" w:lineRule="auto"/>
        <w:rPr>
          <w:rFonts w:ascii="Times New Roman" w:hAnsi="Times New Roman" w:cs="Times New Roman"/>
        </w:rPr>
      </w:pPr>
      <w:r w:rsidRPr="00EE3B6B">
        <w:rPr>
          <w:rFonts w:ascii="Times New Roman" w:hAnsi="Times New Roman" w:cs="Times New Roman"/>
          <w:b/>
        </w:rPr>
        <w:t xml:space="preserve">Product ID: </w:t>
      </w:r>
      <w:r w:rsidRPr="00EE3B6B">
        <w:rPr>
          <w:rFonts w:ascii="Times New Roman" w:hAnsi="Times New Roman" w:cs="Times New Roman"/>
        </w:rPr>
        <w:t xml:space="preserve"> Enter the product ID that corresponds with each product. The two-letter </w:t>
      </w:r>
      <w:r w:rsidRPr="00EE3B6B" w:rsidR="00A52393">
        <w:rPr>
          <w:rFonts w:ascii="Times New Roman" w:hAnsi="Times New Roman" w:cs="Times New Roman"/>
        </w:rPr>
        <w:t>s</w:t>
      </w:r>
      <w:r w:rsidRPr="00EE3B6B">
        <w:rPr>
          <w:rFonts w:ascii="Times New Roman" w:hAnsi="Times New Roman" w:cs="Times New Roman"/>
        </w:rPr>
        <w:t>tate code portion of the Product ID must be entered using capital letters.</w:t>
      </w:r>
    </w:p>
    <w:p w:rsidR="00F069D2" w:rsidRPr="00EE3B6B" w:rsidP="00423979" w14:paraId="400E8A0E" w14:textId="77777777">
      <w:pPr>
        <w:keepLines/>
        <w:spacing w:after="120" w:line="276" w:lineRule="auto"/>
        <w:ind w:left="360"/>
        <w:rPr>
          <w:rFonts w:ascii="Times New Roman" w:hAnsi="Times New Roman" w:cs="Times New Roman"/>
        </w:rPr>
      </w:pPr>
      <w:r w:rsidRPr="00EE3B6B">
        <w:rPr>
          <w:rFonts w:ascii="Times New Roman" w:hAnsi="Times New Roman" w:cs="Times New Roman"/>
        </w:rPr>
        <w:t>The “Product ID” should be the product number assigned by HIOS. Each product included in the single risk pool must be identified in Worksheet 2 of the template.</w:t>
      </w:r>
    </w:p>
    <w:p w:rsidR="00041FAE" w:rsidRPr="00EE3B6B" w:rsidP="006D1FD2" w14:paraId="08D30E56" w14:textId="77777777">
      <w:pPr>
        <w:keepLines/>
        <w:spacing w:after="120" w:line="276" w:lineRule="auto"/>
        <w:rPr>
          <w:rFonts w:ascii="Times New Roman" w:hAnsi="Times New Roman" w:cs="Times New Roman"/>
        </w:rPr>
      </w:pPr>
      <w:r w:rsidRPr="00EE3B6B">
        <w:rPr>
          <w:rFonts w:ascii="Times New Roman" w:hAnsi="Times New Roman" w:cs="Times New Roman"/>
          <w:b/>
        </w:rPr>
        <w:t xml:space="preserve">Plan Name: </w:t>
      </w:r>
      <w:r w:rsidRPr="00EE3B6B">
        <w:rPr>
          <w:rFonts w:ascii="Times New Roman" w:hAnsi="Times New Roman" w:cs="Times New Roman"/>
        </w:rPr>
        <w:t xml:space="preserve"> Enter the name of each plan within a product.</w:t>
      </w:r>
    </w:p>
    <w:p w:rsidR="00041FAE" w:rsidRPr="00EE3B6B" w:rsidP="00423979" w14:paraId="23D9A527" w14:textId="77777777">
      <w:pPr>
        <w:keepLines/>
        <w:spacing w:after="120" w:line="276" w:lineRule="auto"/>
        <w:ind w:left="360"/>
        <w:rPr>
          <w:rFonts w:ascii="Times New Roman" w:hAnsi="Times New Roman" w:cs="Times New Roman"/>
        </w:rPr>
      </w:pPr>
      <w:r w:rsidRPr="00EE3B6B">
        <w:rPr>
          <w:rFonts w:ascii="Times New Roman" w:hAnsi="Times New Roman" w:cs="Times New Roman"/>
        </w:rPr>
        <w:t xml:space="preserve">The term “plan” means, with respect to an issuer and a product, the pairing of the health insurance coverage benefits under the product with a particular cost-sharing structure, provider network, and service area. Most products will consist of multiple plans where each plan must have an AV equal to one of the permitted metal levels or catastrophic coverage, and most products will have multiple metal levels represented under a single product. The Plan Name is the marketing name used when referring to the specific set of benefits and cost-sharing values. The Plan Name shown should be consistent across submissions (e.g., QHP application, </w:t>
      </w:r>
      <w:r w:rsidRPr="00EE3B6B" w:rsidR="00A52393">
        <w:rPr>
          <w:rFonts w:ascii="Times New Roman" w:hAnsi="Times New Roman" w:cs="Times New Roman"/>
        </w:rPr>
        <w:t>s</w:t>
      </w:r>
      <w:r w:rsidRPr="00EE3B6B">
        <w:rPr>
          <w:rFonts w:ascii="Times New Roman" w:hAnsi="Times New Roman" w:cs="Times New Roman"/>
        </w:rPr>
        <w:t xml:space="preserve">tate filings).  All plans included in the single risk pool must be entered in this section of Worksheet 2. This includes any plans that are terminated but have experience included in the single risk pool during the </w:t>
      </w:r>
      <w:r w:rsidRPr="00EE3B6B" w:rsidR="00C66220">
        <w:rPr>
          <w:rFonts w:ascii="Times New Roman" w:hAnsi="Times New Roman" w:cs="Times New Roman"/>
        </w:rPr>
        <w:t>Experience Period</w:t>
      </w:r>
      <w:r w:rsidRPr="00EE3B6B">
        <w:rPr>
          <w:rFonts w:ascii="Times New Roman" w:hAnsi="Times New Roman" w:cs="Times New Roman"/>
        </w:rPr>
        <w:t xml:space="preserve">. It also includes any plans that were not in effect during the </w:t>
      </w:r>
      <w:r w:rsidRPr="00EE3B6B" w:rsidR="00C66220">
        <w:rPr>
          <w:rFonts w:ascii="Times New Roman" w:hAnsi="Times New Roman" w:cs="Times New Roman"/>
        </w:rPr>
        <w:t>Experience Period</w:t>
      </w:r>
      <w:r w:rsidRPr="00EE3B6B">
        <w:rPr>
          <w:rFonts w:ascii="Times New Roman" w:hAnsi="Times New Roman" w:cs="Times New Roman"/>
        </w:rPr>
        <w:t xml:space="preserve"> but were made available thereafter. Issuers should not enter cost-sharing reduction plan variations separately, since as described in 45 CFR 156.400 through 156.420, plan variations are not separate plans, but rather variations of the corresponding standard plans with the same premium, benefits, and network as the standard plan.</w:t>
      </w:r>
    </w:p>
    <w:p w:rsidR="00041FAE" w:rsidRPr="00EE3B6B" w:rsidP="00423979" w14:paraId="6FA18D93" w14:textId="77777777">
      <w:pPr>
        <w:keepLines/>
        <w:spacing w:after="120" w:line="276" w:lineRule="auto"/>
        <w:ind w:left="360"/>
        <w:rPr>
          <w:rFonts w:ascii="Times New Roman" w:hAnsi="Times New Roman" w:cs="Times New Roman"/>
        </w:rPr>
      </w:pPr>
      <w:r w:rsidRPr="00EE3B6B">
        <w:rPr>
          <w:rFonts w:ascii="Times New Roman" w:hAnsi="Times New Roman" w:cs="Times New Roman"/>
        </w:rPr>
        <w:t>Currently, HIOS does not report plan names containing special characters (e.g., “%”). It is recommended that plans containing special characters spell out the name of the special character (e.g., “20 Percent Coinsurance Plan” should be entered instead of “20% Coinsurance Plan”).</w:t>
      </w:r>
    </w:p>
    <w:p w:rsidR="00041FAE" w:rsidRPr="00EE3B6B" w:rsidP="006D1FD2" w14:paraId="23C13A63" w14:textId="77777777">
      <w:pPr>
        <w:keepLines/>
        <w:spacing w:after="120" w:line="276" w:lineRule="auto"/>
        <w:rPr>
          <w:rFonts w:ascii="Times New Roman" w:hAnsi="Times New Roman" w:cs="Times New Roman"/>
        </w:rPr>
      </w:pPr>
      <w:r w:rsidRPr="00EE3B6B">
        <w:rPr>
          <w:rFonts w:ascii="Times New Roman" w:hAnsi="Times New Roman" w:cs="Times New Roman"/>
          <w:b/>
        </w:rPr>
        <w:t>Plan ID</w:t>
      </w:r>
      <w:r w:rsidRPr="00EE3B6B" w:rsidR="00221860">
        <w:rPr>
          <w:rFonts w:ascii="Times New Roman" w:hAnsi="Times New Roman" w:cs="Times New Roman"/>
          <w:b/>
        </w:rPr>
        <w:t xml:space="preserve"> (Standard Component ID)</w:t>
      </w:r>
      <w:r w:rsidRPr="00EE3B6B">
        <w:rPr>
          <w:rFonts w:ascii="Times New Roman" w:hAnsi="Times New Roman" w:cs="Times New Roman"/>
          <w:b/>
        </w:rPr>
        <w:t>:</w:t>
      </w:r>
      <w:r w:rsidRPr="00EE3B6B">
        <w:rPr>
          <w:rFonts w:ascii="Times New Roman" w:hAnsi="Times New Roman" w:cs="Times New Roman"/>
        </w:rPr>
        <w:t xml:space="preserve">  Enter each assigned Plan ID. The two-letter </w:t>
      </w:r>
      <w:r w:rsidRPr="00EE3B6B" w:rsidR="00A52393">
        <w:rPr>
          <w:rFonts w:ascii="Times New Roman" w:hAnsi="Times New Roman" w:cs="Times New Roman"/>
        </w:rPr>
        <w:t>s</w:t>
      </w:r>
      <w:r w:rsidRPr="00EE3B6B">
        <w:rPr>
          <w:rFonts w:ascii="Times New Roman" w:hAnsi="Times New Roman" w:cs="Times New Roman"/>
        </w:rPr>
        <w:t>tate code portion of the Plan ID must be entered using capital letters.</w:t>
      </w:r>
    </w:p>
    <w:p w:rsidR="00041FAE" w:rsidRPr="00EE3B6B" w:rsidP="00423979" w14:paraId="46E9B6B7" w14:textId="77777777">
      <w:pPr>
        <w:keepLines/>
        <w:spacing w:after="120" w:line="276" w:lineRule="auto"/>
        <w:ind w:left="360"/>
        <w:rPr>
          <w:rFonts w:ascii="Times New Roman" w:hAnsi="Times New Roman" w:cs="Times New Roman"/>
        </w:rPr>
      </w:pPr>
      <w:r w:rsidRPr="00EE3B6B">
        <w:rPr>
          <w:rFonts w:ascii="Times New Roman" w:hAnsi="Times New Roman" w:cs="Times New Roman"/>
        </w:rPr>
        <w:t>The Plan ID is a unique identifier for the set of benefits and cost-sharing values offered within a product by the HIOS issuer, or in other words, a unique identifier of each plan. Plan IDs include multiple digits. The first ten digits are the Product ID, and the next four identify the unique plan within the product. This field must be entered as a text input and must include any leading zeroes (e.g., 0030).</w:t>
      </w:r>
    </w:p>
    <w:p w:rsidR="00041FAE" w:rsidRPr="00EE3B6B" w:rsidP="00423979" w14:paraId="0F1360A7" w14:textId="77777777">
      <w:pPr>
        <w:keepLines/>
        <w:spacing w:after="120" w:line="276" w:lineRule="auto"/>
        <w:ind w:left="360"/>
        <w:rPr>
          <w:rFonts w:ascii="Times New Roman" w:hAnsi="Times New Roman" w:cs="Times New Roman"/>
        </w:rPr>
      </w:pPr>
      <w:r w:rsidRPr="00EE3B6B">
        <w:rPr>
          <w:rFonts w:ascii="Times New Roman" w:hAnsi="Times New Roman" w:cs="Times New Roman"/>
        </w:rPr>
        <w:t xml:space="preserve">Generally, if a plan is the “same plan” as the previous year, it should maintain the same HIOS Standard Component (plan) ID. </w:t>
      </w:r>
      <w:r w:rsidRPr="00EE3B6B" w:rsidR="00221860">
        <w:rPr>
          <w:rFonts w:ascii="Times New Roman" w:hAnsi="Times New Roman" w:cs="Times New Roman"/>
        </w:rPr>
        <w:t xml:space="preserve">There are exceptions to this, such as if a plan were to change metal tiers from one plan year to the next. Even though this plan </w:t>
      </w:r>
      <w:r w:rsidRPr="00EE3B6B" w:rsidR="0024637D">
        <w:rPr>
          <w:rFonts w:ascii="Times New Roman" w:hAnsi="Times New Roman" w:cs="Times New Roman"/>
        </w:rPr>
        <w:t>may</w:t>
      </w:r>
      <w:r w:rsidRPr="00EE3B6B" w:rsidR="00221860">
        <w:rPr>
          <w:rFonts w:ascii="Times New Roman" w:hAnsi="Times New Roman" w:cs="Times New Roman"/>
        </w:rPr>
        <w:t xml:space="preserve"> be </w:t>
      </w:r>
      <w:r w:rsidRPr="00EE3B6B" w:rsidR="002D25C0">
        <w:rPr>
          <w:rFonts w:ascii="Times New Roman" w:hAnsi="Times New Roman" w:cs="Times New Roman"/>
        </w:rPr>
        <w:t xml:space="preserve">defined as </w:t>
      </w:r>
      <w:r w:rsidRPr="00EE3B6B" w:rsidR="00221860">
        <w:rPr>
          <w:rFonts w:ascii="Times New Roman" w:hAnsi="Times New Roman" w:cs="Times New Roman"/>
        </w:rPr>
        <w:t xml:space="preserve">the same plan under </w:t>
      </w:r>
      <w:r w:rsidRPr="00EE3B6B" w:rsidR="002D25C0">
        <w:rPr>
          <w:rFonts w:ascii="Times New Roman" w:hAnsi="Times New Roman" w:cs="Times New Roman"/>
        </w:rPr>
        <w:t>45 CFR 144.103, risk adjustment reporting requires this plan to receive a new Plan ID. Note that in this situation an issuer should still identify the plan as “renewing” even though it has a new Plan ID.</w:t>
      </w:r>
    </w:p>
    <w:p w:rsidR="007126DF" w:rsidRPr="00EE3B6B" w:rsidP="006D1FD2" w14:paraId="756F95CC" w14:textId="77777777">
      <w:pPr>
        <w:keepLines/>
        <w:spacing w:after="120" w:line="276" w:lineRule="auto"/>
        <w:rPr>
          <w:rFonts w:ascii="Times New Roman" w:hAnsi="Times New Roman" w:cs="Times New Roman"/>
        </w:rPr>
      </w:pPr>
      <w:r w:rsidRPr="00EE3B6B">
        <w:rPr>
          <w:rFonts w:ascii="Times New Roman" w:hAnsi="Times New Roman" w:cs="Times New Roman"/>
          <w:b/>
        </w:rPr>
        <w:t xml:space="preserve">Metal:  </w:t>
      </w:r>
      <w:r w:rsidRPr="00EE3B6B">
        <w:rPr>
          <w:rFonts w:ascii="Times New Roman" w:hAnsi="Times New Roman" w:cs="Times New Roman"/>
        </w:rPr>
        <w:t xml:space="preserve">For each plan within a product, choose the corresponding metal level from the </w:t>
      </w:r>
      <w:r w:rsidRPr="00EE3B6B">
        <w:rPr>
          <w:rFonts w:ascii="Times New Roman" w:hAnsi="Times New Roman" w:cs="Times New Roman"/>
        </w:rPr>
        <w:t>drop down</w:t>
      </w:r>
      <w:r w:rsidRPr="00EE3B6B">
        <w:rPr>
          <w:rFonts w:ascii="Times New Roman" w:hAnsi="Times New Roman" w:cs="Times New Roman"/>
        </w:rPr>
        <w:t xml:space="preserve"> menu in the template. Plans that are included in a QHP certification application must show the same Metal as is shown in the QHP application.</w:t>
      </w:r>
    </w:p>
    <w:p w:rsidR="007126DF" w:rsidRPr="00EE3B6B" w:rsidP="00423979" w14:paraId="54D2969D" w14:textId="77777777">
      <w:pPr>
        <w:keepLines/>
        <w:spacing w:after="120" w:line="276" w:lineRule="auto"/>
        <w:ind w:left="360"/>
        <w:rPr>
          <w:rFonts w:ascii="Times New Roman" w:hAnsi="Times New Roman" w:cs="Times New Roman"/>
        </w:rPr>
      </w:pPr>
      <w:r w:rsidRPr="00EE3B6B">
        <w:rPr>
          <w:rFonts w:ascii="Times New Roman" w:hAnsi="Times New Roman" w:cs="Times New Roman"/>
        </w:rPr>
        <w:t>A “Not Applicable” selection should be made when the AV metal level does not apply to a plan such as a non-single risk pool plan.</w:t>
      </w:r>
    </w:p>
    <w:p w:rsidR="007126DF" w:rsidRPr="00EE3B6B" w:rsidP="00423979" w14:paraId="2DE8E744" w14:textId="77777777">
      <w:pPr>
        <w:keepLines/>
        <w:spacing w:after="120" w:line="276" w:lineRule="auto"/>
        <w:ind w:left="360"/>
        <w:rPr>
          <w:rFonts w:ascii="Times New Roman" w:hAnsi="Times New Roman" w:cs="Times New Roman"/>
        </w:rPr>
      </w:pPr>
      <w:r w:rsidRPr="00EE3B6B">
        <w:rPr>
          <w:rFonts w:ascii="Times New Roman" w:hAnsi="Times New Roman" w:cs="Times New Roman"/>
        </w:rPr>
        <w:t>The ACA requires that non-grandfathered plans offered in the individual or small group (or combined) market must have an AV that corresponds to a defined metal level. The metal AVs are defined in 45 CFR 156.20 as “the percentage paid by a health plan of the percentage of the total allowed costs of benefits.” There are five levels of coverage that can be offered: Platinum, Gold, Silver, Bronze</w:t>
      </w:r>
      <w:r w:rsidRPr="00EE3B6B" w:rsidR="003C0673">
        <w:rPr>
          <w:rFonts w:ascii="Times New Roman" w:hAnsi="Times New Roman" w:cs="Times New Roman"/>
        </w:rPr>
        <w:t>,</w:t>
      </w:r>
      <w:r w:rsidRPr="00EE3B6B">
        <w:rPr>
          <w:rFonts w:ascii="Times New Roman" w:hAnsi="Times New Roman" w:cs="Times New Roman"/>
        </w:rPr>
        <w:t xml:space="preserve"> and Catastrophic. The AVs for each of these metal levels are shown in the table below. The AV used in determining the metal level must be based on the AV Calculator or an acceptable alternative if a health plan’s design is not compatible with the AV Calculator.</w:t>
      </w:r>
    </w:p>
    <w:p w:rsidR="007126DF" w:rsidRPr="00EE3B6B" w:rsidP="00423979" w14:paraId="5AFCFA90" w14:textId="77777777">
      <w:pPr>
        <w:keepLines/>
        <w:spacing w:after="120" w:line="276" w:lineRule="auto"/>
        <w:ind w:left="360"/>
        <w:rPr>
          <w:rFonts w:ascii="Times New Roman" w:hAnsi="Times New Roman" w:cs="Times New Roman"/>
        </w:rPr>
      </w:pPr>
      <w:r w:rsidRPr="00EE3B6B">
        <w:rPr>
          <w:rFonts w:ascii="Times New Roman" w:hAnsi="Times New Roman" w:cs="Times New Roman"/>
        </w:rPr>
        <w:t>The AV used to determine the metal level must be within a de minimis variation from the AVs defined in the ACA.</w:t>
      </w:r>
    </w:p>
    <w:p w:rsidR="007126DF" w:rsidRPr="00EE3B6B" w:rsidP="006D1FD2" w14:paraId="36253E81" w14:textId="77777777">
      <w:pPr>
        <w:keepLines/>
        <w:spacing w:after="120" w:line="276" w:lineRule="auto"/>
        <w:ind w:left="720"/>
        <w:jc w:val="center"/>
        <w:rPr>
          <w:rFonts w:ascii="Times New Roman" w:hAnsi="Times New Roman" w:cs="Times New Roman"/>
        </w:rPr>
      </w:pPr>
      <w:r w:rsidRPr="00EE3B6B">
        <w:rPr>
          <w:rFonts w:ascii="Times New Roman" w:hAnsi="Times New Roman" w:cs="Times New Roman"/>
          <w:b/>
          <w:i/>
        </w:rPr>
        <w:t>Table 1 Metal Level</w:t>
      </w:r>
    </w:p>
    <w:tbl>
      <w:tblPr>
        <w:tblW w:w="0" w:type="auto"/>
        <w:tblInd w:w="3156"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tblPr>
      <w:tblGrid>
        <w:gridCol w:w="1511"/>
        <w:gridCol w:w="2253"/>
      </w:tblGrid>
      <w:tr w14:paraId="6A9C0FE6" w14:textId="77777777" w:rsidTr="00BA59D3">
        <w:tblPrEx>
          <w:tblW w:w="0" w:type="auto"/>
          <w:tblInd w:w="3156"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tblPrEx>
        <w:trPr>
          <w:trHeight w:hRule="exact" w:val="271"/>
        </w:trPr>
        <w:tc>
          <w:tcPr>
            <w:tcW w:w="1511" w:type="dxa"/>
            <w:tcBorders>
              <w:top w:val="nil"/>
              <w:left w:val="nil"/>
              <w:right w:val="nil"/>
            </w:tcBorders>
            <w:shd w:val="clear" w:color="auto" w:fill="4F81BD"/>
          </w:tcPr>
          <w:p w:rsidR="007126DF" w:rsidRPr="00EE3B6B" w:rsidP="006D1FD2" w14:paraId="4DDBACAF" w14:textId="77777777">
            <w:pPr>
              <w:pStyle w:val="TableParagraph"/>
              <w:keepLines/>
              <w:spacing w:after="120" w:line="276" w:lineRule="auto"/>
              <w:ind w:left="98"/>
              <w:rPr>
                <w:b/>
              </w:rPr>
            </w:pPr>
            <w:r w:rsidRPr="00EE3B6B">
              <w:rPr>
                <w:b/>
                <w:color w:val="FFFFFF"/>
              </w:rPr>
              <w:t>Metal Level</w:t>
            </w:r>
          </w:p>
        </w:tc>
        <w:tc>
          <w:tcPr>
            <w:tcW w:w="2253" w:type="dxa"/>
            <w:tcBorders>
              <w:top w:val="nil"/>
              <w:left w:val="nil"/>
              <w:right w:val="nil"/>
            </w:tcBorders>
            <w:shd w:val="clear" w:color="auto" w:fill="4F81BD"/>
          </w:tcPr>
          <w:p w:rsidR="007126DF" w:rsidRPr="00EE3B6B" w:rsidP="006D1FD2" w14:paraId="7F7C9CE6" w14:textId="77777777">
            <w:pPr>
              <w:pStyle w:val="TableParagraph"/>
              <w:keepLines/>
              <w:spacing w:after="120" w:line="276" w:lineRule="auto"/>
              <w:ind w:left="109"/>
              <w:rPr>
                <w:b/>
              </w:rPr>
            </w:pPr>
            <w:r w:rsidRPr="00EE3B6B">
              <w:rPr>
                <w:b/>
                <w:color w:val="FFFFFF"/>
              </w:rPr>
              <w:t>AV Requirements</w:t>
            </w:r>
          </w:p>
        </w:tc>
      </w:tr>
      <w:tr w14:paraId="6A9D4C70" w14:textId="77777777" w:rsidTr="00BA59D3">
        <w:tblPrEx>
          <w:tblW w:w="0" w:type="auto"/>
          <w:tblInd w:w="3156" w:type="dxa"/>
          <w:tblLayout w:type="fixed"/>
          <w:tblCellMar>
            <w:left w:w="0" w:type="dxa"/>
            <w:right w:w="0" w:type="dxa"/>
          </w:tblCellMar>
          <w:tblLook w:val="01E0"/>
        </w:tblPrEx>
        <w:trPr>
          <w:trHeight w:hRule="exact" w:val="281"/>
        </w:trPr>
        <w:tc>
          <w:tcPr>
            <w:tcW w:w="1511" w:type="dxa"/>
            <w:tcBorders>
              <w:left w:val="nil"/>
              <w:bottom w:val="single" w:sz="9" w:space="0" w:color="FFFFFF"/>
            </w:tcBorders>
            <w:shd w:val="clear" w:color="auto" w:fill="4F81BD"/>
          </w:tcPr>
          <w:p w:rsidR="007126DF" w:rsidRPr="00EE3B6B" w:rsidP="006D1FD2" w14:paraId="001ADD93" w14:textId="77777777">
            <w:pPr>
              <w:pStyle w:val="TableParagraph"/>
              <w:keepLines/>
              <w:spacing w:after="120" w:line="276" w:lineRule="auto"/>
              <w:ind w:left="98"/>
              <w:rPr>
                <w:b/>
              </w:rPr>
            </w:pPr>
            <w:r w:rsidRPr="00EE3B6B">
              <w:rPr>
                <w:b/>
                <w:color w:val="FFFFFF"/>
              </w:rPr>
              <w:t>Platinum</w:t>
            </w:r>
          </w:p>
        </w:tc>
        <w:tc>
          <w:tcPr>
            <w:tcW w:w="2253" w:type="dxa"/>
            <w:tcBorders>
              <w:bottom w:val="single" w:sz="9" w:space="0" w:color="FFFFFF"/>
              <w:right w:val="nil"/>
            </w:tcBorders>
            <w:shd w:val="clear" w:color="auto" w:fill="A7BFDE"/>
          </w:tcPr>
          <w:p w:rsidR="007126DF" w:rsidRPr="00EE3B6B" w:rsidP="006D1FD2" w14:paraId="21B2FCE9" w14:textId="77777777">
            <w:pPr>
              <w:pStyle w:val="TableParagraph"/>
              <w:keepLines/>
              <w:spacing w:after="120" w:line="276" w:lineRule="auto"/>
              <w:ind w:left="79"/>
            </w:pPr>
            <w:r w:rsidRPr="00EE3B6B">
              <w:t>90%</w:t>
            </w:r>
          </w:p>
        </w:tc>
      </w:tr>
      <w:tr w14:paraId="7B0B2E14" w14:textId="77777777" w:rsidTr="00BA59D3">
        <w:tblPrEx>
          <w:tblW w:w="0" w:type="auto"/>
          <w:tblInd w:w="3156" w:type="dxa"/>
          <w:tblLayout w:type="fixed"/>
          <w:tblCellMar>
            <w:left w:w="0" w:type="dxa"/>
            <w:right w:w="0" w:type="dxa"/>
          </w:tblCellMar>
          <w:tblLook w:val="01E0"/>
        </w:tblPrEx>
        <w:trPr>
          <w:trHeight w:hRule="exact" w:val="263"/>
        </w:trPr>
        <w:tc>
          <w:tcPr>
            <w:tcW w:w="1511" w:type="dxa"/>
            <w:tcBorders>
              <w:top w:val="single" w:sz="9" w:space="0" w:color="FFFFFF"/>
              <w:left w:val="nil"/>
              <w:bottom w:val="single" w:sz="8" w:space="0" w:color="FFFFFF"/>
            </w:tcBorders>
            <w:shd w:val="clear" w:color="auto" w:fill="4F81BD"/>
          </w:tcPr>
          <w:p w:rsidR="007126DF" w:rsidRPr="00EE3B6B" w:rsidP="006D1FD2" w14:paraId="2F8A4C17" w14:textId="77777777">
            <w:pPr>
              <w:pStyle w:val="TableParagraph"/>
              <w:keepLines/>
              <w:spacing w:after="120" w:line="276" w:lineRule="auto"/>
              <w:ind w:left="98"/>
              <w:rPr>
                <w:b/>
              </w:rPr>
            </w:pPr>
            <w:r w:rsidRPr="00EE3B6B">
              <w:rPr>
                <w:b/>
                <w:color w:val="FFFFFF"/>
              </w:rPr>
              <w:t>Gold</w:t>
            </w:r>
          </w:p>
        </w:tc>
        <w:tc>
          <w:tcPr>
            <w:tcW w:w="2253" w:type="dxa"/>
            <w:tcBorders>
              <w:top w:val="single" w:sz="9" w:space="0" w:color="FFFFFF"/>
              <w:bottom w:val="single" w:sz="8" w:space="0" w:color="FFFFFF"/>
              <w:right w:val="nil"/>
            </w:tcBorders>
            <w:shd w:val="clear" w:color="auto" w:fill="D3DFEE"/>
          </w:tcPr>
          <w:p w:rsidR="007126DF" w:rsidRPr="00EE3B6B" w:rsidP="006D1FD2" w14:paraId="6795DB4E" w14:textId="77777777">
            <w:pPr>
              <w:pStyle w:val="TableParagraph"/>
              <w:keepLines/>
              <w:spacing w:after="120" w:line="276" w:lineRule="auto"/>
              <w:ind w:left="79"/>
            </w:pPr>
            <w:r w:rsidRPr="00EE3B6B">
              <w:t>80%</w:t>
            </w:r>
          </w:p>
        </w:tc>
      </w:tr>
      <w:tr w14:paraId="5D5529FF" w14:textId="77777777" w:rsidTr="00BA59D3">
        <w:tblPrEx>
          <w:tblW w:w="0" w:type="auto"/>
          <w:tblInd w:w="3156" w:type="dxa"/>
          <w:tblLayout w:type="fixed"/>
          <w:tblCellMar>
            <w:left w:w="0" w:type="dxa"/>
            <w:right w:w="0" w:type="dxa"/>
          </w:tblCellMar>
          <w:tblLook w:val="01E0"/>
        </w:tblPrEx>
        <w:trPr>
          <w:trHeight w:hRule="exact" w:val="261"/>
        </w:trPr>
        <w:tc>
          <w:tcPr>
            <w:tcW w:w="1511" w:type="dxa"/>
            <w:tcBorders>
              <w:top w:val="single" w:sz="8" w:space="0" w:color="FFFFFF"/>
              <w:left w:val="nil"/>
              <w:bottom w:val="single" w:sz="8" w:space="0" w:color="FFFFFF"/>
            </w:tcBorders>
            <w:shd w:val="clear" w:color="auto" w:fill="4F81BD"/>
          </w:tcPr>
          <w:p w:rsidR="007126DF" w:rsidRPr="00EE3B6B" w:rsidP="006D1FD2" w14:paraId="76F3A0EF" w14:textId="77777777">
            <w:pPr>
              <w:pStyle w:val="TableParagraph"/>
              <w:keepLines/>
              <w:spacing w:after="120" w:line="276" w:lineRule="auto"/>
              <w:ind w:left="98"/>
              <w:rPr>
                <w:b/>
              </w:rPr>
            </w:pPr>
            <w:r w:rsidRPr="00EE3B6B">
              <w:rPr>
                <w:b/>
                <w:color w:val="FFFFFF"/>
              </w:rPr>
              <w:t>Silver</w:t>
            </w:r>
          </w:p>
        </w:tc>
        <w:tc>
          <w:tcPr>
            <w:tcW w:w="2253" w:type="dxa"/>
            <w:tcBorders>
              <w:top w:val="single" w:sz="8" w:space="0" w:color="FFFFFF"/>
              <w:bottom w:val="single" w:sz="8" w:space="0" w:color="FFFFFF"/>
              <w:right w:val="nil"/>
            </w:tcBorders>
            <w:shd w:val="clear" w:color="auto" w:fill="A7BFDE"/>
          </w:tcPr>
          <w:p w:rsidR="007126DF" w:rsidRPr="00EE3B6B" w:rsidP="006D1FD2" w14:paraId="7B71F1C6" w14:textId="77777777">
            <w:pPr>
              <w:pStyle w:val="TableParagraph"/>
              <w:keepLines/>
              <w:spacing w:after="120" w:line="276" w:lineRule="auto"/>
              <w:ind w:left="79"/>
            </w:pPr>
            <w:r w:rsidRPr="00EE3B6B">
              <w:t>70%</w:t>
            </w:r>
          </w:p>
        </w:tc>
      </w:tr>
      <w:tr w14:paraId="408F0A32" w14:textId="77777777" w:rsidTr="00BA59D3">
        <w:tblPrEx>
          <w:tblW w:w="0" w:type="auto"/>
          <w:tblInd w:w="3156" w:type="dxa"/>
          <w:tblLayout w:type="fixed"/>
          <w:tblCellMar>
            <w:left w:w="0" w:type="dxa"/>
            <w:right w:w="0" w:type="dxa"/>
          </w:tblCellMar>
          <w:tblLook w:val="01E0"/>
        </w:tblPrEx>
        <w:trPr>
          <w:trHeight w:hRule="exact" w:val="250"/>
        </w:trPr>
        <w:tc>
          <w:tcPr>
            <w:tcW w:w="1511" w:type="dxa"/>
            <w:tcBorders>
              <w:top w:val="single" w:sz="8" w:space="0" w:color="FFFFFF"/>
              <w:left w:val="nil"/>
              <w:bottom w:val="single" w:sz="8" w:space="0" w:color="FFFFFF"/>
            </w:tcBorders>
            <w:shd w:val="clear" w:color="auto" w:fill="4F81BD"/>
          </w:tcPr>
          <w:p w:rsidR="007126DF" w:rsidRPr="00EE3B6B" w:rsidP="006D1FD2" w14:paraId="2738F939" w14:textId="77777777">
            <w:pPr>
              <w:pStyle w:val="TableParagraph"/>
              <w:keepLines/>
              <w:spacing w:after="120" w:line="276" w:lineRule="auto"/>
              <w:ind w:left="98"/>
              <w:rPr>
                <w:b/>
              </w:rPr>
            </w:pPr>
            <w:r w:rsidRPr="00EE3B6B">
              <w:rPr>
                <w:b/>
                <w:color w:val="FFFFFF"/>
              </w:rPr>
              <w:t>Bronze</w:t>
            </w:r>
          </w:p>
        </w:tc>
        <w:tc>
          <w:tcPr>
            <w:tcW w:w="2253" w:type="dxa"/>
            <w:tcBorders>
              <w:top w:val="single" w:sz="8" w:space="0" w:color="FFFFFF"/>
              <w:bottom w:val="single" w:sz="8" w:space="0" w:color="FFFFFF"/>
              <w:right w:val="nil"/>
            </w:tcBorders>
            <w:shd w:val="clear" w:color="auto" w:fill="D3DFEE"/>
          </w:tcPr>
          <w:p w:rsidR="007126DF" w:rsidRPr="00EE3B6B" w:rsidP="006D1FD2" w14:paraId="4FBDD486" w14:textId="77777777">
            <w:pPr>
              <w:pStyle w:val="TableParagraph"/>
              <w:keepLines/>
              <w:spacing w:after="120" w:line="276" w:lineRule="auto"/>
              <w:ind w:left="79"/>
            </w:pPr>
            <w:r w:rsidRPr="00EE3B6B">
              <w:t>60%</w:t>
            </w:r>
          </w:p>
        </w:tc>
      </w:tr>
      <w:tr w14:paraId="7841E045" w14:textId="77777777" w:rsidTr="00BA59D3">
        <w:tblPrEx>
          <w:tblW w:w="0" w:type="auto"/>
          <w:tblInd w:w="3156" w:type="dxa"/>
          <w:tblLayout w:type="fixed"/>
          <w:tblCellMar>
            <w:left w:w="0" w:type="dxa"/>
            <w:right w:w="0" w:type="dxa"/>
          </w:tblCellMar>
          <w:tblLook w:val="01E0"/>
        </w:tblPrEx>
        <w:trPr>
          <w:trHeight w:hRule="exact" w:val="250"/>
        </w:trPr>
        <w:tc>
          <w:tcPr>
            <w:tcW w:w="1511" w:type="dxa"/>
            <w:tcBorders>
              <w:top w:val="single" w:sz="8" w:space="0" w:color="FFFFFF"/>
              <w:left w:val="nil"/>
              <w:bottom w:val="nil"/>
            </w:tcBorders>
            <w:shd w:val="clear" w:color="auto" w:fill="4F81BD"/>
          </w:tcPr>
          <w:p w:rsidR="007126DF" w:rsidRPr="00EE3B6B" w:rsidP="006D1FD2" w14:paraId="4A87011F" w14:textId="77777777">
            <w:pPr>
              <w:pStyle w:val="TableParagraph"/>
              <w:keepLines/>
              <w:spacing w:after="120" w:line="276" w:lineRule="auto"/>
              <w:ind w:left="98"/>
              <w:rPr>
                <w:b/>
                <w:color w:val="FFFFFF"/>
              </w:rPr>
            </w:pPr>
            <w:r w:rsidRPr="00EE3B6B">
              <w:rPr>
                <w:b/>
                <w:color w:val="FFFFFF"/>
              </w:rPr>
              <w:t>Catastrophic</w:t>
            </w:r>
          </w:p>
        </w:tc>
        <w:tc>
          <w:tcPr>
            <w:tcW w:w="2253" w:type="dxa"/>
            <w:tcBorders>
              <w:top w:val="single" w:sz="8" w:space="0" w:color="FFFFFF"/>
              <w:bottom w:val="nil"/>
              <w:right w:val="nil"/>
            </w:tcBorders>
            <w:shd w:val="clear" w:color="auto" w:fill="D3DFEE"/>
          </w:tcPr>
          <w:p w:rsidR="007126DF" w:rsidRPr="00EE3B6B" w:rsidP="006D1FD2" w14:paraId="3842DDC0" w14:textId="77777777">
            <w:pPr>
              <w:pStyle w:val="TableParagraph"/>
              <w:keepLines/>
              <w:spacing w:after="120" w:line="276" w:lineRule="auto"/>
              <w:ind w:left="79"/>
            </w:pPr>
            <w:r w:rsidRPr="00EE3B6B">
              <w:t>Not specified by law*</w:t>
            </w:r>
          </w:p>
        </w:tc>
      </w:tr>
    </w:tbl>
    <w:p w:rsidR="00423979" w:rsidP="006D1FD2" w14:paraId="195187BA" w14:textId="77777777">
      <w:pPr>
        <w:keepLines/>
        <w:spacing w:after="120" w:line="276" w:lineRule="auto"/>
        <w:ind w:left="720" w:right="189"/>
        <w:rPr>
          <w:rFonts w:ascii="Times New Roman" w:hAnsi="Times New Roman" w:cs="Times New Roman"/>
        </w:rPr>
      </w:pPr>
    </w:p>
    <w:p w:rsidR="007126DF" w:rsidRPr="00EE3B6B" w:rsidP="00423979" w14:paraId="156CBCA6" w14:textId="502AE9A0">
      <w:pPr>
        <w:keepLines/>
        <w:spacing w:after="120" w:line="276" w:lineRule="auto"/>
        <w:ind w:left="360"/>
        <w:rPr>
          <w:rFonts w:ascii="Times New Roman" w:hAnsi="Times New Roman" w:cs="Times New Roman"/>
        </w:rPr>
      </w:pPr>
      <w:r w:rsidRPr="00EE3B6B">
        <w:rPr>
          <w:rFonts w:ascii="Times New Roman" w:hAnsi="Times New Roman" w:cs="Times New Roman"/>
        </w:rPr>
        <w:t>*</w:t>
      </w:r>
      <w:r w:rsidRPr="00423979">
        <w:rPr>
          <w:rFonts w:ascii="Times New Roman" w:hAnsi="Times New Roman" w:cs="Times New Roman"/>
        </w:rPr>
        <w:t>Catastrophic</w:t>
      </w:r>
      <w:r w:rsidRPr="00EE3B6B">
        <w:rPr>
          <w:rFonts w:ascii="Times New Roman" w:hAnsi="Times New Roman" w:cs="Times New Roman"/>
          <w:i/>
        </w:rPr>
        <w:t xml:space="preserve"> level </w:t>
      </w:r>
      <w:r w:rsidRPr="00EE3B6B">
        <w:rPr>
          <w:rFonts w:ascii="Times New Roman" w:hAnsi="Times New Roman" w:cs="Times New Roman"/>
        </w:rPr>
        <w:t>– a plan offered in the individual market only that is only available to individuals who are below the age of 30 before the beginning of the plan year or who have received a certificate of exemption based on affordability or hardship.</w:t>
      </w:r>
    </w:p>
    <w:p w:rsidR="007126DF" w:rsidRPr="00EE3B6B" w:rsidP="00423979" w14:paraId="078DD7EB" w14:textId="77777777">
      <w:pPr>
        <w:keepLines/>
        <w:spacing w:after="120" w:line="276" w:lineRule="auto"/>
        <w:ind w:left="360"/>
        <w:rPr>
          <w:rFonts w:ascii="Times New Roman" w:hAnsi="Times New Roman" w:cs="Times New Roman"/>
        </w:rPr>
      </w:pPr>
      <w:r w:rsidRPr="00EE3B6B">
        <w:rPr>
          <w:rFonts w:ascii="Times New Roman" w:hAnsi="Times New Roman" w:cs="Times New Roman"/>
        </w:rPr>
        <w:t xml:space="preserve">For single risk pool plans that are terminated prior to the </w:t>
      </w:r>
      <w:r w:rsidRPr="00EE3B6B" w:rsidR="00C66220">
        <w:rPr>
          <w:rFonts w:ascii="Times New Roman" w:hAnsi="Times New Roman" w:cs="Times New Roman"/>
        </w:rPr>
        <w:t>Projection Period</w:t>
      </w:r>
      <w:r w:rsidRPr="00EE3B6B">
        <w:rPr>
          <w:rFonts w:ascii="Times New Roman" w:hAnsi="Times New Roman" w:cs="Times New Roman"/>
        </w:rPr>
        <w:t>, enter the metal level of the plan just prior to termination.</w:t>
      </w:r>
    </w:p>
    <w:p w:rsidR="007A6FB6" w:rsidRPr="00EE3B6B" w:rsidP="00423979" w14:paraId="67A0FAE8" w14:textId="77777777">
      <w:pPr>
        <w:keepLines/>
        <w:spacing w:after="120" w:line="276" w:lineRule="auto"/>
        <w:ind w:left="360"/>
        <w:rPr>
          <w:rFonts w:ascii="Times New Roman" w:hAnsi="Times New Roman" w:cs="Times New Roman"/>
        </w:rPr>
      </w:pPr>
      <w:r w:rsidRPr="00EE3B6B">
        <w:rPr>
          <w:rFonts w:ascii="Times New Roman" w:hAnsi="Times New Roman" w:cs="Times New Roman"/>
        </w:rPr>
        <w:t xml:space="preserve">The “Not Applicable” selection should be made in the case of non-single risk pool products or plans </w:t>
      </w:r>
      <w:r w:rsidRPr="00EE3B6B" w:rsidR="00DF7F14">
        <w:rPr>
          <w:rFonts w:ascii="Times New Roman" w:hAnsi="Times New Roman" w:cs="Times New Roman"/>
        </w:rPr>
        <w:t xml:space="preserve">that are reported </w:t>
      </w:r>
      <w:r w:rsidRPr="00EE3B6B">
        <w:rPr>
          <w:rFonts w:ascii="Times New Roman" w:hAnsi="Times New Roman" w:cs="Times New Roman"/>
        </w:rPr>
        <w:t xml:space="preserve">in the </w:t>
      </w:r>
      <w:r w:rsidRPr="00EE3B6B" w:rsidR="00C66220">
        <w:rPr>
          <w:rFonts w:ascii="Times New Roman" w:hAnsi="Times New Roman" w:cs="Times New Roman"/>
        </w:rPr>
        <w:t>Experience Period</w:t>
      </w:r>
      <w:r w:rsidRPr="00EE3B6B">
        <w:rPr>
          <w:rFonts w:ascii="Times New Roman" w:hAnsi="Times New Roman" w:cs="Times New Roman"/>
        </w:rPr>
        <w:t>.</w:t>
      </w:r>
    </w:p>
    <w:p w:rsidR="007126DF" w:rsidRPr="00EE3B6B" w:rsidP="006D1FD2" w14:paraId="25C67A63" w14:textId="77777777">
      <w:pPr>
        <w:keepLines/>
        <w:spacing w:after="120" w:line="276" w:lineRule="auto"/>
        <w:rPr>
          <w:rFonts w:ascii="Times New Roman" w:hAnsi="Times New Roman" w:cs="Times New Roman"/>
        </w:rPr>
      </w:pPr>
      <w:r w:rsidRPr="00EE3B6B">
        <w:rPr>
          <w:rFonts w:ascii="Times New Roman" w:hAnsi="Times New Roman" w:cs="Times New Roman"/>
          <w:b/>
        </w:rPr>
        <w:t xml:space="preserve">AV Metal Value:  </w:t>
      </w:r>
      <w:r w:rsidRPr="00EE3B6B">
        <w:rPr>
          <w:rFonts w:ascii="Times New Roman" w:hAnsi="Times New Roman" w:cs="Times New Roman"/>
        </w:rPr>
        <w:t>For each plan, enter the corresponding AV value that results from the AV Calculator or a permissible alternative method that complies with 45 CFR 156.135(b).</w:t>
      </w:r>
    </w:p>
    <w:p w:rsidR="007126DF" w:rsidRPr="00EE3B6B" w:rsidP="00423979" w14:paraId="4A51F537" w14:textId="77777777">
      <w:pPr>
        <w:keepLines/>
        <w:spacing w:after="120" w:line="276" w:lineRule="auto"/>
        <w:ind w:left="360"/>
        <w:rPr>
          <w:rFonts w:ascii="Times New Roman" w:hAnsi="Times New Roman" w:cs="Times New Roman"/>
        </w:rPr>
      </w:pPr>
      <w:r w:rsidRPr="00EE3B6B">
        <w:rPr>
          <w:rFonts w:ascii="Times New Roman" w:hAnsi="Times New Roman" w:cs="Times New Roman"/>
        </w:rPr>
        <w:t xml:space="preserve">For non-single risk pool products that are reported </w:t>
      </w:r>
      <w:r w:rsidRPr="00EE3B6B" w:rsidR="007A6FB6">
        <w:rPr>
          <w:rFonts w:ascii="Times New Roman" w:hAnsi="Times New Roman" w:cs="Times New Roman"/>
        </w:rPr>
        <w:t xml:space="preserve">in the </w:t>
      </w:r>
      <w:r w:rsidRPr="00EE3B6B" w:rsidR="00C66220">
        <w:rPr>
          <w:rFonts w:ascii="Times New Roman" w:hAnsi="Times New Roman" w:cs="Times New Roman"/>
        </w:rPr>
        <w:t>Experience Period</w:t>
      </w:r>
      <w:r w:rsidRPr="00EE3B6B">
        <w:rPr>
          <w:rFonts w:ascii="Times New Roman" w:hAnsi="Times New Roman" w:cs="Times New Roman"/>
        </w:rPr>
        <w:t>, enter zero.</w:t>
      </w:r>
    </w:p>
    <w:p w:rsidR="007126DF" w:rsidRPr="00EE3B6B" w:rsidP="00423979" w14:paraId="4539233C" w14:textId="77777777">
      <w:pPr>
        <w:keepLines/>
        <w:spacing w:after="120" w:line="276" w:lineRule="auto"/>
        <w:ind w:left="360"/>
        <w:rPr>
          <w:rFonts w:ascii="Times New Roman" w:hAnsi="Times New Roman" w:cs="Times New Roman"/>
        </w:rPr>
      </w:pPr>
      <w:r w:rsidRPr="00EE3B6B">
        <w:rPr>
          <w:rFonts w:ascii="Times New Roman" w:hAnsi="Times New Roman" w:cs="Times New Roman"/>
        </w:rPr>
        <w:t xml:space="preserve">For single risk pool plans that are terminated prior to the </w:t>
      </w:r>
      <w:r w:rsidRPr="00EE3B6B" w:rsidR="00C66220">
        <w:rPr>
          <w:rFonts w:ascii="Times New Roman" w:hAnsi="Times New Roman" w:cs="Times New Roman"/>
        </w:rPr>
        <w:t>Projection Period</w:t>
      </w:r>
      <w:r w:rsidRPr="00EE3B6B">
        <w:rPr>
          <w:rFonts w:ascii="Times New Roman" w:hAnsi="Times New Roman" w:cs="Times New Roman"/>
        </w:rPr>
        <w:t>, enter the prior metal AV value for the plans.</w:t>
      </w:r>
    </w:p>
    <w:p w:rsidR="007126DF" w:rsidRPr="00EE3B6B" w:rsidP="00423979" w14:paraId="3C098FFC" w14:textId="21F9E9CC">
      <w:pPr>
        <w:keepLines/>
        <w:spacing w:after="120" w:line="276" w:lineRule="auto"/>
        <w:ind w:left="360"/>
        <w:rPr>
          <w:rFonts w:ascii="Times New Roman" w:hAnsi="Times New Roman" w:cs="Times New Roman"/>
        </w:rPr>
      </w:pPr>
      <w:r w:rsidRPr="00EE3B6B">
        <w:rPr>
          <w:rFonts w:ascii="Times New Roman" w:hAnsi="Times New Roman" w:cs="Times New Roman"/>
        </w:rPr>
        <w:t xml:space="preserve">For </w:t>
      </w:r>
      <w:r w:rsidRPr="00EE3B6B" w:rsidR="001C1B00">
        <w:rPr>
          <w:rFonts w:ascii="Times New Roman" w:hAnsi="Times New Roman" w:cs="Times New Roman"/>
        </w:rPr>
        <w:t>c</w:t>
      </w:r>
      <w:r w:rsidRPr="00EE3B6B">
        <w:rPr>
          <w:rFonts w:ascii="Times New Roman" w:hAnsi="Times New Roman" w:cs="Times New Roman"/>
        </w:rPr>
        <w:t xml:space="preserve">atastrophic plans, enter an approximate AV Metal Value for the plan (e.g., 0.580). Since there is not a </w:t>
      </w:r>
      <w:r w:rsidRPr="00EE3B6B" w:rsidR="001C1B00">
        <w:rPr>
          <w:rFonts w:ascii="Times New Roman" w:hAnsi="Times New Roman" w:cs="Times New Roman"/>
        </w:rPr>
        <w:t>c</w:t>
      </w:r>
      <w:r w:rsidRPr="00EE3B6B">
        <w:rPr>
          <w:rFonts w:ascii="Times New Roman" w:hAnsi="Times New Roman" w:cs="Times New Roman"/>
        </w:rPr>
        <w:t>atastrophic continuance table within the AV Calculator, actuaries should use their best judgment in estimating the AV Metal Value.</w:t>
      </w:r>
    </w:p>
    <w:p w:rsidR="007A6FB6" w:rsidRPr="00EE3B6B" w:rsidP="006D1FD2" w14:paraId="55E5928F" w14:textId="77777777">
      <w:pPr>
        <w:keepLines/>
        <w:spacing w:after="120" w:line="276" w:lineRule="auto"/>
        <w:rPr>
          <w:rFonts w:ascii="Times New Roman" w:hAnsi="Times New Roman" w:cs="Times New Roman"/>
        </w:rPr>
      </w:pPr>
      <w:r w:rsidRPr="00EE3B6B">
        <w:rPr>
          <w:rFonts w:ascii="Times New Roman" w:hAnsi="Times New Roman" w:cs="Times New Roman"/>
          <w:b/>
        </w:rPr>
        <w:t xml:space="preserve">Plan Category:  </w:t>
      </w:r>
      <w:r w:rsidRPr="00EE3B6B" w:rsidR="00A62219">
        <w:rPr>
          <w:rFonts w:ascii="Times New Roman" w:hAnsi="Times New Roman" w:cs="Times New Roman"/>
        </w:rPr>
        <w:t xml:space="preserve">Use the dropdown box to identify plans as New, Renewing, or Terminated. </w:t>
      </w:r>
    </w:p>
    <w:p w:rsidR="007A6FB6" w:rsidRPr="00EE3B6B" w:rsidP="00423979" w14:paraId="633453E2" w14:textId="77777777">
      <w:pPr>
        <w:keepLines/>
        <w:spacing w:after="120" w:line="276" w:lineRule="auto"/>
        <w:ind w:left="360"/>
        <w:rPr>
          <w:rFonts w:ascii="Times New Roman" w:hAnsi="Times New Roman" w:cs="Times New Roman"/>
        </w:rPr>
      </w:pPr>
      <w:r w:rsidRPr="00EE3B6B">
        <w:rPr>
          <w:rFonts w:ascii="Times New Roman" w:hAnsi="Times New Roman" w:cs="Times New Roman"/>
        </w:rPr>
        <w:t>Remember a selection of “Renewing” for a plan with a 1</w:t>
      </w:r>
      <w:r w:rsidRPr="00EE3B6B" w:rsidR="00D22F17">
        <w:rPr>
          <w:rFonts w:ascii="Times New Roman" w:hAnsi="Times New Roman" w:cs="Times New Roman"/>
        </w:rPr>
        <w:t>5</w:t>
      </w:r>
      <w:r w:rsidRPr="00EE3B6B">
        <w:rPr>
          <w:rFonts w:ascii="Times New Roman" w:hAnsi="Times New Roman" w:cs="Times New Roman"/>
        </w:rPr>
        <w:t>% or greater annual increase will result in HIOS identifying the product as subject to review and will require the issuer to enter a Consumer Justification Narrative for that product.</w:t>
      </w:r>
      <w:r w:rsidRPr="00EE3B6B">
        <w:rPr>
          <w:rFonts w:ascii="Times New Roman" w:hAnsi="Times New Roman" w:cs="Times New Roman"/>
        </w:rPr>
        <w:t xml:space="preserve"> </w:t>
      </w:r>
    </w:p>
    <w:p w:rsidR="00944E87" w:rsidRPr="00EE3B6B" w:rsidP="00423979" w14:paraId="6983006E" w14:textId="77777777">
      <w:pPr>
        <w:keepLines/>
        <w:spacing w:after="120" w:line="276" w:lineRule="auto"/>
        <w:ind w:left="360"/>
        <w:rPr>
          <w:rFonts w:ascii="Times New Roman" w:hAnsi="Times New Roman" w:cs="Times New Roman"/>
        </w:rPr>
      </w:pPr>
      <w:r w:rsidRPr="00EE3B6B">
        <w:rPr>
          <w:rFonts w:ascii="Times New Roman" w:hAnsi="Times New Roman" w:cs="Times New Roman"/>
        </w:rPr>
        <w:t>An existing issuer must have at least one “Renewing” plan</w:t>
      </w:r>
      <w:r w:rsidRPr="00EE3B6B" w:rsidR="00507DD5">
        <w:rPr>
          <w:rFonts w:ascii="Times New Roman" w:hAnsi="Times New Roman" w:cs="Times New Roman"/>
        </w:rPr>
        <w:t>,</w:t>
      </w:r>
      <w:r w:rsidRPr="00EE3B6B">
        <w:rPr>
          <w:rFonts w:ascii="Times New Roman" w:hAnsi="Times New Roman" w:cs="Times New Roman"/>
        </w:rPr>
        <w:t xml:space="preserve"> </w:t>
      </w:r>
      <w:r w:rsidRPr="00EE3B6B" w:rsidR="007D31C7">
        <w:rPr>
          <w:rFonts w:ascii="Times New Roman" w:hAnsi="Times New Roman" w:cs="Times New Roman"/>
        </w:rPr>
        <w:t xml:space="preserve">otherwise the issuer may be considered to have </w:t>
      </w:r>
      <w:r w:rsidRPr="00EE3B6B">
        <w:rPr>
          <w:rFonts w:ascii="Times New Roman" w:hAnsi="Times New Roman" w:cs="Times New Roman"/>
        </w:rPr>
        <w:t>exited the market.</w:t>
      </w:r>
      <w:r w:rsidRPr="00EE3B6B" w:rsidR="007844EA">
        <w:rPr>
          <w:rFonts w:ascii="Times New Roman" w:hAnsi="Times New Roman" w:cs="Times New Roman"/>
        </w:rPr>
        <w:t xml:space="preserve"> Revisit Section </w:t>
      </w:r>
      <w:r w:rsidRPr="00EE3B6B" w:rsidR="00391902">
        <w:rPr>
          <w:rFonts w:ascii="Times New Roman" w:hAnsi="Times New Roman" w:cs="Times New Roman"/>
        </w:rPr>
        <w:t>1</w:t>
      </w:r>
      <w:r w:rsidRPr="00EE3B6B" w:rsidR="007844EA">
        <w:rPr>
          <w:rFonts w:ascii="Times New Roman" w:hAnsi="Times New Roman" w:cs="Times New Roman"/>
        </w:rPr>
        <w:t>.</w:t>
      </w:r>
      <w:r w:rsidRPr="00EE3B6B" w:rsidR="00391902">
        <w:rPr>
          <w:rFonts w:ascii="Times New Roman" w:hAnsi="Times New Roman" w:cs="Times New Roman"/>
        </w:rPr>
        <w:t>6</w:t>
      </w:r>
      <w:r w:rsidRPr="00EE3B6B" w:rsidR="007844EA">
        <w:rPr>
          <w:rFonts w:ascii="Times New Roman" w:hAnsi="Times New Roman" w:cs="Times New Roman"/>
        </w:rPr>
        <w:t xml:space="preserve"> above for more information.</w:t>
      </w:r>
      <w:r w:rsidRPr="00EE3B6B" w:rsidR="00D057A8">
        <w:rPr>
          <w:rFonts w:ascii="Times New Roman" w:eastAsia="Times New Roman" w:hAnsi="Times New Roman" w:cs="Times New Roman"/>
          <w:noProof/>
        </w:rPr>
        <w:t xml:space="preserve"> </w:t>
      </w:r>
    </w:p>
    <w:p w:rsidR="00A62219" w:rsidRPr="00EE3B6B" w:rsidP="006D1FD2" w14:paraId="61B47B6A" w14:textId="77777777">
      <w:pPr>
        <w:keepLines/>
        <w:spacing w:after="120" w:line="276" w:lineRule="auto"/>
        <w:rPr>
          <w:rFonts w:ascii="Times New Roman" w:hAnsi="Times New Roman" w:cs="Times New Roman"/>
        </w:rPr>
      </w:pPr>
      <w:r w:rsidRPr="00EE3B6B">
        <w:rPr>
          <w:rFonts w:ascii="Times New Roman" w:hAnsi="Times New Roman" w:cs="Times New Roman"/>
          <w:b/>
        </w:rPr>
        <w:t xml:space="preserve">Plan Type: </w:t>
      </w:r>
      <w:r w:rsidRPr="00EE3B6B">
        <w:rPr>
          <w:rFonts w:ascii="Times New Roman" w:hAnsi="Times New Roman" w:cs="Times New Roman"/>
        </w:rPr>
        <w:t xml:space="preserve"> Select the applicable plan type from the drop-down box. Valid Plan Types are Indemnity, PPO, POS, HMO or EPO.</w:t>
      </w:r>
    </w:p>
    <w:p w:rsidR="00A62219" w:rsidRPr="00EE3B6B" w:rsidP="00BF0E8E" w14:paraId="63EF6A39" w14:textId="77777777">
      <w:pPr>
        <w:keepLines/>
        <w:spacing w:after="120" w:line="276" w:lineRule="auto"/>
        <w:ind w:left="360"/>
        <w:rPr>
          <w:rFonts w:ascii="Times New Roman" w:hAnsi="Times New Roman" w:cs="Times New Roman"/>
        </w:rPr>
      </w:pPr>
      <w:r w:rsidRPr="00EE3B6B">
        <w:rPr>
          <w:rFonts w:ascii="Times New Roman" w:hAnsi="Times New Roman" w:cs="Times New Roman"/>
        </w:rPr>
        <w:t>In the event that</w:t>
      </w:r>
      <w:r w:rsidRPr="00EE3B6B">
        <w:rPr>
          <w:rFonts w:ascii="Times New Roman" w:hAnsi="Times New Roman" w:cs="Times New Roman"/>
        </w:rPr>
        <w:t xml:space="preserve"> the list of plan types does not describe an issuer’s plan exactly, the issuer should select the closest plan available and provide further explanation of the Plan Type in the Actuarial Memorandum.</w:t>
      </w:r>
    </w:p>
    <w:p w:rsidR="00A62219" w:rsidRPr="00EE3B6B" w:rsidP="00BF0E8E" w14:paraId="72CAE8F1" w14:textId="77777777">
      <w:pPr>
        <w:keepLines/>
        <w:spacing w:after="120" w:line="276" w:lineRule="auto"/>
        <w:ind w:left="360"/>
        <w:rPr>
          <w:rFonts w:ascii="Times New Roman" w:hAnsi="Times New Roman" w:cs="Times New Roman"/>
        </w:rPr>
      </w:pPr>
      <w:r w:rsidRPr="00EE3B6B">
        <w:rPr>
          <w:rFonts w:ascii="Times New Roman" w:hAnsi="Times New Roman" w:cs="Times New Roman"/>
          <w:noProof/>
        </w:rPr>
        <mc:AlternateContent>
          <mc:Choice Requires="wps">
            <w:drawing>
              <wp:anchor distT="45720" distB="45720" distL="114300" distR="114300" simplePos="0" relativeHeight="251674624" behindDoc="0" locked="1" layoutInCell="1" allowOverlap="1">
                <wp:simplePos x="0" y="0"/>
                <wp:positionH relativeFrom="margin">
                  <wp:align>left</wp:align>
                </wp:positionH>
                <wp:positionV relativeFrom="margin">
                  <wp:posOffset>3567430</wp:posOffset>
                </wp:positionV>
                <wp:extent cx="5989320" cy="447040"/>
                <wp:effectExtent l="0" t="0" r="11430" b="10160"/>
                <wp:wrapSquare wrapText="bothSides"/>
                <wp:docPr id="1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89320" cy="447040"/>
                        </a:xfrm>
                        <a:prstGeom prst="rect">
                          <a:avLst/>
                        </a:prstGeom>
                        <a:solidFill>
                          <a:schemeClr val="bg1">
                            <a:lumMod val="85000"/>
                          </a:schemeClr>
                        </a:solidFill>
                        <a:ln w="9525">
                          <a:solidFill>
                            <a:srgbClr val="000000"/>
                          </a:solidFill>
                          <a:miter lim="800000"/>
                          <a:headEnd/>
                          <a:tailEnd/>
                        </a:ln>
                      </wps:spPr>
                      <wps:txbx>
                        <w:txbxContent>
                          <w:p w:rsidR="00D33AE9" w:rsidRPr="00BF0E8E" w14:textId="4758D462">
                            <w:pPr>
                              <w:rPr>
                                <w:rFonts w:ascii="Times New Roman" w:hAnsi="Times New Roman" w:cs="Times New Roman"/>
                              </w:rPr>
                            </w:pPr>
                            <w:r w:rsidRPr="00BF0E8E">
                              <w:rPr>
                                <w:rFonts w:ascii="Times New Roman" w:hAnsi="Times New Roman" w:cs="Times New Roman"/>
                                <w:b/>
                                <w:u w:val="single"/>
                              </w:rPr>
                              <w:t>Tip:</w:t>
                            </w:r>
                            <w:r w:rsidRPr="00BF0E8E">
                              <w:rPr>
                                <w:rFonts w:ascii="Times New Roman" w:hAnsi="Times New Roman" w:cs="Times New Roman"/>
                              </w:rPr>
                              <w:t xml:space="preserve"> A Product should have only one Plan Type listed under it. A single product may not contain both HMO and PPO network types.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4" type="#_x0000_t202" style="width:471.6pt;height:35.2pt;margin-top:280.9pt;margin-left:0;mso-height-percent:0;mso-height-relative:margin;mso-position-horizontal:left;mso-position-horizontal-relative:margin;mso-position-vertical-relative:margin;mso-width-percent:0;mso-width-relative:margin;mso-wrap-distance-bottom:3.6pt;mso-wrap-distance-left:9pt;mso-wrap-distance-right:9pt;mso-wrap-distance-top:3.6pt;mso-wrap-style:square;position:absolute;visibility:visible;v-text-anchor:top;z-index:251675648" fillcolor="#d8d8d8">
                <v:textbox>
                  <w:txbxContent>
                    <w:p w:rsidR="00D33AE9" w:rsidRPr="00BF0E8E" w14:paraId="4D7C25C2" w14:textId="4758D462">
                      <w:pPr>
                        <w:rPr>
                          <w:rFonts w:ascii="Times New Roman" w:hAnsi="Times New Roman" w:cs="Times New Roman"/>
                        </w:rPr>
                      </w:pPr>
                      <w:r w:rsidRPr="00BF0E8E">
                        <w:rPr>
                          <w:rFonts w:ascii="Times New Roman" w:hAnsi="Times New Roman" w:cs="Times New Roman"/>
                          <w:b/>
                          <w:u w:val="single"/>
                        </w:rPr>
                        <w:t>Tip:</w:t>
                      </w:r>
                      <w:r w:rsidRPr="00BF0E8E">
                        <w:rPr>
                          <w:rFonts w:ascii="Times New Roman" w:hAnsi="Times New Roman" w:cs="Times New Roman"/>
                        </w:rPr>
                        <w:t xml:space="preserve"> A Product should have only one Plan Type listed under it. A single product may not contain both HMO and PPO network types.</w:t>
                      </w:r>
                    </w:p>
                  </w:txbxContent>
                </v:textbox>
                <w10:wrap type="square"/>
                <w10:anchorlock/>
              </v:shape>
            </w:pict>
          </mc:Fallback>
        </mc:AlternateContent>
      </w:r>
      <w:r w:rsidRPr="00EE3B6B" w:rsidR="00A62219">
        <w:rPr>
          <w:rFonts w:ascii="Times New Roman" w:hAnsi="Times New Roman" w:cs="Times New Roman"/>
        </w:rPr>
        <w:t xml:space="preserve">Definitions of each of these categories can be found on the HealthCare.gov website in the glossary. However, each </w:t>
      </w:r>
      <w:r w:rsidRPr="00EE3B6B" w:rsidR="00A52393">
        <w:rPr>
          <w:rFonts w:ascii="Times New Roman" w:hAnsi="Times New Roman" w:cs="Times New Roman"/>
        </w:rPr>
        <w:t>s</w:t>
      </w:r>
      <w:r w:rsidRPr="00EE3B6B" w:rsidR="00A62219">
        <w:rPr>
          <w:rFonts w:ascii="Times New Roman" w:hAnsi="Times New Roman" w:cs="Times New Roman"/>
        </w:rPr>
        <w:t>tate may have its own definition of these terms which would dictate the plan type.</w:t>
      </w:r>
    </w:p>
    <w:p w:rsidR="00507E7E" w:rsidRPr="00EE3B6B" w:rsidP="006D1FD2" w14:paraId="6D575664" w14:textId="372559C3">
      <w:pPr>
        <w:keepLines/>
        <w:spacing w:after="120" w:line="276" w:lineRule="auto"/>
        <w:rPr>
          <w:rFonts w:ascii="Times New Roman" w:hAnsi="Times New Roman" w:cs="Times New Roman"/>
        </w:rPr>
      </w:pPr>
      <w:r w:rsidRPr="00EE3B6B">
        <w:rPr>
          <w:rFonts w:ascii="Times New Roman" w:hAnsi="Times New Roman" w:cs="Times New Roman"/>
          <w:b/>
        </w:rPr>
        <w:t xml:space="preserve">Exchange </w:t>
      </w:r>
      <w:r w:rsidRPr="00EE3B6B">
        <w:rPr>
          <w:rFonts w:ascii="Times New Roman" w:hAnsi="Times New Roman" w:cs="Times New Roman"/>
          <w:b/>
        </w:rPr>
        <w:t>Plan</w:t>
      </w:r>
      <w:r w:rsidRPr="00EE3B6B" w:rsidR="00391902">
        <w:rPr>
          <w:rFonts w:ascii="Times New Roman" w:hAnsi="Times New Roman" w:cs="Times New Roman"/>
          <w:b/>
        </w:rPr>
        <w:t>?</w:t>
      </w:r>
      <w:r w:rsidRPr="00EE3B6B">
        <w:rPr>
          <w:rFonts w:ascii="Times New Roman" w:hAnsi="Times New Roman" w:cs="Times New Roman"/>
          <w:b/>
        </w:rPr>
        <w:t>:</w:t>
      </w:r>
      <w:r w:rsidRPr="00EE3B6B">
        <w:rPr>
          <w:rFonts w:ascii="Times New Roman" w:hAnsi="Times New Roman" w:cs="Times New Roman"/>
        </w:rPr>
        <w:t xml:space="preserve">  For each plan, </w:t>
      </w:r>
      <w:r w:rsidRPr="00EE3B6B" w:rsidR="007844EA">
        <w:rPr>
          <w:rFonts w:ascii="Times New Roman" w:hAnsi="Times New Roman" w:cs="Times New Roman"/>
        </w:rPr>
        <w:t>select</w:t>
      </w:r>
      <w:r w:rsidRPr="00EE3B6B">
        <w:rPr>
          <w:rFonts w:ascii="Times New Roman" w:hAnsi="Times New Roman" w:cs="Times New Roman"/>
        </w:rPr>
        <w:t xml:space="preserve"> an indicator (</w:t>
      </w:r>
      <w:r w:rsidRPr="00EE3B6B" w:rsidR="007844EA">
        <w:rPr>
          <w:rFonts w:ascii="Times New Roman" w:hAnsi="Times New Roman" w:cs="Times New Roman"/>
        </w:rPr>
        <w:t>Y</w:t>
      </w:r>
      <w:r w:rsidRPr="00EE3B6B">
        <w:rPr>
          <w:rFonts w:ascii="Times New Roman" w:hAnsi="Times New Roman" w:cs="Times New Roman"/>
        </w:rPr>
        <w:t xml:space="preserve">es or </w:t>
      </w:r>
      <w:r w:rsidRPr="00EE3B6B" w:rsidR="007844EA">
        <w:rPr>
          <w:rFonts w:ascii="Times New Roman" w:hAnsi="Times New Roman" w:cs="Times New Roman"/>
        </w:rPr>
        <w:t>N</w:t>
      </w:r>
      <w:r w:rsidRPr="00EE3B6B">
        <w:rPr>
          <w:rFonts w:ascii="Times New Roman" w:hAnsi="Times New Roman" w:cs="Times New Roman"/>
        </w:rPr>
        <w:t>o)</w:t>
      </w:r>
      <w:r w:rsidRPr="00EE3B6B" w:rsidR="007844EA">
        <w:rPr>
          <w:rFonts w:ascii="Times New Roman" w:hAnsi="Times New Roman" w:cs="Times New Roman"/>
        </w:rPr>
        <w:t xml:space="preserve"> from the drop-down box</w:t>
      </w:r>
      <w:r w:rsidRPr="00EE3B6B">
        <w:rPr>
          <w:rFonts w:ascii="Times New Roman" w:hAnsi="Times New Roman" w:cs="Times New Roman"/>
        </w:rPr>
        <w:t xml:space="preserve"> as to whether the plan will be offered inside a State-based </w:t>
      </w:r>
      <w:r w:rsidRPr="00EE3B6B" w:rsidR="00731252">
        <w:rPr>
          <w:rFonts w:ascii="Times New Roman" w:hAnsi="Times New Roman" w:cs="Times New Roman"/>
        </w:rPr>
        <w:t>Exchange (SBE),</w:t>
      </w:r>
      <w:r w:rsidRPr="00EE3B6B">
        <w:rPr>
          <w:rFonts w:ascii="Times New Roman" w:hAnsi="Times New Roman" w:cs="Times New Roman"/>
        </w:rPr>
        <w:t xml:space="preserve"> Federally-facilitated </w:t>
      </w:r>
      <w:r w:rsidRPr="00EE3B6B" w:rsidR="00B16041">
        <w:rPr>
          <w:rFonts w:ascii="Times New Roman" w:hAnsi="Times New Roman" w:cs="Times New Roman"/>
        </w:rPr>
        <w:t>Exchange</w:t>
      </w:r>
      <w:r w:rsidRPr="00EE3B6B">
        <w:rPr>
          <w:rFonts w:ascii="Times New Roman" w:hAnsi="Times New Roman" w:cs="Times New Roman"/>
        </w:rPr>
        <w:t xml:space="preserve"> </w:t>
      </w:r>
      <w:r w:rsidRPr="00EE3B6B" w:rsidR="00731252">
        <w:rPr>
          <w:rFonts w:ascii="Times New Roman" w:hAnsi="Times New Roman" w:cs="Times New Roman"/>
        </w:rPr>
        <w:t xml:space="preserve">(FFE), </w:t>
      </w:r>
      <w:r w:rsidRPr="00EE3B6B">
        <w:rPr>
          <w:rFonts w:ascii="Times New Roman" w:hAnsi="Times New Roman" w:cs="Times New Roman"/>
        </w:rPr>
        <w:t xml:space="preserve">or Small Business Health Options Program (SHOP), regardless of whether or not it will also be offered or marketed outside the </w:t>
      </w:r>
      <w:r w:rsidRPr="00EE3B6B" w:rsidR="00B16041">
        <w:rPr>
          <w:rFonts w:ascii="Times New Roman" w:hAnsi="Times New Roman" w:cs="Times New Roman"/>
        </w:rPr>
        <w:t>Exchange</w:t>
      </w:r>
      <w:r w:rsidRPr="00EE3B6B">
        <w:rPr>
          <w:rFonts w:ascii="Times New Roman" w:hAnsi="Times New Roman" w:cs="Times New Roman"/>
        </w:rPr>
        <w:t xml:space="preserve">. If an application for </w:t>
      </w:r>
      <w:r w:rsidRPr="00EE3B6B" w:rsidR="00391902">
        <w:rPr>
          <w:rFonts w:ascii="Times New Roman" w:hAnsi="Times New Roman" w:cs="Times New Roman"/>
        </w:rPr>
        <w:t>QHP</w:t>
      </w:r>
      <w:r w:rsidRPr="00EE3B6B">
        <w:rPr>
          <w:rFonts w:ascii="Times New Roman" w:hAnsi="Times New Roman" w:cs="Times New Roman"/>
        </w:rPr>
        <w:t xml:space="preserve"> status is pending, enter “</w:t>
      </w:r>
      <w:r w:rsidRPr="00EE3B6B" w:rsidR="007844EA">
        <w:rPr>
          <w:rFonts w:ascii="Times New Roman" w:hAnsi="Times New Roman" w:cs="Times New Roman"/>
        </w:rPr>
        <w:t>Y</w:t>
      </w:r>
      <w:r w:rsidRPr="00EE3B6B">
        <w:rPr>
          <w:rFonts w:ascii="Times New Roman" w:hAnsi="Times New Roman" w:cs="Times New Roman"/>
        </w:rPr>
        <w:t xml:space="preserve">es.” This indicator should not be used to identify whether a plan is offered on a private </w:t>
      </w:r>
      <w:r w:rsidRPr="00EE3B6B" w:rsidR="00B16041">
        <w:rPr>
          <w:rFonts w:ascii="Times New Roman" w:hAnsi="Times New Roman" w:cs="Times New Roman"/>
        </w:rPr>
        <w:t>Exchange</w:t>
      </w:r>
      <w:r w:rsidRPr="00EE3B6B">
        <w:rPr>
          <w:rFonts w:ascii="Times New Roman" w:hAnsi="Times New Roman" w:cs="Times New Roman"/>
        </w:rPr>
        <w:t>. If you indicate “</w:t>
      </w:r>
      <w:r w:rsidRPr="00EE3B6B" w:rsidR="007844EA">
        <w:rPr>
          <w:rFonts w:ascii="Times New Roman" w:hAnsi="Times New Roman" w:cs="Times New Roman"/>
        </w:rPr>
        <w:t>Y</w:t>
      </w:r>
      <w:r w:rsidRPr="00EE3B6B">
        <w:rPr>
          <w:rFonts w:ascii="Times New Roman" w:hAnsi="Times New Roman" w:cs="Times New Roman"/>
        </w:rPr>
        <w:t xml:space="preserve">es” for a plan offering full EHB, the plan will automatically be considered as available on and off the </w:t>
      </w:r>
      <w:r w:rsidRPr="00EE3B6B" w:rsidR="00B16041">
        <w:rPr>
          <w:rFonts w:ascii="Times New Roman" w:hAnsi="Times New Roman" w:cs="Times New Roman"/>
        </w:rPr>
        <w:t>Exchange</w:t>
      </w:r>
      <w:r w:rsidRPr="00EE3B6B">
        <w:rPr>
          <w:rFonts w:ascii="Times New Roman" w:hAnsi="Times New Roman" w:cs="Times New Roman"/>
        </w:rPr>
        <w:t xml:space="preserve">, due to guaranteed availability. </w:t>
      </w:r>
      <w:r w:rsidRPr="00EE3B6B" w:rsidR="00B16041">
        <w:rPr>
          <w:rFonts w:ascii="Times New Roman" w:hAnsi="Times New Roman" w:cs="Times New Roman"/>
        </w:rPr>
        <w:t>Exchange</w:t>
      </w:r>
      <w:r w:rsidRPr="00EE3B6B">
        <w:rPr>
          <w:rFonts w:ascii="Times New Roman" w:hAnsi="Times New Roman" w:cs="Times New Roman"/>
        </w:rPr>
        <w:t xml:space="preserve"> issuers are required to make all full EHB plans available upon request from consumers who meet the guaranteed availability and EHB </w:t>
      </w:r>
      <w:r w:rsidRPr="00EE3B6B">
        <w:rPr>
          <w:rFonts w:ascii="Times New Roman" w:hAnsi="Times New Roman" w:cs="Times New Roman"/>
        </w:rPr>
        <w:t>requirements, but</w:t>
      </w:r>
      <w:r w:rsidRPr="00EE3B6B">
        <w:rPr>
          <w:rFonts w:ascii="Times New Roman" w:hAnsi="Times New Roman" w:cs="Times New Roman"/>
        </w:rPr>
        <w:t xml:space="preserve"> are not required to market or actively sell </w:t>
      </w:r>
      <w:r w:rsidRPr="00EE3B6B" w:rsidR="00B16041">
        <w:rPr>
          <w:rFonts w:ascii="Times New Roman" w:hAnsi="Times New Roman" w:cs="Times New Roman"/>
        </w:rPr>
        <w:t>Exchange</w:t>
      </w:r>
      <w:r w:rsidRPr="00EE3B6B">
        <w:rPr>
          <w:rFonts w:ascii="Times New Roman" w:hAnsi="Times New Roman" w:cs="Times New Roman"/>
        </w:rPr>
        <w:t xml:space="preserve"> plans outside the </w:t>
      </w:r>
      <w:r w:rsidRPr="00EE3B6B" w:rsidR="00B16041">
        <w:rPr>
          <w:rFonts w:ascii="Times New Roman" w:hAnsi="Times New Roman" w:cs="Times New Roman"/>
        </w:rPr>
        <w:t>Exchange</w:t>
      </w:r>
      <w:r w:rsidRPr="00EE3B6B">
        <w:rPr>
          <w:rFonts w:ascii="Times New Roman" w:hAnsi="Times New Roman" w:cs="Times New Roman"/>
        </w:rPr>
        <w:t>.</w:t>
      </w:r>
    </w:p>
    <w:p w:rsidR="00507E7E" w:rsidRPr="00EE3B6B" w:rsidP="00BF0E8E" w14:paraId="4A9A2972" w14:textId="77777777">
      <w:pPr>
        <w:keepLines/>
        <w:spacing w:after="120" w:line="276" w:lineRule="auto"/>
        <w:ind w:left="360"/>
        <w:rPr>
          <w:rFonts w:ascii="Times New Roman" w:hAnsi="Times New Roman" w:cs="Times New Roman"/>
        </w:rPr>
      </w:pPr>
      <w:r w:rsidRPr="00EE3B6B">
        <w:rPr>
          <w:rFonts w:ascii="Times New Roman" w:hAnsi="Times New Roman" w:cs="Times New Roman"/>
        </w:rPr>
        <w:t xml:space="preserve">For terminated plans, the issuer should enter “No” in this field, even if the plan was offered on the </w:t>
      </w:r>
      <w:r w:rsidRPr="00EE3B6B" w:rsidR="00B16041">
        <w:rPr>
          <w:rFonts w:ascii="Times New Roman" w:hAnsi="Times New Roman" w:cs="Times New Roman"/>
        </w:rPr>
        <w:t>Exchange</w:t>
      </w:r>
      <w:r w:rsidRPr="00EE3B6B">
        <w:rPr>
          <w:rFonts w:ascii="Times New Roman" w:hAnsi="Times New Roman" w:cs="Times New Roman"/>
        </w:rPr>
        <w:t xml:space="preserve"> just prior to its termination.</w:t>
      </w:r>
    </w:p>
    <w:p w:rsidR="00CE2725" w:rsidRPr="00EE3B6B" w:rsidP="006D1FD2" w14:paraId="1734E2A4" w14:textId="77777777">
      <w:pPr>
        <w:keepLines/>
        <w:spacing w:after="120" w:line="276" w:lineRule="auto"/>
        <w:rPr>
          <w:rFonts w:ascii="Times New Roman" w:hAnsi="Times New Roman" w:cs="Times New Roman"/>
        </w:rPr>
      </w:pPr>
      <w:r w:rsidRPr="00EE3B6B">
        <w:rPr>
          <w:rFonts w:ascii="Times New Roman" w:hAnsi="Times New Roman" w:cs="Times New Roman"/>
          <w:b/>
        </w:rPr>
        <w:t>Effective Date of Proposed Rates:</w:t>
      </w:r>
      <w:r w:rsidRPr="00EE3B6B">
        <w:rPr>
          <w:rFonts w:ascii="Times New Roman" w:hAnsi="Times New Roman" w:cs="Times New Roman"/>
        </w:rPr>
        <w:t xml:space="preserve">  For each plan, enter the corresponding effective date of the proposed rate</w:t>
      </w:r>
      <w:r w:rsidRPr="00EE3B6B" w:rsidR="00391902">
        <w:rPr>
          <w:rFonts w:ascii="Times New Roman" w:hAnsi="Times New Roman" w:cs="Times New Roman"/>
        </w:rPr>
        <w:t>s</w:t>
      </w:r>
      <w:r w:rsidRPr="00EE3B6B">
        <w:rPr>
          <w:rFonts w:ascii="Times New Roman" w:hAnsi="Times New Roman" w:cs="Times New Roman"/>
        </w:rPr>
        <w:t>.</w:t>
      </w:r>
    </w:p>
    <w:p w:rsidR="00CE2725" w:rsidRPr="00EE3B6B" w:rsidP="00BF0E8E" w14:paraId="62E77A74" w14:textId="77777777">
      <w:pPr>
        <w:keepLines/>
        <w:spacing w:after="120" w:line="276" w:lineRule="auto"/>
        <w:ind w:left="360"/>
        <w:rPr>
          <w:rFonts w:ascii="Times New Roman" w:hAnsi="Times New Roman" w:cs="Times New Roman"/>
        </w:rPr>
      </w:pPr>
      <w:r w:rsidRPr="00EE3B6B">
        <w:rPr>
          <w:rFonts w:ascii="Times New Roman" w:hAnsi="Times New Roman" w:cs="Times New Roman"/>
        </w:rPr>
        <w:t xml:space="preserve">All non-terminating products and plans must have the same effective date. </w:t>
      </w:r>
    </w:p>
    <w:p w:rsidR="00CE2725" w:rsidRPr="00EE3B6B" w:rsidP="00BF0E8E" w14:paraId="65519BEA" w14:textId="77777777">
      <w:pPr>
        <w:keepLines/>
        <w:spacing w:after="120" w:line="276" w:lineRule="auto"/>
        <w:ind w:left="360"/>
        <w:rPr>
          <w:rFonts w:ascii="Times New Roman" w:hAnsi="Times New Roman" w:cs="Times New Roman"/>
        </w:rPr>
      </w:pPr>
      <w:r w:rsidRPr="00EE3B6B">
        <w:rPr>
          <w:rFonts w:ascii="Times New Roman" w:hAnsi="Times New Roman" w:cs="Times New Roman"/>
        </w:rPr>
        <w:t>I</w:t>
      </w:r>
      <w:r w:rsidRPr="00EE3B6B">
        <w:rPr>
          <w:rFonts w:ascii="Times New Roman" w:hAnsi="Times New Roman" w:cs="Times New Roman"/>
        </w:rPr>
        <w:t xml:space="preserve">f the submission is for the small group market, enter the effective date on which the products’ rates will change due to the </w:t>
      </w:r>
      <w:r w:rsidRPr="00EE3B6B" w:rsidR="00C66220">
        <w:rPr>
          <w:rFonts w:ascii="Times New Roman" w:hAnsi="Times New Roman" w:cs="Times New Roman"/>
        </w:rPr>
        <w:t>Index Rate</w:t>
      </w:r>
      <w:r w:rsidRPr="00EE3B6B">
        <w:rPr>
          <w:rFonts w:ascii="Times New Roman" w:hAnsi="Times New Roman" w:cs="Times New Roman"/>
        </w:rPr>
        <w:t xml:space="preserve"> being revised. For example, if the small group quarterly submission revises the </w:t>
      </w:r>
      <w:r w:rsidRPr="00EE3B6B" w:rsidR="00C66220">
        <w:rPr>
          <w:rFonts w:ascii="Times New Roman" w:hAnsi="Times New Roman" w:cs="Times New Roman"/>
        </w:rPr>
        <w:t>Index Rate</w:t>
      </w:r>
      <w:r w:rsidRPr="00EE3B6B">
        <w:rPr>
          <w:rFonts w:ascii="Times New Roman" w:hAnsi="Times New Roman" w:cs="Times New Roman"/>
        </w:rPr>
        <w:t xml:space="preserve"> for </w:t>
      </w:r>
      <w:r w:rsidRPr="00EE3B6B" w:rsidR="00391902">
        <w:rPr>
          <w:rFonts w:ascii="Times New Roman" w:hAnsi="Times New Roman" w:cs="Times New Roman"/>
        </w:rPr>
        <w:t xml:space="preserve">a </w:t>
      </w:r>
      <w:r w:rsidRPr="00EE3B6B">
        <w:rPr>
          <w:rFonts w:ascii="Times New Roman" w:hAnsi="Times New Roman" w:cs="Times New Roman"/>
        </w:rPr>
        <w:t xml:space="preserve">July 1, </w:t>
      </w:r>
      <w:r w:rsidRPr="00EE3B6B" w:rsidR="00041FAE">
        <w:rPr>
          <w:rFonts w:ascii="Times New Roman" w:hAnsi="Times New Roman" w:cs="Times New Roman"/>
        </w:rPr>
        <w:t>2020</w:t>
      </w:r>
      <w:r w:rsidRPr="00EE3B6B" w:rsidR="00041FAE">
        <w:rPr>
          <w:rFonts w:ascii="Times New Roman" w:hAnsi="Times New Roman" w:cs="Times New Roman"/>
        </w:rPr>
        <w:t xml:space="preserve"> </w:t>
      </w:r>
      <w:r w:rsidRPr="00EE3B6B">
        <w:rPr>
          <w:rFonts w:ascii="Times New Roman" w:hAnsi="Times New Roman" w:cs="Times New Roman"/>
        </w:rPr>
        <w:t xml:space="preserve">effective date and includes a trend increase applicable on October 1, </w:t>
      </w:r>
      <w:r w:rsidRPr="00EE3B6B" w:rsidR="00041FAE">
        <w:rPr>
          <w:rFonts w:ascii="Times New Roman" w:hAnsi="Times New Roman" w:cs="Times New Roman"/>
        </w:rPr>
        <w:t>2020</w:t>
      </w:r>
      <w:r w:rsidRPr="00EE3B6B">
        <w:rPr>
          <w:rFonts w:ascii="Times New Roman" w:hAnsi="Times New Roman" w:cs="Times New Roman"/>
        </w:rPr>
        <w:t>, enter July 1,</w:t>
      </w:r>
      <w:r w:rsidRPr="00EE3B6B" w:rsidR="00880813">
        <w:rPr>
          <w:rFonts w:ascii="Times New Roman" w:hAnsi="Times New Roman" w:cs="Times New Roman"/>
        </w:rPr>
        <w:t xml:space="preserve"> </w:t>
      </w:r>
      <w:r w:rsidRPr="00EE3B6B" w:rsidR="00041FAE">
        <w:rPr>
          <w:rFonts w:ascii="Times New Roman" w:hAnsi="Times New Roman" w:cs="Times New Roman"/>
        </w:rPr>
        <w:t>2020</w:t>
      </w:r>
      <w:r w:rsidRPr="00EE3B6B">
        <w:rPr>
          <w:rFonts w:ascii="Times New Roman" w:hAnsi="Times New Roman" w:cs="Times New Roman"/>
        </w:rPr>
        <w:t>.</w:t>
      </w:r>
    </w:p>
    <w:p w:rsidR="00CE2725" w:rsidRPr="00EE3B6B" w:rsidP="006D1FD2" w14:paraId="06D74FCE" w14:textId="77777777">
      <w:pPr>
        <w:keepLines/>
        <w:spacing w:after="120" w:line="276" w:lineRule="auto"/>
        <w:rPr>
          <w:rFonts w:ascii="Times New Roman" w:hAnsi="Times New Roman" w:cs="Times New Roman"/>
        </w:rPr>
      </w:pPr>
      <w:r w:rsidRPr="00EE3B6B">
        <w:rPr>
          <w:rFonts w:ascii="Times New Roman" w:hAnsi="Times New Roman" w:cs="Times New Roman"/>
          <w:b/>
        </w:rPr>
        <w:t xml:space="preserve">Cumulative Rate Change </w:t>
      </w:r>
      <w:r w:rsidRPr="00EE3B6B" w:rsidR="007E65B0">
        <w:rPr>
          <w:rFonts w:ascii="Times New Roman" w:hAnsi="Times New Roman" w:cs="Times New Roman"/>
          <w:b/>
        </w:rPr>
        <w:t>%</w:t>
      </w:r>
      <w:r w:rsidRPr="00EE3B6B">
        <w:rPr>
          <w:rFonts w:ascii="Times New Roman" w:hAnsi="Times New Roman" w:cs="Times New Roman"/>
          <w:b/>
        </w:rPr>
        <w:t xml:space="preserve"> (over 12 months prior):</w:t>
      </w:r>
      <w:r w:rsidRPr="00EE3B6B">
        <w:rPr>
          <w:rFonts w:ascii="Times New Roman" w:hAnsi="Times New Roman" w:cs="Times New Roman"/>
        </w:rPr>
        <w:t xml:space="preserve">  Enter the average change in premium rates over the </w:t>
      </w:r>
      <w:r w:rsidRPr="00EE3B6B">
        <w:rPr>
          <w:rFonts w:ascii="Times New Roman" w:hAnsi="Times New Roman" w:cs="Times New Roman"/>
        </w:rPr>
        <w:t>twelve month</w:t>
      </w:r>
      <w:r w:rsidRPr="00EE3B6B">
        <w:rPr>
          <w:rFonts w:ascii="Times New Roman" w:hAnsi="Times New Roman" w:cs="Times New Roman"/>
        </w:rPr>
        <w:t xml:space="preserve"> period prior to the effective date for each plan. This should be the premium- weighted average of the 12-month </w:t>
      </w:r>
      <w:r w:rsidRPr="00EE3B6B" w:rsidR="00415EB0">
        <w:rPr>
          <w:rFonts w:ascii="Times New Roman" w:hAnsi="Times New Roman" w:cs="Times New Roman"/>
        </w:rPr>
        <w:t>chang</w:t>
      </w:r>
      <w:r w:rsidRPr="00EE3B6B">
        <w:rPr>
          <w:rFonts w:ascii="Times New Roman" w:hAnsi="Times New Roman" w:cs="Times New Roman"/>
        </w:rPr>
        <w:t>es that apply at renewal.</w:t>
      </w:r>
    </w:p>
    <w:p w:rsidR="00CE2725" w:rsidRPr="00EE3B6B" w:rsidP="00BF0E8E" w14:paraId="0D1D459D" w14:textId="77777777">
      <w:pPr>
        <w:keepLines/>
        <w:spacing w:after="120" w:line="276" w:lineRule="auto"/>
        <w:ind w:left="360"/>
        <w:rPr>
          <w:rFonts w:ascii="Times New Roman" w:hAnsi="Times New Roman" w:cs="Times New Roman"/>
        </w:rPr>
      </w:pPr>
      <w:r w:rsidRPr="00EE3B6B">
        <w:rPr>
          <w:rFonts w:ascii="Times New Roman" w:hAnsi="Times New Roman" w:cs="Times New Roman"/>
        </w:rPr>
        <w:t xml:space="preserve">This should be measured as the change in premium rates tables over the </w:t>
      </w:r>
      <w:r w:rsidRPr="00EE3B6B">
        <w:rPr>
          <w:rFonts w:ascii="Times New Roman" w:hAnsi="Times New Roman" w:cs="Times New Roman"/>
        </w:rPr>
        <w:t>12 month</w:t>
      </w:r>
      <w:r w:rsidRPr="00EE3B6B">
        <w:rPr>
          <w:rFonts w:ascii="Times New Roman" w:hAnsi="Times New Roman" w:cs="Times New Roman"/>
        </w:rPr>
        <w:t xml:space="preserve"> prior rate table using the plan’s current distribution of enrollment by age, geographic area, and tobacco status.</w:t>
      </w:r>
      <w:r w:rsidRPr="00EE3B6B" w:rsidR="00415EB0">
        <w:rPr>
          <w:rFonts w:ascii="Times New Roman" w:hAnsi="Times New Roman" w:cs="Times New Roman"/>
        </w:rPr>
        <w:t xml:space="preserve"> For small group quarterly rate filings, this should reflect the weighted rate change across all remaining quarters in the year.</w:t>
      </w:r>
    </w:p>
    <w:p w:rsidR="00CE2725" w:rsidRPr="00EE3B6B" w:rsidP="00BF0E8E" w14:paraId="37045F38" w14:textId="77777777">
      <w:pPr>
        <w:keepLines/>
        <w:spacing w:after="120" w:line="276" w:lineRule="auto"/>
        <w:ind w:left="360"/>
        <w:rPr>
          <w:rFonts w:ascii="Times New Roman" w:hAnsi="Times New Roman" w:cs="Times New Roman"/>
        </w:rPr>
      </w:pPr>
      <w:r w:rsidRPr="00EE3B6B">
        <w:rPr>
          <w:rFonts w:ascii="Times New Roman" w:hAnsi="Times New Roman" w:cs="Times New Roman"/>
        </w:rPr>
        <w:t xml:space="preserve">This is the rate </w:t>
      </w:r>
      <w:r w:rsidRPr="00EE3B6B" w:rsidR="00415EB0">
        <w:rPr>
          <w:rFonts w:ascii="Times New Roman" w:hAnsi="Times New Roman" w:cs="Times New Roman"/>
        </w:rPr>
        <w:t>chang</w:t>
      </w:r>
      <w:r w:rsidRPr="00EE3B6B">
        <w:rPr>
          <w:rFonts w:ascii="Times New Roman" w:hAnsi="Times New Roman" w:cs="Times New Roman"/>
        </w:rPr>
        <w:t>e that determines whether the renewing product is subject to review, per 45 CFR 154.200. This field is also the HIOS trigger to identify a rate increase subject to review. If any renewing plan within a product has a rate increase of 1</w:t>
      </w:r>
      <w:r w:rsidRPr="00EE3B6B" w:rsidR="0035627C">
        <w:rPr>
          <w:rFonts w:ascii="Times New Roman" w:hAnsi="Times New Roman" w:cs="Times New Roman"/>
        </w:rPr>
        <w:t>5</w:t>
      </w:r>
      <w:r w:rsidRPr="00EE3B6B">
        <w:rPr>
          <w:rFonts w:ascii="Times New Roman" w:hAnsi="Times New Roman" w:cs="Times New Roman"/>
        </w:rPr>
        <w:t>% or greater, HIOS will require submission of Part II, the written description justifying the rate increase for that product.</w:t>
      </w:r>
    </w:p>
    <w:p w:rsidR="00CE2725" w:rsidRPr="00EE3B6B" w:rsidP="00BF0E8E" w14:paraId="3DC5B040" w14:textId="77777777">
      <w:pPr>
        <w:keepLines/>
        <w:spacing w:after="120" w:line="276" w:lineRule="auto"/>
        <w:ind w:left="360"/>
        <w:rPr>
          <w:rFonts w:ascii="Times New Roman" w:hAnsi="Times New Roman" w:cs="Times New Roman"/>
        </w:rPr>
      </w:pPr>
      <w:r w:rsidRPr="00EE3B6B">
        <w:rPr>
          <w:rFonts w:ascii="Times New Roman" w:hAnsi="Times New Roman" w:cs="Times New Roman"/>
        </w:rPr>
        <w:t>Issuers should enter 0% in this field f</w:t>
      </w:r>
      <w:r w:rsidRPr="00EE3B6B">
        <w:rPr>
          <w:rFonts w:ascii="Times New Roman" w:hAnsi="Times New Roman" w:cs="Times New Roman"/>
        </w:rPr>
        <w:t>or terminating plans.</w:t>
      </w:r>
    </w:p>
    <w:p w:rsidR="007E65B0" w:rsidRPr="00EE3B6B" w:rsidP="006D1FD2" w14:paraId="640756F9" w14:textId="77777777">
      <w:pPr>
        <w:keepLines/>
        <w:spacing w:after="120" w:line="276" w:lineRule="auto"/>
        <w:rPr>
          <w:rFonts w:ascii="Times New Roman" w:hAnsi="Times New Roman" w:cs="Times New Roman"/>
        </w:rPr>
      </w:pPr>
      <w:r w:rsidRPr="00EE3B6B">
        <w:rPr>
          <w:rFonts w:ascii="Times New Roman" w:hAnsi="Times New Roman" w:cs="Times New Roman"/>
          <w:b/>
        </w:rPr>
        <w:t xml:space="preserve">Product Rate Increase </w:t>
      </w:r>
      <w:r w:rsidRPr="00EE3B6B">
        <w:rPr>
          <w:rFonts w:ascii="Times New Roman" w:hAnsi="Times New Roman" w:cs="Times New Roman"/>
          <w:b/>
        </w:rPr>
        <w:t>%</w:t>
      </w:r>
      <w:r w:rsidRPr="00EE3B6B">
        <w:rPr>
          <w:rFonts w:ascii="Times New Roman" w:hAnsi="Times New Roman" w:cs="Times New Roman"/>
          <w:b/>
        </w:rPr>
        <w:t>:</w:t>
      </w:r>
      <w:r w:rsidRPr="00EE3B6B">
        <w:rPr>
          <w:rFonts w:ascii="Times New Roman" w:hAnsi="Times New Roman" w:cs="Times New Roman"/>
        </w:rPr>
        <w:t xml:space="preserve">  The template calculates the average rate increase for each product by weighting the Cumulative Rate Change Percent (over 12 months prior) for each renewing plan</w:t>
      </w:r>
      <w:r w:rsidRPr="00EE3B6B">
        <w:rPr>
          <w:rFonts w:ascii="Times New Roman" w:hAnsi="Times New Roman" w:cs="Times New Roman"/>
        </w:rPr>
        <w:t xml:space="preserve"> </w:t>
      </w:r>
      <w:r w:rsidRPr="00EE3B6B" w:rsidR="003C6132">
        <w:rPr>
          <w:rFonts w:ascii="Times New Roman" w:hAnsi="Times New Roman" w:cs="Times New Roman"/>
        </w:rPr>
        <w:t xml:space="preserve">within the product </w:t>
      </w:r>
      <w:r w:rsidRPr="00EE3B6B">
        <w:rPr>
          <w:rFonts w:ascii="Times New Roman" w:hAnsi="Times New Roman" w:cs="Times New Roman"/>
        </w:rPr>
        <w:t xml:space="preserve">using Current Enrollment and the Current Premium </w:t>
      </w:r>
      <w:r w:rsidRPr="00EE3B6B" w:rsidR="00BB21D5">
        <w:rPr>
          <w:rFonts w:ascii="Times New Roman" w:hAnsi="Times New Roman" w:cs="Times New Roman"/>
        </w:rPr>
        <w:t>PMPM</w:t>
      </w:r>
      <w:r w:rsidRPr="00EE3B6B">
        <w:rPr>
          <w:rFonts w:ascii="Times New Roman" w:hAnsi="Times New Roman" w:cs="Times New Roman"/>
        </w:rPr>
        <w:t xml:space="preserve">. </w:t>
      </w:r>
    </w:p>
    <w:p w:rsidR="00CE2725" w:rsidRPr="00EE3B6B" w:rsidP="00BF0E8E" w14:paraId="08A0727D" w14:textId="77777777">
      <w:pPr>
        <w:keepLines/>
        <w:spacing w:after="120" w:line="276" w:lineRule="auto"/>
        <w:ind w:left="360"/>
        <w:rPr>
          <w:rFonts w:ascii="Times New Roman" w:hAnsi="Times New Roman" w:cs="Times New Roman"/>
        </w:rPr>
      </w:pPr>
      <w:r w:rsidRPr="00EE3B6B">
        <w:rPr>
          <w:rFonts w:ascii="Times New Roman" w:hAnsi="Times New Roman" w:cs="Times New Roman"/>
          <w:noProof/>
        </w:rPr>
        <mc:AlternateContent>
          <mc:Choice Requires="wps">
            <w:drawing>
              <wp:anchor distT="45720" distB="45720" distL="114300" distR="114300" simplePos="0" relativeHeight="251671552" behindDoc="0" locked="1" layoutInCell="1" allowOverlap="1">
                <wp:simplePos x="0" y="0"/>
                <wp:positionH relativeFrom="margin">
                  <wp:align>left</wp:align>
                </wp:positionH>
                <wp:positionV relativeFrom="margin">
                  <wp:posOffset>3354705</wp:posOffset>
                </wp:positionV>
                <wp:extent cx="6080760" cy="511810"/>
                <wp:effectExtent l="0" t="0" r="15240" b="21590"/>
                <wp:wrapSquare wrapText="bothSides"/>
                <wp:docPr id="1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80760" cy="511810"/>
                        </a:xfrm>
                        <a:prstGeom prst="rect">
                          <a:avLst/>
                        </a:prstGeom>
                        <a:solidFill>
                          <a:schemeClr val="bg1">
                            <a:lumMod val="85000"/>
                          </a:schemeClr>
                        </a:solidFill>
                        <a:ln w="9525">
                          <a:solidFill>
                            <a:srgbClr val="000000"/>
                          </a:solidFill>
                          <a:miter lim="800000"/>
                          <a:headEnd/>
                          <a:tailEnd/>
                        </a:ln>
                      </wps:spPr>
                      <wps:txbx>
                        <w:txbxContent>
                          <w:p w:rsidR="00D33AE9" w:rsidRPr="00BF0E8E" w:rsidP="00D852A3" w14:textId="35D88FD7">
                            <w:pPr>
                              <w:rPr>
                                <w:rFonts w:ascii="Times New Roman" w:hAnsi="Times New Roman" w:cs="Times New Roman"/>
                                <w:color w:val="323E4F" w:themeColor="text2" w:themeShade="BF"/>
                              </w:rPr>
                            </w:pPr>
                            <w:r w:rsidRPr="00BF0E8E">
                              <w:rPr>
                                <w:rFonts w:ascii="Times New Roman" w:hAnsi="Times New Roman" w:cs="Times New Roman"/>
                                <w:b/>
                                <w:color w:val="323E4F" w:themeColor="text2" w:themeShade="BF"/>
                                <w:u w:val="single"/>
                              </w:rPr>
                              <w:t>Tip:</w:t>
                            </w:r>
                            <w:r w:rsidRPr="00BF0E8E">
                              <w:rPr>
                                <w:rFonts w:ascii="Times New Roman" w:hAnsi="Times New Roman" w:cs="Times New Roman"/>
                                <w:color w:val="323E4F" w:themeColor="text2" w:themeShade="BF"/>
                              </w:rPr>
                              <w:t xml:space="preserve"> Make sure information </w:t>
                            </w:r>
                            <w:r w:rsidRPr="00BF0E8E">
                              <w:rPr>
                                <w:rFonts w:ascii="Times New Roman" w:hAnsi="Times New Roman" w:cs="Times New Roman"/>
                                <w:color w:val="323E4F" w:themeColor="text2" w:themeShade="BF"/>
                              </w:rPr>
                              <w:t>entered into</w:t>
                            </w:r>
                            <w:r w:rsidRPr="00BF0E8E">
                              <w:rPr>
                                <w:rFonts w:ascii="Times New Roman" w:hAnsi="Times New Roman" w:cs="Times New Roman"/>
                                <w:color w:val="323E4F" w:themeColor="text2" w:themeShade="BF"/>
                              </w:rPr>
                              <w:t xml:space="preserve"> the URRT is correct. Information submitted in the URRT will determine the requested rate increase shown on the CMS website.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35" type="#_x0000_t202" style="width:478.8pt;height:40.3pt;margin-top:264.15pt;margin-left:0;mso-height-percent:0;mso-height-relative:margin;mso-position-horizontal:left;mso-position-horizontal-relative:margin;mso-position-vertical-relative:margin;mso-width-percent:0;mso-width-relative:margin;mso-wrap-distance-bottom:3.6pt;mso-wrap-distance-left:9pt;mso-wrap-distance-right:9pt;mso-wrap-distance-top:3.6pt;position:absolute;v-text-anchor:top;z-index:251670528" fillcolor="#d8d8d8" stroked="t" strokecolor="black" strokeweight="0.75pt">
                <v:textbox>
                  <w:txbxContent>
                    <w:p w:rsidR="00D33AE9" w:rsidRPr="00BF0E8E" w:rsidP="00D852A3" w14:paraId="4D8162F0" w14:textId="35D88FD7">
                      <w:pPr>
                        <w:rPr>
                          <w:rFonts w:ascii="Times New Roman" w:hAnsi="Times New Roman" w:cs="Times New Roman"/>
                          <w:color w:val="323E4F" w:themeColor="text2" w:themeShade="BF"/>
                        </w:rPr>
                      </w:pPr>
                      <w:r w:rsidRPr="00BF0E8E">
                        <w:rPr>
                          <w:rFonts w:ascii="Times New Roman" w:hAnsi="Times New Roman" w:cs="Times New Roman"/>
                          <w:b/>
                          <w:color w:val="323E4F" w:themeColor="text2" w:themeShade="BF"/>
                          <w:u w:val="single"/>
                        </w:rPr>
                        <w:t>Tip:</w:t>
                      </w:r>
                      <w:r w:rsidRPr="00BF0E8E">
                        <w:rPr>
                          <w:rFonts w:ascii="Times New Roman" w:hAnsi="Times New Roman" w:cs="Times New Roman"/>
                          <w:color w:val="323E4F" w:themeColor="text2" w:themeShade="BF"/>
                        </w:rPr>
                        <w:t xml:space="preserve"> Make sure information </w:t>
                      </w:r>
                      <w:r w:rsidRPr="00BF0E8E">
                        <w:rPr>
                          <w:rFonts w:ascii="Times New Roman" w:hAnsi="Times New Roman" w:cs="Times New Roman"/>
                          <w:color w:val="323E4F" w:themeColor="text2" w:themeShade="BF"/>
                        </w:rPr>
                        <w:t>entered into</w:t>
                      </w:r>
                      <w:r w:rsidRPr="00BF0E8E">
                        <w:rPr>
                          <w:rFonts w:ascii="Times New Roman" w:hAnsi="Times New Roman" w:cs="Times New Roman"/>
                          <w:color w:val="323E4F" w:themeColor="text2" w:themeShade="BF"/>
                        </w:rPr>
                        <w:t xml:space="preserve"> the URRT is correct. Information submitted in the URRT will determine the requested rate increase shown on the CMS website.</w:t>
                      </w:r>
                    </w:p>
                  </w:txbxContent>
                </v:textbox>
                <w10:wrap type="square"/>
                <w10:anchorlock/>
              </v:shape>
            </w:pict>
          </mc:Fallback>
        </mc:AlternateContent>
      </w:r>
      <w:r w:rsidRPr="00EE3B6B" w:rsidR="00CE2725">
        <w:rPr>
          <w:rFonts w:ascii="Times New Roman" w:hAnsi="Times New Roman" w:cs="Times New Roman"/>
        </w:rPr>
        <w:t>If a plan is identified as New or Terminated in the Plan Category field</w:t>
      </w:r>
      <w:r w:rsidRPr="00EE3B6B" w:rsidR="007E65B0">
        <w:rPr>
          <w:rFonts w:ascii="Times New Roman" w:hAnsi="Times New Roman" w:cs="Times New Roman"/>
        </w:rPr>
        <w:t xml:space="preserve"> or has a Metal designation of “Not Applicable</w:t>
      </w:r>
      <w:r w:rsidRPr="00EE3B6B" w:rsidR="00CE2725">
        <w:rPr>
          <w:rFonts w:ascii="Times New Roman" w:hAnsi="Times New Roman" w:cs="Times New Roman"/>
        </w:rPr>
        <w:t>,</w:t>
      </w:r>
      <w:r w:rsidRPr="00EE3B6B" w:rsidR="007E65B0">
        <w:rPr>
          <w:rFonts w:ascii="Times New Roman" w:hAnsi="Times New Roman" w:cs="Times New Roman"/>
        </w:rPr>
        <w:t>”</w:t>
      </w:r>
      <w:r w:rsidRPr="00EE3B6B" w:rsidR="00CE2725">
        <w:rPr>
          <w:rFonts w:ascii="Times New Roman" w:hAnsi="Times New Roman" w:cs="Times New Roman"/>
        </w:rPr>
        <w:t xml:space="preserve"> that plan’s Cumulative Rate Change will not be counted toward the Product Rate Increase Percent. This is the product rate </w:t>
      </w:r>
      <w:r w:rsidRPr="00EE3B6B" w:rsidR="00CB5E4B">
        <w:rPr>
          <w:rFonts w:ascii="Times New Roman" w:hAnsi="Times New Roman" w:cs="Times New Roman"/>
        </w:rPr>
        <w:t>change</w:t>
      </w:r>
      <w:r w:rsidRPr="00EE3B6B" w:rsidR="00CE2725">
        <w:rPr>
          <w:rFonts w:ascii="Times New Roman" w:hAnsi="Times New Roman" w:cs="Times New Roman"/>
        </w:rPr>
        <w:t xml:space="preserve"> that will appear when proposed and final rate </w:t>
      </w:r>
      <w:r w:rsidRPr="00EE3B6B" w:rsidR="00CB5E4B">
        <w:rPr>
          <w:rFonts w:ascii="Times New Roman" w:hAnsi="Times New Roman" w:cs="Times New Roman"/>
        </w:rPr>
        <w:t>chang</w:t>
      </w:r>
      <w:r w:rsidRPr="00EE3B6B" w:rsidR="00CE2725">
        <w:rPr>
          <w:rFonts w:ascii="Times New Roman" w:hAnsi="Times New Roman" w:cs="Times New Roman"/>
        </w:rPr>
        <w:t xml:space="preserve">es (regardless of whether the increase is subject to review) are released at </w:t>
      </w:r>
      <w:hyperlink r:id="rId12" w:history="1">
        <w:r w:rsidRPr="00EE3B6B" w:rsidR="00CE2725">
          <w:rPr>
            <w:rStyle w:val="Hyperlink"/>
            <w:rFonts w:ascii="Times New Roman" w:hAnsi="Times New Roman" w:cs="Times New Roman"/>
          </w:rPr>
          <w:t>https://ratereview.healthcare.gov/</w:t>
        </w:r>
      </w:hyperlink>
      <w:r w:rsidRPr="00EE3B6B" w:rsidR="00CE2725">
        <w:rPr>
          <w:rFonts w:ascii="Times New Roman" w:hAnsi="Times New Roman" w:cs="Times New Roman"/>
        </w:rPr>
        <w:t xml:space="preserve">. </w:t>
      </w:r>
    </w:p>
    <w:p w:rsidR="003C6132" w:rsidRPr="00EE3B6B" w:rsidP="006D1FD2" w14:paraId="0E54EBB2" w14:textId="77777777">
      <w:pPr>
        <w:keepLines/>
        <w:spacing w:after="120" w:line="276" w:lineRule="auto"/>
        <w:rPr>
          <w:rFonts w:ascii="Times New Roman" w:hAnsi="Times New Roman" w:cs="Times New Roman"/>
        </w:rPr>
      </w:pPr>
      <w:r w:rsidRPr="00EE3B6B">
        <w:rPr>
          <w:rFonts w:ascii="Times New Roman" w:hAnsi="Times New Roman" w:cs="Times New Roman"/>
          <w:b/>
        </w:rPr>
        <w:t>Submission Level Rate Increase</w:t>
      </w:r>
      <w:r w:rsidRPr="00EE3B6B" w:rsidR="007E65B0">
        <w:rPr>
          <w:rFonts w:ascii="Times New Roman" w:hAnsi="Times New Roman" w:cs="Times New Roman"/>
          <w:b/>
        </w:rPr>
        <w:t xml:space="preserve"> %</w:t>
      </w:r>
      <w:r w:rsidRPr="00EE3B6B">
        <w:rPr>
          <w:rFonts w:ascii="Times New Roman" w:hAnsi="Times New Roman" w:cs="Times New Roman"/>
          <w:b/>
        </w:rPr>
        <w:t xml:space="preserve">: </w:t>
      </w:r>
      <w:r w:rsidRPr="00EE3B6B" w:rsidR="007E65B0">
        <w:rPr>
          <w:rFonts w:ascii="Times New Roman" w:hAnsi="Times New Roman" w:cs="Times New Roman"/>
        </w:rPr>
        <w:t xml:space="preserve">The template calculates the submission level rate </w:t>
      </w:r>
      <w:r w:rsidRPr="00EE3B6B">
        <w:rPr>
          <w:rFonts w:ascii="Times New Roman" w:hAnsi="Times New Roman" w:cs="Times New Roman"/>
        </w:rPr>
        <w:t xml:space="preserve">increase by weighting each renewing plan within the submission using Current Enrollment and the Current Premium </w:t>
      </w:r>
      <w:r w:rsidRPr="00EE3B6B" w:rsidR="00BB21D5">
        <w:rPr>
          <w:rFonts w:ascii="Times New Roman" w:hAnsi="Times New Roman" w:cs="Times New Roman"/>
        </w:rPr>
        <w:t>PMPM</w:t>
      </w:r>
      <w:r w:rsidRPr="00EE3B6B">
        <w:rPr>
          <w:rFonts w:ascii="Times New Roman" w:hAnsi="Times New Roman" w:cs="Times New Roman"/>
        </w:rPr>
        <w:t>.</w:t>
      </w:r>
    </w:p>
    <w:p w:rsidR="003C6132" w:rsidRPr="00EE3B6B" w:rsidP="00BF0E8E" w14:paraId="6AE2CDAC" w14:textId="77777777">
      <w:pPr>
        <w:keepLines/>
        <w:spacing w:after="120" w:line="276" w:lineRule="auto"/>
        <w:ind w:left="360"/>
        <w:rPr>
          <w:rFonts w:ascii="Times New Roman" w:hAnsi="Times New Roman" w:cs="Times New Roman"/>
        </w:rPr>
      </w:pPr>
      <w:r w:rsidRPr="00EE3B6B">
        <w:rPr>
          <w:rFonts w:ascii="Times New Roman" w:hAnsi="Times New Roman" w:cs="Times New Roman"/>
        </w:rPr>
        <w:t>Similar to</w:t>
      </w:r>
      <w:r w:rsidRPr="00EE3B6B">
        <w:rPr>
          <w:rFonts w:ascii="Times New Roman" w:hAnsi="Times New Roman" w:cs="Times New Roman"/>
        </w:rPr>
        <w:t xml:space="preserve"> the Product Rate Increase % above, if a plan is identified as New or Terminated in the Plan Category field or has a Metal designation of “Not Applicable,” that plan’s Cumulative Rate Change will not be counted toward the Submission Level Rate Increase Percent.</w:t>
      </w:r>
    </w:p>
    <w:p w:rsidR="003C6132" w:rsidRPr="00EE3B6B" w:rsidP="00BF0E8E" w14:paraId="19F940AA" w14:textId="77777777">
      <w:pPr>
        <w:keepLines/>
        <w:spacing w:after="120" w:line="276" w:lineRule="auto"/>
        <w:ind w:left="360"/>
        <w:rPr>
          <w:rFonts w:ascii="Times New Roman" w:hAnsi="Times New Roman" w:cs="Times New Roman"/>
        </w:rPr>
      </w:pPr>
      <w:r w:rsidRPr="00EE3B6B">
        <w:rPr>
          <w:rFonts w:ascii="Times New Roman" w:hAnsi="Times New Roman" w:cs="Times New Roman"/>
        </w:rPr>
        <w:t xml:space="preserve">This is the submission level rate increase that will appear when proposed and final rate changes (regardless of whether the increase is subject to review) are released at </w:t>
      </w:r>
      <w:hyperlink r:id="rId12" w:history="1">
        <w:r w:rsidRPr="00EE3B6B">
          <w:rPr>
            <w:rStyle w:val="Hyperlink"/>
            <w:rFonts w:ascii="Times New Roman" w:hAnsi="Times New Roman" w:cs="Times New Roman"/>
          </w:rPr>
          <w:t>https://ratereview.healthcare.gov/</w:t>
        </w:r>
      </w:hyperlink>
      <w:r w:rsidRPr="00EE3B6B">
        <w:rPr>
          <w:rFonts w:ascii="Times New Roman" w:hAnsi="Times New Roman" w:cs="Times New Roman"/>
        </w:rPr>
        <w:t>.</w:t>
      </w:r>
      <w:r w:rsidRPr="00EE3B6B" w:rsidR="008E3552">
        <w:rPr>
          <w:rFonts w:ascii="Times New Roman" w:hAnsi="Times New Roman" w:cs="Times New Roman"/>
        </w:rPr>
        <w:t xml:space="preserve"> Rate changes of zero will not be posted.</w:t>
      </w:r>
    </w:p>
    <w:p w:rsidR="003B5DED" w:rsidRPr="00EE3B6B" w:rsidP="006C6C1A" w14:paraId="0A3272EF" w14:textId="77777777">
      <w:pPr>
        <w:pStyle w:val="Heading3"/>
        <w:numPr>
          <w:ilvl w:val="0"/>
          <w:numId w:val="0"/>
        </w:numPr>
        <w:ind w:left="720" w:hanging="720"/>
      </w:pPr>
      <w:bookmarkStart w:id="40" w:name="_Toc174003429"/>
      <w:r w:rsidRPr="00EE3B6B">
        <w:t>2.2.</w:t>
      </w:r>
      <w:r w:rsidRPr="00EE3B6B" w:rsidR="00391902">
        <w:t>2</w:t>
      </w:r>
      <w:r w:rsidRPr="00EE3B6B">
        <w:t xml:space="preserve"> Section II: </w:t>
      </w:r>
      <w:r w:rsidRPr="00EE3B6B" w:rsidR="00C66220">
        <w:t>Experience Period</w:t>
      </w:r>
      <w:r w:rsidRPr="00EE3B6B">
        <w:t xml:space="preserve"> </w:t>
      </w:r>
      <w:r w:rsidRPr="00EE3B6B" w:rsidR="00041FAE">
        <w:t xml:space="preserve">and Current Plan Level </w:t>
      </w:r>
      <w:r w:rsidRPr="00EE3B6B">
        <w:t>Information</w:t>
      </w:r>
      <w:bookmarkEnd w:id="40"/>
    </w:p>
    <w:p w:rsidR="003B5DED" w:rsidRPr="00EE3B6B" w:rsidP="006D1FD2" w14:paraId="4C6FDEA4" w14:textId="77777777">
      <w:pPr>
        <w:keepLines/>
        <w:spacing w:after="120" w:line="276" w:lineRule="auto"/>
        <w:rPr>
          <w:rFonts w:ascii="Times New Roman" w:hAnsi="Times New Roman" w:cs="Times New Roman"/>
        </w:rPr>
      </w:pPr>
      <w:r w:rsidRPr="00EE3B6B">
        <w:rPr>
          <w:rFonts w:ascii="Times New Roman" w:hAnsi="Times New Roman" w:cs="Times New Roman"/>
        </w:rPr>
        <w:t xml:space="preserve">The information shown in this section captures the historical data for the twelve-month period used in the base period experience. This should be the same </w:t>
      </w:r>
      <w:r w:rsidRPr="00EE3B6B">
        <w:rPr>
          <w:rFonts w:ascii="Times New Roman" w:hAnsi="Times New Roman" w:cs="Times New Roman"/>
        </w:rPr>
        <w:t>time period</w:t>
      </w:r>
      <w:r w:rsidRPr="00EE3B6B">
        <w:rPr>
          <w:rFonts w:ascii="Times New Roman" w:hAnsi="Times New Roman" w:cs="Times New Roman"/>
        </w:rPr>
        <w:t xml:space="preserve"> as the </w:t>
      </w:r>
      <w:r w:rsidRPr="00EE3B6B" w:rsidR="00C66220">
        <w:rPr>
          <w:rFonts w:ascii="Times New Roman" w:hAnsi="Times New Roman" w:cs="Times New Roman"/>
        </w:rPr>
        <w:t>Experience Period</w:t>
      </w:r>
      <w:r w:rsidRPr="00EE3B6B">
        <w:rPr>
          <w:rFonts w:ascii="Times New Roman" w:hAnsi="Times New Roman" w:cs="Times New Roman"/>
        </w:rPr>
        <w:t xml:space="preserve"> found in Worksheet 1. See the instructions for Worksheet 1 for the definition of the </w:t>
      </w:r>
      <w:r w:rsidRPr="00EE3B6B" w:rsidR="00C66220">
        <w:rPr>
          <w:rFonts w:ascii="Times New Roman" w:hAnsi="Times New Roman" w:cs="Times New Roman"/>
        </w:rPr>
        <w:t>Experience Period</w:t>
      </w:r>
      <w:r w:rsidRPr="00EE3B6B">
        <w:rPr>
          <w:rFonts w:ascii="Times New Roman" w:hAnsi="Times New Roman" w:cs="Times New Roman"/>
        </w:rPr>
        <w:t>.</w:t>
      </w:r>
    </w:p>
    <w:p w:rsidR="003B5DED" w:rsidRPr="00EE3B6B" w:rsidP="006D1FD2" w14:paraId="7ABD0CAC" w14:textId="5B43E688">
      <w:pPr>
        <w:keepLines/>
        <w:spacing w:after="120" w:line="276" w:lineRule="auto"/>
        <w:rPr>
          <w:rFonts w:ascii="Times New Roman" w:hAnsi="Times New Roman" w:cs="Times New Roman"/>
        </w:rPr>
      </w:pPr>
      <w:r w:rsidRPr="00EE3B6B">
        <w:rPr>
          <w:rFonts w:ascii="Times New Roman" w:hAnsi="Times New Roman" w:cs="Times New Roman"/>
        </w:rPr>
        <w:t xml:space="preserve">For small group submissions, the information in this section, except where noted, should reflect the </w:t>
      </w:r>
      <w:r w:rsidRPr="00EE3B6B" w:rsidR="00C66220">
        <w:rPr>
          <w:rFonts w:ascii="Times New Roman" w:hAnsi="Times New Roman" w:cs="Times New Roman"/>
        </w:rPr>
        <w:t>Experience Period</w:t>
      </w:r>
      <w:r w:rsidRPr="00EE3B6B">
        <w:rPr>
          <w:rFonts w:ascii="Times New Roman" w:hAnsi="Times New Roman" w:cs="Times New Roman"/>
        </w:rPr>
        <w:t xml:space="preserve"> data on Worksheet 1. For example, if the </w:t>
      </w:r>
      <w:r w:rsidRPr="00EE3B6B" w:rsidR="00C66220">
        <w:rPr>
          <w:rFonts w:ascii="Times New Roman" w:hAnsi="Times New Roman" w:cs="Times New Roman"/>
        </w:rPr>
        <w:t>Experience Period</w:t>
      </w:r>
      <w:r w:rsidRPr="00EE3B6B">
        <w:rPr>
          <w:rFonts w:ascii="Times New Roman" w:hAnsi="Times New Roman" w:cs="Times New Roman"/>
        </w:rPr>
        <w:t xml:space="preserve"> on Worksheet 1 is calendar year 20</w:t>
      </w:r>
      <w:r w:rsidR="00683401">
        <w:rPr>
          <w:rFonts w:ascii="Times New Roman" w:hAnsi="Times New Roman" w:cs="Times New Roman"/>
        </w:rPr>
        <w:t>2</w:t>
      </w:r>
      <w:r w:rsidR="00CC0AF4">
        <w:rPr>
          <w:rFonts w:ascii="Times New Roman" w:hAnsi="Times New Roman" w:cs="Times New Roman"/>
        </w:rPr>
        <w:t>2</w:t>
      </w:r>
      <w:r w:rsidRPr="00EE3B6B">
        <w:rPr>
          <w:rFonts w:ascii="Times New Roman" w:hAnsi="Times New Roman" w:cs="Times New Roman"/>
        </w:rPr>
        <w:t>, the information on this section should be f</w:t>
      </w:r>
      <w:r w:rsidRPr="00EE3B6B" w:rsidR="00F25B81">
        <w:rPr>
          <w:rFonts w:ascii="Times New Roman" w:hAnsi="Times New Roman" w:cs="Times New Roman"/>
        </w:rPr>
        <w:t>or</w:t>
      </w:r>
      <w:r w:rsidRPr="00EE3B6B">
        <w:rPr>
          <w:rFonts w:ascii="Times New Roman" w:hAnsi="Times New Roman" w:cs="Times New Roman"/>
        </w:rPr>
        <w:t xml:space="preserve"> calendar year 20</w:t>
      </w:r>
      <w:r w:rsidR="00CC0AF4">
        <w:rPr>
          <w:rFonts w:ascii="Times New Roman" w:hAnsi="Times New Roman" w:cs="Times New Roman"/>
        </w:rPr>
        <w:t>22</w:t>
      </w:r>
      <w:r w:rsidRPr="00EE3B6B">
        <w:rPr>
          <w:rFonts w:ascii="Times New Roman" w:hAnsi="Times New Roman" w:cs="Times New Roman"/>
        </w:rPr>
        <w:t>.</w:t>
      </w:r>
    </w:p>
    <w:p w:rsidR="00863D6D" w:rsidRPr="00EE3B6B" w:rsidP="00FA6F2C" w14:paraId="419C0D2F" w14:textId="77777777">
      <w:pPr>
        <w:pStyle w:val="Heading4"/>
      </w:pPr>
      <w:r w:rsidRPr="00EE3B6B">
        <w:t>2.2.</w:t>
      </w:r>
      <w:r w:rsidRPr="00EE3B6B" w:rsidR="00D51320">
        <w:t>2</w:t>
      </w:r>
      <w:r w:rsidRPr="00EE3B6B">
        <w:t xml:space="preserve">.1 </w:t>
      </w:r>
      <w:r w:rsidRPr="00EE3B6B" w:rsidR="00C66220">
        <w:t>Experience Period</w:t>
      </w:r>
      <w:r w:rsidRPr="00EE3B6B">
        <w:t xml:space="preserve"> </w:t>
      </w:r>
      <w:r w:rsidRPr="00EE3B6B" w:rsidR="00265336">
        <w:t xml:space="preserve">and Current </w:t>
      </w:r>
      <w:r w:rsidRPr="00EE3B6B">
        <w:t>Data</w:t>
      </w:r>
    </w:p>
    <w:p w:rsidR="00863D6D" w:rsidRPr="00EE3B6B" w:rsidP="006D1FD2" w14:paraId="1AB290BA" w14:textId="77777777">
      <w:pPr>
        <w:keepLines/>
        <w:spacing w:after="120" w:line="276" w:lineRule="auto"/>
        <w:rPr>
          <w:rFonts w:ascii="Times New Roman" w:hAnsi="Times New Roman" w:cs="Times New Roman"/>
        </w:rPr>
      </w:pPr>
      <w:r w:rsidRPr="00EE3B6B">
        <w:rPr>
          <w:rFonts w:ascii="Times New Roman" w:hAnsi="Times New Roman" w:cs="Times New Roman"/>
        </w:rPr>
        <w:t xml:space="preserve">Issuers enter data for the </w:t>
      </w:r>
      <w:r w:rsidRPr="00EE3B6B" w:rsidR="00C66220">
        <w:rPr>
          <w:rFonts w:ascii="Times New Roman" w:hAnsi="Times New Roman" w:cs="Times New Roman"/>
        </w:rPr>
        <w:t>Experience Period</w:t>
      </w:r>
      <w:r w:rsidRPr="00EE3B6B">
        <w:rPr>
          <w:rFonts w:ascii="Times New Roman" w:hAnsi="Times New Roman" w:cs="Times New Roman"/>
        </w:rPr>
        <w:t xml:space="preserve"> </w:t>
      </w:r>
      <w:r w:rsidRPr="00EE3B6B" w:rsidR="00265336">
        <w:rPr>
          <w:rFonts w:ascii="Times New Roman" w:hAnsi="Times New Roman" w:cs="Times New Roman"/>
        </w:rPr>
        <w:t xml:space="preserve">as well as current enrollment and premium </w:t>
      </w:r>
      <w:r w:rsidRPr="00EE3B6B">
        <w:rPr>
          <w:rFonts w:ascii="Times New Roman" w:hAnsi="Times New Roman" w:cs="Times New Roman"/>
        </w:rPr>
        <w:t xml:space="preserve">in this section. The </w:t>
      </w:r>
      <w:r w:rsidRPr="00EE3B6B" w:rsidR="00265336">
        <w:rPr>
          <w:rFonts w:ascii="Times New Roman" w:hAnsi="Times New Roman" w:cs="Times New Roman"/>
        </w:rPr>
        <w:t xml:space="preserve">experience period </w:t>
      </w:r>
      <w:r w:rsidRPr="00EE3B6B">
        <w:rPr>
          <w:rFonts w:ascii="Times New Roman" w:hAnsi="Times New Roman" w:cs="Times New Roman"/>
        </w:rPr>
        <w:t xml:space="preserve">entries are then used to calculate </w:t>
      </w:r>
      <w:r w:rsidRPr="00EE3B6B" w:rsidR="00ED7289">
        <w:rPr>
          <w:rFonts w:ascii="Times New Roman" w:hAnsi="Times New Roman" w:cs="Times New Roman"/>
        </w:rPr>
        <w:t xml:space="preserve">a loss ratio and </w:t>
      </w:r>
      <w:r w:rsidRPr="00EE3B6B" w:rsidR="00BB21D5">
        <w:rPr>
          <w:rFonts w:ascii="Times New Roman" w:hAnsi="Times New Roman" w:cs="Times New Roman"/>
        </w:rPr>
        <w:t>PMPM</w:t>
      </w:r>
      <w:r w:rsidRPr="00EE3B6B" w:rsidR="00BA0ED8">
        <w:rPr>
          <w:rFonts w:ascii="Times New Roman" w:hAnsi="Times New Roman" w:cs="Times New Roman"/>
        </w:rPr>
        <w:t xml:space="preserve"> </w:t>
      </w:r>
      <w:r w:rsidRPr="00EE3B6B" w:rsidR="00ED7289">
        <w:rPr>
          <w:rFonts w:ascii="Times New Roman" w:hAnsi="Times New Roman" w:cs="Times New Roman"/>
        </w:rPr>
        <w:t>amounts.</w:t>
      </w:r>
    </w:p>
    <w:p w:rsidR="00837B09" w:rsidRPr="00EE3B6B" w:rsidP="006D1FD2" w14:paraId="4F670271" w14:textId="77777777">
      <w:pPr>
        <w:keepLines/>
        <w:spacing w:after="120" w:line="276" w:lineRule="auto"/>
        <w:rPr>
          <w:rFonts w:ascii="Times New Roman" w:hAnsi="Times New Roman" w:cs="Times New Roman"/>
        </w:rPr>
      </w:pPr>
      <w:r w:rsidRPr="00EE3B6B">
        <w:rPr>
          <w:rFonts w:ascii="Times New Roman" w:hAnsi="Times New Roman" w:cs="Times New Roman"/>
          <w:b/>
        </w:rPr>
        <w:t>Allowed Claims:</w:t>
      </w:r>
      <w:r w:rsidRPr="00EE3B6B">
        <w:rPr>
          <w:rFonts w:ascii="Times New Roman" w:hAnsi="Times New Roman" w:cs="Times New Roman"/>
        </w:rPr>
        <w:t xml:space="preserve">  Enter the total allowed claims for each benefit plan with service dates within the </w:t>
      </w:r>
      <w:r w:rsidRPr="00EE3B6B" w:rsidR="00C66220">
        <w:rPr>
          <w:rFonts w:ascii="Times New Roman" w:hAnsi="Times New Roman" w:cs="Times New Roman"/>
        </w:rPr>
        <w:t>Experience Period</w:t>
      </w:r>
      <w:r w:rsidRPr="00EE3B6B">
        <w:rPr>
          <w:rFonts w:ascii="Times New Roman" w:hAnsi="Times New Roman" w:cs="Times New Roman"/>
        </w:rPr>
        <w:t>.</w:t>
      </w:r>
    </w:p>
    <w:p w:rsidR="00837B09" w:rsidRPr="00EE3B6B" w:rsidP="00BF0E8E" w14:paraId="3DD57ED8" w14:textId="77777777">
      <w:pPr>
        <w:keepLines/>
        <w:spacing w:after="120" w:line="276" w:lineRule="auto"/>
        <w:ind w:left="360"/>
        <w:rPr>
          <w:rFonts w:ascii="Times New Roman" w:hAnsi="Times New Roman" w:cs="Times New Roman"/>
        </w:rPr>
      </w:pPr>
      <w:r w:rsidRPr="00EE3B6B">
        <w:rPr>
          <w:rFonts w:ascii="Times New Roman" w:hAnsi="Times New Roman" w:cs="Times New Roman"/>
        </w:rPr>
        <w:t xml:space="preserve">The Allowed Claims across all benefit plans for the </w:t>
      </w:r>
      <w:r w:rsidRPr="00EE3B6B" w:rsidR="00C66220">
        <w:rPr>
          <w:rFonts w:ascii="Times New Roman" w:hAnsi="Times New Roman" w:cs="Times New Roman"/>
        </w:rPr>
        <w:t>Experience Period</w:t>
      </w:r>
      <w:r w:rsidRPr="00EE3B6B">
        <w:rPr>
          <w:rFonts w:ascii="Times New Roman" w:hAnsi="Times New Roman" w:cs="Times New Roman"/>
        </w:rPr>
        <w:t xml:space="preserve"> should be consistent with the Allowed Claims entered in Section I of Worksheet 1</w:t>
      </w:r>
      <w:r w:rsidRPr="00EE3B6B" w:rsidR="00422EA9">
        <w:rPr>
          <w:rFonts w:ascii="Times New Roman" w:hAnsi="Times New Roman" w:cs="Times New Roman"/>
        </w:rPr>
        <w:t>.</w:t>
      </w:r>
    </w:p>
    <w:p w:rsidR="003A405C" w:rsidRPr="00EE3B6B" w:rsidP="006D1FD2" w14:paraId="426FFD7C" w14:textId="77777777">
      <w:pPr>
        <w:keepLines/>
        <w:spacing w:after="120" w:line="276" w:lineRule="auto"/>
        <w:rPr>
          <w:rFonts w:ascii="Times New Roman" w:hAnsi="Times New Roman" w:cs="Times New Roman"/>
        </w:rPr>
      </w:pPr>
      <w:r w:rsidRPr="00EE3B6B">
        <w:rPr>
          <w:rFonts w:ascii="Times New Roman" w:hAnsi="Times New Roman" w:cs="Times New Roman"/>
          <w:b/>
        </w:rPr>
        <w:t>Rein</w:t>
      </w:r>
      <w:r w:rsidRPr="00EE3B6B" w:rsidR="00D5071A">
        <w:rPr>
          <w:rFonts w:ascii="Times New Roman" w:hAnsi="Times New Roman" w:cs="Times New Roman"/>
          <w:b/>
        </w:rPr>
        <w:t>surance</w:t>
      </w:r>
      <w:r w:rsidRPr="00EE3B6B">
        <w:rPr>
          <w:rFonts w:ascii="Times New Roman" w:hAnsi="Times New Roman" w:cs="Times New Roman"/>
          <w:b/>
        </w:rPr>
        <w:t>:</w:t>
      </w:r>
      <w:r w:rsidRPr="00EE3B6B">
        <w:rPr>
          <w:rFonts w:ascii="Times New Roman" w:hAnsi="Times New Roman" w:cs="Times New Roman"/>
        </w:rPr>
        <w:t xml:space="preserve">  Enter </w:t>
      </w:r>
      <w:r w:rsidRPr="00EE3B6B" w:rsidR="00EA5CA4">
        <w:rPr>
          <w:rFonts w:ascii="Times New Roman" w:hAnsi="Times New Roman" w:cs="Times New Roman"/>
        </w:rPr>
        <w:t>any</w:t>
      </w:r>
      <w:r w:rsidRPr="00EE3B6B">
        <w:rPr>
          <w:rFonts w:ascii="Times New Roman" w:hAnsi="Times New Roman" w:cs="Times New Roman"/>
        </w:rPr>
        <w:t xml:space="preserve"> </w:t>
      </w:r>
      <w:r w:rsidRPr="00EE3B6B" w:rsidR="003C409E">
        <w:rPr>
          <w:rFonts w:ascii="Times New Roman" w:hAnsi="Times New Roman" w:cs="Times New Roman"/>
        </w:rPr>
        <w:t>claims reimbursement received through a federal or state reinsurance program</w:t>
      </w:r>
      <w:r w:rsidRPr="00EE3B6B" w:rsidR="00541831">
        <w:rPr>
          <w:rFonts w:ascii="Times New Roman" w:hAnsi="Times New Roman" w:cs="Times New Roman"/>
        </w:rPr>
        <w:t>, net of any reinsurance fees</w:t>
      </w:r>
      <w:r w:rsidRPr="00EE3B6B">
        <w:rPr>
          <w:rFonts w:ascii="Times New Roman" w:hAnsi="Times New Roman" w:cs="Times New Roman"/>
        </w:rPr>
        <w:t>.</w:t>
      </w:r>
    </w:p>
    <w:p w:rsidR="003A405C" w:rsidRPr="00EE3B6B" w:rsidP="00BF0E8E" w14:paraId="5D5C4FCB" w14:textId="77777777">
      <w:pPr>
        <w:keepLines/>
        <w:spacing w:after="120" w:line="276" w:lineRule="auto"/>
        <w:ind w:left="360"/>
        <w:rPr>
          <w:rFonts w:ascii="Times New Roman" w:hAnsi="Times New Roman" w:cs="Times New Roman"/>
        </w:rPr>
      </w:pPr>
      <w:r w:rsidRPr="00EE3B6B">
        <w:rPr>
          <w:rFonts w:ascii="Times New Roman" w:hAnsi="Times New Roman" w:cs="Times New Roman"/>
        </w:rPr>
        <w:t xml:space="preserve">If </w:t>
      </w:r>
      <w:r w:rsidRPr="00EE3B6B">
        <w:rPr>
          <w:rFonts w:ascii="Times New Roman" w:hAnsi="Times New Roman" w:cs="Times New Roman"/>
        </w:rPr>
        <w:t xml:space="preserve">the reinsurance recoveries during the </w:t>
      </w:r>
      <w:r w:rsidRPr="00EE3B6B" w:rsidR="00C66220">
        <w:rPr>
          <w:rFonts w:ascii="Times New Roman" w:hAnsi="Times New Roman" w:cs="Times New Roman"/>
        </w:rPr>
        <w:t>Experience Period</w:t>
      </w:r>
      <w:r w:rsidRPr="00EE3B6B">
        <w:rPr>
          <w:rFonts w:ascii="Times New Roman" w:hAnsi="Times New Roman" w:cs="Times New Roman"/>
        </w:rPr>
        <w:t xml:space="preserve"> </w:t>
      </w:r>
      <w:r w:rsidRPr="00EE3B6B">
        <w:rPr>
          <w:rFonts w:ascii="Times New Roman" w:hAnsi="Times New Roman" w:cs="Times New Roman"/>
        </w:rPr>
        <w:t>are</w:t>
      </w:r>
      <w:r w:rsidRPr="00EE3B6B">
        <w:rPr>
          <w:rFonts w:ascii="Times New Roman" w:hAnsi="Times New Roman" w:cs="Times New Roman"/>
        </w:rPr>
        <w:t xml:space="preserve"> not available at the time of the filing, issuers should enter their best estimate of the expected recoveries.</w:t>
      </w:r>
    </w:p>
    <w:p w:rsidR="000A4768" w:rsidRPr="00EE3B6B" w:rsidP="006D1FD2" w14:paraId="396DFF1B" w14:textId="77777777">
      <w:pPr>
        <w:keepLines/>
        <w:spacing w:after="120" w:line="276" w:lineRule="auto"/>
        <w:rPr>
          <w:rFonts w:ascii="Times New Roman" w:hAnsi="Times New Roman" w:cs="Times New Roman"/>
        </w:rPr>
      </w:pPr>
      <w:r w:rsidRPr="00EE3B6B">
        <w:rPr>
          <w:rFonts w:ascii="Times New Roman" w:hAnsi="Times New Roman" w:cs="Times New Roman"/>
          <w:b/>
        </w:rPr>
        <w:t>Member Cost Sharing:</w:t>
      </w:r>
      <w:r w:rsidRPr="00EE3B6B">
        <w:rPr>
          <w:rFonts w:ascii="Times New Roman" w:hAnsi="Times New Roman" w:cs="Times New Roman"/>
          <w:b/>
        </w:rPr>
        <w:t xml:space="preserve"> </w:t>
      </w:r>
      <w:r w:rsidRPr="00EE3B6B">
        <w:rPr>
          <w:rFonts w:ascii="Times New Roman" w:hAnsi="Times New Roman" w:cs="Times New Roman"/>
        </w:rPr>
        <w:t xml:space="preserve">Enter any cost </w:t>
      </w:r>
      <w:r w:rsidRPr="00EE3B6B" w:rsidR="00377891">
        <w:rPr>
          <w:rFonts w:ascii="Times New Roman" w:hAnsi="Times New Roman" w:cs="Times New Roman"/>
        </w:rPr>
        <w:t>sharing</w:t>
      </w:r>
      <w:r w:rsidRPr="00EE3B6B">
        <w:rPr>
          <w:rFonts w:ascii="Times New Roman" w:hAnsi="Times New Roman" w:cs="Times New Roman"/>
        </w:rPr>
        <w:t xml:space="preserve"> (i.e., deductible, coinsurance, copayments) paid by the members. This should not include any cost </w:t>
      </w:r>
      <w:r w:rsidRPr="00EE3B6B" w:rsidR="00377891">
        <w:rPr>
          <w:rFonts w:ascii="Times New Roman" w:hAnsi="Times New Roman" w:cs="Times New Roman"/>
        </w:rPr>
        <w:t>sharing</w:t>
      </w:r>
      <w:r w:rsidRPr="00EE3B6B">
        <w:rPr>
          <w:rFonts w:ascii="Times New Roman" w:hAnsi="Times New Roman" w:cs="Times New Roman"/>
        </w:rPr>
        <w:t xml:space="preserve"> paid on behalf of the member through </w:t>
      </w:r>
      <w:r w:rsidRPr="00EE3B6B" w:rsidR="00DF2F3B">
        <w:rPr>
          <w:rFonts w:ascii="Times New Roman" w:hAnsi="Times New Roman" w:cs="Times New Roman"/>
        </w:rPr>
        <w:t>f</w:t>
      </w:r>
      <w:r w:rsidRPr="00EE3B6B">
        <w:rPr>
          <w:rFonts w:ascii="Times New Roman" w:hAnsi="Times New Roman" w:cs="Times New Roman"/>
        </w:rPr>
        <w:t xml:space="preserve">ederal cost </w:t>
      </w:r>
      <w:r w:rsidRPr="00EE3B6B" w:rsidR="00377891">
        <w:rPr>
          <w:rFonts w:ascii="Times New Roman" w:hAnsi="Times New Roman" w:cs="Times New Roman"/>
        </w:rPr>
        <w:t>sharing</w:t>
      </w:r>
      <w:r w:rsidRPr="00EE3B6B">
        <w:rPr>
          <w:rFonts w:ascii="Times New Roman" w:hAnsi="Times New Roman" w:cs="Times New Roman"/>
        </w:rPr>
        <w:t xml:space="preserve"> reductions.</w:t>
      </w:r>
    </w:p>
    <w:p w:rsidR="00D5071A" w:rsidRPr="00EE3B6B" w:rsidP="006D1FD2" w14:paraId="4BE078EA" w14:textId="77777777">
      <w:pPr>
        <w:keepLines/>
        <w:spacing w:after="120" w:line="276" w:lineRule="auto"/>
        <w:rPr>
          <w:rFonts w:ascii="Times New Roman" w:hAnsi="Times New Roman" w:cs="Times New Roman"/>
        </w:rPr>
      </w:pPr>
      <w:r w:rsidRPr="00EE3B6B">
        <w:rPr>
          <w:rFonts w:ascii="Times New Roman" w:hAnsi="Times New Roman" w:cs="Times New Roman"/>
          <w:b/>
        </w:rPr>
        <w:t>Cost Sharing Reduction:</w:t>
      </w:r>
      <w:r w:rsidRPr="00EE3B6B" w:rsidR="000A4768">
        <w:rPr>
          <w:rFonts w:ascii="Times New Roman" w:hAnsi="Times New Roman" w:cs="Times New Roman"/>
          <w:b/>
        </w:rPr>
        <w:t xml:space="preserve"> </w:t>
      </w:r>
      <w:r w:rsidRPr="00EE3B6B" w:rsidR="000A4768">
        <w:rPr>
          <w:rFonts w:ascii="Times New Roman" w:hAnsi="Times New Roman" w:cs="Times New Roman"/>
        </w:rPr>
        <w:t xml:space="preserve">Enter any cost </w:t>
      </w:r>
      <w:r w:rsidRPr="00EE3B6B" w:rsidR="00377891">
        <w:rPr>
          <w:rFonts w:ascii="Times New Roman" w:hAnsi="Times New Roman" w:cs="Times New Roman"/>
        </w:rPr>
        <w:t>sharing</w:t>
      </w:r>
      <w:r w:rsidRPr="00EE3B6B" w:rsidR="000A4768">
        <w:rPr>
          <w:rFonts w:ascii="Times New Roman" w:hAnsi="Times New Roman" w:cs="Times New Roman"/>
        </w:rPr>
        <w:t xml:space="preserve"> paid on behalf of the member through </w:t>
      </w:r>
      <w:r w:rsidRPr="00EE3B6B" w:rsidR="00DF2F3B">
        <w:rPr>
          <w:rFonts w:ascii="Times New Roman" w:hAnsi="Times New Roman" w:cs="Times New Roman"/>
        </w:rPr>
        <w:t>f</w:t>
      </w:r>
      <w:r w:rsidRPr="00EE3B6B" w:rsidR="000A4768">
        <w:rPr>
          <w:rFonts w:ascii="Times New Roman" w:hAnsi="Times New Roman" w:cs="Times New Roman"/>
        </w:rPr>
        <w:t xml:space="preserve">ederal cost </w:t>
      </w:r>
      <w:r w:rsidRPr="00EE3B6B" w:rsidR="00377891">
        <w:rPr>
          <w:rFonts w:ascii="Times New Roman" w:hAnsi="Times New Roman" w:cs="Times New Roman"/>
        </w:rPr>
        <w:t>sharing</w:t>
      </w:r>
      <w:r w:rsidRPr="00EE3B6B" w:rsidR="000A4768">
        <w:rPr>
          <w:rFonts w:ascii="Times New Roman" w:hAnsi="Times New Roman" w:cs="Times New Roman"/>
        </w:rPr>
        <w:t xml:space="preserve"> reduction subsidies.</w:t>
      </w:r>
    </w:p>
    <w:p w:rsidR="000A4768" w:rsidRPr="00EE3B6B" w:rsidP="00BF0E8E" w14:paraId="7D8B7522" w14:textId="77777777">
      <w:pPr>
        <w:keepLines/>
        <w:spacing w:after="120" w:line="276" w:lineRule="auto"/>
        <w:ind w:left="360"/>
        <w:rPr>
          <w:rFonts w:ascii="Times New Roman" w:hAnsi="Times New Roman" w:cs="Times New Roman"/>
        </w:rPr>
      </w:pPr>
      <w:r w:rsidRPr="00EE3B6B">
        <w:rPr>
          <w:rFonts w:ascii="Times New Roman" w:hAnsi="Times New Roman" w:cs="Times New Roman"/>
        </w:rPr>
        <w:t xml:space="preserve">If the </w:t>
      </w:r>
      <w:r w:rsidRPr="00EE3B6B" w:rsidR="00DF2F3B">
        <w:rPr>
          <w:rFonts w:ascii="Times New Roman" w:hAnsi="Times New Roman" w:cs="Times New Roman"/>
        </w:rPr>
        <w:t>f</w:t>
      </w:r>
      <w:r w:rsidRPr="00EE3B6B">
        <w:rPr>
          <w:rFonts w:ascii="Times New Roman" w:hAnsi="Times New Roman" w:cs="Times New Roman"/>
        </w:rPr>
        <w:t>ederal government does not pay cost-sharing reduction subsidies, the amount entered here should be $0.</w:t>
      </w:r>
    </w:p>
    <w:p w:rsidR="00471D6C" w:rsidRPr="00EE3B6B" w:rsidP="006D1FD2" w14:paraId="6A19882B" w14:textId="77777777">
      <w:pPr>
        <w:keepLines/>
        <w:spacing w:after="120" w:line="276" w:lineRule="auto"/>
        <w:rPr>
          <w:rFonts w:ascii="Times New Roman" w:hAnsi="Times New Roman" w:cs="Times New Roman"/>
        </w:rPr>
      </w:pPr>
      <w:r w:rsidRPr="00EE3B6B">
        <w:rPr>
          <w:rFonts w:ascii="Times New Roman" w:hAnsi="Times New Roman" w:cs="Times New Roman"/>
          <w:b/>
        </w:rPr>
        <w:t>Incurred Claims:</w:t>
      </w:r>
      <w:r w:rsidRPr="00EE3B6B">
        <w:rPr>
          <w:rFonts w:ascii="Times New Roman" w:hAnsi="Times New Roman" w:cs="Times New Roman"/>
          <w:b/>
        </w:rPr>
        <w:t xml:space="preserve"> </w:t>
      </w:r>
      <w:r w:rsidRPr="00EE3B6B">
        <w:rPr>
          <w:rFonts w:ascii="Times New Roman" w:hAnsi="Times New Roman" w:cs="Times New Roman"/>
        </w:rPr>
        <w:t>This is a calculated field that displays the incurred claims which the issuer is responsible for paying.</w:t>
      </w:r>
    </w:p>
    <w:p w:rsidR="00D5071A" w:rsidRPr="00EE3B6B" w:rsidP="00BF0E8E" w14:paraId="7089CC55" w14:textId="77777777">
      <w:pPr>
        <w:keepLines/>
        <w:spacing w:after="120" w:line="276" w:lineRule="auto"/>
        <w:ind w:left="360"/>
        <w:rPr>
          <w:rFonts w:ascii="Times New Roman" w:hAnsi="Times New Roman" w:cs="Times New Roman"/>
          <w:b/>
        </w:rPr>
      </w:pPr>
      <w:r w:rsidRPr="00EE3B6B">
        <w:rPr>
          <w:rFonts w:ascii="Times New Roman" w:hAnsi="Times New Roman" w:cs="Times New Roman"/>
        </w:rPr>
        <w:t xml:space="preserve">This field is </w:t>
      </w:r>
      <w:r w:rsidRPr="00EE3B6B" w:rsidR="00D02CCC">
        <w:rPr>
          <w:rFonts w:ascii="Times New Roman" w:hAnsi="Times New Roman" w:cs="Times New Roman"/>
        </w:rPr>
        <w:t xml:space="preserve">automatically </w:t>
      </w:r>
      <w:r w:rsidRPr="00EE3B6B">
        <w:rPr>
          <w:rFonts w:ascii="Times New Roman" w:hAnsi="Times New Roman" w:cs="Times New Roman"/>
        </w:rPr>
        <w:t>calculated by subtracting reinsurance</w:t>
      </w:r>
      <w:r w:rsidRPr="00EE3B6B" w:rsidR="00647359">
        <w:rPr>
          <w:rFonts w:ascii="Times New Roman" w:hAnsi="Times New Roman" w:cs="Times New Roman"/>
        </w:rPr>
        <w:t>, member cost sharing,</w:t>
      </w:r>
      <w:r w:rsidRPr="00EE3B6B">
        <w:rPr>
          <w:rFonts w:ascii="Times New Roman" w:hAnsi="Times New Roman" w:cs="Times New Roman"/>
        </w:rPr>
        <w:t xml:space="preserve"> and cost sharing reductions from allowed claims. Please check to make sure this amount reflects the incurred claims that are the issuer’s responsibility.</w:t>
      </w:r>
    </w:p>
    <w:p w:rsidR="003A405C" w:rsidRPr="00EE3B6B" w:rsidP="006D1FD2" w14:paraId="7170DC9A" w14:textId="77777777">
      <w:pPr>
        <w:keepLines/>
        <w:spacing w:after="120" w:line="276" w:lineRule="auto"/>
        <w:rPr>
          <w:rFonts w:ascii="Times New Roman" w:hAnsi="Times New Roman" w:cs="Times New Roman"/>
        </w:rPr>
      </w:pPr>
      <w:r w:rsidRPr="00EE3B6B">
        <w:rPr>
          <w:rFonts w:ascii="Times New Roman" w:hAnsi="Times New Roman" w:cs="Times New Roman"/>
          <w:b/>
        </w:rPr>
        <w:t>Risk Adjustment</w:t>
      </w:r>
      <w:r w:rsidRPr="00EE3B6B" w:rsidR="00307E05">
        <w:rPr>
          <w:rFonts w:ascii="Times New Roman" w:hAnsi="Times New Roman" w:cs="Times New Roman"/>
          <w:b/>
        </w:rPr>
        <w:t xml:space="preserve"> Transfer Amount</w:t>
      </w:r>
      <w:r w:rsidRPr="00EE3B6B">
        <w:rPr>
          <w:rFonts w:ascii="Times New Roman" w:hAnsi="Times New Roman" w:cs="Times New Roman"/>
          <w:b/>
        </w:rPr>
        <w:t>:</w:t>
      </w:r>
      <w:r w:rsidRPr="00EE3B6B">
        <w:rPr>
          <w:rFonts w:ascii="Times New Roman" w:hAnsi="Times New Roman" w:cs="Times New Roman"/>
        </w:rPr>
        <w:t xml:space="preserve">  Enter the risk transfer payment</w:t>
      </w:r>
      <w:r w:rsidRPr="00EE3B6B" w:rsidR="001E3E88">
        <w:rPr>
          <w:rFonts w:ascii="Times New Roman" w:hAnsi="Times New Roman" w:cs="Times New Roman"/>
        </w:rPr>
        <w:t xml:space="preserve"> or charge</w:t>
      </w:r>
      <w:r w:rsidRPr="00EE3B6B">
        <w:rPr>
          <w:rFonts w:ascii="Times New Roman" w:hAnsi="Times New Roman" w:cs="Times New Roman"/>
        </w:rPr>
        <w:t xml:space="preserve"> during the </w:t>
      </w:r>
      <w:r w:rsidRPr="00EE3B6B" w:rsidR="00C66220">
        <w:rPr>
          <w:rFonts w:ascii="Times New Roman" w:hAnsi="Times New Roman" w:cs="Times New Roman"/>
        </w:rPr>
        <w:t>Experience Period</w:t>
      </w:r>
      <w:r w:rsidRPr="00EE3B6B">
        <w:rPr>
          <w:rFonts w:ascii="Times New Roman" w:hAnsi="Times New Roman" w:cs="Times New Roman"/>
        </w:rPr>
        <w:t xml:space="preserve"> for each plan.</w:t>
      </w:r>
    </w:p>
    <w:p w:rsidR="004C3B86" w:rsidRPr="00EE3B6B" w:rsidP="00BF0E8E" w14:paraId="11CBE660" w14:textId="77777777">
      <w:pPr>
        <w:keepLines/>
        <w:spacing w:after="120" w:line="276" w:lineRule="auto"/>
        <w:ind w:left="360"/>
        <w:rPr>
          <w:rFonts w:ascii="Times New Roman" w:hAnsi="Times New Roman" w:cs="Times New Roman"/>
        </w:rPr>
      </w:pPr>
      <w:r w:rsidRPr="00EE3B6B">
        <w:rPr>
          <w:rFonts w:ascii="Times New Roman" w:hAnsi="Times New Roman" w:cs="Times New Roman"/>
        </w:rPr>
        <w:t xml:space="preserve">Transfer amounts should include the </w:t>
      </w:r>
      <w:r w:rsidRPr="00EE3B6B">
        <w:rPr>
          <w:rFonts w:ascii="Times New Roman" w:hAnsi="Times New Roman" w:cs="Times New Roman"/>
        </w:rPr>
        <w:t>high cost</w:t>
      </w:r>
      <w:r w:rsidRPr="00EE3B6B">
        <w:rPr>
          <w:rFonts w:ascii="Times New Roman" w:hAnsi="Times New Roman" w:cs="Times New Roman"/>
        </w:rPr>
        <w:t xml:space="preserve"> risk pool adjustment to claims and any assessment to pay for those claims. The risk adjustment user fee should not be included here, but rather in the taxes and fees portion of administrative costs. Payments made to an issuer from the risk adjustment program should be entered as a positive amount, while charges assessed to an issuer should be entered as a negative amount. </w:t>
      </w:r>
    </w:p>
    <w:p w:rsidR="004C3B86" w:rsidRPr="00EE3B6B" w:rsidP="00BF0E8E" w14:paraId="7EDAA0FC" w14:textId="037780C6">
      <w:pPr>
        <w:keepLines/>
        <w:spacing w:after="120" w:line="276" w:lineRule="auto"/>
        <w:ind w:left="360"/>
        <w:rPr>
          <w:rFonts w:ascii="Times New Roman" w:hAnsi="Times New Roman" w:cs="Times New Roman"/>
        </w:rPr>
      </w:pPr>
      <w:r w:rsidRPr="00EE3B6B">
        <w:rPr>
          <w:rFonts w:ascii="Times New Roman" w:hAnsi="Times New Roman" w:cs="Times New Roman"/>
        </w:rPr>
        <w:t xml:space="preserve">In some </w:t>
      </w:r>
      <w:r w:rsidRPr="00EE3B6B">
        <w:rPr>
          <w:rFonts w:ascii="Times New Roman" w:hAnsi="Times New Roman" w:cs="Times New Roman"/>
        </w:rPr>
        <w:t>cases</w:t>
      </w:r>
      <w:r w:rsidRPr="00EE3B6B">
        <w:rPr>
          <w:rFonts w:ascii="Times New Roman" w:hAnsi="Times New Roman" w:cs="Times New Roman"/>
        </w:rPr>
        <w:t xml:space="preserve"> the risk adjustment payment or charge from the Experience Period may not be final. Issuers should provide their best estimate in these cases.</w:t>
      </w:r>
      <w:r w:rsidRPr="00EE3B6B" w:rsidR="00344956">
        <w:rPr>
          <w:rFonts w:ascii="Times New Roman" w:hAnsi="Times New Roman" w:cs="Times New Roman"/>
        </w:rPr>
        <w:t xml:space="preserve"> </w:t>
      </w:r>
      <w:r w:rsidRPr="00EE3B6B" w:rsidR="0025702A">
        <w:rPr>
          <w:rFonts w:ascii="Times New Roman" w:hAnsi="Times New Roman" w:cs="Times New Roman"/>
        </w:rPr>
        <w:t>As previously mentioned, risk adjustment should account for RADV adjustments, including DDVCs and</w:t>
      </w:r>
      <w:r w:rsidRPr="00EE3B6B" w:rsidR="00D174B4">
        <w:rPr>
          <w:rFonts w:ascii="Times New Roman" w:hAnsi="Times New Roman" w:cs="Times New Roman"/>
        </w:rPr>
        <w:t xml:space="preserve"> allocations, as appropriate.</w:t>
      </w:r>
    </w:p>
    <w:p w:rsidR="00D5071A" w:rsidRPr="00EE3B6B" w:rsidP="006D1FD2" w14:paraId="245EEFBD" w14:textId="77777777">
      <w:pPr>
        <w:keepLines/>
        <w:spacing w:after="120" w:line="276" w:lineRule="auto"/>
        <w:rPr>
          <w:rFonts w:ascii="Times New Roman" w:hAnsi="Times New Roman" w:cs="Times New Roman"/>
        </w:rPr>
      </w:pPr>
      <w:r w:rsidRPr="00EE3B6B">
        <w:rPr>
          <w:rFonts w:ascii="Times New Roman" w:hAnsi="Times New Roman" w:cs="Times New Roman"/>
          <w:b/>
        </w:rPr>
        <w:t xml:space="preserve">Premium: </w:t>
      </w:r>
      <w:r w:rsidRPr="00EE3B6B">
        <w:rPr>
          <w:rFonts w:ascii="Times New Roman" w:hAnsi="Times New Roman" w:cs="Times New Roman"/>
        </w:rPr>
        <w:t xml:space="preserve">Enter the total premium earned in the </w:t>
      </w:r>
      <w:r w:rsidRPr="00EE3B6B" w:rsidR="00C66220">
        <w:rPr>
          <w:rFonts w:ascii="Times New Roman" w:hAnsi="Times New Roman" w:cs="Times New Roman"/>
        </w:rPr>
        <w:t>Experience Period</w:t>
      </w:r>
      <w:r w:rsidRPr="00EE3B6B">
        <w:rPr>
          <w:rFonts w:ascii="Times New Roman" w:hAnsi="Times New Roman" w:cs="Times New Roman"/>
        </w:rPr>
        <w:t xml:space="preserve"> for each plan.  See the instructions for Worksheet 1 for the definition of </w:t>
      </w:r>
      <w:r w:rsidRPr="00EE3B6B" w:rsidR="00C66220">
        <w:rPr>
          <w:rFonts w:ascii="Times New Roman" w:hAnsi="Times New Roman" w:cs="Times New Roman"/>
        </w:rPr>
        <w:t>Experience Period</w:t>
      </w:r>
      <w:r w:rsidRPr="00EE3B6B" w:rsidR="001E3E88">
        <w:rPr>
          <w:rFonts w:ascii="Times New Roman" w:hAnsi="Times New Roman" w:cs="Times New Roman"/>
        </w:rPr>
        <w:t xml:space="preserve"> Premium</w:t>
      </w:r>
      <w:r w:rsidRPr="00EE3B6B">
        <w:rPr>
          <w:rFonts w:ascii="Times New Roman" w:hAnsi="Times New Roman" w:cs="Times New Roman"/>
        </w:rPr>
        <w:t>.</w:t>
      </w:r>
    </w:p>
    <w:p w:rsidR="00D5071A" w:rsidRPr="00EE3B6B" w:rsidP="006D1FD2" w14:paraId="691FF9CD" w14:textId="77777777">
      <w:pPr>
        <w:keepLines/>
        <w:spacing w:after="120" w:line="276" w:lineRule="auto"/>
        <w:rPr>
          <w:rFonts w:ascii="Times New Roman" w:hAnsi="Times New Roman" w:cs="Times New Roman"/>
        </w:rPr>
      </w:pPr>
      <w:r w:rsidRPr="00EE3B6B">
        <w:rPr>
          <w:rFonts w:ascii="Times New Roman" w:hAnsi="Times New Roman" w:cs="Times New Roman"/>
          <w:b/>
        </w:rPr>
        <w:t>Experience Period</w:t>
      </w:r>
      <w:r w:rsidRPr="00EE3B6B">
        <w:rPr>
          <w:rFonts w:ascii="Times New Roman" w:hAnsi="Times New Roman" w:cs="Times New Roman"/>
          <w:b/>
        </w:rPr>
        <w:t xml:space="preserve"> Member Months:</w:t>
      </w:r>
      <w:r w:rsidRPr="00EE3B6B">
        <w:rPr>
          <w:rFonts w:ascii="Times New Roman" w:hAnsi="Times New Roman" w:cs="Times New Roman"/>
        </w:rPr>
        <w:t xml:space="preserve"> Enter the total </w:t>
      </w:r>
      <w:r w:rsidRPr="00EE3B6B" w:rsidR="00CF46F7">
        <w:rPr>
          <w:rFonts w:ascii="Times New Roman" w:hAnsi="Times New Roman" w:cs="Times New Roman"/>
        </w:rPr>
        <w:t>number of</w:t>
      </w:r>
      <w:r w:rsidRPr="00EE3B6B">
        <w:rPr>
          <w:rFonts w:ascii="Times New Roman" w:hAnsi="Times New Roman" w:cs="Times New Roman"/>
        </w:rPr>
        <w:t xml:space="preserve"> months </w:t>
      </w:r>
      <w:r w:rsidRPr="00EE3B6B" w:rsidR="00CF46F7">
        <w:rPr>
          <w:rFonts w:ascii="Times New Roman" w:hAnsi="Times New Roman" w:cs="Times New Roman"/>
        </w:rPr>
        <w:t xml:space="preserve">of coverage </w:t>
      </w:r>
      <w:r w:rsidRPr="00EE3B6B">
        <w:rPr>
          <w:rFonts w:ascii="Times New Roman" w:hAnsi="Times New Roman" w:cs="Times New Roman"/>
        </w:rPr>
        <w:t xml:space="preserve">during the </w:t>
      </w:r>
      <w:r w:rsidRPr="00EE3B6B">
        <w:rPr>
          <w:rFonts w:ascii="Times New Roman" w:hAnsi="Times New Roman" w:cs="Times New Roman"/>
        </w:rPr>
        <w:t>Experience Period</w:t>
      </w:r>
      <w:r w:rsidRPr="00EE3B6B" w:rsidR="00CF46F7">
        <w:rPr>
          <w:rFonts w:ascii="Times New Roman" w:hAnsi="Times New Roman" w:cs="Times New Roman"/>
        </w:rPr>
        <w:t xml:space="preserve"> for all members that had </w:t>
      </w:r>
      <w:r w:rsidRPr="00EE3B6B" w:rsidR="00D02CCC">
        <w:rPr>
          <w:rFonts w:ascii="Times New Roman" w:hAnsi="Times New Roman" w:cs="Times New Roman"/>
        </w:rPr>
        <w:t xml:space="preserve">single risk pool </w:t>
      </w:r>
      <w:r w:rsidRPr="00EE3B6B" w:rsidR="00CF46F7">
        <w:rPr>
          <w:rFonts w:ascii="Times New Roman" w:hAnsi="Times New Roman" w:cs="Times New Roman"/>
        </w:rPr>
        <w:t xml:space="preserve">coverage during any portion of the </w:t>
      </w:r>
      <w:r w:rsidRPr="00EE3B6B">
        <w:rPr>
          <w:rFonts w:ascii="Times New Roman" w:hAnsi="Times New Roman" w:cs="Times New Roman"/>
        </w:rPr>
        <w:t>Experience Period</w:t>
      </w:r>
      <w:r w:rsidRPr="00EE3B6B">
        <w:rPr>
          <w:rFonts w:ascii="Times New Roman" w:hAnsi="Times New Roman" w:cs="Times New Roman"/>
        </w:rPr>
        <w:t>.</w:t>
      </w:r>
    </w:p>
    <w:p w:rsidR="00B96397" w:rsidRPr="00EE3B6B" w:rsidP="00BF0E8E" w14:paraId="0ABF2D01" w14:textId="77777777">
      <w:pPr>
        <w:keepLines/>
        <w:spacing w:after="120" w:line="276" w:lineRule="auto"/>
        <w:ind w:left="360"/>
        <w:rPr>
          <w:rFonts w:ascii="Times New Roman" w:hAnsi="Times New Roman" w:cs="Times New Roman"/>
        </w:rPr>
      </w:pPr>
      <w:r w:rsidRPr="00EE3B6B">
        <w:rPr>
          <w:rFonts w:ascii="Times New Roman" w:hAnsi="Times New Roman" w:cs="Times New Roman"/>
        </w:rPr>
        <w:t xml:space="preserve">For example, if a given member had coverage for five months during the </w:t>
      </w:r>
      <w:r w:rsidRPr="00EE3B6B" w:rsidR="00C66220">
        <w:rPr>
          <w:rFonts w:ascii="Times New Roman" w:hAnsi="Times New Roman" w:cs="Times New Roman"/>
        </w:rPr>
        <w:t>Experience Period</w:t>
      </w:r>
      <w:r w:rsidRPr="00EE3B6B">
        <w:rPr>
          <w:rFonts w:ascii="Times New Roman" w:hAnsi="Times New Roman" w:cs="Times New Roman"/>
        </w:rPr>
        <w:t>, that member would contribute five member months to the total member months for the period. The number entered must be an integer. For partial months, issuers should define a methodology for counting partial months and apply the methodology consistently to all members. Possible methodologies include but are not limited to rounding up, rounding down, rounding to nearest, and counting the member month if the member is active on the 15th of the month.</w:t>
      </w:r>
    </w:p>
    <w:p w:rsidR="00D5071A" w:rsidRPr="00EE3B6B" w:rsidP="006D1FD2" w14:paraId="632E38AE" w14:textId="27182376">
      <w:pPr>
        <w:keepLines/>
        <w:spacing w:after="120" w:line="276" w:lineRule="auto"/>
        <w:rPr>
          <w:rFonts w:ascii="Times New Roman" w:hAnsi="Times New Roman" w:cs="Times New Roman"/>
        </w:rPr>
      </w:pPr>
      <w:r w:rsidRPr="00EE3B6B">
        <w:rPr>
          <w:rFonts w:ascii="Times New Roman" w:hAnsi="Times New Roman" w:cs="Times New Roman"/>
          <w:b/>
        </w:rPr>
        <w:t>Current Enrollment:</w:t>
      </w:r>
      <w:r w:rsidRPr="00EE3B6B" w:rsidR="005227D6">
        <w:rPr>
          <w:rFonts w:ascii="Times New Roman" w:hAnsi="Times New Roman" w:cs="Times New Roman"/>
          <w:b/>
        </w:rPr>
        <w:t xml:space="preserve"> </w:t>
      </w:r>
      <w:bookmarkStart w:id="41" w:name="OLE_LINK5"/>
      <w:r w:rsidRPr="00EE3B6B" w:rsidR="005227D6">
        <w:rPr>
          <w:rFonts w:ascii="Times New Roman" w:hAnsi="Times New Roman" w:cs="Times New Roman"/>
        </w:rPr>
        <w:t xml:space="preserve">Enter </w:t>
      </w:r>
      <w:r w:rsidRPr="00EE3B6B" w:rsidR="00FA668B">
        <w:rPr>
          <w:rFonts w:ascii="Times New Roman" w:hAnsi="Times New Roman" w:cs="Times New Roman"/>
        </w:rPr>
        <w:t xml:space="preserve">a snapshot of </w:t>
      </w:r>
      <w:r w:rsidRPr="00EE3B6B" w:rsidR="005227D6">
        <w:rPr>
          <w:rFonts w:ascii="Times New Roman" w:hAnsi="Times New Roman" w:cs="Times New Roman"/>
        </w:rPr>
        <w:t>the number of members currently enrolled in the plan</w:t>
      </w:r>
      <w:r w:rsidRPr="00EE3B6B" w:rsidR="006C45DF">
        <w:rPr>
          <w:rFonts w:ascii="Times New Roman" w:hAnsi="Times New Roman" w:cs="Times New Roman"/>
        </w:rPr>
        <w:t xml:space="preserve"> as of a recent date. The date should be indicated in the actuarial memorandum</w:t>
      </w:r>
      <w:r w:rsidRPr="00EE3B6B" w:rsidR="00FA668B">
        <w:rPr>
          <w:rFonts w:ascii="Times New Roman" w:hAnsi="Times New Roman" w:cs="Times New Roman"/>
        </w:rPr>
        <w:t xml:space="preserve"> (e.g., enrolled lives as of March 31, 20XX)</w:t>
      </w:r>
      <w:r w:rsidRPr="00EE3B6B" w:rsidR="006C45DF">
        <w:rPr>
          <w:rFonts w:ascii="Times New Roman" w:hAnsi="Times New Roman" w:cs="Times New Roman"/>
        </w:rPr>
        <w:t>.</w:t>
      </w:r>
      <w:bookmarkEnd w:id="41"/>
    </w:p>
    <w:p w:rsidR="005D613C" w:rsidRPr="00EE3B6B" w:rsidP="00BF0E8E" w14:paraId="7F4169B0" w14:textId="64152EEC">
      <w:pPr>
        <w:keepLines/>
        <w:spacing w:after="120" w:line="276" w:lineRule="auto"/>
        <w:ind w:left="360"/>
        <w:rPr>
          <w:rFonts w:ascii="Times New Roman" w:hAnsi="Times New Roman" w:cs="Times New Roman"/>
        </w:rPr>
      </w:pPr>
      <w:r w:rsidRPr="00EE3B6B">
        <w:rPr>
          <w:rFonts w:ascii="Times New Roman" w:hAnsi="Times New Roman" w:cs="Times New Roman"/>
          <w:noProof/>
        </w:rPr>
        <mc:AlternateContent>
          <mc:Choice Requires="wps">
            <w:drawing>
              <wp:anchor distT="45720" distB="45720" distL="114300" distR="114300" simplePos="0" relativeHeight="251678720" behindDoc="0" locked="1" layoutInCell="1" allowOverlap="1">
                <wp:simplePos x="0" y="0"/>
                <wp:positionH relativeFrom="margin">
                  <wp:align>left</wp:align>
                </wp:positionH>
                <wp:positionV relativeFrom="margin">
                  <wp:posOffset>4102735</wp:posOffset>
                </wp:positionV>
                <wp:extent cx="6080760" cy="421005"/>
                <wp:effectExtent l="0" t="0" r="15240" b="17145"/>
                <wp:wrapSquare wrapText="bothSides"/>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80760" cy="421005"/>
                        </a:xfrm>
                        <a:prstGeom prst="rect">
                          <a:avLst/>
                        </a:prstGeom>
                        <a:solidFill>
                          <a:sysClr val="window" lastClr="FFFFFF">
                            <a:lumMod val="85000"/>
                          </a:sysClr>
                        </a:solidFill>
                        <a:ln w="9525">
                          <a:solidFill>
                            <a:srgbClr val="000000"/>
                          </a:solidFill>
                          <a:miter lim="800000"/>
                          <a:headEnd/>
                          <a:tailEnd/>
                        </a:ln>
                      </wps:spPr>
                      <wps:txbx>
                        <w:txbxContent>
                          <w:p w:rsidR="00D33AE9" w:rsidRPr="00BF0E8E" w:rsidP="005D613C" w14:textId="77777777">
                            <w:pPr>
                              <w:rPr>
                                <w:rFonts w:ascii="Times New Roman" w:hAnsi="Times New Roman" w:cs="Times New Roman"/>
                                <w:color w:val="323E4F" w:themeColor="text2" w:themeShade="BF"/>
                              </w:rPr>
                            </w:pPr>
                            <w:r w:rsidRPr="00BF0E8E">
                              <w:rPr>
                                <w:rFonts w:ascii="Times New Roman" w:hAnsi="Times New Roman" w:cs="Times New Roman"/>
                                <w:b/>
                                <w:color w:val="323E4F" w:themeColor="text2" w:themeShade="BF"/>
                                <w:u w:val="single"/>
                              </w:rPr>
                              <w:t>Tip:</w:t>
                            </w:r>
                            <w:r w:rsidRPr="00BF0E8E">
                              <w:rPr>
                                <w:rFonts w:ascii="Times New Roman" w:hAnsi="Times New Roman" w:cs="Times New Roman"/>
                                <w:color w:val="323E4F" w:themeColor="text2" w:themeShade="BF"/>
                              </w:rPr>
                              <w:t xml:space="preserve"> Current Enrollment should be a recent snapshot of enrolled lives as of a particular date in time (e.g., enrolled lives as of March 31, 20XX).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6" type="#_x0000_t202" style="width:478.8pt;height:33.15pt;margin-top:323.05pt;margin-left:0;mso-height-percent:0;mso-height-relative:margin;mso-position-horizontal:left;mso-position-horizontal-relative:margin;mso-position-vertical-relative:margin;mso-width-percent:0;mso-width-relative:margin;mso-wrap-distance-bottom:3.6pt;mso-wrap-distance-left:9pt;mso-wrap-distance-right:9pt;mso-wrap-distance-top:3.6pt;mso-wrap-style:square;position:absolute;visibility:visible;v-text-anchor:top;z-index:251679744" fillcolor="#d9d9d9">
                <v:textbox>
                  <w:txbxContent>
                    <w:p w:rsidR="00D33AE9" w:rsidRPr="00BF0E8E" w:rsidP="005D613C" w14:paraId="3B3820C4" w14:textId="77777777">
                      <w:pPr>
                        <w:rPr>
                          <w:rFonts w:ascii="Times New Roman" w:hAnsi="Times New Roman" w:cs="Times New Roman"/>
                          <w:color w:val="323E4F" w:themeColor="text2" w:themeShade="BF"/>
                        </w:rPr>
                      </w:pPr>
                      <w:r w:rsidRPr="00BF0E8E">
                        <w:rPr>
                          <w:rFonts w:ascii="Times New Roman" w:hAnsi="Times New Roman" w:cs="Times New Roman"/>
                          <w:b/>
                          <w:color w:val="323E4F" w:themeColor="text2" w:themeShade="BF"/>
                          <w:u w:val="single"/>
                        </w:rPr>
                        <w:t>Tip:</w:t>
                      </w:r>
                      <w:r w:rsidRPr="00BF0E8E">
                        <w:rPr>
                          <w:rFonts w:ascii="Times New Roman" w:hAnsi="Times New Roman" w:cs="Times New Roman"/>
                          <w:color w:val="323E4F" w:themeColor="text2" w:themeShade="BF"/>
                        </w:rPr>
                        <w:t xml:space="preserve"> Current Enrollment should be a recent snapshot of enrolled lives as of a particular date in time (e.g., enrolled lives as of March 31, 20XX).</w:t>
                      </w:r>
                    </w:p>
                  </w:txbxContent>
                </v:textbox>
                <w10:wrap type="square"/>
                <w10:anchorlock/>
              </v:shape>
            </w:pict>
          </mc:Fallback>
        </mc:AlternateContent>
      </w:r>
      <w:r w:rsidRPr="00EE3B6B" w:rsidR="006C45DF">
        <w:rPr>
          <w:rFonts w:ascii="Times New Roman" w:hAnsi="Times New Roman" w:cs="Times New Roman"/>
        </w:rPr>
        <w:t>Depending upon when the filing is due and the data available to an issuer at that time, we recognize the date of current enrollment will vary by issuer.</w:t>
      </w:r>
      <w:r w:rsidRPr="00EE3B6B" w:rsidR="001736B5">
        <w:rPr>
          <w:rFonts w:ascii="Times New Roman" w:hAnsi="Times New Roman" w:cs="Times New Roman"/>
        </w:rPr>
        <w:t xml:space="preserve"> Some states may wish to establish</w:t>
      </w:r>
      <w:r w:rsidRPr="00EE3B6B" w:rsidR="004801A5">
        <w:rPr>
          <w:rFonts w:ascii="Times New Roman" w:hAnsi="Times New Roman" w:cs="Times New Roman"/>
        </w:rPr>
        <w:t xml:space="preserve"> a uniform</w:t>
      </w:r>
      <w:r w:rsidRPr="00EE3B6B" w:rsidR="001736B5">
        <w:rPr>
          <w:rFonts w:ascii="Times New Roman" w:hAnsi="Times New Roman" w:cs="Times New Roman"/>
        </w:rPr>
        <w:t xml:space="preserve"> date </w:t>
      </w:r>
      <w:r w:rsidRPr="00EE3B6B" w:rsidR="004801A5">
        <w:rPr>
          <w:rFonts w:ascii="Times New Roman" w:hAnsi="Times New Roman" w:cs="Times New Roman"/>
        </w:rPr>
        <w:t xml:space="preserve">that </w:t>
      </w:r>
      <w:r w:rsidRPr="00EE3B6B" w:rsidR="001736B5">
        <w:rPr>
          <w:rFonts w:ascii="Times New Roman" w:hAnsi="Times New Roman" w:cs="Times New Roman"/>
        </w:rPr>
        <w:t xml:space="preserve">issuers should use for </w:t>
      </w:r>
      <w:r w:rsidRPr="00EE3B6B" w:rsidR="00405E18">
        <w:rPr>
          <w:rFonts w:ascii="Times New Roman" w:hAnsi="Times New Roman" w:cs="Times New Roman"/>
        </w:rPr>
        <w:t xml:space="preserve">reporting </w:t>
      </w:r>
      <w:r w:rsidRPr="00EE3B6B" w:rsidR="001736B5">
        <w:rPr>
          <w:rFonts w:ascii="Times New Roman" w:hAnsi="Times New Roman" w:cs="Times New Roman"/>
        </w:rPr>
        <w:t>the current enrollment.</w:t>
      </w:r>
    </w:p>
    <w:p w:rsidR="00D5071A" w:rsidRPr="00EE3B6B" w:rsidP="006D1FD2" w14:paraId="0B807628" w14:textId="77777777">
      <w:pPr>
        <w:keepLines/>
        <w:spacing w:after="120" w:line="276" w:lineRule="auto"/>
        <w:rPr>
          <w:rFonts w:ascii="Times New Roman" w:hAnsi="Times New Roman" w:cs="Times New Roman"/>
        </w:rPr>
      </w:pPr>
      <w:r w:rsidRPr="00EE3B6B">
        <w:rPr>
          <w:rFonts w:ascii="Times New Roman" w:hAnsi="Times New Roman" w:cs="Times New Roman"/>
          <w:b/>
        </w:rPr>
        <w:t xml:space="preserve">Current Premium </w:t>
      </w:r>
      <w:r w:rsidRPr="00EE3B6B" w:rsidR="00BB21D5">
        <w:rPr>
          <w:rFonts w:ascii="Times New Roman" w:hAnsi="Times New Roman" w:cs="Times New Roman"/>
          <w:b/>
        </w:rPr>
        <w:t>PMPM</w:t>
      </w:r>
      <w:r w:rsidRPr="00EE3B6B">
        <w:rPr>
          <w:rFonts w:ascii="Times New Roman" w:hAnsi="Times New Roman" w:cs="Times New Roman"/>
          <w:b/>
        </w:rPr>
        <w:t>:</w:t>
      </w:r>
      <w:r w:rsidRPr="00EE3B6B" w:rsidR="0068440D">
        <w:rPr>
          <w:rFonts w:ascii="Times New Roman" w:hAnsi="Times New Roman" w:cs="Times New Roman"/>
          <w:b/>
        </w:rPr>
        <w:t xml:space="preserve"> </w:t>
      </w:r>
      <w:bookmarkStart w:id="42" w:name="OLE_LINK7"/>
      <w:r w:rsidRPr="00EE3B6B" w:rsidR="0068440D">
        <w:rPr>
          <w:rFonts w:ascii="Times New Roman" w:hAnsi="Times New Roman" w:cs="Times New Roman"/>
        </w:rPr>
        <w:t xml:space="preserve">Enter </w:t>
      </w:r>
      <w:bookmarkStart w:id="43" w:name="OLE_LINK6"/>
      <w:r w:rsidRPr="00EE3B6B" w:rsidR="0068440D">
        <w:rPr>
          <w:rFonts w:ascii="Times New Roman" w:hAnsi="Times New Roman" w:cs="Times New Roman"/>
        </w:rPr>
        <w:t xml:space="preserve">the current premium </w:t>
      </w:r>
      <w:r w:rsidRPr="00EE3B6B" w:rsidR="00BB21D5">
        <w:rPr>
          <w:rFonts w:ascii="Times New Roman" w:hAnsi="Times New Roman" w:cs="Times New Roman"/>
        </w:rPr>
        <w:t>PMPM</w:t>
      </w:r>
      <w:r w:rsidRPr="00EE3B6B" w:rsidR="0068440D">
        <w:rPr>
          <w:rFonts w:ascii="Times New Roman" w:hAnsi="Times New Roman" w:cs="Times New Roman"/>
        </w:rPr>
        <w:t xml:space="preserve"> amount for each plan. This should reflect the current population enrolled in the plan.</w:t>
      </w:r>
      <w:bookmarkEnd w:id="42"/>
      <w:bookmarkEnd w:id="43"/>
    </w:p>
    <w:p w:rsidR="001927F5" w:rsidRPr="00EE3B6B" w:rsidP="00BF0E8E" w14:paraId="5A41A1B0" w14:textId="77777777">
      <w:pPr>
        <w:keepLines/>
        <w:spacing w:after="120" w:line="276" w:lineRule="auto"/>
        <w:ind w:left="360"/>
        <w:rPr>
          <w:rFonts w:ascii="Times New Roman" w:hAnsi="Times New Roman" w:cs="Times New Roman"/>
        </w:rPr>
      </w:pPr>
      <w:r w:rsidRPr="00EE3B6B">
        <w:rPr>
          <w:rFonts w:ascii="Times New Roman" w:hAnsi="Times New Roman" w:cs="Times New Roman"/>
        </w:rPr>
        <w:t xml:space="preserve">For small group quarterly rate filings, this should reflect the current premium of members affected by the rate filing.  If the filing were effective October 1, the current premium would reflect the </w:t>
      </w:r>
      <w:r w:rsidRPr="00EE3B6B" w:rsidR="00D803EF">
        <w:rPr>
          <w:rFonts w:ascii="Times New Roman" w:hAnsi="Times New Roman" w:cs="Times New Roman"/>
        </w:rPr>
        <w:t xml:space="preserve">current </w:t>
      </w:r>
      <w:r w:rsidRPr="00EE3B6B">
        <w:rPr>
          <w:rFonts w:ascii="Times New Roman" w:hAnsi="Times New Roman" w:cs="Times New Roman"/>
        </w:rPr>
        <w:t>premium</w:t>
      </w:r>
      <w:r w:rsidRPr="00EE3B6B" w:rsidR="00D803EF">
        <w:rPr>
          <w:rFonts w:ascii="Times New Roman" w:hAnsi="Times New Roman" w:cs="Times New Roman"/>
        </w:rPr>
        <w:t xml:space="preserve"> for groups that will be renewing in the fourth quarter. </w:t>
      </w:r>
    </w:p>
    <w:p w:rsidR="0068440D" w:rsidRPr="00EE3B6B" w:rsidP="00BF0E8E" w14:paraId="22E4CFE1" w14:textId="77777777">
      <w:pPr>
        <w:keepLines/>
        <w:spacing w:after="120" w:line="276" w:lineRule="auto"/>
        <w:ind w:left="360"/>
        <w:rPr>
          <w:rFonts w:ascii="Times New Roman" w:hAnsi="Times New Roman" w:cs="Times New Roman"/>
        </w:rPr>
      </w:pPr>
      <w:r w:rsidRPr="00EE3B6B">
        <w:rPr>
          <w:rFonts w:ascii="Times New Roman" w:hAnsi="Times New Roman" w:cs="Times New Roman"/>
        </w:rPr>
        <w:t>As with the current enrollment</w:t>
      </w:r>
      <w:r w:rsidRPr="00EE3B6B" w:rsidR="007B1AA0">
        <w:rPr>
          <w:rFonts w:ascii="Times New Roman" w:hAnsi="Times New Roman" w:cs="Times New Roman"/>
        </w:rPr>
        <w:t xml:space="preserve">, the date used should be indicated in the actuarial memorandum. Again, some states may wish to establish a </w:t>
      </w:r>
      <w:r w:rsidRPr="00EE3B6B" w:rsidR="007B1AA0">
        <w:rPr>
          <w:rFonts w:ascii="Times New Roman" w:hAnsi="Times New Roman" w:cs="Times New Roman"/>
        </w:rPr>
        <w:t>uniform date issuers</w:t>
      </w:r>
      <w:r w:rsidRPr="00EE3B6B" w:rsidR="007B1AA0">
        <w:rPr>
          <w:rFonts w:ascii="Times New Roman" w:hAnsi="Times New Roman" w:cs="Times New Roman"/>
        </w:rPr>
        <w:t xml:space="preserve"> should use.</w:t>
      </w:r>
    </w:p>
    <w:p w:rsidR="00D5071A" w:rsidRPr="00EE3B6B" w:rsidP="006D1FD2" w14:paraId="3F07B6A4" w14:textId="77777777">
      <w:pPr>
        <w:keepLines/>
        <w:spacing w:after="120" w:line="276" w:lineRule="auto"/>
        <w:rPr>
          <w:rFonts w:ascii="Times New Roman" w:hAnsi="Times New Roman" w:cs="Times New Roman"/>
        </w:rPr>
      </w:pPr>
      <w:r w:rsidRPr="00EE3B6B">
        <w:rPr>
          <w:rFonts w:ascii="Times New Roman" w:hAnsi="Times New Roman" w:cs="Times New Roman"/>
          <w:b/>
        </w:rPr>
        <w:t>Loss Ratio:</w:t>
      </w:r>
      <w:r w:rsidRPr="00EE3B6B" w:rsidR="007B1AA0">
        <w:rPr>
          <w:rFonts w:ascii="Times New Roman" w:hAnsi="Times New Roman" w:cs="Times New Roman"/>
          <w:b/>
        </w:rPr>
        <w:t xml:space="preserve"> </w:t>
      </w:r>
      <w:r w:rsidRPr="00EE3B6B" w:rsidR="007B1AA0">
        <w:rPr>
          <w:rFonts w:ascii="Times New Roman" w:hAnsi="Times New Roman" w:cs="Times New Roman"/>
        </w:rPr>
        <w:t>This is a calculated field in the template that divides incurred claims by premium plus the risk adjustment transfer amount.</w:t>
      </w:r>
      <w:r w:rsidRPr="00EE3B6B" w:rsidR="00D803EF">
        <w:rPr>
          <w:rFonts w:ascii="Times New Roman" w:hAnsi="Times New Roman" w:cs="Times New Roman"/>
        </w:rPr>
        <w:t xml:space="preserve">  This is not the </w:t>
      </w:r>
      <w:r w:rsidRPr="00EE3B6B" w:rsidR="00DF2F3B">
        <w:rPr>
          <w:rFonts w:ascii="Times New Roman" w:hAnsi="Times New Roman" w:cs="Times New Roman"/>
        </w:rPr>
        <w:t>f</w:t>
      </w:r>
      <w:r w:rsidRPr="00EE3B6B" w:rsidR="00D803EF">
        <w:rPr>
          <w:rFonts w:ascii="Times New Roman" w:hAnsi="Times New Roman" w:cs="Times New Roman"/>
        </w:rPr>
        <w:t>ederal MLR for determining rebates.</w:t>
      </w:r>
    </w:p>
    <w:p w:rsidR="00863D6D" w:rsidRPr="00EE3B6B" w:rsidP="00FA6F2C" w14:paraId="25F68B7E" w14:textId="77777777">
      <w:pPr>
        <w:pStyle w:val="Heading4"/>
      </w:pPr>
      <w:r w:rsidRPr="00EE3B6B">
        <w:t>2.2.</w:t>
      </w:r>
      <w:r w:rsidRPr="00EE3B6B" w:rsidR="00D51320">
        <w:t>2</w:t>
      </w:r>
      <w:r w:rsidRPr="00EE3B6B">
        <w:t>.</w:t>
      </w:r>
      <w:r w:rsidRPr="00EE3B6B">
        <w:t>2</w:t>
      </w:r>
      <w:r w:rsidRPr="00EE3B6B">
        <w:t xml:space="preserve"> Per Member Per Month</w:t>
      </w:r>
      <w:r w:rsidRPr="00EE3B6B">
        <w:t xml:space="preserve"> </w:t>
      </w:r>
      <w:r w:rsidRPr="00EE3B6B" w:rsidR="00F929A6">
        <w:t xml:space="preserve">(PMPM) </w:t>
      </w:r>
      <w:r w:rsidRPr="00EE3B6B">
        <w:t>Calculations</w:t>
      </w:r>
    </w:p>
    <w:p w:rsidR="00471D6C" w:rsidRPr="00EE3B6B" w:rsidP="006D1FD2" w14:paraId="7E523969" w14:textId="77777777">
      <w:pPr>
        <w:keepLines/>
        <w:spacing w:after="120" w:line="276" w:lineRule="auto"/>
        <w:rPr>
          <w:rFonts w:ascii="Times New Roman" w:hAnsi="Times New Roman" w:cs="Times New Roman"/>
        </w:rPr>
      </w:pPr>
      <w:r w:rsidRPr="00EE3B6B">
        <w:rPr>
          <w:rFonts w:ascii="Times New Roman" w:hAnsi="Times New Roman" w:cs="Times New Roman"/>
        </w:rPr>
        <w:t xml:space="preserve">This section of Worksheet 2 </w:t>
      </w:r>
      <w:r w:rsidRPr="00EE3B6B" w:rsidR="007E7629">
        <w:rPr>
          <w:rFonts w:ascii="Times New Roman" w:hAnsi="Times New Roman" w:cs="Times New Roman"/>
        </w:rPr>
        <w:t xml:space="preserve">automatically </w:t>
      </w:r>
      <w:r w:rsidRPr="00EE3B6B">
        <w:rPr>
          <w:rFonts w:ascii="Times New Roman" w:hAnsi="Times New Roman" w:cs="Times New Roman"/>
        </w:rPr>
        <w:t xml:space="preserve">calculates </w:t>
      </w:r>
      <w:r w:rsidRPr="00EE3B6B" w:rsidR="00BB21D5">
        <w:rPr>
          <w:rFonts w:ascii="Times New Roman" w:hAnsi="Times New Roman" w:cs="Times New Roman"/>
        </w:rPr>
        <w:t>PMPM</w:t>
      </w:r>
      <w:r w:rsidRPr="00EE3B6B">
        <w:rPr>
          <w:rFonts w:ascii="Times New Roman" w:hAnsi="Times New Roman" w:cs="Times New Roman"/>
        </w:rPr>
        <w:t xml:space="preserve"> amounts for many of the </w:t>
      </w:r>
      <w:r w:rsidRPr="00EE3B6B" w:rsidR="00C66220">
        <w:rPr>
          <w:rFonts w:ascii="Times New Roman" w:hAnsi="Times New Roman" w:cs="Times New Roman"/>
        </w:rPr>
        <w:t>Experience Period</w:t>
      </w:r>
      <w:r w:rsidRPr="00EE3B6B" w:rsidR="00B96397">
        <w:rPr>
          <w:rFonts w:ascii="Times New Roman" w:hAnsi="Times New Roman" w:cs="Times New Roman"/>
        </w:rPr>
        <w:t xml:space="preserve"> Data </w:t>
      </w:r>
      <w:r w:rsidRPr="00EE3B6B">
        <w:rPr>
          <w:rFonts w:ascii="Times New Roman" w:hAnsi="Times New Roman" w:cs="Times New Roman"/>
        </w:rPr>
        <w:t xml:space="preserve">fields </w:t>
      </w:r>
      <w:r w:rsidRPr="00EE3B6B" w:rsidR="00B96397">
        <w:rPr>
          <w:rFonts w:ascii="Times New Roman" w:hAnsi="Times New Roman" w:cs="Times New Roman"/>
        </w:rPr>
        <w:t xml:space="preserve">described </w:t>
      </w:r>
      <w:r w:rsidRPr="00EE3B6B">
        <w:rPr>
          <w:rFonts w:ascii="Times New Roman" w:hAnsi="Times New Roman" w:cs="Times New Roman"/>
        </w:rPr>
        <w:t xml:space="preserve">above. Issuers should check the calculated </w:t>
      </w:r>
      <w:r w:rsidRPr="00EE3B6B" w:rsidR="00BB21D5">
        <w:rPr>
          <w:rFonts w:ascii="Times New Roman" w:hAnsi="Times New Roman" w:cs="Times New Roman"/>
        </w:rPr>
        <w:t>PMPM</w:t>
      </w:r>
      <w:r w:rsidRPr="00EE3B6B">
        <w:rPr>
          <w:rFonts w:ascii="Times New Roman" w:hAnsi="Times New Roman" w:cs="Times New Roman"/>
        </w:rPr>
        <w:t xml:space="preserve"> amounts for reasonability, as an odd </w:t>
      </w:r>
      <w:r w:rsidRPr="00EE3B6B" w:rsidR="00BB21D5">
        <w:rPr>
          <w:rFonts w:ascii="Times New Roman" w:hAnsi="Times New Roman" w:cs="Times New Roman"/>
        </w:rPr>
        <w:t>PMPM</w:t>
      </w:r>
      <w:r w:rsidRPr="00EE3B6B">
        <w:rPr>
          <w:rFonts w:ascii="Times New Roman" w:hAnsi="Times New Roman" w:cs="Times New Roman"/>
        </w:rPr>
        <w:t xml:space="preserve"> could indicate a</w:t>
      </w:r>
      <w:r w:rsidRPr="00EE3B6B" w:rsidR="00405E18">
        <w:rPr>
          <w:rFonts w:ascii="Times New Roman" w:hAnsi="Times New Roman" w:cs="Times New Roman"/>
        </w:rPr>
        <w:t xml:space="preserve"> data </w:t>
      </w:r>
      <w:r w:rsidRPr="00EE3B6B">
        <w:rPr>
          <w:rFonts w:ascii="Times New Roman" w:hAnsi="Times New Roman" w:cs="Times New Roman"/>
        </w:rPr>
        <w:t>entry error.</w:t>
      </w:r>
    </w:p>
    <w:p w:rsidR="00471D6C" w:rsidRPr="00EE3B6B" w:rsidP="006D1FD2" w14:paraId="33716CC7" w14:textId="77777777">
      <w:pPr>
        <w:keepLines/>
        <w:spacing w:after="120" w:line="276" w:lineRule="auto"/>
        <w:rPr>
          <w:rFonts w:ascii="Times New Roman" w:hAnsi="Times New Roman" w:cs="Times New Roman"/>
        </w:rPr>
      </w:pPr>
      <w:r w:rsidRPr="00EE3B6B">
        <w:rPr>
          <w:rFonts w:ascii="Times New Roman" w:hAnsi="Times New Roman" w:cs="Times New Roman"/>
          <w:b/>
        </w:rPr>
        <w:t>Allowed Claims:</w:t>
      </w:r>
      <w:r w:rsidRPr="00EE3B6B" w:rsidR="00863D6D">
        <w:rPr>
          <w:rFonts w:ascii="Times New Roman" w:hAnsi="Times New Roman" w:cs="Times New Roman"/>
          <w:b/>
        </w:rPr>
        <w:t xml:space="preserve"> </w:t>
      </w:r>
      <w:r w:rsidRPr="00EE3B6B" w:rsidR="00863D6D">
        <w:rPr>
          <w:rFonts w:ascii="Times New Roman" w:hAnsi="Times New Roman" w:cs="Times New Roman"/>
        </w:rPr>
        <w:t xml:space="preserve">This is a </w:t>
      </w:r>
      <w:r w:rsidRPr="00EE3B6B" w:rsidR="00BB21D5">
        <w:rPr>
          <w:rFonts w:ascii="Times New Roman" w:hAnsi="Times New Roman" w:cs="Times New Roman"/>
        </w:rPr>
        <w:t>PMPM</w:t>
      </w:r>
      <w:r w:rsidRPr="00EE3B6B" w:rsidR="00863D6D">
        <w:rPr>
          <w:rFonts w:ascii="Times New Roman" w:hAnsi="Times New Roman" w:cs="Times New Roman"/>
        </w:rPr>
        <w:t xml:space="preserve"> </w:t>
      </w:r>
      <w:r w:rsidRPr="00EE3B6B" w:rsidR="00792E5E">
        <w:rPr>
          <w:rFonts w:ascii="Times New Roman" w:hAnsi="Times New Roman" w:cs="Times New Roman"/>
        </w:rPr>
        <w:t xml:space="preserve">amount </w:t>
      </w:r>
      <w:r w:rsidRPr="00EE3B6B" w:rsidR="00863D6D">
        <w:rPr>
          <w:rFonts w:ascii="Times New Roman" w:hAnsi="Times New Roman" w:cs="Times New Roman"/>
        </w:rPr>
        <w:t>calculated by dividing allowed</w:t>
      </w:r>
      <w:r w:rsidRPr="00EE3B6B" w:rsidR="00C33B1C">
        <w:rPr>
          <w:rFonts w:ascii="Times New Roman" w:hAnsi="Times New Roman" w:cs="Times New Roman"/>
        </w:rPr>
        <w:t xml:space="preserve"> claims by </w:t>
      </w:r>
      <w:r w:rsidRPr="00EE3B6B" w:rsidR="00C66220">
        <w:rPr>
          <w:rFonts w:ascii="Times New Roman" w:hAnsi="Times New Roman" w:cs="Times New Roman"/>
        </w:rPr>
        <w:t>Experience Period</w:t>
      </w:r>
      <w:r w:rsidRPr="00EE3B6B" w:rsidR="00C33B1C">
        <w:rPr>
          <w:rFonts w:ascii="Times New Roman" w:hAnsi="Times New Roman" w:cs="Times New Roman"/>
        </w:rPr>
        <w:t xml:space="preserve"> member months.</w:t>
      </w:r>
    </w:p>
    <w:p w:rsidR="00471D6C" w:rsidRPr="00EE3B6B" w:rsidP="006D1FD2" w14:paraId="2166DD0B" w14:textId="77777777">
      <w:pPr>
        <w:keepLines/>
        <w:spacing w:after="120" w:line="276" w:lineRule="auto"/>
        <w:rPr>
          <w:rFonts w:ascii="Times New Roman" w:hAnsi="Times New Roman" w:cs="Times New Roman"/>
        </w:rPr>
      </w:pPr>
      <w:r w:rsidRPr="00EE3B6B">
        <w:rPr>
          <w:rFonts w:ascii="Times New Roman" w:hAnsi="Times New Roman" w:cs="Times New Roman"/>
          <w:b/>
        </w:rPr>
        <w:t>Reinsurance:</w:t>
      </w:r>
      <w:r w:rsidRPr="00EE3B6B" w:rsidR="00C33B1C">
        <w:rPr>
          <w:rFonts w:ascii="Times New Roman" w:hAnsi="Times New Roman" w:cs="Times New Roman"/>
          <w:b/>
        </w:rPr>
        <w:t xml:space="preserve"> </w:t>
      </w:r>
      <w:r w:rsidRPr="00EE3B6B" w:rsidR="00C33B1C">
        <w:rPr>
          <w:rFonts w:ascii="Times New Roman" w:hAnsi="Times New Roman" w:cs="Times New Roman"/>
        </w:rPr>
        <w:t xml:space="preserve">This is a </w:t>
      </w:r>
      <w:r w:rsidRPr="00EE3B6B" w:rsidR="00BB21D5">
        <w:rPr>
          <w:rFonts w:ascii="Times New Roman" w:hAnsi="Times New Roman" w:cs="Times New Roman"/>
        </w:rPr>
        <w:t>PMPM</w:t>
      </w:r>
      <w:r w:rsidRPr="00EE3B6B" w:rsidR="00C33B1C">
        <w:rPr>
          <w:rFonts w:ascii="Times New Roman" w:hAnsi="Times New Roman" w:cs="Times New Roman"/>
        </w:rPr>
        <w:t xml:space="preserve"> </w:t>
      </w:r>
      <w:r w:rsidRPr="00EE3B6B" w:rsidR="00792E5E">
        <w:rPr>
          <w:rFonts w:ascii="Times New Roman" w:hAnsi="Times New Roman" w:cs="Times New Roman"/>
        </w:rPr>
        <w:t xml:space="preserve">amount </w:t>
      </w:r>
      <w:r w:rsidRPr="00EE3B6B" w:rsidR="00C33B1C">
        <w:rPr>
          <w:rFonts w:ascii="Times New Roman" w:hAnsi="Times New Roman" w:cs="Times New Roman"/>
        </w:rPr>
        <w:t xml:space="preserve">calculated by dividing reinsurance amounts by </w:t>
      </w:r>
      <w:r w:rsidRPr="00EE3B6B" w:rsidR="00C66220">
        <w:rPr>
          <w:rFonts w:ascii="Times New Roman" w:hAnsi="Times New Roman" w:cs="Times New Roman"/>
        </w:rPr>
        <w:t>Experience Period</w:t>
      </w:r>
      <w:r w:rsidRPr="00EE3B6B" w:rsidR="00C33B1C">
        <w:rPr>
          <w:rFonts w:ascii="Times New Roman" w:hAnsi="Times New Roman" w:cs="Times New Roman"/>
        </w:rPr>
        <w:t xml:space="preserve"> member months.</w:t>
      </w:r>
    </w:p>
    <w:p w:rsidR="00471D6C" w:rsidRPr="00EE3B6B" w:rsidP="006D1FD2" w14:paraId="023AC52B" w14:textId="77777777">
      <w:pPr>
        <w:keepLines/>
        <w:spacing w:after="120" w:line="276" w:lineRule="auto"/>
        <w:rPr>
          <w:rFonts w:ascii="Times New Roman" w:hAnsi="Times New Roman" w:cs="Times New Roman"/>
        </w:rPr>
      </w:pPr>
      <w:r w:rsidRPr="00EE3B6B">
        <w:rPr>
          <w:rFonts w:ascii="Times New Roman" w:hAnsi="Times New Roman" w:cs="Times New Roman"/>
          <w:b/>
        </w:rPr>
        <w:t>Member Cost Sharing:</w:t>
      </w:r>
      <w:r w:rsidRPr="00EE3B6B" w:rsidR="00C33B1C">
        <w:rPr>
          <w:rFonts w:ascii="Times New Roman" w:hAnsi="Times New Roman" w:cs="Times New Roman"/>
        </w:rPr>
        <w:t xml:space="preserve"> This is a </w:t>
      </w:r>
      <w:r w:rsidRPr="00EE3B6B" w:rsidR="00BB21D5">
        <w:rPr>
          <w:rFonts w:ascii="Times New Roman" w:hAnsi="Times New Roman" w:cs="Times New Roman"/>
        </w:rPr>
        <w:t>PMPM</w:t>
      </w:r>
      <w:r w:rsidRPr="00EE3B6B" w:rsidR="00C33B1C">
        <w:rPr>
          <w:rFonts w:ascii="Times New Roman" w:hAnsi="Times New Roman" w:cs="Times New Roman"/>
        </w:rPr>
        <w:t xml:space="preserve"> </w:t>
      </w:r>
      <w:r w:rsidRPr="00EE3B6B" w:rsidR="00792E5E">
        <w:rPr>
          <w:rFonts w:ascii="Times New Roman" w:hAnsi="Times New Roman" w:cs="Times New Roman"/>
        </w:rPr>
        <w:t xml:space="preserve">amount </w:t>
      </w:r>
      <w:r w:rsidRPr="00EE3B6B" w:rsidR="00C33B1C">
        <w:rPr>
          <w:rFonts w:ascii="Times New Roman" w:hAnsi="Times New Roman" w:cs="Times New Roman"/>
        </w:rPr>
        <w:t xml:space="preserve">calculated by dividing member cost sharing amounts by </w:t>
      </w:r>
      <w:r w:rsidRPr="00EE3B6B" w:rsidR="00C66220">
        <w:rPr>
          <w:rFonts w:ascii="Times New Roman" w:hAnsi="Times New Roman" w:cs="Times New Roman"/>
        </w:rPr>
        <w:t>Experience Period</w:t>
      </w:r>
      <w:r w:rsidRPr="00EE3B6B" w:rsidR="00C33B1C">
        <w:rPr>
          <w:rFonts w:ascii="Times New Roman" w:hAnsi="Times New Roman" w:cs="Times New Roman"/>
        </w:rPr>
        <w:t xml:space="preserve"> member months.</w:t>
      </w:r>
    </w:p>
    <w:p w:rsidR="00471D6C" w:rsidRPr="00EE3B6B" w:rsidP="006D1FD2" w14:paraId="23AAB1C1" w14:textId="77777777">
      <w:pPr>
        <w:keepLines/>
        <w:spacing w:after="120" w:line="276" w:lineRule="auto"/>
        <w:rPr>
          <w:rFonts w:ascii="Times New Roman" w:hAnsi="Times New Roman" w:cs="Times New Roman"/>
        </w:rPr>
      </w:pPr>
      <w:r w:rsidRPr="00EE3B6B">
        <w:rPr>
          <w:rFonts w:ascii="Times New Roman" w:hAnsi="Times New Roman" w:cs="Times New Roman"/>
          <w:b/>
        </w:rPr>
        <w:t>Cost Sharing Reduction:</w:t>
      </w:r>
      <w:r w:rsidRPr="00EE3B6B" w:rsidR="00C33B1C">
        <w:rPr>
          <w:rFonts w:ascii="Times New Roman" w:hAnsi="Times New Roman" w:cs="Times New Roman"/>
          <w:b/>
        </w:rPr>
        <w:t xml:space="preserve"> </w:t>
      </w:r>
      <w:r w:rsidRPr="00EE3B6B" w:rsidR="00C33B1C">
        <w:rPr>
          <w:rFonts w:ascii="Times New Roman" w:hAnsi="Times New Roman" w:cs="Times New Roman"/>
        </w:rPr>
        <w:t xml:space="preserve">This is a </w:t>
      </w:r>
      <w:r w:rsidRPr="00EE3B6B" w:rsidR="00BB21D5">
        <w:rPr>
          <w:rFonts w:ascii="Times New Roman" w:hAnsi="Times New Roman" w:cs="Times New Roman"/>
        </w:rPr>
        <w:t>PMPM</w:t>
      </w:r>
      <w:r w:rsidRPr="00EE3B6B" w:rsidR="00C33B1C">
        <w:rPr>
          <w:rFonts w:ascii="Times New Roman" w:hAnsi="Times New Roman" w:cs="Times New Roman"/>
        </w:rPr>
        <w:t xml:space="preserve"> </w:t>
      </w:r>
      <w:r w:rsidRPr="00EE3B6B" w:rsidR="00792E5E">
        <w:rPr>
          <w:rFonts w:ascii="Times New Roman" w:hAnsi="Times New Roman" w:cs="Times New Roman"/>
        </w:rPr>
        <w:t xml:space="preserve">amount </w:t>
      </w:r>
      <w:r w:rsidRPr="00EE3B6B" w:rsidR="00C33B1C">
        <w:rPr>
          <w:rFonts w:ascii="Times New Roman" w:hAnsi="Times New Roman" w:cs="Times New Roman"/>
        </w:rPr>
        <w:t xml:space="preserve">calculated by dividing cost sharing reduction amounts by </w:t>
      </w:r>
      <w:r w:rsidRPr="00EE3B6B" w:rsidR="00C66220">
        <w:rPr>
          <w:rFonts w:ascii="Times New Roman" w:hAnsi="Times New Roman" w:cs="Times New Roman"/>
        </w:rPr>
        <w:t>Experience Period</w:t>
      </w:r>
      <w:r w:rsidRPr="00EE3B6B" w:rsidR="00C33B1C">
        <w:rPr>
          <w:rFonts w:ascii="Times New Roman" w:hAnsi="Times New Roman" w:cs="Times New Roman"/>
        </w:rPr>
        <w:t xml:space="preserve"> member months.</w:t>
      </w:r>
    </w:p>
    <w:p w:rsidR="00471D6C" w:rsidRPr="00EE3B6B" w:rsidP="006D1FD2" w14:paraId="6671F641" w14:textId="77777777">
      <w:pPr>
        <w:keepLines/>
        <w:spacing w:after="120" w:line="276" w:lineRule="auto"/>
        <w:rPr>
          <w:rFonts w:ascii="Times New Roman" w:hAnsi="Times New Roman" w:cs="Times New Roman"/>
        </w:rPr>
      </w:pPr>
      <w:r w:rsidRPr="00EE3B6B">
        <w:rPr>
          <w:rFonts w:ascii="Times New Roman" w:hAnsi="Times New Roman" w:cs="Times New Roman"/>
          <w:b/>
        </w:rPr>
        <w:t>Incurred Claims:</w:t>
      </w:r>
      <w:r w:rsidRPr="00EE3B6B" w:rsidR="00C33B1C">
        <w:rPr>
          <w:rFonts w:ascii="Times New Roman" w:hAnsi="Times New Roman" w:cs="Times New Roman"/>
        </w:rPr>
        <w:t xml:space="preserve"> This is a </w:t>
      </w:r>
      <w:r w:rsidRPr="00EE3B6B" w:rsidR="00BB21D5">
        <w:rPr>
          <w:rFonts w:ascii="Times New Roman" w:hAnsi="Times New Roman" w:cs="Times New Roman"/>
        </w:rPr>
        <w:t>PMPM</w:t>
      </w:r>
      <w:r w:rsidRPr="00EE3B6B" w:rsidR="00C33B1C">
        <w:rPr>
          <w:rFonts w:ascii="Times New Roman" w:hAnsi="Times New Roman" w:cs="Times New Roman"/>
        </w:rPr>
        <w:t xml:space="preserve"> </w:t>
      </w:r>
      <w:r w:rsidRPr="00EE3B6B" w:rsidR="00792E5E">
        <w:rPr>
          <w:rFonts w:ascii="Times New Roman" w:hAnsi="Times New Roman" w:cs="Times New Roman"/>
        </w:rPr>
        <w:t xml:space="preserve">amount </w:t>
      </w:r>
      <w:r w:rsidRPr="00EE3B6B" w:rsidR="00C33B1C">
        <w:rPr>
          <w:rFonts w:ascii="Times New Roman" w:hAnsi="Times New Roman" w:cs="Times New Roman"/>
        </w:rPr>
        <w:t xml:space="preserve">calculated by dividing incurred claim amounts by </w:t>
      </w:r>
      <w:r w:rsidRPr="00EE3B6B" w:rsidR="00C66220">
        <w:rPr>
          <w:rFonts w:ascii="Times New Roman" w:hAnsi="Times New Roman" w:cs="Times New Roman"/>
        </w:rPr>
        <w:t>Experience Period</w:t>
      </w:r>
      <w:r w:rsidRPr="00EE3B6B" w:rsidR="00C33B1C">
        <w:rPr>
          <w:rFonts w:ascii="Times New Roman" w:hAnsi="Times New Roman" w:cs="Times New Roman"/>
        </w:rPr>
        <w:t xml:space="preserve"> member months.</w:t>
      </w:r>
    </w:p>
    <w:p w:rsidR="00B975D9" w:rsidRPr="00EE3B6B" w:rsidP="006D1FD2" w14:paraId="3D0114D9" w14:textId="77777777">
      <w:pPr>
        <w:keepLines/>
        <w:spacing w:after="120" w:line="276" w:lineRule="auto"/>
        <w:rPr>
          <w:rFonts w:ascii="Times New Roman" w:hAnsi="Times New Roman" w:cs="Times New Roman"/>
        </w:rPr>
      </w:pPr>
      <w:r w:rsidRPr="00EE3B6B">
        <w:rPr>
          <w:rFonts w:ascii="Times New Roman" w:hAnsi="Times New Roman" w:cs="Times New Roman"/>
          <w:b/>
        </w:rPr>
        <w:t>Risk Adjustment</w:t>
      </w:r>
      <w:r w:rsidRPr="00EE3B6B" w:rsidR="005C21E4">
        <w:rPr>
          <w:rFonts w:ascii="Times New Roman" w:hAnsi="Times New Roman" w:cs="Times New Roman"/>
          <w:b/>
        </w:rPr>
        <w:t xml:space="preserve"> Transfer Amount</w:t>
      </w:r>
      <w:r w:rsidRPr="00EE3B6B">
        <w:rPr>
          <w:rFonts w:ascii="Times New Roman" w:hAnsi="Times New Roman" w:cs="Times New Roman"/>
          <w:b/>
        </w:rPr>
        <w:t>:</w:t>
      </w:r>
      <w:r w:rsidRPr="00EE3B6B" w:rsidR="00C33B1C">
        <w:rPr>
          <w:rFonts w:ascii="Times New Roman" w:hAnsi="Times New Roman" w:cs="Times New Roman"/>
        </w:rPr>
        <w:t xml:space="preserve"> This is a </w:t>
      </w:r>
      <w:r w:rsidRPr="00EE3B6B" w:rsidR="00BB21D5">
        <w:rPr>
          <w:rFonts w:ascii="Times New Roman" w:hAnsi="Times New Roman" w:cs="Times New Roman"/>
        </w:rPr>
        <w:t>PMPM</w:t>
      </w:r>
      <w:r w:rsidRPr="00EE3B6B" w:rsidR="00C33B1C">
        <w:rPr>
          <w:rFonts w:ascii="Times New Roman" w:hAnsi="Times New Roman" w:cs="Times New Roman"/>
        </w:rPr>
        <w:t xml:space="preserve"> </w:t>
      </w:r>
      <w:r w:rsidRPr="00EE3B6B" w:rsidR="00792E5E">
        <w:rPr>
          <w:rFonts w:ascii="Times New Roman" w:hAnsi="Times New Roman" w:cs="Times New Roman"/>
        </w:rPr>
        <w:t xml:space="preserve">amount </w:t>
      </w:r>
      <w:r w:rsidRPr="00EE3B6B" w:rsidR="00C33B1C">
        <w:rPr>
          <w:rFonts w:ascii="Times New Roman" w:hAnsi="Times New Roman" w:cs="Times New Roman"/>
        </w:rPr>
        <w:t xml:space="preserve">calculated by dividing risk adjustment amounts by </w:t>
      </w:r>
      <w:r w:rsidRPr="00EE3B6B" w:rsidR="00C66220">
        <w:rPr>
          <w:rFonts w:ascii="Times New Roman" w:hAnsi="Times New Roman" w:cs="Times New Roman"/>
        </w:rPr>
        <w:t>Experience Period</w:t>
      </w:r>
      <w:r w:rsidRPr="00EE3B6B" w:rsidR="00C33B1C">
        <w:rPr>
          <w:rFonts w:ascii="Times New Roman" w:hAnsi="Times New Roman" w:cs="Times New Roman"/>
        </w:rPr>
        <w:t xml:space="preserve"> member months.</w:t>
      </w:r>
    </w:p>
    <w:p w:rsidR="00B96397" w:rsidRPr="00EE3B6B" w:rsidP="006D1FD2" w14:paraId="6D899E9F" w14:textId="77777777">
      <w:pPr>
        <w:keepLines/>
        <w:spacing w:after="120" w:line="276" w:lineRule="auto"/>
        <w:rPr>
          <w:rFonts w:ascii="Times New Roman" w:hAnsi="Times New Roman" w:cs="Times New Roman"/>
        </w:rPr>
      </w:pPr>
      <w:r w:rsidRPr="00EE3B6B">
        <w:rPr>
          <w:rFonts w:ascii="Times New Roman" w:hAnsi="Times New Roman" w:cs="Times New Roman"/>
          <w:b/>
        </w:rPr>
        <w:t>Premium:</w:t>
      </w:r>
      <w:r w:rsidRPr="00EE3B6B" w:rsidR="00C33B1C">
        <w:rPr>
          <w:rFonts w:ascii="Times New Roman" w:hAnsi="Times New Roman" w:cs="Times New Roman"/>
        </w:rPr>
        <w:t xml:space="preserve"> This is a </w:t>
      </w:r>
      <w:r w:rsidRPr="00EE3B6B" w:rsidR="00BB21D5">
        <w:rPr>
          <w:rFonts w:ascii="Times New Roman" w:hAnsi="Times New Roman" w:cs="Times New Roman"/>
        </w:rPr>
        <w:t>PMPM</w:t>
      </w:r>
      <w:r w:rsidRPr="00EE3B6B" w:rsidR="00C33B1C">
        <w:rPr>
          <w:rFonts w:ascii="Times New Roman" w:hAnsi="Times New Roman" w:cs="Times New Roman"/>
        </w:rPr>
        <w:t xml:space="preserve"> </w:t>
      </w:r>
      <w:r w:rsidRPr="00EE3B6B" w:rsidR="00792E5E">
        <w:rPr>
          <w:rFonts w:ascii="Times New Roman" w:hAnsi="Times New Roman" w:cs="Times New Roman"/>
        </w:rPr>
        <w:t xml:space="preserve">amount </w:t>
      </w:r>
      <w:r w:rsidRPr="00EE3B6B" w:rsidR="00C33B1C">
        <w:rPr>
          <w:rFonts w:ascii="Times New Roman" w:hAnsi="Times New Roman" w:cs="Times New Roman"/>
        </w:rPr>
        <w:t xml:space="preserve">calculated by dividing premium amounts by </w:t>
      </w:r>
      <w:r w:rsidRPr="00EE3B6B" w:rsidR="00C66220">
        <w:rPr>
          <w:rFonts w:ascii="Times New Roman" w:hAnsi="Times New Roman" w:cs="Times New Roman"/>
        </w:rPr>
        <w:t>Experience Period</w:t>
      </w:r>
      <w:r w:rsidRPr="00EE3B6B" w:rsidR="00C33B1C">
        <w:rPr>
          <w:rFonts w:ascii="Times New Roman" w:hAnsi="Times New Roman" w:cs="Times New Roman"/>
        </w:rPr>
        <w:t xml:space="preserve"> member months.</w:t>
      </w:r>
    </w:p>
    <w:p w:rsidR="00471D6C" w:rsidRPr="00EE3B6B" w:rsidP="006C6C1A" w14:paraId="6B77EBD3" w14:textId="5B44D301">
      <w:pPr>
        <w:pStyle w:val="Heading3"/>
        <w:numPr>
          <w:ilvl w:val="0"/>
          <w:numId w:val="0"/>
        </w:numPr>
        <w:ind w:left="720" w:hanging="720"/>
      </w:pPr>
      <w:bookmarkStart w:id="44" w:name="_Toc174003430"/>
      <w:r w:rsidRPr="00EE3B6B">
        <w:t>2.2.</w:t>
      </w:r>
      <w:r w:rsidRPr="00EE3B6B" w:rsidR="00D51320">
        <w:t>3</w:t>
      </w:r>
      <w:r w:rsidRPr="00EE3B6B">
        <w:t xml:space="preserve"> Section III: Plan Adjustment Factors</w:t>
      </w:r>
      <w:bookmarkEnd w:id="44"/>
    </w:p>
    <w:p w:rsidR="00130FF6" w:rsidRPr="00EE3B6B" w:rsidP="006D1FD2" w14:paraId="3759CD14" w14:textId="77777777">
      <w:pPr>
        <w:keepLines/>
        <w:spacing w:after="120" w:line="276" w:lineRule="auto"/>
        <w:rPr>
          <w:rFonts w:ascii="Times New Roman" w:hAnsi="Times New Roman" w:cs="Times New Roman"/>
        </w:rPr>
      </w:pPr>
      <w:r w:rsidRPr="00EE3B6B">
        <w:rPr>
          <w:rFonts w:ascii="Times New Roman" w:hAnsi="Times New Roman" w:cs="Times New Roman"/>
        </w:rPr>
        <w:t xml:space="preserve">The Plan Adjustment Factor section pulls the </w:t>
      </w:r>
      <w:r w:rsidRPr="00EE3B6B" w:rsidR="00CB044C">
        <w:rPr>
          <w:rFonts w:ascii="Times New Roman" w:hAnsi="Times New Roman" w:cs="Times New Roman"/>
        </w:rPr>
        <w:t>MAIR</w:t>
      </w:r>
      <w:r w:rsidRPr="00EE3B6B" w:rsidR="00C66220">
        <w:rPr>
          <w:rFonts w:ascii="Times New Roman" w:hAnsi="Times New Roman" w:cs="Times New Roman"/>
        </w:rPr>
        <w:t xml:space="preserve"> rate</w:t>
      </w:r>
      <w:r w:rsidRPr="00EE3B6B">
        <w:rPr>
          <w:rFonts w:ascii="Times New Roman" w:hAnsi="Times New Roman" w:cs="Times New Roman"/>
        </w:rPr>
        <w:t xml:space="preserve"> for the </w:t>
      </w:r>
      <w:r w:rsidRPr="00EE3B6B" w:rsidR="00C66220">
        <w:rPr>
          <w:rFonts w:ascii="Times New Roman" w:hAnsi="Times New Roman" w:cs="Times New Roman"/>
        </w:rPr>
        <w:t>Projection Period</w:t>
      </w:r>
      <w:r w:rsidRPr="00EE3B6B">
        <w:rPr>
          <w:rFonts w:ascii="Times New Roman" w:hAnsi="Times New Roman" w:cs="Times New Roman"/>
        </w:rPr>
        <w:t xml:space="preserve"> from Worksheet 1 and applies the permitted plan-level adjustments to the </w:t>
      </w:r>
      <w:r w:rsidRPr="00EE3B6B" w:rsidR="00C66220">
        <w:rPr>
          <w:rFonts w:ascii="Times New Roman" w:hAnsi="Times New Roman" w:cs="Times New Roman"/>
        </w:rPr>
        <w:t>Index Rate</w:t>
      </w:r>
      <w:r>
        <w:rPr>
          <w:rStyle w:val="FootnoteReference"/>
          <w:rFonts w:ascii="Times New Roman" w:hAnsi="Times New Roman" w:cs="Times New Roman"/>
        </w:rPr>
        <w:footnoteReference w:id="16"/>
      </w:r>
      <w:r w:rsidRPr="00EE3B6B">
        <w:rPr>
          <w:rFonts w:ascii="Times New Roman" w:hAnsi="Times New Roman" w:cs="Times New Roman"/>
        </w:rPr>
        <w:t xml:space="preserve"> to calculate the </w:t>
      </w:r>
      <w:r w:rsidRPr="00EE3B6B" w:rsidR="00CB044C">
        <w:rPr>
          <w:rFonts w:ascii="Times New Roman" w:hAnsi="Times New Roman" w:cs="Times New Roman"/>
        </w:rPr>
        <w:t>PAIR</w:t>
      </w:r>
      <w:r w:rsidRPr="00EE3B6B">
        <w:rPr>
          <w:rFonts w:ascii="Times New Roman" w:hAnsi="Times New Roman" w:cs="Times New Roman"/>
        </w:rPr>
        <w:t>. This section also collects the allowable calibration factors</w:t>
      </w:r>
      <w:r>
        <w:rPr>
          <w:rStyle w:val="FootnoteReference"/>
          <w:rFonts w:ascii="Times New Roman" w:hAnsi="Times New Roman" w:cs="Times New Roman"/>
        </w:rPr>
        <w:footnoteReference w:id="17"/>
      </w:r>
      <w:r w:rsidRPr="00EE3B6B">
        <w:rPr>
          <w:rFonts w:ascii="Times New Roman" w:hAnsi="Times New Roman" w:cs="Times New Roman"/>
        </w:rPr>
        <w:t xml:space="preserve"> to calculate a Calibrated </w:t>
      </w:r>
      <w:r w:rsidRPr="00EE3B6B" w:rsidR="00C66220">
        <w:rPr>
          <w:rFonts w:ascii="Times New Roman" w:hAnsi="Times New Roman" w:cs="Times New Roman"/>
        </w:rPr>
        <w:t>Plan Adjusted Index Rate</w:t>
      </w:r>
      <w:r w:rsidRPr="00EE3B6B">
        <w:rPr>
          <w:rFonts w:ascii="Times New Roman" w:hAnsi="Times New Roman" w:cs="Times New Roman"/>
        </w:rPr>
        <w:t xml:space="preserve">.  The </w:t>
      </w:r>
      <w:r w:rsidRPr="00EE3B6B" w:rsidR="00937C5A">
        <w:rPr>
          <w:rFonts w:ascii="Times New Roman" w:hAnsi="Times New Roman" w:cs="Times New Roman"/>
        </w:rPr>
        <w:t>C</w:t>
      </w:r>
      <w:r w:rsidRPr="00EE3B6B">
        <w:rPr>
          <w:rFonts w:ascii="Times New Roman" w:hAnsi="Times New Roman" w:cs="Times New Roman"/>
        </w:rPr>
        <w:t xml:space="preserve">alibrated </w:t>
      </w:r>
      <w:r w:rsidRPr="00EE3B6B" w:rsidR="00C66220">
        <w:rPr>
          <w:rFonts w:ascii="Times New Roman" w:hAnsi="Times New Roman" w:cs="Times New Roman"/>
        </w:rPr>
        <w:t>Plan Adjusted Index Rate</w:t>
      </w:r>
      <w:r w:rsidRPr="00EE3B6B">
        <w:rPr>
          <w:rFonts w:ascii="Times New Roman" w:hAnsi="Times New Roman" w:cs="Times New Roman"/>
        </w:rPr>
        <w:t xml:space="preserve"> can be thought of as a base rate where an individual’s premium could be calculated by applying the appropriate age rating factor, geographic rating factor, and tobacco use rating factor.</w:t>
      </w:r>
      <w:r w:rsidRPr="00EE3B6B">
        <w:rPr>
          <w:rFonts w:ascii="Times New Roman" w:hAnsi="Times New Roman" w:cs="Times New Roman"/>
        </w:rPr>
        <w:t xml:space="preserve"> </w:t>
      </w:r>
    </w:p>
    <w:p w:rsidR="007D4198" w:rsidRPr="00EE3B6B" w:rsidP="006D1FD2" w14:paraId="53B7E358" w14:textId="77777777">
      <w:pPr>
        <w:keepLines/>
        <w:spacing w:after="120" w:line="276" w:lineRule="auto"/>
        <w:rPr>
          <w:rFonts w:ascii="Times New Roman" w:hAnsi="Times New Roman" w:cs="Times New Roman"/>
        </w:rPr>
      </w:pPr>
      <w:r w:rsidRPr="00EE3B6B">
        <w:rPr>
          <w:rFonts w:ascii="Times New Roman" w:hAnsi="Times New Roman" w:cs="Times New Roman"/>
          <w:b/>
        </w:rPr>
        <w:t>AV and Cost Sharing Design of Plan:</w:t>
      </w:r>
      <w:r w:rsidRPr="00EE3B6B" w:rsidR="00953D8F">
        <w:rPr>
          <w:rFonts w:ascii="Times New Roman" w:hAnsi="Times New Roman" w:cs="Times New Roman"/>
        </w:rPr>
        <w:t xml:space="preserve"> </w:t>
      </w:r>
      <w:r w:rsidRPr="00EE3B6B">
        <w:rPr>
          <w:rFonts w:ascii="Times New Roman" w:hAnsi="Times New Roman" w:cs="Times New Roman"/>
        </w:rPr>
        <w:t>Enter</w:t>
      </w:r>
      <w:r w:rsidRPr="00EE3B6B" w:rsidR="00933287">
        <w:rPr>
          <w:rFonts w:ascii="Times New Roman" w:hAnsi="Times New Roman" w:cs="Times New Roman"/>
        </w:rPr>
        <w:t xml:space="preserve"> the </w:t>
      </w:r>
      <w:r w:rsidRPr="00EE3B6B" w:rsidR="004453ED">
        <w:rPr>
          <w:rFonts w:ascii="Times New Roman" w:hAnsi="Times New Roman" w:cs="Times New Roman"/>
        </w:rPr>
        <w:t xml:space="preserve">allowable adjustment </w:t>
      </w:r>
      <w:r w:rsidRPr="00EE3B6B">
        <w:rPr>
          <w:rFonts w:ascii="Times New Roman" w:hAnsi="Times New Roman" w:cs="Times New Roman"/>
        </w:rPr>
        <w:t xml:space="preserve">to the </w:t>
      </w:r>
      <w:r w:rsidRPr="00EE3B6B" w:rsidR="00937C5A">
        <w:rPr>
          <w:rFonts w:ascii="Times New Roman" w:hAnsi="Times New Roman" w:cs="Times New Roman"/>
        </w:rPr>
        <w:t xml:space="preserve">MAIR </w:t>
      </w:r>
      <w:r w:rsidRPr="00EE3B6B">
        <w:rPr>
          <w:rFonts w:ascii="Times New Roman" w:hAnsi="Times New Roman" w:cs="Times New Roman"/>
        </w:rPr>
        <w:t xml:space="preserve">accounting for the actuarial value and cost sharing design of the plan. </w:t>
      </w:r>
    </w:p>
    <w:p w:rsidR="00471D6C" w:rsidRPr="00EE3B6B" w:rsidP="00BF0E8E" w14:paraId="5099811B" w14:textId="77777777">
      <w:pPr>
        <w:keepLines/>
        <w:spacing w:after="120" w:line="276" w:lineRule="auto"/>
        <w:ind w:left="360"/>
        <w:rPr>
          <w:rFonts w:ascii="Times New Roman" w:hAnsi="Times New Roman" w:cs="Times New Roman"/>
        </w:rPr>
      </w:pPr>
      <w:r w:rsidRPr="00EE3B6B">
        <w:rPr>
          <w:rFonts w:ascii="Times New Roman" w:hAnsi="Times New Roman" w:cs="Times New Roman"/>
        </w:rPr>
        <w:t xml:space="preserve">This factor should not include adjustments that </w:t>
      </w:r>
      <w:r w:rsidRPr="00EE3B6B">
        <w:rPr>
          <w:rFonts w:ascii="Times New Roman" w:hAnsi="Times New Roman" w:cs="Times New Roman"/>
        </w:rPr>
        <w:t>take into account</w:t>
      </w:r>
      <w:r w:rsidRPr="00EE3B6B">
        <w:rPr>
          <w:rFonts w:ascii="Times New Roman" w:hAnsi="Times New Roman" w:cs="Times New Roman"/>
        </w:rPr>
        <w:t xml:space="preserve"> the morbidity of the population expected to enroll in the plan.</w:t>
      </w:r>
    </w:p>
    <w:p w:rsidR="00471D6C" w:rsidRPr="00EE3B6B" w:rsidP="006D1FD2" w14:paraId="2BFAD65B" w14:textId="77777777">
      <w:pPr>
        <w:keepLines/>
        <w:spacing w:after="120" w:line="276" w:lineRule="auto"/>
        <w:rPr>
          <w:rFonts w:ascii="Times New Roman" w:hAnsi="Times New Roman" w:cs="Times New Roman"/>
        </w:rPr>
      </w:pPr>
      <w:r w:rsidRPr="00EE3B6B">
        <w:rPr>
          <w:rFonts w:ascii="Times New Roman" w:hAnsi="Times New Roman" w:cs="Times New Roman"/>
          <w:b/>
        </w:rPr>
        <w:t>Provider Network Adjustment:</w:t>
      </w:r>
      <w:r w:rsidRPr="00EE3B6B" w:rsidR="007D4198">
        <w:rPr>
          <w:rFonts w:ascii="Times New Roman" w:hAnsi="Times New Roman" w:cs="Times New Roman"/>
        </w:rPr>
        <w:t xml:space="preserve"> Enter the allowable adjustment to account for a plan’s provider network, delivery system characteristics, and utilization management practices.</w:t>
      </w:r>
    </w:p>
    <w:p w:rsidR="008C1CC1" w:rsidRPr="00EE3B6B" w:rsidP="00BF0E8E" w14:paraId="50FE29F7" w14:textId="77777777">
      <w:pPr>
        <w:keepLines/>
        <w:spacing w:after="120" w:line="276" w:lineRule="auto"/>
        <w:ind w:left="360"/>
        <w:rPr>
          <w:rFonts w:ascii="Times New Roman" w:hAnsi="Times New Roman" w:cs="Times New Roman"/>
        </w:rPr>
      </w:pPr>
      <w:r w:rsidRPr="00EE3B6B">
        <w:rPr>
          <w:rFonts w:ascii="Times New Roman" w:hAnsi="Times New Roman" w:cs="Times New Roman"/>
        </w:rPr>
        <w:t>This factor should only reflect differences between the network characteristics of the plan and the average network characteristics of all plans.  The weighted average of the network factors for all plans should be 1.0.</w:t>
      </w:r>
    </w:p>
    <w:p w:rsidR="007D4198" w:rsidRPr="00EE3B6B" w:rsidP="006D1FD2" w14:paraId="419CB874" w14:textId="77777777">
      <w:pPr>
        <w:keepLines/>
        <w:spacing w:after="120" w:line="276" w:lineRule="auto"/>
        <w:rPr>
          <w:rFonts w:ascii="Times New Roman" w:hAnsi="Times New Roman" w:cs="Times New Roman"/>
        </w:rPr>
      </w:pPr>
      <w:r w:rsidRPr="00EE3B6B">
        <w:rPr>
          <w:rFonts w:ascii="Times New Roman" w:hAnsi="Times New Roman" w:cs="Times New Roman"/>
          <w:b/>
        </w:rPr>
        <w:t>Benefits in Addition to EHB:</w:t>
      </w:r>
      <w:r w:rsidRPr="00EE3B6B">
        <w:rPr>
          <w:rFonts w:ascii="Times New Roman" w:hAnsi="Times New Roman" w:cs="Times New Roman"/>
        </w:rPr>
        <w:t xml:space="preserve"> Enter the adjustment to the </w:t>
      </w:r>
      <w:r w:rsidRPr="00EE3B6B" w:rsidR="00E347D6">
        <w:rPr>
          <w:rFonts w:ascii="Times New Roman" w:hAnsi="Times New Roman" w:cs="Times New Roman"/>
        </w:rPr>
        <w:t>MAIR</w:t>
      </w:r>
      <w:r w:rsidRPr="00EE3B6B">
        <w:rPr>
          <w:rFonts w:ascii="Times New Roman" w:hAnsi="Times New Roman" w:cs="Times New Roman"/>
        </w:rPr>
        <w:t xml:space="preserve"> accounting for </w:t>
      </w:r>
      <w:r w:rsidRPr="00EE3B6B" w:rsidR="00DC61B4">
        <w:rPr>
          <w:rFonts w:ascii="Times New Roman" w:hAnsi="Times New Roman" w:cs="Times New Roman"/>
        </w:rPr>
        <w:t>benefits the plan offers in addition to EHBs.</w:t>
      </w:r>
    </w:p>
    <w:p w:rsidR="00471D6C" w:rsidRPr="00EE3B6B" w:rsidP="00BF0E8E" w14:paraId="345D1E2C" w14:textId="77777777">
      <w:pPr>
        <w:keepLines/>
        <w:spacing w:after="120" w:line="276" w:lineRule="auto"/>
        <w:ind w:left="360"/>
        <w:rPr>
          <w:rFonts w:ascii="Times New Roman" w:hAnsi="Times New Roman" w:cs="Times New Roman"/>
        </w:rPr>
      </w:pPr>
      <w:r w:rsidRPr="00EE3B6B">
        <w:rPr>
          <w:rFonts w:ascii="Times New Roman" w:hAnsi="Times New Roman" w:cs="Times New Roman"/>
        </w:rPr>
        <w:t xml:space="preserve">As the </w:t>
      </w:r>
      <w:r w:rsidRPr="00EE3B6B" w:rsidR="00E347D6">
        <w:rPr>
          <w:rFonts w:ascii="Times New Roman" w:hAnsi="Times New Roman" w:cs="Times New Roman"/>
        </w:rPr>
        <w:t>MAIR</w:t>
      </w:r>
      <w:r w:rsidRPr="00EE3B6B">
        <w:rPr>
          <w:rFonts w:ascii="Times New Roman" w:hAnsi="Times New Roman" w:cs="Times New Roman"/>
        </w:rPr>
        <w:t xml:space="preserve"> reflect</w:t>
      </w:r>
      <w:r w:rsidRPr="00EE3B6B" w:rsidR="00E347D6">
        <w:rPr>
          <w:rFonts w:ascii="Times New Roman" w:hAnsi="Times New Roman" w:cs="Times New Roman"/>
        </w:rPr>
        <w:t>s</w:t>
      </w:r>
      <w:r w:rsidRPr="00EE3B6B">
        <w:rPr>
          <w:rFonts w:ascii="Times New Roman" w:hAnsi="Times New Roman" w:cs="Times New Roman"/>
        </w:rPr>
        <w:t xml:space="preserve"> allowed claims for EHBs only, this adjustment accounts for benefits provided in addition to EHBs.</w:t>
      </w:r>
      <w:r w:rsidRPr="00EE3B6B" w:rsidR="002043A0">
        <w:rPr>
          <w:rFonts w:ascii="Times New Roman" w:hAnsi="Times New Roman" w:cs="Times New Roman"/>
        </w:rPr>
        <w:t xml:space="preserve"> For individual market QHPs, CMS expects that “Benefits in Addition to EHB” is the multiplicative inverse of the “EHB Percent of Total Premium” field in the Plans &amp; Benefits Template when rounded to the fourth decimal point (i.e., 1 divided by “EHB Percent of Total Premium"). As part of data integrity review, CMS will identify any mismatch between “Benefits in Addition to EHB” in the URRT and the reciprocal of “EHB Percent of Total Premium” in the Plans &amp; Benefits Template and prompt you to confirm that the submitted values are correct.</w:t>
      </w:r>
    </w:p>
    <w:p w:rsidR="002043A0" w:rsidRPr="00EE3B6B" w:rsidP="00BF0E8E" w14:paraId="735B4444" w14:textId="77777777">
      <w:pPr>
        <w:keepLines/>
        <w:spacing w:after="120" w:line="276" w:lineRule="auto"/>
        <w:ind w:left="360"/>
        <w:rPr>
          <w:rFonts w:ascii="Times New Roman" w:hAnsi="Times New Roman" w:cs="Times New Roman"/>
        </w:rPr>
      </w:pPr>
      <w:r w:rsidRPr="00EE3B6B">
        <w:rPr>
          <w:rFonts w:ascii="Times New Roman" w:hAnsi="Times New Roman" w:cs="Times New Roman"/>
        </w:rPr>
        <w:t>Certain benefits, including routine non-pediatric dental services, routine non-pediatric eye exam services, long-term/custodial nursing home care benefits, and non-medically necessary orthodontia should not be considered EHB, even if the State EHB Benchmark plan covers such benefits.</w:t>
      </w:r>
      <w:r>
        <w:rPr>
          <w:rStyle w:val="FootnoteReference"/>
          <w:rFonts w:ascii="Times New Roman" w:hAnsi="Times New Roman" w:cs="Times New Roman"/>
        </w:rPr>
        <w:footnoteReference w:id="18"/>
      </w:r>
      <w:r w:rsidRPr="00EE3B6B">
        <w:rPr>
          <w:rFonts w:ascii="Times New Roman" w:hAnsi="Times New Roman" w:cs="Times New Roman"/>
        </w:rPr>
        <w:t xml:space="preserve"> </w:t>
      </w:r>
    </w:p>
    <w:p w:rsidR="0009135B" w:rsidRPr="00EE3B6B" w:rsidP="00BF0E8E" w14:paraId="0F56CD15" w14:textId="77777777">
      <w:pPr>
        <w:keepLines/>
        <w:spacing w:after="120" w:line="276" w:lineRule="auto"/>
        <w:ind w:left="360"/>
        <w:rPr>
          <w:rFonts w:ascii="Times New Roman" w:hAnsi="Times New Roman" w:cs="Times New Roman"/>
        </w:rPr>
      </w:pPr>
      <w:r w:rsidRPr="00EE3B6B">
        <w:rPr>
          <w:rFonts w:ascii="Times New Roman" w:hAnsi="Times New Roman" w:cs="Times New Roman"/>
        </w:rPr>
        <w:t>A state may require a QHP to offer benefits in addition to the EHB, but the state is required to defray the cost of such state-required benefits to the enrollee or to the QHP issuer on behalf of the enrollee.</w:t>
      </w:r>
      <w:r>
        <w:rPr>
          <w:rStyle w:val="FootnoteReference"/>
          <w:rFonts w:ascii="Times New Roman" w:hAnsi="Times New Roman" w:cs="Times New Roman"/>
        </w:rPr>
        <w:footnoteReference w:id="19"/>
      </w:r>
      <w:r w:rsidRPr="00EE3B6B">
        <w:rPr>
          <w:rFonts w:ascii="Times New Roman" w:hAnsi="Times New Roman" w:cs="Times New Roman"/>
        </w:rPr>
        <w:t xml:space="preserve"> How an individual market QHP issuer should handle the portion of premium related to these services depends on whether the state makes these defrayal payments to the enrollee or to the issuer:</w:t>
      </w:r>
    </w:p>
    <w:p w:rsidR="0009135B" w:rsidRPr="00EE3B6B" w:rsidP="00BF0E8E" w14:paraId="10065328" w14:textId="77777777">
      <w:pPr>
        <w:keepLines/>
        <w:spacing w:after="120" w:line="276" w:lineRule="auto"/>
        <w:ind w:left="360"/>
        <w:rPr>
          <w:rFonts w:ascii="Times New Roman" w:hAnsi="Times New Roman" w:cs="Times New Roman"/>
        </w:rPr>
      </w:pPr>
      <w:r w:rsidRPr="00EE3B6B">
        <w:rPr>
          <w:rFonts w:ascii="Times New Roman" w:hAnsi="Times New Roman" w:cs="Times New Roman"/>
        </w:rPr>
        <w:t>In a state that defrays the cost of a state-required benefit in addition to EHB directly to the QHP issuer:</w:t>
      </w:r>
    </w:p>
    <w:p w:rsidR="0009135B" w:rsidRPr="00EE3B6B" w:rsidP="00BF0E8E" w14:paraId="5DB0E5AB" w14:textId="77777777">
      <w:pPr>
        <w:pStyle w:val="ListParagraph"/>
        <w:keepLines/>
        <w:numPr>
          <w:ilvl w:val="0"/>
          <w:numId w:val="52"/>
        </w:numPr>
        <w:spacing w:after="120" w:line="276" w:lineRule="auto"/>
        <w:ind w:left="720"/>
        <w:rPr>
          <w:rFonts w:ascii="Times New Roman" w:hAnsi="Times New Roman" w:cs="Times New Roman"/>
        </w:rPr>
      </w:pPr>
      <w:r w:rsidRPr="00EE3B6B">
        <w:rPr>
          <w:rFonts w:ascii="Times New Roman" w:hAnsi="Times New Roman" w:cs="Times New Roman"/>
        </w:rPr>
        <w:t xml:space="preserve">The issuer should </w:t>
      </w:r>
      <w:r w:rsidRPr="00EE3B6B">
        <w:rPr>
          <w:rFonts w:ascii="Times New Roman" w:hAnsi="Times New Roman" w:cs="Times New Roman"/>
          <w:b/>
        </w:rPr>
        <w:t>exclude</w:t>
      </w:r>
      <w:r w:rsidRPr="00EE3B6B">
        <w:rPr>
          <w:rFonts w:ascii="Times New Roman" w:hAnsi="Times New Roman" w:cs="Times New Roman"/>
        </w:rPr>
        <w:t xml:space="preserve"> the amount the state will defray (or that the state will begin defraying in the plan year for which the rates apply) from the rates submitted on both the URRT and the Rates Table Template.</w:t>
      </w:r>
    </w:p>
    <w:p w:rsidR="0009135B" w:rsidRPr="00EE3B6B" w:rsidP="00BF0E8E" w14:paraId="6667BD8A" w14:textId="77777777">
      <w:pPr>
        <w:pStyle w:val="ListParagraph"/>
        <w:keepLines/>
        <w:numPr>
          <w:ilvl w:val="0"/>
          <w:numId w:val="52"/>
        </w:numPr>
        <w:spacing w:after="120" w:line="276" w:lineRule="auto"/>
        <w:ind w:left="720"/>
        <w:rPr>
          <w:rFonts w:ascii="Times New Roman" w:hAnsi="Times New Roman" w:cs="Times New Roman"/>
        </w:rPr>
      </w:pPr>
      <w:r w:rsidRPr="00EE3B6B">
        <w:rPr>
          <w:rFonts w:ascii="Times New Roman" w:hAnsi="Times New Roman" w:cs="Times New Roman"/>
        </w:rPr>
        <w:t>The issuer should indicate in the Actuarial Memorandum that accompanies the URRT that the issuer anticipates the state will defray to the issuer the cost of any state-required benefit that is in addition to EHB and that, therefore, the cost of the state-required benefit is not included in the issuer’s rates in the URRT. QHP issuers should provide additional detail regarding the amount the QHP issuer expects to receive from the state for defrayal of the state-required benefit.</w:t>
      </w:r>
    </w:p>
    <w:p w:rsidR="0009135B" w:rsidRPr="00EE3B6B" w:rsidP="00BF0E8E" w14:paraId="34DF50F8" w14:textId="77777777">
      <w:pPr>
        <w:pStyle w:val="ListParagraph"/>
        <w:keepLines/>
        <w:numPr>
          <w:ilvl w:val="0"/>
          <w:numId w:val="52"/>
        </w:numPr>
        <w:spacing w:after="120" w:line="276" w:lineRule="auto"/>
        <w:ind w:left="720"/>
        <w:rPr>
          <w:rFonts w:ascii="Times New Roman" w:hAnsi="Times New Roman" w:cs="Times New Roman"/>
        </w:rPr>
      </w:pPr>
      <w:r w:rsidRPr="00EE3B6B">
        <w:rPr>
          <w:rFonts w:ascii="Times New Roman" w:hAnsi="Times New Roman" w:cs="Times New Roman"/>
        </w:rPr>
        <w:t xml:space="preserve">The issuer </w:t>
      </w:r>
      <w:r w:rsidRPr="00EE3B6B">
        <w:rPr>
          <w:rFonts w:ascii="Times New Roman" w:hAnsi="Times New Roman" w:cs="Times New Roman"/>
          <w:b/>
        </w:rPr>
        <w:t>should not</w:t>
      </w:r>
      <w:r w:rsidRPr="00EE3B6B">
        <w:rPr>
          <w:rFonts w:ascii="Times New Roman" w:hAnsi="Times New Roman" w:cs="Times New Roman"/>
        </w:rPr>
        <w:t xml:space="preserve"> factor the state-required benefit into the calculation of “Benefits in Addition to EHB” (the multiplicative inverse the “EHB Percent of Total Premium” field in the Plans &amp; Benefits Template).</w:t>
      </w:r>
    </w:p>
    <w:p w:rsidR="0009135B" w:rsidRPr="00EE3B6B" w:rsidP="00BF0E8E" w14:paraId="7631FAE7" w14:textId="77777777">
      <w:pPr>
        <w:pStyle w:val="ListParagraph"/>
        <w:keepLines/>
        <w:numPr>
          <w:ilvl w:val="1"/>
          <w:numId w:val="52"/>
        </w:numPr>
        <w:spacing w:after="120" w:line="276" w:lineRule="auto"/>
        <w:ind w:left="1080"/>
        <w:rPr>
          <w:rFonts w:ascii="Times New Roman" w:hAnsi="Times New Roman" w:cs="Times New Roman"/>
        </w:rPr>
      </w:pPr>
      <w:r w:rsidRPr="00EE3B6B">
        <w:rPr>
          <w:rFonts w:ascii="Times New Roman" w:hAnsi="Times New Roman" w:cs="Times New Roman"/>
        </w:rPr>
        <w:t>This is because the QHP issuers should treat the state-required benefit as if it does not exist for purposes of the “EHB Percent of Total Premium” field, such that the state-required benefit is excluded from both the EHB percent of premium and the total premium from which the EHB percent of premium is calculated.</w:t>
      </w:r>
    </w:p>
    <w:p w:rsidR="0009135B" w:rsidRPr="00EE3B6B" w:rsidP="00BF0E8E" w14:paraId="767374B0" w14:textId="77777777">
      <w:pPr>
        <w:pStyle w:val="ListParagraph"/>
        <w:keepLines/>
        <w:numPr>
          <w:ilvl w:val="1"/>
          <w:numId w:val="52"/>
        </w:numPr>
        <w:spacing w:after="120" w:line="276" w:lineRule="auto"/>
        <w:ind w:left="1080"/>
        <w:rPr>
          <w:rFonts w:ascii="Times New Roman" w:hAnsi="Times New Roman" w:cs="Times New Roman"/>
        </w:rPr>
      </w:pPr>
      <w:r w:rsidRPr="00EE3B6B">
        <w:rPr>
          <w:rFonts w:ascii="Times New Roman" w:hAnsi="Times New Roman" w:cs="Times New Roman"/>
        </w:rPr>
        <w:t xml:space="preserve">However, the QHP issuer should still indicate in the Benefits Information field on the Plans and Benefits template that it covers the state-required benefit in question as a non-EHB. </w:t>
      </w:r>
    </w:p>
    <w:p w:rsidR="0009135B" w:rsidRPr="00EE3B6B" w:rsidP="006D1FD2" w14:paraId="46507F0B" w14:textId="77777777">
      <w:pPr>
        <w:keepLines/>
        <w:spacing w:after="120" w:line="276" w:lineRule="auto"/>
        <w:ind w:left="720"/>
        <w:rPr>
          <w:rFonts w:ascii="Times New Roman" w:hAnsi="Times New Roman" w:cs="Times New Roman"/>
        </w:rPr>
      </w:pPr>
      <w:r w:rsidRPr="00EE3B6B">
        <w:rPr>
          <w:rFonts w:ascii="Times New Roman" w:hAnsi="Times New Roman" w:cs="Times New Roman"/>
        </w:rPr>
        <w:t>In a state that defrays the cost of a state-required benefit in addition to EHB directly to the enrollee:</w:t>
      </w:r>
    </w:p>
    <w:p w:rsidR="0009135B" w:rsidRPr="00EE3B6B" w:rsidP="00BF0E8E" w14:paraId="1926B39F" w14:textId="77777777">
      <w:pPr>
        <w:pStyle w:val="ListParagraph"/>
        <w:keepLines/>
        <w:numPr>
          <w:ilvl w:val="0"/>
          <w:numId w:val="52"/>
        </w:numPr>
        <w:spacing w:after="120" w:line="276" w:lineRule="auto"/>
        <w:ind w:left="720"/>
        <w:rPr>
          <w:rFonts w:ascii="Times New Roman" w:hAnsi="Times New Roman" w:cs="Times New Roman"/>
        </w:rPr>
      </w:pPr>
      <w:r w:rsidRPr="00EE3B6B">
        <w:rPr>
          <w:rFonts w:ascii="Times New Roman" w:hAnsi="Times New Roman" w:cs="Times New Roman"/>
        </w:rPr>
        <w:t xml:space="preserve">The QHP issuer should </w:t>
      </w:r>
      <w:r w:rsidRPr="00EE3B6B">
        <w:rPr>
          <w:rFonts w:ascii="Times New Roman" w:hAnsi="Times New Roman" w:cs="Times New Roman"/>
          <w:b/>
        </w:rPr>
        <w:t>include</w:t>
      </w:r>
      <w:r w:rsidRPr="00EE3B6B">
        <w:rPr>
          <w:rFonts w:ascii="Times New Roman" w:hAnsi="Times New Roman" w:cs="Times New Roman"/>
        </w:rPr>
        <w:t xml:space="preserve"> the amount the state defrays (or that the state will begin defraying in the plan year for which the rates apply) in the rates submitted on both the URRT as well as in the Rates Table Template.</w:t>
      </w:r>
    </w:p>
    <w:p w:rsidR="0009135B" w:rsidRPr="00EE3B6B" w:rsidP="00BF0E8E" w14:paraId="7CC5A071" w14:textId="77777777">
      <w:pPr>
        <w:pStyle w:val="ListParagraph"/>
        <w:keepLines/>
        <w:numPr>
          <w:ilvl w:val="0"/>
          <w:numId w:val="52"/>
        </w:numPr>
        <w:spacing w:after="120" w:line="276" w:lineRule="auto"/>
        <w:ind w:left="720"/>
        <w:rPr>
          <w:rFonts w:ascii="Times New Roman" w:hAnsi="Times New Roman" w:cs="Times New Roman"/>
        </w:rPr>
      </w:pPr>
      <w:r w:rsidRPr="00EE3B6B">
        <w:rPr>
          <w:rFonts w:ascii="Times New Roman" w:hAnsi="Times New Roman" w:cs="Times New Roman"/>
        </w:rPr>
        <w:t>The QHP issuer should indicate in the Actuarial Memorandum the amount that the issuer anticipates the state will defray directly to the enrollee for the cost of any state-required benefit that is in addition to EHB.</w:t>
      </w:r>
    </w:p>
    <w:p w:rsidR="0009135B" w:rsidRPr="00EE3B6B" w:rsidP="00BF0E8E" w14:paraId="44A90C68" w14:textId="77777777">
      <w:pPr>
        <w:pStyle w:val="ListParagraph"/>
        <w:keepLines/>
        <w:numPr>
          <w:ilvl w:val="0"/>
          <w:numId w:val="52"/>
        </w:numPr>
        <w:spacing w:after="120" w:line="276" w:lineRule="auto"/>
        <w:ind w:left="720"/>
        <w:rPr>
          <w:rFonts w:ascii="Times New Roman" w:hAnsi="Times New Roman" w:cs="Times New Roman"/>
        </w:rPr>
      </w:pPr>
      <w:r w:rsidRPr="00EE3B6B">
        <w:rPr>
          <w:rFonts w:ascii="Times New Roman" w:hAnsi="Times New Roman" w:cs="Times New Roman"/>
        </w:rPr>
        <w:t xml:space="preserve">The QHP issuer </w:t>
      </w:r>
      <w:r w:rsidRPr="00EE3B6B">
        <w:rPr>
          <w:rFonts w:ascii="Times New Roman" w:hAnsi="Times New Roman" w:cs="Times New Roman"/>
          <w:b/>
        </w:rPr>
        <w:t>should</w:t>
      </w:r>
      <w:r w:rsidRPr="00EE3B6B">
        <w:rPr>
          <w:rFonts w:ascii="Times New Roman" w:hAnsi="Times New Roman" w:cs="Times New Roman"/>
        </w:rPr>
        <w:t xml:space="preserve"> factor the state-required benefit into the calculation of “Benefits in Addition to EHB” (the multiplicative inverse the “EHB Percent of Total Premium” field in the Plans &amp; Benefits Template).</w:t>
      </w:r>
    </w:p>
    <w:p w:rsidR="0009135B" w:rsidRPr="00EE3B6B" w:rsidP="00BF0E8E" w14:paraId="244DC747" w14:textId="3DA9EA6F">
      <w:pPr>
        <w:pStyle w:val="ListParagraph"/>
        <w:keepLines/>
        <w:numPr>
          <w:ilvl w:val="1"/>
          <w:numId w:val="52"/>
        </w:numPr>
        <w:spacing w:after="120" w:line="276" w:lineRule="auto"/>
        <w:ind w:left="1080"/>
        <w:rPr>
          <w:rFonts w:ascii="Times New Roman" w:hAnsi="Times New Roman" w:cs="Times New Roman"/>
        </w:rPr>
      </w:pPr>
      <w:r w:rsidRPr="00EE3B6B">
        <w:rPr>
          <w:rFonts w:ascii="Times New Roman" w:hAnsi="Times New Roman" w:cs="Times New Roman"/>
        </w:rPr>
        <w:t>This is because, a</w:t>
      </w:r>
      <w:r w:rsidR="00AC4BFF">
        <w:rPr>
          <w:rFonts w:ascii="Times New Roman" w:hAnsi="Times New Roman" w:cs="Times New Roman"/>
        </w:rPr>
        <w:t>l</w:t>
      </w:r>
      <w:r w:rsidRPr="00EE3B6B">
        <w:rPr>
          <w:rFonts w:ascii="Times New Roman" w:hAnsi="Times New Roman" w:cs="Times New Roman"/>
        </w:rPr>
        <w:t xml:space="preserve">though the QHP issuer should not include the state-required benefit in the EHB Percent of Total Premium on the Plans &amp; Benefits Template, it should include the cost of the state-required benefit in the total premium from which the EHB Percent of Total Premium is calculated (therefore treating it as non-EHB for purposes of the total premium). </w:t>
      </w:r>
    </w:p>
    <w:p w:rsidR="0009135B" w:rsidRPr="00EE3B6B" w:rsidP="00BF0E8E" w14:paraId="56E2ABEF" w14:textId="56EFD78E">
      <w:pPr>
        <w:pStyle w:val="ListParagraph"/>
        <w:keepLines/>
        <w:numPr>
          <w:ilvl w:val="1"/>
          <w:numId w:val="52"/>
        </w:numPr>
        <w:spacing w:after="120" w:line="276" w:lineRule="auto"/>
        <w:ind w:left="1080"/>
        <w:rPr>
          <w:rFonts w:ascii="Times New Roman" w:hAnsi="Times New Roman" w:cs="Times New Roman"/>
        </w:rPr>
      </w:pPr>
      <w:r w:rsidRPr="00EE3B6B">
        <w:rPr>
          <w:rFonts w:ascii="Times New Roman" w:hAnsi="Times New Roman" w:cs="Times New Roman"/>
        </w:rPr>
        <w:t xml:space="preserve">The QHP issuer should indicate in the Benefits Information field on the Plans and Benefits template that the QHP covers the state-required benefit in question as a non-EHB. </w:t>
      </w:r>
    </w:p>
    <w:p w:rsidR="002043A0" w:rsidRPr="00EE3B6B" w:rsidP="006D1FD2" w14:paraId="50EAD20E" w14:textId="62287E3F">
      <w:pPr>
        <w:keepLines/>
        <w:spacing w:after="120" w:line="276" w:lineRule="auto"/>
        <w:ind w:left="720"/>
        <w:rPr>
          <w:rFonts w:ascii="Times New Roman" w:hAnsi="Times New Roman" w:cs="Times New Roman"/>
        </w:rPr>
      </w:pPr>
      <w:r w:rsidRPr="00EE3B6B">
        <w:rPr>
          <w:rFonts w:ascii="Times New Roman" w:hAnsi="Times New Roman" w:cs="Times New Roman"/>
        </w:rPr>
        <w:t>For plans that include coverage of abortion services for which public funding is prohibited (also known as non-Hyde abortion services)</w:t>
      </w:r>
      <w:r>
        <w:rPr>
          <w:rStyle w:val="FootnoteReference"/>
          <w:rFonts w:ascii="Times New Roman" w:hAnsi="Times New Roman" w:cs="Times New Roman"/>
        </w:rPr>
        <w:footnoteReference w:id="20"/>
      </w:r>
      <w:r w:rsidRPr="00EE3B6B">
        <w:rPr>
          <w:rFonts w:ascii="Times New Roman" w:hAnsi="Times New Roman" w:cs="Times New Roman"/>
        </w:rPr>
        <w:t xml:space="preserve"> offered in states where </w:t>
      </w:r>
      <w:r w:rsidRPr="00EE3B6B">
        <w:rPr>
          <w:rFonts w:ascii="Times New Roman" w:hAnsi="Times New Roman" w:cs="Times New Roman"/>
        </w:rPr>
        <w:t xml:space="preserve">the benefits package of the EHB benchmark plan includes </w:t>
      </w:r>
      <w:r w:rsidRPr="00EE3B6B">
        <w:rPr>
          <w:rFonts w:ascii="Times New Roman" w:hAnsi="Times New Roman" w:cs="Times New Roman"/>
        </w:rPr>
        <w:t xml:space="preserve">such </w:t>
      </w:r>
      <w:r w:rsidRPr="00EE3B6B">
        <w:rPr>
          <w:rFonts w:ascii="Times New Roman" w:hAnsi="Times New Roman" w:cs="Times New Roman"/>
        </w:rPr>
        <w:t>abortion services, you must handle the portion of the premium related to these services using one of the two methods described below:</w:t>
      </w:r>
    </w:p>
    <w:p w:rsidR="002043A0" w:rsidRPr="00EE3B6B" w:rsidP="00BF0E8E" w14:paraId="5B8941F2" w14:textId="3A93886E">
      <w:pPr>
        <w:pStyle w:val="ListParagraph"/>
        <w:keepLines/>
        <w:numPr>
          <w:ilvl w:val="0"/>
          <w:numId w:val="52"/>
        </w:numPr>
        <w:spacing w:after="120" w:line="276" w:lineRule="auto"/>
        <w:ind w:left="720"/>
        <w:rPr>
          <w:rFonts w:ascii="Times New Roman" w:hAnsi="Times New Roman" w:cs="Times New Roman"/>
        </w:rPr>
      </w:pPr>
      <w:r w:rsidRPr="00EE3B6B">
        <w:rPr>
          <w:rFonts w:ascii="Times New Roman" w:hAnsi="Times New Roman" w:cs="Times New Roman"/>
        </w:rPr>
        <w:t xml:space="preserve">If the plan is a QHP offered on </w:t>
      </w:r>
      <w:r w:rsidRPr="00EE3B6B" w:rsidR="00731252">
        <w:rPr>
          <w:rFonts w:ascii="Times New Roman" w:hAnsi="Times New Roman" w:cs="Times New Roman"/>
        </w:rPr>
        <w:t>a</w:t>
      </w:r>
      <w:r w:rsidR="00AC4BFF">
        <w:rPr>
          <w:rFonts w:ascii="Times New Roman" w:hAnsi="Times New Roman" w:cs="Times New Roman"/>
        </w:rPr>
        <w:t>n</w:t>
      </w:r>
      <w:r w:rsidRPr="00EE3B6B" w:rsidR="00731252">
        <w:rPr>
          <w:rFonts w:ascii="Times New Roman" w:hAnsi="Times New Roman" w:cs="Times New Roman"/>
        </w:rPr>
        <w:t xml:space="preserve"> SBE or </w:t>
      </w:r>
      <w:r w:rsidRPr="00EE3B6B" w:rsidR="00A96E02">
        <w:rPr>
          <w:rFonts w:ascii="Times New Roman" w:hAnsi="Times New Roman" w:cs="Times New Roman"/>
        </w:rPr>
        <w:t>an</w:t>
      </w:r>
      <w:r w:rsidRPr="00EE3B6B" w:rsidR="00731252">
        <w:rPr>
          <w:rFonts w:ascii="Times New Roman" w:hAnsi="Times New Roman" w:cs="Times New Roman"/>
        </w:rPr>
        <w:t xml:space="preserve"> FFE</w:t>
      </w:r>
      <w:r w:rsidRPr="00EE3B6B">
        <w:rPr>
          <w:rFonts w:ascii="Times New Roman" w:hAnsi="Times New Roman" w:cs="Times New Roman"/>
        </w:rPr>
        <w:t xml:space="preserve">, do not include the percentage of the premium associated with </w:t>
      </w:r>
      <w:r w:rsidRPr="00EE3B6B" w:rsidR="00A96E02">
        <w:rPr>
          <w:rFonts w:ascii="Times New Roman" w:hAnsi="Times New Roman" w:cs="Times New Roman"/>
        </w:rPr>
        <w:t xml:space="preserve">such </w:t>
      </w:r>
      <w:r w:rsidRPr="00EE3B6B">
        <w:rPr>
          <w:rFonts w:ascii="Times New Roman" w:hAnsi="Times New Roman" w:cs="Times New Roman"/>
        </w:rPr>
        <w:t xml:space="preserve">abortion services in the EHB percentage (even if these services are in the EHB benchmark package). The EHB percentage is used to calculate subsidy amounts and subsidy payments may not be provided for costs associated with </w:t>
      </w:r>
      <w:r w:rsidRPr="00EE3B6B" w:rsidR="00A96E02">
        <w:rPr>
          <w:rFonts w:ascii="Times New Roman" w:hAnsi="Times New Roman" w:cs="Times New Roman"/>
        </w:rPr>
        <w:t xml:space="preserve">such </w:t>
      </w:r>
      <w:r w:rsidRPr="00EE3B6B">
        <w:rPr>
          <w:rFonts w:ascii="Times New Roman" w:hAnsi="Times New Roman" w:cs="Times New Roman"/>
        </w:rPr>
        <w:t>abortion services. Therefore, costs associated with</w:t>
      </w:r>
      <w:r w:rsidRPr="00EE3B6B" w:rsidR="00A96E02">
        <w:rPr>
          <w:rFonts w:ascii="Times New Roman" w:hAnsi="Times New Roman" w:cs="Times New Roman"/>
        </w:rPr>
        <w:t xml:space="preserve"> such</w:t>
      </w:r>
      <w:r w:rsidRPr="00EE3B6B">
        <w:rPr>
          <w:rFonts w:ascii="Times New Roman" w:hAnsi="Times New Roman" w:cs="Times New Roman"/>
        </w:rPr>
        <w:t xml:space="preserve"> abortion must be excluded from the EHB </w:t>
      </w:r>
      <w:r w:rsidRPr="00EE3B6B">
        <w:rPr>
          <w:rFonts w:ascii="Times New Roman" w:hAnsi="Times New Roman" w:cs="Times New Roman"/>
        </w:rPr>
        <w:t>proportion</w:t>
      </w:r>
      <w:r w:rsidRPr="00EE3B6B" w:rsidR="00A96E02">
        <w:rPr>
          <w:rFonts w:ascii="Times New Roman" w:hAnsi="Times New Roman" w:cs="Times New Roman"/>
        </w:rPr>
        <w:t>, and</w:t>
      </w:r>
      <w:r w:rsidRPr="00EE3B6B" w:rsidR="00A96E02">
        <w:rPr>
          <w:rFonts w:ascii="Times New Roman" w:hAnsi="Times New Roman" w:cs="Times New Roman"/>
        </w:rPr>
        <w:t xml:space="preserve"> </w:t>
      </w:r>
      <w:r w:rsidRPr="00EE3B6B" w:rsidR="00147227">
        <w:rPr>
          <w:rFonts w:ascii="Times New Roman" w:hAnsi="Times New Roman" w:cs="Times New Roman"/>
        </w:rPr>
        <w:t xml:space="preserve">reflected </w:t>
      </w:r>
      <w:r w:rsidRPr="00EE3B6B" w:rsidR="00A96E02">
        <w:rPr>
          <w:rFonts w:ascii="Times New Roman" w:hAnsi="Times New Roman" w:cs="Times New Roman"/>
        </w:rPr>
        <w:t xml:space="preserve">accordingly </w:t>
      </w:r>
      <w:r w:rsidRPr="00EE3B6B" w:rsidR="00147227">
        <w:rPr>
          <w:rFonts w:ascii="Times New Roman" w:hAnsi="Times New Roman" w:cs="Times New Roman"/>
        </w:rPr>
        <w:t xml:space="preserve">in the adjustment for </w:t>
      </w:r>
      <w:r w:rsidRPr="00EE3B6B" w:rsidR="00A96E02">
        <w:rPr>
          <w:rFonts w:ascii="Times New Roman" w:hAnsi="Times New Roman" w:cs="Times New Roman"/>
        </w:rPr>
        <w:t>benefits in addition to EHB</w:t>
      </w:r>
      <w:r w:rsidRPr="00EE3B6B">
        <w:rPr>
          <w:rFonts w:ascii="Times New Roman" w:hAnsi="Times New Roman" w:cs="Times New Roman"/>
        </w:rPr>
        <w:t>.</w:t>
      </w:r>
    </w:p>
    <w:p w:rsidR="002043A0" w:rsidRPr="00EE3B6B" w:rsidP="00BF0E8E" w14:paraId="3BB3B91B" w14:textId="65AB5D73">
      <w:pPr>
        <w:pStyle w:val="ListParagraph"/>
        <w:keepLines/>
        <w:numPr>
          <w:ilvl w:val="0"/>
          <w:numId w:val="52"/>
        </w:numPr>
        <w:spacing w:after="120" w:line="276" w:lineRule="auto"/>
        <w:ind w:left="720"/>
        <w:rPr>
          <w:rFonts w:ascii="Times New Roman" w:hAnsi="Times New Roman" w:cs="Times New Roman"/>
        </w:rPr>
      </w:pPr>
      <w:r w:rsidRPr="00EE3B6B">
        <w:rPr>
          <w:rFonts w:ascii="Times New Roman" w:hAnsi="Times New Roman" w:cs="Times New Roman"/>
        </w:rPr>
        <w:t xml:space="preserve">If the plan is not a QHP offered </w:t>
      </w:r>
      <w:r w:rsidRPr="00EE3B6B" w:rsidR="00A96E02">
        <w:rPr>
          <w:rFonts w:ascii="Times New Roman" w:hAnsi="Times New Roman" w:cs="Times New Roman"/>
        </w:rPr>
        <w:t>on</w:t>
      </w:r>
      <w:r w:rsidRPr="00EE3B6B">
        <w:rPr>
          <w:rFonts w:ascii="Times New Roman" w:hAnsi="Times New Roman" w:cs="Times New Roman"/>
        </w:rPr>
        <w:t xml:space="preserve"> an SBE </w:t>
      </w:r>
      <w:r w:rsidRPr="00EE3B6B" w:rsidR="00A96E02">
        <w:rPr>
          <w:rFonts w:ascii="Times New Roman" w:hAnsi="Times New Roman" w:cs="Times New Roman"/>
        </w:rPr>
        <w:t xml:space="preserve">or an FFE </w:t>
      </w:r>
      <w:r w:rsidRPr="00EE3B6B">
        <w:rPr>
          <w:rFonts w:ascii="Times New Roman" w:hAnsi="Times New Roman" w:cs="Times New Roman"/>
        </w:rPr>
        <w:t xml:space="preserve">but is only offered off the Exchange, the percentage of the premium associated with abortion services </w:t>
      </w:r>
      <w:r w:rsidRPr="00EE3B6B" w:rsidR="00A96E02">
        <w:rPr>
          <w:rFonts w:ascii="Times New Roman" w:hAnsi="Times New Roman" w:cs="Times New Roman"/>
        </w:rPr>
        <w:t>for which public funding is prohibited may</w:t>
      </w:r>
      <w:r w:rsidRPr="00EE3B6B">
        <w:rPr>
          <w:rFonts w:ascii="Times New Roman" w:hAnsi="Times New Roman" w:cs="Times New Roman"/>
        </w:rPr>
        <w:t xml:space="preserve"> be included in the EHB percentage.  </w:t>
      </w:r>
    </w:p>
    <w:p w:rsidR="0009135B" w:rsidRPr="00EE3B6B" w:rsidP="00BF0E8E" w14:paraId="78D112A1" w14:textId="7FA2E0E1">
      <w:pPr>
        <w:keepLines/>
        <w:spacing w:after="120" w:line="276" w:lineRule="auto"/>
        <w:ind w:left="360"/>
        <w:rPr>
          <w:rFonts w:ascii="Times New Roman" w:hAnsi="Times New Roman" w:cs="Times New Roman"/>
        </w:rPr>
      </w:pPr>
      <w:r w:rsidRPr="00EE3B6B">
        <w:rPr>
          <w:rFonts w:ascii="Times New Roman" w:hAnsi="Times New Roman" w:cs="Times New Roman"/>
        </w:rPr>
        <w:t xml:space="preserve">For plans that include coverage of abortion services for which public funding is permitted </w:t>
      </w:r>
      <w:r w:rsidRPr="00EE3B6B" w:rsidR="00B168A9">
        <w:rPr>
          <w:rFonts w:ascii="Times New Roman" w:hAnsi="Times New Roman" w:cs="Times New Roman"/>
        </w:rPr>
        <w:t xml:space="preserve">and that is </w:t>
      </w:r>
      <w:r w:rsidRPr="00EE3B6B">
        <w:rPr>
          <w:rFonts w:ascii="Times New Roman" w:hAnsi="Times New Roman" w:cs="Times New Roman"/>
        </w:rPr>
        <w:t>offered in states where the benefits package of the EHB benchmark plan includes such abortion services, the plan should include the percentage of premium associated with these services in the EHB percentage.</w:t>
      </w:r>
    </w:p>
    <w:p w:rsidR="002043A0" w:rsidRPr="00EE3B6B" w:rsidP="00BF0E8E" w14:paraId="07C491D1" w14:textId="7966AB5E">
      <w:pPr>
        <w:keepLines/>
        <w:spacing w:after="120" w:line="276" w:lineRule="auto"/>
        <w:ind w:left="360"/>
        <w:rPr>
          <w:rFonts w:ascii="Times New Roman" w:hAnsi="Times New Roman" w:cs="Times New Roman"/>
        </w:rPr>
      </w:pPr>
      <w:r w:rsidRPr="00EE3B6B">
        <w:rPr>
          <w:rFonts w:ascii="Times New Roman" w:hAnsi="Times New Roman" w:cs="Times New Roman"/>
        </w:rPr>
        <w:t>For plans that include coverage of abortion services for which public funding is prohibited and that the plan is covering outside of the scope of the</w:t>
      </w:r>
      <w:r w:rsidRPr="00EE3B6B">
        <w:rPr>
          <w:rFonts w:ascii="Times New Roman" w:hAnsi="Times New Roman" w:cs="Times New Roman"/>
        </w:rPr>
        <w:t xml:space="preserve"> </w:t>
      </w:r>
      <w:r w:rsidRPr="00EE3B6B">
        <w:rPr>
          <w:rFonts w:ascii="Times New Roman" w:hAnsi="Times New Roman" w:cs="Times New Roman"/>
        </w:rPr>
        <w:t xml:space="preserve">state’s </w:t>
      </w:r>
      <w:r w:rsidRPr="00EE3B6B">
        <w:rPr>
          <w:rFonts w:ascii="Times New Roman" w:hAnsi="Times New Roman" w:cs="Times New Roman"/>
        </w:rPr>
        <w:t xml:space="preserve">EHB benchmark package, </w:t>
      </w:r>
      <w:r w:rsidRPr="00EE3B6B" w:rsidR="00731252">
        <w:rPr>
          <w:rFonts w:ascii="Times New Roman" w:hAnsi="Times New Roman" w:cs="Times New Roman"/>
        </w:rPr>
        <w:t xml:space="preserve">reflect </w:t>
      </w:r>
      <w:r w:rsidRPr="00EE3B6B">
        <w:rPr>
          <w:rFonts w:ascii="Times New Roman" w:hAnsi="Times New Roman" w:cs="Times New Roman"/>
        </w:rPr>
        <w:t xml:space="preserve">any </w:t>
      </w:r>
      <w:r w:rsidRPr="00EE3B6B" w:rsidR="00147227">
        <w:rPr>
          <w:rFonts w:ascii="Times New Roman" w:hAnsi="Times New Roman" w:cs="Times New Roman"/>
        </w:rPr>
        <w:t xml:space="preserve">such </w:t>
      </w:r>
      <w:r w:rsidRPr="00EE3B6B">
        <w:rPr>
          <w:rFonts w:ascii="Times New Roman" w:hAnsi="Times New Roman" w:cs="Times New Roman"/>
        </w:rPr>
        <w:t xml:space="preserve">covered abortion services </w:t>
      </w:r>
      <w:r w:rsidRPr="00EE3B6B" w:rsidR="00731252">
        <w:rPr>
          <w:rFonts w:ascii="Times New Roman" w:hAnsi="Times New Roman" w:cs="Times New Roman"/>
        </w:rPr>
        <w:t>as benefits in addition to EHB</w:t>
      </w:r>
      <w:r w:rsidRPr="00EE3B6B">
        <w:rPr>
          <w:rFonts w:ascii="Times New Roman" w:hAnsi="Times New Roman" w:cs="Times New Roman"/>
        </w:rPr>
        <w:t>.</w:t>
      </w:r>
    </w:p>
    <w:p w:rsidR="00B96397" w:rsidRPr="00EE3B6B" w:rsidP="006D1FD2" w14:paraId="1B1AC4FC" w14:textId="77777777">
      <w:pPr>
        <w:keepLines/>
        <w:spacing w:after="120" w:line="276" w:lineRule="auto"/>
        <w:rPr>
          <w:rFonts w:ascii="Times New Roman" w:hAnsi="Times New Roman" w:cs="Times New Roman"/>
        </w:rPr>
      </w:pPr>
      <w:r w:rsidRPr="00EE3B6B">
        <w:rPr>
          <w:rFonts w:ascii="Times New Roman" w:hAnsi="Times New Roman" w:cs="Times New Roman"/>
          <w:b/>
        </w:rPr>
        <w:t>Administrative Expense:</w:t>
      </w:r>
      <w:r w:rsidRPr="00EE3B6B" w:rsidR="007D4198">
        <w:rPr>
          <w:rFonts w:ascii="Times New Roman" w:hAnsi="Times New Roman" w:cs="Times New Roman"/>
        </w:rPr>
        <w:t xml:space="preserve"> </w:t>
      </w:r>
      <w:r w:rsidRPr="00EE3B6B" w:rsidR="00DC61B4">
        <w:rPr>
          <w:rFonts w:ascii="Times New Roman" w:hAnsi="Times New Roman" w:cs="Times New Roman"/>
        </w:rPr>
        <w:t xml:space="preserve">Enter the administrative expense portion of total administrative costs as a percent of the </w:t>
      </w:r>
      <w:r w:rsidRPr="00EE3B6B" w:rsidR="00E347D6">
        <w:rPr>
          <w:rFonts w:ascii="Times New Roman" w:hAnsi="Times New Roman" w:cs="Times New Roman"/>
        </w:rPr>
        <w:t>PAIR</w:t>
      </w:r>
      <w:r w:rsidRPr="00EE3B6B" w:rsidR="00DC61B4">
        <w:rPr>
          <w:rFonts w:ascii="Times New Roman" w:hAnsi="Times New Roman" w:cs="Times New Roman"/>
        </w:rPr>
        <w:t>.</w:t>
      </w:r>
    </w:p>
    <w:p w:rsidR="0045280B" w:rsidRPr="00EE3B6B" w:rsidP="006D1FD2" w14:paraId="6D03CB04" w14:textId="77777777">
      <w:pPr>
        <w:keepLines/>
        <w:spacing w:after="120" w:line="276" w:lineRule="auto"/>
        <w:rPr>
          <w:rFonts w:ascii="Times New Roman" w:hAnsi="Times New Roman" w:cs="Times New Roman"/>
        </w:rPr>
      </w:pPr>
      <w:r w:rsidRPr="00EE3B6B">
        <w:rPr>
          <w:rFonts w:ascii="Times New Roman" w:hAnsi="Times New Roman" w:cs="Times New Roman"/>
          <w:b/>
        </w:rPr>
        <w:t>Taxes and Fees:</w:t>
      </w:r>
      <w:r w:rsidRPr="00EE3B6B">
        <w:rPr>
          <w:rFonts w:ascii="Times New Roman" w:hAnsi="Times New Roman" w:cs="Times New Roman"/>
          <w:b/>
        </w:rPr>
        <w:t xml:space="preserve"> </w:t>
      </w:r>
      <w:r w:rsidRPr="00EE3B6B">
        <w:rPr>
          <w:rFonts w:ascii="Times New Roman" w:hAnsi="Times New Roman" w:cs="Times New Roman"/>
        </w:rPr>
        <w:t xml:space="preserve">Enter the taxes and fees </w:t>
      </w:r>
      <w:r w:rsidRPr="00EE3B6B" w:rsidR="00DC61B4">
        <w:rPr>
          <w:rFonts w:ascii="Times New Roman" w:hAnsi="Times New Roman" w:cs="Times New Roman"/>
        </w:rPr>
        <w:t xml:space="preserve">portion of total administrative costs as a percent of the </w:t>
      </w:r>
      <w:r w:rsidRPr="00EE3B6B" w:rsidR="00E347D6">
        <w:rPr>
          <w:rFonts w:ascii="Times New Roman" w:hAnsi="Times New Roman" w:cs="Times New Roman"/>
        </w:rPr>
        <w:t>PAIR</w:t>
      </w:r>
      <w:r w:rsidRPr="00EE3B6B" w:rsidR="00DC61B4">
        <w:rPr>
          <w:rFonts w:ascii="Times New Roman" w:hAnsi="Times New Roman" w:cs="Times New Roman"/>
        </w:rPr>
        <w:t>.</w:t>
      </w:r>
    </w:p>
    <w:p w:rsidR="00471D6C" w:rsidRPr="00EE3B6B" w:rsidP="00BF0E8E" w14:paraId="45903FA1" w14:textId="77777777">
      <w:pPr>
        <w:keepLines/>
        <w:spacing w:after="120" w:line="276" w:lineRule="auto"/>
        <w:ind w:left="360"/>
        <w:rPr>
          <w:rFonts w:ascii="Times New Roman" w:hAnsi="Times New Roman" w:cs="Times New Roman"/>
          <w:b/>
        </w:rPr>
      </w:pPr>
      <w:r w:rsidRPr="00EE3B6B">
        <w:rPr>
          <w:rFonts w:ascii="Times New Roman" w:hAnsi="Times New Roman" w:cs="Times New Roman"/>
        </w:rPr>
        <w:t xml:space="preserve">Exchange user fees should not be included in this percent, as those are already accounted for in the </w:t>
      </w:r>
      <w:r w:rsidRPr="00EE3B6B" w:rsidR="00E347D6">
        <w:rPr>
          <w:rFonts w:ascii="Times New Roman" w:hAnsi="Times New Roman" w:cs="Times New Roman"/>
        </w:rPr>
        <w:t>MAIR</w:t>
      </w:r>
      <w:r w:rsidRPr="00EE3B6B">
        <w:rPr>
          <w:rFonts w:ascii="Times New Roman" w:hAnsi="Times New Roman" w:cs="Times New Roman"/>
        </w:rPr>
        <w:t>.</w:t>
      </w:r>
    </w:p>
    <w:p w:rsidR="00311EAB" w:rsidRPr="00EE3B6B" w:rsidP="006D1FD2" w14:paraId="49E5E1F9" w14:textId="77777777">
      <w:pPr>
        <w:keepLines/>
        <w:spacing w:after="120" w:line="276" w:lineRule="auto"/>
        <w:rPr>
          <w:rFonts w:ascii="Times New Roman" w:hAnsi="Times New Roman" w:cs="Times New Roman"/>
        </w:rPr>
      </w:pPr>
      <w:r w:rsidRPr="00EE3B6B">
        <w:rPr>
          <w:rFonts w:ascii="Times New Roman" w:hAnsi="Times New Roman" w:cs="Times New Roman"/>
          <w:b/>
        </w:rPr>
        <w:t>Profit &amp; Risk Load:</w:t>
      </w:r>
      <w:r w:rsidRPr="00EE3B6B" w:rsidR="0045280B">
        <w:rPr>
          <w:rFonts w:ascii="Times New Roman" w:hAnsi="Times New Roman" w:cs="Times New Roman"/>
          <w:b/>
        </w:rPr>
        <w:t xml:space="preserve"> </w:t>
      </w:r>
      <w:r w:rsidRPr="00EE3B6B" w:rsidR="0045280B">
        <w:rPr>
          <w:rFonts w:ascii="Times New Roman" w:hAnsi="Times New Roman" w:cs="Times New Roman"/>
        </w:rPr>
        <w:t xml:space="preserve">Enter the profit and risk load </w:t>
      </w:r>
      <w:r w:rsidRPr="00EE3B6B" w:rsidR="001B5948">
        <w:rPr>
          <w:rFonts w:ascii="Times New Roman" w:hAnsi="Times New Roman" w:cs="Times New Roman"/>
        </w:rPr>
        <w:t xml:space="preserve">portion of total administrative expense as a percent of the </w:t>
      </w:r>
      <w:r w:rsidRPr="00EE3B6B" w:rsidR="00E347D6">
        <w:rPr>
          <w:rFonts w:ascii="Times New Roman" w:hAnsi="Times New Roman" w:cs="Times New Roman"/>
        </w:rPr>
        <w:t>PAIR</w:t>
      </w:r>
      <w:r w:rsidRPr="00EE3B6B" w:rsidR="001B5948">
        <w:rPr>
          <w:rFonts w:ascii="Times New Roman" w:hAnsi="Times New Roman" w:cs="Times New Roman"/>
        </w:rPr>
        <w:t>.</w:t>
      </w:r>
    </w:p>
    <w:p w:rsidR="00BF0E8E" w:rsidP="00BF0E8E" w14:paraId="3F04F986" w14:textId="77777777">
      <w:pPr>
        <w:keepLines/>
        <w:spacing w:after="120" w:line="276" w:lineRule="auto"/>
        <w:rPr>
          <w:rFonts w:ascii="Times New Roman" w:hAnsi="Times New Roman" w:cs="Times New Roman"/>
        </w:rPr>
      </w:pPr>
      <w:r w:rsidRPr="00EE3B6B">
        <w:rPr>
          <w:rFonts w:ascii="Times New Roman" w:hAnsi="Times New Roman" w:cs="Times New Roman"/>
          <w:b/>
        </w:rPr>
        <w:t>C</w:t>
      </w:r>
      <w:r w:rsidRPr="00EE3B6B" w:rsidR="00471D6C">
        <w:rPr>
          <w:rFonts w:ascii="Times New Roman" w:hAnsi="Times New Roman" w:cs="Times New Roman"/>
          <w:b/>
        </w:rPr>
        <w:t>atastrophic Adjustment:</w:t>
      </w:r>
      <w:r w:rsidRPr="00EE3B6B">
        <w:rPr>
          <w:rFonts w:ascii="Times New Roman" w:hAnsi="Times New Roman" w:cs="Times New Roman"/>
        </w:rPr>
        <w:t xml:space="preserve"> For catastrophic plans only, </w:t>
      </w:r>
      <w:r w:rsidRPr="00EE3B6B" w:rsidR="001B5948">
        <w:rPr>
          <w:rFonts w:ascii="Times New Roman" w:hAnsi="Times New Roman" w:cs="Times New Roman"/>
        </w:rPr>
        <w:t>enter the allowable adjustment for the expected eligibility categories for the plans. For non-catastrophic plans, enter a value of 1.0.</w:t>
      </w:r>
    </w:p>
    <w:p w:rsidR="00E737B5" w:rsidRPr="00EE3B6B" w:rsidP="00BF0E8E" w14:paraId="0A6FFD0D" w14:textId="790E9206">
      <w:pPr>
        <w:keepLines/>
        <w:spacing w:after="120" w:line="276" w:lineRule="auto"/>
        <w:rPr>
          <w:rFonts w:ascii="Times New Roman" w:hAnsi="Times New Roman" w:cs="Times New Roman"/>
        </w:rPr>
      </w:pPr>
      <w:r w:rsidRPr="00EE3B6B">
        <w:rPr>
          <w:rFonts w:ascii="Times New Roman" w:hAnsi="Times New Roman" w:cs="Times New Roman"/>
        </w:rPr>
        <w:t>I</w:t>
      </w:r>
      <w:r w:rsidRPr="00EE3B6B">
        <w:rPr>
          <w:rFonts w:ascii="Times New Roman" w:hAnsi="Times New Roman" w:cs="Times New Roman"/>
        </w:rPr>
        <w:t xml:space="preserve">ssuers may consider the expected impact of specific eligibility categories for </w:t>
      </w:r>
      <w:r w:rsidRPr="00EE3B6B" w:rsidR="001B5948">
        <w:rPr>
          <w:rFonts w:ascii="Times New Roman" w:hAnsi="Times New Roman" w:cs="Times New Roman"/>
        </w:rPr>
        <w:t>catastrophic</w:t>
      </w:r>
      <w:r w:rsidRPr="00EE3B6B">
        <w:rPr>
          <w:rFonts w:ascii="Times New Roman" w:hAnsi="Times New Roman" w:cs="Times New Roman"/>
        </w:rPr>
        <w:t xml:space="preserve"> plans. No adjustment is allowed on metal plans (platinum, gold, silver, or bronze) </w:t>
      </w:r>
      <w:r w:rsidRPr="00EE3B6B" w:rsidR="00E347D6">
        <w:rPr>
          <w:rFonts w:ascii="Times New Roman" w:hAnsi="Times New Roman" w:cs="Times New Roman"/>
        </w:rPr>
        <w:t xml:space="preserve">or the single risk pool index rate </w:t>
      </w:r>
      <w:r w:rsidRPr="00EE3B6B">
        <w:rPr>
          <w:rFonts w:ascii="Times New Roman" w:hAnsi="Times New Roman" w:cs="Times New Roman"/>
        </w:rPr>
        <w:t xml:space="preserve">to account for a catastrophic plan adjustment. In other words, an issuer may not lower the rates of catastrophic plans due to an expectation that healthier members will choose these plans, then make up the revenue shortfall for this adjustment by increasing rates on the metal tier plans. While a separate plan-level adjustment is permitted for catastrophic members, catastrophic plan experience must be included in the single risk pool. Permitting an adjustment to metal plans to account for the catastrophic plan adjustment effectively </w:t>
      </w:r>
      <w:r w:rsidRPr="00EE3B6B" w:rsidR="00311EAB">
        <w:rPr>
          <w:rFonts w:ascii="Times New Roman" w:hAnsi="Times New Roman" w:cs="Times New Roman"/>
        </w:rPr>
        <w:t xml:space="preserve">excludes </w:t>
      </w:r>
      <w:r w:rsidRPr="00EE3B6B">
        <w:rPr>
          <w:rFonts w:ascii="Times New Roman" w:hAnsi="Times New Roman" w:cs="Times New Roman"/>
        </w:rPr>
        <w:t xml:space="preserve">catastrophic plan experience from the single risk pool, which is not consistent with the single risk pool provision. In addition, the catastrophic adjustment should not duplicate the impact of age that is reflected by application of the standard age curve to the </w:t>
      </w:r>
      <w:r w:rsidRPr="00EE3B6B" w:rsidR="00E347D6">
        <w:rPr>
          <w:rFonts w:ascii="Times New Roman" w:hAnsi="Times New Roman" w:cs="Times New Roman"/>
        </w:rPr>
        <w:t>C</w:t>
      </w:r>
      <w:r w:rsidRPr="00EE3B6B">
        <w:rPr>
          <w:rFonts w:ascii="Times New Roman" w:hAnsi="Times New Roman" w:cs="Times New Roman"/>
        </w:rPr>
        <w:t xml:space="preserve">alibrated </w:t>
      </w:r>
      <w:r w:rsidRPr="00EE3B6B" w:rsidR="00C66220">
        <w:rPr>
          <w:rFonts w:ascii="Times New Roman" w:hAnsi="Times New Roman" w:cs="Times New Roman"/>
        </w:rPr>
        <w:t>Plan Adjusted Index Rate</w:t>
      </w:r>
      <w:r w:rsidRPr="00EE3B6B">
        <w:rPr>
          <w:rFonts w:ascii="Times New Roman" w:hAnsi="Times New Roman" w:cs="Times New Roman"/>
        </w:rPr>
        <w:t>.</w:t>
      </w:r>
    </w:p>
    <w:p w:rsidR="00B45921" w:rsidRPr="00EE3B6B" w:rsidP="006D1FD2" w14:paraId="054B9AD1" w14:textId="77777777">
      <w:pPr>
        <w:keepLines/>
        <w:spacing w:after="120" w:line="276" w:lineRule="auto"/>
        <w:rPr>
          <w:rFonts w:ascii="Times New Roman" w:hAnsi="Times New Roman" w:cs="Times New Roman"/>
        </w:rPr>
      </w:pPr>
      <w:r w:rsidRPr="00EE3B6B">
        <w:rPr>
          <w:rFonts w:ascii="Times New Roman" w:hAnsi="Times New Roman" w:cs="Times New Roman"/>
          <w:b/>
        </w:rPr>
        <w:t>Plan Adjusted Index Rate</w:t>
      </w:r>
      <w:r w:rsidRPr="00EE3B6B" w:rsidR="00471D6C">
        <w:rPr>
          <w:rFonts w:ascii="Times New Roman" w:hAnsi="Times New Roman" w:cs="Times New Roman"/>
          <w:b/>
        </w:rPr>
        <w:t>:</w:t>
      </w:r>
      <w:r w:rsidRPr="00EE3B6B">
        <w:rPr>
          <w:rFonts w:ascii="Times New Roman" w:hAnsi="Times New Roman" w:cs="Times New Roman"/>
          <w:b/>
        </w:rPr>
        <w:t xml:space="preserve"> </w:t>
      </w:r>
      <w:r w:rsidRPr="00EE3B6B" w:rsidR="001B5948">
        <w:rPr>
          <w:rFonts w:ascii="Times New Roman" w:hAnsi="Times New Roman" w:cs="Times New Roman"/>
        </w:rPr>
        <w:t xml:space="preserve">This field is </w:t>
      </w:r>
      <w:r w:rsidRPr="00EE3B6B" w:rsidR="00405E18">
        <w:rPr>
          <w:rFonts w:ascii="Times New Roman" w:hAnsi="Times New Roman" w:cs="Times New Roman"/>
        </w:rPr>
        <w:t xml:space="preserve">automatically </w:t>
      </w:r>
      <w:r w:rsidRPr="00EE3B6B" w:rsidR="001B5948">
        <w:rPr>
          <w:rFonts w:ascii="Times New Roman" w:hAnsi="Times New Roman" w:cs="Times New Roman"/>
        </w:rPr>
        <w:t xml:space="preserve">calculated in the spreadsheet by applying the permitted plan-level adjustments to the </w:t>
      </w:r>
      <w:r w:rsidRPr="00EE3B6B" w:rsidR="00E347D6">
        <w:rPr>
          <w:rFonts w:ascii="Times New Roman" w:hAnsi="Times New Roman" w:cs="Times New Roman"/>
        </w:rPr>
        <w:t>MAIR</w:t>
      </w:r>
      <w:r w:rsidRPr="00EE3B6B">
        <w:rPr>
          <w:rFonts w:ascii="Times New Roman" w:hAnsi="Times New Roman" w:cs="Times New Roman"/>
        </w:rPr>
        <w:t>.</w:t>
      </w:r>
    </w:p>
    <w:p w:rsidR="00471D6C" w:rsidRPr="00EE3B6B" w:rsidP="006D1FD2" w14:paraId="407EF527" w14:textId="77777777">
      <w:pPr>
        <w:keepLines/>
        <w:spacing w:after="120" w:line="276" w:lineRule="auto"/>
        <w:rPr>
          <w:rFonts w:ascii="Times New Roman" w:hAnsi="Times New Roman" w:cs="Times New Roman"/>
        </w:rPr>
      </w:pPr>
      <w:r w:rsidRPr="00EE3B6B">
        <w:rPr>
          <w:rFonts w:ascii="Times New Roman" w:hAnsi="Times New Roman" w:cs="Times New Roman"/>
          <w:b/>
        </w:rPr>
        <w:t>Age Calibration Factor:</w:t>
      </w:r>
      <w:r w:rsidRPr="00EE3B6B" w:rsidR="00587169">
        <w:rPr>
          <w:rFonts w:ascii="Times New Roman" w:hAnsi="Times New Roman" w:cs="Times New Roman"/>
        </w:rPr>
        <w:t xml:space="preserve"> Enter the appropriate age calibration factor</w:t>
      </w:r>
      <w:r w:rsidRPr="00EE3B6B" w:rsidR="00D81B33">
        <w:rPr>
          <w:rFonts w:ascii="Times New Roman" w:hAnsi="Times New Roman" w:cs="Times New Roman"/>
        </w:rPr>
        <w:t xml:space="preserve"> to calibrate the issuer’s actual population to an age rating factor of 1.0 so that multiplying by the appropriate age rating factor will result in the correct premium rate for a member of that age.</w:t>
      </w:r>
    </w:p>
    <w:p w:rsidR="00B96E02" w:rsidRPr="00EE3B6B" w:rsidP="00BF0E8E" w14:paraId="618FBFF8" w14:textId="77777777">
      <w:pPr>
        <w:keepLines/>
        <w:spacing w:after="120" w:line="276" w:lineRule="auto"/>
        <w:ind w:left="360"/>
        <w:rPr>
          <w:rFonts w:ascii="Times New Roman" w:hAnsi="Times New Roman" w:cs="Times New Roman"/>
        </w:rPr>
      </w:pPr>
      <w:r w:rsidRPr="00EE3B6B">
        <w:rPr>
          <w:rFonts w:ascii="Times New Roman" w:hAnsi="Times New Roman" w:cs="Times New Roman"/>
        </w:rPr>
        <w:t xml:space="preserve">Note the URRT multiplies the </w:t>
      </w:r>
      <w:r w:rsidRPr="00EE3B6B" w:rsidR="00E347D6">
        <w:rPr>
          <w:rFonts w:ascii="Times New Roman" w:hAnsi="Times New Roman" w:cs="Times New Roman"/>
        </w:rPr>
        <w:t xml:space="preserve">PAIR </w:t>
      </w:r>
      <w:r w:rsidRPr="00EE3B6B">
        <w:rPr>
          <w:rFonts w:ascii="Times New Roman" w:hAnsi="Times New Roman" w:cs="Times New Roman"/>
        </w:rPr>
        <w:t>by the age calibration factors, so issuers should be sure the calibration is entered as a multiplicative factor.</w:t>
      </w:r>
    </w:p>
    <w:p w:rsidR="00E737B5" w:rsidRPr="00EE3B6B" w:rsidP="00BF0E8E" w14:paraId="62C46F06" w14:textId="77777777">
      <w:pPr>
        <w:keepLines/>
        <w:spacing w:after="120" w:line="276" w:lineRule="auto"/>
        <w:ind w:left="360"/>
        <w:rPr>
          <w:rFonts w:ascii="Times New Roman" w:hAnsi="Times New Roman" w:cs="Times New Roman"/>
        </w:rPr>
      </w:pPr>
      <w:r w:rsidRPr="00EE3B6B">
        <w:rPr>
          <w:rFonts w:ascii="Times New Roman" w:hAnsi="Times New Roman" w:cs="Times New Roman"/>
        </w:rPr>
        <w:t xml:space="preserve">CMS will allow for the application of a factor of zero (0) for the distribution of members expected to pay no premium when developing the age </w:t>
      </w:r>
      <w:r w:rsidRPr="00EE3B6B" w:rsidR="00EF7C1E">
        <w:rPr>
          <w:rFonts w:ascii="Times New Roman" w:hAnsi="Times New Roman" w:cs="Times New Roman"/>
        </w:rPr>
        <w:t xml:space="preserve">calibration factor </w:t>
      </w:r>
      <w:r w:rsidRPr="00EE3B6B">
        <w:rPr>
          <w:rFonts w:ascii="Times New Roman" w:hAnsi="Times New Roman" w:cs="Times New Roman"/>
        </w:rPr>
        <w:t xml:space="preserve">in </w:t>
      </w:r>
      <w:r w:rsidRPr="00EE3B6B" w:rsidR="00A52393">
        <w:rPr>
          <w:rFonts w:ascii="Times New Roman" w:hAnsi="Times New Roman" w:cs="Times New Roman"/>
        </w:rPr>
        <w:t>s</w:t>
      </w:r>
      <w:r w:rsidRPr="00EE3B6B">
        <w:rPr>
          <w:rFonts w:ascii="Times New Roman" w:hAnsi="Times New Roman" w:cs="Times New Roman"/>
        </w:rPr>
        <w:t xml:space="preserve">tates that follow the standard CMS age curve to account for the lost revenue due to the three under age 21 child dependent cap. While CMS is allowing this methodology, </w:t>
      </w:r>
      <w:r w:rsidRPr="00EE3B6B" w:rsidR="00A52393">
        <w:rPr>
          <w:rFonts w:ascii="Times New Roman" w:hAnsi="Times New Roman" w:cs="Times New Roman"/>
        </w:rPr>
        <w:t>s</w:t>
      </w:r>
      <w:r w:rsidRPr="00EE3B6B">
        <w:rPr>
          <w:rFonts w:ascii="Times New Roman" w:hAnsi="Times New Roman" w:cs="Times New Roman"/>
        </w:rPr>
        <w:t>tates with an Effective Rate Review Program that follow the standard CMS age curve may choose to allow or disallow this practice.</w:t>
      </w:r>
    </w:p>
    <w:p w:rsidR="00E737B5" w:rsidRPr="00EE3B6B" w:rsidP="00BF0E8E" w14:paraId="24E42288" w14:textId="2994AF69">
      <w:pPr>
        <w:keepLines/>
        <w:spacing w:after="120" w:line="276" w:lineRule="auto"/>
        <w:ind w:left="360"/>
        <w:rPr>
          <w:rFonts w:ascii="Times New Roman" w:hAnsi="Times New Roman" w:cs="Times New Roman"/>
        </w:rPr>
      </w:pPr>
      <w:r w:rsidRPr="00EE3B6B">
        <w:rPr>
          <w:rFonts w:ascii="Times New Roman" w:hAnsi="Times New Roman" w:cs="Times New Roman"/>
        </w:rPr>
        <w:t xml:space="preserve">Some </w:t>
      </w:r>
      <w:r w:rsidRPr="00EE3B6B" w:rsidR="00A52393">
        <w:rPr>
          <w:rFonts w:ascii="Times New Roman" w:hAnsi="Times New Roman" w:cs="Times New Roman"/>
        </w:rPr>
        <w:t>s</w:t>
      </w:r>
      <w:r w:rsidRPr="00EE3B6B">
        <w:rPr>
          <w:rFonts w:ascii="Times New Roman" w:hAnsi="Times New Roman" w:cs="Times New Roman"/>
        </w:rPr>
        <w:t xml:space="preserve">tates have established their own age curves that are different from the standard CMS age curve. In this case, issuers should check with their </w:t>
      </w:r>
      <w:r w:rsidRPr="00EE3B6B" w:rsidR="00A52393">
        <w:rPr>
          <w:rFonts w:ascii="Times New Roman" w:hAnsi="Times New Roman" w:cs="Times New Roman"/>
        </w:rPr>
        <w:t>s</w:t>
      </w:r>
      <w:r w:rsidRPr="00EE3B6B">
        <w:rPr>
          <w:rFonts w:ascii="Times New Roman" w:hAnsi="Times New Roman" w:cs="Times New Roman"/>
        </w:rPr>
        <w:t>tate regulators to determine if applying a factor of zero (0) for the distribution of members expected to pay no premium is an appropriate and allowable adjustment for the three under age 21 child dependent cap.</w:t>
      </w:r>
    </w:p>
    <w:p w:rsidR="00E737B5" w:rsidRPr="00EE3B6B" w:rsidP="00BF0E8E" w14:paraId="5F0D7DB7" w14:textId="77777777">
      <w:pPr>
        <w:keepLines/>
        <w:spacing w:after="120" w:line="276" w:lineRule="auto"/>
        <w:ind w:left="360"/>
        <w:rPr>
          <w:rFonts w:ascii="Times New Roman" w:hAnsi="Times New Roman" w:cs="Times New Roman"/>
        </w:rPr>
      </w:pPr>
      <w:r w:rsidRPr="00EE3B6B">
        <w:rPr>
          <w:rFonts w:ascii="Times New Roman" w:hAnsi="Times New Roman" w:cs="Times New Roman"/>
        </w:rPr>
        <w:t>Issuers must provide a detailed explanation of the methodology used in the calibration to the age curve. Specifically, issuers should describe the factors used in the determination of the age</w:t>
      </w:r>
      <w:r w:rsidRPr="00EE3B6B" w:rsidR="00EF7C1E">
        <w:rPr>
          <w:rFonts w:ascii="Times New Roman" w:hAnsi="Times New Roman" w:cs="Times New Roman"/>
        </w:rPr>
        <w:t xml:space="preserve"> calibration factor</w:t>
      </w:r>
      <w:r w:rsidRPr="00EE3B6B">
        <w:rPr>
          <w:rFonts w:ascii="Times New Roman" w:hAnsi="Times New Roman" w:cs="Times New Roman"/>
        </w:rPr>
        <w:t>, a description of the data used to weight the factors, and a description of the exact calculation. Issuers will need to provide actuarial justification that the methodology employed in the calculation of the average age and the calibration to the age curve complies with the standard age curve methodology.</w:t>
      </w:r>
    </w:p>
    <w:p w:rsidR="003840B6" w:rsidRPr="00EE3B6B" w:rsidP="00BF0E8E" w14:paraId="7FBAB54C" w14:textId="561461AC">
      <w:pPr>
        <w:keepLines/>
        <w:spacing w:after="120" w:line="276" w:lineRule="auto"/>
        <w:ind w:left="360"/>
        <w:rPr>
          <w:rFonts w:ascii="Times New Roman" w:hAnsi="Times New Roman" w:cs="Times New Roman"/>
        </w:rPr>
      </w:pPr>
      <w:r w:rsidRPr="00EE3B6B">
        <w:rPr>
          <w:rFonts w:ascii="Times New Roman" w:hAnsi="Times New Roman" w:cs="Times New Roman"/>
        </w:rPr>
        <w:t xml:space="preserve">Include a demonstration of how the </w:t>
      </w:r>
      <w:r w:rsidRPr="00EE3B6B" w:rsidR="00EF7C1E">
        <w:rPr>
          <w:rFonts w:ascii="Times New Roman" w:hAnsi="Times New Roman" w:cs="Times New Roman"/>
        </w:rPr>
        <w:t>PAIR</w:t>
      </w:r>
      <w:r w:rsidRPr="00EE3B6B">
        <w:rPr>
          <w:rFonts w:ascii="Times New Roman" w:hAnsi="Times New Roman" w:cs="Times New Roman"/>
        </w:rPr>
        <w:t xml:space="preserve"> and the age curve are used to generate the schedule of premium rates for each plan. Note that the age curve calibration adjustment is not plan specific. In other words, the same age curve calibration must be applied to all plans in the projected single risk pool.</w:t>
      </w:r>
      <w:r w:rsidRPr="00EE3B6B">
        <w:rPr>
          <w:rFonts w:ascii="Times New Roman" w:hAnsi="Times New Roman" w:cs="Times New Roman"/>
          <w:noProof/>
        </w:rPr>
        <mc:AlternateContent>
          <mc:Choice Requires="wps">
            <w:drawing>
              <wp:anchor distT="45720" distB="45720" distL="114300" distR="114300" simplePos="0" relativeHeight="251680768" behindDoc="0" locked="1" layoutInCell="1" allowOverlap="1">
                <wp:simplePos x="0" y="0"/>
                <wp:positionH relativeFrom="margin">
                  <wp:posOffset>51435</wp:posOffset>
                </wp:positionH>
                <wp:positionV relativeFrom="margin">
                  <wp:posOffset>806450</wp:posOffset>
                </wp:positionV>
                <wp:extent cx="5989320" cy="484505"/>
                <wp:effectExtent l="0" t="0" r="11430" b="10795"/>
                <wp:wrapSquare wrapText="bothSides"/>
                <wp:docPr id="27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89320" cy="484505"/>
                        </a:xfrm>
                        <a:prstGeom prst="rect">
                          <a:avLst/>
                        </a:prstGeom>
                        <a:solidFill>
                          <a:schemeClr val="bg1">
                            <a:lumMod val="85000"/>
                          </a:schemeClr>
                        </a:solidFill>
                        <a:ln w="9525">
                          <a:solidFill>
                            <a:srgbClr val="000000"/>
                          </a:solidFill>
                          <a:miter lim="800000"/>
                          <a:headEnd/>
                          <a:tailEnd/>
                        </a:ln>
                      </wps:spPr>
                      <wps:txbx>
                        <w:txbxContent>
                          <w:p w:rsidR="00D33AE9" w:rsidRPr="00BF0E8E" w:rsidP="003840B6" w14:textId="5012F595">
                            <w:pPr>
                              <w:rPr>
                                <w:rFonts w:ascii="Times New Roman" w:hAnsi="Times New Roman" w:cs="Times New Roman"/>
                                <w:color w:val="323E4F" w:themeColor="text2" w:themeShade="BF"/>
                              </w:rPr>
                            </w:pPr>
                            <w:r w:rsidRPr="00BF0E8E">
                              <w:rPr>
                                <w:rFonts w:ascii="Times New Roman" w:hAnsi="Times New Roman" w:cs="Times New Roman"/>
                                <w:b/>
                                <w:color w:val="323E4F" w:themeColor="text2" w:themeShade="BF"/>
                                <w:u w:val="single"/>
                              </w:rPr>
                              <w:t>Tip:</w:t>
                            </w:r>
                            <w:r w:rsidRPr="00BF0E8E">
                              <w:rPr>
                                <w:rFonts w:ascii="Times New Roman" w:hAnsi="Times New Roman" w:cs="Times New Roman"/>
                                <w:color w:val="323E4F" w:themeColor="text2" w:themeShade="BF"/>
                              </w:rPr>
                              <w:t xml:space="preserve"> The age curve is not linear. Attempts to treat it as such when performing the age curve calibration will likely result in unexpected results.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7" type="#_x0000_t202" style="width:471.6pt;height:38.15pt;margin-top:63.5pt;margin-left:4.05pt;mso-height-percent:0;mso-height-relative:margin;mso-position-horizontal-relative:margin;mso-position-vertical-relative:margin;mso-width-percent:0;mso-width-relative:margin;mso-wrap-distance-bottom:3.6pt;mso-wrap-distance-left:9pt;mso-wrap-distance-right:9pt;mso-wrap-distance-top:3.6pt;mso-wrap-style:square;position:absolute;visibility:visible;v-text-anchor:top;z-index:251681792" fillcolor="#d8d8d8">
                <v:textbox>
                  <w:txbxContent>
                    <w:p w:rsidR="00D33AE9" w:rsidRPr="00BF0E8E" w:rsidP="003840B6" w14:paraId="710A519E" w14:textId="5012F595">
                      <w:pPr>
                        <w:rPr>
                          <w:rFonts w:ascii="Times New Roman" w:hAnsi="Times New Roman" w:cs="Times New Roman"/>
                          <w:color w:val="323E4F" w:themeColor="text2" w:themeShade="BF"/>
                        </w:rPr>
                      </w:pPr>
                      <w:r w:rsidRPr="00BF0E8E">
                        <w:rPr>
                          <w:rFonts w:ascii="Times New Roman" w:hAnsi="Times New Roman" w:cs="Times New Roman"/>
                          <w:b/>
                          <w:color w:val="323E4F" w:themeColor="text2" w:themeShade="BF"/>
                          <w:u w:val="single"/>
                        </w:rPr>
                        <w:t>Tip:</w:t>
                      </w:r>
                      <w:r w:rsidRPr="00BF0E8E">
                        <w:rPr>
                          <w:rFonts w:ascii="Times New Roman" w:hAnsi="Times New Roman" w:cs="Times New Roman"/>
                          <w:color w:val="323E4F" w:themeColor="text2" w:themeShade="BF"/>
                        </w:rPr>
                        <w:t xml:space="preserve"> The age curve is not linear. Attempts to treat it as such when performing the age curve calibration will likely result in unexpected results.</w:t>
                      </w:r>
                    </w:p>
                  </w:txbxContent>
                </v:textbox>
                <w10:wrap type="square"/>
                <w10:anchorlock/>
              </v:shape>
            </w:pict>
          </mc:Fallback>
        </mc:AlternateContent>
      </w:r>
    </w:p>
    <w:p w:rsidR="00E737B5" w:rsidRPr="00EE3B6B" w:rsidP="006D1FD2" w14:paraId="51515CAB" w14:textId="77777777">
      <w:pPr>
        <w:keepLines/>
        <w:spacing w:after="120" w:line="276" w:lineRule="auto"/>
        <w:rPr>
          <w:rFonts w:ascii="Times New Roman" w:hAnsi="Times New Roman" w:cs="Times New Roman"/>
        </w:rPr>
      </w:pPr>
      <w:r w:rsidRPr="00EE3B6B">
        <w:rPr>
          <w:rFonts w:ascii="Times New Roman" w:hAnsi="Times New Roman" w:cs="Times New Roman"/>
          <w:b/>
        </w:rPr>
        <w:t>Geographic Calibration</w:t>
      </w:r>
      <w:r w:rsidRPr="00EE3B6B" w:rsidR="00EB10C9">
        <w:rPr>
          <w:rFonts w:ascii="Times New Roman" w:hAnsi="Times New Roman" w:cs="Times New Roman"/>
          <w:b/>
        </w:rPr>
        <w:t xml:space="preserve"> Factor</w:t>
      </w:r>
      <w:r w:rsidRPr="00EE3B6B" w:rsidR="00B96E02">
        <w:rPr>
          <w:rFonts w:ascii="Times New Roman" w:hAnsi="Times New Roman" w:cs="Times New Roman"/>
          <w:b/>
        </w:rPr>
        <w:t>:</w:t>
      </w:r>
      <w:r w:rsidRPr="00EE3B6B" w:rsidR="00B96E02">
        <w:rPr>
          <w:rFonts w:ascii="Times New Roman" w:hAnsi="Times New Roman" w:cs="Times New Roman"/>
        </w:rPr>
        <w:t xml:space="preserve"> Enter the appropriate geographic calibration factor to calibrate the issuer’s actual population to </w:t>
      </w:r>
      <w:r w:rsidRPr="00EE3B6B" w:rsidR="002056E0">
        <w:rPr>
          <w:rFonts w:ascii="Times New Roman" w:hAnsi="Times New Roman" w:cs="Times New Roman"/>
        </w:rPr>
        <w:t>a</w:t>
      </w:r>
      <w:r w:rsidRPr="00EE3B6B" w:rsidR="00B96E02">
        <w:rPr>
          <w:rFonts w:ascii="Times New Roman" w:hAnsi="Times New Roman" w:cs="Times New Roman"/>
        </w:rPr>
        <w:t xml:space="preserve"> </w:t>
      </w:r>
      <w:r w:rsidRPr="00EE3B6B" w:rsidR="00C74022">
        <w:rPr>
          <w:rFonts w:ascii="Times New Roman" w:hAnsi="Times New Roman" w:cs="Times New Roman"/>
        </w:rPr>
        <w:t>geographic</w:t>
      </w:r>
      <w:r w:rsidRPr="00EE3B6B" w:rsidR="00B96E02">
        <w:rPr>
          <w:rFonts w:ascii="Times New Roman" w:hAnsi="Times New Roman" w:cs="Times New Roman"/>
        </w:rPr>
        <w:t xml:space="preserve"> rating factor of 1.0 so that multiplying by the appropriate </w:t>
      </w:r>
      <w:r w:rsidRPr="00EE3B6B" w:rsidR="00C74022">
        <w:rPr>
          <w:rFonts w:ascii="Times New Roman" w:hAnsi="Times New Roman" w:cs="Times New Roman"/>
        </w:rPr>
        <w:t>geographic area</w:t>
      </w:r>
      <w:r w:rsidRPr="00EE3B6B" w:rsidR="00B96E02">
        <w:rPr>
          <w:rFonts w:ascii="Times New Roman" w:hAnsi="Times New Roman" w:cs="Times New Roman"/>
        </w:rPr>
        <w:t xml:space="preserve"> rating factor will result in the correct premium rate for a memb</w:t>
      </w:r>
      <w:r w:rsidRPr="00EE3B6B" w:rsidR="00C74022">
        <w:rPr>
          <w:rFonts w:ascii="Times New Roman" w:hAnsi="Times New Roman" w:cs="Times New Roman"/>
        </w:rPr>
        <w:t>er (</w:t>
      </w:r>
      <w:r w:rsidRPr="00EE3B6B" w:rsidR="002056E0">
        <w:rPr>
          <w:rFonts w:ascii="Times New Roman" w:hAnsi="Times New Roman" w:cs="Times New Roman"/>
        </w:rPr>
        <w:t xml:space="preserve">individual </w:t>
      </w:r>
      <w:r w:rsidRPr="00EE3B6B" w:rsidR="00C74022">
        <w:rPr>
          <w:rFonts w:ascii="Times New Roman" w:hAnsi="Times New Roman" w:cs="Times New Roman"/>
        </w:rPr>
        <w:t xml:space="preserve">or </w:t>
      </w:r>
      <w:r w:rsidRPr="00EE3B6B" w:rsidR="002056E0">
        <w:rPr>
          <w:rFonts w:ascii="Times New Roman" w:hAnsi="Times New Roman" w:cs="Times New Roman"/>
        </w:rPr>
        <w:t xml:space="preserve">enrolled with a </w:t>
      </w:r>
      <w:r w:rsidRPr="00EE3B6B" w:rsidR="00C74022">
        <w:rPr>
          <w:rFonts w:ascii="Times New Roman" w:hAnsi="Times New Roman" w:cs="Times New Roman"/>
        </w:rPr>
        <w:t>group) located in that rating area</w:t>
      </w:r>
      <w:r w:rsidRPr="00EE3B6B" w:rsidR="00B96E02">
        <w:rPr>
          <w:rFonts w:ascii="Times New Roman" w:hAnsi="Times New Roman" w:cs="Times New Roman"/>
        </w:rPr>
        <w:t>.</w:t>
      </w:r>
    </w:p>
    <w:p w:rsidR="00E737B5" w:rsidRPr="00EE3B6B" w:rsidP="00BF0E8E" w14:paraId="395CFE2A" w14:textId="77777777">
      <w:pPr>
        <w:keepLines/>
        <w:spacing w:after="120" w:line="276" w:lineRule="auto"/>
        <w:ind w:left="360"/>
        <w:rPr>
          <w:rFonts w:ascii="Times New Roman" w:hAnsi="Times New Roman" w:cs="Times New Roman"/>
        </w:rPr>
      </w:pPr>
      <w:r w:rsidRPr="00EE3B6B">
        <w:rPr>
          <w:rFonts w:ascii="Times New Roman" w:hAnsi="Times New Roman" w:cs="Times New Roman"/>
        </w:rPr>
        <w:t xml:space="preserve">The issuer must provide the geographic factor calibration that is applied to the projected single risk pool, if one is necessary. For example, if the weighted average of the geographic factors does not equal 1.0, calibration may be required. </w:t>
      </w:r>
    </w:p>
    <w:p w:rsidR="002056E0" w:rsidRPr="00EE3B6B" w:rsidP="00421D1A" w14:paraId="3F8F5644" w14:textId="4AB7B32F">
      <w:pPr>
        <w:keepLines/>
        <w:spacing w:after="120" w:line="276" w:lineRule="auto"/>
        <w:ind w:left="360"/>
        <w:rPr>
          <w:rFonts w:ascii="Times New Roman" w:hAnsi="Times New Roman" w:cs="Times New Roman"/>
        </w:rPr>
      </w:pPr>
      <w:r w:rsidRPr="00EE3B6B">
        <w:rPr>
          <w:rFonts w:ascii="Times New Roman" w:eastAsia="Times New Roman" w:hAnsi="Times New Roman" w:cs="Times New Roman"/>
        </w:rPr>
        <w:t xml:space="preserve">The Actuarial Memorandum should </w:t>
      </w:r>
      <w:r w:rsidRPr="00EE3B6B" w:rsidR="00306690">
        <w:rPr>
          <w:rFonts w:ascii="Times New Roman" w:eastAsia="Times New Roman" w:hAnsi="Times New Roman" w:cs="Times New Roman"/>
        </w:rPr>
        <w:t xml:space="preserve">explain how the geographic rating factor is calculated and state the rating factor only </w:t>
      </w:r>
      <w:r w:rsidRPr="00EE3B6B">
        <w:rPr>
          <w:rFonts w:ascii="Times New Roman" w:eastAsia="Times New Roman" w:hAnsi="Times New Roman" w:cs="Times New Roman"/>
        </w:rPr>
        <w:t>reflect</w:t>
      </w:r>
      <w:r w:rsidRPr="00EE3B6B" w:rsidR="00306690">
        <w:rPr>
          <w:rFonts w:ascii="Times New Roman" w:eastAsia="Times New Roman" w:hAnsi="Times New Roman" w:cs="Times New Roman"/>
        </w:rPr>
        <w:t>s</w:t>
      </w:r>
      <w:r w:rsidRPr="00EE3B6B">
        <w:rPr>
          <w:rFonts w:ascii="Times New Roman" w:eastAsia="Times New Roman" w:hAnsi="Times New Roman" w:cs="Times New Roman"/>
        </w:rPr>
        <w:t xml:space="preserve"> differences in the costs of delivery (which can include unit cost and provider practice pattern differences) and not differences in population morbidity by geographic area.</w:t>
      </w:r>
    </w:p>
    <w:p w:rsidR="00E737B5" w:rsidRPr="00EE3B6B" w:rsidP="00421D1A" w14:paraId="78ED53B4" w14:textId="77777777">
      <w:pPr>
        <w:keepLines/>
        <w:spacing w:after="120" w:line="276" w:lineRule="auto"/>
        <w:ind w:left="360"/>
        <w:rPr>
          <w:rFonts w:ascii="Times New Roman" w:hAnsi="Times New Roman" w:cs="Times New Roman"/>
        </w:rPr>
      </w:pPr>
      <w:r w:rsidRPr="00EE3B6B">
        <w:rPr>
          <w:rFonts w:ascii="Times New Roman" w:hAnsi="Times New Roman" w:cs="Times New Roman"/>
        </w:rPr>
        <w:t xml:space="preserve">Note that the geographic calibration adjustment is not plan specific. In other words, the same geographic calibration would be applied to all plans in the projected single risk pool. </w:t>
      </w:r>
    </w:p>
    <w:p w:rsidR="00E737B5" w:rsidRPr="00EE3B6B" w:rsidP="006D1FD2" w14:paraId="43B11AE6" w14:textId="77777777">
      <w:pPr>
        <w:keepLines/>
        <w:spacing w:after="120" w:line="276" w:lineRule="auto"/>
        <w:rPr>
          <w:rFonts w:ascii="Times New Roman" w:hAnsi="Times New Roman" w:cs="Times New Roman"/>
        </w:rPr>
      </w:pPr>
      <w:r w:rsidRPr="00EE3B6B">
        <w:rPr>
          <w:rFonts w:ascii="Times New Roman" w:hAnsi="Times New Roman" w:cs="Times New Roman"/>
          <w:b/>
        </w:rPr>
        <w:t>Tobacco Calibration</w:t>
      </w:r>
      <w:r w:rsidRPr="00EE3B6B" w:rsidR="00EB10C9">
        <w:rPr>
          <w:rFonts w:ascii="Times New Roman" w:hAnsi="Times New Roman" w:cs="Times New Roman"/>
          <w:b/>
        </w:rPr>
        <w:t xml:space="preserve"> Factor</w:t>
      </w:r>
      <w:r w:rsidRPr="00EE3B6B" w:rsidR="002056E0">
        <w:rPr>
          <w:rFonts w:ascii="Times New Roman" w:hAnsi="Times New Roman" w:cs="Times New Roman"/>
          <w:b/>
        </w:rPr>
        <w:t>:</w:t>
      </w:r>
      <w:r w:rsidRPr="00EE3B6B" w:rsidR="002056E0">
        <w:rPr>
          <w:rFonts w:ascii="Times New Roman" w:hAnsi="Times New Roman" w:cs="Times New Roman"/>
        </w:rPr>
        <w:t xml:space="preserve"> Enter the tobacco calibration factor that calibrates the issuer's actual population to a tobacco rating factor of 1.0 so that multiplying by the tobacco rating factor will result in the correct premium rate for a tobacco-using member.</w:t>
      </w:r>
    </w:p>
    <w:p w:rsidR="00C66220" w:rsidRPr="00EE3B6B" w:rsidP="00421D1A" w14:paraId="4D7ACC66" w14:textId="68ABD080">
      <w:pPr>
        <w:keepLines/>
        <w:spacing w:after="120" w:line="276" w:lineRule="auto"/>
        <w:ind w:left="360"/>
        <w:rPr>
          <w:rFonts w:ascii="Times New Roman" w:hAnsi="Times New Roman" w:cs="Times New Roman"/>
        </w:rPr>
      </w:pPr>
      <w:r w:rsidRPr="00EE3B6B">
        <w:rPr>
          <w:rFonts w:ascii="Times New Roman" w:hAnsi="Times New Roman" w:cs="Times New Roman"/>
        </w:rPr>
        <w:t xml:space="preserve">Issuers using tobacco rating factors must calibrate the </w:t>
      </w:r>
      <w:r w:rsidRPr="00EE3B6B" w:rsidR="009E085F">
        <w:rPr>
          <w:rFonts w:ascii="Times New Roman" w:hAnsi="Times New Roman" w:cs="Times New Roman"/>
        </w:rPr>
        <w:t>PAIR</w:t>
      </w:r>
      <w:r w:rsidRPr="00EE3B6B">
        <w:rPr>
          <w:rFonts w:ascii="Times New Roman" w:hAnsi="Times New Roman" w:cs="Times New Roman"/>
        </w:rPr>
        <w:t xml:space="preserve"> to remove the portion of the cost expected to be recouped through the tobacco surcharge.  This adjustment should only reflect the expected surcharge collected for tobacco users.  In the event tobacco users enter a wellness program which reduces the tobacco user load applied, only the net impact on revenue should be </w:t>
      </w:r>
      <w:r w:rsidRPr="00EE3B6B">
        <w:rPr>
          <w:rFonts w:ascii="Times New Roman" w:hAnsi="Times New Roman" w:cs="Times New Roman"/>
        </w:rPr>
        <w:t>taken into ac</w:t>
      </w:r>
      <w:r w:rsidRPr="00EE3B6B" w:rsidR="002901B4">
        <w:rPr>
          <w:rFonts w:ascii="Times New Roman" w:hAnsi="Times New Roman" w:cs="Times New Roman"/>
        </w:rPr>
        <w:t>count</w:t>
      </w:r>
      <w:r w:rsidRPr="00EE3B6B" w:rsidR="002901B4">
        <w:rPr>
          <w:rFonts w:ascii="Times New Roman" w:hAnsi="Times New Roman" w:cs="Times New Roman"/>
        </w:rPr>
        <w:t xml:space="preserve"> in the adjustment factor.</w:t>
      </w:r>
    </w:p>
    <w:p w:rsidR="00E737B5" w:rsidRPr="00EE3B6B" w:rsidP="006D1FD2" w14:paraId="7B003932" w14:textId="77777777">
      <w:pPr>
        <w:keepLines/>
        <w:spacing w:after="120" w:line="276" w:lineRule="auto"/>
        <w:rPr>
          <w:rFonts w:ascii="Times New Roman" w:hAnsi="Times New Roman" w:cs="Times New Roman"/>
        </w:rPr>
      </w:pPr>
      <w:r w:rsidRPr="00EE3B6B">
        <w:rPr>
          <w:rFonts w:ascii="Times New Roman" w:hAnsi="Times New Roman" w:cs="Times New Roman"/>
          <w:b/>
        </w:rPr>
        <w:t xml:space="preserve">Calibrated </w:t>
      </w:r>
      <w:r w:rsidRPr="00EE3B6B" w:rsidR="00C66220">
        <w:rPr>
          <w:rFonts w:ascii="Times New Roman" w:hAnsi="Times New Roman" w:cs="Times New Roman"/>
          <w:b/>
        </w:rPr>
        <w:t>Plan Adjusted Index Rate</w:t>
      </w:r>
      <w:r w:rsidRPr="00EE3B6B">
        <w:rPr>
          <w:rFonts w:ascii="Times New Roman" w:hAnsi="Times New Roman" w:cs="Times New Roman"/>
          <w:b/>
        </w:rPr>
        <w:t xml:space="preserve">: </w:t>
      </w:r>
      <w:r w:rsidRPr="00EE3B6B" w:rsidR="00770100">
        <w:rPr>
          <w:rFonts w:ascii="Times New Roman" w:hAnsi="Times New Roman" w:cs="Times New Roman"/>
        </w:rPr>
        <w:t xml:space="preserve">This field is </w:t>
      </w:r>
      <w:r w:rsidRPr="00EE3B6B" w:rsidR="002D6C2B">
        <w:rPr>
          <w:rFonts w:ascii="Times New Roman" w:hAnsi="Times New Roman" w:cs="Times New Roman"/>
        </w:rPr>
        <w:t xml:space="preserve">automatically </w:t>
      </w:r>
      <w:r w:rsidRPr="00EE3B6B" w:rsidR="00770100">
        <w:rPr>
          <w:rFonts w:ascii="Times New Roman" w:hAnsi="Times New Roman" w:cs="Times New Roman"/>
        </w:rPr>
        <w:t xml:space="preserve">calculated in the template by multiplying the </w:t>
      </w:r>
      <w:r w:rsidRPr="00EE3B6B" w:rsidR="000339CF">
        <w:rPr>
          <w:rFonts w:ascii="Times New Roman" w:hAnsi="Times New Roman" w:cs="Times New Roman"/>
        </w:rPr>
        <w:t>PAIR</w:t>
      </w:r>
      <w:r w:rsidRPr="00EE3B6B" w:rsidR="00770100">
        <w:rPr>
          <w:rFonts w:ascii="Times New Roman" w:hAnsi="Times New Roman" w:cs="Times New Roman"/>
        </w:rPr>
        <w:t xml:space="preserve"> by the age, geographic, and tobacco calibration</w:t>
      </w:r>
      <w:r w:rsidRPr="00EE3B6B" w:rsidR="00E30BAC">
        <w:rPr>
          <w:rFonts w:ascii="Times New Roman" w:hAnsi="Times New Roman" w:cs="Times New Roman"/>
        </w:rPr>
        <w:t>.</w:t>
      </w:r>
    </w:p>
    <w:p w:rsidR="00C565AE" w:rsidRPr="00EE3B6B" w:rsidP="00421D1A" w14:paraId="529F32B1" w14:textId="77777777">
      <w:pPr>
        <w:keepLines/>
        <w:spacing w:after="120" w:line="276" w:lineRule="auto"/>
        <w:ind w:left="360"/>
        <w:rPr>
          <w:rFonts w:ascii="Times New Roman" w:hAnsi="Times New Roman" w:cs="Times New Roman"/>
        </w:rPr>
      </w:pPr>
      <w:r w:rsidRPr="00EE3B6B">
        <w:rPr>
          <w:rFonts w:ascii="Times New Roman" w:hAnsi="Times New Roman" w:cs="Times New Roman"/>
        </w:rPr>
        <w:t xml:space="preserve">The </w:t>
      </w:r>
      <w:r w:rsidRPr="00EE3B6B" w:rsidR="009E085F">
        <w:rPr>
          <w:rFonts w:ascii="Times New Roman" w:hAnsi="Times New Roman" w:cs="Times New Roman"/>
        </w:rPr>
        <w:t>C</w:t>
      </w:r>
      <w:r w:rsidRPr="00EE3B6B">
        <w:rPr>
          <w:rFonts w:ascii="Times New Roman" w:hAnsi="Times New Roman" w:cs="Times New Roman"/>
        </w:rPr>
        <w:t xml:space="preserve">alibrated </w:t>
      </w:r>
      <w:r w:rsidRPr="00EE3B6B" w:rsidR="00C66220">
        <w:rPr>
          <w:rFonts w:ascii="Times New Roman" w:hAnsi="Times New Roman" w:cs="Times New Roman"/>
        </w:rPr>
        <w:t>Plan Adjusted Index Rate</w:t>
      </w:r>
      <w:r w:rsidRPr="00EE3B6B">
        <w:rPr>
          <w:rFonts w:ascii="Times New Roman" w:hAnsi="Times New Roman" w:cs="Times New Roman"/>
        </w:rPr>
        <w:t xml:space="preserve"> </w:t>
      </w:r>
      <w:r w:rsidRPr="00EE3B6B" w:rsidR="00E77DEA">
        <w:rPr>
          <w:rFonts w:ascii="Times New Roman" w:hAnsi="Times New Roman" w:cs="Times New Roman"/>
        </w:rPr>
        <w:t xml:space="preserve">can be thought of as a base rate.  Applying the appropriate age factor, geographic area factor, and tobacco use factor should result in the correct premium for </w:t>
      </w:r>
      <w:r w:rsidRPr="00EE3B6B" w:rsidR="009E085F">
        <w:rPr>
          <w:rFonts w:ascii="Times New Roman" w:hAnsi="Times New Roman" w:cs="Times New Roman"/>
        </w:rPr>
        <w:t>a</w:t>
      </w:r>
      <w:r w:rsidRPr="00EE3B6B" w:rsidR="002938D9">
        <w:rPr>
          <w:rFonts w:ascii="Times New Roman" w:hAnsi="Times New Roman" w:cs="Times New Roman"/>
        </w:rPr>
        <w:t xml:space="preserve"> member</w:t>
      </w:r>
      <w:r w:rsidRPr="00EE3B6B" w:rsidR="009E085F">
        <w:rPr>
          <w:rFonts w:ascii="Times New Roman" w:hAnsi="Times New Roman" w:cs="Times New Roman"/>
        </w:rPr>
        <w:t xml:space="preserve"> or group enrolling on the effective date of the proposed rates</w:t>
      </w:r>
      <w:r w:rsidRPr="00EE3B6B" w:rsidR="002938D9">
        <w:rPr>
          <w:rFonts w:ascii="Times New Roman" w:hAnsi="Times New Roman" w:cs="Times New Roman"/>
        </w:rPr>
        <w:t>.</w:t>
      </w:r>
    </w:p>
    <w:p w:rsidR="002901B4" w:rsidRPr="00EE3B6B" w:rsidP="00421D1A" w14:paraId="6D6726C1" w14:textId="0C88D6DB">
      <w:pPr>
        <w:keepLines/>
        <w:spacing w:after="120" w:line="276" w:lineRule="auto"/>
        <w:ind w:left="360"/>
        <w:rPr>
          <w:rFonts w:ascii="Times New Roman" w:hAnsi="Times New Roman" w:cs="Times New Roman"/>
        </w:rPr>
      </w:pPr>
      <w:r w:rsidRPr="00EE3B6B">
        <w:rPr>
          <w:rFonts w:ascii="Times New Roman" w:hAnsi="Times New Roman" w:cs="Times New Roman"/>
        </w:rPr>
        <w:t>It is understood this may not match exactly to rates submitted in the Rates Table Template document due to rounding and truncation of variables in the URRT, however it is expected the rates will be reasonably close to each other.</w:t>
      </w:r>
      <w:r w:rsidRPr="00EE3B6B">
        <w:rPr>
          <w:rFonts w:ascii="Times New Roman" w:hAnsi="Times New Roman" w:cs="Times New Roman"/>
          <w:noProof/>
        </w:rPr>
        <mc:AlternateContent>
          <mc:Choice Requires="wps">
            <w:drawing>
              <wp:anchor distT="45720" distB="45720" distL="114300" distR="114300" simplePos="0" relativeHeight="251684864" behindDoc="0" locked="1" layoutInCell="1" allowOverlap="1">
                <wp:simplePos x="0" y="0"/>
                <wp:positionH relativeFrom="margin">
                  <wp:align>right</wp:align>
                </wp:positionH>
                <wp:positionV relativeFrom="margin">
                  <wp:posOffset>5986145</wp:posOffset>
                </wp:positionV>
                <wp:extent cx="5915660" cy="474980"/>
                <wp:effectExtent l="0" t="0" r="27940" b="20320"/>
                <wp:wrapSquare wrapText="bothSides"/>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15660" cy="474980"/>
                        </a:xfrm>
                        <a:prstGeom prst="rect">
                          <a:avLst/>
                        </a:prstGeom>
                        <a:solidFill>
                          <a:sysClr val="window" lastClr="FFFFFF">
                            <a:lumMod val="85000"/>
                          </a:sysClr>
                        </a:solidFill>
                        <a:ln w="9525">
                          <a:solidFill>
                            <a:srgbClr val="000000"/>
                          </a:solidFill>
                          <a:miter lim="800000"/>
                          <a:headEnd/>
                          <a:tailEnd/>
                        </a:ln>
                      </wps:spPr>
                      <wps:txbx>
                        <w:txbxContent>
                          <w:p w:rsidR="00D33AE9" w:rsidRPr="00421D1A" w:rsidP="002901B4" w14:textId="0264441A">
                            <w:pPr>
                              <w:rPr>
                                <w:rFonts w:ascii="Times New Roman" w:hAnsi="Times New Roman" w:cs="Times New Roman"/>
                                <w:color w:val="323E4F" w:themeColor="text2" w:themeShade="BF"/>
                              </w:rPr>
                            </w:pPr>
                            <w:r w:rsidRPr="00421D1A">
                              <w:rPr>
                                <w:rFonts w:ascii="Times New Roman" w:hAnsi="Times New Roman" w:cs="Times New Roman"/>
                                <w:b/>
                                <w:color w:val="323E4F" w:themeColor="text2" w:themeShade="BF"/>
                                <w:u w:val="single"/>
                              </w:rPr>
                              <w:t>Tip:</w:t>
                            </w:r>
                            <w:r w:rsidRPr="00421D1A">
                              <w:rPr>
                                <w:rFonts w:ascii="Times New Roman" w:hAnsi="Times New Roman" w:cs="Times New Roman"/>
                                <w:color w:val="323E4F" w:themeColor="text2" w:themeShade="BF"/>
                              </w:rPr>
                              <w:t xml:space="preserve"> Calibration adjustments are applied uniformly to all plans. Plan-specific calibrations are not allowed.</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8" type="#_x0000_t202" style="width:465.8pt;height:37.4pt;margin-top:471.35pt;margin-left:414.6pt;mso-height-percent:0;mso-height-relative:margin;mso-position-horizontal:right;mso-position-horizontal-relative:margin;mso-position-vertical-relative:margin;mso-width-percent:0;mso-width-relative:margin;mso-wrap-distance-bottom:3.6pt;mso-wrap-distance-left:9pt;mso-wrap-distance-right:9pt;mso-wrap-distance-top:3.6pt;mso-wrap-style:square;position:absolute;visibility:visible;v-text-anchor:top;z-index:251685888" fillcolor="#d9d9d9">
                <v:textbox>
                  <w:txbxContent>
                    <w:p w:rsidR="00D33AE9" w:rsidRPr="00421D1A" w:rsidP="002901B4" w14:paraId="0A758826" w14:textId="0264441A">
                      <w:pPr>
                        <w:rPr>
                          <w:rFonts w:ascii="Times New Roman" w:hAnsi="Times New Roman" w:cs="Times New Roman"/>
                          <w:color w:val="323E4F" w:themeColor="text2" w:themeShade="BF"/>
                        </w:rPr>
                      </w:pPr>
                      <w:r w:rsidRPr="00421D1A">
                        <w:rPr>
                          <w:rFonts w:ascii="Times New Roman" w:hAnsi="Times New Roman" w:cs="Times New Roman"/>
                          <w:b/>
                          <w:color w:val="323E4F" w:themeColor="text2" w:themeShade="BF"/>
                          <w:u w:val="single"/>
                        </w:rPr>
                        <w:t>Tip:</w:t>
                      </w:r>
                      <w:r w:rsidRPr="00421D1A">
                        <w:rPr>
                          <w:rFonts w:ascii="Times New Roman" w:hAnsi="Times New Roman" w:cs="Times New Roman"/>
                          <w:color w:val="323E4F" w:themeColor="text2" w:themeShade="BF"/>
                        </w:rPr>
                        <w:t xml:space="preserve"> Calibration adjustments are applied uniformly to all plans. Plan-specific calibrations are not allowed.</w:t>
                      </w:r>
                    </w:p>
                  </w:txbxContent>
                </v:textbox>
                <w10:wrap type="square"/>
                <w10:anchorlock/>
              </v:shape>
            </w:pict>
          </mc:Fallback>
        </mc:AlternateContent>
      </w:r>
    </w:p>
    <w:p w:rsidR="006936CD" w:rsidRPr="00EE3B6B" w:rsidP="006C6C1A" w14:paraId="066E4E68" w14:textId="77777777">
      <w:pPr>
        <w:pStyle w:val="Heading3"/>
        <w:numPr>
          <w:ilvl w:val="0"/>
          <w:numId w:val="0"/>
        </w:numPr>
        <w:ind w:left="720" w:hanging="720"/>
      </w:pPr>
      <w:bookmarkStart w:id="45" w:name="_Toc174003431"/>
      <w:r w:rsidRPr="00EE3B6B">
        <w:t>2.2.</w:t>
      </w:r>
      <w:r w:rsidRPr="00EE3B6B" w:rsidR="00D51320">
        <w:t>4</w:t>
      </w:r>
      <w:r w:rsidRPr="00EE3B6B">
        <w:t xml:space="preserve"> Section IV: Projected </w:t>
      </w:r>
      <w:r w:rsidRPr="00EE3B6B">
        <w:t>Plan Level Information</w:t>
      </w:r>
      <w:bookmarkEnd w:id="45"/>
    </w:p>
    <w:p w:rsidR="00023230" w:rsidRPr="00EE3B6B" w:rsidP="006D1FD2" w14:paraId="50C2AE64" w14:textId="77777777">
      <w:pPr>
        <w:keepLines/>
        <w:spacing w:after="120" w:line="276" w:lineRule="auto"/>
        <w:rPr>
          <w:rFonts w:ascii="Times New Roman" w:hAnsi="Times New Roman" w:cs="Times New Roman"/>
        </w:rPr>
      </w:pPr>
      <w:r w:rsidRPr="00EE3B6B">
        <w:rPr>
          <w:rFonts w:ascii="Times New Roman" w:hAnsi="Times New Roman" w:cs="Times New Roman"/>
        </w:rPr>
        <w:t xml:space="preserve">The information shown in this section captures the projected data for the </w:t>
      </w:r>
      <w:r w:rsidRPr="00EE3B6B">
        <w:rPr>
          <w:rFonts w:ascii="Times New Roman" w:hAnsi="Times New Roman" w:cs="Times New Roman"/>
        </w:rPr>
        <w:t>twelve month</w:t>
      </w:r>
      <w:r w:rsidRPr="00EE3B6B">
        <w:rPr>
          <w:rFonts w:ascii="Times New Roman" w:hAnsi="Times New Roman" w:cs="Times New Roman"/>
        </w:rPr>
        <w:t xml:space="preserve"> period following the effective date for each plan.</w:t>
      </w:r>
      <w:r w:rsidRPr="00EE3B6B" w:rsidR="001D6B41">
        <w:rPr>
          <w:rFonts w:ascii="Times New Roman" w:hAnsi="Times New Roman" w:cs="Times New Roman"/>
        </w:rPr>
        <w:t xml:space="preserve"> </w:t>
      </w:r>
      <w:r w:rsidRPr="00EE3B6B">
        <w:rPr>
          <w:rFonts w:ascii="Times New Roman" w:hAnsi="Times New Roman" w:cs="Times New Roman"/>
        </w:rPr>
        <w:t xml:space="preserve">It is expected that in general, the </w:t>
      </w:r>
      <w:r w:rsidRPr="00EE3B6B" w:rsidR="00C66220">
        <w:rPr>
          <w:rFonts w:ascii="Times New Roman" w:hAnsi="Times New Roman" w:cs="Times New Roman"/>
        </w:rPr>
        <w:t>Projection Period</w:t>
      </w:r>
      <w:r w:rsidRPr="00EE3B6B">
        <w:rPr>
          <w:rFonts w:ascii="Times New Roman" w:hAnsi="Times New Roman" w:cs="Times New Roman"/>
        </w:rPr>
        <w:t xml:space="preserve"> found in this section should be the same as the </w:t>
      </w:r>
      <w:r w:rsidRPr="00EE3B6B" w:rsidR="00C66220">
        <w:rPr>
          <w:rFonts w:ascii="Times New Roman" w:hAnsi="Times New Roman" w:cs="Times New Roman"/>
        </w:rPr>
        <w:t>Projection Period</w:t>
      </w:r>
      <w:r w:rsidRPr="00EE3B6B">
        <w:rPr>
          <w:rFonts w:ascii="Times New Roman" w:hAnsi="Times New Roman" w:cs="Times New Roman"/>
        </w:rPr>
        <w:t xml:space="preserve"> found in Section II of Worksheet 1. </w:t>
      </w:r>
    </w:p>
    <w:p w:rsidR="008511BA" w:rsidRPr="00EE3B6B" w:rsidP="00FA6F2C" w14:paraId="57A91E86" w14:textId="77777777">
      <w:pPr>
        <w:pStyle w:val="Heading4"/>
      </w:pPr>
      <w:r w:rsidRPr="00EE3B6B">
        <w:t>2.2.</w:t>
      </w:r>
      <w:r w:rsidRPr="00EE3B6B" w:rsidR="00D51320">
        <w:t>4</w:t>
      </w:r>
      <w:r w:rsidRPr="00EE3B6B">
        <w:t xml:space="preserve">.1 </w:t>
      </w:r>
      <w:r w:rsidRPr="00EE3B6B" w:rsidR="00C66220">
        <w:t>Projection Period</w:t>
      </w:r>
      <w:r w:rsidRPr="00EE3B6B">
        <w:t xml:space="preserve"> Data</w:t>
      </w:r>
    </w:p>
    <w:p w:rsidR="008511BA" w:rsidRPr="00EE3B6B" w:rsidP="006D1FD2" w14:paraId="0E04DF9D" w14:textId="77777777">
      <w:pPr>
        <w:keepLines/>
        <w:spacing w:after="120" w:line="276" w:lineRule="auto"/>
        <w:rPr>
          <w:rFonts w:ascii="Times New Roman" w:hAnsi="Times New Roman" w:cs="Times New Roman"/>
        </w:rPr>
      </w:pPr>
      <w:r w:rsidRPr="00EE3B6B">
        <w:rPr>
          <w:rFonts w:ascii="Times New Roman" w:hAnsi="Times New Roman" w:cs="Times New Roman"/>
        </w:rPr>
        <w:t>Issuers</w:t>
      </w:r>
      <w:r w:rsidRPr="00EE3B6B" w:rsidR="005C21E4">
        <w:rPr>
          <w:rFonts w:ascii="Times New Roman" w:hAnsi="Times New Roman" w:cs="Times New Roman"/>
        </w:rPr>
        <w:t xml:space="preserve"> enter expected data for the </w:t>
      </w:r>
      <w:r w:rsidRPr="00EE3B6B" w:rsidR="00C66220">
        <w:rPr>
          <w:rFonts w:ascii="Times New Roman" w:hAnsi="Times New Roman" w:cs="Times New Roman"/>
        </w:rPr>
        <w:t>Projection Period</w:t>
      </w:r>
      <w:r w:rsidRPr="00EE3B6B">
        <w:rPr>
          <w:rFonts w:ascii="Times New Roman" w:hAnsi="Times New Roman" w:cs="Times New Roman"/>
        </w:rPr>
        <w:t xml:space="preserve"> in this section. The entries are then used to calculate a loss ratio and </w:t>
      </w:r>
      <w:r w:rsidRPr="00EE3B6B" w:rsidR="00BB21D5">
        <w:rPr>
          <w:rFonts w:ascii="Times New Roman" w:hAnsi="Times New Roman" w:cs="Times New Roman"/>
        </w:rPr>
        <w:t>PMPM</w:t>
      </w:r>
      <w:r w:rsidRPr="00EE3B6B">
        <w:rPr>
          <w:rFonts w:ascii="Times New Roman" w:hAnsi="Times New Roman" w:cs="Times New Roman"/>
        </w:rPr>
        <w:t xml:space="preserve"> amounts.</w:t>
      </w:r>
    </w:p>
    <w:p w:rsidR="0018081D" w:rsidRPr="00EE3B6B" w:rsidP="006D1FD2" w14:paraId="6C0330D8" w14:textId="77777777">
      <w:pPr>
        <w:keepLines/>
        <w:spacing w:after="120" w:line="276" w:lineRule="auto"/>
        <w:rPr>
          <w:rFonts w:ascii="Times New Roman" w:hAnsi="Times New Roman" w:cs="Times New Roman"/>
        </w:rPr>
      </w:pPr>
      <w:r w:rsidRPr="00EE3B6B">
        <w:rPr>
          <w:rFonts w:ascii="Times New Roman" w:hAnsi="Times New Roman" w:cs="Times New Roman"/>
          <w:b/>
        </w:rPr>
        <w:t>Allowed Claims:</w:t>
      </w:r>
      <w:r w:rsidRPr="00EE3B6B">
        <w:rPr>
          <w:rFonts w:ascii="Times New Roman" w:hAnsi="Times New Roman" w:cs="Times New Roman"/>
        </w:rPr>
        <w:t xml:space="preserve">  </w:t>
      </w:r>
      <w:r w:rsidRPr="00EE3B6B" w:rsidR="001D6B41">
        <w:rPr>
          <w:rFonts w:ascii="Times New Roman" w:hAnsi="Times New Roman" w:cs="Times New Roman"/>
        </w:rPr>
        <w:t xml:space="preserve">Enter the expected allowed claims for each benefit plan with service dates within the </w:t>
      </w:r>
      <w:r w:rsidRPr="00EE3B6B" w:rsidR="00C66220">
        <w:rPr>
          <w:rFonts w:ascii="Times New Roman" w:hAnsi="Times New Roman" w:cs="Times New Roman"/>
        </w:rPr>
        <w:t>Projection Period</w:t>
      </w:r>
      <w:r w:rsidRPr="00EE3B6B">
        <w:rPr>
          <w:rFonts w:ascii="Times New Roman" w:hAnsi="Times New Roman" w:cs="Times New Roman"/>
        </w:rPr>
        <w:t>.</w:t>
      </w:r>
    </w:p>
    <w:p w:rsidR="001D6B41" w:rsidRPr="00EE3B6B" w:rsidP="006D1FD2" w14:paraId="5175D21E" w14:textId="77777777">
      <w:pPr>
        <w:keepLines/>
        <w:spacing w:after="120" w:line="276" w:lineRule="auto"/>
        <w:rPr>
          <w:rFonts w:ascii="Times New Roman" w:hAnsi="Times New Roman" w:cs="Times New Roman"/>
        </w:rPr>
      </w:pPr>
      <w:r w:rsidRPr="00EE3B6B">
        <w:rPr>
          <w:rFonts w:ascii="Times New Roman" w:hAnsi="Times New Roman" w:cs="Times New Roman"/>
          <w:b/>
        </w:rPr>
        <w:t>Reinsurance:</w:t>
      </w:r>
      <w:r w:rsidRPr="00EE3B6B">
        <w:rPr>
          <w:rFonts w:ascii="Times New Roman" w:hAnsi="Times New Roman" w:cs="Times New Roman"/>
        </w:rPr>
        <w:t xml:space="preserve">  Enter </w:t>
      </w:r>
      <w:r w:rsidRPr="00EE3B6B" w:rsidR="003C409E">
        <w:rPr>
          <w:rFonts w:ascii="Times New Roman" w:hAnsi="Times New Roman" w:cs="Times New Roman"/>
        </w:rPr>
        <w:t>any claims reimbursement received through a federal or state reinsurance program, net of any reinsurance fees.</w:t>
      </w:r>
      <w:r w:rsidRPr="00EE3B6B">
        <w:rPr>
          <w:rFonts w:ascii="Times New Roman" w:hAnsi="Times New Roman" w:cs="Times New Roman"/>
        </w:rPr>
        <w:t xml:space="preserve"> </w:t>
      </w:r>
    </w:p>
    <w:p w:rsidR="0018081D" w:rsidRPr="00EE3B6B" w:rsidP="006D1FD2" w14:paraId="300AA849" w14:textId="77777777">
      <w:pPr>
        <w:keepLines/>
        <w:spacing w:after="120" w:line="276" w:lineRule="auto"/>
        <w:rPr>
          <w:rFonts w:ascii="Times New Roman" w:hAnsi="Times New Roman" w:cs="Times New Roman"/>
        </w:rPr>
      </w:pPr>
      <w:r w:rsidRPr="00EE3B6B">
        <w:rPr>
          <w:rFonts w:ascii="Times New Roman" w:hAnsi="Times New Roman" w:cs="Times New Roman"/>
          <w:b/>
        </w:rPr>
        <w:t>Member Cost Sharing:</w:t>
      </w:r>
      <w:r w:rsidRPr="00EE3B6B">
        <w:rPr>
          <w:rFonts w:ascii="Times New Roman" w:hAnsi="Times New Roman" w:cs="Times New Roman"/>
        </w:rPr>
        <w:t xml:space="preserve"> </w:t>
      </w:r>
      <w:r w:rsidRPr="00EE3B6B" w:rsidR="001D6B41">
        <w:rPr>
          <w:rFonts w:ascii="Times New Roman" w:hAnsi="Times New Roman" w:cs="Times New Roman"/>
        </w:rPr>
        <w:t xml:space="preserve">Enter any cost </w:t>
      </w:r>
      <w:r w:rsidRPr="00EE3B6B" w:rsidR="00311EAB">
        <w:rPr>
          <w:rFonts w:ascii="Times New Roman" w:hAnsi="Times New Roman" w:cs="Times New Roman"/>
        </w:rPr>
        <w:t xml:space="preserve">sharing </w:t>
      </w:r>
      <w:r w:rsidRPr="00EE3B6B" w:rsidR="001D6B41">
        <w:rPr>
          <w:rFonts w:ascii="Times New Roman" w:hAnsi="Times New Roman" w:cs="Times New Roman"/>
        </w:rPr>
        <w:t xml:space="preserve">(i.e., deductible, coinsurance, copayments) expected to be paid by the members. This should not include any cost </w:t>
      </w:r>
      <w:r w:rsidRPr="00EE3B6B" w:rsidR="00311EAB">
        <w:rPr>
          <w:rFonts w:ascii="Times New Roman" w:hAnsi="Times New Roman" w:cs="Times New Roman"/>
        </w:rPr>
        <w:t>sharing</w:t>
      </w:r>
      <w:r w:rsidRPr="00EE3B6B" w:rsidR="001D6B41">
        <w:rPr>
          <w:rFonts w:ascii="Times New Roman" w:hAnsi="Times New Roman" w:cs="Times New Roman"/>
        </w:rPr>
        <w:t xml:space="preserve"> paid on behalf of the member through </w:t>
      </w:r>
      <w:r w:rsidRPr="00EE3B6B" w:rsidR="00DF2F3B">
        <w:rPr>
          <w:rFonts w:ascii="Times New Roman" w:hAnsi="Times New Roman" w:cs="Times New Roman"/>
        </w:rPr>
        <w:t>f</w:t>
      </w:r>
      <w:r w:rsidRPr="00EE3B6B" w:rsidR="001D6B41">
        <w:rPr>
          <w:rFonts w:ascii="Times New Roman" w:hAnsi="Times New Roman" w:cs="Times New Roman"/>
        </w:rPr>
        <w:t>ederal cost share reductions</w:t>
      </w:r>
      <w:r w:rsidRPr="00EE3B6B">
        <w:rPr>
          <w:rFonts w:ascii="Times New Roman" w:hAnsi="Times New Roman" w:cs="Times New Roman"/>
        </w:rPr>
        <w:t>.</w:t>
      </w:r>
    </w:p>
    <w:p w:rsidR="001D6B41" w:rsidRPr="00EE3B6B" w:rsidP="006D1FD2" w14:paraId="23E6B4C4" w14:textId="77777777">
      <w:pPr>
        <w:keepLines/>
        <w:spacing w:after="120" w:line="276" w:lineRule="auto"/>
        <w:rPr>
          <w:rFonts w:ascii="Times New Roman" w:hAnsi="Times New Roman" w:cs="Times New Roman"/>
        </w:rPr>
      </w:pPr>
      <w:r w:rsidRPr="00EE3B6B">
        <w:rPr>
          <w:rFonts w:ascii="Times New Roman" w:hAnsi="Times New Roman" w:cs="Times New Roman"/>
          <w:b/>
        </w:rPr>
        <w:t>Cost Sharing Reduction:</w:t>
      </w:r>
      <w:r w:rsidRPr="00EE3B6B">
        <w:rPr>
          <w:rFonts w:ascii="Times New Roman" w:hAnsi="Times New Roman" w:cs="Times New Roman"/>
          <w:b/>
        </w:rPr>
        <w:t xml:space="preserve"> </w:t>
      </w:r>
      <w:r w:rsidRPr="00EE3B6B">
        <w:rPr>
          <w:rFonts w:ascii="Times New Roman" w:hAnsi="Times New Roman" w:cs="Times New Roman"/>
        </w:rPr>
        <w:t xml:space="preserve">Enter any cost </w:t>
      </w:r>
      <w:r w:rsidRPr="00EE3B6B" w:rsidR="00311EAB">
        <w:rPr>
          <w:rFonts w:ascii="Times New Roman" w:hAnsi="Times New Roman" w:cs="Times New Roman"/>
        </w:rPr>
        <w:t xml:space="preserve">sharing </w:t>
      </w:r>
      <w:r w:rsidRPr="00EE3B6B">
        <w:rPr>
          <w:rFonts w:ascii="Times New Roman" w:hAnsi="Times New Roman" w:cs="Times New Roman"/>
        </w:rPr>
        <w:t xml:space="preserve">expected to be paid on behalf of the member through </w:t>
      </w:r>
      <w:r w:rsidRPr="00EE3B6B" w:rsidR="00DF2F3B">
        <w:rPr>
          <w:rFonts w:ascii="Times New Roman" w:hAnsi="Times New Roman" w:cs="Times New Roman"/>
        </w:rPr>
        <w:t>f</w:t>
      </w:r>
      <w:r w:rsidRPr="00EE3B6B">
        <w:rPr>
          <w:rFonts w:ascii="Times New Roman" w:hAnsi="Times New Roman" w:cs="Times New Roman"/>
        </w:rPr>
        <w:t xml:space="preserve">ederal cost </w:t>
      </w:r>
      <w:r w:rsidRPr="00EE3B6B" w:rsidR="00311EAB">
        <w:rPr>
          <w:rFonts w:ascii="Times New Roman" w:hAnsi="Times New Roman" w:cs="Times New Roman"/>
        </w:rPr>
        <w:t xml:space="preserve">sharing </w:t>
      </w:r>
      <w:r w:rsidRPr="00EE3B6B">
        <w:rPr>
          <w:rFonts w:ascii="Times New Roman" w:hAnsi="Times New Roman" w:cs="Times New Roman"/>
        </w:rPr>
        <w:t>reduction subsidies.</w:t>
      </w:r>
    </w:p>
    <w:p w:rsidR="001D6B41" w:rsidRPr="00EE3B6B" w:rsidP="00421D1A" w14:paraId="64B1782D" w14:textId="77777777">
      <w:pPr>
        <w:keepLines/>
        <w:spacing w:after="120" w:line="276" w:lineRule="auto"/>
        <w:ind w:left="360"/>
        <w:rPr>
          <w:rFonts w:ascii="Times New Roman" w:hAnsi="Times New Roman" w:cs="Times New Roman"/>
        </w:rPr>
      </w:pPr>
      <w:r w:rsidRPr="00EE3B6B">
        <w:rPr>
          <w:rFonts w:ascii="Times New Roman" w:hAnsi="Times New Roman" w:cs="Times New Roman"/>
        </w:rPr>
        <w:t xml:space="preserve">If the </w:t>
      </w:r>
      <w:r w:rsidRPr="00EE3B6B" w:rsidR="00DF2F3B">
        <w:rPr>
          <w:rFonts w:ascii="Times New Roman" w:hAnsi="Times New Roman" w:cs="Times New Roman"/>
        </w:rPr>
        <w:t>f</w:t>
      </w:r>
      <w:r w:rsidRPr="00EE3B6B">
        <w:rPr>
          <w:rFonts w:ascii="Times New Roman" w:hAnsi="Times New Roman" w:cs="Times New Roman"/>
        </w:rPr>
        <w:t xml:space="preserve">ederal government </w:t>
      </w:r>
      <w:r w:rsidRPr="00EE3B6B" w:rsidR="00A960D4">
        <w:rPr>
          <w:rFonts w:ascii="Times New Roman" w:hAnsi="Times New Roman" w:cs="Times New Roman"/>
        </w:rPr>
        <w:t xml:space="preserve">does not </w:t>
      </w:r>
      <w:r w:rsidRPr="00EE3B6B">
        <w:rPr>
          <w:rFonts w:ascii="Times New Roman" w:hAnsi="Times New Roman" w:cs="Times New Roman"/>
        </w:rPr>
        <w:t>pay cost-sharing reduction subsidies, the amount entered here should be $0.</w:t>
      </w:r>
    </w:p>
    <w:p w:rsidR="0018081D" w:rsidRPr="00EE3B6B" w:rsidP="006D1FD2" w14:paraId="075C404D" w14:textId="77777777">
      <w:pPr>
        <w:keepLines/>
        <w:spacing w:after="120" w:line="276" w:lineRule="auto"/>
        <w:rPr>
          <w:rFonts w:ascii="Times New Roman" w:hAnsi="Times New Roman" w:cs="Times New Roman"/>
        </w:rPr>
      </w:pPr>
      <w:r w:rsidRPr="00EE3B6B">
        <w:rPr>
          <w:rFonts w:ascii="Times New Roman" w:hAnsi="Times New Roman" w:cs="Times New Roman"/>
          <w:b/>
        </w:rPr>
        <w:t>Incurred claims:</w:t>
      </w:r>
      <w:r w:rsidRPr="00EE3B6B">
        <w:rPr>
          <w:rFonts w:ascii="Times New Roman" w:hAnsi="Times New Roman" w:cs="Times New Roman"/>
        </w:rPr>
        <w:t xml:space="preserve">  This is a</w:t>
      </w:r>
      <w:r w:rsidRPr="00EE3B6B" w:rsidR="00A960D4">
        <w:rPr>
          <w:rFonts w:ascii="Times New Roman" w:hAnsi="Times New Roman" w:cs="Times New Roman"/>
        </w:rPr>
        <w:t>n automatically</w:t>
      </w:r>
      <w:r w:rsidRPr="00EE3B6B">
        <w:rPr>
          <w:rFonts w:ascii="Times New Roman" w:hAnsi="Times New Roman" w:cs="Times New Roman"/>
        </w:rPr>
        <w:t xml:space="preserve"> calculated field that displays the projected incurred claims which the issuer is responsible for paying.</w:t>
      </w:r>
    </w:p>
    <w:p w:rsidR="00647359" w:rsidRPr="00EE3B6B" w:rsidP="00421D1A" w14:paraId="791B774D" w14:textId="77777777">
      <w:pPr>
        <w:keepLines/>
        <w:spacing w:after="120" w:line="276" w:lineRule="auto"/>
        <w:ind w:left="360"/>
        <w:rPr>
          <w:rFonts w:ascii="Times New Roman" w:hAnsi="Times New Roman" w:cs="Times New Roman"/>
          <w:b/>
        </w:rPr>
      </w:pPr>
      <w:r w:rsidRPr="00EE3B6B">
        <w:rPr>
          <w:rFonts w:ascii="Times New Roman" w:hAnsi="Times New Roman" w:cs="Times New Roman"/>
        </w:rPr>
        <w:t>This field is calculated by subtracting reinsurance, member cost sharing, and cost sharing reductions from allowed claims. Please check to make sure this amount reflects the incurred claims that are the issuer’s responsibility.</w:t>
      </w:r>
    </w:p>
    <w:p w:rsidR="00647359" w:rsidRPr="00EE3B6B" w:rsidP="006D1FD2" w14:paraId="2DBCC10E" w14:textId="77777777">
      <w:pPr>
        <w:keepLines/>
        <w:spacing w:after="120" w:line="276" w:lineRule="auto"/>
        <w:rPr>
          <w:rFonts w:ascii="Times New Roman" w:hAnsi="Times New Roman" w:cs="Times New Roman"/>
        </w:rPr>
      </w:pPr>
      <w:r w:rsidRPr="00EE3B6B">
        <w:rPr>
          <w:rFonts w:ascii="Times New Roman" w:hAnsi="Times New Roman" w:cs="Times New Roman"/>
          <w:b/>
        </w:rPr>
        <w:t>Risk Adjustment</w:t>
      </w:r>
      <w:r w:rsidRPr="00EE3B6B">
        <w:rPr>
          <w:rFonts w:ascii="Times New Roman" w:hAnsi="Times New Roman" w:cs="Times New Roman"/>
          <w:b/>
        </w:rPr>
        <w:t xml:space="preserve"> Transfer Amount</w:t>
      </w:r>
      <w:r w:rsidRPr="00EE3B6B">
        <w:rPr>
          <w:rFonts w:ascii="Times New Roman" w:hAnsi="Times New Roman" w:cs="Times New Roman"/>
          <w:b/>
        </w:rPr>
        <w:t>:</w:t>
      </w:r>
      <w:r w:rsidRPr="00EE3B6B">
        <w:rPr>
          <w:rFonts w:ascii="Times New Roman" w:hAnsi="Times New Roman" w:cs="Times New Roman"/>
        </w:rPr>
        <w:t xml:space="preserve">  </w:t>
      </w:r>
      <w:r w:rsidRPr="00EE3B6B">
        <w:rPr>
          <w:rFonts w:ascii="Times New Roman" w:hAnsi="Times New Roman" w:cs="Times New Roman"/>
        </w:rPr>
        <w:t xml:space="preserve">Enter the risk </w:t>
      </w:r>
      <w:r w:rsidRPr="00EE3B6B" w:rsidR="00A960D4">
        <w:rPr>
          <w:rFonts w:ascii="Times New Roman" w:hAnsi="Times New Roman" w:cs="Times New Roman"/>
        </w:rPr>
        <w:t xml:space="preserve">adjustment </w:t>
      </w:r>
      <w:r w:rsidRPr="00EE3B6B">
        <w:rPr>
          <w:rFonts w:ascii="Times New Roman" w:hAnsi="Times New Roman" w:cs="Times New Roman"/>
        </w:rPr>
        <w:t xml:space="preserve">transfer payment or charge expected to be paid for the </w:t>
      </w:r>
      <w:r w:rsidRPr="00EE3B6B" w:rsidR="00C66220">
        <w:rPr>
          <w:rFonts w:ascii="Times New Roman" w:hAnsi="Times New Roman" w:cs="Times New Roman"/>
        </w:rPr>
        <w:t>Projection Period</w:t>
      </w:r>
      <w:r w:rsidRPr="00EE3B6B">
        <w:rPr>
          <w:rFonts w:ascii="Times New Roman" w:hAnsi="Times New Roman" w:cs="Times New Roman"/>
        </w:rPr>
        <w:t xml:space="preserve"> for each plan.</w:t>
      </w:r>
    </w:p>
    <w:p w:rsidR="004C3B86" w:rsidRPr="00EE3B6B" w:rsidP="00421D1A" w14:paraId="3D470822" w14:textId="77777777">
      <w:pPr>
        <w:keepLines/>
        <w:spacing w:after="120" w:line="276" w:lineRule="auto"/>
        <w:ind w:left="360"/>
        <w:rPr>
          <w:rFonts w:ascii="Times New Roman" w:hAnsi="Times New Roman" w:cs="Times New Roman"/>
        </w:rPr>
      </w:pPr>
      <w:r w:rsidRPr="00EE3B6B">
        <w:rPr>
          <w:rFonts w:ascii="Times New Roman" w:hAnsi="Times New Roman" w:cs="Times New Roman"/>
        </w:rPr>
        <w:t xml:space="preserve">Transfer amounts should include the </w:t>
      </w:r>
      <w:r w:rsidRPr="00EE3B6B">
        <w:rPr>
          <w:rFonts w:ascii="Times New Roman" w:hAnsi="Times New Roman" w:cs="Times New Roman"/>
        </w:rPr>
        <w:t>high cost</w:t>
      </w:r>
      <w:r w:rsidRPr="00EE3B6B">
        <w:rPr>
          <w:rFonts w:ascii="Times New Roman" w:hAnsi="Times New Roman" w:cs="Times New Roman"/>
        </w:rPr>
        <w:t xml:space="preserve"> risk pool adjustment to claims and any assessment to pay for those claims. The risk adjustment user fee should not be included here, but rather in the taxes and fees portion of administrative costs. If the issuer expects to receive a projected risk adjustment payment, then the entry should be a positive value. If the issuer expects to owe a projected risk adjustment charge, then the entry should be a negative value.</w:t>
      </w:r>
    </w:p>
    <w:p w:rsidR="004C3B86" w:rsidRPr="00EE3B6B" w:rsidP="00421D1A" w14:paraId="690FD638" w14:textId="5AAEC17E">
      <w:pPr>
        <w:keepLines/>
        <w:spacing w:after="120" w:line="276" w:lineRule="auto"/>
        <w:ind w:left="360"/>
        <w:rPr>
          <w:rFonts w:ascii="Times New Roman" w:hAnsi="Times New Roman" w:cs="Times New Roman"/>
        </w:rPr>
      </w:pPr>
      <w:r w:rsidRPr="00EE3B6B">
        <w:rPr>
          <w:rFonts w:ascii="Times New Roman" w:hAnsi="Times New Roman" w:cs="Times New Roman"/>
        </w:rPr>
        <w:t xml:space="preserve">Note that </w:t>
      </w:r>
      <w:r w:rsidRPr="00EE3B6B" w:rsidR="0025702A">
        <w:rPr>
          <w:rFonts w:ascii="Times New Roman" w:hAnsi="Times New Roman" w:cs="Times New Roman"/>
        </w:rPr>
        <w:t xml:space="preserve">the reported </w:t>
      </w:r>
      <w:r w:rsidRPr="00EE3B6B">
        <w:rPr>
          <w:rFonts w:ascii="Times New Roman" w:hAnsi="Times New Roman" w:cs="Times New Roman"/>
        </w:rPr>
        <w:t xml:space="preserve">risk adjustment </w:t>
      </w:r>
      <w:r w:rsidRPr="00EE3B6B" w:rsidR="0025702A">
        <w:rPr>
          <w:rFonts w:ascii="Times New Roman" w:hAnsi="Times New Roman" w:cs="Times New Roman"/>
        </w:rPr>
        <w:t xml:space="preserve">transfer amounts </w:t>
      </w:r>
      <w:r w:rsidRPr="00EE3B6B">
        <w:rPr>
          <w:rFonts w:ascii="Times New Roman" w:hAnsi="Times New Roman" w:cs="Times New Roman"/>
        </w:rPr>
        <w:t xml:space="preserve">should account for RADV adjustments, </w:t>
      </w:r>
      <w:r w:rsidRPr="00EE3B6B" w:rsidR="00404524">
        <w:rPr>
          <w:rFonts w:ascii="Times New Roman" w:hAnsi="Times New Roman" w:cs="Times New Roman"/>
        </w:rPr>
        <w:t>including DDVCs</w:t>
      </w:r>
      <w:r w:rsidRPr="00EE3B6B" w:rsidR="0025702A">
        <w:rPr>
          <w:rFonts w:ascii="Times New Roman" w:hAnsi="Times New Roman" w:cs="Times New Roman"/>
        </w:rPr>
        <w:t xml:space="preserve"> and allocations</w:t>
      </w:r>
      <w:r w:rsidRPr="00EE3B6B" w:rsidR="00404524">
        <w:rPr>
          <w:rFonts w:ascii="Times New Roman" w:hAnsi="Times New Roman" w:cs="Times New Roman"/>
        </w:rPr>
        <w:t xml:space="preserve">, </w:t>
      </w:r>
      <w:r w:rsidRPr="00EE3B6B">
        <w:rPr>
          <w:rFonts w:ascii="Times New Roman" w:hAnsi="Times New Roman" w:cs="Times New Roman"/>
        </w:rPr>
        <w:t>as appropriate.</w:t>
      </w:r>
    </w:p>
    <w:p w:rsidR="006936CD" w:rsidRPr="00EE3B6B" w:rsidP="006D1FD2" w14:paraId="1F9A0254" w14:textId="77777777">
      <w:pPr>
        <w:keepLines/>
        <w:spacing w:after="120" w:line="276" w:lineRule="auto"/>
        <w:rPr>
          <w:rFonts w:ascii="Times New Roman" w:hAnsi="Times New Roman" w:cs="Times New Roman"/>
        </w:rPr>
      </w:pPr>
      <w:r w:rsidRPr="00EE3B6B">
        <w:rPr>
          <w:rFonts w:ascii="Times New Roman" w:hAnsi="Times New Roman" w:cs="Times New Roman"/>
          <w:b/>
        </w:rPr>
        <w:t>Premium:</w:t>
      </w:r>
      <w:r w:rsidRPr="00EE3B6B">
        <w:rPr>
          <w:rFonts w:ascii="Times New Roman" w:hAnsi="Times New Roman" w:cs="Times New Roman"/>
        </w:rPr>
        <w:t xml:space="preserve">  Enter the expected total premium earned in the </w:t>
      </w:r>
      <w:r w:rsidRPr="00EE3B6B" w:rsidR="00C66220">
        <w:rPr>
          <w:rFonts w:ascii="Times New Roman" w:hAnsi="Times New Roman" w:cs="Times New Roman"/>
        </w:rPr>
        <w:t>Projection Period</w:t>
      </w:r>
      <w:r w:rsidRPr="00EE3B6B">
        <w:rPr>
          <w:rFonts w:ascii="Times New Roman" w:hAnsi="Times New Roman" w:cs="Times New Roman"/>
        </w:rPr>
        <w:t xml:space="preserve"> for each plan. </w:t>
      </w:r>
    </w:p>
    <w:p w:rsidR="0018081D" w:rsidRPr="00EE3B6B" w:rsidP="006D1FD2" w14:paraId="72581E23" w14:textId="77777777">
      <w:pPr>
        <w:keepLines/>
        <w:spacing w:after="120" w:line="276" w:lineRule="auto"/>
        <w:rPr>
          <w:rFonts w:ascii="Times New Roman" w:hAnsi="Times New Roman" w:cs="Times New Roman"/>
        </w:rPr>
      </w:pPr>
      <w:r w:rsidRPr="00EE3B6B">
        <w:rPr>
          <w:rFonts w:ascii="Times New Roman" w:hAnsi="Times New Roman" w:cs="Times New Roman"/>
          <w:b/>
        </w:rPr>
        <w:t>Projected Member Months:</w:t>
      </w:r>
      <w:r w:rsidRPr="00EE3B6B">
        <w:rPr>
          <w:rFonts w:ascii="Times New Roman" w:hAnsi="Times New Roman" w:cs="Times New Roman"/>
        </w:rPr>
        <w:t xml:space="preserve">  </w:t>
      </w:r>
      <w:r w:rsidRPr="00EE3B6B" w:rsidR="008511BA">
        <w:rPr>
          <w:rFonts w:ascii="Times New Roman" w:hAnsi="Times New Roman" w:cs="Times New Roman"/>
        </w:rPr>
        <w:t xml:space="preserve">Enter the expected member months for each </w:t>
      </w:r>
      <w:r w:rsidRPr="00EE3B6B" w:rsidR="007E7629">
        <w:rPr>
          <w:rFonts w:ascii="Times New Roman" w:hAnsi="Times New Roman" w:cs="Times New Roman"/>
        </w:rPr>
        <w:t xml:space="preserve">single risk pool </w:t>
      </w:r>
      <w:r w:rsidRPr="00EE3B6B" w:rsidR="008511BA">
        <w:rPr>
          <w:rFonts w:ascii="Times New Roman" w:hAnsi="Times New Roman" w:cs="Times New Roman"/>
        </w:rPr>
        <w:t xml:space="preserve">plan in the </w:t>
      </w:r>
      <w:r w:rsidRPr="00EE3B6B" w:rsidR="00C66220">
        <w:rPr>
          <w:rFonts w:ascii="Times New Roman" w:hAnsi="Times New Roman" w:cs="Times New Roman"/>
        </w:rPr>
        <w:t>Projection Period</w:t>
      </w:r>
      <w:r w:rsidRPr="00EE3B6B">
        <w:rPr>
          <w:rFonts w:ascii="Times New Roman" w:hAnsi="Times New Roman" w:cs="Times New Roman"/>
        </w:rPr>
        <w:t>.</w:t>
      </w:r>
    </w:p>
    <w:p w:rsidR="0018081D" w:rsidRPr="00EE3B6B" w:rsidP="006D1FD2" w14:paraId="39892BD0" w14:textId="77777777">
      <w:pPr>
        <w:keepLines/>
        <w:spacing w:after="120" w:line="276" w:lineRule="auto"/>
        <w:rPr>
          <w:rFonts w:ascii="Times New Roman" w:hAnsi="Times New Roman" w:cs="Times New Roman"/>
        </w:rPr>
      </w:pPr>
      <w:r w:rsidRPr="00EE3B6B">
        <w:rPr>
          <w:rFonts w:ascii="Times New Roman" w:hAnsi="Times New Roman" w:cs="Times New Roman"/>
          <w:b/>
        </w:rPr>
        <w:t>Loss Ratio:</w:t>
      </w:r>
      <w:r w:rsidRPr="00EE3B6B" w:rsidR="008511BA">
        <w:rPr>
          <w:rFonts w:ascii="Times New Roman" w:hAnsi="Times New Roman" w:cs="Times New Roman"/>
          <w:b/>
        </w:rPr>
        <w:t xml:space="preserve"> </w:t>
      </w:r>
      <w:r w:rsidRPr="00EE3B6B" w:rsidR="008511BA">
        <w:rPr>
          <w:rFonts w:ascii="Times New Roman" w:hAnsi="Times New Roman" w:cs="Times New Roman"/>
        </w:rPr>
        <w:t>This is a</w:t>
      </w:r>
      <w:r w:rsidRPr="00EE3B6B" w:rsidR="007E7629">
        <w:rPr>
          <w:rFonts w:ascii="Times New Roman" w:hAnsi="Times New Roman" w:cs="Times New Roman"/>
        </w:rPr>
        <w:t>n automatically</w:t>
      </w:r>
      <w:r w:rsidRPr="00EE3B6B" w:rsidR="008511BA">
        <w:rPr>
          <w:rFonts w:ascii="Times New Roman" w:hAnsi="Times New Roman" w:cs="Times New Roman"/>
        </w:rPr>
        <w:t xml:space="preserve"> calculated field in the template that divides incurred claims by premium plus the risk adjustment transfer amount.</w:t>
      </w:r>
      <w:r w:rsidRPr="00EE3B6B" w:rsidR="00DF2F3B">
        <w:rPr>
          <w:rFonts w:ascii="Times New Roman" w:hAnsi="Times New Roman" w:cs="Times New Roman"/>
        </w:rPr>
        <w:t xml:space="preserve">  This is not the f</w:t>
      </w:r>
      <w:r w:rsidRPr="00EE3B6B" w:rsidR="00A47A6F">
        <w:rPr>
          <w:rFonts w:ascii="Times New Roman" w:hAnsi="Times New Roman" w:cs="Times New Roman"/>
        </w:rPr>
        <w:t>ederal MLR for determining rebates.</w:t>
      </w:r>
    </w:p>
    <w:p w:rsidR="005C21E4" w:rsidRPr="00EE3B6B" w:rsidP="00FA6F2C" w14:paraId="5E629138" w14:textId="77777777">
      <w:pPr>
        <w:pStyle w:val="Heading4"/>
      </w:pPr>
      <w:r w:rsidRPr="00EE3B6B">
        <w:t>2.2.</w:t>
      </w:r>
      <w:r w:rsidRPr="00EE3B6B" w:rsidR="00D51320">
        <w:t>4</w:t>
      </w:r>
      <w:r w:rsidRPr="00EE3B6B">
        <w:t xml:space="preserve">.2 Per Member Per Month </w:t>
      </w:r>
      <w:r w:rsidRPr="00EE3B6B" w:rsidR="00F929A6">
        <w:t xml:space="preserve">(PMPM) </w:t>
      </w:r>
      <w:r w:rsidRPr="00EE3B6B">
        <w:t>Calculations</w:t>
      </w:r>
    </w:p>
    <w:p w:rsidR="005C21E4" w:rsidRPr="00EE3B6B" w:rsidP="006D1FD2" w14:paraId="0669F633" w14:textId="77777777">
      <w:pPr>
        <w:keepLines/>
        <w:spacing w:after="120" w:line="276" w:lineRule="auto"/>
        <w:rPr>
          <w:rFonts w:ascii="Times New Roman" w:hAnsi="Times New Roman" w:cs="Times New Roman"/>
        </w:rPr>
      </w:pPr>
      <w:r w:rsidRPr="00EE3B6B">
        <w:rPr>
          <w:rFonts w:ascii="Times New Roman" w:hAnsi="Times New Roman" w:cs="Times New Roman"/>
        </w:rPr>
        <w:t xml:space="preserve">This section of Worksheet 2 </w:t>
      </w:r>
      <w:r w:rsidRPr="00EE3B6B" w:rsidR="007E7629">
        <w:rPr>
          <w:rFonts w:ascii="Times New Roman" w:hAnsi="Times New Roman" w:cs="Times New Roman"/>
        </w:rPr>
        <w:t xml:space="preserve">automatically </w:t>
      </w:r>
      <w:r w:rsidRPr="00EE3B6B">
        <w:rPr>
          <w:rFonts w:ascii="Times New Roman" w:hAnsi="Times New Roman" w:cs="Times New Roman"/>
        </w:rPr>
        <w:t xml:space="preserve">calculates </w:t>
      </w:r>
      <w:r w:rsidRPr="00EE3B6B" w:rsidR="00BB21D5">
        <w:rPr>
          <w:rFonts w:ascii="Times New Roman" w:hAnsi="Times New Roman" w:cs="Times New Roman"/>
        </w:rPr>
        <w:t>PMPM</w:t>
      </w:r>
      <w:r w:rsidRPr="00EE3B6B">
        <w:rPr>
          <w:rFonts w:ascii="Times New Roman" w:hAnsi="Times New Roman" w:cs="Times New Roman"/>
        </w:rPr>
        <w:t xml:space="preserve"> amounts for many of the </w:t>
      </w:r>
      <w:r w:rsidRPr="00EE3B6B" w:rsidR="00C66220">
        <w:rPr>
          <w:rFonts w:ascii="Times New Roman" w:hAnsi="Times New Roman" w:cs="Times New Roman"/>
        </w:rPr>
        <w:t>Projection Period</w:t>
      </w:r>
      <w:r w:rsidRPr="00EE3B6B" w:rsidR="007E7629">
        <w:rPr>
          <w:rFonts w:ascii="Times New Roman" w:hAnsi="Times New Roman" w:cs="Times New Roman"/>
        </w:rPr>
        <w:t xml:space="preserve"> Data </w:t>
      </w:r>
      <w:r w:rsidRPr="00EE3B6B">
        <w:rPr>
          <w:rFonts w:ascii="Times New Roman" w:hAnsi="Times New Roman" w:cs="Times New Roman"/>
        </w:rPr>
        <w:t xml:space="preserve">fields found above. Issuers should check the calculated </w:t>
      </w:r>
      <w:r w:rsidRPr="00EE3B6B" w:rsidR="00BB21D5">
        <w:rPr>
          <w:rFonts w:ascii="Times New Roman" w:hAnsi="Times New Roman" w:cs="Times New Roman"/>
        </w:rPr>
        <w:t>PMPM</w:t>
      </w:r>
      <w:r w:rsidRPr="00EE3B6B">
        <w:rPr>
          <w:rFonts w:ascii="Times New Roman" w:hAnsi="Times New Roman" w:cs="Times New Roman"/>
        </w:rPr>
        <w:t xml:space="preserve"> amounts for reasonability, as an odd </w:t>
      </w:r>
      <w:r w:rsidRPr="00EE3B6B" w:rsidR="00BB21D5">
        <w:rPr>
          <w:rFonts w:ascii="Times New Roman" w:hAnsi="Times New Roman" w:cs="Times New Roman"/>
        </w:rPr>
        <w:t>PMPM</w:t>
      </w:r>
      <w:r w:rsidRPr="00EE3B6B">
        <w:rPr>
          <w:rFonts w:ascii="Times New Roman" w:hAnsi="Times New Roman" w:cs="Times New Roman"/>
        </w:rPr>
        <w:t xml:space="preserve"> could indicate </w:t>
      </w:r>
      <w:r w:rsidRPr="00EE3B6B" w:rsidR="007E7629">
        <w:rPr>
          <w:rFonts w:ascii="Times New Roman" w:hAnsi="Times New Roman" w:cs="Times New Roman"/>
        </w:rPr>
        <w:t xml:space="preserve">a data </w:t>
      </w:r>
      <w:r w:rsidRPr="00EE3B6B">
        <w:rPr>
          <w:rFonts w:ascii="Times New Roman" w:hAnsi="Times New Roman" w:cs="Times New Roman"/>
        </w:rPr>
        <w:t>entry error.</w:t>
      </w:r>
    </w:p>
    <w:p w:rsidR="005C21E4" w:rsidRPr="00EE3B6B" w:rsidP="006D1FD2" w14:paraId="2A16C8BD" w14:textId="77777777">
      <w:pPr>
        <w:keepLines/>
        <w:spacing w:after="120" w:line="276" w:lineRule="auto"/>
        <w:rPr>
          <w:rFonts w:ascii="Times New Roman" w:hAnsi="Times New Roman" w:cs="Times New Roman"/>
        </w:rPr>
      </w:pPr>
      <w:r w:rsidRPr="00EE3B6B">
        <w:rPr>
          <w:rFonts w:ascii="Times New Roman" w:hAnsi="Times New Roman" w:cs="Times New Roman"/>
          <w:b/>
        </w:rPr>
        <w:t xml:space="preserve">Allowed Claims: </w:t>
      </w:r>
      <w:r w:rsidRPr="00EE3B6B">
        <w:rPr>
          <w:rFonts w:ascii="Times New Roman" w:hAnsi="Times New Roman" w:cs="Times New Roman"/>
        </w:rPr>
        <w:t xml:space="preserve">This is a </w:t>
      </w:r>
      <w:r w:rsidRPr="00EE3B6B" w:rsidR="00BB21D5">
        <w:rPr>
          <w:rFonts w:ascii="Times New Roman" w:hAnsi="Times New Roman" w:cs="Times New Roman"/>
        </w:rPr>
        <w:t>PMPM</w:t>
      </w:r>
      <w:r w:rsidRPr="00EE3B6B">
        <w:rPr>
          <w:rFonts w:ascii="Times New Roman" w:hAnsi="Times New Roman" w:cs="Times New Roman"/>
        </w:rPr>
        <w:t xml:space="preserve"> </w:t>
      </w:r>
      <w:r w:rsidRPr="00EE3B6B" w:rsidR="007E7629">
        <w:rPr>
          <w:rFonts w:ascii="Times New Roman" w:hAnsi="Times New Roman" w:cs="Times New Roman"/>
        </w:rPr>
        <w:t xml:space="preserve">amount </w:t>
      </w:r>
      <w:r w:rsidRPr="00EE3B6B">
        <w:rPr>
          <w:rFonts w:ascii="Times New Roman" w:hAnsi="Times New Roman" w:cs="Times New Roman"/>
        </w:rPr>
        <w:t xml:space="preserve">calculated by dividing allowed claims by </w:t>
      </w:r>
      <w:r w:rsidRPr="00EE3B6B" w:rsidR="0016375A">
        <w:rPr>
          <w:rFonts w:ascii="Times New Roman" w:hAnsi="Times New Roman" w:cs="Times New Roman"/>
        </w:rPr>
        <w:t>Projected M</w:t>
      </w:r>
      <w:r w:rsidRPr="00EE3B6B">
        <w:rPr>
          <w:rFonts w:ascii="Times New Roman" w:hAnsi="Times New Roman" w:cs="Times New Roman"/>
        </w:rPr>
        <w:t xml:space="preserve">ember </w:t>
      </w:r>
      <w:r w:rsidRPr="00EE3B6B" w:rsidR="0016375A">
        <w:rPr>
          <w:rFonts w:ascii="Times New Roman" w:hAnsi="Times New Roman" w:cs="Times New Roman"/>
        </w:rPr>
        <w:t>M</w:t>
      </w:r>
      <w:r w:rsidRPr="00EE3B6B">
        <w:rPr>
          <w:rFonts w:ascii="Times New Roman" w:hAnsi="Times New Roman" w:cs="Times New Roman"/>
        </w:rPr>
        <w:t>onths.</w:t>
      </w:r>
    </w:p>
    <w:p w:rsidR="005C21E4" w:rsidRPr="00EE3B6B" w:rsidP="006D1FD2" w14:paraId="471FB5B4" w14:textId="77777777">
      <w:pPr>
        <w:keepLines/>
        <w:spacing w:after="120" w:line="276" w:lineRule="auto"/>
        <w:rPr>
          <w:rFonts w:ascii="Times New Roman" w:hAnsi="Times New Roman" w:cs="Times New Roman"/>
        </w:rPr>
      </w:pPr>
      <w:r w:rsidRPr="00EE3B6B">
        <w:rPr>
          <w:rFonts w:ascii="Times New Roman" w:hAnsi="Times New Roman" w:cs="Times New Roman"/>
          <w:b/>
        </w:rPr>
        <w:t xml:space="preserve">Reinsurance: </w:t>
      </w:r>
      <w:r w:rsidRPr="00EE3B6B">
        <w:rPr>
          <w:rFonts w:ascii="Times New Roman" w:hAnsi="Times New Roman" w:cs="Times New Roman"/>
        </w:rPr>
        <w:t xml:space="preserve">This is a </w:t>
      </w:r>
      <w:r w:rsidRPr="00EE3B6B" w:rsidR="00BB21D5">
        <w:rPr>
          <w:rFonts w:ascii="Times New Roman" w:hAnsi="Times New Roman" w:cs="Times New Roman"/>
        </w:rPr>
        <w:t>PMPM</w:t>
      </w:r>
      <w:r w:rsidRPr="00EE3B6B">
        <w:rPr>
          <w:rFonts w:ascii="Times New Roman" w:hAnsi="Times New Roman" w:cs="Times New Roman"/>
        </w:rPr>
        <w:t xml:space="preserve"> </w:t>
      </w:r>
      <w:r w:rsidRPr="00EE3B6B" w:rsidR="007E7629">
        <w:rPr>
          <w:rFonts w:ascii="Times New Roman" w:hAnsi="Times New Roman" w:cs="Times New Roman"/>
        </w:rPr>
        <w:t xml:space="preserve">amount </w:t>
      </w:r>
      <w:r w:rsidRPr="00EE3B6B">
        <w:rPr>
          <w:rFonts w:ascii="Times New Roman" w:hAnsi="Times New Roman" w:cs="Times New Roman"/>
        </w:rPr>
        <w:t xml:space="preserve">calculated by dividing reinsurance amounts by </w:t>
      </w:r>
      <w:r w:rsidRPr="00EE3B6B" w:rsidR="0016375A">
        <w:rPr>
          <w:rFonts w:ascii="Times New Roman" w:hAnsi="Times New Roman" w:cs="Times New Roman"/>
        </w:rPr>
        <w:t>Projected Member Months</w:t>
      </w:r>
      <w:r w:rsidRPr="00EE3B6B">
        <w:rPr>
          <w:rFonts w:ascii="Times New Roman" w:hAnsi="Times New Roman" w:cs="Times New Roman"/>
        </w:rPr>
        <w:t>.</w:t>
      </w:r>
    </w:p>
    <w:p w:rsidR="005C21E4" w:rsidRPr="00EE3B6B" w:rsidP="006D1FD2" w14:paraId="268A9954" w14:textId="77777777">
      <w:pPr>
        <w:keepLines/>
        <w:spacing w:after="120" w:line="276" w:lineRule="auto"/>
        <w:rPr>
          <w:rFonts w:ascii="Times New Roman" w:hAnsi="Times New Roman" w:cs="Times New Roman"/>
        </w:rPr>
      </w:pPr>
      <w:r w:rsidRPr="00EE3B6B">
        <w:rPr>
          <w:rFonts w:ascii="Times New Roman" w:hAnsi="Times New Roman" w:cs="Times New Roman"/>
          <w:b/>
        </w:rPr>
        <w:t>Member Cost Sharing:</w:t>
      </w:r>
      <w:r w:rsidRPr="00EE3B6B">
        <w:rPr>
          <w:rFonts w:ascii="Times New Roman" w:hAnsi="Times New Roman" w:cs="Times New Roman"/>
        </w:rPr>
        <w:t xml:space="preserve"> This is a </w:t>
      </w:r>
      <w:r w:rsidRPr="00EE3B6B" w:rsidR="00BB21D5">
        <w:rPr>
          <w:rFonts w:ascii="Times New Roman" w:hAnsi="Times New Roman" w:cs="Times New Roman"/>
        </w:rPr>
        <w:t>PMPM</w:t>
      </w:r>
      <w:r w:rsidRPr="00EE3B6B">
        <w:rPr>
          <w:rFonts w:ascii="Times New Roman" w:hAnsi="Times New Roman" w:cs="Times New Roman"/>
        </w:rPr>
        <w:t xml:space="preserve"> </w:t>
      </w:r>
      <w:r w:rsidRPr="00EE3B6B" w:rsidR="007E7629">
        <w:rPr>
          <w:rFonts w:ascii="Times New Roman" w:hAnsi="Times New Roman" w:cs="Times New Roman"/>
        </w:rPr>
        <w:t xml:space="preserve">amount </w:t>
      </w:r>
      <w:r w:rsidRPr="00EE3B6B">
        <w:rPr>
          <w:rFonts w:ascii="Times New Roman" w:hAnsi="Times New Roman" w:cs="Times New Roman"/>
        </w:rPr>
        <w:t xml:space="preserve">calculated by dividing member cost sharing amounts by </w:t>
      </w:r>
      <w:r w:rsidRPr="00EE3B6B" w:rsidR="0016375A">
        <w:rPr>
          <w:rFonts w:ascii="Times New Roman" w:hAnsi="Times New Roman" w:cs="Times New Roman"/>
        </w:rPr>
        <w:t>Projected Member Months</w:t>
      </w:r>
      <w:r w:rsidRPr="00EE3B6B">
        <w:rPr>
          <w:rFonts w:ascii="Times New Roman" w:hAnsi="Times New Roman" w:cs="Times New Roman"/>
        </w:rPr>
        <w:t>.</w:t>
      </w:r>
    </w:p>
    <w:p w:rsidR="005C21E4" w:rsidRPr="00EE3B6B" w:rsidP="006D1FD2" w14:paraId="2E28E450" w14:textId="77777777">
      <w:pPr>
        <w:keepLines/>
        <w:spacing w:after="120" w:line="276" w:lineRule="auto"/>
        <w:rPr>
          <w:rFonts w:ascii="Times New Roman" w:hAnsi="Times New Roman" w:cs="Times New Roman"/>
        </w:rPr>
      </w:pPr>
      <w:r w:rsidRPr="00EE3B6B">
        <w:rPr>
          <w:rFonts w:ascii="Times New Roman" w:hAnsi="Times New Roman" w:cs="Times New Roman"/>
          <w:b/>
        </w:rPr>
        <w:t xml:space="preserve">Cost Sharing Reduction: </w:t>
      </w:r>
      <w:r w:rsidRPr="00EE3B6B">
        <w:rPr>
          <w:rFonts w:ascii="Times New Roman" w:hAnsi="Times New Roman" w:cs="Times New Roman"/>
        </w:rPr>
        <w:t xml:space="preserve">This is a </w:t>
      </w:r>
      <w:r w:rsidRPr="00EE3B6B" w:rsidR="00BB21D5">
        <w:rPr>
          <w:rFonts w:ascii="Times New Roman" w:hAnsi="Times New Roman" w:cs="Times New Roman"/>
        </w:rPr>
        <w:t>PMPM</w:t>
      </w:r>
      <w:r w:rsidRPr="00EE3B6B">
        <w:rPr>
          <w:rFonts w:ascii="Times New Roman" w:hAnsi="Times New Roman" w:cs="Times New Roman"/>
        </w:rPr>
        <w:t xml:space="preserve"> </w:t>
      </w:r>
      <w:r w:rsidRPr="00EE3B6B" w:rsidR="007E7629">
        <w:rPr>
          <w:rFonts w:ascii="Times New Roman" w:hAnsi="Times New Roman" w:cs="Times New Roman"/>
        </w:rPr>
        <w:t xml:space="preserve">amount </w:t>
      </w:r>
      <w:r w:rsidRPr="00EE3B6B">
        <w:rPr>
          <w:rFonts w:ascii="Times New Roman" w:hAnsi="Times New Roman" w:cs="Times New Roman"/>
        </w:rPr>
        <w:t xml:space="preserve">calculated by dividing cost sharing reduction amounts by </w:t>
      </w:r>
      <w:r w:rsidRPr="00EE3B6B" w:rsidR="0016375A">
        <w:rPr>
          <w:rFonts w:ascii="Times New Roman" w:hAnsi="Times New Roman" w:cs="Times New Roman"/>
        </w:rPr>
        <w:t>Projected Member Months</w:t>
      </w:r>
      <w:r w:rsidRPr="00EE3B6B">
        <w:rPr>
          <w:rFonts w:ascii="Times New Roman" w:hAnsi="Times New Roman" w:cs="Times New Roman"/>
        </w:rPr>
        <w:t>.</w:t>
      </w:r>
    </w:p>
    <w:p w:rsidR="005C21E4" w:rsidRPr="00EE3B6B" w:rsidP="006D1FD2" w14:paraId="71CB9EC3" w14:textId="77777777">
      <w:pPr>
        <w:keepLines/>
        <w:spacing w:after="120" w:line="276" w:lineRule="auto"/>
        <w:rPr>
          <w:rFonts w:ascii="Times New Roman" w:hAnsi="Times New Roman" w:cs="Times New Roman"/>
        </w:rPr>
      </w:pPr>
      <w:r w:rsidRPr="00EE3B6B">
        <w:rPr>
          <w:rFonts w:ascii="Times New Roman" w:hAnsi="Times New Roman" w:cs="Times New Roman"/>
          <w:b/>
        </w:rPr>
        <w:t>Incurred Claims:</w:t>
      </w:r>
      <w:r w:rsidRPr="00EE3B6B">
        <w:rPr>
          <w:rFonts w:ascii="Times New Roman" w:hAnsi="Times New Roman" w:cs="Times New Roman"/>
        </w:rPr>
        <w:t xml:space="preserve"> This is a </w:t>
      </w:r>
      <w:r w:rsidRPr="00EE3B6B" w:rsidR="00BB21D5">
        <w:rPr>
          <w:rFonts w:ascii="Times New Roman" w:hAnsi="Times New Roman" w:cs="Times New Roman"/>
        </w:rPr>
        <w:t>PMPM</w:t>
      </w:r>
      <w:r w:rsidRPr="00EE3B6B">
        <w:rPr>
          <w:rFonts w:ascii="Times New Roman" w:hAnsi="Times New Roman" w:cs="Times New Roman"/>
        </w:rPr>
        <w:t xml:space="preserve"> </w:t>
      </w:r>
      <w:r w:rsidRPr="00EE3B6B" w:rsidR="007E7629">
        <w:rPr>
          <w:rFonts w:ascii="Times New Roman" w:hAnsi="Times New Roman" w:cs="Times New Roman"/>
        </w:rPr>
        <w:t xml:space="preserve">amount </w:t>
      </w:r>
      <w:r w:rsidRPr="00EE3B6B">
        <w:rPr>
          <w:rFonts w:ascii="Times New Roman" w:hAnsi="Times New Roman" w:cs="Times New Roman"/>
        </w:rPr>
        <w:t xml:space="preserve">calculated by dividing incurred claim amounts by </w:t>
      </w:r>
      <w:r w:rsidRPr="00EE3B6B" w:rsidR="0016375A">
        <w:rPr>
          <w:rFonts w:ascii="Times New Roman" w:hAnsi="Times New Roman" w:cs="Times New Roman"/>
        </w:rPr>
        <w:t>Projected Member Months</w:t>
      </w:r>
      <w:r w:rsidRPr="00EE3B6B">
        <w:rPr>
          <w:rFonts w:ascii="Times New Roman" w:hAnsi="Times New Roman" w:cs="Times New Roman"/>
        </w:rPr>
        <w:t>.</w:t>
      </w:r>
    </w:p>
    <w:p w:rsidR="005C21E4" w:rsidRPr="00EE3B6B" w:rsidP="006D1FD2" w14:paraId="2B96868B" w14:textId="77777777">
      <w:pPr>
        <w:keepLines/>
        <w:spacing w:after="120" w:line="276" w:lineRule="auto"/>
        <w:rPr>
          <w:rFonts w:ascii="Times New Roman" w:hAnsi="Times New Roman" w:cs="Times New Roman"/>
        </w:rPr>
      </w:pPr>
      <w:r w:rsidRPr="00EE3B6B">
        <w:rPr>
          <w:rFonts w:ascii="Times New Roman" w:hAnsi="Times New Roman" w:cs="Times New Roman"/>
          <w:b/>
        </w:rPr>
        <w:t>Risk Adjustment Transfer Amount:</w:t>
      </w:r>
      <w:r w:rsidRPr="00EE3B6B">
        <w:rPr>
          <w:rFonts w:ascii="Times New Roman" w:hAnsi="Times New Roman" w:cs="Times New Roman"/>
        </w:rPr>
        <w:t xml:space="preserve"> This is a </w:t>
      </w:r>
      <w:r w:rsidRPr="00EE3B6B" w:rsidR="00BB21D5">
        <w:rPr>
          <w:rFonts w:ascii="Times New Roman" w:hAnsi="Times New Roman" w:cs="Times New Roman"/>
        </w:rPr>
        <w:t>PMPM</w:t>
      </w:r>
      <w:r w:rsidRPr="00EE3B6B">
        <w:rPr>
          <w:rFonts w:ascii="Times New Roman" w:hAnsi="Times New Roman" w:cs="Times New Roman"/>
        </w:rPr>
        <w:t xml:space="preserve"> </w:t>
      </w:r>
      <w:r w:rsidRPr="00EE3B6B" w:rsidR="007E7629">
        <w:rPr>
          <w:rFonts w:ascii="Times New Roman" w:hAnsi="Times New Roman" w:cs="Times New Roman"/>
        </w:rPr>
        <w:t xml:space="preserve">amount </w:t>
      </w:r>
      <w:r w:rsidRPr="00EE3B6B">
        <w:rPr>
          <w:rFonts w:ascii="Times New Roman" w:hAnsi="Times New Roman" w:cs="Times New Roman"/>
        </w:rPr>
        <w:t xml:space="preserve">calculated by dividing risk adjustment amounts by </w:t>
      </w:r>
      <w:r w:rsidRPr="00EE3B6B" w:rsidR="0016375A">
        <w:rPr>
          <w:rFonts w:ascii="Times New Roman" w:hAnsi="Times New Roman" w:cs="Times New Roman"/>
        </w:rPr>
        <w:t>Projected Member Months</w:t>
      </w:r>
      <w:r w:rsidRPr="00EE3B6B">
        <w:rPr>
          <w:rFonts w:ascii="Times New Roman" w:hAnsi="Times New Roman" w:cs="Times New Roman"/>
        </w:rPr>
        <w:t>.</w:t>
      </w:r>
    </w:p>
    <w:p w:rsidR="005C21E4" w:rsidRPr="00EE3B6B" w:rsidP="006D1FD2" w14:paraId="48B444F5" w14:textId="77777777">
      <w:pPr>
        <w:keepLines/>
        <w:spacing w:after="120" w:line="276" w:lineRule="auto"/>
        <w:rPr>
          <w:rFonts w:ascii="Times New Roman" w:hAnsi="Times New Roman" w:cs="Times New Roman"/>
        </w:rPr>
      </w:pPr>
      <w:r w:rsidRPr="00EE3B6B">
        <w:rPr>
          <w:rFonts w:ascii="Times New Roman" w:hAnsi="Times New Roman" w:cs="Times New Roman"/>
          <w:b/>
        </w:rPr>
        <w:t>Premium:</w:t>
      </w:r>
      <w:r w:rsidRPr="00EE3B6B">
        <w:rPr>
          <w:rFonts w:ascii="Times New Roman" w:hAnsi="Times New Roman" w:cs="Times New Roman"/>
        </w:rPr>
        <w:t xml:space="preserve"> This is a </w:t>
      </w:r>
      <w:r w:rsidRPr="00EE3B6B" w:rsidR="00BB21D5">
        <w:rPr>
          <w:rFonts w:ascii="Times New Roman" w:hAnsi="Times New Roman" w:cs="Times New Roman"/>
        </w:rPr>
        <w:t>PMPM</w:t>
      </w:r>
      <w:r w:rsidRPr="00EE3B6B">
        <w:rPr>
          <w:rFonts w:ascii="Times New Roman" w:hAnsi="Times New Roman" w:cs="Times New Roman"/>
        </w:rPr>
        <w:t xml:space="preserve"> </w:t>
      </w:r>
      <w:r w:rsidRPr="00EE3B6B" w:rsidR="007E7629">
        <w:rPr>
          <w:rFonts w:ascii="Times New Roman" w:hAnsi="Times New Roman" w:cs="Times New Roman"/>
        </w:rPr>
        <w:t xml:space="preserve">amount </w:t>
      </w:r>
      <w:r w:rsidRPr="00EE3B6B">
        <w:rPr>
          <w:rFonts w:ascii="Times New Roman" w:hAnsi="Times New Roman" w:cs="Times New Roman"/>
        </w:rPr>
        <w:t xml:space="preserve">calculated by dividing premium amounts by </w:t>
      </w:r>
      <w:r w:rsidRPr="00EE3B6B" w:rsidR="0016375A">
        <w:rPr>
          <w:rFonts w:ascii="Times New Roman" w:hAnsi="Times New Roman" w:cs="Times New Roman"/>
        </w:rPr>
        <w:t>Projected Member Months</w:t>
      </w:r>
      <w:r w:rsidRPr="00EE3B6B">
        <w:rPr>
          <w:rFonts w:ascii="Times New Roman" w:hAnsi="Times New Roman" w:cs="Times New Roman"/>
        </w:rPr>
        <w:t>.</w:t>
      </w:r>
    </w:p>
    <w:p w:rsidR="004724D6" w:rsidRPr="00EE3B6B" w:rsidP="006C6C1A" w14:paraId="46C64943" w14:textId="77777777">
      <w:pPr>
        <w:pStyle w:val="Heading2"/>
        <w:numPr>
          <w:ilvl w:val="0"/>
          <w:numId w:val="0"/>
        </w:numPr>
        <w:ind w:left="360" w:hanging="360"/>
      </w:pPr>
      <w:bookmarkStart w:id="46" w:name="_Toc174003432"/>
      <w:r w:rsidRPr="00EE3B6B">
        <w:t>Section 2.3 Worksheet 3 – Rating Areas</w:t>
      </w:r>
      <w:bookmarkEnd w:id="46"/>
    </w:p>
    <w:p w:rsidR="004724D6" w:rsidRPr="00EE3B6B" w:rsidP="006D1FD2" w14:paraId="3FF57C83" w14:textId="77777777">
      <w:pPr>
        <w:keepLines/>
        <w:spacing w:after="120" w:line="276" w:lineRule="auto"/>
        <w:rPr>
          <w:rFonts w:ascii="Times New Roman" w:hAnsi="Times New Roman" w:cs="Times New Roman"/>
        </w:rPr>
      </w:pPr>
      <w:r w:rsidRPr="00EE3B6B">
        <w:rPr>
          <w:rFonts w:ascii="Times New Roman" w:hAnsi="Times New Roman" w:cs="Times New Roman"/>
        </w:rPr>
        <w:t xml:space="preserve">Worksheet 3 captures an issuer’s rating area factors for </w:t>
      </w:r>
      <w:r w:rsidRPr="00EE3B6B" w:rsidR="00F61E72">
        <w:rPr>
          <w:rFonts w:ascii="Times New Roman" w:hAnsi="Times New Roman" w:cs="Times New Roman"/>
        </w:rPr>
        <w:t>rating areas in which the issuer offers plans.</w:t>
      </w:r>
      <w:r w:rsidRPr="00EE3B6B" w:rsidR="005B3679">
        <w:rPr>
          <w:rFonts w:ascii="Times New Roman" w:hAnsi="Times New Roman" w:cs="Times New Roman"/>
        </w:rPr>
        <w:t xml:space="preserve"> Click on the “Create Rating Areas” button, then </w:t>
      </w:r>
      <w:r w:rsidRPr="00EE3B6B" w:rsidR="006C3B6E">
        <w:rPr>
          <w:rFonts w:ascii="Times New Roman" w:hAnsi="Times New Roman" w:cs="Times New Roman"/>
        </w:rPr>
        <w:t>enter</w:t>
      </w:r>
      <w:r w:rsidRPr="00EE3B6B" w:rsidR="005B3679">
        <w:rPr>
          <w:rFonts w:ascii="Times New Roman" w:hAnsi="Times New Roman" w:cs="Times New Roman"/>
        </w:rPr>
        <w:t xml:space="preserve"> the </w:t>
      </w:r>
      <w:r w:rsidRPr="00EE3B6B" w:rsidR="00FF4026">
        <w:rPr>
          <w:rFonts w:ascii="Times New Roman" w:hAnsi="Times New Roman" w:cs="Times New Roman"/>
        </w:rPr>
        <w:t xml:space="preserve">total </w:t>
      </w:r>
      <w:r w:rsidRPr="00EE3B6B" w:rsidR="005B3679">
        <w:rPr>
          <w:rFonts w:ascii="Times New Roman" w:hAnsi="Times New Roman" w:cs="Times New Roman"/>
        </w:rPr>
        <w:t xml:space="preserve">number of rating areas </w:t>
      </w:r>
      <w:r w:rsidRPr="00EE3B6B" w:rsidR="00AB18F2">
        <w:rPr>
          <w:rFonts w:ascii="Times New Roman" w:hAnsi="Times New Roman" w:cs="Times New Roman"/>
        </w:rPr>
        <w:t xml:space="preserve">that are </w:t>
      </w:r>
      <w:r w:rsidRPr="00EE3B6B" w:rsidR="006C3B6E">
        <w:rPr>
          <w:rFonts w:ascii="Times New Roman" w:hAnsi="Times New Roman" w:cs="Times New Roman"/>
        </w:rPr>
        <w:t xml:space="preserve">in the </w:t>
      </w:r>
      <w:r w:rsidRPr="00EE3B6B" w:rsidR="00A52393">
        <w:rPr>
          <w:rFonts w:ascii="Times New Roman" w:hAnsi="Times New Roman" w:cs="Times New Roman"/>
        </w:rPr>
        <w:t>s</w:t>
      </w:r>
      <w:r w:rsidRPr="00EE3B6B" w:rsidR="006C3B6E">
        <w:rPr>
          <w:rFonts w:ascii="Times New Roman" w:hAnsi="Times New Roman" w:cs="Times New Roman"/>
        </w:rPr>
        <w:t>tate</w:t>
      </w:r>
      <w:r w:rsidRPr="00EE3B6B" w:rsidR="00AB18F2">
        <w:rPr>
          <w:rFonts w:ascii="Times New Roman" w:hAnsi="Times New Roman" w:cs="Times New Roman"/>
        </w:rPr>
        <w:t xml:space="preserve">, regardless of the number of rating areas where coverage will </w:t>
      </w:r>
      <w:r w:rsidRPr="00EE3B6B" w:rsidR="00AB18F2">
        <w:rPr>
          <w:rFonts w:ascii="Times New Roman" w:hAnsi="Times New Roman" w:cs="Times New Roman"/>
        </w:rPr>
        <w:t>actually be</w:t>
      </w:r>
      <w:r w:rsidRPr="00EE3B6B" w:rsidR="00AB18F2">
        <w:rPr>
          <w:rFonts w:ascii="Times New Roman" w:hAnsi="Times New Roman" w:cs="Times New Roman"/>
        </w:rPr>
        <w:t xml:space="preserve"> offered</w:t>
      </w:r>
      <w:r w:rsidRPr="00EE3B6B" w:rsidR="006C3B6E">
        <w:rPr>
          <w:rFonts w:ascii="Times New Roman" w:hAnsi="Times New Roman" w:cs="Times New Roman"/>
        </w:rPr>
        <w:t xml:space="preserve">. </w:t>
      </w:r>
      <w:r w:rsidRPr="00EE3B6B" w:rsidR="005B3679">
        <w:rPr>
          <w:rFonts w:ascii="Times New Roman" w:hAnsi="Times New Roman" w:cs="Times New Roman"/>
        </w:rPr>
        <w:t>B</w:t>
      </w:r>
      <w:r w:rsidRPr="00EE3B6B" w:rsidR="006C3B6E">
        <w:rPr>
          <w:rFonts w:ascii="Times New Roman" w:hAnsi="Times New Roman" w:cs="Times New Roman"/>
        </w:rPr>
        <w:t xml:space="preserve">eginning in Row 6, </w:t>
      </w:r>
      <w:r w:rsidRPr="00EE3B6B" w:rsidR="00637AC8">
        <w:rPr>
          <w:rFonts w:ascii="Times New Roman" w:hAnsi="Times New Roman" w:cs="Times New Roman"/>
        </w:rPr>
        <w:t>the issuer</w:t>
      </w:r>
      <w:r w:rsidRPr="00EE3B6B" w:rsidR="005B3679">
        <w:rPr>
          <w:rFonts w:ascii="Times New Roman" w:hAnsi="Times New Roman" w:cs="Times New Roman"/>
        </w:rPr>
        <w:t xml:space="preserve"> can identify the rating area</w:t>
      </w:r>
      <w:r w:rsidRPr="00EE3B6B" w:rsidR="006C3B6E">
        <w:rPr>
          <w:rFonts w:ascii="Times New Roman" w:hAnsi="Times New Roman" w:cs="Times New Roman"/>
        </w:rPr>
        <w:t>s where coverage will be offered</w:t>
      </w:r>
      <w:r w:rsidRPr="00EE3B6B" w:rsidR="005B3679">
        <w:rPr>
          <w:rFonts w:ascii="Times New Roman" w:hAnsi="Times New Roman" w:cs="Times New Roman"/>
        </w:rPr>
        <w:t xml:space="preserve"> in Column A and enter the corresponding area rate factor in Column B.</w:t>
      </w:r>
    </w:p>
    <w:p w:rsidR="005B3679" w:rsidRPr="00421D1A" w:rsidP="006D1FD2" w14:paraId="47B67A04" w14:textId="77777777">
      <w:pPr>
        <w:keepLines/>
        <w:spacing w:after="120" w:line="276" w:lineRule="auto"/>
        <w:rPr>
          <w:rFonts w:ascii="Times New Roman" w:hAnsi="Times New Roman" w:cs="Times New Roman"/>
        </w:rPr>
      </w:pPr>
      <w:r w:rsidRPr="00EE3B6B">
        <w:rPr>
          <w:rFonts w:ascii="Times New Roman" w:hAnsi="Times New Roman" w:cs="Times New Roman"/>
        </w:rPr>
        <w:t>For example, i</w:t>
      </w:r>
      <w:r w:rsidRPr="00EE3B6B">
        <w:rPr>
          <w:rFonts w:ascii="Times New Roman" w:hAnsi="Times New Roman" w:cs="Times New Roman"/>
        </w:rPr>
        <w:t>f a</w:t>
      </w:r>
      <w:r w:rsidRPr="00EE3B6B" w:rsidR="00A52393">
        <w:rPr>
          <w:rFonts w:ascii="Times New Roman" w:hAnsi="Times New Roman" w:cs="Times New Roman"/>
        </w:rPr>
        <w:t xml:space="preserve"> s</w:t>
      </w:r>
      <w:r w:rsidRPr="00EE3B6B">
        <w:rPr>
          <w:rFonts w:ascii="Times New Roman" w:hAnsi="Times New Roman" w:cs="Times New Roman"/>
        </w:rPr>
        <w:t xml:space="preserve">tate had 8 rating areas and the </w:t>
      </w:r>
      <w:r w:rsidRPr="00EE3B6B">
        <w:rPr>
          <w:rFonts w:ascii="Times New Roman" w:hAnsi="Times New Roman" w:cs="Times New Roman"/>
        </w:rPr>
        <w:t xml:space="preserve">issuer were to offer coverage in all of rating areas 1 and 3 and offer coverage in one county of rating area 5, the issuer would select </w:t>
      </w:r>
      <w:r w:rsidRPr="00EE3B6B">
        <w:rPr>
          <w:rFonts w:ascii="Times New Roman" w:hAnsi="Times New Roman" w:cs="Times New Roman"/>
        </w:rPr>
        <w:t>8</w:t>
      </w:r>
      <w:r w:rsidRPr="00EE3B6B">
        <w:rPr>
          <w:rFonts w:ascii="Times New Roman" w:hAnsi="Times New Roman" w:cs="Times New Roman"/>
        </w:rPr>
        <w:t xml:space="preserve"> for the number of rating areas</w:t>
      </w:r>
      <w:r w:rsidRPr="00EE3B6B" w:rsidR="00A52393">
        <w:rPr>
          <w:rFonts w:ascii="Times New Roman" w:hAnsi="Times New Roman" w:cs="Times New Roman"/>
        </w:rPr>
        <w:t xml:space="preserve"> in the s</w:t>
      </w:r>
      <w:r w:rsidRPr="00EE3B6B">
        <w:rPr>
          <w:rFonts w:ascii="Times New Roman" w:hAnsi="Times New Roman" w:cs="Times New Roman"/>
        </w:rPr>
        <w:t>tate</w:t>
      </w:r>
      <w:r w:rsidRPr="00EE3B6B">
        <w:rPr>
          <w:rFonts w:ascii="Times New Roman" w:hAnsi="Times New Roman" w:cs="Times New Roman"/>
        </w:rPr>
        <w:t>.</w:t>
      </w:r>
      <w:r w:rsidRPr="00EE3B6B">
        <w:rPr>
          <w:rFonts w:ascii="Times New Roman" w:hAnsi="Times New Roman" w:cs="Times New Roman"/>
        </w:rPr>
        <w:t xml:space="preserve">  Beginning in cell A6, the issuer would select rating areas 1, 3, and 5 from the dropdown list in column A (select Rating Area 1 in cell A6, Rating Area 3 in cell A7, and Rating Area 5 in </w:t>
      </w:r>
      <w:r w:rsidRPr="00EE3B6B" w:rsidR="009752CA">
        <w:rPr>
          <w:rFonts w:ascii="Times New Roman" w:hAnsi="Times New Roman" w:cs="Times New Roman"/>
        </w:rPr>
        <w:t xml:space="preserve">cell A8) </w:t>
      </w:r>
      <w:r w:rsidRPr="00EE3B6B">
        <w:rPr>
          <w:rFonts w:ascii="Times New Roman" w:hAnsi="Times New Roman" w:cs="Times New Roman"/>
        </w:rPr>
        <w:t>and enter the appropriate rating factor in column B next to the corresponding rating area in column A.</w:t>
      </w:r>
      <w:r w:rsidRPr="00EE3B6B" w:rsidR="009752CA">
        <w:rPr>
          <w:rFonts w:ascii="Times New Roman" w:hAnsi="Times New Roman" w:cs="Times New Roman"/>
        </w:rPr>
        <w:t xml:space="preserve">  The issuer would not need to select the other rating areas in the </w:t>
      </w:r>
      <w:r w:rsidRPr="00EE3B6B" w:rsidR="00A52393">
        <w:rPr>
          <w:rFonts w:ascii="Times New Roman" w:hAnsi="Times New Roman" w:cs="Times New Roman"/>
        </w:rPr>
        <w:t>s</w:t>
      </w:r>
      <w:r w:rsidRPr="00EE3B6B" w:rsidR="009752CA">
        <w:rPr>
          <w:rFonts w:ascii="Times New Roman" w:hAnsi="Times New Roman" w:cs="Times New Roman"/>
        </w:rPr>
        <w:t>tate where coverage is not being offered by the issuer.</w:t>
      </w:r>
    </w:p>
    <w:p w:rsidR="00DD4BFC" w:rsidRPr="006C6C1A" w:rsidP="006C6C1A" w14:paraId="3E73CFC8" w14:textId="0A27FCF3">
      <w:pPr>
        <w:pStyle w:val="Heading1"/>
      </w:pPr>
      <w:bookmarkStart w:id="47" w:name="_Toc2208364"/>
      <w:bookmarkStart w:id="48" w:name="_Toc7529110"/>
      <w:bookmarkStart w:id="49" w:name="_Toc531192358"/>
      <w:bookmarkStart w:id="50" w:name="_Toc531192991"/>
      <w:bookmarkStart w:id="51" w:name="_Toc174003433"/>
      <w:bookmarkEnd w:id="47"/>
      <w:bookmarkEnd w:id="48"/>
      <w:bookmarkEnd w:id="49"/>
      <w:bookmarkEnd w:id="50"/>
      <w:r w:rsidRPr="006C6C1A">
        <w:t xml:space="preserve">3.  </w:t>
      </w:r>
      <w:r w:rsidRPr="006C6C1A" w:rsidR="000A5B29">
        <w:t>Part II: Written Description Justifying the Rate Increase</w:t>
      </w:r>
      <w:bookmarkEnd w:id="51"/>
    </w:p>
    <w:p w:rsidR="000A5B29" w:rsidRPr="00EE3B6B" w:rsidP="006D1FD2" w14:paraId="7BF70DCF" w14:textId="77777777">
      <w:pPr>
        <w:keepLines/>
        <w:spacing w:after="120" w:line="276" w:lineRule="auto"/>
        <w:rPr>
          <w:rFonts w:ascii="Times New Roman" w:hAnsi="Times New Roman" w:cs="Times New Roman"/>
        </w:rPr>
      </w:pPr>
      <w:r w:rsidRPr="00EE3B6B">
        <w:rPr>
          <w:rFonts w:ascii="Times New Roman" w:hAnsi="Times New Roman" w:cs="Times New Roman"/>
        </w:rPr>
        <w:t>Part II is a brief, non-technical consumer-oriented explanation of the rate increase subject to review, intended to provide context for the quantitative information provided in Part I. This data should clearly explain the information given in Part I.</w:t>
      </w:r>
    </w:p>
    <w:p w:rsidR="000A5B29" w:rsidRPr="00EE3B6B" w:rsidP="006D1FD2" w14:paraId="4FD9BC74" w14:textId="77777777">
      <w:pPr>
        <w:keepLines/>
        <w:spacing w:after="120" w:line="276" w:lineRule="auto"/>
        <w:rPr>
          <w:rFonts w:ascii="Times New Roman" w:hAnsi="Times New Roman" w:cs="Times New Roman"/>
        </w:rPr>
      </w:pPr>
      <w:r w:rsidRPr="00EE3B6B">
        <w:rPr>
          <w:rFonts w:ascii="Times New Roman" w:hAnsi="Times New Roman" w:cs="Times New Roman"/>
        </w:rPr>
        <w:t xml:space="preserve">Accordingly, </w:t>
      </w:r>
      <w:r w:rsidRPr="00EE3B6B" w:rsidR="00637AC8">
        <w:rPr>
          <w:rFonts w:ascii="Times New Roman" w:hAnsi="Times New Roman" w:cs="Times New Roman"/>
        </w:rPr>
        <w:t xml:space="preserve">Part II </w:t>
      </w:r>
      <w:r w:rsidRPr="00EE3B6B">
        <w:rPr>
          <w:rFonts w:ascii="Times New Roman" w:hAnsi="Times New Roman" w:cs="Times New Roman"/>
        </w:rPr>
        <w:t>should identify and explain the key drivers of the rate increase in Part I. For example, if inpatient costs are reported as the main factor of the rate increase, the written explanation should describe why hospital costs are increasing.</w:t>
      </w:r>
    </w:p>
    <w:p w:rsidR="000A5B29" w:rsidRPr="00EE3B6B" w:rsidP="006D1FD2" w14:paraId="6F1F8A86" w14:textId="77777777">
      <w:pPr>
        <w:keepLines/>
        <w:spacing w:after="120" w:line="276" w:lineRule="auto"/>
        <w:rPr>
          <w:rFonts w:ascii="Times New Roman" w:hAnsi="Times New Roman" w:cs="Times New Roman"/>
        </w:rPr>
      </w:pPr>
      <w:r w:rsidRPr="00EE3B6B">
        <w:rPr>
          <w:rFonts w:ascii="Times New Roman" w:hAnsi="Times New Roman" w:cs="Times New Roman"/>
        </w:rPr>
        <w:t>The explanation should include information on the following components related to the rate increase:</w:t>
      </w:r>
    </w:p>
    <w:p w:rsidR="000A5B29" w:rsidRPr="00EE3B6B" w:rsidP="006D1FD2" w14:paraId="28123576" w14:textId="77777777">
      <w:pPr>
        <w:pStyle w:val="ListParagraph"/>
        <w:keepLines/>
        <w:numPr>
          <w:ilvl w:val="0"/>
          <w:numId w:val="33"/>
        </w:numPr>
        <w:spacing w:after="120" w:line="276" w:lineRule="auto"/>
        <w:rPr>
          <w:rFonts w:ascii="Times New Roman" w:hAnsi="Times New Roman" w:cs="Times New Roman"/>
        </w:rPr>
      </w:pPr>
      <w:r w:rsidRPr="00EE3B6B">
        <w:rPr>
          <w:rFonts w:ascii="Times New Roman" w:hAnsi="Times New Roman" w:cs="Times New Roman"/>
          <w:u w:val="single"/>
        </w:rPr>
        <w:t>Scope and range of the rate increase:</w:t>
      </w:r>
      <w:r w:rsidRPr="00EE3B6B">
        <w:rPr>
          <w:rFonts w:ascii="Times New Roman" w:hAnsi="Times New Roman" w:cs="Times New Roman"/>
        </w:rPr>
        <w:t xml:space="preserve"> Provide the number of individuals impacted by the rate increase. Explain any variation in the increase among affected individuals (e.g., describe how any changes to the rating structure impact premium).</w:t>
      </w:r>
    </w:p>
    <w:p w:rsidR="000A5B29" w:rsidRPr="00EE3B6B" w:rsidP="006D1FD2" w14:paraId="5D99B03B" w14:textId="77777777">
      <w:pPr>
        <w:pStyle w:val="ListParagraph"/>
        <w:keepLines/>
        <w:numPr>
          <w:ilvl w:val="0"/>
          <w:numId w:val="33"/>
        </w:numPr>
        <w:spacing w:after="120" w:line="276" w:lineRule="auto"/>
        <w:rPr>
          <w:rFonts w:ascii="Times New Roman" w:hAnsi="Times New Roman" w:cs="Times New Roman"/>
        </w:rPr>
      </w:pPr>
      <w:r w:rsidRPr="00EE3B6B">
        <w:rPr>
          <w:rFonts w:ascii="Times New Roman" w:hAnsi="Times New Roman" w:cs="Times New Roman"/>
          <w:u w:val="single"/>
        </w:rPr>
        <w:t>Financial experience of the product:</w:t>
      </w:r>
      <w:r w:rsidRPr="00EE3B6B">
        <w:rPr>
          <w:rFonts w:ascii="Times New Roman" w:hAnsi="Times New Roman" w:cs="Times New Roman"/>
        </w:rPr>
        <w:t xml:space="preserve"> Describe the overall financial experience of the product, including historical summary-level information on historical premium revenue, claims expenses, and profit. Discuss how the rate increase will affect the projected financial experience of the product.</w:t>
      </w:r>
    </w:p>
    <w:p w:rsidR="000A5B29" w:rsidRPr="00EE3B6B" w:rsidP="006D1FD2" w14:paraId="6C0AA265" w14:textId="77777777">
      <w:pPr>
        <w:pStyle w:val="ListParagraph"/>
        <w:keepLines/>
        <w:numPr>
          <w:ilvl w:val="0"/>
          <w:numId w:val="33"/>
        </w:numPr>
        <w:spacing w:after="120" w:line="276" w:lineRule="auto"/>
        <w:rPr>
          <w:rFonts w:ascii="Times New Roman" w:hAnsi="Times New Roman" w:cs="Times New Roman"/>
        </w:rPr>
      </w:pPr>
      <w:r w:rsidRPr="00EE3B6B">
        <w:rPr>
          <w:rFonts w:ascii="Times New Roman" w:hAnsi="Times New Roman" w:cs="Times New Roman"/>
          <w:u w:val="single"/>
        </w:rPr>
        <w:t>Changes in Medical Service Costs:</w:t>
      </w:r>
      <w:r w:rsidRPr="00EE3B6B">
        <w:rPr>
          <w:rFonts w:ascii="Times New Roman" w:hAnsi="Times New Roman" w:cs="Times New Roman"/>
        </w:rPr>
        <w:t xml:space="preserve"> Describe how changes in medical service costs are contributing to the overall rate increase. Discuss cost and utilization changes as well as any other relevant factors that are impacting overall service costs.</w:t>
      </w:r>
    </w:p>
    <w:p w:rsidR="000A5B29" w:rsidRPr="00EE3B6B" w:rsidP="006D1FD2" w14:paraId="6F04EA29" w14:textId="77777777">
      <w:pPr>
        <w:pStyle w:val="ListParagraph"/>
        <w:keepLines/>
        <w:numPr>
          <w:ilvl w:val="0"/>
          <w:numId w:val="33"/>
        </w:numPr>
        <w:spacing w:after="120" w:line="276" w:lineRule="auto"/>
        <w:rPr>
          <w:rFonts w:ascii="Times New Roman" w:hAnsi="Times New Roman" w:cs="Times New Roman"/>
        </w:rPr>
      </w:pPr>
      <w:r w:rsidRPr="00EE3B6B">
        <w:rPr>
          <w:rFonts w:ascii="Times New Roman" w:hAnsi="Times New Roman" w:cs="Times New Roman"/>
          <w:u w:val="single"/>
        </w:rPr>
        <w:t>Changes in benefits:</w:t>
      </w:r>
      <w:r w:rsidRPr="00EE3B6B">
        <w:rPr>
          <w:rFonts w:ascii="Times New Roman" w:hAnsi="Times New Roman" w:cs="Times New Roman"/>
        </w:rPr>
        <w:t xml:space="preserve"> Describe any changes in benefits and explain how benefit changes affect the rate increase. Issuers should explain whether the applicable benefit changes are required by law.</w:t>
      </w:r>
    </w:p>
    <w:p w:rsidR="000A5B29" w:rsidRPr="00EE3B6B" w:rsidP="006D1FD2" w14:paraId="2A980F45" w14:textId="77777777">
      <w:pPr>
        <w:pStyle w:val="ListParagraph"/>
        <w:keepLines/>
        <w:numPr>
          <w:ilvl w:val="0"/>
          <w:numId w:val="33"/>
        </w:numPr>
        <w:spacing w:after="120" w:line="276" w:lineRule="auto"/>
        <w:rPr>
          <w:rFonts w:ascii="Times New Roman" w:hAnsi="Times New Roman" w:cs="Times New Roman"/>
        </w:rPr>
      </w:pPr>
      <w:r w:rsidRPr="00EE3B6B">
        <w:rPr>
          <w:rFonts w:ascii="Times New Roman" w:hAnsi="Times New Roman" w:cs="Times New Roman"/>
          <w:u w:val="single"/>
        </w:rPr>
        <w:t>Administrative costs and anticipated margins:</w:t>
      </w:r>
      <w:r w:rsidRPr="00EE3B6B">
        <w:rPr>
          <w:rFonts w:ascii="Times New Roman" w:hAnsi="Times New Roman" w:cs="Times New Roman"/>
        </w:rPr>
        <w:t xml:space="preserve"> Identify the main drivers of changes in administrative costs. Discuss how changes in anticipated administrative costs and underwriting gain/loss are impacting the rate increase.</w:t>
      </w:r>
    </w:p>
    <w:p w:rsidR="000A5B29" w:rsidRPr="00EE3B6B" w:rsidP="006D1FD2" w14:paraId="268EA4F5" w14:textId="77777777">
      <w:pPr>
        <w:keepLines/>
        <w:spacing w:after="120" w:line="276" w:lineRule="auto"/>
        <w:rPr>
          <w:rFonts w:ascii="Times New Roman" w:hAnsi="Times New Roman" w:cs="Times New Roman"/>
        </w:rPr>
      </w:pPr>
      <w:r w:rsidRPr="00EE3B6B">
        <w:rPr>
          <w:rFonts w:ascii="Times New Roman" w:hAnsi="Times New Roman" w:cs="Times New Roman"/>
        </w:rPr>
        <w:t>There is no standardized reporting form for Part II, but issuers are expected to cover the items listed above in their submissions. HIOS will require the issuer to enter Part II if any renewing plan within a product has a rate increase of 1</w:t>
      </w:r>
      <w:r w:rsidRPr="00EE3B6B" w:rsidR="00DE602A">
        <w:rPr>
          <w:rFonts w:ascii="Times New Roman" w:hAnsi="Times New Roman" w:cs="Times New Roman"/>
        </w:rPr>
        <w:t>5</w:t>
      </w:r>
      <w:r w:rsidRPr="00EE3B6B">
        <w:rPr>
          <w:rFonts w:ascii="Times New Roman" w:hAnsi="Times New Roman" w:cs="Times New Roman"/>
        </w:rPr>
        <w:t xml:space="preserve">% or more. The written statement must be </w:t>
      </w:r>
      <w:r w:rsidRPr="00EE3B6B" w:rsidR="00FF4026">
        <w:rPr>
          <w:rFonts w:ascii="Times New Roman" w:hAnsi="Times New Roman" w:cs="Times New Roman"/>
        </w:rPr>
        <w:t xml:space="preserve">uploaded </w:t>
      </w:r>
      <w:r w:rsidRPr="00EE3B6B">
        <w:rPr>
          <w:rFonts w:ascii="Times New Roman" w:hAnsi="Times New Roman" w:cs="Times New Roman"/>
        </w:rPr>
        <w:t xml:space="preserve">in HIOS </w:t>
      </w:r>
      <w:r w:rsidRPr="00EE3B6B" w:rsidR="00FF4026">
        <w:rPr>
          <w:rFonts w:ascii="Times New Roman" w:hAnsi="Times New Roman" w:cs="Times New Roman"/>
        </w:rPr>
        <w:t>in one of the accepted document types</w:t>
      </w:r>
      <w:r w:rsidRPr="00EE3B6B">
        <w:rPr>
          <w:rFonts w:ascii="Times New Roman" w:hAnsi="Times New Roman" w:cs="Times New Roman"/>
        </w:rPr>
        <w:t>. Such information posted by the issuer will be clearly displayed as the statements of the issuer. CMS will not edit the statements provided by issuers for Part II.</w:t>
      </w:r>
    </w:p>
    <w:p w:rsidR="0003054A" w:rsidRPr="00EE3B6B" w:rsidP="006C6C1A" w14:paraId="495B0B24" w14:textId="7CA3F3C0">
      <w:pPr>
        <w:pStyle w:val="Heading1"/>
      </w:pPr>
      <w:bookmarkStart w:id="52" w:name="_Toc34754809"/>
      <w:bookmarkStart w:id="53" w:name="_Toc174003434"/>
      <w:bookmarkEnd w:id="52"/>
      <w:r>
        <w:t xml:space="preserve">4.  </w:t>
      </w:r>
      <w:r w:rsidRPr="00EE3B6B">
        <w:t>Part III: Actuarial Memorandum and Certification Instructions</w:t>
      </w:r>
      <w:bookmarkEnd w:id="53"/>
    </w:p>
    <w:p w:rsidR="0003054A" w:rsidRPr="00EE3B6B" w:rsidP="006D1FD2" w14:paraId="44C75080" w14:textId="77777777">
      <w:pPr>
        <w:keepLines/>
        <w:spacing w:after="120" w:line="276" w:lineRule="auto"/>
        <w:rPr>
          <w:rFonts w:ascii="Times New Roman" w:hAnsi="Times New Roman" w:cs="Times New Roman"/>
        </w:rPr>
      </w:pPr>
      <w:r w:rsidRPr="00EE3B6B">
        <w:rPr>
          <w:rFonts w:ascii="Times New Roman" w:hAnsi="Times New Roman" w:cs="Times New Roman"/>
        </w:rPr>
        <w:t>The Part III Actuarial Memorandum instructions below are considered the minimum requirements for a Part III submission. However, issuers are encouraged to provide as much detail and supporting documentation as possible in advance to avoid delaying the review process. If</w:t>
      </w:r>
      <w:r w:rsidRPr="00EE3B6B" w:rsidR="00ED1754">
        <w:rPr>
          <w:rFonts w:ascii="Times New Roman" w:hAnsi="Times New Roman" w:cs="Times New Roman"/>
        </w:rPr>
        <w:t xml:space="preserve"> </w:t>
      </w:r>
      <w:r w:rsidRPr="00EE3B6B">
        <w:rPr>
          <w:rFonts w:ascii="Times New Roman" w:hAnsi="Times New Roman" w:cs="Times New Roman"/>
        </w:rPr>
        <w:t>additional information is necessary to properly complete the review, issuers are required to respond to all questions in a limited timeframe. Failure to provide information on a timely basis or failure to provide accurate information slows the review process and puts the issuer at risk for missing critical deadlines to offer products and plans in the individual</w:t>
      </w:r>
      <w:r w:rsidRPr="00EE3B6B" w:rsidR="00FA668B">
        <w:rPr>
          <w:rFonts w:ascii="Times New Roman" w:hAnsi="Times New Roman" w:cs="Times New Roman"/>
        </w:rPr>
        <w:t>,</w:t>
      </w:r>
      <w:r w:rsidRPr="00EE3B6B">
        <w:rPr>
          <w:rFonts w:ascii="Times New Roman" w:hAnsi="Times New Roman" w:cs="Times New Roman"/>
        </w:rPr>
        <w:t xml:space="preserve"> small group</w:t>
      </w:r>
      <w:r w:rsidRPr="00EE3B6B" w:rsidR="00FF4026">
        <w:rPr>
          <w:rFonts w:ascii="Times New Roman" w:hAnsi="Times New Roman" w:cs="Times New Roman"/>
        </w:rPr>
        <w:t>, and combined</w:t>
      </w:r>
      <w:r w:rsidRPr="00EE3B6B">
        <w:rPr>
          <w:rFonts w:ascii="Times New Roman" w:hAnsi="Times New Roman" w:cs="Times New Roman"/>
        </w:rPr>
        <w:t xml:space="preserve"> markets.</w:t>
      </w:r>
    </w:p>
    <w:p w:rsidR="0003054A" w:rsidRPr="00EE3B6B" w:rsidP="006D1FD2" w14:paraId="2D6811F9" w14:textId="77777777">
      <w:pPr>
        <w:keepLines/>
        <w:spacing w:after="120" w:line="276" w:lineRule="auto"/>
        <w:rPr>
          <w:rFonts w:ascii="Times New Roman" w:hAnsi="Times New Roman" w:cs="Times New Roman"/>
        </w:rPr>
      </w:pPr>
      <w:r w:rsidRPr="00EE3B6B">
        <w:rPr>
          <w:rFonts w:ascii="Times New Roman" w:hAnsi="Times New Roman" w:cs="Times New Roman"/>
        </w:rPr>
        <w:t>The Actuarial Memorandum must also capture appropriate actuarial certifications related to:</w:t>
      </w:r>
    </w:p>
    <w:p w:rsidR="0003054A" w:rsidRPr="00EE3B6B" w:rsidP="006D1FD2" w14:paraId="0C863E46" w14:textId="77777777">
      <w:pPr>
        <w:pStyle w:val="ListParagraph"/>
        <w:keepLines/>
        <w:numPr>
          <w:ilvl w:val="0"/>
          <w:numId w:val="34"/>
        </w:numPr>
        <w:spacing w:after="120" w:line="276" w:lineRule="auto"/>
        <w:rPr>
          <w:rFonts w:ascii="Times New Roman" w:hAnsi="Times New Roman" w:cs="Times New Roman"/>
        </w:rPr>
      </w:pPr>
      <w:r w:rsidRPr="00EE3B6B">
        <w:rPr>
          <w:rFonts w:ascii="Times New Roman" w:hAnsi="Times New Roman" w:cs="Times New Roman"/>
        </w:rPr>
        <w:t>The methodology used to calculate the AV Metal Value for each plan.</w:t>
      </w:r>
    </w:p>
    <w:p w:rsidR="0003054A" w:rsidRPr="00EE3B6B" w:rsidP="006D1FD2" w14:paraId="150FBB7B" w14:textId="77777777">
      <w:pPr>
        <w:pStyle w:val="ListParagraph"/>
        <w:keepLines/>
        <w:numPr>
          <w:ilvl w:val="0"/>
          <w:numId w:val="34"/>
        </w:numPr>
        <w:spacing w:after="120" w:line="276" w:lineRule="auto"/>
        <w:rPr>
          <w:rFonts w:ascii="Times New Roman" w:hAnsi="Times New Roman" w:cs="Times New Roman"/>
        </w:rPr>
      </w:pPr>
      <w:r w:rsidRPr="00EE3B6B">
        <w:rPr>
          <w:rFonts w:ascii="Times New Roman" w:hAnsi="Times New Roman" w:cs="Times New Roman"/>
        </w:rPr>
        <w:t xml:space="preserve">The development of the </w:t>
      </w:r>
      <w:r w:rsidRPr="00EE3B6B" w:rsidR="00C66220">
        <w:rPr>
          <w:rFonts w:ascii="Times New Roman" w:hAnsi="Times New Roman" w:cs="Times New Roman"/>
        </w:rPr>
        <w:t>Index Rate</w:t>
      </w:r>
      <w:r w:rsidRPr="00EE3B6B">
        <w:rPr>
          <w:rFonts w:ascii="Times New Roman" w:hAnsi="Times New Roman" w:cs="Times New Roman"/>
        </w:rPr>
        <w:t xml:space="preserve"> in accordance with </w:t>
      </w:r>
      <w:r w:rsidRPr="00EE3B6B" w:rsidR="00DF2F3B">
        <w:rPr>
          <w:rFonts w:ascii="Times New Roman" w:hAnsi="Times New Roman" w:cs="Times New Roman"/>
        </w:rPr>
        <w:t>f</w:t>
      </w:r>
      <w:r w:rsidRPr="00EE3B6B">
        <w:rPr>
          <w:rFonts w:ascii="Times New Roman" w:hAnsi="Times New Roman" w:cs="Times New Roman"/>
        </w:rPr>
        <w:t xml:space="preserve">ederal regulations, and the development of plan specific premium rates using allowable modifiers to the </w:t>
      </w:r>
      <w:r w:rsidRPr="00EE3B6B" w:rsidR="00C66220">
        <w:rPr>
          <w:rFonts w:ascii="Times New Roman" w:hAnsi="Times New Roman" w:cs="Times New Roman"/>
        </w:rPr>
        <w:t>Index Rate</w:t>
      </w:r>
      <w:r w:rsidRPr="00EE3B6B">
        <w:rPr>
          <w:rFonts w:ascii="Times New Roman" w:hAnsi="Times New Roman" w:cs="Times New Roman"/>
        </w:rPr>
        <w:t>.</w:t>
      </w:r>
    </w:p>
    <w:p w:rsidR="0003054A" w:rsidRPr="00EE3B6B" w:rsidP="006D1FD2" w14:paraId="17980C11" w14:textId="77777777">
      <w:pPr>
        <w:pStyle w:val="ListParagraph"/>
        <w:keepLines/>
        <w:numPr>
          <w:ilvl w:val="0"/>
          <w:numId w:val="34"/>
        </w:numPr>
        <w:spacing w:after="120" w:line="276" w:lineRule="auto"/>
        <w:rPr>
          <w:rFonts w:ascii="Times New Roman" w:hAnsi="Times New Roman" w:cs="Times New Roman"/>
        </w:rPr>
      </w:pPr>
      <w:r w:rsidRPr="00EE3B6B">
        <w:rPr>
          <w:rFonts w:ascii="Times New Roman" w:hAnsi="Times New Roman" w:cs="Times New Roman"/>
        </w:rPr>
        <w:t>The geographic rating factors, which should reflect differences only in the costs of delivery (which can include unit cost and provider practice pattern differences) and not differences in population morbidity by geographic area.</w:t>
      </w:r>
    </w:p>
    <w:p w:rsidR="0003054A" w:rsidRPr="00EE3B6B" w:rsidP="006D1FD2" w14:paraId="3F13AC5C" w14:textId="77777777">
      <w:pPr>
        <w:keepLines/>
        <w:spacing w:after="120" w:line="276" w:lineRule="auto"/>
        <w:rPr>
          <w:rFonts w:ascii="Times New Roman" w:hAnsi="Times New Roman" w:cs="Times New Roman"/>
        </w:rPr>
      </w:pPr>
      <w:r w:rsidRPr="00EE3B6B">
        <w:rPr>
          <w:rFonts w:ascii="Times New Roman" w:hAnsi="Times New Roman" w:cs="Times New Roman"/>
        </w:rPr>
        <w:t>State specific required information or certifications may also be included at the actuary’s discretion</w:t>
      </w:r>
      <w:r w:rsidRPr="00EE3B6B" w:rsidR="00ED1754">
        <w:rPr>
          <w:rFonts w:ascii="Times New Roman" w:hAnsi="Times New Roman" w:cs="Times New Roman"/>
        </w:rPr>
        <w:t xml:space="preserve"> to avoid the </w:t>
      </w:r>
      <w:r w:rsidRPr="00EE3B6B" w:rsidR="005E1007">
        <w:rPr>
          <w:rFonts w:ascii="Times New Roman" w:hAnsi="Times New Roman" w:cs="Times New Roman"/>
        </w:rPr>
        <w:t xml:space="preserve">need to </w:t>
      </w:r>
      <w:r w:rsidRPr="00EE3B6B" w:rsidR="00A52393">
        <w:rPr>
          <w:rFonts w:ascii="Times New Roman" w:hAnsi="Times New Roman" w:cs="Times New Roman"/>
        </w:rPr>
        <w:t>create a separate state actuarial m</w:t>
      </w:r>
      <w:r w:rsidRPr="00EE3B6B" w:rsidR="005E1007">
        <w:rPr>
          <w:rFonts w:ascii="Times New Roman" w:hAnsi="Times New Roman" w:cs="Times New Roman"/>
        </w:rPr>
        <w:t>emorandum</w:t>
      </w:r>
      <w:r w:rsidRPr="00EE3B6B">
        <w:rPr>
          <w:rFonts w:ascii="Times New Roman" w:hAnsi="Times New Roman" w:cs="Times New Roman"/>
        </w:rPr>
        <w:t xml:space="preserve">. </w:t>
      </w:r>
    </w:p>
    <w:p w:rsidR="0003054A" w:rsidRPr="00EE3B6B" w:rsidP="006D1FD2" w14:paraId="70C82A7F" w14:textId="77777777">
      <w:pPr>
        <w:keepLines/>
        <w:spacing w:after="120" w:line="276" w:lineRule="auto"/>
        <w:rPr>
          <w:rFonts w:ascii="Times New Roman" w:hAnsi="Times New Roman" w:cs="Times New Roman"/>
        </w:rPr>
      </w:pPr>
      <w:r w:rsidRPr="00EE3B6B">
        <w:rPr>
          <w:rFonts w:ascii="Times New Roman" w:hAnsi="Times New Roman" w:cs="Times New Roman"/>
        </w:rPr>
        <w:t>In any case where information provided is not broadly applicable to all products and plans included in the submission, please clearly indicate to which products and plans the information applies.</w:t>
      </w:r>
    </w:p>
    <w:p w:rsidR="0003054A" w:rsidRPr="00EE3B6B" w:rsidP="006C6C1A" w14:paraId="4A134B9D" w14:textId="77777777">
      <w:pPr>
        <w:pStyle w:val="Heading2"/>
        <w:numPr>
          <w:ilvl w:val="0"/>
          <w:numId w:val="0"/>
        </w:numPr>
        <w:ind w:left="360" w:hanging="360"/>
      </w:pPr>
      <w:bookmarkStart w:id="54" w:name="_Toc174003435"/>
      <w:r w:rsidRPr="00EE3B6B">
        <w:t>4.1 Redacted Actuarial Memorandum</w:t>
      </w:r>
      <w:bookmarkEnd w:id="54"/>
    </w:p>
    <w:p w:rsidR="007C1A30" w:rsidRPr="00EE3B6B" w:rsidP="006D1FD2" w14:paraId="61489B14" w14:textId="77777777">
      <w:pPr>
        <w:keepLines/>
        <w:spacing w:after="120" w:line="276" w:lineRule="auto"/>
        <w:rPr>
          <w:rFonts w:ascii="Times New Roman" w:hAnsi="Times New Roman" w:cs="Times New Roman"/>
          <w:b/>
        </w:rPr>
      </w:pPr>
      <w:r w:rsidRPr="00EE3B6B">
        <w:rPr>
          <w:rFonts w:ascii="Times New Roman" w:hAnsi="Times New Roman" w:cs="Times New Roman"/>
        </w:rPr>
        <w:t xml:space="preserve">As required by 45 CFR 154.215(h)(2), CMS will make available to the public the information contained in Part III of each Rate Filing Justification that is not a trade secret or confidential commercial or financial information, consistent with HHS FOIA regulations, 45 CFR 5.31(d). To facilitate release of Part III to the public, health insurance issuers must upload two versions of Part III: (1) a </w:t>
      </w:r>
      <w:r w:rsidRPr="00EE3B6B" w:rsidR="00877947">
        <w:rPr>
          <w:rFonts w:ascii="Times New Roman" w:hAnsi="Times New Roman" w:cs="Times New Roman"/>
        </w:rPr>
        <w:t>non-</w:t>
      </w:r>
      <w:r w:rsidRPr="00EE3B6B">
        <w:rPr>
          <w:rFonts w:ascii="Times New Roman" w:hAnsi="Times New Roman" w:cs="Times New Roman"/>
        </w:rPr>
        <w:t xml:space="preserve">redacted version for CMS review (“CMS version”) and (2) a redacted version that will be made available to the public (“public version”). The CMS version should contain all data elements and information required in this manual with no redactions. The public version should redact only information that is a trade secret or confidential commercial or financial information. </w:t>
      </w:r>
      <w:r w:rsidRPr="00EE3B6B">
        <w:rPr>
          <w:rFonts w:ascii="Times New Roman" w:hAnsi="Times New Roman" w:cs="Times New Roman"/>
          <w:b/>
        </w:rPr>
        <w:t>Redacted Actuarial Memorandums will be reviewed for compliance with 45 CFR 5.31(d) to ensure that issuers are not redacting more information than is allowable according to the regulation.</w:t>
      </w:r>
    </w:p>
    <w:p w:rsidR="007C1A30" w:rsidRPr="00EE3B6B" w:rsidP="006D1FD2" w14:paraId="39722E53" w14:textId="77777777">
      <w:pPr>
        <w:keepLines/>
        <w:spacing w:after="120" w:line="276" w:lineRule="auto"/>
        <w:rPr>
          <w:rFonts w:ascii="Times New Roman" w:hAnsi="Times New Roman" w:cs="Times New Roman"/>
        </w:rPr>
      </w:pPr>
      <w:r w:rsidRPr="00EE3B6B">
        <w:rPr>
          <w:rFonts w:ascii="Times New Roman" w:hAnsi="Times New Roman" w:cs="Times New Roman"/>
        </w:rPr>
        <w:t xml:space="preserve">The HIOS system requires the Redacted Actuarial Memorandum to be uploaded to a particular field, or a box may be checked indicating CMS should use the </w:t>
      </w:r>
      <w:r w:rsidRPr="00EE3B6B" w:rsidR="002C7610">
        <w:rPr>
          <w:rFonts w:ascii="Times New Roman" w:hAnsi="Times New Roman" w:cs="Times New Roman"/>
        </w:rPr>
        <w:t>no</w:t>
      </w:r>
      <w:r w:rsidRPr="00EE3B6B">
        <w:rPr>
          <w:rFonts w:ascii="Times New Roman" w:hAnsi="Times New Roman" w:cs="Times New Roman"/>
        </w:rPr>
        <w:t xml:space="preserve">n-redacted Actuarial Memorandum uploaded for CMS review. If an issuer selects this box, the </w:t>
      </w:r>
      <w:r w:rsidRPr="00EE3B6B" w:rsidR="0050500E">
        <w:rPr>
          <w:rFonts w:ascii="Times New Roman" w:hAnsi="Times New Roman" w:cs="Times New Roman"/>
        </w:rPr>
        <w:t>no</w:t>
      </w:r>
      <w:r w:rsidRPr="00EE3B6B">
        <w:rPr>
          <w:rFonts w:ascii="Times New Roman" w:hAnsi="Times New Roman" w:cs="Times New Roman"/>
        </w:rPr>
        <w:t>n-redacted version will appear on the HHS website (RateReview.Healthcare.gov).</w:t>
      </w:r>
    </w:p>
    <w:p w:rsidR="007C1A30" w:rsidRPr="00EE3B6B" w:rsidP="006C6C1A" w14:paraId="6C67FABE" w14:textId="77777777">
      <w:pPr>
        <w:pStyle w:val="Heading2"/>
        <w:numPr>
          <w:ilvl w:val="0"/>
          <w:numId w:val="0"/>
        </w:numPr>
        <w:ind w:left="360" w:hanging="360"/>
      </w:pPr>
      <w:bookmarkStart w:id="55" w:name="_Toc174003436"/>
      <w:r w:rsidRPr="00EE3B6B">
        <w:t>4.2 General Information Section</w:t>
      </w:r>
      <w:bookmarkEnd w:id="55"/>
    </w:p>
    <w:p w:rsidR="007C1A30" w:rsidRPr="00EE3B6B" w:rsidP="006D1FD2" w14:paraId="6C0B4DFF" w14:textId="77777777">
      <w:pPr>
        <w:keepLines/>
        <w:spacing w:after="120" w:line="276" w:lineRule="auto"/>
        <w:rPr>
          <w:rFonts w:ascii="Times New Roman" w:hAnsi="Times New Roman" w:cs="Times New Roman"/>
        </w:rPr>
      </w:pPr>
      <w:r w:rsidRPr="00EE3B6B">
        <w:rPr>
          <w:rFonts w:ascii="Times New Roman" w:hAnsi="Times New Roman" w:cs="Times New Roman"/>
        </w:rPr>
        <w:t>This section of the Actuarial Memorandum should include general information about the issuer and the policies which are the subject of the submission. The information provided in this section should include at least the following:</w:t>
      </w:r>
    </w:p>
    <w:p w:rsidR="007C1A30" w:rsidRPr="00EE3B6B" w:rsidP="006D1FD2" w14:paraId="08BC1CF6" w14:textId="77777777">
      <w:pPr>
        <w:keepLines/>
        <w:spacing w:after="120" w:line="276" w:lineRule="auto"/>
        <w:rPr>
          <w:rFonts w:ascii="Times New Roman" w:hAnsi="Times New Roman" w:cs="Times New Roman"/>
        </w:rPr>
      </w:pPr>
      <w:r w:rsidRPr="00EE3B6B">
        <w:rPr>
          <w:rFonts w:ascii="Times New Roman" w:hAnsi="Times New Roman" w:cs="Times New Roman"/>
          <w:b/>
        </w:rPr>
        <w:t>Company Identifying Information:</w:t>
      </w:r>
      <w:r w:rsidRPr="00EE3B6B">
        <w:rPr>
          <w:rFonts w:ascii="Times New Roman" w:hAnsi="Times New Roman" w:cs="Times New Roman"/>
        </w:rPr>
        <w:t xml:space="preserve">  Provide the following information that uniquely identifies the issuer submitting the memorandum. The information must be the same as the entries in the general information section of Worksheet 1 of the URRT (see the instructions for the URRT for additional definition of these fields):</w:t>
      </w:r>
    </w:p>
    <w:p w:rsidR="007C1A30" w:rsidRPr="00EE3B6B" w:rsidP="006D1FD2" w14:paraId="33AFBD72" w14:textId="77777777">
      <w:pPr>
        <w:pStyle w:val="ListParagraph"/>
        <w:keepLines/>
        <w:numPr>
          <w:ilvl w:val="0"/>
          <w:numId w:val="35"/>
        </w:numPr>
        <w:spacing w:after="120" w:line="276" w:lineRule="auto"/>
        <w:rPr>
          <w:rFonts w:ascii="Times New Roman" w:hAnsi="Times New Roman" w:cs="Times New Roman"/>
        </w:rPr>
      </w:pPr>
      <w:r w:rsidRPr="00EE3B6B">
        <w:rPr>
          <w:rFonts w:ascii="Times New Roman" w:hAnsi="Times New Roman" w:cs="Times New Roman"/>
        </w:rPr>
        <w:t>Company Legal Name: the organization's legal entity name associated with the HIOS Issuer ID.</w:t>
      </w:r>
    </w:p>
    <w:p w:rsidR="007C1A30" w:rsidRPr="00EE3B6B" w:rsidP="006D1FD2" w14:paraId="78037B1A" w14:textId="77777777">
      <w:pPr>
        <w:pStyle w:val="ListParagraph"/>
        <w:keepLines/>
        <w:numPr>
          <w:ilvl w:val="0"/>
          <w:numId w:val="35"/>
        </w:numPr>
        <w:spacing w:after="120" w:line="276" w:lineRule="auto"/>
        <w:rPr>
          <w:rFonts w:ascii="Times New Roman" w:hAnsi="Times New Roman" w:cs="Times New Roman"/>
        </w:rPr>
      </w:pPr>
      <w:r w:rsidRPr="00EE3B6B">
        <w:rPr>
          <w:rFonts w:ascii="Times New Roman" w:hAnsi="Times New Roman" w:cs="Times New Roman"/>
        </w:rPr>
        <w:t xml:space="preserve">State:  the </w:t>
      </w:r>
      <w:r w:rsidRPr="00EE3B6B" w:rsidR="00A52393">
        <w:rPr>
          <w:rFonts w:ascii="Times New Roman" w:hAnsi="Times New Roman" w:cs="Times New Roman"/>
        </w:rPr>
        <w:t>s</w:t>
      </w:r>
      <w:r w:rsidRPr="00EE3B6B">
        <w:rPr>
          <w:rFonts w:ascii="Times New Roman" w:hAnsi="Times New Roman" w:cs="Times New Roman"/>
        </w:rPr>
        <w:t>tate that has regulatory authority over the policies.</w:t>
      </w:r>
    </w:p>
    <w:p w:rsidR="007C1A30" w:rsidRPr="00EE3B6B" w:rsidP="006D1FD2" w14:paraId="38969998" w14:textId="77777777">
      <w:pPr>
        <w:pStyle w:val="ListParagraph"/>
        <w:keepLines/>
        <w:numPr>
          <w:ilvl w:val="0"/>
          <w:numId w:val="35"/>
        </w:numPr>
        <w:spacing w:after="120" w:line="276" w:lineRule="auto"/>
        <w:rPr>
          <w:rFonts w:ascii="Times New Roman" w:hAnsi="Times New Roman" w:cs="Times New Roman"/>
        </w:rPr>
      </w:pPr>
      <w:r w:rsidRPr="00EE3B6B">
        <w:rPr>
          <w:rFonts w:ascii="Times New Roman" w:hAnsi="Times New Roman" w:cs="Times New Roman"/>
        </w:rPr>
        <w:t>HIOS Issuer ID:  the HIOS ID assigned to the legal entity.</w:t>
      </w:r>
    </w:p>
    <w:p w:rsidR="007C1A30" w:rsidRPr="00EE3B6B" w:rsidP="006D1FD2" w14:paraId="048F2D85" w14:textId="77777777">
      <w:pPr>
        <w:pStyle w:val="ListParagraph"/>
        <w:keepLines/>
        <w:numPr>
          <w:ilvl w:val="0"/>
          <w:numId w:val="35"/>
        </w:numPr>
        <w:spacing w:after="120" w:line="276" w:lineRule="auto"/>
        <w:rPr>
          <w:rFonts w:ascii="Times New Roman" w:hAnsi="Times New Roman" w:cs="Times New Roman"/>
        </w:rPr>
      </w:pPr>
      <w:r w:rsidRPr="00EE3B6B">
        <w:rPr>
          <w:rFonts w:ascii="Times New Roman" w:hAnsi="Times New Roman" w:cs="Times New Roman"/>
        </w:rPr>
        <w:t>Market:  the market in which the products and plans are offered.</w:t>
      </w:r>
    </w:p>
    <w:p w:rsidR="007C1A30" w:rsidRPr="00EE3B6B" w:rsidP="006D1FD2" w14:paraId="03D1FDDE" w14:textId="77777777">
      <w:pPr>
        <w:pStyle w:val="ListParagraph"/>
        <w:keepLines/>
        <w:numPr>
          <w:ilvl w:val="0"/>
          <w:numId w:val="35"/>
        </w:numPr>
        <w:spacing w:after="120" w:line="276" w:lineRule="auto"/>
        <w:rPr>
          <w:rFonts w:ascii="Times New Roman" w:hAnsi="Times New Roman" w:cs="Times New Roman"/>
        </w:rPr>
      </w:pPr>
      <w:r w:rsidRPr="00EE3B6B">
        <w:rPr>
          <w:rFonts w:ascii="Times New Roman" w:hAnsi="Times New Roman" w:cs="Times New Roman"/>
        </w:rPr>
        <w:t xml:space="preserve">Effective Date:  the effective date of the change of the </w:t>
      </w:r>
      <w:r w:rsidRPr="00EE3B6B" w:rsidR="00C66220">
        <w:rPr>
          <w:rFonts w:ascii="Times New Roman" w:hAnsi="Times New Roman" w:cs="Times New Roman"/>
        </w:rPr>
        <w:t>Index Rate</w:t>
      </w:r>
      <w:r w:rsidRPr="00EE3B6B">
        <w:rPr>
          <w:rFonts w:ascii="Times New Roman" w:hAnsi="Times New Roman" w:cs="Times New Roman"/>
        </w:rPr>
        <w:t>.</w:t>
      </w:r>
    </w:p>
    <w:p w:rsidR="007C1A30" w:rsidRPr="00EE3B6B" w:rsidP="006D1FD2" w14:paraId="2A04EA1E" w14:textId="77777777">
      <w:pPr>
        <w:keepLines/>
        <w:spacing w:after="120" w:line="276" w:lineRule="auto"/>
        <w:rPr>
          <w:rFonts w:ascii="Times New Roman" w:hAnsi="Times New Roman" w:cs="Times New Roman"/>
        </w:rPr>
      </w:pPr>
      <w:r w:rsidRPr="00EE3B6B">
        <w:rPr>
          <w:rFonts w:ascii="Times New Roman" w:hAnsi="Times New Roman" w:cs="Times New Roman"/>
          <w:b/>
        </w:rPr>
        <w:t>Company Contact Information:</w:t>
      </w:r>
      <w:r w:rsidRPr="00EE3B6B">
        <w:rPr>
          <w:rFonts w:ascii="Times New Roman" w:hAnsi="Times New Roman" w:cs="Times New Roman"/>
        </w:rPr>
        <w:t xml:space="preserve">  Provide the following information detailing how the reviewing regulator should contact the company in the case additional information is needed.</w:t>
      </w:r>
    </w:p>
    <w:p w:rsidR="007C1A30" w:rsidRPr="00EE3B6B" w:rsidP="006D1FD2" w14:paraId="19964AC8" w14:textId="77777777">
      <w:pPr>
        <w:pStyle w:val="ListParagraph"/>
        <w:keepLines/>
        <w:numPr>
          <w:ilvl w:val="0"/>
          <w:numId w:val="36"/>
        </w:numPr>
        <w:spacing w:after="120" w:line="276" w:lineRule="auto"/>
        <w:rPr>
          <w:rFonts w:ascii="Times New Roman" w:hAnsi="Times New Roman" w:cs="Times New Roman"/>
        </w:rPr>
      </w:pPr>
      <w:r w:rsidRPr="00EE3B6B">
        <w:rPr>
          <w:rFonts w:ascii="Times New Roman" w:hAnsi="Times New Roman" w:cs="Times New Roman"/>
        </w:rPr>
        <w:t>Primary Contact Name: Provide the name of the person at the company who will serve as the primary contact for the submission. The regulator will contact this person if there are questions related to the information submitted, or if additional information is needed.</w:t>
      </w:r>
    </w:p>
    <w:p w:rsidR="007C1A30" w:rsidRPr="00EE3B6B" w:rsidP="006D1FD2" w14:paraId="35BF91E1" w14:textId="77777777">
      <w:pPr>
        <w:pStyle w:val="ListParagraph"/>
        <w:keepLines/>
        <w:numPr>
          <w:ilvl w:val="0"/>
          <w:numId w:val="36"/>
        </w:numPr>
        <w:spacing w:after="120" w:line="276" w:lineRule="auto"/>
        <w:rPr>
          <w:rFonts w:ascii="Times New Roman" w:hAnsi="Times New Roman" w:cs="Times New Roman"/>
        </w:rPr>
      </w:pPr>
      <w:r w:rsidRPr="00EE3B6B">
        <w:rPr>
          <w:rFonts w:ascii="Times New Roman" w:hAnsi="Times New Roman" w:cs="Times New Roman"/>
        </w:rPr>
        <w:t>Primary Contact Telephone Number:  Provide the phone number for the primary contact.</w:t>
      </w:r>
    </w:p>
    <w:p w:rsidR="007C1A30" w:rsidRPr="00EE3B6B" w:rsidP="006D1FD2" w14:paraId="114C398F" w14:textId="77777777">
      <w:pPr>
        <w:pStyle w:val="ListParagraph"/>
        <w:keepLines/>
        <w:numPr>
          <w:ilvl w:val="0"/>
          <w:numId w:val="36"/>
        </w:numPr>
        <w:spacing w:after="120" w:line="276" w:lineRule="auto"/>
        <w:rPr>
          <w:rFonts w:ascii="Times New Roman" w:hAnsi="Times New Roman" w:cs="Times New Roman"/>
        </w:rPr>
      </w:pPr>
      <w:r w:rsidRPr="00EE3B6B">
        <w:rPr>
          <w:rFonts w:ascii="Times New Roman" w:hAnsi="Times New Roman" w:cs="Times New Roman"/>
        </w:rPr>
        <w:t>Primary Contact Email Address:  Provide the email address for the primary contact.</w:t>
      </w:r>
    </w:p>
    <w:p w:rsidR="007C1A30" w:rsidRPr="00EE3B6B" w:rsidP="006C6C1A" w14:paraId="3448EE1A" w14:textId="77777777">
      <w:pPr>
        <w:pStyle w:val="Heading2"/>
        <w:numPr>
          <w:ilvl w:val="0"/>
          <w:numId w:val="0"/>
        </w:numPr>
        <w:ind w:left="360" w:hanging="360"/>
      </w:pPr>
      <w:bookmarkStart w:id="56" w:name="_Toc174003437"/>
      <w:r w:rsidRPr="00EE3B6B">
        <w:t xml:space="preserve">4.3 Proposed Rate </w:t>
      </w:r>
      <w:r w:rsidRPr="00EE3B6B" w:rsidR="00C87BD7">
        <w:t>Changes</w:t>
      </w:r>
      <w:bookmarkEnd w:id="56"/>
    </w:p>
    <w:p w:rsidR="007C1A30" w:rsidRPr="00EE3B6B" w:rsidP="006D1FD2" w14:paraId="6CE33C66" w14:textId="77777777">
      <w:pPr>
        <w:keepLines/>
        <w:spacing w:after="120" w:line="276" w:lineRule="auto"/>
        <w:rPr>
          <w:rFonts w:ascii="Times New Roman" w:hAnsi="Times New Roman" w:cs="Times New Roman"/>
        </w:rPr>
      </w:pPr>
      <w:r w:rsidRPr="00EE3B6B">
        <w:rPr>
          <w:rFonts w:ascii="Times New Roman" w:hAnsi="Times New Roman" w:cs="Times New Roman"/>
        </w:rPr>
        <w:t>In this section the actuary must provide</w:t>
      </w:r>
      <w:r w:rsidRPr="00EE3B6B" w:rsidR="00C87BD7">
        <w:rPr>
          <w:rFonts w:ascii="Times New Roman" w:hAnsi="Times New Roman" w:cs="Times New Roman"/>
        </w:rPr>
        <w:t xml:space="preserve"> the proposed rate change(s) and</w:t>
      </w:r>
      <w:r w:rsidRPr="00EE3B6B">
        <w:rPr>
          <w:rFonts w:ascii="Times New Roman" w:hAnsi="Times New Roman" w:cs="Times New Roman"/>
        </w:rPr>
        <w:t xml:space="preserve"> information related to the proposed rate </w:t>
      </w:r>
      <w:r w:rsidRPr="00EE3B6B" w:rsidR="00C87BD7">
        <w:rPr>
          <w:rFonts w:ascii="Times New Roman" w:hAnsi="Times New Roman" w:cs="Times New Roman"/>
        </w:rPr>
        <w:t>chang</w:t>
      </w:r>
      <w:r w:rsidRPr="00EE3B6B">
        <w:rPr>
          <w:rFonts w:ascii="Times New Roman" w:hAnsi="Times New Roman" w:cs="Times New Roman"/>
        </w:rPr>
        <w:t>e(s). If the proposed rate adjustment varies by product, the information provided should clearly identify which proposed adjustments apply to which products. Include all products which are part of the single risk pool, as defined by 45 CFR 156.80, including those products for which no rate adjustment is being proposed. The information that must be provided includes the following items:</w:t>
      </w:r>
    </w:p>
    <w:p w:rsidR="007C1A30" w:rsidRPr="00EE3B6B" w:rsidP="006D1FD2" w14:paraId="649116E7" w14:textId="77777777">
      <w:pPr>
        <w:keepLines/>
        <w:spacing w:after="120" w:line="276" w:lineRule="auto"/>
        <w:rPr>
          <w:rFonts w:ascii="Times New Roman" w:hAnsi="Times New Roman" w:cs="Times New Roman"/>
        </w:rPr>
      </w:pPr>
      <w:r w:rsidRPr="00EE3B6B">
        <w:rPr>
          <w:rFonts w:ascii="Times New Roman" w:hAnsi="Times New Roman" w:cs="Times New Roman"/>
          <w:b/>
        </w:rPr>
        <w:t>Reason for Rate Increase(s):</w:t>
      </w:r>
      <w:r w:rsidRPr="00EE3B6B">
        <w:rPr>
          <w:rFonts w:ascii="Times New Roman" w:hAnsi="Times New Roman" w:cs="Times New Roman"/>
        </w:rPr>
        <w:t xml:space="preserve">  Provide </w:t>
      </w:r>
      <w:r w:rsidRPr="00EE3B6B" w:rsidR="00F967C1">
        <w:rPr>
          <w:rFonts w:ascii="Times New Roman" w:hAnsi="Times New Roman" w:cs="Times New Roman"/>
        </w:rPr>
        <w:t xml:space="preserve">the quantitative impact and </w:t>
      </w:r>
      <w:r w:rsidRPr="00EE3B6B">
        <w:rPr>
          <w:rFonts w:ascii="Times New Roman" w:hAnsi="Times New Roman" w:cs="Times New Roman"/>
        </w:rPr>
        <w:t>a narrative description of all significant factors driving a proposed rate increase. As an example, these factors could include:</w:t>
      </w:r>
    </w:p>
    <w:p w:rsidR="007C1A30" w:rsidRPr="00EE3B6B" w:rsidP="006D1FD2" w14:paraId="2D2893E1" w14:textId="77777777">
      <w:pPr>
        <w:pStyle w:val="ListParagraph"/>
        <w:keepLines/>
        <w:numPr>
          <w:ilvl w:val="0"/>
          <w:numId w:val="37"/>
        </w:numPr>
        <w:spacing w:after="120" w:line="276" w:lineRule="auto"/>
        <w:rPr>
          <w:rFonts w:ascii="Times New Roman" w:hAnsi="Times New Roman" w:cs="Times New Roman"/>
        </w:rPr>
      </w:pPr>
      <w:r w:rsidRPr="00EE3B6B">
        <w:rPr>
          <w:rFonts w:ascii="Times New Roman" w:hAnsi="Times New Roman" w:cs="Times New Roman"/>
        </w:rPr>
        <w:t>Single risk pool experience which is more adverse than that assumed in the current rates</w:t>
      </w:r>
    </w:p>
    <w:p w:rsidR="007C1A30" w:rsidRPr="00EE3B6B" w:rsidP="006D1FD2" w14:paraId="08BDF12A" w14:textId="77777777">
      <w:pPr>
        <w:pStyle w:val="ListParagraph"/>
        <w:keepLines/>
        <w:numPr>
          <w:ilvl w:val="0"/>
          <w:numId w:val="37"/>
        </w:numPr>
        <w:spacing w:after="120" w:line="276" w:lineRule="auto"/>
        <w:rPr>
          <w:rFonts w:ascii="Times New Roman" w:hAnsi="Times New Roman" w:cs="Times New Roman"/>
        </w:rPr>
      </w:pPr>
      <w:r w:rsidRPr="00EE3B6B">
        <w:rPr>
          <w:rFonts w:ascii="Times New Roman" w:hAnsi="Times New Roman" w:cs="Times New Roman"/>
        </w:rPr>
        <w:t>Medical inflation</w:t>
      </w:r>
    </w:p>
    <w:p w:rsidR="007C1A30" w:rsidRPr="00EE3B6B" w:rsidP="006D1FD2" w14:paraId="79D9843D" w14:textId="77777777">
      <w:pPr>
        <w:pStyle w:val="ListParagraph"/>
        <w:keepLines/>
        <w:numPr>
          <w:ilvl w:val="0"/>
          <w:numId w:val="37"/>
        </w:numPr>
        <w:spacing w:after="120" w:line="276" w:lineRule="auto"/>
        <w:rPr>
          <w:rFonts w:ascii="Times New Roman" w:hAnsi="Times New Roman" w:cs="Times New Roman"/>
        </w:rPr>
      </w:pPr>
      <w:r w:rsidRPr="00EE3B6B">
        <w:rPr>
          <w:rFonts w:ascii="Times New Roman" w:hAnsi="Times New Roman" w:cs="Times New Roman"/>
        </w:rPr>
        <w:t>Increased utilization</w:t>
      </w:r>
    </w:p>
    <w:p w:rsidR="007C1A30" w:rsidRPr="00EE3B6B" w:rsidP="006D1FD2" w14:paraId="28B309E7" w14:textId="77777777">
      <w:pPr>
        <w:pStyle w:val="ListParagraph"/>
        <w:keepLines/>
        <w:numPr>
          <w:ilvl w:val="0"/>
          <w:numId w:val="37"/>
        </w:numPr>
        <w:spacing w:after="120" w:line="276" w:lineRule="auto"/>
        <w:rPr>
          <w:rFonts w:ascii="Times New Roman" w:hAnsi="Times New Roman" w:cs="Times New Roman"/>
        </w:rPr>
      </w:pPr>
      <w:r w:rsidRPr="00EE3B6B">
        <w:rPr>
          <w:rFonts w:ascii="Times New Roman" w:hAnsi="Times New Roman" w:cs="Times New Roman"/>
        </w:rPr>
        <w:t>Prospective changes to benefits covered by the product or successor products</w:t>
      </w:r>
    </w:p>
    <w:p w:rsidR="007C1A30" w:rsidRPr="00EE3B6B" w:rsidP="006D1FD2" w14:paraId="778FB290" w14:textId="77777777">
      <w:pPr>
        <w:pStyle w:val="ListParagraph"/>
        <w:keepLines/>
        <w:numPr>
          <w:ilvl w:val="0"/>
          <w:numId w:val="37"/>
        </w:numPr>
        <w:spacing w:after="120" w:line="276" w:lineRule="auto"/>
        <w:rPr>
          <w:rFonts w:ascii="Times New Roman" w:hAnsi="Times New Roman" w:cs="Times New Roman"/>
        </w:rPr>
      </w:pPr>
      <w:r w:rsidRPr="00EE3B6B">
        <w:rPr>
          <w:rFonts w:ascii="Times New Roman" w:hAnsi="Times New Roman" w:cs="Times New Roman"/>
        </w:rPr>
        <w:t>New taxes and fees imposed on the issuer</w:t>
      </w:r>
    </w:p>
    <w:p w:rsidR="007C1A30" w:rsidRPr="00EE3B6B" w:rsidP="006D1FD2" w14:paraId="5EC241BC" w14:textId="77777777">
      <w:pPr>
        <w:pStyle w:val="ListParagraph"/>
        <w:keepLines/>
        <w:numPr>
          <w:ilvl w:val="0"/>
          <w:numId w:val="37"/>
        </w:numPr>
        <w:spacing w:after="120" w:line="276" w:lineRule="auto"/>
        <w:rPr>
          <w:rFonts w:ascii="Times New Roman" w:hAnsi="Times New Roman" w:cs="Times New Roman"/>
        </w:rPr>
      </w:pPr>
      <w:r w:rsidRPr="00EE3B6B">
        <w:rPr>
          <w:rFonts w:ascii="Times New Roman" w:hAnsi="Times New Roman" w:cs="Times New Roman"/>
        </w:rPr>
        <w:t>Anticipated changes in the average morbidity of the covered population that is market-wide, as opposed to issuer specific morbidity that is reflected in risk adjustment</w:t>
      </w:r>
    </w:p>
    <w:p w:rsidR="00357FB5" w:rsidRPr="00EE3B6B" w:rsidP="006D1FD2" w14:paraId="5D60BA36" w14:textId="77777777">
      <w:pPr>
        <w:keepLines/>
        <w:spacing w:after="120" w:line="276" w:lineRule="auto"/>
        <w:rPr>
          <w:rFonts w:ascii="Times New Roman" w:hAnsi="Times New Roman" w:cs="Times New Roman"/>
        </w:rPr>
      </w:pPr>
      <w:r w:rsidRPr="00EE3B6B">
        <w:rPr>
          <w:rFonts w:ascii="Times New Roman" w:hAnsi="Times New Roman" w:cs="Times New Roman"/>
        </w:rPr>
        <w:t>If the requested rate increase is not the same across all products and plans, provide a</w:t>
      </w:r>
      <w:r w:rsidRPr="00EE3B6B" w:rsidR="00F967C1">
        <w:rPr>
          <w:rFonts w:ascii="Times New Roman" w:hAnsi="Times New Roman" w:cs="Times New Roman"/>
        </w:rPr>
        <w:t>n explanation</w:t>
      </w:r>
      <w:r w:rsidRPr="00EE3B6B">
        <w:rPr>
          <w:rFonts w:ascii="Times New Roman" w:hAnsi="Times New Roman" w:cs="Times New Roman"/>
        </w:rPr>
        <w:t xml:space="preserve"> as to why the rate changes vary by product or plan </w:t>
      </w:r>
      <w:r w:rsidRPr="00EE3B6B">
        <w:rPr>
          <w:rFonts w:ascii="Times New Roman" w:hAnsi="Times New Roman" w:cs="Times New Roman"/>
        </w:rPr>
        <w:t>given</w:t>
      </w:r>
      <w:r w:rsidRPr="00EE3B6B">
        <w:rPr>
          <w:rFonts w:ascii="Times New Roman" w:hAnsi="Times New Roman" w:cs="Times New Roman"/>
        </w:rPr>
        <w:t xml:space="preserve"> they are based on the same single risk pool of experience for the market. </w:t>
      </w:r>
      <w:r w:rsidRPr="00EE3B6B" w:rsidR="00F967C1">
        <w:rPr>
          <w:rFonts w:ascii="Times New Roman" w:hAnsi="Times New Roman" w:cs="Times New Roman"/>
        </w:rPr>
        <w:t>Expla</w:t>
      </w:r>
      <w:r w:rsidRPr="00EE3B6B" w:rsidR="00850681">
        <w:rPr>
          <w:rFonts w:ascii="Times New Roman" w:hAnsi="Times New Roman" w:cs="Times New Roman"/>
        </w:rPr>
        <w:t>in how the impact of morbidity was removed from impacting the variance in rate changes across products or plans.</w:t>
      </w:r>
    </w:p>
    <w:p w:rsidR="00357FB5" w:rsidRPr="00EE3B6B" w:rsidP="006C6C1A" w14:paraId="62D49F8D" w14:textId="77777777">
      <w:pPr>
        <w:pStyle w:val="Heading2"/>
        <w:numPr>
          <w:ilvl w:val="0"/>
          <w:numId w:val="0"/>
        </w:numPr>
        <w:ind w:left="360" w:hanging="360"/>
      </w:pPr>
      <w:bookmarkStart w:id="57" w:name="_Toc174003438"/>
      <w:r w:rsidRPr="00EE3B6B">
        <w:t>4.4 Market Experience</w:t>
      </w:r>
      <w:bookmarkEnd w:id="57"/>
    </w:p>
    <w:p w:rsidR="00213923" w:rsidRPr="00EE3B6B" w:rsidP="006D1FD2" w14:paraId="11F9E0AF" w14:textId="77777777">
      <w:pPr>
        <w:keepLines/>
        <w:spacing w:after="120" w:line="276" w:lineRule="auto"/>
        <w:rPr>
          <w:rFonts w:ascii="Times New Roman" w:hAnsi="Times New Roman" w:cs="Times New Roman"/>
        </w:rPr>
      </w:pPr>
      <w:r w:rsidRPr="00EE3B6B">
        <w:rPr>
          <w:rFonts w:ascii="Times New Roman" w:hAnsi="Times New Roman" w:cs="Times New Roman"/>
        </w:rPr>
        <w:t xml:space="preserve">The issuer is required to provide support that the single risk pool in a particular </w:t>
      </w:r>
      <w:r w:rsidRPr="00EE3B6B" w:rsidR="00A52393">
        <w:rPr>
          <w:rFonts w:ascii="Times New Roman" w:hAnsi="Times New Roman" w:cs="Times New Roman"/>
        </w:rPr>
        <w:t>s</w:t>
      </w:r>
      <w:r w:rsidRPr="00EE3B6B">
        <w:rPr>
          <w:rFonts w:ascii="Times New Roman" w:hAnsi="Times New Roman" w:cs="Times New Roman"/>
        </w:rPr>
        <w:t xml:space="preserve">tate and market is established according to the requirements in 45 CFR 156.80. The single risk pool reflects all covered lives for every non-grandfathered product/plan combination for an issuer in a </w:t>
      </w:r>
      <w:r w:rsidRPr="00EE3B6B" w:rsidR="00A52393">
        <w:rPr>
          <w:rFonts w:ascii="Times New Roman" w:hAnsi="Times New Roman" w:cs="Times New Roman"/>
        </w:rPr>
        <w:t>s</w:t>
      </w:r>
      <w:r w:rsidRPr="00EE3B6B">
        <w:rPr>
          <w:rFonts w:ascii="Times New Roman" w:hAnsi="Times New Roman" w:cs="Times New Roman"/>
        </w:rPr>
        <w:t xml:space="preserve">tate and market. The single risk pool is specific to the legal entity for the </w:t>
      </w:r>
      <w:r w:rsidRPr="00EE3B6B" w:rsidR="00A52393">
        <w:rPr>
          <w:rFonts w:ascii="Times New Roman" w:hAnsi="Times New Roman" w:cs="Times New Roman"/>
        </w:rPr>
        <w:t>s</w:t>
      </w:r>
      <w:r w:rsidRPr="00EE3B6B">
        <w:rPr>
          <w:rFonts w:ascii="Times New Roman" w:hAnsi="Times New Roman" w:cs="Times New Roman"/>
        </w:rPr>
        <w:t>tate and market for which it is submitted.</w:t>
      </w:r>
    </w:p>
    <w:p w:rsidR="00213923" w:rsidRPr="00EE3B6B" w:rsidP="006D1FD2" w14:paraId="3A2D41BD" w14:textId="77777777">
      <w:pPr>
        <w:keepLines/>
        <w:spacing w:after="120" w:line="276" w:lineRule="auto"/>
        <w:rPr>
          <w:rFonts w:ascii="Times New Roman" w:hAnsi="Times New Roman" w:cs="Times New Roman"/>
        </w:rPr>
      </w:pPr>
      <w:r w:rsidRPr="00EE3B6B">
        <w:rPr>
          <w:rFonts w:ascii="Times New Roman" w:hAnsi="Times New Roman" w:cs="Times New Roman"/>
        </w:rPr>
        <w:t>The single risk pool may include transitional products/plans for purposes of base rate experience used to demonstrate the single risk pool. The Projection Period should reflect experience of transitional policies to the extent the issuer anticipates the members in those policies will be enrolled in single risk pool plans during the Projection Period.</w:t>
      </w:r>
    </w:p>
    <w:p w:rsidR="00357FB5" w:rsidRPr="00EE3B6B" w:rsidP="006C6C1A" w14:paraId="753FB0EB" w14:textId="77777777">
      <w:pPr>
        <w:pStyle w:val="Heading3"/>
        <w:numPr>
          <w:ilvl w:val="0"/>
          <w:numId w:val="0"/>
        </w:numPr>
        <w:ind w:left="720" w:hanging="720"/>
      </w:pPr>
      <w:bookmarkStart w:id="58" w:name="_Toc174003439"/>
      <w:r w:rsidRPr="00EE3B6B">
        <w:t xml:space="preserve">4.4.1 </w:t>
      </w:r>
      <w:r w:rsidRPr="00EE3B6B" w:rsidR="00C66220">
        <w:t xml:space="preserve">Experience </w:t>
      </w:r>
      <w:r w:rsidRPr="00EE3B6B" w:rsidR="00E40C80">
        <w:t xml:space="preserve">and Current </w:t>
      </w:r>
      <w:r w:rsidRPr="00EE3B6B" w:rsidR="00C66220">
        <w:t>Period</w:t>
      </w:r>
      <w:r w:rsidRPr="00EE3B6B">
        <w:t xml:space="preserve"> Premium</w:t>
      </w:r>
      <w:r w:rsidRPr="00EE3B6B" w:rsidR="00E40C80">
        <w:t>,</w:t>
      </w:r>
      <w:r w:rsidRPr="00EE3B6B">
        <w:t xml:space="preserve"> Claims</w:t>
      </w:r>
      <w:r w:rsidRPr="00EE3B6B" w:rsidR="00E40C80">
        <w:t>, and Enrollment</w:t>
      </w:r>
      <w:bookmarkEnd w:id="58"/>
    </w:p>
    <w:p w:rsidR="00357FB5" w:rsidRPr="00EE3B6B" w:rsidP="006D1FD2" w14:paraId="27732F98" w14:textId="77777777">
      <w:pPr>
        <w:keepLines/>
        <w:spacing w:after="120" w:line="276" w:lineRule="auto"/>
        <w:rPr>
          <w:rFonts w:ascii="Times New Roman" w:hAnsi="Times New Roman" w:cs="Times New Roman"/>
        </w:rPr>
      </w:pPr>
      <w:r w:rsidRPr="00EE3B6B">
        <w:rPr>
          <w:rFonts w:ascii="Times New Roman" w:hAnsi="Times New Roman" w:cs="Times New Roman"/>
        </w:rPr>
        <w:t>This section of the Actuarial Memorandum should include information related to the actuary’s best estimate of premium</w:t>
      </w:r>
      <w:r w:rsidRPr="00EE3B6B" w:rsidR="00850681">
        <w:rPr>
          <w:rFonts w:ascii="Times New Roman" w:hAnsi="Times New Roman" w:cs="Times New Roman"/>
        </w:rPr>
        <w:t>,</w:t>
      </w:r>
      <w:r w:rsidRPr="00EE3B6B">
        <w:rPr>
          <w:rFonts w:ascii="Times New Roman" w:hAnsi="Times New Roman" w:cs="Times New Roman"/>
        </w:rPr>
        <w:t xml:space="preserve"> claims</w:t>
      </w:r>
      <w:r w:rsidRPr="00EE3B6B" w:rsidR="00850681">
        <w:rPr>
          <w:rFonts w:ascii="Times New Roman" w:hAnsi="Times New Roman" w:cs="Times New Roman"/>
        </w:rPr>
        <w:t>, and enrollment</w:t>
      </w:r>
      <w:r w:rsidRPr="00EE3B6B">
        <w:rPr>
          <w:rFonts w:ascii="Times New Roman" w:hAnsi="Times New Roman" w:cs="Times New Roman"/>
        </w:rPr>
        <w:t xml:space="preserve"> for the single risk pool during the </w:t>
      </w:r>
      <w:r w:rsidRPr="00EE3B6B" w:rsidR="00C66220">
        <w:rPr>
          <w:rFonts w:ascii="Times New Roman" w:hAnsi="Times New Roman" w:cs="Times New Roman"/>
        </w:rPr>
        <w:t xml:space="preserve">Experience </w:t>
      </w:r>
      <w:r w:rsidRPr="00EE3B6B" w:rsidR="00850681">
        <w:rPr>
          <w:rFonts w:ascii="Times New Roman" w:hAnsi="Times New Roman" w:cs="Times New Roman"/>
        </w:rPr>
        <w:t xml:space="preserve">and Current </w:t>
      </w:r>
      <w:r w:rsidRPr="00EE3B6B" w:rsidR="00C66220">
        <w:rPr>
          <w:rFonts w:ascii="Times New Roman" w:hAnsi="Times New Roman" w:cs="Times New Roman"/>
        </w:rPr>
        <w:t>Period</w:t>
      </w:r>
      <w:r w:rsidRPr="00EE3B6B" w:rsidR="00850681">
        <w:rPr>
          <w:rFonts w:ascii="Times New Roman" w:hAnsi="Times New Roman" w:cs="Times New Roman"/>
        </w:rPr>
        <w:t>s</w:t>
      </w:r>
      <w:r w:rsidRPr="00EE3B6B">
        <w:rPr>
          <w:rFonts w:ascii="Times New Roman" w:hAnsi="Times New Roman" w:cs="Times New Roman"/>
        </w:rPr>
        <w:t xml:space="preserve"> reported in Worksheet 1, Section I </w:t>
      </w:r>
      <w:r w:rsidRPr="00EE3B6B" w:rsidR="00850681">
        <w:rPr>
          <w:rFonts w:ascii="Times New Roman" w:hAnsi="Times New Roman" w:cs="Times New Roman"/>
        </w:rPr>
        <w:t xml:space="preserve">and Worksheet 2, Section II </w:t>
      </w:r>
      <w:r w:rsidRPr="00EE3B6B">
        <w:rPr>
          <w:rFonts w:ascii="Times New Roman" w:hAnsi="Times New Roman" w:cs="Times New Roman"/>
        </w:rPr>
        <w:t>of the URRT.</w:t>
      </w:r>
    </w:p>
    <w:p w:rsidR="00357FB5" w:rsidRPr="00EE3B6B" w:rsidP="006D1FD2" w14:paraId="08F59664" w14:textId="77777777">
      <w:pPr>
        <w:keepLines/>
        <w:spacing w:after="120" w:line="276" w:lineRule="auto"/>
        <w:rPr>
          <w:rFonts w:ascii="Times New Roman" w:hAnsi="Times New Roman" w:cs="Times New Roman"/>
        </w:rPr>
      </w:pPr>
      <w:r w:rsidRPr="00EE3B6B">
        <w:rPr>
          <w:rFonts w:ascii="Times New Roman" w:hAnsi="Times New Roman" w:cs="Times New Roman"/>
          <w:b/>
        </w:rPr>
        <w:t>Paid Through Date:</w:t>
      </w:r>
      <w:r w:rsidRPr="00EE3B6B">
        <w:rPr>
          <w:rFonts w:ascii="Times New Roman" w:hAnsi="Times New Roman" w:cs="Times New Roman"/>
        </w:rPr>
        <w:t xml:space="preserve">  Indicate the date through which payments have been made on claims incurred during the </w:t>
      </w:r>
      <w:r w:rsidRPr="00EE3B6B" w:rsidR="00C66220">
        <w:rPr>
          <w:rFonts w:ascii="Times New Roman" w:hAnsi="Times New Roman" w:cs="Times New Roman"/>
        </w:rPr>
        <w:t>Experience Period</w:t>
      </w:r>
      <w:r w:rsidRPr="00EE3B6B">
        <w:rPr>
          <w:rFonts w:ascii="Times New Roman" w:hAnsi="Times New Roman" w:cs="Times New Roman"/>
        </w:rPr>
        <w:t>.</w:t>
      </w:r>
    </w:p>
    <w:p w:rsidR="00E40C80" w:rsidRPr="00EE3B6B" w:rsidP="006D1FD2" w14:paraId="50972855" w14:textId="77777777">
      <w:pPr>
        <w:keepLines/>
        <w:spacing w:after="120" w:line="276" w:lineRule="auto"/>
        <w:rPr>
          <w:rFonts w:ascii="Times New Roman" w:hAnsi="Times New Roman" w:cs="Times New Roman"/>
        </w:rPr>
      </w:pPr>
      <w:r w:rsidRPr="00EE3B6B">
        <w:rPr>
          <w:rFonts w:ascii="Times New Roman" w:hAnsi="Times New Roman" w:cs="Times New Roman"/>
          <w:b/>
        </w:rPr>
        <w:t>Current Date:</w:t>
      </w:r>
      <w:r w:rsidRPr="00EE3B6B">
        <w:rPr>
          <w:rFonts w:ascii="Times New Roman" w:hAnsi="Times New Roman" w:cs="Times New Roman"/>
        </w:rPr>
        <w:t xml:space="preserve">  Provide the applicable date for which the current enrollment and premium is reported.</w:t>
      </w:r>
    </w:p>
    <w:p w:rsidR="00357FB5" w:rsidRPr="00EE3B6B" w:rsidP="006D1FD2" w14:paraId="51F332F3" w14:textId="77777777">
      <w:pPr>
        <w:keepLines/>
        <w:spacing w:after="120" w:line="276" w:lineRule="auto"/>
        <w:rPr>
          <w:rFonts w:ascii="Times New Roman" w:hAnsi="Times New Roman" w:cs="Times New Roman"/>
        </w:rPr>
      </w:pPr>
      <w:r w:rsidRPr="00EE3B6B">
        <w:rPr>
          <w:rFonts w:ascii="Times New Roman" w:hAnsi="Times New Roman" w:cs="Times New Roman"/>
          <w:b/>
        </w:rPr>
        <w:t xml:space="preserve">Allowed and Incurred Claims Incurred During the </w:t>
      </w:r>
      <w:r w:rsidRPr="00EE3B6B" w:rsidR="00C66220">
        <w:rPr>
          <w:rFonts w:ascii="Times New Roman" w:hAnsi="Times New Roman" w:cs="Times New Roman"/>
          <w:b/>
        </w:rPr>
        <w:t>Experience Period</w:t>
      </w:r>
      <w:r w:rsidRPr="00EE3B6B">
        <w:rPr>
          <w:rFonts w:ascii="Times New Roman" w:hAnsi="Times New Roman" w:cs="Times New Roman"/>
          <w:b/>
        </w:rPr>
        <w:t>:</w:t>
      </w:r>
      <w:r w:rsidRPr="00EE3B6B">
        <w:rPr>
          <w:rFonts w:ascii="Times New Roman" w:hAnsi="Times New Roman" w:cs="Times New Roman"/>
        </w:rPr>
        <w:t xml:space="preserve">  Provide support for the development of the actuary’s best estimate of allowed and paid claims incurred during the </w:t>
      </w:r>
      <w:r w:rsidRPr="00EE3B6B" w:rsidR="00C66220">
        <w:rPr>
          <w:rFonts w:ascii="Times New Roman" w:hAnsi="Times New Roman" w:cs="Times New Roman"/>
        </w:rPr>
        <w:t>Experience Period</w:t>
      </w:r>
      <w:r w:rsidRPr="00EE3B6B">
        <w:rPr>
          <w:rFonts w:ascii="Times New Roman" w:hAnsi="Times New Roman" w:cs="Times New Roman"/>
        </w:rPr>
        <w:t>.</w:t>
      </w:r>
    </w:p>
    <w:p w:rsidR="00357FB5" w:rsidRPr="00EE3B6B" w:rsidP="006D1FD2" w14:paraId="79F66798" w14:textId="77777777">
      <w:pPr>
        <w:pStyle w:val="ListParagraph"/>
        <w:keepLines/>
        <w:numPr>
          <w:ilvl w:val="0"/>
          <w:numId w:val="39"/>
        </w:numPr>
        <w:spacing w:after="120" w:line="276" w:lineRule="auto"/>
        <w:rPr>
          <w:rFonts w:ascii="Times New Roman" w:hAnsi="Times New Roman" w:cs="Times New Roman"/>
        </w:rPr>
      </w:pPr>
      <w:r w:rsidRPr="00EE3B6B">
        <w:rPr>
          <w:rFonts w:ascii="Times New Roman" w:hAnsi="Times New Roman" w:cs="Times New Roman"/>
        </w:rPr>
        <w:t xml:space="preserve">Worksheet 1, Section I shows the actuary's best estimate of the </w:t>
      </w:r>
      <w:r w:rsidRPr="00EE3B6B">
        <w:rPr>
          <w:rFonts w:ascii="Times New Roman" w:hAnsi="Times New Roman" w:cs="Times New Roman"/>
        </w:rPr>
        <w:t>amount</w:t>
      </w:r>
      <w:r w:rsidRPr="00EE3B6B">
        <w:rPr>
          <w:rFonts w:ascii="Times New Roman" w:hAnsi="Times New Roman" w:cs="Times New Roman"/>
        </w:rPr>
        <w:t xml:space="preserve"> of claims that were incurred during the 12-month </w:t>
      </w:r>
      <w:r w:rsidRPr="00EE3B6B" w:rsidR="00C66220">
        <w:rPr>
          <w:rFonts w:ascii="Times New Roman" w:hAnsi="Times New Roman" w:cs="Times New Roman"/>
        </w:rPr>
        <w:t>Experience Period</w:t>
      </w:r>
      <w:r w:rsidRPr="00EE3B6B">
        <w:rPr>
          <w:rFonts w:ascii="Times New Roman" w:hAnsi="Times New Roman" w:cs="Times New Roman"/>
        </w:rPr>
        <w:t xml:space="preserve">. Separately indicate the amount of claims which were processed through the issuer's claim system, processed outside of the issuer's claims system, and the amount that represents the actuary's best estimate of claims incurred but not </w:t>
      </w:r>
      <w:r w:rsidRPr="00EE3B6B" w:rsidR="00AD60B8">
        <w:rPr>
          <w:rFonts w:ascii="Times New Roman" w:hAnsi="Times New Roman" w:cs="Times New Roman"/>
        </w:rPr>
        <w:t>reported</w:t>
      </w:r>
      <w:r w:rsidRPr="00EE3B6B">
        <w:rPr>
          <w:rFonts w:ascii="Times New Roman" w:hAnsi="Times New Roman" w:cs="Times New Roman"/>
        </w:rPr>
        <w:t xml:space="preserve"> as of the Paid Through Date stated above. This should be provided separately for Incurred Claims in </w:t>
      </w:r>
      <w:r w:rsidRPr="00EE3B6B" w:rsidR="00C66220">
        <w:rPr>
          <w:rFonts w:ascii="Times New Roman" w:hAnsi="Times New Roman" w:cs="Times New Roman"/>
        </w:rPr>
        <w:t>Experience Period</w:t>
      </w:r>
      <w:r w:rsidRPr="00EE3B6B">
        <w:rPr>
          <w:rFonts w:ascii="Times New Roman" w:hAnsi="Times New Roman" w:cs="Times New Roman"/>
        </w:rPr>
        <w:t xml:space="preserve"> and Allowed Claims.</w:t>
      </w:r>
    </w:p>
    <w:p w:rsidR="00357FB5" w:rsidRPr="00EE3B6B" w:rsidP="006D1FD2" w14:paraId="7CF131D1" w14:textId="77777777">
      <w:pPr>
        <w:pStyle w:val="ListParagraph"/>
        <w:keepLines/>
        <w:numPr>
          <w:ilvl w:val="0"/>
          <w:numId w:val="39"/>
        </w:numPr>
        <w:spacing w:after="120" w:line="276" w:lineRule="auto"/>
        <w:rPr>
          <w:rFonts w:ascii="Times New Roman" w:hAnsi="Times New Roman" w:cs="Times New Roman"/>
        </w:rPr>
      </w:pPr>
      <w:r w:rsidRPr="00EE3B6B">
        <w:rPr>
          <w:rFonts w:ascii="Times New Roman" w:hAnsi="Times New Roman" w:cs="Times New Roman"/>
        </w:rPr>
        <w:t>Describe the method used for determining Allowed Claims. For example, Allowed Claims could come directly from an issuer's claim records or alternatively could be developed by combining paid claims or capitation payments with member cost-sharing.</w:t>
      </w:r>
    </w:p>
    <w:p w:rsidR="00357FB5" w:rsidRPr="00EE3B6B" w:rsidP="006D1FD2" w14:paraId="4C112C04" w14:textId="77777777">
      <w:pPr>
        <w:pStyle w:val="ListParagraph"/>
        <w:keepLines/>
        <w:numPr>
          <w:ilvl w:val="0"/>
          <w:numId w:val="39"/>
        </w:numPr>
        <w:spacing w:after="120" w:line="276" w:lineRule="auto"/>
        <w:rPr>
          <w:rFonts w:ascii="Times New Roman" w:hAnsi="Times New Roman" w:cs="Times New Roman"/>
        </w:rPr>
      </w:pPr>
      <w:r w:rsidRPr="00EE3B6B">
        <w:rPr>
          <w:rFonts w:ascii="Times New Roman" w:hAnsi="Times New Roman" w:cs="Times New Roman"/>
        </w:rPr>
        <w:t xml:space="preserve">Provide support for the estimate of incurred but not </w:t>
      </w:r>
      <w:r w:rsidRPr="00EE3B6B" w:rsidR="00AD60B8">
        <w:rPr>
          <w:rFonts w:ascii="Times New Roman" w:hAnsi="Times New Roman" w:cs="Times New Roman"/>
        </w:rPr>
        <w:t>reported</w:t>
      </w:r>
      <w:r w:rsidRPr="00EE3B6B">
        <w:rPr>
          <w:rFonts w:ascii="Times New Roman" w:hAnsi="Times New Roman" w:cs="Times New Roman"/>
        </w:rPr>
        <w:t xml:space="preserve"> claims.</w:t>
      </w:r>
    </w:p>
    <w:p w:rsidR="00357FB5" w:rsidRPr="00EE3B6B" w:rsidP="00421D1A" w14:paraId="49D2707E" w14:textId="77777777">
      <w:pPr>
        <w:pStyle w:val="ListParagraph"/>
        <w:keepLines/>
        <w:numPr>
          <w:ilvl w:val="1"/>
          <w:numId w:val="39"/>
        </w:numPr>
        <w:spacing w:after="120" w:line="276" w:lineRule="auto"/>
        <w:ind w:left="1080"/>
        <w:rPr>
          <w:rFonts w:ascii="Times New Roman" w:hAnsi="Times New Roman" w:cs="Times New Roman"/>
        </w:rPr>
      </w:pPr>
      <w:r w:rsidRPr="00EE3B6B">
        <w:rPr>
          <w:rFonts w:ascii="Times New Roman" w:hAnsi="Times New Roman" w:cs="Times New Roman"/>
        </w:rPr>
        <w:t xml:space="preserve">Describe the methodology used to develop the estimate of claims incurred but not </w:t>
      </w:r>
      <w:r w:rsidRPr="00EE3B6B" w:rsidR="00AD60B8">
        <w:rPr>
          <w:rFonts w:ascii="Times New Roman" w:hAnsi="Times New Roman" w:cs="Times New Roman"/>
        </w:rPr>
        <w:t>reporte</w:t>
      </w:r>
      <w:r w:rsidRPr="00EE3B6B">
        <w:rPr>
          <w:rFonts w:ascii="Times New Roman" w:hAnsi="Times New Roman" w:cs="Times New Roman"/>
        </w:rPr>
        <w:t xml:space="preserve">d for both Allowed Claims and Incurred Claims in the </w:t>
      </w:r>
      <w:r w:rsidRPr="00EE3B6B" w:rsidR="00C66220">
        <w:rPr>
          <w:rFonts w:ascii="Times New Roman" w:hAnsi="Times New Roman" w:cs="Times New Roman"/>
        </w:rPr>
        <w:t>Experience Period</w:t>
      </w:r>
      <w:r w:rsidRPr="00EE3B6B">
        <w:rPr>
          <w:rFonts w:ascii="Times New Roman" w:hAnsi="Times New Roman" w:cs="Times New Roman"/>
        </w:rPr>
        <w:t xml:space="preserve">. To the extent that the methodology or completion factors used to estimate incurred but not </w:t>
      </w:r>
      <w:r w:rsidRPr="00EE3B6B" w:rsidR="008D4702">
        <w:rPr>
          <w:rFonts w:ascii="Times New Roman" w:hAnsi="Times New Roman" w:cs="Times New Roman"/>
        </w:rPr>
        <w:t>reported</w:t>
      </w:r>
      <w:r w:rsidRPr="00EE3B6B">
        <w:rPr>
          <w:rFonts w:ascii="Times New Roman" w:hAnsi="Times New Roman" w:cs="Times New Roman"/>
        </w:rPr>
        <w:t xml:space="preserve"> claims on an allowed basis differs from the methodology or completion factors used to estimate incurred claims, describe and support why they are different.</w:t>
      </w:r>
    </w:p>
    <w:p w:rsidR="00357FB5" w:rsidRPr="00EE3B6B" w:rsidP="00421D1A" w14:paraId="29325FDA" w14:textId="77777777">
      <w:pPr>
        <w:pStyle w:val="ListParagraph"/>
        <w:keepLines/>
        <w:numPr>
          <w:ilvl w:val="1"/>
          <w:numId w:val="39"/>
        </w:numPr>
        <w:spacing w:after="120" w:line="276" w:lineRule="auto"/>
        <w:ind w:left="1080"/>
        <w:rPr>
          <w:rFonts w:ascii="Times New Roman" w:hAnsi="Times New Roman" w:cs="Times New Roman"/>
        </w:rPr>
      </w:pPr>
      <w:r w:rsidRPr="00EE3B6B">
        <w:rPr>
          <w:rFonts w:ascii="Times New Roman" w:hAnsi="Times New Roman" w:cs="Times New Roman"/>
        </w:rPr>
        <w:t xml:space="preserve">Indicate whether the claims used to develop any completion factors reflect the </w:t>
      </w:r>
      <w:r w:rsidRPr="00EE3B6B" w:rsidR="00C66220">
        <w:rPr>
          <w:rFonts w:ascii="Times New Roman" w:hAnsi="Times New Roman" w:cs="Times New Roman"/>
        </w:rPr>
        <w:t>Experience Period</w:t>
      </w:r>
      <w:r w:rsidRPr="00EE3B6B">
        <w:rPr>
          <w:rFonts w:ascii="Times New Roman" w:hAnsi="Times New Roman" w:cs="Times New Roman"/>
        </w:rPr>
        <w:t xml:space="preserve"> claims for the information submitted or some alternate claims set, such as a larger block of the issuer's experience. If an alternate claims set was used, please provide support for why it is appropriate.</w:t>
      </w:r>
    </w:p>
    <w:p w:rsidR="00357FB5" w:rsidRPr="00EE3B6B" w:rsidP="00421D1A" w14:paraId="0C93EC04" w14:textId="77777777">
      <w:pPr>
        <w:pStyle w:val="ListParagraph"/>
        <w:keepLines/>
        <w:numPr>
          <w:ilvl w:val="1"/>
          <w:numId w:val="39"/>
        </w:numPr>
        <w:spacing w:after="120" w:line="276" w:lineRule="auto"/>
        <w:ind w:left="1080"/>
        <w:rPr>
          <w:rFonts w:ascii="Times New Roman" w:hAnsi="Times New Roman" w:cs="Times New Roman"/>
        </w:rPr>
      </w:pPr>
      <w:r w:rsidRPr="00EE3B6B">
        <w:rPr>
          <w:rFonts w:ascii="Times New Roman" w:hAnsi="Times New Roman" w:cs="Times New Roman"/>
        </w:rPr>
        <w:t xml:space="preserve">If the incurred but not </w:t>
      </w:r>
      <w:r w:rsidRPr="00EE3B6B" w:rsidR="008D4702">
        <w:rPr>
          <w:rFonts w:ascii="Times New Roman" w:hAnsi="Times New Roman" w:cs="Times New Roman"/>
        </w:rPr>
        <w:t>reported</w:t>
      </w:r>
      <w:r w:rsidRPr="00EE3B6B">
        <w:rPr>
          <w:rFonts w:ascii="Times New Roman" w:hAnsi="Times New Roman" w:cs="Times New Roman"/>
        </w:rPr>
        <w:t xml:space="preserve"> claims are unusually high or unusually low relative to the </w:t>
      </w:r>
      <w:r w:rsidRPr="00EE3B6B" w:rsidR="00C66220">
        <w:rPr>
          <w:rFonts w:ascii="Times New Roman" w:hAnsi="Times New Roman" w:cs="Times New Roman"/>
        </w:rPr>
        <w:t>Experience Period</w:t>
      </w:r>
      <w:r w:rsidRPr="00EE3B6B">
        <w:rPr>
          <w:rFonts w:ascii="Times New Roman" w:hAnsi="Times New Roman" w:cs="Times New Roman"/>
        </w:rPr>
        <w:t xml:space="preserve"> claims paid as of the Paid Through Date, explain what is causing them to be unusually high or unusually low (e.g.</w:t>
      </w:r>
      <w:r w:rsidRPr="00EE3B6B" w:rsidR="00D334ED">
        <w:rPr>
          <w:rFonts w:ascii="Times New Roman" w:hAnsi="Times New Roman" w:cs="Times New Roman"/>
        </w:rPr>
        <w:t>,</w:t>
      </w:r>
      <w:r w:rsidRPr="00EE3B6B">
        <w:rPr>
          <w:rFonts w:ascii="Times New Roman" w:hAnsi="Times New Roman" w:cs="Times New Roman"/>
        </w:rPr>
        <w:t xml:space="preserve"> introduction of a new claims system, significant employee turnover, etc.).</w:t>
      </w:r>
    </w:p>
    <w:p w:rsidR="00357FB5" w:rsidRPr="00EE3B6B" w:rsidP="006C6C1A" w14:paraId="21D20350" w14:textId="77777777">
      <w:pPr>
        <w:pStyle w:val="Heading3"/>
        <w:numPr>
          <w:ilvl w:val="0"/>
          <w:numId w:val="0"/>
        </w:numPr>
        <w:ind w:left="720" w:hanging="720"/>
      </w:pPr>
      <w:bookmarkStart w:id="59" w:name="_Toc174003440"/>
      <w:r w:rsidRPr="00EE3B6B">
        <w:t>4.4.2 Benefit Categories</w:t>
      </w:r>
      <w:bookmarkEnd w:id="59"/>
    </w:p>
    <w:p w:rsidR="00023230" w:rsidRPr="00EE3B6B" w:rsidP="006D1FD2" w14:paraId="10D5CDD6" w14:textId="77777777">
      <w:pPr>
        <w:keepLines/>
        <w:spacing w:after="120" w:line="276" w:lineRule="auto"/>
        <w:rPr>
          <w:rFonts w:ascii="Times New Roman" w:hAnsi="Times New Roman" w:cs="Times New Roman"/>
        </w:rPr>
      </w:pPr>
      <w:r w:rsidRPr="00EE3B6B">
        <w:rPr>
          <w:rFonts w:ascii="Times New Roman" w:hAnsi="Times New Roman" w:cs="Times New Roman"/>
        </w:rPr>
        <w:t xml:space="preserve">For each of the Benefit Categories in Worksheet 1, Section II, describe the methodology used to determine which category each claim in the </w:t>
      </w:r>
      <w:r w:rsidRPr="00EE3B6B" w:rsidR="00C66220">
        <w:rPr>
          <w:rFonts w:ascii="Times New Roman" w:hAnsi="Times New Roman" w:cs="Times New Roman"/>
        </w:rPr>
        <w:t>Experience Period</w:t>
      </w:r>
      <w:r w:rsidRPr="00EE3B6B">
        <w:rPr>
          <w:rFonts w:ascii="Times New Roman" w:hAnsi="Times New Roman" w:cs="Times New Roman"/>
        </w:rPr>
        <w:t xml:space="preserve"> falls.</w:t>
      </w:r>
    </w:p>
    <w:p w:rsidR="00357FB5" w:rsidRPr="00EE3B6B" w:rsidP="006C6C1A" w14:paraId="75463FF0" w14:textId="77777777">
      <w:pPr>
        <w:pStyle w:val="Heading3"/>
        <w:numPr>
          <w:ilvl w:val="0"/>
          <w:numId w:val="0"/>
        </w:numPr>
        <w:ind w:left="720" w:hanging="720"/>
      </w:pPr>
      <w:bookmarkStart w:id="60" w:name="_Toc174003441"/>
      <w:r w:rsidRPr="00EE3B6B">
        <w:t>4.4.3 Projection Factors</w:t>
      </w:r>
      <w:bookmarkEnd w:id="60"/>
    </w:p>
    <w:p w:rsidR="00357FB5" w:rsidRPr="00EE3B6B" w:rsidP="006D1FD2" w14:paraId="230FD90B" w14:textId="77777777">
      <w:pPr>
        <w:keepLines/>
        <w:spacing w:after="120" w:line="276" w:lineRule="auto"/>
        <w:rPr>
          <w:rFonts w:ascii="Times New Roman" w:hAnsi="Times New Roman" w:cs="Times New Roman"/>
        </w:rPr>
      </w:pPr>
      <w:r w:rsidRPr="00EE3B6B">
        <w:rPr>
          <w:rFonts w:ascii="Times New Roman" w:hAnsi="Times New Roman" w:cs="Times New Roman"/>
        </w:rPr>
        <w:t xml:space="preserve">This section should include a description of each factor used to project the </w:t>
      </w:r>
      <w:r w:rsidRPr="00EE3B6B" w:rsidR="00C66220">
        <w:rPr>
          <w:rFonts w:ascii="Times New Roman" w:hAnsi="Times New Roman" w:cs="Times New Roman"/>
        </w:rPr>
        <w:t>Experience Period</w:t>
      </w:r>
      <w:r w:rsidRPr="00EE3B6B">
        <w:rPr>
          <w:rFonts w:ascii="Times New Roman" w:hAnsi="Times New Roman" w:cs="Times New Roman"/>
        </w:rPr>
        <w:t xml:space="preserve"> </w:t>
      </w:r>
      <w:r w:rsidRPr="00EE3B6B" w:rsidR="00C66220">
        <w:rPr>
          <w:rFonts w:ascii="Times New Roman" w:hAnsi="Times New Roman" w:cs="Times New Roman"/>
        </w:rPr>
        <w:t>Index Rate</w:t>
      </w:r>
      <w:r w:rsidRPr="00EE3B6B">
        <w:rPr>
          <w:rFonts w:ascii="Times New Roman" w:hAnsi="Times New Roman" w:cs="Times New Roman"/>
        </w:rPr>
        <w:t xml:space="preserve"> to the </w:t>
      </w:r>
      <w:r w:rsidRPr="00EE3B6B" w:rsidR="00C66220">
        <w:rPr>
          <w:rFonts w:ascii="Times New Roman" w:hAnsi="Times New Roman" w:cs="Times New Roman"/>
        </w:rPr>
        <w:t>Projection Period</w:t>
      </w:r>
      <w:r w:rsidRPr="00EE3B6B">
        <w:rPr>
          <w:rFonts w:ascii="Times New Roman" w:hAnsi="Times New Roman" w:cs="Times New Roman"/>
        </w:rPr>
        <w:t xml:space="preserve"> and supporting information related to the development of those factors. For each factor, the actuary should include a description of the source data or assumptions used, why they are appropriate for the single risk pool, and any applicable adjustments made to the data, such as considerations for issuer specific experience, industry or internal studies, benefit design</w:t>
      </w:r>
      <w:r w:rsidRPr="00EE3B6B" w:rsidR="00D334ED">
        <w:rPr>
          <w:rFonts w:ascii="Times New Roman" w:hAnsi="Times New Roman" w:cs="Times New Roman"/>
        </w:rPr>
        <w:t>,</w:t>
      </w:r>
      <w:r w:rsidRPr="00EE3B6B">
        <w:rPr>
          <w:rFonts w:ascii="Times New Roman" w:hAnsi="Times New Roman" w:cs="Times New Roman"/>
        </w:rPr>
        <w:t xml:space="preserve"> and credibility of the source data.</w:t>
      </w:r>
    </w:p>
    <w:p w:rsidR="00023230" w:rsidRPr="00EE3B6B" w:rsidP="00FA6F2C" w14:paraId="32064267" w14:textId="77777777">
      <w:pPr>
        <w:pStyle w:val="Heading4"/>
      </w:pPr>
      <w:r w:rsidRPr="00EE3B6B">
        <w:t>4.4.3.1 Trend Factors</w:t>
      </w:r>
    </w:p>
    <w:p w:rsidR="00C322BD" w:rsidRPr="00EE3B6B" w:rsidP="006D1FD2" w14:paraId="352E473B" w14:textId="77777777">
      <w:pPr>
        <w:keepLines/>
        <w:spacing w:after="120" w:line="276" w:lineRule="auto"/>
        <w:rPr>
          <w:rFonts w:ascii="Times New Roman" w:hAnsi="Times New Roman" w:cs="Times New Roman"/>
        </w:rPr>
      </w:pPr>
      <w:r w:rsidRPr="00EE3B6B">
        <w:rPr>
          <w:rFonts w:ascii="Times New Roman" w:hAnsi="Times New Roman" w:cs="Times New Roman"/>
          <w:b/>
        </w:rPr>
        <w:t xml:space="preserve">Trend Factors (cost/utilization): </w:t>
      </w:r>
      <w:r w:rsidRPr="00EE3B6B">
        <w:rPr>
          <w:rFonts w:ascii="Times New Roman" w:hAnsi="Times New Roman" w:cs="Times New Roman"/>
        </w:rPr>
        <w:t xml:space="preserve"> Trend factors reported in the URRT are broken out by Year 1 and Year 2, as well as between cost and utilization.</w:t>
      </w:r>
      <w:r w:rsidRPr="00EE3B6B">
        <w:rPr>
          <w:rFonts w:ascii="Times New Roman" w:hAnsi="Times New Roman" w:cs="Times New Roman"/>
        </w:rPr>
        <w:t xml:space="preserve"> To calculate the Trended EHB Allowed Claims </w:t>
      </w:r>
      <w:r w:rsidRPr="00EE3B6B" w:rsidR="00BB21D5">
        <w:rPr>
          <w:rFonts w:ascii="Times New Roman" w:hAnsi="Times New Roman" w:cs="Times New Roman"/>
        </w:rPr>
        <w:t>PMPM</w:t>
      </w:r>
      <w:r w:rsidRPr="00EE3B6B">
        <w:rPr>
          <w:rFonts w:ascii="Times New Roman" w:hAnsi="Times New Roman" w:cs="Times New Roman"/>
        </w:rPr>
        <w:t xml:space="preserve">, the spreadsheet multiplies the </w:t>
      </w:r>
      <w:r w:rsidRPr="00EE3B6B" w:rsidR="00C66220">
        <w:rPr>
          <w:rFonts w:ascii="Times New Roman" w:hAnsi="Times New Roman" w:cs="Times New Roman"/>
        </w:rPr>
        <w:t>Experience Period</w:t>
      </w:r>
      <w:r w:rsidRPr="00EE3B6B">
        <w:rPr>
          <w:rFonts w:ascii="Times New Roman" w:hAnsi="Times New Roman" w:cs="Times New Roman"/>
        </w:rPr>
        <w:t xml:space="preserve"> </w:t>
      </w:r>
      <w:r w:rsidRPr="00EE3B6B" w:rsidR="00C66220">
        <w:rPr>
          <w:rFonts w:ascii="Times New Roman" w:hAnsi="Times New Roman" w:cs="Times New Roman"/>
        </w:rPr>
        <w:t>Index Rate</w:t>
      </w:r>
      <w:r w:rsidRPr="00EE3B6B">
        <w:rPr>
          <w:rFonts w:ascii="Times New Roman" w:hAnsi="Times New Roman" w:cs="Times New Roman"/>
        </w:rPr>
        <w:t xml:space="preserve"> </w:t>
      </w:r>
      <w:r w:rsidRPr="00EE3B6B" w:rsidR="00BB21D5">
        <w:rPr>
          <w:rFonts w:ascii="Times New Roman" w:hAnsi="Times New Roman" w:cs="Times New Roman"/>
        </w:rPr>
        <w:t>PMPM</w:t>
      </w:r>
      <w:r w:rsidRPr="00EE3B6B">
        <w:rPr>
          <w:rFonts w:ascii="Times New Roman" w:hAnsi="Times New Roman" w:cs="Times New Roman"/>
        </w:rPr>
        <w:t xml:space="preserve"> by the trend factors entered.</w:t>
      </w:r>
    </w:p>
    <w:p w:rsidR="00654FB7" w:rsidRPr="00EE3B6B" w:rsidP="006D1FD2" w14:paraId="4B6F65CB" w14:textId="77777777">
      <w:pPr>
        <w:keepLines/>
        <w:spacing w:after="120" w:line="276" w:lineRule="auto"/>
        <w:rPr>
          <w:rFonts w:ascii="Times New Roman" w:hAnsi="Times New Roman" w:cs="Times New Roman"/>
        </w:rPr>
      </w:pPr>
      <w:r w:rsidRPr="00EE3B6B">
        <w:rPr>
          <w:rFonts w:ascii="Times New Roman" w:hAnsi="Times New Roman" w:cs="Times New Roman"/>
        </w:rPr>
        <w:t xml:space="preserve">For quarterly small group filings, the terms “Year 1” and “Year 2” are used loosely. Depending upon the </w:t>
      </w:r>
      <w:r w:rsidRPr="00EE3B6B" w:rsidR="00C66220">
        <w:rPr>
          <w:rFonts w:ascii="Times New Roman" w:hAnsi="Times New Roman" w:cs="Times New Roman"/>
        </w:rPr>
        <w:t>Experience Period</w:t>
      </w:r>
      <w:r w:rsidRPr="00EE3B6B">
        <w:rPr>
          <w:rFonts w:ascii="Times New Roman" w:hAnsi="Times New Roman" w:cs="Times New Roman"/>
        </w:rPr>
        <w:t xml:space="preserve"> and </w:t>
      </w:r>
      <w:r w:rsidRPr="00EE3B6B" w:rsidR="00C66220">
        <w:rPr>
          <w:rFonts w:ascii="Times New Roman" w:hAnsi="Times New Roman" w:cs="Times New Roman"/>
        </w:rPr>
        <w:t>Projection Period</w:t>
      </w:r>
      <w:r w:rsidRPr="00EE3B6B">
        <w:rPr>
          <w:rFonts w:ascii="Times New Roman" w:hAnsi="Times New Roman" w:cs="Times New Roman"/>
        </w:rPr>
        <w:t xml:space="preserve"> used, Years 1 and 2 might not cover a </w:t>
      </w:r>
      <w:r w:rsidRPr="00EE3B6B">
        <w:rPr>
          <w:rFonts w:ascii="Times New Roman" w:hAnsi="Times New Roman" w:cs="Times New Roman"/>
        </w:rPr>
        <w:t>12 month</w:t>
      </w:r>
      <w:r w:rsidRPr="00EE3B6B">
        <w:rPr>
          <w:rFonts w:ascii="Times New Roman" w:hAnsi="Times New Roman" w:cs="Times New Roman"/>
        </w:rPr>
        <w:t xml:space="preserve"> period. The trend rates entered should be the applicable trend that takes the </w:t>
      </w:r>
      <w:r w:rsidRPr="00EE3B6B" w:rsidR="00C66220">
        <w:rPr>
          <w:rFonts w:ascii="Times New Roman" w:hAnsi="Times New Roman" w:cs="Times New Roman"/>
        </w:rPr>
        <w:t>Experience Period</w:t>
      </w:r>
      <w:r w:rsidRPr="00EE3B6B" w:rsidR="00FF5AAC">
        <w:rPr>
          <w:rFonts w:ascii="Times New Roman" w:hAnsi="Times New Roman" w:cs="Times New Roman"/>
        </w:rPr>
        <w:t xml:space="preserve"> </w:t>
      </w:r>
      <w:r w:rsidRPr="00EE3B6B" w:rsidR="00C66220">
        <w:rPr>
          <w:rFonts w:ascii="Times New Roman" w:hAnsi="Times New Roman" w:cs="Times New Roman"/>
        </w:rPr>
        <w:t>Index Rate</w:t>
      </w:r>
      <w:r w:rsidRPr="00EE3B6B" w:rsidR="00FF5AAC">
        <w:rPr>
          <w:rFonts w:ascii="Times New Roman" w:hAnsi="Times New Roman" w:cs="Times New Roman"/>
        </w:rPr>
        <w:t xml:space="preserve"> to the </w:t>
      </w:r>
      <w:r w:rsidRPr="00EE3B6B" w:rsidR="00247F79">
        <w:rPr>
          <w:rFonts w:ascii="Times New Roman" w:hAnsi="Times New Roman" w:cs="Times New Roman"/>
        </w:rPr>
        <w:t>MAIR</w:t>
      </w:r>
      <w:r w:rsidRPr="00EE3B6B" w:rsidR="00FF5AAC">
        <w:rPr>
          <w:rFonts w:ascii="Times New Roman" w:hAnsi="Times New Roman" w:cs="Times New Roman"/>
        </w:rPr>
        <w:t xml:space="preserve"> for the effective date of the filing. For example, if an issuer were to file a third quarter rate increase, the trends entered should lead to a projected </w:t>
      </w:r>
      <w:r w:rsidRPr="00EE3B6B" w:rsidR="00C66220">
        <w:rPr>
          <w:rFonts w:ascii="Times New Roman" w:hAnsi="Times New Roman" w:cs="Times New Roman"/>
        </w:rPr>
        <w:t>Index Rate</w:t>
      </w:r>
      <w:r w:rsidRPr="00EE3B6B" w:rsidR="00FF5AAC">
        <w:rPr>
          <w:rFonts w:ascii="Times New Roman" w:hAnsi="Times New Roman" w:cs="Times New Roman"/>
        </w:rPr>
        <w:t xml:space="preserve"> and </w:t>
      </w:r>
      <w:r w:rsidRPr="00EE3B6B" w:rsidR="00247F79">
        <w:rPr>
          <w:rFonts w:ascii="Times New Roman" w:hAnsi="Times New Roman" w:cs="Times New Roman"/>
        </w:rPr>
        <w:t>MAIR</w:t>
      </w:r>
      <w:r w:rsidRPr="00EE3B6B" w:rsidR="00FF5AAC">
        <w:rPr>
          <w:rFonts w:ascii="Times New Roman" w:hAnsi="Times New Roman" w:cs="Times New Roman"/>
        </w:rPr>
        <w:t xml:space="preserve"> for July 1. Once the permitted plan-level adjustments and calibrations are applied, the Calibrated Plan Adjustment </w:t>
      </w:r>
      <w:r w:rsidRPr="00EE3B6B" w:rsidR="00C66220">
        <w:rPr>
          <w:rFonts w:ascii="Times New Roman" w:hAnsi="Times New Roman" w:cs="Times New Roman"/>
        </w:rPr>
        <w:t>Index Rate</w:t>
      </w:r>
      <w:r w:rsidRPr="00EE3B6B" w:rsidR="00FF5AAC">
        <w:rPr>
          <w:rFonts w:ascii="Times New Roman" w:hAnsi="Times New Roman" w:cs="Times New Roman"/>
        </w:rPr>
        <w:t xml:space="preserve"> should be the effective base rate for July 1</w:t>
      </w:r>
      <w:r w:rsidRPr="00EE3B6B" w:rsidR="00445FD6">
        <w:rPr>
          <w:rFonts w:ascii="Times New Roman" w:hAnsi="Times New Roman" w:cs="Times New Roman"/>
        </w:rPr>
        <w:t>. Applying the appropriate age, rating area, and tobacco use factors should generate consumer premium rates effective July 1.</w:t>
      </w:r>
    </w:p>
    <w:p w:rsidR="00A3032C" w:rsidRPr="00EE3B6B" w:rsidP="006D1FD2" w14:paraId="0BA101E7" w14:textId="77777777">
      <w:pPr>
        <w:keepLines/>
        <w:spacing w:after="120" w:line="276" w:lineRule="auto"/>
        <w:rPr>
          <w:rFonts w:ascii="Times New Roman" w:hAnsi="Times New Roman" w:cs="Times New Roman"/>
        </w:rPr>
      </w:pPr>
      <w:r w:rsidRPr="00EE3B6B">
        <w:rPr>
          <w:rFonts w:ascii="Times New Roman" w:hAnsi="Times New Roman" w:cs="Times New Roman"/>
        </w:rPr>
        <w:t>As the trend</w:t>
      </w:r>
      <w:r w:rsidRPr="00EE3B6B" w:rsidR="00501E80">
        <w:rPr>
          <w:rFonts w:ascii="Times New Roman" w:hAnsi="Times New Roman" w:cs="Times New Roman"/>
        </w:rPr>
        <w:t xml:space="preserve"> factors</w:t>
      </w:r>
      <w:r w:rsidRPr="00EE3B6B">
        <w:rPr>
          <w:rFonts w:ascii="Times New Roman" w:hAnsi="Times New Roman" w:cs="Times New Roman"/>
        </w:rPr>
        <w:t xml:space="preserve"> entered in the URRT may not represent the annual trend number, the issuer should specify the annual trend</w:t>
      </w:r>
      <w:r w:rsidRPr="00EE3B6B" w:rsidR="00501E80">
        <w:rPr>
          <w:rFonts w:ascii="Times New Roman" w:hAnsi="Times New Roman" w:cs="Times New Roman"/>
        </w:rPr>
        <w:t>s</w:t>
      </w:r>
      <w:r w:rsidRPr="00EE3B6B">
        <w:rPr>
          <w:rFonts w:ascii="Times New Roman" w:hAnsi="Times New Roman" w:cs="Times New Roman"/>
        </w:rPr>
        <w:t xml:space="preserve"> </w:t>
      </w:r>
      <w:r w:rsidRPr="00EE3B6B" w:rsidR="00501E80">
        <w:rPr>
          <w:rFonts w:ascii="Times New Roman" w:hAnsi="Times New Roman" w:cs="Times New Roman"/>
        </w:rPr>
        <w:t>and months of trend applied to</w:t>
      </w:r>
      <w:r w:rsidRPr="00EE3B6B">
        <w:rPr>
          <w:rFonts w:ascii="Times New Roman" w:hAnsi="Times New Roman" w:cs="Times New Roman"/>
        </w:rPr>
        <w:t xml:space="preserve"> Year 1 and Year 2</w:t>
      </w:r>
      <w:r w:rsidRPr="00EE3B6B" w:rsidR="00501E80">
        <w:rPr>
          <w:rFonts w:ascii="Times New Roman" w:hAnsi="Times New Roman" w:cs="Times New Roman"/>
        </w:rPr>
        <w:t xml:space="preserve"> in the Actuarial Memorandum.</w:t>
      </w:r>
    </w:p>
    <w:p w:rsidR="00654FB7" w:rsidRPr="00EE3B6B" w:rsidP="006D1FD2" w14:paraId="3AD2B6A3" w14:textId="77777777">
      <w:pPr>
        <w:keepLines/>
        <w:spacing w:after="120" w:line="276" w:lineRule="auto"/>
        <w:rPr>
          <w:rFonts w:ascii="Times New Roman" w:hAnsi="Times New Roman" w:cs="Times New Roman"/>
        </w:rPr>
      </w:pPr>
      <w:r w:rsidRPr="00EE3B6B">
        <w:rPr>
          <w:rFonts w:ascii="Times New Roman" w:hAnsi="Times New Roman" w:cs="Times New Roman"/>
        </w:rPr>
        <w:t>D</w:t>
      </w:r>
      <w:r w:rsidRPr="00EE3B6B" w:rsidR="00A654C2">
        <w:rPr>
          <w:rFonts w:ascii="Times New Roman" w:hAnsi="Times New Roman" w:cs="Times New Roman"/>
        </w:rPr>
        <w:t>emonstrate and d</w:t>
      </w:r>
      <w:r w:rsidRPr="00EE3B6B">
        <w:rPr>
          <w:rFonts w:ascii="Times New Roman" w:hAnsi="Times New Roman" w:cs="Times New Roman"/>
        </w:rPr>
        <w:t xml:space="preserve">escribe the </w:t>
      </w:r>
      <w:r w:rsidRPr="00EE3B6B" w:rsidR="00796C56">
        <w:rPr>
          <w:rFonts w:ascii="Times New Roman" w:hAnsi="Times New Roman" w:cs="Times New Roman"/>
        </w:rPr>
        <w:t xml:space="preserve">trend calculation, including </w:t>
      </w:r>
      <w:r w:rsidRPr="00EE3B6B">
        <w:rPr>
          <w:rFonts w:ascii="Times New Roman" w:hAnsi="Times New Roman" w:cs="Times New Roman"/>
        </w:rPr>
        <w:t>source claims data used and methodology used for developing the cost and utilization projection factors, including all adjustments made to the data. Explain why the adjusted source data is applicable to the single risk pool. Some examples of such adjustments include</w:t>
      </w:r>
      <w:r w:rsidRPr="00EE3B6B" w:rsidR="00973D12">
        <w:rPr>
          <w:rFonts w:ascii="Times New Roman" w:hAnsi="Times New Roman" w:cs="Times New Roman"/>
        </w:rPr>
        <w:t>,</w:t>
      </w:r>
      <w:r w:rsidRPr="00EE3B6B">
        <w:rPr>
          <w:rFonts w:ascii="Times New Roman" w:hAnsi="Times New Roman" w:cs="Times New Roman"/>
        </w:rPr>
        <w:t xml:space="preserve"> but are not limited to</w:t>
      </w:r>
      <w:r w:rsidRPr="00EE3B6B" w:rsidR="00973D12">
        <w:rPr>
          <w:rFonts w:ascii="Times New Roman" w:hAnsi="Times New Roman" w:cs="Times New Roman"/>
        </w:rPr>
        <w:t>,</w:t>
      </w:r>
      <w:r w:rsidRPr="00EE3B6B">
        <w:rPr>
          <w:rFonts w:ascii="Times New Roman" w:hAnsi="Times New Roman" w:cs="Times New Roman"/>
        </w:rPr>
        <w:t xml:space="preserve"> the following:</w:t>
      </w:r>
    </w:p>
    <w:p w:rsidR="00654FB7" w:rsidRPr="00EE3B6B" w:rsidP="006D1FD2" w14:paraId="40B55C23" w14:textId="77777777">
      <w:pPr>
        <w:pStyle w:val="ListParagraph"/>
        <w:keepLines/>
        <w:numPr>
          <w:ilvl w:val="0"/>
          <w:numId w:val="41"/>
        </w:numPr>
        <w:spacing w:after="120" w:line="276" w:lineRule="auto"/>
        <w:rPr>
          <w:rFonts w:ascii="Times New Roman" w:hAnsi="Times New Roman" w:cs="Times New Roman"/>
        </w:rPr>
      </w:pPr>
      <w:r w:rsidRPr="00EE3B6B">
        <w:rPr>
          <w:rFonts w:ascii="Times New Roman" w:hAnsi="Times New Roman" w:cs="Times New Roman"/>
        </w:rPr>
        <w:t>Normalization for changes in age.</w:t>
      </w:r>
    </w:p>
    <w:p w:rsidR="00654FB7" w:rsidRPr="00EE3B6B" w:rsidP="006D1FD2" w14:paraId="089C8B27" w14:textId="77777777">
      <w:pPr>
        <w:pStyle w:val="ListParagraph"/>
        <w:keepLines/>
        <w:numPr>
          <w:ilvl w:val="0"/>
          <w:numId w:val="41"/>
        </w:numPr>
        <w:spacing w:after="120" w:line="276" w:lineRule="auto"/>
        <w:rPr>
          <w:rFonts w:ascii="Times New Roman" w:hAnsi="Times New Roman" w:cs="Times New Roman"/>
        </w:rPr>
      </w:pPr>
      <w:r w:rsidRPr="00EE3B6B">
        <w:rPr>
          <w:rFonts w:ascii="Times New Roman" w:hAnsi="Times New Roman" w:cs="Times New Roman"/>
        </w:rPr>
        <w:t>Normalization for benefit changes that occurred during the period (even if allowed claims are used to project trend, a normalization adjustment may be warranted to account for the influence that changes in benefits have on utilization).</w:t>
      </w:r>
    </w:p>
    <w:p w:rsidR="00654FB7" w:rsidRPr="00EE3B6B" w:rsidP="006D1FD2" w14:paraId="789301E0" w14:textId="77777777">
      <w:pPr>
        <w:pStyle w:val="ListParagraph"/>
        <w:keepLines/>
        <w:numPr>
          <w:ilvl w:val="0"/>
          <w:numId w:val="41"/>
        </w:numPr>
        <w:spacing w:after="120" w:line="276" w:lineRule="auto"/>
        <w:rPr>
          <w:rFonts w:ascii="Times New Roman" w:hAnsi="Times New Roman" w:cs="Times New Roman"/>
        </w:rPr>
      </w:pPr>
      <w:r w:rsidRPr="00EE3B6B">
        <w:rPr>
          <w:rFonts w:ascii="Times New Roman" w:hAnsi="Times New Roman" w:cs="Times New Roman"/>
        </w:rPr>
        <w:t>Adjustments for seasonality patterns underlying the claims that may skew calculated trends.</w:t>
      </w:r>
    </w:p>
    <w:p w:rsidR="00654FB7" w:rsidRPr="00EE3B6B" w:rsidP="006D1FD2" w14:paraId="3ABBDCBF" w14:textId="77777777">
      <w:pPr>
        <w:pStyle w:val="ListParagraph"/>
        <w:keepLines/>
        <w:numPr>
          <w:ilvl w:val="0"/>
          <w:numId w:val="41"/>
        </w:numPr>
        <w:spacing w:after="120" w:line="276" w:lineRule="auto"/>
        <w:rPr>
          <w:rFonts w:ascii="Times New Roman" w:hAnsi="Times New Roman" w:cs="Times New Roman"/>
        </w:rPr>
      </w:pPr>
      <w:r w:rsidRPr="00EE3B6B">
        <w:rPr>
          <w:rFonts w:ascii="Times New Roman" w:hAnsi="Times New Roman" w:cs="Times New Roman"/>
        </w:rPr>
        <w:t xml:space="preserve">Normalization for any one-time events which are not anticipated to reoccur during the </w:t>
      </w:r>
      <w:r w:rsidRPr="00EE3B6B" w:rsidR="00C66220">
        <w:rPr>
          <w:rFonts w:ascii="Times New Roman" w:hAnsi="Times New Roman" w:cs="Times New Roman"/>
        </w:rPr>
        <w:t>Projection Period</w:t>
      </w:r>
      <w:r w:rsidRPr="00EE3B6B">
        <w:rPr>
          <w:rFonts w:ascii="Times New Roman" w:hAnsi="Times New Roman" w:cs="Times New Roman"/>
        </w:rPr>
        <w:t>.</w:t>
      </w:r>
    </w:p>
    <w:p w:rsidR="00654FB7" w:rsidRPr="00EE3B6B" w:rsidP="006D1FD2" w14:paraId="5410544B" w14:textId="77777777">
      <w:pPr>
        <w:pStyle w:val="ListParagraph"/>
        <w:keepLines/>
        <w:numPr>
          <w:ilvl w:val="0"/>
          <w:numId w:val="41"/>
        </w:numPr>
        <w:spacing w:after="120" w:line="276" w:lineRule="auto"/>
        <w:rPr>
          <w:rFonts w:ascii="Times New Roman" w:hAnsi="Times New Roman" w:cs="Times New Roman"/>
        </w:rPr>
      </w:pPr>
      <w:r w:rsidRPr="00EE3B6B">
        <w:rPr>
          <w:rFonts w:ascii="Times New Roman" w:hAnsi="Times New Roman" w:cs="Times New Roman"/>
        </w:rPr>
        <w:t>Adjustments for anticipated changes in provider contracts that differ from those underlying the experience used.</w:t>
      </w:r>
    </w:p>
    <w:p w:rsidR="00654FB7" w:rsidRPr="00EE3B6B" w:rsidP="006D1FD2" w14:paraId="117E90F9" w14:textId="77777777">
      <w:pPr>
        <w:pStyle w:val="ListParagraph"/>
        <w:keepLines/>
        <w:numPr>
          <w:ilvl w:val="0"/>
          <w:numId w:val="41"/>
        </w:numPr>
        <w:spacing w:after="120" w:line="276" w:lineRule="auto"/>
        <w:rPr>
          <w:rFonts w:ascii="Times New Roman" w:hAnsi="Times New Roman" w:cs="Times New Roman"/>
        </w:rPr>
      </w:pPr>
      <w:r w:rsidRPr="00EE3B6B">
        <w:rPr>
          <w:rFonts w:ascii="Times New Roman" w:hAnsi="Times New Roman" w:cs="Times New Roman"/>
        </w:rPr>
        <w:t>For prescription drugs, any adjustments made to account for changes in the formulary, expiration of patents, or introduction of new drugs.</w:t>
      </w:r>
    </w:p>
    <w:p w:rsidR="00501E80" w:rsidRPr="00EE3B6B" w:rsidP="00FA6F2C" w14:paraId="3F8C5E20" w14:textId="77777777">
      <w:pPr>
        <w:pStyle w:val="Heading4"/>
      </w:pPr>
      <w:r w:rsidRPr="00EE3B6B">
        <w:t>4.4.3.2 Adjustments</w:t>
      </w:r>
      <w:r w:rsidRPr="00EE3B6B">
        <w:t xml:space="preserve"> to Trended EHB Allowed Claims</w:t>
      </w:r>
      <w:r w:rsidRPr="00EE3B6B" w:rsidR="00340F05">
        <w:t xml:space="preserve"> PMPM</w:t>
      </w:r>
    </w:p>
    <w:p w:rsidR="00340F05" w:rsidRPr="00EE3B6B" w:rsidP="006D1FD2" w14:paraId="0703B7E9" w14:textId="77777777">
      <w:pPr>
        <w:keepLines/>
        <w:spacing w:after="120" w:line="276" w:lineRule="auto"/>
        <w:rPr>
          <w:rFonts w:ascii="Times New Roman" w:hAnsi="Times New Roman" w:cs="Times New Roman"/>
        </w:rPr>
      </w:pPr>
      <w:r w:rsidRPr="00EE3B6B">
        <w:rPr>
          <w:rFonts w:ascii="Times New Roman" w:hAnsi="Times New Roman" w:cs="Times New Roman"/>
        </w:rPr>
        <w:t xml:space="preserve">This section should explain adjustments other than trend that are made to the Experience Period claims </w:t>
      </w:r>
      <w:r w:rsidRPr="00EE3B6B">
        <w:rPr>
          <w:rFonts w:ascii="Times New Roman" w:hAnsi="Times New Roman" w:cs="Times New Roman"/>
        </w:rPr>
        <w:t>in order to</w:t>
      </w:r>
      <w:r w:rsidRPr="00EE3B6B">
        <w:rPr>
          <w:rFonts w:ascii="Times New Roman" w:hAnsi="Times New Roman" w:cs="Times New Roman"/>
        </w:rPr>
        <w:t xml:space="preserve"> develop the projected Index Rate.</w:t>
      </w:r>
    </w:p>
    <w:p w:rsidR="00340F05" w:rsidRPr="00EE3B6B" w:rsidP="006D1FD2" w14:paraId="34B327A8" w14:textId="77777777">
      <w:pPr>
        <w:keepLines/>
        <w:spacing w:after="120" w:line="276" w:lineRule="auto"/>
        <w:rPr>
          <w:rFonts w:ascii="Times New Roman" w:hAnsi="Times New Roman" w:cs="Times New Roman"/>
        </w:rPr>
      </w:pPr>
      <w:r w:rsidRPr="00EE3B6B">
        <w:rPr>
          <w:rFonts w:ascii="Times New Roman" w:hAnsi="Times New Roman" w:cs="Times New Roman"/>
          <w:b/>
        </w:rPr>
        <w:t>Morbidity Adjustment:</w:t>
      </w:r>
      <w:r w:rsidRPr="00EE3B6B">
        <w:rPr>
          <w:rFonts w:ascii="Times New Roman" w:hAnsi="Times New Roman" w:cs="Times New Roman"/>
        </w:rPr>
        <w:t xml:space="preserve">  Describe any adjustment factors applied to the projected claims to account for anticipated differences in the average morbidity of the pooled population underlying the Experience Period and the issuer’s population anticipated to be insured in the Projection Period. These adjustments are shown in the “Morbidity Adjustment” entry on Worksheet 1, Section II. The morbidity of the population could be impacted by items such as guaranteed availability, an individual mandate to maintain coverage, expansion of Medicaid programs, and the introduction of a Basic Health Program.</w:t>
      </w:r>
    </w:p>
    <w:p w:rsidR="00340F05" w:rsidRPr="00EE3B6B" w:rsidP="006D1FD2" w14:paraId="580532D8" w14:textId="77777777">
      <w:pPr>
        <w:keepLines/>
        <w:spacing w:after="120" w:line="276" w:lineRule="auto"/>
        <w:rPr>
          <w:rFonts w:ascii="Times New Roman" w:hAnsi="Times New Roman" w:cs="Times New Roman"/>
        </w:rPr>
      </w:pPr>
      <w:r w:rsidRPr="00EE3B6B">
        <w:rPr>
          <w:rFonts w:ascii="Times New Roman" w:hAnsi="Times New Roman" w:cs="Times New Roman"/>
          <w:b/>
        </w:rPr>
        <w:t>Demographic Shift:</w:t>
      </w:r>
      <w:r w:rsidRPr="00EE3B6B">
        <w:rPr>
          <w:rFonts w:ascii="Times New Roman" w:hAnsi="Times New Roman" w:cs="Times New Roman"/>
        </w:rPr>
        <w:t xml:space="preserve">  Describe the development of the demographic shift factor used to adjust the projected claims to reflect differences between the average mix of the population by age, gender, and region underlying the base period experience and the average mix anticipated to underlie the Projection Period. Describe and support the age/gender factors underlying the development of these claims-based demographic adjustment factors.</w:t>
      </w:r>
    </w:p>
    <w:p w:rsidR="00340F05" w:rsidRPr="00EE3B6B" w:rsidP="006D1FD2" w14:paraId="5A7C6800" w14:textId="77777777">
      <w:pPr>
        <w:keepLines/>
        <w:spacing w:after="120" w:line="276" w:lineRule="auto"/>
        <w:rPr>
          <w:rFonts w:ascii="Times New Roman" w:hAnsi="Times New Roman" w:cs="Times New Roman"/>
        </w:rPr>
      </w:pPr>
      <w:r w:rsidRPr="00EE3B6B">
        <w:rPr>
          <w:rFonts w:ascii="Times New Roman" w:hAnsi="Times New Roman" w:cs="Times New Roman"/>
          <w:b/>
        </w:rPr>
        <w:t>Plan Design Changes:</w:t>
      </w:r>
      <w:r w:rsidRPr="00EE3B6B">
        <w:rPr>
          <w:rFonts w:ascii="Times New Roman" w:hAnsi="Times New Roman" w:cs="Times New Roman"/>
        </w:rPr>
        <w:t xml:space="preserve">  Describe the development of factors used to adjust the Experience Period claims to reflect the average benefits that will be covered during the Projection Period, including any newly mandated benefits (if any). The factors could adjust for items including but not limited to the following:</w:t>
      </w:r>
    </w:p>
    <w:p w:rsidR="00340F05" w:rsidRPr="00EE3B6B" w:rsidP="006D1FD2" w14:paraId="71AEB88A" w14:textId="77777777">
      <w:pPr>
        <w:pStyle w:val="ListParagraph"/>
        <w:keepLines/>
        <w:numPr>
          <w:ilvl w:val="0"/>
          <w:numId w:val="40"/>
        </w:numPr>
        <w:spacing w:after="120" w:line="276" w:lineRule="auto"/>
        <w:rPr>
          <w:rFonts w:ascii="Times New Roman" w:hAnsi="Times New Roman" w:cs="Times New Roman"/>
        </w:rPr>
      </w:pPr>
      <w:r w:rsidRPr="00EE3B6B">
        <w:rPr>
          <w:rFonts w:ascii="Times New Roman" w:hAnsi="Times New Roman" w:cs="Times New Roman"/>
        </w:rPr>
        <w:t xml:space="preserve">Addition of any benefits covered under the </w:t>
      </w:r>
      <w:r w:rsidRPr="00EE3B6B" w:rsidR="00A52393">
        <w:rPr>
          <w:rFonts w:ascii="Times New Roman" w:hAnsi="Times New Roman" w:cs="Times New Roman"/>
        </w:rPr>
        <w:t>s</w:t>
      </w:r>
      <w:r w:rsidRPr="00EE3B6B">
        <w:rPr>
          <w:rFonts w:ascii="Times New Roman" w:hAnsi="Times New Roman" w:cs="Times New Roman"/>
        </w:rPr>
        <w:t>tate EHB Benchmark Plan.</w:t>
      </w:r>
    </w:p>
    <w:p w:rsidR="00340F05" w:rsidRPr="00EE3B6B" w:rsidP="006D1FD2" w14:paraId="56EA7F97" w14:textId="77777777">
      <w:pPr>
        <w:pStyle w:val="ListParagraph"/>
        <w:keepLines/>
        <w:numPr>
          <w:ilvl w:val="0"/>
          <w:numId w:val="40"/>
        </w:numPr>
        <w:spacing w:after="120" w:line="276" w:lineRule="auto"/>
        <w:rPr>
          <w:rFonts w:ascii="Times New Roman" w:hAnsi="Times New Roman" w:cs="Times New Roman"/>
        </w:rPr>
      </w:pPr>
      <w:r w:rsidRPr="00EE3B6B">
        <w:rPr>
          <w:rFonts w:ascii="Times New Roman" w:hAnsi="Times New Roman" w:cs="Times New Roman"/>
        </w:rPr>
        <w:t xml:space="preserve">Any newly mandated benefits required under </w:t>
      </w:r>
      <w:r w:rsidRPr="00EE3B6B" w:rsidR="00A52393">
        <w:rPr>
          <w:rFonts w:ascii="Times New Roman" w:hAnsi="Times New Roman" w:cs="Times New Roman"/>
        </w:rPr>
        <w:t>s</w:t>
      </w:r>
      <w:r w:rsidRPr="00EE3B6B">
        <w:rPr>
          <w:rFonts w:ascii="Times New Roman" w:hAnsi="Times New Roman" w:cs="Times New Roman"/>
        </w:rPr>
        <w:t>tate law that are not reflected in the Experience Period claims.</w:t>
      </w:r>
    </w:p>
    <w:p w:rsidR="00340F05" w:rsidRPr="00EE3B6B" w:rsidP="006D1FD2" w14:paraId="7D2DAEA0" w14:textId="77777777">
      <w:pPr>
        <w:pStyle w:val="ListParagraph"/>
        <w:keepLines/>
        <w:numPr>
          <w:ilvl w:val="0"/>
          <w:numId w:val="40"/>
        </w:numPr>
        <w:spacing w:after="120" w:line="276" w:lineRule="auto"/>
        <w:rPr>
          <w:rFonts w:ascii="Times New Roman" w:hAnsi="Times New Roman" w:cs="Times New Roman"/>
        </w:rPr>
      </w:pPr>
      <w:r w:rsidRPr="00EE3B6B">
        <w:rPr>
          <w:rFonts w:ascii="Times New Roman" w:hAnsi="Times New Roman" w:cs="Times New Roman"/>
        </w:rPr>
        <w:t>Adjustment for the removal of benefits covered in the Experience Period claims that will not be covered in the Projection Period.</w:t>
      </w:r>
    </w:p>
    <w:p w:rsidR="00340F05" w:rsidRPr="00EE3B6B" w:rsidP="006D1FD2" w14:paraId="5C912A1B" w14:textId="77777777">
      <w:pPr>
        <w:pStyle w:val="ListParagraph"/>
        <w:keepLines/>
        <w:numPr>
          <w:ilvl w:val="0"/>
          <w:numId w:val="40"/>
        </w:numPr>
        <w:spacing w:after="120" w:line="276" w:lineRule="auto"/>
        <w:rPr>
          <w:rFonts w:ascii="Times New Roman" w:hAnsi="Times New Roman" w:cs="Times New Roman"/>
        </w:rPr>
      </w:pPr>
      <w:r w:rsidRPr="00EE3B6B">
        <w:rPr>
          <w:rFonts w:ascii="Times New Roman" w:hAnsi="Times New Roman" w:cs="Times New Roman"/>
        </w:rPr>
        <w:t>Anticipated changes in the average utilization of services due to differences in average cost- sharing requirements during the Experience Period and average cost-sharing requirements in the Projection Period.</w:t>
      </w:r>
    </w:p>
    <w:p w:rsidR="00340F05" w:rsidRPr="00EE3B6B" w:rsidP="006D1FD2" w14:paraId="480942EC" w14:textId="77777777">
      <w:pPr>
        <w:keepLines/>
        <w:spacing w:after="120" w:line="276" w:lineRule="auto"/>
        <w:rPr>
          <w:rFonts w:ascii="Times New Roman" w:hAnsi="Times New Roman" w:cs="Times New Roman"/>
        </w:rPr>
      </w:pPr>
      <w:r w:rsidRPr="00EE3B6B">
        <w:rPr>
          <w:rFonts w:ascii="Times New Roman" w:hAnsi="Times New Roman" w:cs="Times New Roman"/>
          <w:b/>
        </w:rPr>
        <w:t>Other Adjustments:</w:t>
      </w:r>
      <w:r w:rsidRPr="00EE3B6B">
        <w:rPr>
          <w:rFonts w:ascii="Times New Roman" w:hAnsi="Times New Roman" w:cs="Times New Roman"/>
        </w:rPr>
        <w:t xml:space="preserve">  Describe any other adjustments, in addition to morbidity, demographics, and plan design changes which are specifically addressed above, that are reflected in the “Other” adjustments entry on Worksheet 1, Section II.  Also describe how these factors were developed. Some examples might include legislative changes affecting the market other than mandated benefits </w:t>
      </w:r>
      <w:r w:rsidRPr="00EE3B6B" w:rsidR="001C13D5">
        <w:rPr>
          <w:rFonts w:ascii="Times New Roman" w:hAnsi="Times New Roman" w:cs="Times New Roman"/>
        </w:rPr>
        <w:t>or</w:t>
      </w:r>
      <w:r w:rsidRPr="00EE3B6B">
        <w:rPr>
          <w:rFonts w:ascii="Times New Roman" w:hAnsi="Times New Roman" w:cs="Times New Roman"/>
        </w:rPr>
        <w:t xml:space="preserve"> changes brought about by State Relief and Empowerment Waivers under section 1332 of the ACA.</w:t>
      </w:r>
    </w:p>
    <w:p w:rsidR="001A2DDF" w:rsidRPr="00EE3B6B" w:rsidP="00FA6F2C" w14:paraId="26592DE7" w14:textId="77777777">
      <w:pPr>
        <w:pStyle w:val="Heading4"/>
      </w:pPr>
      <w:r w:rsidRPr="00EE3B6B">
        <w:t>4.4.3.3 Manual Rate Adjustments</w:t>
      </w:r>
    </w:p>
    <w:p w:rsidR="001A2DDF" w:rsidRPr="00EE3B6B" w:rsidP="006D1FD2" w14:paraId="4642CC69" w14:textId="77777777">
      <w:pPr>
        <w:keepLines/>
        <w:spacing w:after="120" w:line="276" w:lineRule="auto"/>
        <w:rPr>
          <w:rFonts w:ascii="Times New Roman" w:hAnsi="Times New Roman" w:cs="Times New Roman"/>
        </w:rPr>
      </w:pPr>
      <w:r w:rsidRPr="00EE3B6B">
        <w:rPr>
          <w:rFonts w:ascii="Times New Roman" w:hAnsi="Times New Roman" w:cs="Times New Roman"/>
        </w:rPr>
        <w:t xml:space="preserve">For issuers with </w:t>
      </w:r>
      <w:r w:rsidRPr="00EE3B6B" w:rsidR="00C66220">
        <w:rPr>
          <w:rFonts w:ascii="Times New Roman" w:hAnsi="Times New Roman" w:cs="Times New Roman"/>
        </w:rPr>
        <w:t>Experience Period</w:t>
      </w:r>
      <w:r w:rsidRPr="00EE3B6B">
        <w:rPr>
          <w:rFonts w:ascii="Times New Roman" w:hAnsi="Times New Roman" w:cs="Times New Roman"/>
        </w:rPr>
        <w:t xml:space="preserve"> claims that are not determined to be fully credible, the use of other credible claims experience must be employed in developing a Manual EHB Allowed Claims </w:t>
      </w:r>
      <w:r w:rsidRPr="00EE3B6B" w:rsidR="00BB21D5">
        <w:rPr>
          <w:rFonts w:ascii="Times New Roman" w:hAnsi="Times New Roman" w:cs="Times New Roman"/>
        </w:rPr>
        <w:t>PMPM</w:t>
      </w:r>
      <w:r w:rsidRPr="00EE3B6B">
        <w:rPr>
          <w:rFonts w:ascii="Times New Roman" w:hAnsi="Times New Roman" w:cs="Times New Roman"/>
        </w:rPr>
        <w:t xml:space="preserve"> for the </w:t>
      </w:r>
      <w:r w:rsidRPr="00EE3B6B" w:rsidR="00C66220">
        <w:rPr>
          <w:rFonts w:ascii="Times New Roman" w:hAnsi="Times New Roman" w:cs="Times New Roman"/>
        </w:rPr>
        <w:t>Projection Period</w:t>
      </w:r>
      <w:r w:rsidRPr="00EE3B6B">
        <w:rPr>
          <w:rFonts w:ascii="Times New Roman" w:hAnsi="Times New Roman" w:cs="Times New Roman"/>
        </w:rPr>
        <w:t>. The actuary must provide information related to the other experience and general methodology used in developing the manual rate.</w:t>
      </w:r>
    </w:p>
    <w:p w:rsidR="001A2DDF" w:rsidRPr="00EE3B6B" w:rsidP="006D1FD2" w14:paraId="0BA8BBA7" w14:textId="77777777">
      <w:pPr>
        <w:keepLines/>
        <w:spacing w:after="120" w:line="276" w:lineRule="auto"/>
        <w:rPr>
          <w:rFonts w:ascii="Times New Roman" w:hAnsi="Times New Roman" w:cs="Times New Roman"/>
        </w:rPr>
      </w:pPr>
      <w:r w:rsidRPr="00EE3B6B">
        <w:rPr>
          <w:rFonts w:ascii="Times New Roman" w:hAnsi="Times New Roman" w:cs="Times New Roman"/>
          <w:b/>
        </w:rPr>
        <w:t>Source and Appropriateness of Experience Data Used:</w:t>
      </w:r>
      <w:r w:rsidRPr="00EE3B6B">
        <w:rPr>
          <w:rFonts w:ascii="Times New Roman" w:hAnsi="Times New Roman" w:cs="Times New Roman"/>
        </w:rPr>
        <w:t xml:space="preserve">  </w:t>
      </w:r>
      <w:r w:rsidRPr="00EE3B6B" w:rsidR="001C13D5">
        <w:rPr>
          <w:rFonts w:ascii="Times New Roman" w:hAnsi="Times New Roman" w:cs="Times New Roman"/>
        </w:rPr>
        <w:t>State and d</w:t>
      </w:r>
      <w:r w:rsidRPr="00EE3B6B">
        <w:rPr>
          <w:rFonts w:ascii="Times New Roman" w:hAnsi="Times New Roman" w:cs="Times New Roman"/>
        </w:rPr>
        <w:t>escribe the source data used to develop the manual rate and why such data is appropriate. Sources considered reasonable for developing manual rates include but are not limited to:</w:t>
      </w:r>
    </w:p>
    <w:p w:rsidR="001A2DDF" w:rsidRPr="00EE3B6B" w:rsidP="006D1FD2" w14:paraId="6333B189" w14:textId="77777777">
      <w:pPr>
        <w:pStyle w:val="ListParagraph"/>
        <w:keepLines/>
        <w:numPr>
          <w:ilvl w:val="0"/>
          <w:numId w:val="42"/>
        </w:numPr>
        <w:spacing w:after="120" w:line="276" w:lineRule="auto"/>
        <w:rPr>
          <w:rFonts w:ascii="Times New Roman" w:hAnsi="Times New Roman" w:cs="Times New Roman"/>
        </w:rPr>
      </w:pPr>
      <w:r w:rsidRPr="00EE3B6B">
        <w:rPr>
          <w:rFonts w:ascii="Times New Roman" w:hAnsi="Times New Roman" w:cs="Times New Roman"/>
        </w:rPr>
        <w:t>Multiple years of experience for the market for which rates are being submitted.</w:t>
      </w:r>
    </w:p>
    <w:p w:rsidR="001A2DDF" w:rsidRPr="00EE3B6B" w:rsidP="006D1FD2" w14:paraId="512EB3A1" w14:textId="77777777">
      <w:pPr>
        <w:pStyle w:val="ListParagraph"/>
        <w:keepLines/>
        <w:numPr>
          <w:ilvl w:val="0"/>
          <w:numId w:val="42"/>
        </w:numPr>
        <w:spacing w:after="120" w:line="276" w:lineRule="auto"/>
        <w:rPr>
          <w:rFonts w:ascii="Times New Roman" w:hAnsi="Times New Roman" w:cs="Times New Roman"/>
        </w:rPr>
      </w:pPr>
      <w:r w:rsidRPr="00EE3B6B">
        <w:rPr>
          <w:rFonts w:ascii="Times New Roman" w:hAnsi="Times New Roman" w:cs="Times New Roman"/>
        </w:rPr>
        <w:t>The issuer's experience for similar policies nationwide, including rationale for inclusion/exclusion of various blocks of business.</w:t>
      </w:r>
    </w:p>
    <w:p w:rsidR="001A2DDF" w:rsidRPr="00EE3B6B" w:rsidP="006D1FD2" w14:paraId="07ADFFAF" w14:textId="77777777">
      <w:pPr>
        <w:pStyle w:val="ListParagraph"/>
        <w:keepLines/>
        <w:numPr>
          <w:ilvl w:val="0"/>
          <w:numId w:val="42"/>
        </w:numPr>
        <w:spacing w:after="120" w:line="276" w:lineRule="auto"/>
        <w:rPr>
          <w:rFonts w:ascii="Times New Roman" w:hAnsi="Times New Roman" w:cs="Times New Roman"/>
        </w:rPr>
      </w:pPr>
      <w:r w:rsidRPr="00EE3B6B">
        <w:rPr>
          <w:rFonts w:ascii="Times New Roman" w:hAnsi="Times New Roman" w:cs="Times New Roman"/>
        </w:rPr>
        <w:t>A manual rate developed by a consultant with appropriate supporting documentation as to the underlying source data for development of the manual rate.</w:t>
      </w:r>
    </w:p>
    <w:p w:rsidR="001A2DDF" w:rsidRPr="00EE3B6B" w:rsidP="006D1FD2" w14:paraId="39368809" w14:textId="77777777">
      <w:pPr>
        <w:keepLines/>
        <w:spacing w:after="120" w:line="276" w:lineRule="auto"/>
        <w:rPr>
          <w:rFonts w:ascii="Times New Roman" w:hAnsi="Times New Roman" w:cs="Times New Roman"/>
        </w:rPr>
      </w:pPr>
      <w:r w:rsidRPr="00EE3B6B">
        <w:rPr>
          <w:rFonts w:ascii="Times New Roman" w:hAnsi="Times New Roman" w:cs="Times New Roman"/>
          <w:b/>
        </w:rPr>
        <w:t>Adjustments Made to the Data:</w:t>
      </w:r>
      <w:r w:rsidRPr="00EE3B6B">
        <w:rPr>
          <w:rFonts w:ascii="Times New Roman" w:hAnsi="Times New Roman" w:cs="Times New Roman"/>
        </w:rPr>
        <w:t xml:space="preserve">  The experience upon which the manual rate is based must be adjusted to </w:t>
      </w:r>
      <w:r w:rsidRPr="00EE3B6B" w:rsidR="00A725B1">
        <w:rPr>
          <w:rFonts w:ascii="Times New Roman" w:hAnsi="Times New Roman" w:cs="Times New Roman"/>
        </w:rPr>
        <w:t xml:space="preserve">reflect </w:t>
      </w:r>
      <w:r w:rsidRPr="00EE3B6B">
        <w:rPr>
          <w:rFonts w:ascii="Times New Roman" w:hAnsi="Times New Roman" w:cs="Times New Roman"/>
        </w:rPr>
        <w:t xml:space="preserve">the population, region, provider network, and benefits anticipated under the policies for which rate increases are being submitted. </w:t>
      </w:r>
      <w:r w:rsidRPr="00EE3B6B" w:rsidR="001C13D5">
        <w:rPr>
          <w:rFonts w:ascii="Times New Roman" w:hAnsi="Times New Roman" w:cs="Times New Roman"/>
        </w:rPr>
        <w:t>Demonstrate and d</w:t>
      </w:r>
      <w:r w:rsidRPr="00EE3B6B">
        <w:rPr>
          <w:rFonts w:ascii="Times New Roman" w:hAnsi="Times New Roman" w:cs="Times New Roman"/>
        </w:rPr>
        <w:t xml:space="preserve">escribe all adjustments made to the data underlying the development of the manual rate to account for differences in demographics, benefits, and morbidity/risk to ensure that the resulting manual rate is appropriate for blending with the adjusted </w:t>
      </w:r>
      <w:r w:rsidRPr="00EE3B6B" w:rsidR="00C66220">
        <w:rPr>
          <w:rFonts w:ascii="Times New Roman" w:hAnsi="Times New Roman" w:cs="Times New Roman"/>
        </w:rPr>
        <w:t>Experience Period</w:t>
      </w:r>
      <w:r w:rsidRPr="00EE3B6B">
        <w:rPr>
          <w:rFonts w:ascii="Times New Roman" w:hAnsi="Times New Roman" w:cs="Times New Roman"/>
        </w:rPr>
        <w:t xml:space="preserve"> claims.</w:t>
      </w:r>
    </w:p>
    <w:p w:rsidR="001A2DDF" w:rsidRPr="00EE3B6B" w:rsidP="006D1FD2" w14:paraId="7C0D823B" w14:textId="77777777">
      <w:pPr>
        <w:keepLines/>
        <w:spacing w:after="120" w:line="276" w:lineRule="auto"/>
        <w:rPr>
          <w:rFonts w:ascii="Times New Roman" w:hAnsi="Times New Roman" w:cs="Times New Roman"/>
        </w:rPr>
      </w:pPr>
      <w:r w:rsidRPr="00EE3B6B">
        <w:rPr>
          <w:rFonts w:ascii="Times New Roman" w:hAnsi="Times New Roman" w:cs="Times New Roman"/>
          <w:b/>
        </w:rPr>
        <w:t>Inclusion of Capitation Payments:</w:t>
      </w:r>
      <w:r w:rsidRPr="00EE3B6B">
        <w:rPr>
          <w:rFonts w:ascii="Times New Roman" w:hAnsi="Times New Roman" w:cs="Times New Roman"/>
        </w:rPr>
        <w:t xml:space="preserve">  If some of the services in the </w:t>
      </w:r>
      <w:r w:rsidRPr="00EE3B6B" w:rsidR="00C66220">
        <w:rPr>
          <w:rFonts w:ascii="Times New Roman" w:hAnsi="Times New Roman" w:cs="Times New Roman"/>
        </w:rPr>
        <w:t>Projection Period</w:t>
      </w:r>
      <w:r w:rsidRPr="00EE3B6B">
        <w:rPr>
          <w:rFonts w:ascii="Times New Roman" w:hAnsi="Times New Roman" w:cs="Times New Roman"/>
        </w:rPr>
        <w:t xml:space="preserve"> will be provided under a capitation arrangement, specifically </w:t>
      </w:r>
      <w:r w:rsidRPr="00EE3B6B" w:rsidR="001C13D5">
        <w:rPr>
          <w:rFonts w:ascii="Times New Roman" w:hAnsi="Times New Roman" w:cs="Times New Roman"/>
        </w:rPr>
        <w:t xml:space="preserve">demonstrate and </w:t>
      </w:r>
      <w:r w:rsidRPr="00EE3B6B">
        <w:rPr>
          <w:rFonts w:ascii="Times New Roman" w:hAnsi="Times New Roman" w:cs="Times New Roman"/>
        </w:rPr>
        <w:t>describe how these payments were accounted for in the development of the credibility manual rate.</w:t>
      </w:r>
    </w:p>
    <w:p w:rsidR="001A2DDF" w:rsidRPr="00EE3B6B" w:rsidP="00FA6F2C" w14:paraId="2D49FDC8" w14:textId="77777777">
      <w:pPr>
        <w:pStyle w:val="Heading4"/>
      </w:pPr>
      <w:r w:rsidRPr="00EE3B6B">
        <w:t>4.4.3.</w:t>
      </w:r>
      <w:r w:rsidRPr="00EE3B6B" w:rsidR="00340F05">
        <w:t>4</w:t>
      </w:r>
      <w:r w:rsidRPr="00EE3B6B">
        <w:t xml:space="preserve"> Credibility of Experience</w:t>
      </w:r>
    </w:p>
    <w:p w:rsidR="001A2DDF" w:rsidRPr="00EE3B6B" w:rsidP="006D1FD2" w14:paraId="0A99AE50" w14:textId="77777777">
      <w:pPr>
        <w:keepLines/>
        <w:spacing w:after="120" w:line="276" w:lineRule="auto"/>
        <w:rPr>
          <w:rFonts w:ascii="Times New Roman" w:hAnsi="Times New Roman" w:cs="Times New Roman"/>
        </w:rPr>
      </w:pPr>
      <w:r w:rsidRPr="00EE3B6B">
        <w:rPr>
          <w:rFonts w:ascii="Times New Roman" w:hAnsi="Times New Roman" w:cs="Times New Roman"/>
        </w:rPr>
        <w:t xml:space="preserve">In this section issuers must provide support for the credibility level assigned to their base period experience, with the complement being applied to a credibility manual rate. </w:t>
      </w:r>
      <w:r w:rsidRPr="00EE3B6B" w:rsidR="00A725B1">
        <w:rPr>
          <w:rFonts w:ascii="Times New Roman" w:hAnsi="Times New Roman" w:cs="Times New Roman"/>
        </w:rPr>
        <w:t xml:space="preserve">This </w:t>
      </w:r>
      <w:r w:rsidRPr="00EE3B6B">
        <w:rPr>
          <w:rFonts w:ascii="Times New Roman" w:hAnsi="Times New Roman" w:cs="Times New Roman"/>
        </w:rPr>
        <w:t>include</w:t>
      </w:r>
      <w:r w:rsidRPr="00EE3B6B" w:rsidR="00A725B1">
        <w:rPr>
          <w:rFonts w:ascii="Times New Roman" w:hAnsi="Times New Roman" w:cs="Times New Roman"/>
        </w:rPr>
        <w:t>s</w:t>
      </w:r>
      <w:r w:rsidRPr="00EE3B6B">
        <w:rPr>
          <w:rFonts w:ascii="Times New Roman" w:hAnsi="Times New Roman" w:cs="Times New Roman"/>
        </w:rPr>
        <w:t xml:space="preserve"> items such as:</w:t>
      </w:r>
    </w:p>
    <w:p w:rsidR="001A2DDF" w:rsidRPr="00EE3B6B" w:rsidP="006D1FD2" w14:paraId="44C0DF92" w14:textId="77777777">
      <w:pPr>
        <w:pStyle w:val="ListParagraph"/>
        <w:keepLines/>
        <w:numPr>
          <w:ilvl w:val="0"/>
          <w:numId w:val="43"/>
        </w:numPr>
        <w:spacing w:after="120" w:line="276" w:lineRule="auto"/>
        <w:rPr>
          <w:rFonts w:ascii="Times New Roman" w:hAnsi="Times New Roman" w:cs="Times New Roman"/>
        </w:rPr>
      </w:pPr>
      <w:r w:rsidRPr="00EE3B6B">
        <w:rPr>
          <w:rFonts w:ascii="Times New Roman" w:hAnsi="Times New Roman" w:cs="Times New Roman"/>
        </w:rPr>
        <w:t>A d</w:t>
      </w:r>
      <w:r w:rsidRPr="00EE3B6B">
        <w:rPr>
          <w:rFonts w:ascii="Times New Roman" w:hAnsi="Times New Roman" w:cs="Times New Roman"/>
        </w:rPr>
        <w:t xml:space="preserve">escription of the </w:t>
      </w:r>
      <w:r w:rsidRPr="00EE3B6B">
        <w:rPr>
          <w:rFonts w:ascii="Times New Roman" w:hAnsi="Times New Roman" w:cs="Times New Roman"/>
        </w:rPr>
        <w:t>c</w:t>
      </w:r>
      <w:r w:rsidRPr="00EE3B6B">
        <w:rPr>
          <w:rFonts w:ascii="Times New Roman" w:hAnsi="Times New Roman" w:cs="Times New Roman"/>
        </w:rPr>
        <w:t xml:space="preserve">redibility </w:t>
      </w:r>
      <w:r w:rsidRPr="00EE3B6B">
        <w:rPr>
          <w:rFonts w:ascii="Times New Roman" w:hAnsi="Times New Roman" w:cs="Times New Roman"/>
        </w:rPr>
        <w:t>m</w:t>
      </w:r>
      <w:r w:rsidRPr="00EE3B6B">
        <w:rPr>
          <w:rFonts w:ascii="Times New Roman" w:hAnsi="Times New Roman" w:cs="Times New Roman"/>
        </w:rPr>
        <w:t xml:space="preserve">ethodology </w:t>
      </w:r>
      <w:r w:rsidRPr="00EE3B6B">
        <w:rPr>
          <w:rFonts w:ascii="Times New Roman" w:hAnsi="Times New Roman" w:cs="Times New Roman"/>
        </w:rPr>
        <w:t>u</w:t>
      </w:r>
      <w:r w:rsidRPr="00EE3B6B">
        <w:rPr>
          <w:rFonts w:ascii="Times New Roman" w:hAnsi="Times New Roman" w:cs="Times New Roman"/>
        </w:rPr>
        <w:t>sed.</w:t>
      </w:r>
    </w:p>
    <w:p w:rsidR="001A2DDF" w:rsidRPr="00EE3B6B" w:rsidP="006D1FD2" w14:paraId="364DB9D5" w14:textId="77777777">
      <w:pPr>
        <w:pStyle w:val="ListParagraph"/>
        <w:keepLines/>
        <w:numPr>
          <w:ilvl w:val="0"/>
          <w:numId w:val="43"/>
        </w:numPr>
        <w:spacing w:after="120" w:line="276" w:lineRule="auto"/>
        <w:rPr>
          <w:rFonts w:ascii="Times New Roman" w:hAnsi="Times New Roman" w:cs="Times New Roman"/>
        </w:rPr>
      </w:pPr>
      <w:r w:rsidRPr="00EE3B6B">
        <w:rPr>
          <w:rFonts w:ascii="Times New Roman" w:hAnsi="Times New Roman" w:cs="Times New Roman"/>
        </w:rPr>
        <w:t>The r</w:t>
      </w:r>
      <w:r w:rsidRPr="00EE3B6B">
        <w:rPr>
          <w:rFonts w:ascii="Times New Roman" w:hAnsi="Times New Roman" w:cs="Times New Roman"/>
        </w:rPr>
        <w:t xml:space="preserve">esulting </w:t>
      </w:r>
      <w:r w:rsidRPr="00EE3B6B">
        <w:rPr>
          <w:rFonts w:ascii="Times New Roman" w:hAnsi="Times New Roman" w:cs="Times New Roman"/>
        </w:rPr>
        <w:t>cr</w:t>
      </w:r>
      <w:r w:rsidRPr="00EE3B6B">
        <w:rPr>
          <w:rFonts w:ascii="Times New Roman" w:hAnsi="Times New Roman" w:cs="Times New Roman"/>
        </w:rPr>
        <w:t xml:space="preserve">edibility </w:t>
      </w:r>
      <w:r w:rsidRPr="00EE3B6B">
        <w:rPr>
          <w:rFonts w:ascii="Times New Roman" w:hAnsi="Times New Roman" w:cs="Times New Roman"/>
        </w:rPr>
        <w:t>l</w:t>
      </w:r>
      <w:r w:rsidRPr="00EE3B6B">
        <w:rPr>
          <w:rFonts w:ascii="Times New Roman" w:hAnsi="Times New Roman" w:cs="Times New Roman"/>
        </w:rPr>
        <w:t xml:space="preserve">evel </w:t>
      </w:r>
      <w:r w:rsidRPr="00EE3B6B">
        <w:rPr>
          <w:rFonts w:ascii="Times New Roman" w:hAnsi="Times New Roman" w:cs="Times New Roman"/>
        </w:rPr>
        <w:t>a</w:t>
      </w:r>
      <w:r w:rsidRPr="00EE3B6B">
        <w:rPr>
          <w:rFonts w:ascii="Times New Roman" w:hAnsi="Times New Roman" w:cs="Times New Roman"/>
        </w:rPr>
        <w:t xml:space="preserve">ssigned to </w:t>
      </w:r>
      <w:r w:rsidRPr="00EE3B6B">
        <w:rPr>
          <w:rFonts w:ascii="Times New Roman" w:hAnsi="Times New Roman" w:cs="Times New Roman"/>
        </w:rPr>
        <w:t>the b</w:t>
      </w:r>
      <w:r w:rsidRPr="00EE3B6B">
        <w:rPr>
          <w:rFonts w:ascii="Times New Roman" w:hAnsi="Times New Roman" w:cs="Times New Roman"/>
        </w:rPr>
        <w:t xml:space="preserve">ase </w:t>
      </w:r>
      <w:r w:rsidRPr="00EE3B6B">
        <w:rPr>
          <w:rFonts w:ascii="Times New Roman" w:hAnsi="Times New Roman" w:cs="Times New Roman"/>
        </w:rPr>
        <w:t>p</w:t>
      </w:r>
      <w:r w:rsidRPr="00EE3B6B">
        <w:rPr>
          <w:rFonts w:ascii="Times New Roman" w:hAnsi="Times New Roman" w:cs="Times New Roman"/>
        </w:rPr>
        <w:t xml:space="preserve">eriod </w:t>
      </w:r>
      <w:r w:rsidRPr="00EE3B6B">
        <w:rPr>
          <w:rFonts w:ascii="Times New Roman" w:hAnsi="Times New Roman" w:cs="Times New Roman"/>
        </w:rPr>
        <w:t>e</w:t>
      </w:r>
      <w:r w:rsidRPr="00EE3B6B">
        <w:rPr>
          <w:rFonts w:ascii="Times New Roman" w:hAnsi="Times New Roman" w:cs="Times New Roman"/>
        </w:rPr>
        <w:t>xperience when applying the proposed credibility methodology.</w:t>
      </w:r>
    </w:p>
    <w:p w:rsidR="001A2DDF" w:rsidRPr="00EE3B6B" w:rsidP="006D1FD2" w14:paraId="5EDEF964" w14:textId="77777777">
      <w:pPr>
        <w:keepLines/>
        <w:spacing w:after="120" w:line="276" w:lineRule="auto"/>
        <w:rPr>
          <w:rFonts w:ascii="Times New Roman" w:hAnsi="Times New Roman" w:cs="Times New Roman"/>
        </w:rPr>
      </w:pPr>
      <w:r w:rsidRPr="00EE3B6B">
        <w:rPr>
          <w:rFonts w:ascii="Times New Roman" w:hAnsi="Times New Roman" w:cs="Times New Roman"/>
        </w:rPr>
        <w:t>When the base period experience is partially credible and included in experience used to develop the manual rate, the actuary must consider the extent to which the manual rate development double counts the base period experience. If the proposed manual rate lacks sufficient independence from the base period experience, the credibility percentage in the template should be adjusted such that the experience is assigned the appropriate credibility (based on the issuer’s credibility formula), taking into consideration the proportion of the manual experience that is from the subject base experience. In this case additional documentation should be included in the Actuarial Memorandum to demonstrate that the credibility factor applied in the template is consistent with the issuer’s credibility formula.</w:t>
      </w:r>
    </w:p>
    <w:p w:rsidR="001A2DDF" w:rsidRPr="00EE3B6B" w:rsidP="006D1FD2" w14:paraId="2B126971" w14:textId="77777777">
      <w:pPr>
        <w:keepLines/>
        <w:spacing w:after="120" w:line="276" w:lineRule="auto"/>
        <w:rPr>
          <w:rFonts w:ascii="Times New Roman" w:hAnsi="Times New Roman" w:cs="Times New Roman"/>
          <w:i/>
        </w:rPr>
      </w:pPr>
      <w:r w:rsidRPr="00EE3B6B">
        <w:rPr>
          <w:rFonts w:ascii="Times New Roman" w:hAnsi="Times New Roman" w:cs="Times New Roman"/>
        </w:rPr>
        <w:t xml:space="preserve">When determining credibility, the actuary should consider Actuarial Standard of Practice #25, </w:t>
      </w:r>
      <w:r w:rsidRPr="00EE3B6B">
        <w:rPr>
          <w:rFonts w:ascii="Times New Roman" w:hAnsi="Times New Roman" w:cs="Times New Roman"/>
          <w:i/>
        </w:rPr>
        <w:t>“Credibility Procedures.”</w:t>
      </w:r>
    </w:p>
    <w:p w:rsidR="00105F5A" w:rsidRPr="00EE3B6B" w:rsidP="00FA6F2C" w14:paraId="7C63CE0B" w14:textId="77777777">
      <w:pPr>
        <w:pStyle w:val="Heading4"/>
      </w:pPr>
      <w:r w:rsidRPr="00EE3B6B">
        <w:t>4.4.3.5 Establishing the Index Rate</w:t>
      </w:r>
    </w:p>
    <w:p w:rsidR="00105F5A" w:rsidRPr="00EE3B6B" w:rsidP="006D1FD2" w14:paraId="1BE46C77" w14:textId="77777777">
      <w:pPr>
        <w:keepLines/>
        <w:spacing w:after="120" w:line="276" w:lineRule="auto"/>
        <w:rPr>
          <w:rFonts w:ascii="Times New Roman" w:hAnsi="Times New Roman" w:cs="Times New Roman"/>
        </w:rPr>
      </w:pPr>
      <w:r w:rsidRPr="00EE3B6B">
        <w:rPr>
          <w:rFonts w:ascii="Times New Roman" w:hAnsi="Times New Roman" w:cs="Times New Roman"/>
        </w:rPr>
        <w:t>State</w:t>
      </w:r>
      <w:r w:rsidRPr="00EE3B6B">
        <w:rPr>
          <w:rFonts w:ascii="Times New Roman" w:hAnsi="Times New Roman" w:cs="Times New Roman"/>
        </w:rPr>
        <w:t xml:space="preserve"> </w:t>
      </w:r>
      <w:r w:rsidRPr="00EE3B6B">
        <w:rPr>
          <w:rFonts w:ascii="Times New Roman" w:hAnsi="Times New Roman" w:cs="Times New Roman"/>
        </w:rPr>
        <w:t xml:space="preserve">the </w:t>
      </w:r>
      <w:r w:rsidRPr="00EE3B6B">
        <w:rPr>
          <w:rFonts w:ascii="Times New Roman" w:hAnsi="Times New Roman" w:cs="Times New Roman"/>
        </w:rPr>
        <w:t xml:space="preserve">Index Rate following the specifications of 45 CFR 156.80(d)(1). The Index Rate is based on the total combined claim costs for providing EHBs only for the single risk pool of that </w:t>
      </w:r>
      <w:r w:rsidRPr="00EE3B6B" w:rsidR="00A52393">
        <w:rPr>
          <w:rFonts w:ascii="Times New Roman" w:hAnsi="Times New Roman" w:cs="Times New Roman"/>
        </w:rPr>
        <w:t>s</w:t>
      </w:r>
      <w:r w:rsidRPr="00EE3B6B">
        <w:rPr>
          <w:rFonts w:ascii="Times New Roman" w:hAnsi="Times New Roman" w:cs="Times New Roman"/>
        </w:rPr>
        <w:t xml:space="preserve">tate market. The Index Rate is derived by dividing the total combined EHB allowed claims for the single risk pool by all covered lives in the single risk pool of that </w:t>
      </w:r>
      <w:r w:rsidRPr="00EE3B6B" w:rsidR="00A52393">
        <w:rPr>
          <w:rFonts w:ascii="Times New Roman" w:hAnsi="Times New Roman" w:cs="Times New Roman"/>
        </w:rPr>
        <w:t>s</w:t>
      </w:r>
      <w:r w:rsidRPr="00EE3B6B">
        <w:rPr>
          <w:rFonts w:ascii="Times New Roman" w:hAnsi="Times New Roman" w:cs="Times New Roman"/>
        </w:rPr>
        <w:t>tate market. Issuers must establish a single Index Rate for all product/plan combinations in the single risk pool.</w:t>
      </w:r>
    </w:p>
    <w:p w:rsidR="00105F5A" w:rsidRPr="00EE3B6B" w:rsidP="006D1FD2" w14:paraId="2521DD6F" w14:textId="77777777">
      <w:pPr>
        <w:keepLines/>
        <w:spacing w:after="120" w:line="276" w:lineRule="auto"/>
        <w:rPr>
          <w:rFonts w:ascii="Times New Roman" w:hAnsi="Times New Roman" w:cs="Times New Roman"/>
        </w:rPr>
      </w:pPr>
      <w:r w:rsidRPr="00EE3B6B">
        <w:rPr>
          <w:rFonts w:ascii="Times New Roman" w:hAnsi="Times New Roman" w:cs="Times New Roman"/>
        </w:rPr>
        <w:t>If the Experience Period contains non-single risk pool plans, provide the methodology used to develop the reported Experience Period Index Rate. Describe how claims for benefits which were covered during the Experience Period but are not EHBs were identified and removed.</w:t>
      </w:r>
    </w:p>
    <w:p w:rsidR="006461C3" w:rsidRPr="00EE3B6B" w:rsidP="006D1FD2" w14:paraId="1F38BAC0" w14:textId="77777777">
      <w:pPr>
        <w:keepLines/>
        <w:spacing w:after="120" w:line="276" w:lineRule="auto"/>
        <w:rPr>
          <w:rFonts w:ascii="Times New Roman" w:hAnsi="Times New Roman" w:cs="Times New Roman"/>
        </w:rPr>
      </w:pPr>
      <w:r w:rsidRPr="00EE3B6B">
        <w:rPr>
          <w:rFonts w:ascii="Times New Roman" w:hAnsi="Times New Roman" w:cs="Times New Roman"/>
          <w:b/>
        </w:rPr>
        <w:t>Small Group Quarterly Trend Increases:</w:t>
      </w:r>
      <w:r w:rsidRPr="00EE3B6B">
        <w:rPr>
          <w:rFonts w:ascii="Times New Roman" w:hAnsi="Times New Roman" w:cs="Times New Roman"/>
        </w:rPr>
        <w:t xml:space="preserve"> </w:t>
      </w:r>
      <w:r w:rsidRPr="00EE3B6B" w:rsidR="00AF4DDC">
        <w:rPr>
          <w:rFonts w:ascii="Times New Roman" w:hAnsi="Times New Roman" w:cs="Times New Roman"/>
        </w:rPr>
        <w:t>State any scheduled small group quarterly trend adjustments to the index rate.</w:t>
      </w:r>
    </w:p>
    <w:p w:rsidR="00105F5A" w:rsidRPr="00EE3B6B" w:rsidP="006D1FD2" w14:paraId="5E611FE8" w14:textId="77777777">
      <w:pPr>
        <w:keepLines/>
        <w:spacing w:after="120" w:line="276" w:lineRule="auto"/>
        <w:rPr>
          <w:rFonts w:ascii="Times New Roman" w:hAnsi="Times New Roman" w:cs="Times New Roman"/>
        </w:rPr>
      </w:pPr>
      <w:r w:rsidRPr="00EE3B6B">
        <w:rPr>
          <w:rFonts w:ascii="Times New Roman" w:hAnsi="Times New Roman" w:cs="Times New Roman"/>
          <w:b/>
        </w:rPr>
        <w:t xml:space="preserve">Small Group Quarterly Rate Filings: </w:t>
      </w:r>
      <w:r w:rsidRPr="00EE3B6B">
        <w:rPr>
          <w:rFonts w:ascii="Times New Roman" w:hAnsi="Times New Roman" w:cs="Times New Roman"/>
        </w:rPr>
        <w:t xml:space="preserve">Rate adjustments for the small group market may be filed on a quarterly basis if permitted by the </w:t>
      </w:r>
      <w:r w:rsidRPr="00EE3B6B" w:rsidR="00A52393">
        <w:rPr>
          <w:rFonts w:ascii="Times New Roman" w:hAnsi="Times New Roman" w:cs="Times New Roman"/>
        </w:rPr>
        <w:t>s</w:t>
      </w:r>
      <w:r w:rsidRPr="00EE3B6B">
        <w:rPr>
          <w:rFonts w:ascii="Times New Roman" w:hAnsi="Times New Roman" w:cs="Times New Roman"/>
        </w:rPr>
        <w:t xml:space="preserve">tate. These quarterly filings may include adjustments for other items, such as new products, more recent Experience Period claims, etc.  However, the rate development for these interim filings must be based on the single risk pool. The change in the Index Rate is only allowed to occur for the remainder of the calendar year, and </w:t>
      </w:r>
      <w:r w:rsidRPr="00EE3B6B" w:rsidR="004A1670">
        <w:rPr>
          <w:rFonts w:ascii="Times New Roman" w:hAnsi="Times New Roman" w:cs="Times New Roman"/>
        </w:rPr>
        <w:t xml:space="preserve">a </w:t>
      </w:r>
      <w:r w:rsidRPr="00EE3B6B">
        <w:rPr>
          <w:rFonts w:ascii="Times New Roman" w:hAnsi="Times New Roman" w:cs="Times New Roman"/>
        </w:rPr>
        <w:t>subsequent submission is required at the beginning of the next calendar year.</w:t>
      </w:r>
    </w:p>
    <w:p w:rsidR="004A1670" w:rsidRPr="00EE3B6B" w:rsidP="006D1FD2" w14:paraId="4F11DE0C" w14:textId="77777777">
      <w:pPr>
        <w:keepLines/>
        <w:spacing w:after="120" w:line="276" w:lineRule="auto"/>
        <w:rPr>
          <w:rFonts w:ascii="Times New Roman" w:hAnsi="Times New Roman" w:cs="Times New Roman"/>
        </w:rPr>
      </w:pPr>
      <w:r w:rsidRPr="00EE3B6B">
        <w:rPr>
          <w:rFonts w:ascii="Times New Roman" w:hAnsi="Times New Roman" w:cs="Times New Roman"/>
        </w:rPr>
        <w:t>For example, if a small group issuer submits the URRT for January 1, they may submit a subsequent URRT that resets the Index Rate effective July 1 of that same year. The URRT effective July 1 in this example is only allowed to contain a trend increase for October 1 of that same year. Quarters after October 1 would be included in the next annual submission effective January 1 of the next calendar year.</w:t>
      </w:r>
    </w:p>
    <w:p w:rsidR="003636DE" w:rsidRPr="00EE3B6B" w:rsidP="00FA6F2C" w14:paraId="7B80593C" w14:textId="77777777">
      <w:pPr>
        <w:pStyle w:val="Heading4"/>
      </w:pPr>
      <w:r w:rsidRPr="00EE3B6B">
        <w:t>4.4.</w:t>
      </w:r>
      <w:r w:rsidRPr="00EE3B6B" w:rsidR="00225D12">
        <w:t>3.</w:t>
      </w:r>
      <w:r w:rsidRPr="00EE3B6B" w:rsidR="00D80BA9">
        <w:t>6</w:t>
      </w:r>
      <w:r w:rsidRPr="00EE3B6B">
        <w:t xml:space="preserve"> </w:t>
      </w:r>
      <w:r w:rsidRPr="00EE3B6B" w:rsidR="00225D12">
        <w:t xml:space="preserve">Development of the </w:t>
      </w:r>
      <w:r w:rsidRPr="00EE3B6B" w:rsidR="00C66220">
        <w:t xml:space="preserve">Market-wide </w:t>
      </w:r>
      <w:r w:rsidRPr="00EE3B6B" w:rsidR="003B5928">
        <w:t>A</w:t>
      </w:r>
      <w:r w:rsidRPr="00EE3B6B" w:rsidR="00C66220">
        <w:t xml:space="preserve">djusted </w:t>
      </w:r>
      <w:r w:rsidRPr="00EE3B6B" w:rsidR="003B5928">
        <w:t>I</w:t>
      </w:r>
      <w:r w:rsidRPr="00EE3B6B" w:rsidR="00C66220">
        <w:t xml:space="preserve">ndex </w:t>
      </w:r>
      <w:r w:rsidRPr="00EE3B6B" w:rsidR="003B5928">
        <w:t>R</w:t>
      </w:r>
      <w:r w:rsidRPr="00EE3B6B" w:rsidR="00C66220">
        <w:t>ate</w:t>
      </w:r>
    </w:p>
    <w:p w:rsidR="00D80BA9" w:rsidRPr="00EE3B6B" w:rsidP="006D1FD2" w14:paraId="05EC3BB3" w14:textId="77777777">
      <w:pPr>
        <w:keepLines/>
        <w:spacing w:after="120" w:line="276" w:lineRule="auto"/>
        <w:rPr>
          <w:rFonts w:ascii="Times New Roman" w:hAnsi="Times New Roman" w:cs="Times New Roman"/>
        </w:rPr>
      </w:pPr>
      <w:r w:rsidRPr="00EE3B6B">
        <w:rPr>
          <w:rFonts w:ascii="Times New Roman" w:hAnsi="Times New Roman" w:cs="Times New Roman"/>
        </w:rPr>
        <w:t>Issuers are required to provide support for development of the MAIR, including an explanation for risk adjustment and exchange user fees entered in Worksheet 1 of the URRT.</w:t>
      </w:r>
      <w:r w:rsidRPr="00EE3B6B" w:rsidR="00ED231C">
        <w:rPr>
          <w:rFonts w:ascii="Times New Roman" w:hAnsi="Times New Roman" w:cs="Times New Roman"/>
        </w:rPr>
        <w:t xml:space="preserve"> If state-based reinsurance </w:t>
      </w:r>
      <w:r w:rsidRPr="00EE3B6B" w:rsidR="00631270">
        <w:rPr>
          <w:rFonts w:ascii="Times New Roman" w:hAnsi="Times New Roman" w:cs="Times New Roman"/>
        </w:rPr>
        <w:t xml:space="preserve">information </w:t>
      </w:r>
      <w:r w:rsidRPr="00EE3B6B" w:rsidR="00ED231C">
        <w:rPr>
          <w:rFonts w:ascii="Times New Roman" w:hAnsi="Times New Roman" w:cs="Times New Roman"/>
        </w:rPr>
        <w:t>is entered in Worksheet 1 of the URRT, support for the development</w:t>
      </w:r>
      <w:r w:rsidRPr="00EE3B6B" w:rsidR="00631270">
        <w:rPr>
          <w:rFonts w:ascii="Times New Roman" w:hAnsi="Times New Roman" w:cs="Times New Roman"/>
        </w:rPr>
        <w:t xml:space="preserve"> of the net reinsurance amount should also be provided.</w:t>
      </w:r>
    </w:p>
    <w:p w:rsidR="00D80BA9" w:rsidRPr="00EE3B6B" w:rsidP="006D1FD2" w14:paraId="52BB00E4" w14:textId="77777777">
      <w:pPr>
        <w:keepLines/>
        <w:spacing w:after="120" w:line="276" w:lineRule="auto"/>
        <w:rPr>
          <w:rFonts w:ascii="Times New Roman" w:hAnsi="Times New Roman" w:cs="Times New Roman"/>
        </w:rPr>
      </w:pPr>
      <w:r w:rsidRPr="00EE3B6B">
        <w:rPr>
          <w:rFonts w:ascii="Times New Roman" w:hAnsi="Times New Roman" w:cs="Times New Roman"/>
        </w:rPr>
        <w:t>The MAIR is calculated as the Index Rate adjusted for all allowable market-wide modifiers defined in the market rating rules, 45 CFR 156.80(d)(1). Since the Index Rate is on an allowed claims basis, the market level adjustments should be on an allowed basis.</w:t>
      </w:r>
    </w:p>
    <w:p w:rsidR="00D80BA9" w:rsidRPr="00EE3B6B" w:rsidP="006D1FD2" w14:paraId="6B1E13E0" w14:textId="77777777">
      <w:pPr>
        <w:keepLines/>
        <w:spacing w:after="120" w:line="276" w:lineRule="auto"/>
        <w:rPr>
          <w:rFonts w:ascii="Times New Roman" w:hAnsi="Times New Roman" w:cs="Times New Roman"/>
        </w:rPr>
      </w:pPr>
      <w:r w:rsidRPr="00EE3B6B">
        <w:rPr>
          <w:rFonts w:ascii="Times New Roman" w:hAnsi="Times New Roman" w:cs="Times New Roman"/>
        </w:rPr>
        <w:t xml:space="preserve">The issuer is required to provide an explanation of how these modifiers are developed and applied to the Index Rate to develop the MAIR. </w:t>
      </w:r>
      <w:r w:rsidRPr="00EE3B6B">
        <w:rPr>
          <w:rFonts w:ascii="Times New Roman" w:hAnsi="Times New Roman" w:cs="Times New Roman"/>
        </w:rPr>
        <w:t>Similar to</w:t>
      </w:r>
      <w:r w:rsidRPr="00EE3B6B">
        <w:rPr>
          <w:rFonts w:ascii="Times New Roman" w:hAnsi="Times New Roman" w:cs="Times New Roman"/>
        </w:rPr>
        <w:t xml:space="preserve"> the Index Rate, the MAIR reflects the average demographic characteristics of the single risk pool. In other words, the MAIR is not calibrated.</w:t>
      </w:r>
    </w:p>
    <w:p w:rsidR="00CC0A77" w:rsidRPr="00EE3B6B" w:rsidP="006D1FD2" w14:paraId="7BED6B89" w14:textId="77777777">
      <w:pPr>
        <w:keepLines/>
        <w:spacing w:after="120" w:line="276" w:lineRule="auto"/>
        <w:rPr>
          <w:rFonts w:ascii="Times New Roman" w:hAnsi="Times New Roman" w:cs="Times New Roman"/>
        </w:rPr>
      </w:pPr>
      <w:r w:rsidRPr="00EE3B6B">
        <w:rPr>
          <w:rFonts w:ascii="Times New Roman" w:hAnsi="Times New Roman" w:cs="Times New Roman"/>
          <w:b/>
        </w:rPr>
        <w:t>Reinsurance:</w:t>
      </w:r>
      <w:r w:rsidRPr="00EE3B6B">
        <w:rPr>
          <w:rFonts w:ascii="Times New Roman" w:hAnsi="Times New Roman" w:cs="Times New Roman"/>
        </w:rPr>
        <w:t xml:space="preserve"> </w:t>
      </w:r>
      <w:r w:rsidRPr="00EE3B6B" w:rsidR="00F81D75">
        <w:rPr>
          <w:rFonts w:ascii="Times New Roman" w:hAnsi="Times New Roman" w:cs="Times New Roman"/>
        </w:rPr>
        <w:t>Explain</w:t>
      </w:r>
      <w:r w:rsidRPr="00EE3B6B">
        <w:rPr>
          <w:rFonts w:ascii="Times New Roman" w:hAnsi="Times New Roman" w:cs="Times New Roman"/>
        </w:rPr>
        <w:t xml:space="preserve"> any expected reinsurance recoveries</w:t>
      </w:r>
      <w:r w:rsidRPr="00EE3B6B" w:rsidR="00DF2F3B">
        <w:rPr>
          <w:rFonts w:ascii="Times New Roman" w:hAnsi="Times New Roman" w:cs="Times New Roman"/>
        </w:rPr>
        <w:t xml:space="preserve"> from f</w:t>
      </w:r>
      <w:r w:rsidRPr="00EE3B6B" w:rsidR="00887999">
        <w:rPr>
          <w:rFonts w:ascii="Times New Roman" w:hAnsi="Times New Roman" w:cs="Times New Roman"/>
        </w:rPr>
        <w:t>ederal or state reinsurance programs</w:t>
      </w:r>
      <w:r w:rsidRPr="00EE3B6B" w:rsidR="003B5928">
        <w:rPr>
          <w:rFonts w:ascii="Times New Roman" w:hAnsi="Times New Roman" w:cs="Times New Roman"/>
        </w:rPr>
        <w:t>,</w:t>
      </w:r>
      <w:r w:rsidRPr="00EE3B6B">
        <w:rPr>
          <w:rFonts w:ascii="Times New Roman" w:hAnsi="Times New Roman" w:cs="Times New Roman"/>
        </w:rPr>
        <w:t xml:space="preserve"> </w:t>
      </w:r>
      <w:r w:rsidRPr="00EE3B6B" w:rsidR="003B5928">
        <w:rPr>
          <w:rFonts w:ascii="Times New Roman" w:hAnsi="Times New Roman" w:cs="Times New Roman"/>
        </w:rPr>
        <w:t xml:space="preserve">net of the costs of the reinsurance, </w:t>
      </w:r>
      <w:r w:rsidRPr="00EE3B6B" w:rsidR="00F81D75">
        <w:rPr>
          <w:rFonts w:ascii="Times New Roman" w:hAnsi="Times New Roman" w:cs="Times New Roman"/>
        </w:rPr>
        <w:t xml:space="preserve">and the </w:t>
      </w:r>
      <w:r w:rsidRPr="00EE3B6B">
        <w:rPr>
          <w:rFonts w:ascii="Times New Roman" w:hAnsi="Times New Roman" w:cs="Times New Roman"/>
        </w:rPr>
        <w:t>expec</w:t>
      </w:r>
      <w:r w:rsidRPr="00EE3B6B" w:rsidR="00F81D75">
        <w:rPr>
          <w:rFonts w:ascii="Times New Roman" w:hAnsi="Times New Roman" w:cs="Times New Roman"/>
        </w:rPr>
        <w:t xml:space="preserve">ted impact to claims in the </w:t>
      </w:r>
      <w:r w:rsidRPr="00EE3B6B" w:rsidR="00C66220">
        <w:rPr>
          <w:rFonts w:ascii="Times New Roman" w:hAnsi="Times New Roman" w:cs="Times New Roman"/>
        </w:rPr>
        <w:t>Projection Period</w:t>
      </w:r>
      <w:r w:rsidRPr="00EE3B6B" w:rsidR="00F81D75">
        <w:rPr>
          <w:rFonts w:ascii="Times New Roman" w:hAnsi="Times New Roman" w:cs="Times New Roman"/>
        </w:rPr>
        <w:t>.</w:t>
      </w:r>
    </w:p>
    <w:p w:rsidR="0025702A" w:rsidRPr="00EE3B6B" w:rsidP="006D1FD2" w14:paraId="5BE0640C" w14:textId="15E92642">
      <w:pPr>
        <w:keepLines/>
        <w:spacing w:after="120" w:line="276" w:lineRule="auto"/>
        <w:rPr>
          <w:rFonts w:ascii="Times New Roman" w:hAnsi="Times New Roman" w:cs="Times New Roman"/>
        </w:rPr>
      </w:pPr>
      <w:r w:rsidRPr="00EE3B6B">
        <w:rPr>
          <w:rFonts w:ascii="Times New Roman" w:hAnsi="Times New Roman" w:cs="Times New Roman"/>
          <w:b/>
        </w:rPr>
        <w:t xml:space="preserve">Risk Adjustment Payment/Charge: </w:t>
      </w:r>
      <w:r w:rsidRPr="00EE3B6B" w:rsidR="00177B95">
        <w:rPr>
          <w:rFonts w:ascii="Times New Roman" w:hAnsi="Times New Roman" w:cs="Times New Roman"/>
        </w:rPr>
        <w:t>Under the single risk pool pricing requirements, issuers are required to make a market-wide adjustment to the pooled market</w:t>
      </w:r>
      <w:r w:rsidRPr="00EE3B6B" w:rsidR="00B779CE">
        <w:rPr>
          <w:rFonts w:ascii="Times New Roman" w:hAnsi="Times New Roman" w:cs="Times New Roman"/>
        </w:rPr>
        <w:t>-</w:t>
      </w:r>
      <w:r w:rsidRPr="00EE3B6B" w:rsidR="00177B95">
        <w:rPr>
          <w:rFonts w:ascii="Times New Roman" w:hAnsi="Times New Roman" w:cs="Times New Roman"/>
        </w:rPr>
        <w:t xml:space="preserve">level </w:t>
      </w:r>
      <w:r w:rsidRPr="00EE3B6B" w:rsidR="00C66220">
        <w:rPr>
          <w:rFonts w:ascii="Times New Roman" w:hAnsi="Times New Roman" w:cs="Times New Roman"/>
        </w:rPr>
        <w:t>Index Rate</w:t>
      </w:r>
      <w:r w:rsidRPr="00EE3B6B" w:rsidR="00177B95">
        <w:rPr>
          <w:rFonts w:ascii="Times New Roman" w:hAnsi="Times New Roman" w:cs="Times New Roman"/>
        </w:rPr>
        <w:t xml:space="preserve"> to account for </w:t>
      </w:r>
      <w:r w:rsidRPr="00EE3B6B" w:rsidR="00DF2F3B">
        <w:rPr>
          <w:rFonts w:ascii="Times New Roman" w:hAnsi="Times New Roman" w:cs="Times New Roman"/>
        </w:rPr>
        <w:t>f</w:t>
      </w:r>
      <w:r w:rsidRPr="00EE3B6B" w:rsidR="00177B95">
        <w:rPr>
          <w:rFonts w:ascii="Times New Roman" w:hAnsi="Times New Roman" w:cs="Times New Roman"/>
        </w:rPr>
        <w:t>ederal risk adjustment payments</w:t>
      </w:r>
      <w:r w:rsidRPr="00EE3B6B" w:rsidR="00D41110">
        <w:rPr>
          <w:rFonts w:ascii="Times New Roman" w:hAnsi="Times New Roman" w:cs="Times New Roman"/>
        </w:rPr>
        <w:t xml:space="preserve"> and charges</w:t>
      </w:r>
      <w:r w:rsidRPr="00EE3B6B" w:rsidR="002A57BF">
        <w:rPr>
          <w:rFonts w:ascii="Times New Roman" w:hAnsi="Times New Roman" w:cs="Times New Roman"/>
        </w:rPr>
        <w:t xml:space="preserve"> (including the </w:t>
      </w:r>
      <w:r w:rsidRPr="00EE3B6B" w:rsidR="002A57BF">
        <w:rPr>
          <w:rFonts w:ascii="Times New Roman" w:hAnsi="Times New Roman" w:cs="Times New Roman"/>
        </w:rPr>
        <w:t>high cost</w:t>
      </w:r>
      <w:r w:rsidRPr="00EE3B6B" w:rsidR="002A57BF">
        <w:rPr>
          <w:rFonts w:ascii="Times New Roman" w:hAnsi="Times New Roman" w:cs="Times New Roman"/>
        </w:rPr>
        <w:t xml:space="preserve"> risk pool adjustment and any assessment to pay for those claims, but not risk adjustment user fees)</w:t>
      </w:r>
      <w:r w:rsidRPr="00EE3B6B" w:rsidR="00177B95">
        <w:rPr>
          <w:rFonts w:ascii="Times New Roman" w:hAnsi="Times New Roman" w:cs="Times New Roman"/>
        </w:rPr>
        <w:t>. Consistent with this adjustment, anticipated risk adjustment revenue must be allocated proportionally based on plan premiums for all plans within a risk pool by applying the risk adjustment transfer adjustment factor as a market</w:t>
      </w:r>
      <w:r w:rsidRPr="00EE3B6B" w:rsidR="00B779CE">
        <w:rPr>
          <w:rFonts w:ascii="Times New Roman" w:hAnsi="Times New Roman" w:cs="Times New Roman"/>
        </w:rPr>
        <w:t>-</w:t>
      </w:r>
      <w:r w:rsidRPr="00EE3B6B" w:rsidR="00177B95">
        <w:rPr>
          <w:rFonts w:ascii="Times New Roman" w:hAnsi="Times New Roman" w:cs="Times New Roman"/>
        </w:rPr>
        <w:t xml:space="preserve">level adjustment. </w:t>
      </w:r>
      <w:r w:rsidRPr="00EE3B6B" w:rsidR="004B5D69">
        <w:rPr>
          <w:rFonts w:ascii="Times New Roman" w:hAnsi="Times New Roman" w:cs="Times New Roman"/>
        </w:rPr>
        <w:t xml:space="preserve"> </w:t>
      </w:r>
      <w:r w:rsidRPr="00EE3B6B">
        <w:rPr>
          <w:rFonts w:ascii="Times New Roman" w:hAnsi="Times New Roman" w:cs="Times New Roman"/>
        </w:rPr>
        <w:t>As previously mentioned, reported risk adjustment payment and charge amounts should account for RADV adjustments, including DDVCs and allocations, as app</w:t>
      </w:r>
      <w:r w:rsidRPr="00EE3B6B" w:rsidR="004B5D69">
        <w:rPr>
          <w:rFonts w:ascii="Times New Roman" w:hAnsi="Times New Roman" w:cs="Times New Roman"/>
        </w:rPr>
        <w:t>ropriate.</w:t>
      </w:r>
    </w:p>
    <w:p w:rsidR="00177B95" w:rsidRPr="00EE3B6B" w:rsidP="006D1FD2" w14:paraId="0577A36B" w14:textId="77777777">
      <w:pPr>
        <w:keepLines/>
        <w:spacing w:after="120" w:line="276" w:lineRule="auto"/>
        <w:rPr>
          <w:rFonts w:ascii="Times New Roman" w:hAnsi="Times New Roman" w:cs="Times New Roman"/>
        </w:rPr>
      </w:pPr>
      <w:r w:rsidRPr="00EE3B6B">
        <w:rPr>
          <w:rFonts w:ascii="Times New Roman" w:hAnsi="Times New Roman" w:cs="Times New Roman"/>
        </w:rPr>
        <w:t xml:space="preserve">Issuers must explain how they developed their estimated risk adjustment </w:t>
      </w:r>
      <w:r w:rsidRPr="00EE3B6B" w:rsidR="00F631FE">
        <w:rPr>
          <w:rFonts w:ascii="Times New Roman" w:hAnsi="Times New Roman" w:cs="Times New Roman"/>
        </w:rPr>
        <w:t xml:space="preserve">transfer amounts </w:t>
      </w:r>
      <w:r w:rsidRPr="00EE3B6B">
        <w:rPr>
          <w:rFonts w:ascii="Times New Roman" w:hAnsi="Times New Roman" w:cs="Times New Roman"/>
        </w:rPr>
        <w:t xml:space="preserve">for </w:t>
      </w:r>
      <w:r w:rsidRPr="00EE3B6B">
        <w:rPr>
          <w:rFonts w:ascii="Times New Roman" w:hAnsi="Times New Roman" w:cs="Times New Roman"/>
        </w:rPr>
        <w:t>all of</w:t>
      </w:r>
      <w:r w:rsidRPr="00EE3B6B">
        <w:rPr>
          <w:rFonts w:ascii="Times New Roman" w:hAnsi="Times New Roman" w:cs="Times New Roman"/>
        </w:rPr>
        <w:t xml:space="preserve"> the plans in the risk pool. Issuers are expected to explain </w:t>
      </w:r>
      <w:r w:rsidRPr="00EE3B6B">
        <w:rPr>
          <w:rFonts w:ascii="Times New Roman" w:hAnsi="Times New Roman" w:cs="Times New Roman"/>
        </w:rPr>
        <w:t>all of</w:t>
      </w:r>
      <w:r w:rsidRPr="00EE3B6B">
        <w:rPr>
          <w:rFonts w:ascii="Times New Roman" w:hAnsi="Times New Roman" w:cs="Times New Roman"/>
        </w:rPr>
        <w:t xml:space="preserve"> their market and plan level assumptions related to the inputs of the HHS </w:t>
      </w:r>
      <w:r w:rsidRPr="00EE3B6B" w:rsidR="00F631FE">
        <w:rPr>
          <w:rFonts w:ascii="Times New Roman" w:hAnsi="Times New Roman" w:cs="Times New Roman"/>
        </w:rPr>
        <w:t xml:space="preserve">risk adjustment methodology </w:t>
      </w:r>
      <w:r w:rsidRPr="00EE3B6B">
        <w:rPr>
          <w:rFonts w:ascii="Times New Roman" w:hAnsi="Times New Roman" w:cs="Times New Roman"/>
        </w:rPr>
        <w:t xml:space="preserve">(or alternative </w:t>
      </w:r>
      <w:r w:rsidRPr="00EE3B6B" w:rsidR="00A52393">
        <w:rPr>
          <w:rFonts w:ascii="Times New Roman" w:hAnsi="Times New Roman" w:cs="Times New Roman"/>
        </w:rPr>
        <w:t>s</w:t>
      </w:r>
      <w:r w:rsidRPr="00EE3B6B" w:rsidR="00D334ED">
        <w:rPr>
          <w:rFonts w:ascii="Times New Roman" w:hAnsi="Times New Roman" w:cs="Times New Roman"/>
        </w:rPr>
        <w:t xml:space="preserve">tate </w:t>
      </w:r>
      <w:r w:rsidRPr="00EE3B6B" w:rsidR="00F631FE">
        <w:rPr>
          <w:rFonts w:ascii="Times New Roman" w:hAnsi="Times New Roman" w:cs="Times New Roman"/>
        </w:rPr>
        <w:t>methodology</w:t>
      </w:r>
      <w:r w:rsidRPr="00EE3B6B">
        <w:rPr>
          <w:rFonts w:ascii="Times New Roman" w:hAnsi="Times New Roman" w:cs="Times New Roman"/>
        </w:rPr>
        <w:t>, if applicable). In other words, issuers must explain their assumptions related to plan</w:t>
      </w:r>
      <w:r w:rsidRPr="00EE3B6B" w:rsidR="00B779CE">
        <w:rPr>
          <w:rFonts w:ascii="Times New Roman" w:hAnsi="Times New Roman" w:cs="Times New Roman"/>
        </w:rPr>
        <w:t>-level</w:t>
      </w:r>
      <w:r w:rsidRPr="00EE3B6B">
        <w:rPr>
          <w:rFonts w:ascii="Times New Roman" w:hAnsi="Times New Roman" w:cs="Times New Roman"/>
        </w:rPr>
        <w:t xml:space="preserve"> and market</w:t>
      </w:r>
      <w:r w:rsidRPr="00EE3B6B" w:rsidR="00B779CE">
        <w:rPr>
          <w:rFonts w:ascii="Times New Roman" w:hAnsi="Times New Roman" w:cs="Times New Roman"/>
        </w:rPr>
        <w:t>-</w:t>
      </w:r>
      <w:r w:rsidRPr="00EE3B6B">
        <w:rPr>
          <w:rFonts w:ascii="Times New Roman" w:hAnsi="Times New Roman" w:cs="Times New Roman"/>
        </w:rPr>
        <w:t>level risk scores and other relevant cost factor adjustments that are used to calculate payment transfers under the risk adjustment program. Issuers should explain any potential outlier assumptions that have a significant impact on transfers. Issuers may elect to provide supplemental exhibits detailing their plan</w:t>
      </w:r>
      <w:r w:rsidRPr="00EE3B6B" w:rsidR="00B779CE">
        <w:rPr>
          <w:rFonts w:ascii="Times New Roman" w:hAnsi="Times New Roman" w:cs="Times New Roman"/>
        </w:rPr>
        <w:t>-</w:t>
      </w:r>
      <w:r w:rsidRPr="00EE3B6B">
        <w:rPr>
          <w:rFonts w:ascii="Times New Roman" w:hAnsi="Times New Roman" w:cs="Times New Roman"/>
        </w:rPr>
        <w:t xml:space="preserve">level transfer calculations </w:t>
      </w:r>
      <w:r w:rsidRPr="00EE3B6B">
        <w:rPr>
          <w:rFonts w:ascii="Times New Roman" w:hAnsi="Times New Roman" w:cs="Times New Roman"/>
        </w:rPr>
        <w:t>in order to</w:t>
      </w:r>
      <w:r w:rsidRPr="00EE3B6B">
        <w:rPr>
          <w:rFonts w:ascii="Times New Roman" w:hAnsi="Times New Roman" w:cs="Times New Roman"/>
        </w:rPr>
        <w:t xml:space="preserve"> demonstrate that their transfer estimates appropriately track with the HHS payment transfer formula.</w:t>
      </w:r>
    </w:p>
    <w:p w:rsidR="00177B95" w:rsidRPr="00EE3B6B" w:rsidP="006D1FD2" w14:paraId="59C4F3DF" w14:textId="77777777">
      <w:pPr>
        <w:keepLines/>
        <w:spacing w:after="120" w:line="276" w:lineRule="auto"/>
        <w:rPr>
          <w:rFonts w:ascii="Times New Roman" w:hAnsi="Times New Roman" w:cs="Times New Roman"/>
        </w:rPr>
      </w:pPr>
      <w:r w:rsidRPr="00EE3B6B">
        <w:rPr>
          <w:rFonts w:ascii="Times New Roman" w:hAnsi="Times New Roman" w:cs="Times New Roman"/>
        </w:rPr>
        <w:t xml:space="preserve">Issuers must also explain how </w:t>
      </w:r>
      <w:r w:rsidRPr="00EE3B6B" w:rsidR="007F7592">
        <w:rPr>
          <w:rFonts w:ascii="Times New Roman" w:hAnsi="Times New Roman" w:cs="Times New Roman"/>
        </w:rPr>
        <w:t xml:space="preserve">the </w:t>
      </w:r>
      <w:r w:rsidRPr="00EE3B6B">
        <w:rPr>
          <w:rFonts w:ascii="Times New Roman" w:hAnsi="Times New Roman" w:cs="Times New Roman"/>
        </w:rPr>
        <w:t xml:space="preserve">anticipated risk adjustment transfer </w:t>
      </w:r>
      <w:r w:rsidRPr="00EE3B6B" w:rsidR="00F631FE">
        <w:rPr>
          <w:rFonts w:ascii="Times New Roman" w:hAnsi="Times New Roman" w:cs="Times New Roman"/>
        </w:rPr>
        <w:t xml:space="preserve">amount </w:t>
      </w:r>
      <w:r w:rsidRPr="00EE3B6B">
        <w:rPr>
          <w:rFonts w:ascii="Times New Roman" w:hAnsi="Times New Roman" w:cs="Times New Roman"/>
        </w:rPr>
        <w:t xml:space="preserve">was applied to the </w:t>
      </w:r>
      <w:r w:rsidRPr="00EE3B6B" w:rsidR="00C66220">
        <w:rPr>
          <w:rFonts w:ascii="Times New Roman" w:hAnsi="Times New Roman" w:cs="Times New Roman"/>
        </w:rPr>
        <w:t>Index Rate</w:t>
      </w:r>
      <w:r w:rsidRPr="00EE3B6B">
        <w:rPr>
          <w:rFonts w:ascii="Times New Roman" w:hAnsi="Times New Roman" w:cs="Times New Roman"/>
        </w:rPr>
        <w:t xml:space="preserve"> in the development of the </w:t>
      </w:r>
      <w:r w:rsidRPr="00EE3B6B" w:rsidR="00C52F49">
        <w:rPr>
          <w:rFonts w:ascii="Times New Roman" w:hAnsi="Times New Roman" w:cs="Times New Roman"/>
        </w:rPr>
        <w:t>MAIR</w:t>
      </w:r>
      <w:r w:rsidRPr="00EE3B6B">
        <w:rPr>
          <w:rFonts w:ascii="Times New Roman" w:hAnsi="Times New Roman" w:cs="Times New Roman"/>
        </w:rPr>
        <w:t>. Issuers should describe the overall impact of risk adjustment transfers on premiums.</w:t>
      </w:r>
    </w:p>
    <w:p w:rsidR="00177B95" w:rsidRPr="00EE3B6B" w:rsidP="006D1FD2" w14:paraId="73CC8E19" w14:textId="77777777">
      <w:pPr>
        <w:keepLines/>
        <w:spacing w:after="120" w:line="276" w:lineRule="auto"/>
        <w:rPr>
          <w:rFonts w:ascii="Times New Roman" w:hAnsi="Times New Roman" w:cs="Times New Roman"/>
        </w:rPr>
      </w:pPr>
      <w:r w:rsidRPr="00EE3B6B">
        <w:rPr>
          <w:rFonts w:ascii="Times New Roman" w:hAnsi="Times New Roman" w:cs="Times New Roman"/>
        </w:rPr>
        <w:t xml:space="preserve">Please note that the risk adjustment transfer amounts shown on Worksheet 1 of the URRT should </w:t>
      </w:r>
      <w:r w:rsidRPr="00EE3B6B">
        <w:rPr>
          <w:rFonts w:ascii="Times New Roman" w:hAnsi="Times New Roman" w:cs="Times New Roman"/>
        </w:rPr>
        <w:t>take into account</w:t>
      </w:r>
      <w:r w:rsidRPr="00EE3B6B">
        <w:rPr>
          <w:rFonts w:ascii="Times New Roman" w:hAnsi="Times New Roman" w:cs="Times New Roman"/>
        </w:rPr>
        <w:t xml:space="preserve"> the actual </w:t>
      </w:r>
      <w:r w:rsidRPr="00EE3B6B" w:rsidR="00BB21D5">
        <w:rPr>
          <w:rFonts w:ascii="Times New Roman" w:hAnsi="Times New Roman" w:cs="Times New Roman"/>
        </w:rPr>
        <w:t>PMPM</w:t>
      </w:r>
      <w:r w:rsidRPr="00EE3B6B">
        <w:rPr>
          <w:rFonts w:ascii="Times New Roman" w:hAnsi="Times New Roman" w:cs="Times New Roman"/>
        </w:rPr>
        <w:t xml:space="preserve"> amounts expected in the </w:t>
      </w:r>
      <w:r w:rsidRPr="00EE3B6B" w:rsidR="00C66220">
        <w:rPr>
          <w:rFonts w:ascii="Times New Roman" w:hAnsi="Times New Roman" w:cs="Times New Roman"/>
        </w:rPr>
        <w:t>Projection Period</w:t>
      </w:r>
      <w:r w:rsidRPr="00EE3B6B">
        <w:rPr>
          <w:rFonts w:ascii="Times New Roman" w:hAnsi="Times New Roman" w:cs="Times New Roman"/>
        </w:rPr>
        <w:t xml:space="preserve">. However, the risk adjustment transfer amount applied to the </w:t>
      </w:r>
      <w:r w:rsidRPr="00EE3B6B" w:rsidR="00C66220">
        <w:rPr>
          <w:rFonts w:ascii="Times New Roman" w:hAnsi="Times New Roman" w:cs="Times New Roman"/>
        </w:rPr>
        <w:t>Index Rate</w:t>
      </w:r>
      <w:r w:rsidRPr="00EE3B6B">
        <w:rPr>
          <w:rFonts w:ascii="Times New Roman" w:hAnsi="Times New Roman" w:cs="Times New Roman"/>
        </w:rPr>
        <w:t xml:space="preserve"> in the development of the </w:t>
      </w:r>
      <w:r w:rsidRPr="00EE3B6B" w:rsidR="00C66220">
        <w:rPr>
          <w:rFonts w:ascii="Times New Roman" w:hAnsi="Times New Roman" w:cs="Times New Roman"/>
        </w:rPr>
        <w:t>M</w:t>
      </w:r>
      <w:r w:rsidRPr="00EE3B6B" w:rsidR="00C52F49">
        <w:rPr>
          <w:rFonts w:ascii="Times New Roman" w:hAnsi="Times New Roman" w:cs="Times New Roman"/>
        </w:rPr>
        <w:t xml:space="preserve">AIR </w:t>
      </w:r>
      <w:r w:rsidRPr="00EE3B6B">
        <w:rPr>
          <w:rFonts w:ascii="Times New Roman" w:hAnsi="Times New Roman" w:cs="Times New Roman"/>
        </w:rPr>
        <w:t xml:space="preserve">is on an allowed claims basis (i.e., prior to the application of the expected paid to allowed ratio) as the </w:t>
      </w:r>
      <w:r w:rsidRPr="00EE3B6B" w:rsidR="00C66220">
        <w:rPr>
          <w:rFonts w:ascii="Times New Roman" w:hAnsi="Times New Roman" w:cs="Times New Roman"/>
        </w:rPr>
        <w:t>Index Rate</w:t>
      </w:r>
      <w:r w:rsidRPr="00EE3B6B">
        <w:rPr>
          <w:rFonts w:ascii="Times New Roman" w:hAnsi="Times New Roman" w:cs="Times New Roman"/>
        </w:rPr>
        <w:t xml:space="preserve"> is on an allowed claims basis.</w:t>
      </w:r>
    </w:p>
    <w:p w:rsidR="00177B95" w:rsidRPr="00EE3B6B" w:rsidP="006D1FD2" w14:paraId="097437FE" w14:textId="77777777">
      <w:pPr>
        <w:keepLines/>
        <w:spacing w:after="120" w:line="276" w:lineRule="auto"/>
        <w:rPr>
          <w:rFonts w:ascii="Times New Roman" w:hAnsi="Times New Roman" w:cs="Times New Roman"/>
        </w:rPr>
      </w:pPr>
      <w:r w:rsidRPr="00EE3B6B">
        <w:rPr>
          <w:rFonts w:ascii="Times New Roman" w:hAnsi="Times New Roman" w:cs="Times New Roman"/>
          <w:b/>
        </w:rPr>
        <w:t>Exchange User Fees:</w:t>
      </w:r>
      <w:r w:rsidRPr="00EE3B6B">
        <w:rPr>
          <w:rFonts w:ascii="Times New Roman" w:hAnsi="Times New Roman" w:cs="Times New Roman"/>
        </w:rPr>
        <w:t xml:space="preserve"> The issuer should provide a narrative verifying the Exchange user fees are applied as an adjustment to the </w:t>
      </w:r>
      <w:r w:rsidRPr="00EE3B6B" w:rsidR="00C66220">
        <w:rPr>
          <w:rFonts w:ascii="Times New Roman" w:hAnsi="Times New Roman" w:cs="Times New Roman"/>
        </w:rPr>
        <w:t>Index Rate</w:t>
      </w:r>
      <w:r w:rsidRPr="00EE3B6B">
        <w:rPr>
          <w:rFonts w:ascii="Times New Roman" w:hAnsi="Times New Roman" w:cs="Times New Roman"/>
        </w:rPr>
        <w:t xml:space="preserve"> at the market level. A description of the process the issuer used to calculate the adjustment should be included.</w:t>
      </w:r>
      <w:r w:rsidRPr="00EE3B6B" w:rsidR="00C52F49">
        <w:rPr>
          <w:rFonts w:ascii="Times New Roman" w:hAnsi="Times New Roman" w:cs="Times New Roman"/>
        </w:rPr>
        <w:t xml:space="preserve"> The value should reflect the expected mix of Exchange and non-Exchange enrollees.</w:t>
      </w:r>
    </w:p>
    <w:p w:rsidR="003636DE" w:rsidRPr="00EE3B6B" w:rsidP="006C6C1A" w14:paraId="4A94B5C2" w14:textId="77777777">
      <w:pPr>
        <w:pStyle w:val="Heading3"/>
        <w:numPr>
          <w:ilvl w:val="0"/>
          <w:numId w:val="0"/>
        </w:numPr>
        <w:ind w:left="720" w:hanging="720"/>
      </w:pPr>
      <w:bookmarkStart w:id="61" w:name="_Toc174003442"/>
      <w:r w:rsidRPr="00EE3B6B">
        <w:t>4.4.</w:t>
      </w:r>
      <w:r w:rsidRPr="00EE3B6B" w:rsidR="00976E87">
        <w:t>4</w:t>
      </w:r>
      <w:r w:rsidRPr="00EE3B6B">
        <w:t xml:space="preserve"> </w:t>
      </w:r>
      <w:r w:rsidRPr="00EE3B6B" w:rsidR="008834C7">
        <w:t>Plan Adjusted Index Rate</w:t>
      </w:r>
      <w:bookmarkEnd w:id="61"/>
    </w:p>
    <w:p w:rsidR="008834C7" w:rsidRPr="00EE3B6B" w:rsidP="006D1FD2" w14:paraId="460DACF1" w14:textId="77777777">
      <w:pPr>
        <w:keepLines/>
        <w:spacing w:after="120" w:line="276" w:lineRule="auto"/>
        <w:rPr>
          <w:rFonts w:ascii="Times New Roman" w:hAnsi="Times New Roman" w:cs="Times New Roman"/>
        </w:rPr>
      </w:pPr>
      <w:r w:rsidRPr="00EE3B6B">
        <w:rPr>
          <w:rFonts w:ascii="Times New Roman" w:hAnsi="Times New Roman" w:cs="Times New Roman"/>
        </w:rPr>
        <w:t>The Plan Adjusted Index Rates for the Projection Period are included in Worksheet 2, Section III of the URRT.</w:t>
      </w:r>
    </w:p>
    <w:p w:rsidR="008834C7" w:rsidRPr="00EE3B6B" w:rsidP="006D1FD2" w14:paraId="15B06EBF" w14:textId="77777777">
      <w:pPr>
        <w:keepLines/>
        <w:spacing w:after="120" w:line="276" w:lineRule="auto"/>
        <w:rPr>
          <w:rFonts w:ascii="Times New Roman" w:hAnsi="Times New Roman" w:cs="Times New Roman"/>
        </w:rPr>
      </w:pPr>
      <w:r w:rsidRPr="00EE3B6B">
        <w:rPr>
          <w:rFonts w:ascii="Times New Roman" w:hAnsi="Times New Roman" w:cs="Times New Roman"/>
        </w:rPr>
        <w:t>The PAIR is calculated as the issuer’s MAIR adjusted for all allowable plan level modifiers defined in the market rating rules, 45 CFR 156.80(d)(2)</w:t>
      </w:r>
      <w:r w:rsidRPr="00EE3B6B" w:rsidR="00CA7134">
        <w:rPr>
          <w:rFonts w:ascii="Times New Roman" w:hAnsi="Times New Roman" w:cs="Times New Roman"/>
        </w:rPr>
        <w:t xml:space="preserve"> </w:t>
      </w:r>
      <w:r w:rsidRPr="00EE3B6B" w:rsidR="00CA7134">
        <w:rPr>
          <w:rFonts w:ascii="Times New Roman" w:hAnsi="Times New Roman" w:cs="Times New Roman"/>
        </w:rPr>
        <w:t>and also</w:t>
      </w:r>
      <w:r w:rsidRPr="00EE3B6B" w:rsidR="00CA7134">
        <w:rPr>
          <w:rFonts w:ascii="Times New Roman" w:hAnsi="Times New Roman" w:cs="Times New Roman"/>
        </w:rPr>
        <w:t xml:space="preserve"> entered in Section III of Worksheet 2 of the URRT</w:t>
      </w:r>
      <w:r w:rsidRPr="00EE3B6B">
        <w:rPr>
          <w:rFonts w:ascii="Times New Roman" w:hAnsi="Times New Roman" w:cs="Times New Roman"/>
        </w:rPr>
        <w:t>. Only the following adjustments are allowable under these rules:</w:t>
      </w:r>
    </w:p>
    <w:p w:rsidR="008834C7" w:rsidRPr="00EE3B6B" w:rsidP="006D1FD2" w14:paraId="2C955D05" w14:textId="77777777">
      <w:pPr>
        <w:pStyle w:val="ListParagraph"/>
        <w:keepLines/>
        <w:numPr>
          <w:ilvl w:val="0"/>
          <w:numId w:val="45"/>
        </w:numPr>
        <w:spacing w:after="120" w:line="276" w:lineRule="auto"/>
        <w:rPr>
          <w:rFonts w:ascii="Times New Roman" w:hAnsi="Times New Roman" w:cs="Times New Roman"/>
        </w:rPr>
      </w:pPr>
      <w:r w:rsidRPr="00EE3B6B">
        <w:rPr>
          <w:rFonts w:ascii="Times New Roman" w:hAnsi="Times New Roman" w:cs="Times New Roman"/>
        </w:rPr>
        <w:t>Actuarial value and cost-sharing design of the plan.</w:t>
      </w:r>
    </w:p>
    <w:p w:rsidR="008834C7" w:rsidRPr="00EE3B6B" w:rsidP="006D1FD2" w14:paraId="791E552A" w14:textId="77777777">
      <w:pPr>
        <w:pStyle w:val="ListParagraph"/>
        <w:keepLines/>
        <w:numPr>
          <w:ilvl w:val="0"/>
          <w:numId w:val="45"/>
        </w:numPr>
        <w:spacing w:after="120" w:line="276" w:lineRule="auto"/>
        <w:rPr>
          <w:rFonts w:ascii="Times New Roman" w:hAnsi="Times New Roman" w:cs="Times New Roman"/>
        </w:rPr>
      </w:pPr>
      <w:r w:rsidRPr="00EE3B6B">
        <w:rPr>
          <w:rFonts w:ascii="Times New Roman" w:hAnsi="Times New Roman" w:cs="Times New Roman"/>
        </w:rPr>
        <w:t>The plan's provider network, delivery system characteristics, and utilization management practices.</w:t>
      </w:r>
    </w:p>
    <w:p w:rsidR="008834C7" w:rsidRPr="00EE3B6B" w:rsidP="006D1FD2" w14:paraId="1BB62FFC" w14:textId="77777777">
      <w:pPr>
        <w:pStyle w:val="ListParagraph"/>
        <w:keepLines/>
        <w:numPr>
          <w:ilvl w:val="0"/>
          <w:numId w:val="45"/>
        </w:numPr>
        <w:spacing w:after="120" w:line="276" w:lineRule="auto"/>
        <w:rPr>
          <w:rFonts w:ascii="Times New Roman" w:hAnsi="Times New Roman" w:cs="Times New Roman"/>
        </w:rPr>
      </w:pPr>
      <w:r w:rsidRPr="00EE3B6B">
        <w:rPr>
          <w:rFonts w:ascii="Times New Roman" w:hAnsi="Times New Roman" w:cs="Times New Roman"/>
        </w:rPr>
        <w:t>Benefits provided under the plan that are in addition to EHBs.</w:t>
      </w:r>
    </w:p>
    <w:p w:rsidR="0072004F" w:rsidRPr="00EE3B6B" w:rsidP="006D1FD2" w14:paraId="375B969D" w14:textId="77777777">
      <w:pPr>
        <w:pStyle w:val="ListParagraph"/>
        <w:keepLines/>
        <w:numPr>
          <w:ilvl w:val="0"/>
          <w:numId w:val="45"/>
        </w:numPr>
        <w:spacing w:after="120" w:line="276" w:lineRule="auto"/>
        <w:rPr>
          <w:rFonts w:ascii="Times New Roman" w:hAnsi="Times New Roman" w:cs="Times New Roman"/>
        </w:rPr>
      </w:pPr>
      <w:r w:rsidRPr="00EE3B6B">
        <w:rPr>
          <w:rFonts w:ascii="Times New Roman" w:hAnsi="Times New Roman" w:cs="Times New Roman"/>
        </w:rPr>
        <w:t>Administrative costs, excluding Exchange user fees</w:t>
      </w:r>
      <w:r w:rsidRPr="00EE3B6B" w:rsidR="00DE2F07">
        <w:rPr>
          <w:rFonts w:ascii="Times New Roman" w:hAnsi="Times New Roman" w:cs="Times New Roman"/>
        </w:rPr>
        <w:t xml:space="preserve"> and </w:t>
      </w:r>
      <w:r w:rsidRPr="00EE3B6B" w:rsidR="00887999">
        <w:rPr>
          <w:rFonts w:ascii="Times New Roman" w:hAnsi="Times New Roman" w:cs="Times New Roman"/>
        </w:rPr>
        <w:t>federal or state r</w:t>
      </w:r>
      <w:r w:rsidRPr="00EE3B6B" w:rsidR="00DE2F07">
        <w:rPr>
          <w:rFonts w:ascii="Times New Roman" w:hAnsi="Times New Roman" w:cs="Times New Roman"/>
        </w:rPr>
        <w:t>einsurance fees</w:t>
      </w:r>
      <w:r w:rsidRPr="00EE3B6B">
        <w:rPr>
          <w:rFonts w:ascii="Times New Roman" w:hAnsi="Times New Roman" w:cs="Times New Roman"/>
        </w:rPr>
        <w:t xml:space="preserve"> (which are already accounted for in the </w:t>
      </w:r>
      <w:r w:rsidRPr="00EE3B6B" w:rsidR="00DE2F07">
        <w:rPr>
          <w:rFonts w:ascii="Times New Roman" w:hAnsi="Times New Roman" w:cs="Times New Roman"/>
        </w:rPr>
        <w:t>MAIR</w:t>
      </w:r>
      <w:r w:rsidRPr="00EE3B6B">
        <w:rPr>
          <w:rFonts w:ascii="Times New Roman" w:hAnsi="Times New Roman" w:cs="Times New Roman"/>
        </w:rPr>
        <w:t>).</w:t>
      </w:r>
      <w:r w:rsidRPr="00EE3B6B" w:rsidR="00CA7134">
        <w:rPr>
          <w:rFonts w:ascii="Times New Roman" w:hAnsi="Times New Roman" w:cs="Times New Roman"/>
        </w:rPr>
        <w:t xml:space="preserve"> Section III of Worksheet 2 asks for the administrative costs broken out by Administrative Expense, Taxes and Fees, and Profit and Risk Load.</w:t>
      </w:r>
    </w:p>
    <w:p w:rsidR="008834C7" w:rsidRPr="00EE3B6B" w:rsidP="006D1FD2" w14:paraId="4FADC420" w14:textId="77777777">
      <w:pPr>
        <w:pStyle w:val="ListParagraph"/>
        <w:keepLines/>
        <w:numPr>
          <w:ilvl w:val="0"/>
          <w:numId w:val="45"/>
        </w:numPr>
        <w:spacing w:after="120" w:line="276" w:lineRule="auto"/>
        <w:rPr>
          <w:rFonts w:ascii="Times New Roman" w:hAnsi="Times New Roman" w:cs="Times New Roman"/>
        </w:rPr>
      </w:pPr>
      <w:r w:rsidRPr="00EE3B6B">
        <w:rPr>
          <w:rFonts w:ascii="Times New Roman" w:hAnsi="Times New Roman" w:cs="Times New Roman"/>
        </w:rPr>
        <w:t>Only catastrophic plans may adjust for the expected impact of the specific eligibility categories for these plans. If an adjustment is made to catastrophic plans, this adjustment may not be recovered elsewhere in the rating process, as that would be seen as removing the catastrophic plan experience from the single risk pool.</w:t>
      </w:r>
    </w:p>
    <w:p w:rsidR="008834C7" w:rsidRPr="00EE3B6B" w:rsidP="006D1FD2" w14:paraId="5849D737" w14:textId="77777777">
      <w:pPr>
        <w:keepLines/>
        <w:spacing w:after="120" w:line="276" w:lineRule="auto"/>
        <w:rPr>
          <w:rFonts w:ascii="Times New Roman" w:hAnsi="Times New Roman" w:cs="Times New Roman"/>
        </w:rPr>
      </w:pPr>
      <w:r w:rsidRPr="00EE3B6B">
        <w:rPr>
          <w:rFonts w:ascii="Times New Roman" w:hAnsi="Times New Roman" w:cs="Times New Roman"/>
        </w:rPr>
        <w:t>Other adjustments not specified by 45 CFR § 156.80(d)(2) are not allowed at this point in the development, such as adjustments to recoup revenue related to the three under age 21 child dependent cap or a catastrophic adjustment to non-catastrophic plans.</w:t>
      </w:r>
    </w:p>
    <w:p w:rsidR="008834C7" w:rsidRPr="00EE3B6B" w:rsidP="006D1FD2" w14:paraId="23D23FC9" w14:textId="77777777">
      <w:pPr>
        <w:keepLines/>
        <w:spacing w:after="120" w:line="276" w:lineRule="auto"/>
        <w:rPr>
          <w:rFonts w:ascii="Times New Roman" w:hAnsi="Times New Roman" w:cs="Times New Roman"/>
        </w:rPr>
      </w:pPr>
      <w:r w:rsidRPr="00EE3B6B">
        <w:rPr>
          <w:rFonts w:ascii="Times New Roman" w:hAnsi="Times New Roman" w:cs="Times New Roman"/>
        </w:rPr>
        <w:t>The issuer is required to provide an explanation of how these modifiers are developed and applied to the MAIR to derive the PAIR.</w:t>
      </w:r>
    </w:p>
    <w:p w:rsidR="008834C7" w:rsidRPr="00EE3B6B" w:rsidP="006D1FD2" w14:paraId="53E5BD96" w14:textId="77777777">
      <w:pPr>
        <w:keepLines/>
        <w:spacing w:after="120" w:line="276" w:lineRule="auto"/>
        <w:rPr>
          <w:rFonts w:ascii="Times New Roman" w:hAnsi="Times New Roman" w:cs="Times New Roman"/>
        </w:rPr>
      </w:pPr>
      <w:r w:rsidRPr="00EE3B6B">
        <w:rPr>
          <w:rFonts w:ascii="Times New Roman" w:hAnsi="Times New Roman" w:cs="Times New Roman"/>
        </w:rPr>
        <w:t xml:space="preserve">The AV and cost-sharing design of the plan may </w:t>
      </w:r>
      <w:r w:rsidRPr="00EE3B6B">
        <w:rPr>
          <w:rFonts w:ascii="Times New Roman" w:hAnsi="Times New Roman" w:cs="Times New Roman"/>
        </w:rPr>
        <w:t>take into account</w:t>
      </w:r>
      <w:r w:rsidRPr="00EE3B6B">
        <w:rPr>
          <w:rFonts w:ascii="Times New Roman" w:hAnsi="Times New Roman" w:cs="Times New Roman"/>
        </w:rPr>
        <w:t xml:space="preserve"> the benefit differences and utilization differences due to differences in cost-sharing. The utilization difference may reflect the impact higher cost-sharing has on </w:t>
      </w:r>
      <w:r w:rsidRPr="00EE3B6B">
        <w:rPr>
          <w:rFonts w:ascii="Times New Roman" w:hAnsi="Times New Roman" w:cs="Times New Roman"/>
        </w:rPr>
        <w:t>utilization</w:t>
      </w:r>
      <w:r w:rsidRPr="00EE3B6B" w:rsidR="00633475">
        <w:rPr>
          <w:rFonts w:ascii="Times New Roman" w:hAnsi="Times New Roman" w:cs="Times New Roman"/>
        </w:rPr>
        <w:t>,</w:t>
      </w:r>
      <w:r w:rsidRPr="00EE3B6B">
        <w:rPr>
          <w:rFonts w:ascii="Times New Roman" w:hAnsi="Times New Roman" w:cs="Times New Roman"/>
        </w:rPr>
        <w:t xml:space="preserve"> but</w:t>
      </w:r>
      <w:r w:rsidRPr="00EE3B6B">
        <w:rPr>
          <w:rFonts w:ascii="Times New Roman" w:hAnsi="Times New Roman" w:cs="Times New Roman"/>
        </w:rPr>
        <w:t xml:space="preserve"> cannot reflect differences due to health status.</w:t>
      </w:r>
      <w:r w:rsidRPr="00EE3B6B" w:rsidR="009F2AC0">
        <w:rPr>
          <w:rFonts w:ascii="Times New Roman" w:hAnsi="Times New Roman" w:cs="Times New Roman"/>
        </w:rPr>
        <w:t xml:space="preserve"> </w:t>
      </w:r>
      <w:r w:rsidRPr="00EE3B6B" w:rsidR="008F5F6E">
        <w:rPr>
          <w:rFonts w:ascii="Times New Roman" w:hAnsi="Times New Roman" w:cs="Times New Roman"/>
        </w:rPr>
        <w:t>If the cost-sharing impact on utilization is reflected, describe in detail how the difference was estimated and how the methodology ensures that differences due to health status are not included in the adjustment.</w:t>
      </w:r>
    </w:p>
    <w:p w:rsidR="008F5F6E" w:rsidRPr="00EE3B6B" w:rsidP="006D1FD2" w14:paraId="2FA70CD8" w14:textId="77777777">
      <w:pPr>
        <w:keepLines/>
        <w:spacing w:after="120" w:line="276" w:lineRule="auto"/>
        <w:rPr>
          <w:rFonts w:ascii="Times New Roman" w:hAnsi="Times New Roman" w:cs="Times New Roman"/>
        </w:rPr>
      </w:pPr>
      <w:r w:rsidRPr="00EE3B6B">
        <w:rPr>
          <w:rFonts w:ascii="Times New Roman" w:hAnsi="Times New Roman" w:cs="Times New Roman"/>
        </w:rPr>
        <w:t>If benefits in addition to EHB are being provided, please describe</w:t>
      </w:r>
      <w:r w:rsidRPr="00EE3B6B" w:rsidR="000D6326">
        <w:rPr>
          <w:rFonts w:ascii="Times New Roman" w:hAnsi="Times New Roman" w:cs="Times New Roman"/>
        </w:rPr>
        <w:t xml:space="preserve"> the additional benefits.</w:t>
      </w:r>
    </w:p>
    <w:p w:rsidR="008834C7" w:rsidRPr="00EE3B6B" w:rsidP="006D1FD2" w14:paraId="36A47CC8" w14:textId="77777777">
      <w:pPr>
        <w:keepLines/>
        <w:spacing w:after="120" w:line="276" w:lineRule="auto"/>
        <w:rPr>
          <w:rFonts w:ascii="Times New Roman" w:hAnsi="Times New Roman" w:cs="Times New Roman"/>
        </w:rPr>
      </w:pPr>
      <w:r w:rsidRPr="00EE3B6B">
        <w:rPr>
          <w:rFonts w:ascii="Times New Roman" w:hAnsi="Times New Roman" w:cs="Times New Roman"/>
        </w:rPr>
        <w:t>Specifically</w:t>
      </w:r>
      <w:r w:rsidRPr="00EE3B6B" w:rsidR="003E388E">
        <w:rPr>
          <w:rFonts w:ascii="Times New Roman" w:hAnsi="Times New Roman" w:cs="Times New Roman"/>
        </w:rPr>
        <w:t>,</w:t>
      </w:r>
      <w:r w:rsidRPr="00EE3B6B">
        <w:rPr>
          <w:rFonts w:ascii="Times New Roman" w:hAnsi="Times New Roman" w:cs="Times New Roman"/>
        </w:rPr>
        <w:t xml:space="preserve"> for the catastrophic plan rate, describe the methodology used to estimate the adjustment reflecting </w:t>
      </w:r>
      <w:r w:rsidRPr="00EE3B6B" w:rsidR="004F03BE">
        <w:rPr>
          <w:rFonts w:ascii="Times New Roman" w:hAnsi="Times New Roman" w:cs="Times New Roman"/>
        </w:rPr>
        <w:t>expected impact of the specific eligibility categories for these plans</w:t>
      </w:r>
      <w:r w:rsidRPr="00EE3B6B">
        <w:rPr>
          <w:rFonts w:ascii="Times New Roman" w:hAnsi="Times New Roman" w:cs="Times New Roman"/>
        </w:rPr>
        <w:t xml:space="preserve"> as compared to the single risk pool.</w:t>
      </w:r>
    </w:p>
    <w:p w:rsidR="0072004F" w:rsidRPr="00EE3B6B" w:rsidP="006D1FD2" w14:paraId="5F53D4FA" w14:textId="3BCD7D4F">
      <w:pPr>
        <w:keepLines/>
        <w:spacing w:after="120" w:line="276" w:lineRule="auto"/>
        <w:rPr>
          <w:rFonts w:ascii="Times New Roman" w:hAnsi="Times New Roman" w:cs="Times New Roman"/>
        </w:rPr>
      </w:pPr>
      <w:r w:rsidRPr="00EE3B6B">
        <w:rPr>
          <w:rFonts w:ascii="Times New Roman" w:hAnsi="Times New Roman" w:cs="Times New Roman"/>
        </w:rPr>
        <w:t>Similar to</w:t>
      </w:r>
      <w:r w:rsidRPr="00EE3B6B">
        <w:rPr>
          <w:rFonts w:ascii="Times New Roman" w:hAnsi="Times New Roman" w:cs="Times New Roman"/>
        </w:rPr>
        <w:t xml:space="preserve"> the Index Rate and MAIR, the PAIR reflects the average demographic characteristics of the single risk pool. In other words, the </w:t>
      </w:r>
      <w:r w:rsidRPr="00EE3B6B">
        <w:rPr>
          <w:rFonts w:ascii="Times New Roman" w:hAnsi="Times New Roman" w:cs="Times New Roman"/>
        </w:rPr>
        <w:t>PAIR</w:t>
      </w:r>
      <w:r w:rsidRPr="00EE3B6B">
        <w:rPr>
          <w:rFonts w:ascii="Times New Roman" w:hAnsi="Times New Roman" w:cs="Times New Roman"/>
        </w:rPr>
        <w:t xml:space="preserve"> is not calibrated.</w:t>
      </w:r>
    </w:p>
    <w:p w:rsidR="00CA7134" w:rsidRPr="00EE3B6B" w:rsidP="006C6C1A" w14:paraId="2E1E703C" w14:textId="77777777">
      <w:pPr>
        <w:pStyle w:val="Heading3"/>
        <w:numPr>
          <w:ilvl w:val="0"/>
          <w:numId w:val="0"/>
        </w:numPr>
        <w:ind w:left="720" w:hanging="720"/>
      </w:pPr>
      <w:bookmarkStart w:id="62" w:name="_Toc174003443"/>
      <w:r w:rsidRPr="00EE3B6B">
        <w:t>4.4.5 Calibration</w:t>
      </w:r>
      <w:bookmarkEnd w:id="62"/>
    </w:p>
    <w:p w:rsidR="00CA7134" w:rsidRPr="00EE3B6B" w:rsidP="006D1FD2" w14:paraId="60C47979" w14:textId="77777777">
      <w:pPr>
        <w:keepLines/>
        <w:spacing w:after="120" w:line="276" w:lineRule="auto"/>
        <w:rPr>
          <w:rFonts w:ascii="Times New Roman" w:hAnsi="Times New Roman" w:cs="Times New Roman"/>
        </w:rPr>
      </w:pPr>
      <w:r w:rsidRPr="00EE3B6B">
        <w:rPr>
          <w:rFonts w:ascii="Times New Roman" w:hAnsi="Times New Roman" w:cs="Times New Roman"/>
        </w:rPr>
        <w:t xml:space="preserve">Calibration factors are ONLY allowed for the age, geography, and tobacco factors. </w:t>
      </w:r>
    </w:p>
    <w:p w:rsidR="00CA7134" w:rsidRPr="00EE3B6B" w:rsidP="006D1FD2" w14:paraId="6C750254" w14:textId="77777777">
      <w:pPr>
        <w:keepLines/>
        <w:spacing w:after="120" w:line="276" w:lineRule="auto"/>
        <w:rPr>
          <w:rFonts w:ascii="Times New Roman" w:hAnsi="Times New Roman" w:cs="Times New Roman"/>
          <w:b/>
        </w:rPr>
      </w:pPr>
      <w:r w:rsidRPr="00EE3B6B">
        <w:rPr>
          <w:rFonts w:ascii="Times New Roman" w:hAnsi="Times New Roman" w:cs="Times New Roman"/>
          <w:b/>
        </w:rPr>
        <w:t>Age Curve Calibration</w:t>
      </w:r>
    </w:p>
    <w:p w:rsidR="00CA7134" w:rsidRPr="00EE3B6B" w:rsidP="006D1FD2" w14:paraId="5FE73584" w14:textId="77777777">
      <w:pPr>
        <w:keepLines/>
        <w:spacing w:after="120" w:line="276" w:lineRule="auto"/>
        <w:rPr>
          <w:rFonts w:ascii="Times New Roman" w:hAnsi="Times New Roman" w:cs="Times New Roman"/>
        </w:rPr>
      </w:pPr>
      <w:r w:rsidRPr="00EE3B6B">
        <w:rPr>
          <w:rFonts w:ascii="Times New Roman" w:hAnsi="Times New Roman" w:cs="Times New Roman"/>
        </w:rPr>
        <w:t xml:space="preserve">Issuers must provide a detailed explanation of the methodology used in the calibration to the age curve. Specifically, issuers should describe the factors used in the determination of the </w:t>
      </w:r>
      <w:r w:rsidRPr="00EE3B6B" w:rsidR="00FE7C6B">
        <w:rPr>
          <w:rFonts w:ascii="Times New Roman" w:hAnsi="Times New Roman" w:cs="Times New Roman"/>
        </w:rPr>
        <w:t xml:space="preserve">calibration factor, </w:t>
      </w:r>
      <w:r w:rsidRPr="00EE3B6B">
        <w:rPr>
          <w:rFonts w:ascii="Times New Roman" w:hAnsi="Times New Roman" w:cs="Times New Roman"/>
        </w:rPr>
        <w:t>a description of the data used to weight the factors, and a description of the exact calculation. Issuers will need to provide actuarial justification that the methodology employed in the calculation of the calibration to the age curve complies with the standard age curve methodology.</w:t>
      </w:r>
    </w:p>
    <w:p w:rsidR="00CA7134" w:rsidRPr="00EE3B6B" w:rsidP="006D1FD2" w14:paraId="43FD0376" w14:textId="77777777">
      <w:pPr>
        <w:keepLines/>
        <w:spacing w:after="120" w:line="276" w:lineRule="auto"/>
        <w:rPr>
          <w:rFonts w:ascii="Times New Roman" w:hAnsi="Times New Roman" w:cs="Times New Roman"/>
        </w:rPr>
      </w:pPr>
      <w:r w:rsidRPr="00EE3B6B">
        <w:rPr>
          <w:rFonts w:ascii="Times New Roman" w:hAnsi="Times New Roman" w:cs="Times New Roman"/>
        </w:rPr>
        <w:t xml:space="preserve">At this time CMS will allow for the application of a factor of zero (0) for the distribution of members expected to pay no premium when developing the age </w:t>
      </w:r>
      <w:r w:rsidRPr="00EE3B6B" w:rsidR="00FE7C6B">
        <w:rPr>
          <w:rFonts w:ascii="Times New Roman" w:hAnsi="Times New Roman" w:cs="Times New Roman"/>
        </w:rPr>
        <w:t xml:space="preserve">calibration factor </w:t>
      </w:r>
      <w:r w:rsidRPr="00EE3B6B">
        <w:rPr>
          <w:rFonts w:ascii="Times New Roman" w:hAnsi="Times New Roman" w:cs="Times New Roman"/>
        </w:rPr>
        <w:t xml:space="preserve">in </w:t>
      </w:r>
      <w:r w:rsidRPr="00EE3B6B" w:rsidR="00A52393">
        <w:rPr>
          <w:rFonts w:ascii="Times New Roman" w:hAnsi="Times New Roman" w:cs="Times New Roman"/>
        </w:rPr>
        <w:t>s</w:t>
      </w:r>
      <w:r w:rsidRPr="00EE3B6B">
        <w:rPr>
          <w:rFonts w:ascii="Times New Roman" w:hAnsi="Times New Roman" w:cs="Times New Roman"/>
        </w:rPr>
        <w:t xml:space="preserve">tates that follow the standard CMS age curve to account for the lost revenue due to the three under age 21 child dependent cap. While CMS is allowing this methodology, </w:t>
      </w:r>
      <w:r w:rsidRPr="00EE3B6B" w:rsidR="00A52393">
        <w:rPr>
          <w:rFonts w:ascii="Times New Roman" w:hAnsi="Times New Roman" w:cs="Times New Roman"/>
        </w:rPr>
        <w:t>s</w:t>
      </w:r>
      <w:r w:rsidRPr="00EE3B6B">
        <w:rPr>
          <w:rFonts w:ascii="Times New Roman" w:hAnsi="Times New Roman" w:cs="Times New Roman"/>
        </w:rPr>
        <w:t>tates with an Effective Rate Review Program that follow the standard CMS age curve may choose to allow or disallow this practice.</w:t>
      </w:r>
    </w:p>
    <w:p w:rsidR="00CA7134" w:rsidRPr="00EE3B6B" w:rsidP="006D1FD2" w14:paraId="5C7A9F08" w14:textId="77777777">
      <w:pPr>
        <w:keepLines/>
        <w:spacing w:after="120" w:line="276" w:lineRule="auto"/>
        <w:rPr>
          <w:rFonts w:ascii="Times New Roman" w:hAnsi="Times New Roman" w:cs="Times New Roman"/>
        </w:rPr>
      </w:pPr>
      <w:r w:rsidRPr="00EE3B6B">
        <w:rPr>
          <w:rFonts w:ascii="Times New Roman" w:hAnsi="Times New Roman" w:cs="Times New Roman"/>
        </w:rPr>
        <w:t xml:space="preserve">Some </w:t>
      </w:r>
      <w:r w:rsidRPr="00EE3B6B" w:rsidR="00A52393">
        <w:rPr>
          <w:rFonts w:ascii="Times New Roman" w:hAnsi="Times New Roman" w:cs="Times New Roman"/>
        </w:rPr>
        <w:t>s</w:t>
      </w:r>
      <w:r w:rsidRPr="00EE3B6B">
        <w:rPr>
          <w:rFonts w:ascii="Times New Roman" w:hAnsi="Times New Roman" w:cs="Times New Roman"/>
        </w:rPr>
        <w:t xml:space="preserve">tates have established their own age curves that are different from the standard CMS age curve. In this case, issuers should check with their </w:t>
      </w:r>
      <w:r w:rsidRPr="00EE3B6B" w:rsidR="00A52393">
        <w:rPr>
          <w:rFonts w:ascii="Times New Roman" w:hAnsi="Times New Roman" w:cs="Times New Roman"/>
        </w:rPr>
        <w:t>s</w:t>
      </w:r>
      <w:r w:rsidRPr="00EE3B6B">
        <w:rPr>
          <w:rFonts w:ascii="Times New Roman" w:hAnsi="Times New Roman" w:cs="Times New Roman"/>
        </w:rPr>
        <w:t>tate regulators to determine if applying a factor of zero (0) for the distribution of members expected to pay no premium is an appropriate and allowable adjustment for the three under age 21 child dependent cap.</w:t>
      </w:r>
    </w:p>
    <w:p w:rsidR="00CA7134" w:rsidRPr="00EE3B6B" w:rsidP="006D1FD2" w14:paraId="6733D596" w14:textId="77777777">
      <w:pPr>
        <w:keepLines/>
        <w:spacing w:after="120" w:line="276" w:lineRule="auto"/>
        <w:rPr>
          <w:rFonts w:ascii="Times New Roman" w:hAnsi="Times New Roman" w:cs="Times New Roman"/>
        </w:rPr>
      </w:pPr>
      <w:r w:rsidRPr="00EE3B6B">
        <w:rPr>
          <w:rFonts w:ascii="Times New Roman" w:hAnsi="Times New Roman" w:cs="Times New Roman"/>
        </w:rPr>
        <w:t xml:space="preserve">Include a demonstration of how the </w:t>
      </w:r>
      <w:r w:rsidRPr="00EE3B6B" w:rsidR="0097524D">
        <w:rPr>
          <w:rFonts w:ascii="Times New Roman" w:hAnsi="Times New Roman" w:cs="Times New Roman"/>
        </w:rPr>
        <w:t>PAIR</w:t>
      </w:r>
      <w:r w:rsidRPr="00EE3B6B">
        <w:rPr>
          <w:rFonts w:ascii="Times New Roman" w:hAnsi="Times New Roman" w:cs="Times New Roman"/>
        </w:rPr>
        <w:t xml:space="preserve"> and the age curve are used to generate the schedule of premium rates for each plan. Note that the age curve calibration adjustment is not plan specific. In other words, the same age curve calibration must be applied to all plans in the projected single risk pool.</w:t>
      </w:r>
    </w:p>
    <w:p w:rsidR="00CA7134" w:rsidRPr="00EE3B6B" w:rsidP="006D1FD2" w14:paraId="4A95D9F9" w14:textId="77777777">
      <w:pPr>
        <w:keepLines/>
        <w:spacing w:after="120" w:line="276" w:lineRule="auto"/>
        <w:rPr>
          <w:rFonts w:ascii="Times New Roman" w:hAnsi="Times New Roman" w:cs="Times New Roman"/>
          <w:b/>
        </w:rPr>
      </w:pPr>
      <w:r w:rsidRPr="00EE3B6B">
        <w:rPr>
          <w:rFonts w:ascii="Times New Roman" w:hAnsi="Times New Roman" w:cs="Times New Roman"/>
          <w:b/>
        </w:rPr>
        <w:t>Geographic Factor Calibration</w:t>
      </w:r>
    </w:p>
    <w:p w:rsidR="00CA7134" w:rsidRPr="00EE3B6B" w:rsidP="006D1FD2" w14:paraId="71D7F04F" w14:textId="77777777">
      <w:pPr>
        <w:keepLines/>
        <w:spacing w:after="120" w:line="276" w:lineRule="auto"/>
        <w:rPr>
          <w:rFonts w:ascii="Times New Roman" w:hAnsi="Times New Roman" w:cs="Times New Roman"/>
        </w:rPr>
      </w:pPr>
      <w:r w:rsidRPr="00EE3B6B">
        <w:rPr>
          <w:rFonts w:ascii="Times New Roman" w:hAnsi="Times New Roman" w:cs="Times New Roman"/>
        </w:rPr>
        <w:t xml:space="preserve">The issuer must provide the geographic factor calibration that is applied to the projected single risk pool, if one is necessary. For example, if the weighted average of the geographic factors does not equal 1.0, calibration may be required. </w:t>
      </w:r>
    </w:p>
    <w:p w:rsidR="00CA7134" w:rsidRPr="00EE3B6B" w:rsidP="006D1FD2" w14:paraId="042AF226" w14:textId="54AC2110">
      <w:pPr>
        <w:keepLines/>
        <w:spacing w:after="120" w:line="276" w:lineRule="auto"/>
        <w:rPr>
          <w:rFonts w:ascii="Times New Roman" w:hAnsi="Times New Roman" w:cs="Times New Roman"/>
        </w:rPr>
      </w:pPr>
      <w:r w:rsidRPr="00EE3B6B">
        <w:rPr>
          <w:rFonts w:ascii="Times New Roman" w:hAnsi="Times New Roman" w:cs="Times New Roman"/>
        </w:rPr>
        <w:t xml:space="preserve">The Actuarial Memorandum must include a detailed description of the development of the geographic rating factors (including a description of how the methodology results in factors that reflect delivery cost differences </w:t>
      </w:r>
      <w:r w:rsidRPr="00EE3B6B">
        <w:rPr>
          <w:rFonts w:ascii="Times New Roman" w:hAnsi="Times New Roman" w:cs="Times New Roman"/>
        </w:rPr>
        <w:t>only, or</w:t>
      </w:r>
      <w:r w:rsidRPr="00EE3B6B">
        <w:rPr>
          <w:rFonts w:ascii="Times New Roman" w:hAnsi="Times New Roman" w:cs="Times New Roman"/>
        </w:rPr>
        <w:t xml:space="preserve"> are otherwise adjusted for differences in population morbidity) and a demonstration of how these factors are applied to the </w:t>
      </w:r>
      <w:r w:rsidRPr="00EE3B6B" w:rsidR="0097524D">
        <w:rPr>
          <w:rFonts w:ascii="Times New Roman" w:hAnsi="Times New Roman" w:cs="Times New Roman"/>
        </w:rPr>
        <w:t>PAIR</w:t>
      </w:r>
      <w:r w:rsidRPr="00EE3B6B">
        <w:rPr>
          <w:rFonts w:ascii="Times New Roman" w:hAnsi="Times New Roman" w:cs="Times New Roman"/>
        </w:rPr>
        <w:t>. For example, if the weighted average of the geographic factors does not equal 1.0, the calibration adjustment that is applied should be included in the Actuarial Memorandum along with documentation of the calculation of the calibration adjustment. Note that the geographic calibration adjustment is not plan specific. In other words, the same geographic calibration would be applied to all plans in the projected single risk pool. If an issuer has multiple networks within a given rating area and wants to develop premiums specific for each network, the issuer must have a separate plan for each network within the rating area.</w:t>
      </w:r>
    </w:p>
    <w:p w:rsidR="00CA7134" w:rsidRPr="00EE3B6B" w:rsidP="006D1FD2" w14:paraId="7E98618F" w14:textId="77777777">
      <w:pPr>
        <w:keepLines/>
        <w:spacing w:after="120" w:line="276" w:lineRule="auto"/>
        <w:rPr>
          <w:rFonts w:ascii="Times New Roman" w:hAnsi="Times New Roman" w:cs="Times New Roman"/>
          <w:b/>
        </w:rPr>
      </w:pPr>
      <w:r w:rsidRPr="00EE3B6B">
        <w:rPr>
          <w:rFonts w:ascii="Times New Roman" w:hAnsi="Times New Roman" w:cs="Times New Roman"/>
          <w:b/>
        </w:rPr>
        <w:t>Tobacco Use Rating Factor Calibration</w:t>
      </w:r>
    </w:p>
    <w:p w:rsidR="00CA7134" w:rsidRPr="00EE3B6B" w:rsidP="006D1FD2" w14:paraId="36E3AF46" w14:textId="77777777">
      <w:pPr>
        <w:keepLines/>
        <w:spacing w:after="120" w:line="276" w:lineRule="auto"/>
        <w:rPr>
          <w:rFonts w:ascii="Times New Roman" w:hAnsi="Times New Roman" w:cs="Times New Roman"/>
        </w:rPr>
      </w:pPr>
      <w:r w:rsidRPr="00EE3B6B">
        <w:rPr>
          <w:rFonts w:ascii="Times New Roman" w:hAnsi="Times New Roman" w:cs="Times New Roman"/>
        </w:rPr>
        <w:t xml:space="preserve">Issuers using tobacco rating factors must calibrate the </w:t>
      </w:r>
      <w:r w:rsidRPr="00EE3B6B" w:rsidR="00EA7EEB">
        <w:rPr>
          <w:rFonts w:ascii="Times New Roman" w:hAnsi="Times New Roman" w:cs="Times New Roman"/>
        </w:rPr>
        <w:t>PAIR</w:t>
      </w:r>
      <w:r w:rsidRPr="00EE3B6B">
        <w:rPr>
          <w:rFonts w:ascii="Times New Roman" w:hAnsi="Times New Roman" w:cs="Times New Roman"/>
        </w:rPr>
        <w:t xml:space="preserve"> to remove the portion of the cost expected to be recouped through the tobacco surcharge.  This adjustment should only reflect the expected surcharge collected for tobacco users.  In the event tobacco users enter a wellness program which reduces the tobacco user load applied, only the net impact on revenue should be </w:t>
      </w:r>
      <w:r w:rsidRPr="00EE3B6B">
        <w:rPr>
          <w:rFonts w:ascii="Times New Roman" w:hAnsi="Times New Roman" w:cs="Times New Roman"/>
        </w:rPr>
        <w:t>taken into account</w:t>
      </w:r>
      <w:r w:rsidRPr="00EE3B6B">
        <w:rPr>
          <w:rFonts w:ascii="Times New Roman" w:hAnsi="Times New Roman" w:cs="Times New Roman"/>
        </w:rPr>
        <w:t xml:space="preserve"> in the adjustment factor.</w:t>
      </w:r>
    </w:p>
    <w:p w:rsidR="00CA7134" w:rsidRPr="00EE3B6B" w:rsidP="006D1FD2" w14:paraId="2A313939" w14:textId="77777777">
      <w:pPr>
        <w:keepLines/>
        <w:spacing w:after="120" w:line="276" w:lineRule="auto"/>
        <w:rPr>
          <w:rFonts w:ascii="Times New Roman" w:hAnsi="Times New Roman" w:cs="Times New Roman"/>
        </w:rPr>
      </w:pPr>
      <w:r w:rsidRPr="00EE3B6B">
        <w:rPr>
          <w:rFonts w:ascii="Times New Roman" w:hAnsi="Times New Roman" w:cs="Times New Roman"/>
        </w:rPr>
        <w:t xml:space="preserve">Once the </w:t>
      </w:r>
      <w:r w:rsidRPr="00EE3B6B" w:rsidR="00F41F91">
        <w:rPr>
          <w:rFonts w:ascii="Times New Roman" w:hAnsi="Times New Roman" w:cs="Times New Roman"/>
        </w:rPr>
        <w:t>PAIR</w:t>
      </w:r>
      <w:r w:rsidRPr="00EE3B6B">
        <w:rPr>
          <w:rFonts w:ascii="Times New Roman" w:hAnsi="Times New Roman" w:cs="Times New Roman"/>
        </w:rPr>
        <w:t xml:space="preserve"> is calibrated to the </w:t>
      </w:r>
      <w:r w:rsidRPr="00EE3B6B" w:rsidR="00F41F91">
        <w:rPr>
          <w:rFonts w:ascii="Times New Roman" w:hAnsi="Times New Roman" w:cs="Times New Roman"/>
        </w:rPr>
        <w:t xml:space="preserve">1.0 factor on the </w:t>
      </w:r>
      <w:r w:rsidRPr="00EE3B6B">
        <w:rPr>
          <w:rFonts w:ascii="Times New Roman" w:hAnsi="Times New Roman" w:cs="Times New Roman"/>
        </w:rPr>
        <w:t xml:space="preserve">age curve and calibrated to the geographic rating area and tobacco use rating factors, the entire set of age rates is determined using the standard age factor of each age. The age factors must be the standard age curve set by HHS or a </w:t>
      </w:r>
      <w:r w:rsidRPr="00EE3B6B" w:rsidR="00A52393">
        <w:rPr>
          <w:rFonts w:ascii="Times New Roman" w:hAnsi="Times New Roman" w:cs="Times New Roman"/>
        </w:rPr>
        <w:t>s</w:t>
      </w:r>
      <w:r w:rsidRPr="00EE3B6B">
        <w:rPr>
          <w:rFonts w:ascii="Times New Roman" w:hAnsi="Times New Roman" w:cs="Times New Roman"/>
        </w:rPr>
        <w:t xml:space="preserve">tate specific age curve (if the </w:t>
      </w:r>
      <w:r w:rsidRPr="00EE3B6B" w:rsidR="00A52393">
        <w:rPr>
          <w:rFonts w:ascii="Times New Roman" w:hAnsi="Times New Roman" w:cs="Times New Roman"/>
        </w:rPr>
        <w:t>s</w:t>
      </w:r>
      <w:r w:rsidRPr="00EE3B6B">
        <w:rPr>
          <w:rFonts w:ascii="Times New Roman" w:hAnsi="Times New Roman" w:cs="Times New Roman"/>
        </w:rPr>
        <w:t xml:space="preserve">tate requires different age factors than the standard </w:t>
      </w:r>
      <w:r w:rsidRPr="00EE3B6B" w:rsidR="00DF2F3B">
        <w:rPr>
          <w:rFonts w:ascii="Times New Roman" w:hAnsi="Times New Roman" w:cs="Times New Roman"/>
        </w:rPr>
        <w:t>f</w:t>
      </w:r>
      <w:r w:rsidRPr="00EE3B6B">
        <w:rPr>
          <w:rFonts w:ascii="Times New Roman" w:hAnsi="Times New Roman" w:cs="Times New Roman"/>
        </w:rPr>
        <w:t>ederal age curve).</w:t>
      </w:r>
    </w:p>
    <w:p w:rsidR="00CA7134" w:rsidRPr="00EE3B6B" w:rsidP="006C6C1A" w14:paraId="3D6D1A4C" w14:textId="77777777">
      <w:pPr>
        <w:pStyle w:val="Heading3"/>
        <w:numPr>
          <w:ilvl w:val="0"/>
          <w:numId w:val="0"/>
        </w:numPr>
        <w:ind w:left="720" w:hanging="720"/>
      </w:pPr>
      <w:bookmarkStart w:id="63" w:name="_Toc174003444"/>
      <w:r w:rsidRPr="00EE3B6B">
        <w:t>4.4.6 Consumer Adjusted Premium Rate Development</w:t>
      </w:r>
      <w:bookmarkEnd w:id="63"/>
    </w:p>
    <w:p w:rsidR="00CA7134" w:rsidRPr="00EE3B6B" w:rsidP="006D1FD2" w14:paraId="1D96A03E" w14:textId="77777777">
      <w:pPr>
        <w:keepLines/>
        <w:spacing w:after="120" w:line="276" w:lineRule="auto"/>
        <w:rPr>
          <w:rFonts w:ascii="Times New Roman" w:hAnsi="Times New Roman" w:cs="Times New Roman"/>
        </w:rPr>
      </w:pPr>
      <w:r w:rsidRPr="00EE3B6B">
        <w:rPr>
          <w:rFonts w:ascii="Times New Roman" w:hAnsi="Times New Roman" w:cs="Times New Roman"/>
        </w:rPr>
        <w:t xml:space="preserve">The Actuarial Memorandum should describe how each allowable consumer level adjustment is applied to the </w:t>
      </w:r>
      <w:r w:rsidRPr="00EE3B6B" w:rsidR="003911A0">
        <w:rPr>
          <w:rFonts w:ascii="Times New Roman" w:hAnsi="Times New Roman" w:cs="Times New Roman"/>
        </w:rPr>
        <w:t>PAIR</w:t>
      </w:r>
      <w:r w:rsidRPr="00EE3B6B">
        <w:rPr>
          <w:rFonts w:ascii="Times New Roman" w:hAnsi="Times New Roman" w:cs="Times New Roman"/>
        </w:rPr>
        <w:t xml:space="preserve"> so that the reviewing actuary can readily use the information to approximate Consumer Adjusted Premium Rates filed by the issuer.</w:t>
      </w:r>
    </w:p>
    <w:p w:rsidR="00CA7134" w:rsidRPr="00EE3B6B" w:rsidP="006D1FD2" w14:paraId="368E1AB4" w14:textId="77777777">
      <w:pPr>
        <w:keepLines/>
        <w:spacing w:after="120" w:line="276" w:lineRule="auto"/>
        <w:rPr>
          <w:rFonts w:ascii="Times New Roman" w:hAnsi="Times New Roman" w:cs="Times New Roman"/>
        </w:rPr>
      </w:pPr>
      <w:r w:rsidRPr="00EE3B6B">
        <w:rPr>
          <w:rFonts w:ascii="Times New Roman" w:hAnsi="Times New Roman" w:cs="Times New Roman"/>
        </w:rPr>
        <w:t>The Consumer Adjusted Premium Rates are not displayed in the URRT.</w:t>
      </w:r>
    </w:p>
    <w:p w:rsidR="00171F4E" w:rsidRPr="00EE3B6B" w:rsidP="006C6C1A" w14:paraId="04A33D5E" w14:textId="77777777">
      <w:pPr>
        <w:pStyle w:val="Heading2"/>
        <w:numPr>
          <w:ilvl w:val="0"/>
          <w:numId w:val="0"/>
        </w:numPr>
        <w:ind w:left="360" w:hanging="360"/>
      </w:pPr>
      <w:bookmarkStart w:id="64" w:name="_Toc174003445"/>
      <w:r w:rsidRPr="00EE3B6B">
        <w:t>4.5 Projected Loss Ratio</w:t>
      </w:r>
      <w:bookmarkEnd w:id="64"/>
    </w:p>
    <w:p w:rsidR="00171F4E" w:rsidRPr="00EE3B6B" w:rsidP="006D1FD2" w14:paraId="0575E7B0" w14:textId="77777777">
      <w:pPr>
        <w:keepLines/>
        <w:spacing w:after="120" w:line="276" w:lineRule="auto"/>
        <w:rPr>
          <w:rFonts w:ascii="Times New Roman" w:hAnsi="Times New Roman" w:cs="Times New Roman"/>
        </w:rPr>
      </w:pPr>
      <w:r w:rsidRPr="00EE3B6B">
        <w:rPr>
          <w:rFonts w:ascii="Times New Roman" w:hAnsi="Times New Roman" w:cs="Times New Roman"/>
        </w:rPr>
        <w:t xml:space="preserve">Indicate the projected loss ratio using the </w:t>
      </w:r>
      <w:r w:rsidRPr="00EE3B6B" w:rsidR="00DF2F3B">
        <w:rPr>
          <w:rFonts w:ascii="Times New Roman" w:hAnsi="Times New Roman" w:cs="Times New Roman"/>
        </w:rPr>
        <w:t>f</w:t>
      </w:r>
      <w:r w:rsidRPr="00EE3B6B">
        <w:rPr>
          <w:rFonts w:ascii="Times New Roman" w:hAnsi="Times New Roman" w:cs="Times New Roman"/>
        </w:rPr>
        <w:t>ederally-prescribed</w:t>
      </w:r>
      <w:r w:rsidRPr="00EE3B6B">
        <w:rPr>
          <w:rFonts w:ascii="Times New Roman" w:hAnsi="Times New Roman" w:cs="Times New Roman"/>
        </w:rPr>
        <w:t xml:space="preserve"> MLR methodology. If the projected loss ratio is less than 80%, explain how the issuer plans to comply with the </w:t>
      </w:r>
      <w:r w:rsidRPr="00EE3B6B" w:rsidR="00DF2F3B">
        <w:rPr>
          <w:rFonts w:ascii="Times New Roman" w:hAnsi="Times New Roman" w:cs="Times New Roman"/>
        </w:rPr>
        <w:t>f</w:t>
      </w:r>
      <w:r w:rsidRPr="00EE3B6B">
        <w:rPr>
          <w:rFonts w:ascii="Times New Roman" w:hAnsi="Times New Roman" w:cs="Times New Roman"/>
        </w:rPr>
        <w:t>ederal MLR requirement found in Public Health Service Act (PHS Act) section 2718.</w:t>
      </w:r>
    </w:p>
    <w:p w:rsidR="00D81A14" w:rsidRPr="00EE3B6B" w:rsidP="006D1FD2" w14:paraId="174608AE" w14:textId="77777777">
      <w:pPr>
        <w:keepLines/>
        <w:spacing w:after="120" w:line="276" w:lineRule="auto"/>
        <w:rPr>
          <w:rFonts w:ascii="Times New Roman" w:hAnsi="Times New Roman" w:cs="Times New Roman"/>
        </w:rPr>
      </w:pPr>
      <w:r w:rsidRPr="00EE3B6B">
        <w:rPr>
          <w:rFonts w:ascii="Times New Roman" w:hAnsi="Times New Roman" w:cs="Times New Roman"/>
        </w:rPr>
        <w:t xml:space="preserve">If the </w:t>
      </w:r>
      <w:r w:rsidRPr="00EE3B6B" w:rsidR="00A52393">
        <w:rPr>
          <w:rFonts w:ascii="Times New Roman" w:hAnsi="Times New Roman" w:cs="Times New Roman"/>
        </w:rPr>
        <w:t>s</w:t>
      </w:r>
      <w:r w:rsidRPr="00EE3B6B">
        <w:rPr>
          <w:rFonts w:ascii="Times New Roman" w:hAnsi="Times New Roman" w:cs="Times New Roman"/>
        </w:rPr>
        <w:t>tate requires a projected loss ratio demonstration, then such a demonstration should also be included.</w:t>
      </w:r>
    </w:p>
    <w:p w:rsidR="006D4172" w:rsidRPr="00EE3B6B" w:rsidP="006C6C1A" w14:paraId="74C7C876" w14:textId="77777777">
      <w:pPr>
        <w:pStyle w:val="Heading2"/>
        <w:numPr>
          <w:ilvl w:val="0"/>
          <w:numId w:val="0"/>
        </w:numPr>
        <w:ind w:left="360" w:hanging="360"/>
      </w:pPr>
      <w:bookmarkStart w:id="65" w:name="_Toc174003446"/>
      <w:r w:rsidRPr="00EE3B6B">
        <w:t>4.</w:t>
      </w:r>
      <w:r w:rsidRPr="00EE3B6B" w:rsidR="003911A0">
        <w:t>6</w:t>
      </w:r>
      <w:r w:rsidRPr="00EE3B6B">
        <w:t xml:space="preserve"> Plan Product Information</w:t>
      </w:r>
      <w:bookmarkEnd w:id="65"/>
    </w:p>
    <w:p w:rsidR="006D4172" w:rsidRPr="00EE3B6B" w:rsidP="006C6C1A" w14:paraId="2F623B1F" w14:textId="77777777">
      <w:pPr>
        <w:pStyle w:val="Heading3"/>
        <w:numPr>
          <w:ilvl w:val="0"/>
          <w:numId w:val="0"/>
        </w:numPr>
        <w:ind w:left="720" w:hanging="720"/>
      </w:pPr>
      <w:bookmarkStart w:id="66" w:name="_Toc174003447"/>
      <w:r w:rsidRPr="00EE3B6B">
        <w:t>4.</w:t>
      </w:r>
      <w:r w:rsidRPr="00EE3B6B" w:rsidR="003911A0">
        <w:t>6</w:t>
      </w:r>
      <w:r w:rsidRPr="00EE3B6B">
        <w:t>.1 AV Metal Values</w:t>
      </w:r>
      <w:bookmarkEnd w:id="66"/>
    </w:p>
    <w:p w:rsidR="006D4172" w:rsidRPr="00EE3B6B" w:rsidP="006D1FD2" w14:paraId="6682EF99" w14:textId="77777777">
      <w:pPr>
        <w:keepLines/>
        <w:spacing w:after="120" w:line="276" w:lineRule="auto"/>
        <w:rPr>
          <w:rFonts w:ascii="Times New Roman" w:hAnsi="Times New Roman" w:cs="Times New Roman"/>
        </w:rPr>
      </w:pPr>
      <w:r w:rsidRPr="00EE3B6B">
        <w:rPr>
          <w:rFonts w:ascii="Times New Roman" w:hAnsi="Times New Roman" w:cs="Times New Roman"/>
        </w:rPr>
        <w:t xml:space="preserve">The issuer must describe whether the </w:t>
      </w:r>
      <w:r w:rsidRPr="00EE3B6B" w:rsidR="00344F9D">
        <w:rPr>
          <w:rFonts w:ascii="Times New Roman" w:hAnsi="Times New Roman" w:cs="Times New Roman"/>
        </w:rPr>
        <w:t xml:space="preserve">plan </w:t>
      </w:r>
      <w:r w:rsidRPr="00EE3B6B">
        <w:rPr>
          <w:rFonts w:ascii="Times New Roman" w:hAnsi="Times New Roman" w:cs="Times New Roman"/>
        </w:rPr>
        <w:t xml:space="preserve">AV Metal Values included in Worksheet 2 of the URRT were </w:t>
      </w:r>
      <w:r w:rsidRPr="00EE3B6B" w:rsidR="00344F9D">
        <w:rPr>
          <w:rFonts w:ascii="Times New Roman" w:hAnsi="Times New Roman" w:cs="Times New Roman"/>
        </w:rPr>
        <w:t xml:space="preserve">calculated using only </w:t>
      </w:r>
      <w:r w:rsidRPr="00EE3B6B">
        <w:rPr>
          <w:rFonts w:ascii="Times New Roman" w:hAnsi="Times New Roman" w:cs="Times New Roman"/>
        </w:rPr>
        <w:t>the AV Calculator or</w:t>
      </w:r>
      <w:r w:rsidRPr="00EE3B6B" w:rsidR="00344F9D">
        <w:rPr>
          <w:rFonts w:ascii="Times New Roman" w:hAnsi="Times New Roman" w:cs="Times New Roman"/>
        </w:rPr>
        <w:t xml:space="preserve">, if any plan designs are not compatible with the AV calculator, </w:t>
      </w:r>
      <w:r w:rsidRPr="00EE3B6B" w:rsidR="00261C53">
        <w:rPr>
          <w:rFonts w:ascii="Times New Roman" w:hAnsi="Times New Roman" w:cs="Times New Roman"/>
        </w:rPr>
        <w:t>describe the</w:t>
      </w:r>
      <w:r w:rsidRPr="00EE3B6B">
        <w:rPr>
          <w:rFonts w:ascii="Times New Roman" w:hAnsi="Times New Roman" w:cs="Times New Roman"/>
        </w:rPr>
        <w:t xml:space="preserve"> acceptable alternative methodology used to generate the AV Metal Value</w:t>
      </w:r>
      <w:r w:rsidRPr="00EE3B6B" w:rsidR="00261C53">
        <w:rPr>
          <w:rFonts w:ascii="Times New Roman" w:hAnsi="Times New Roman" w:cs="Times New Roman"/>
        </w:rPr>
        <w:t>.</w:t>
      </w:r>
      <w:r w:rsidRPr="00EE3B6B">
        <w:rPr>
          <w:rFonts w:ascii="Times New Roman" w:hAnsi="Times New Roman" w:cs="Times New Roman"/>
        </w:rPr>
        <w:t xml:space="preserve"> If an alternate methodology was </w:t>
      </w:r>
      <w:r w:rsidRPr="00EE3B6B" w:rsidR="00726667">
        <w:rPr>
          <w:rFonts w:ascii="Times New Roman" w:hAnsi="Times New Roman" w:cs="Times New Roman"/>
        </w:rPr>
        <w:t>us</w:t>
      </w:r>
      <w:r w:rsidRPr="00EE3B6B">
        <w:rPr>
          <w:rFonts w:ascii="Times New Roman" w:hAnsi="Times New Roman" w:cs="Times New Roman"/>
        </w:rPr>
        <w:t>ed to develop the AV Metal Value(s), the actuary must provide a copy of the actuarial certification required by 45 CFR 156.135. The certification must be signed by a member of the American Academy of Actuaries and must indicate that the values were developed in accordance with generally accepted actuarial principles and methodologies.</w:t>
      </w:r>
    </w:p>
    <w:p w:rsidR="006D4172" w:rsidRPr="00EE3B6B" w:rsidP="006D1FD2" w14:paraId="482EAA88" w14:textId="77777777">
      <w:pPr>
        <w:keepLines/>
        <w:spacing w:after="120" w:line="276" w:lineRule="auto"/>
        <w:rPr>
          <w:rFonts w:ascii="Times New Roman" w:hAnsi="Times New Roman" w:cs="Times New Roman"/>
        </w:rPr>
      </w:pPr>
      <w:r w:rsidRPr="00EE3B6B">
        <w:rPr>
          <w:rFonts w:ascii="Times New Roman" w:hAnsi="Times New Roman" w:cs="Times New Roman"/>
        </w:rPr>
        <w:t>The actuary must indicate the reason an alternate methodology was used, explain why the benefits for those plans for which an acceptable alternative methodology was used are not compatible with the AV Calculator, and state the chosen alternate methodology that was used for each applicable plan.</w:t>
      </w:r>
    </w:p>
    <w:p w:rsidR="006D4172" w:rsidRPr="00EE3B6B" w:rsidP="006C6C1A" w14:paraId="4150F71A" w14:textId="77777777">
      <w:pPr>
        <w:pStyle w:val="Heading3"/>
        <w:numPr>
          <w:ilvl w:val="0"/>
          <w:numId w:val="0"/>
        </w:numPr>
        <w:ind w:left="720" w:hanging="720"/>
      </w:pPr>
      <w:bookmarkStart w:id="67" w:name="_Toc174003448"/>
      <w:r w:rsidRPr="00EE3B6B">
        <w:t>4.</w:t>
      </w:r>
      <w:r w:rsidRPr="00EE3B6B" w:rsidR="003911A0">
        <w:t>6</w:t>
      </w:r>
      <w:r w:rsidRPr="00EE3B6B">
        <w:t>.</w:t>
      </w:r>
      <w:r w:rsidRPr="00EE3B6B" w:rsidR="005D0B16">
        <w:t>2</w:t>
      </w:r>
      <w:r w:rsidRPr="00EE3B6B">
        <w:t xml:space="preserve"> Membership Projections</w:t>
      </w:r>
      <w:bookmarkEnd w:id="67"/>
    </w:p>
    <w:p w:rsidR="006D4172" w:rsidRPr="00EE3B6B" w:rsidP="006D1FD2" w14:paraId="5A247629" w14:textId="77777777">
      <w:pPr>
        <w:keepLines/>
        <w:spacing w:after="120" w:line="276" w:lineRule="auto"/>
        <w:rPr>
          <w:rFonts w:ascii="Times New Roman" w:hAnsi="Times New Roman" w:cs="Times New Roman"/>
        </w:rPr>
      </w:pPr>
      <w:r w:rsidRPr="00EE3B6B">
        <w:rPr>
          <w:rFonts w:ascii="Times New Roman" w:hAnsi="Times New Roman" w:cs="Times New Roman"/>
        </w:rPr>
        <w:t>Describe how the membership projections found in Worksheet 2 of the URRT were developed. Items impacting these projections could include, but are not limited to, changes in the size of the market due to introduction of guaranteed availability requirements (individual market), the individual mandate, expansion of Medicaid, and the introduction of a Basic Health Program.</w:t>
      </w:r>
    </w:p>
    <w:p w:rsidR="006D4172" w:rsidRPr="00EE3B6B" w:rsidP="006D1FD2" w14:paraId="43D5FB4E" w14:textId="77777777">
      <w:pPr>
        <w:keepLines/>
        <w:spacing w:after="120" w:line="276" w:lineRule="auto"/>
        <w:rPr>
          <w:rFonts w:ascii="Times New Roman" w:hAnsi="Times New Roman" w:cs="Times New Roman"/>
        </w:rPr>
      </w:pPr>
      <w:r w:rsidRPr="00EE3B6B">
        <w:rPr>
          <w:rFonts w:ascii="Times New Roman" w:hAnsi="Times New Roman" w:cs="Times New Roman"/>
        </w:rPr>
        <w:t xml:space="preserve">Describe how projected member months by plan were developed relative to current membership by </w:t>
      </w:r>
      <w:r w:rsidRPr="00EE3B6B">
        <w:rPr>
          <w:rFonts w:ascii="Times New Roman" w:hAnsi="Times New Roman" w:cs="Times New Roman"/>
        </w:rPr>
        <w:t>plan</w:t>
      </w:r>
      <w:r w:rsidRPr="00EE3B6B" w:rsidR="00177EE8">
        <w:rPr>
          <w:rFonts w:ascii="Times New Roman" w:hAnsi="Times New Roman" w:cs="Times New Roman"/>
        </w:rPr>
        <w:t>,</w:t>
      </w:r>
      <w:r w:rsidRPr="00EE3B6B">
        <w:rPr>
          <w:rFonts w:ascii="Times New Roman" w:hAnsi="Times New Roman" w:cs="Times New Roman"/>
        </w:rPr>
        <w:t xml:space="preserve"> and</w:t>
      </w:r>
      <w:r w:rsidRPr="00EE3B6B">
        <w:rPr>
          <w:rFonts w:ascii="Times New Roman" w:hAnsi="Times New Roman" w:cs="Times New Roman"/>
        </w:rPr>
        <w:t xml:space="preserve"> explain any differences.</w:t>
      </w:r>
    </w:p>
    <w:p w:rsidR="006D4172" w:rsidRPr="00EE3B6B" w:rsidP="006D1FD2" w14:paraId="0316B535" w14:textId="77777777">
      <w:pPr>
        <w:keepLines/>
        <w:spacing w:after="120" w:line="276" w:lineRule="auto"/>
        <w:rPr>
          <w:rFonts w:ascii="Times New Roman" w:hAnsi="Times New Roman" w:cs="Times New Roman"/>
        </w:rPr>
      </w:pPr>
      <w:r w:rsidRPr="00EE3B6B">
        <w:rPr>
          <w:rFonts w:ascii="Times New Roman" w:hAnsi="Times New Roman" w:cs="Times New Roman"/>
        </w:rPr>
        <w:t>For Silver level plans in the individual or combined markets, describe the methodology used to estimate the portion of projected enrollment that will be eligible for cost-sharing reduction subsidies at each subsidy level.  State the resulting projected enrollment by plan and subsidy level.</w:t>
      </w:r>
    </w:p>
    <w:p w:rsidR="006D16B7" w:rsidRPr="00EE3B6B" w:rsidP="006C6C1A" w14:paraId="19326BE0" w14:textId="77777777">
      <w:pPr>
        <w:pStyle w:val="Heading3"/>
        <w:numPr>
          <w:ilvl w:val="0"/>
          <w:numId w:val="0"/>
        </w:numPr>
        <w:ind w:left="720" w:hanging="720"/>
      </w:pPr>
      <w:bookmarkStart w:id="68" w:name="_Toc174003449"/>
      <w:r w:rsidRPr="00EE3B6B">
        <w:t>4.6.3 Terminated Plans and Products</w:t>
      </w:r>
      <w:bookmarkEnd w:id="68"/>
    </w:p>
    <w:p w:rsidR="006D16B7" w:rsidRPr="00EE3B6B" w:rsidP="006D1FD2" w14:paraId="3E613E01" w14:textId="77777777">
      <w:pPr>
        <w:keepLines/>
        <w:spacing w:after="120" w:line="276" w:lineRule="auto"/>
        <w:rPr>
          <w:rFonts w:ascii="Times New Roman" w:hAnsi="Times New Roman" w:cs="Times New Roman"/>
        </w:rPr>
      </w:pPr>
      <w:r w:rsidRPr="00EE3B6B">
        <w:rPr>
          <w:rFonts w:ascii="Times New Roman" w:hAnsi="Times New Roman" w:cs="Times New Roman"/>
        </w:rPr>
        <w:t xml:space="preserve">Include a list of terminated plans and any mappings to existing or new plans. List the name of each plan and product that will be terminated prior to the effective date. Include plans and products that have experience included in the single risk pool during the experience period and any products that were not in effect during the experience period but were made available thereafter. If a terminated plan will be mapped to a different plan in the projection period, the issuer must provide a </w:t>
      </w:r>
      <w:r w:rsidRPr="00EE3B6B">
        <w:rPr>
          <w:rFonts w:ascii="Times New Roman" w:hAnsi="Times New Roman" w:cs="Times New Roman"/>
        </w:rPr>
        <w:t>cross-walk</w:t>
      </w:r>
      <w:r w:rsidRPr="00EE3B6B">
        <w:rPr>
          <w:rFonts w:ascii="Times New Roman" w:hAnsi="Times New Roman" w:cs="Times New Roman"/>
        </w:rPr>
        <w:t xml:space="preserve"> between the terminated plan(s) and the new plan(s).</w:t>
      </w:r>
    </w:p>
    <w:p w:rsidR="009D7498" w:rsidRPr="00EE3B6B" w:rsidP="006C6C1A" w14:paraId="33947DBD" w14:textId="77777777">
      <w:pPr>
        <w:pStyle w:val="Heading3"/>
        <w:numPr>
          <w:ilvl w:val="0"/>
          <w:numId w:val="0"/>
        </w:numPr>
        <w:ind w:left="720" w:hanging="720"/>
      </w:pPr>
      <w:bookmarkStart w:id="69" w:name="_Toc174003450"/>
      <w:r w:rsidRPr="00EE3B6B">
        <w:t>4.</w:t>
      </w:r>
      <w:r w:rsidRPr="00EE3B6B" w:rsidR="003911A0">
        <w:t>6</w:t>
      </w:r>
      <w:r w:rsidRPr="00EE3B6B">
        <w:t>.</w:t>
      </w:r>
      <w:r w:rsidRPr="00EE3B6B" w:rsidR="006D16B7">
        <w:t>4</w:t>
      </w:r>
      <w:r w:rsidRPr="00EE3B6B">
        <w:t xml:space="preserve"> Plan Type</w:t>
      </w:r>
      <w:bookmarkEnd w:id="69"/>
    </w:p>
    <w:p w:rsidR="009D7498" w:rsidRPr="00EE3B6B" w:rsidP="006D1FD2" w14:paraId="62A8792D" w14:textId="77777777">
      <w:pPr>
        <w:keepLines/>
        <w:spacing w:after="120" w:line="276" w:lineRule="auto"/>
        <w:rPr>
          <w:rFonts w:ascii="Times New Roman" w:hAnsi="Times New Roman" w:cs="Times New Roman"/>
        </w:rPr>
      </w:pPr>
      <w:r w:rsidRPr="00EE3B6B">
        <w:rPr>
          <w:rFonts w:ascii="Times New Roman" w:hAnsi="Times New Roman" w:cs="Times New Roman"/>
        </w:rPr>
        <w:t>In the event that</w:t>
      </w:r>
      <w:r w:rsidRPr="00EE3B6B">
        <w:rPr>
          <w:rFonts w:ascii="Times New Roman" w:hAnsi="Times New Roman" w:cs="Times New Roman"/>
        </w:rPr>
        <w:t xml:space="preserve"> the plan types listed in the drop-down box in Worksheet 2, Section I of the URRT do not describe an issuer’s plan exactly</w:t>
      </w:r>
      <w:r w:rsidRPr="00EE3B6B" w:rsidR="00177EE8">
        <w:rPr>
          <w:rFonts w:ascii="Times New Roman" w:hAnsi="Times New Roman" w:cs="Times New Roman"/>
        </w:rPr>
        <w:t>,</w:t>
      </w:r>
      <w:r w:rsidRPr="00EE3B6B">
        <w:rPr>
          <w:rFonts w:ascii="Times New Roman" w:hAnsi="Times New Roman" w:cs="Times New Roman"/>
        </w:rPr>
        <w:t xml:space="preserve"> and the issuer has selected the closest plan available, per the instructions, please describe the differences between the issuer’s plan and the plan type selected.</w:t>
      </w:r>
    </w:p>
    <w:p w:rsidR="009D7498" w:rsidRPr="00EE3B6B" w:rsidP="006C6C1A" w14:paraId="743D920E" w14:textId="77777777">
      <w:pPr>
        <w:pStyle w:val="Heading2"/>
        <w:numPr>
          <w:ilvl w:val="0"/>
          <w:numId w:val="0"/>
        </w:numPr>
        <w:ind w:left="360" w:hanging="360"/>
      </w:pPr>
      <w:bookmarkStart w:id="70" w:name="_Toc174003451"/>
      <w:r w:rsidRPr="00EE3B6B">
        <w:t>4.</w:t>
      </w:r>
      <w:r w:rsidRPr="00EE3B6B" w:rsidR="00343CBF">
        <w:t>7</w:t>
      </w:r>
      <w:r w:rsidRPr="00EE3B6B">
        <w:t xml:space="preserve"> Miscellaneous Instructions</w:t>
      </w:r>
      <w:bookmarkEnd w:id="70"/>
    </w:p>
    <w:p w:rsidR="009D7498" w:rsidRPr="00EE3B6B" w:rsidP="006C6C1A" w14:paraId="791913B3" w14:textId="77777777">
      <w:pPr>
        <w:pStyle w:val="Heading3"/>
        <w:numPr>
          <w:ilvl w:val="0"/>
          <w:numId w:val="0"/>
        </w:numPr>
        <w:ind w:left="720" w:hanging="720"/>
      </w:pPr>
      <w:bookmarkStart w:id="71" w:name="_Toc174003452"/>
      <w:r w:rsidRPr="00EE3B6B">
        <w:t>4.</w:t>
      </w:r>
      <w:r w:rsidRPr="00EE3B6B" w:rsidR="00343CBF">
        <w:t>7</w:t>
      </w:r>
      <w:r w:rsidRPr="00EE3B6B">
        <w:t>.1 Effective Rate Review Information (Optional)</w:t>
      </w:r>
      <w:bookmarkEnd w:id="71"/>
    </w:p>
    <w:p w:rsidR="009D7498" w:rsidRPr="00EE3B6B" w:rsidP="006D1FD2" w14:paraId="5215BA87" w14:textId="77777777">
      <w:pPr>
        <w:keepLines/>
        <w:spacing w:after="120" w:line="276" w:lineRule="auto"/>
        <w:rPr>
          <w:rFonts w:ascii="Times New Roman" w:hAnsi="Times New Roman" w:cs="Times New Roman"/>
        </w:rPr>
      </w:pPr>
      <w:r w:rsidRPr="00EE3B6B">
        <w:rPr>
          <w:rFonts w:ascii="Times New Roman" w:hAnsi="Times New Roman" w:cs="Times New Roman"/>
        </w:rPr>
        <w:t xml:space="preserve">45 CFR 154.301 describes the elements of an Effective Rate Review Program. There are elements of an effective rate review for which the data needed to perform the review is not explicitly shown on </w:t>
      </w:r>
      <w:r w:rsidRPr="00EE3B6B" w:rsidR="00EF773F">
        <w:rPr>
          <w:rFonts w:ascii="Times New Roman" w:hAnsi="Times New Roman" w:cs="Times New Roman"/>
        </w:rPr>
        <w:t xml:space="preserve">the </w:t>
      </w:r>
      <w:r w:rsidRPr="00EE3B6B">
        <w:rPr>
          <w:rFonts w:ascii="Times New Roman" w:hAnsi="Times New Roman" w:cs="Times New Roman"/>
        </w:rPr>
        <w:t xml:space="preserve">URRT (e.g., the health insurance issuer’s capital and surplus). Issuers may optionally provide additional information to facilitate an effective review of the submitted rate increase(s). While this information is optional, providing the information with the initial submission reduces the likelihood of the reviewer requesting supplemental information </w:t>
      </w:r>
      <w:r w:rsidRPr="00EE3B6B">
        <w:rPr>
          <w:rFonts w:ascii="Times New Roman" w:hAnsi="Times New Roman" w:cs="Times New Roman"/>
        </w:rPr>
        <w:t>during the course of</w:t>
      </w:r>
      <w:r w:rsidRPr="00EE3B6B">
        <w:rPr>
          <w:rFonts w:ascii="Times New Roman" w:hAnsi="Times New Roman" w:cs="Times New Roman"/>
        </w:rPr>
        <w:t xml:space="preserve"> the rate review. In addition, </w:t>
      </w:r>
      <w:r w:rsidRPr="00EE3B6B" w:rsidR="00A52393">
        <w:rPr>
          <w:rFonts w:ascii="Times New Roman" w:hAnsi="Times New Roman" w:cs="Times New Roman"/>
        </w:rPr>
        <w:t>s</w:t>
      </w:r>
      <w:r w:rsidRPr="00EE3B6B">
        <w:rPr>
          <w:rFonts w:ascii="Times New Roman" w:hAnsi="Times New Roman" w:cs="Times New Roman"/>
        </w:rPr>
        <w:t xml:space="preserve">tates may have additional data requirements. Additional </w:t>
      </w:r>
      <w:r w:rsidRPr="00EE3B6B" w:rsidR="0031098E">
        <w:rPr>
          <w:rFonts w:ascii="Times New Roman" w:hAnsi="Times New Roman" w:cs="Times New Roman"/>
        </w:rPr>
        <w:t>s</w:t>
      </w:r>
      <w:r w:rsidRPr="00EE3B6B">
        <w:rPr>
          <w:rFonts w:ascii="Times New Roman" w:hAnsi="Times New Roman" w:cs="Times New Roman"/>
        </w:rPr>
        <w:t>tate</w:t>
      </w:r>
      <w:r w:rsidRPr="00EE3B6B" w:rsidR="0031098E">
        <w:rPr>
          <w:rFonts w:ascii="Times New Roman" w:hAnsi="Times New Roman" w:cs="Times New Roman"/>
        </w:rPr>
        <w:t>-</w:t>
      </w:r>
      <w:r w:rsidRPr="00EE3B6B">
        <w:rPr>
          <w:rFonts w:ascii="Times New Roman" w:hAnsi="Times New Roman" w:cs="Times New Roman"/>
        </w:rPr>
        <w:t>specific required data may be submitted with the URR submission.</w:t>
      </w:r>
    </w:p>
    <w:p w:rsidR="009D7498" w:rsidRPr="00EE3B6B" w:rsidP="006C6C1A" w14:paraId="26A1BAAA" w14:textId="77777777">
      <w:pPr>
        <w:pStyle w:val="Heading3"/>
        <w:numPr>
          <w:ilvl w:val="0"/>
          <w:numId w:val="0"/>
        </w:numPr>
        <w:ind w:left="720" w:hanging="720"/>
      </w:pPr>
      <w:bookmarkStart w:id="72" w:name="_Toc174003453"/>
      <w:r w:rsidRPr="00EE3B6B">
        <w:t>4.</w:t>
      </w:r>
      <w:r w:rsidRPr="00EE3B6B" w:rsidR="00343CBF">
        <w:t>7</w:t>
      </w:r>
      <w:r w:rsidRPr="00EE3B6B">
        <w:t>.2 Reliance</w:t>
      </w:r>
      <w:bookmarkEnd w:id="72"/>
    </w:p>
    <w:p w:rsidR="00BF7AEF" w:rsidRPr="00EE3B6B" w:rsidP="006D1FD2" w14:paraId="2582DBA2" w14:textId="77777777">
      <w:pPr>
        <w:keepLines/>
        <w:spacing w:after="120" w:line="276" w:lineRule="auto"/>
        <w:rPr>
          <w:rFonts w:ascii="Times New Roman" w:hAnsi="Times New Roman" w:cs="Times New Roman"/>
        </w:rPr>
      </w:pPr>
      <w:r w:rsidRPr="00EE3B6B">
        <w:rPr>
          <w:rFonts w:ascii="Times New Roman" w:hAnsi="Times New Roman" w:cs="Times New Roman"/>
        </w:rPr>
        <w:t xml:space="preserve">If, in preparing the URRT submission, the certifying actuary relied on any information or underlying assumptions provided by another individual, the information relied upon and the name of the individual providing that information </w:t>
      </w:r>
      <w:r w:rsidRPr="00EE3B6B" w:rsidR="00235537">
        <w:rPr>
          <w:rFonts w:ascii="Times New Roman" w:hAnsi="Times New Roman" w:cs="Times New Roman"/>
        </w:rPr>
        <w:t>should</w:t>
      </w:r>
      <w:r w:rsidRPr="00EE3B6B">
        <w:rPr>
          <w:rFonts w:ascii="Times New Roman" w:hAnsi="Times New Roman" w:cs="Times New Roman"/>
        </w:rPr>
        <w:t xml:space="preserve"> be disclosed.</w:t>
      </w:r>
    </w:p>
    <w:p w:rsidR="00BF7AEF" w:rsidRPr="00EE3B6B" w:rsidP="006C6C1A" w14:paraId="2830A175" w14:textId="77777777">
      <w:pPr>
        <w:pStyle w:val="Heading3"/>
        <w:numPr>
          <w:ilvl w:val="0"/>
          <w:numId w:val="0"/>
        </w:numPr>
        <w:ind w:left="720" w:hanging="720"/>
      </w:pPr>
      <w:bookmarkStart w:id="73" w:name="_Toc174003454"/>
      <w:r w:rsidRPr="00EE3B6B">
        <w:t>4.</w:t>
      </w:r>
      <w:r w:rsidRPr="00EE3B6B" w:rsidR="00343CBF">
        <w:t>7</w:t>
      </w:r>
      <w:r w:rsidRPr="00EE3B6B">
        <w:t>.3 Actuarial Certification</w:t>
      </w:r>
      <w:bookmarkEnd w:id="73"/>
    </w:p>
    <w:p w:rsidR="00BF7AEF" w:rsidRPr="00EE3B6B" w:rsidP="006D1FD2" w14:paraId="6CAEC38B" w14:textId="77777777">
      <w:pPr>
        <w:keepLines/>
        <w:spacing w:after="120" w:line="276" w:lineRule="auto"/>
        <w:rPr>
          <w:rFonts w:ascii="Times New Roman" w:hAnsi="Times New Roman" w:cs="Times New Roman"/>
        </w:rPr>
      </w:pPr>
      <w:r w:rsidRPr="00EE3B6B">
        <w:rPr>
          <w:rFonts w:ascii="Times New Roman" w:hAnsi="Times New Roman" w:cs="Times New Roman"/>
        </w:rPr>
        <w:t>An actuarial certification must be provided for the following</w:t>
      </w:r>
      <w:r w:rsidRPr="00EE3B6B" w:rsidR="00BF00F5">
        <w:rPr>
          <w:rFonts w:ascii="Times New Roman" w:hAnsi="Times New Roman" w:cs="Times New Roman"/>
        </w:rPr>
        <w:t>:</w:t>
      </w:r>
    </w:p>
    <w:p w:rsidR="00BF7AEF" w:rsidRPr="00EE3B6B" w:rsidP="006D1FD2" w14:paraId="079094A0" w14:textId="77777777">
      <w:pPr>
        <w:pStyle w:val="ListParagraph"/>
        <w:keepLines/>
        <w:numPr>
          <w:ilvl w:val="0"/>
          <w:numId w:val="46"/>
        </w:numPr>
        <w:spacing w:after="120" w:line="276" w:lineRule="auto"/>
        <w:rPr>
          <w:rFonts w:ascii="Times New Roman" w:hAnsi="Times New Roman" w:cs="Times New Roman"/>
        </w:rPr>
      </w:pPr>
      <w:r w:rsidRPr="00EE3B6B">
        <w:rPr>
          <w:rFonts w:ascii="Times New Roman" w:hAnsi="Times New Roman" w:cs="Times New Roman"/>
        </w:rPr>
        <w:t>The methodology used to calculate the AV Metal Value for each plan.</w:t>
      </w:r>
    </w:p>
    <w:p w:rsidR="00BF7AEF" w:rsidRPr="00EE3B6B" w:rsidP="006D1FD2" w14:paraId="50A26B9B" w14:textId="77777777">
      <w:pPr>
        <w:pStyle w:val="ListParagraph"/>
        <w:keepLines/>
        <w:numPr>
          <w:ilvl w:val="0"/>
          <w:numId w:val="46"/>
        </w:numPr>
        <w:spacing w:after="120" w:line="276" w:lineRule="auto"/>
        <w:rPr>
          <w:rFonts w:ascii="Times New Roman" w:hAnsi="Times New Roman" w:cs="Times New Roman"/>
        </w:rPr>
      </w:pPr>
      <w:r w:rsidRPr="00EE3B6B">
        <w:rPr>
          <w:rFonts w:ascii="Times New Roman" w:hAnsi="Times New Roman" w:cs="Times New Roman"/>
        </w:rPr>
        <w:t xml:space="preserve">The </w:t>
      </w:r>
      <w:r w:rsidRPr="00EE3B6B" w:rsidR="00C66220">
        <w:rPr>
          <w:rFonts w:ascii="Times New Roman" w:hAnsi="Times New Roman" w:cs="Times New Roman"/>
        </w:rPr>
        <w:t>Index Rate</w:t>
      </w:r>
      <w:r w:rsidRPr="00EE3B6B">
        <w:rPr>
          <w:rFonts w:ascii="Times New Roman" w:hAnsi="Times New Roman" w:cs="Times New Roman"/>
        </w:rPr>
        <w:t xml:space="preserve"> is developed in accordance with </w:t>
      </w:r>
      <w:r w:rsidRPr="00EE3B6B" w:rsidR="00DF2F3B">
        <w:rPr>
          <w:rFonts w:ascii="Times New Roman" w:hAnsi="Times New Roman" w:cs="Times New Roman"/>
        </w:rPr>
        <w:t>f</w:t>
      </w:r>
      <w:r w:rsidRPr="00EE3B6B">
        <w:rPr>
          <w:rFonts w:ascii="Times New Roman" w:hAnsi="Times New Roman" w:cs="Times New Roman"/>
        </w:rPr>
        <w:t xml:space="preserve">ederal regulations and the </w:t>
      </w:r>
      <w:r w:rsidRPr="00EE3B6B" w:rsidR="00C66220">
        <w:rPr>
          <w:rFonts w:ascii="Times New Roman" w:hAnsi="Times New Roman" w:cs="Times New Roman"/>
        </w:rPr>
        <w:t>Index Rate</w:t>
      </w:r>
      <w:r w:rsidRPr="00EE3B6B">
        <w:rPr>
          <w:rFonts w:ascii="Times New Roman" w:hAnsi="Times New Roman" w:cs="Times New Roman"/>
        </w:rPr>
        <w:t xml:space="preserve"> along with allowable modifiers are used in the development of plan specific premium rates.</w:t>
      </w:r>
    </w:p>
    <w:p w:rsidR="00BF7AEF" w:rsidRPr="00EE3B6B" w:rsidP="006D1FD2" w14:paraId="0206FCF8" w14:textId="77777777">
      <w:pPr>
        <w:pStyle w:val="ListParagraph"/>
        <w:keepLines/>
        <w:numPr>
          <w:ilvl w:val="0"/>
          <w:numId w:val="46"/>
        </w:numPr>
        <w:spacing w:after="120" w:line="276" w:lineRule="auto"/>
        <w:rPr>
          <w:rFonts w:ascii="Times New Roman" w:hAnsi="Times New Roman" w:cs="Times New Roman"/>
        </w:rPr>
      </w:pPr>
      <w:r w:rsidRPr="00EE3B6B">
        <w:rPr>
          <w:rFonts w:ascii="Times New Roman" w:hAnsi="Times New Roman" w:cs="Times New Roman"/>
        </w:rPr>
        <w:t>The geographic rating factors reflect only differences in the costs of delivery (which can include unit cost and provider practice pattern differences) and do not include differences for population morbidity by geographic area.</w:t>
      </w:r>
    </w:p>
    <w:p w:rsidR="00BF7AEF" w:rsidRPr="00EE3B6B" w:rsidP="006D1FD2" w14:paraId="61235988" w14:textId="77777777">
      <w:pPr>
        <w:keepLines/>
        <w:spacing w:after="120" w:line="276" w:lineRule="auto"/>
        <w:rPr>
          <w:rFonts w:ascii="Times New Roman" w:hAnsi="Times New Roman" w:cs="Times New Roman"/>
        </w:rPr>
      </w:pPr>
      <w:r w:rsidRPr="00EE3B6B">
        <w:rPr>
          <w:rFonts w:ascii="Times New Roman" w:hAnsi="Times New Roman" w:cs="Times New Roman"/>
        </w:rPr>
        <w:t>State</w:t>
      </w:r>
      <w:r w:rsidRPr="00EE3B6B" w:rsidR="00915FCC">
        <w:rPr>
          <w:rFonts w:ascii="Times New Roman" w:hAnsi="Times New Roman" w:cs="Times New Roman"/>
        </w:rPr>
        <w:t>-</w:t>
      </w:r>
      <w:r w:rsidRPr="00EE3B6B">
        <w:rPr>
          <w:rFonts w:ascii="Times New Roman" w:hAnsi="Times New Roman" w:cs="Times New Roman"/>
        </w:rPr>
        <w:t>specific required information or certifications may also be included at the actuary’s discretion</w:t>
      </w:r>
      <w:r w:rsidRPr="00EE3B6B" w:rsidR="00EF773F">
        <w:rPr>
          <w:rFonts w:ascii="Times New Roman" w:hAnsi="Times New Roman" w:cs="Times New Roman"/>
        </w:rPr>
        <w:t xml:space="preserve"> to prevent the need for creating multiple Actuarial Memorandums for the same filing</w:t>
      </w:r>
      <w:r w:rsidRPr="00EE3B6B">
        <w:rPr>
          <w:rFonts w:ascii="Times New Roman" w:hAnsi="Times New Roman" w:cs="Times New Roman"/>
        </w:rPr>
        <w:t xml:space="preserve">. If an actuary chooses to exclude </w:t>
      </w:r>
      <w:r w:rsidRPr="00EE3B6B" w:rsidR="00915FCC">
        <w:rPr>
          <w:rFonts w:ascii="Times New Roman" w:hAnsi="Times New Roman" w:cs="Times New Roman"/>
        </w:rPr>
        <w:t>s</w:t>
      </w:r>
      <w:r w:rsidRPr="00EE3B6B" w:rsidR="00EF773F">
        <w:rPr>
          <w:rFonts w:ascii="Times New Roman" w:hAnsi="Times New Roman" w:cs="Times New Roman"/>
        </w:rPr>
        <w:t>tate-</w:t>
      </w:r>
      <w:r w:rsidRPr="00EE3B6B" w:rsidR="00915FCC">
        <w:rPr>
          <w:rFonts w:ascii="Times New Roman" w:hAnsi="Times New Roman" w:cs="Times New Roman"/>
        </w:rPr>
        <w:t xml:space="preserve">specific </w:t>
      </w:r>
      <w:r w:rsidRPr="00EE3B6B" w:rsidR="00EF773F">
        <w:rPr>
          <w:rFonts w:ascii="Times New Roman" w:hAnsi="Times New Roman" w:cs="Times New Roman"/>
        </w:rPr>
        <w:t>required</w:t>
      </w:r>
      <w:r w:rsidRPr="00EE3B6B">
        <w:rPr>
          <w:rFonts w:ascii="Times New Roman" w:hAnsi="Times New Roman" w:cs="Times New Roman"/>
        </w:rPr>
        <w:t xml:space="preserve"> information from the Actuarial Memorandum, this information </w:t>
      </w:r>
      <w:r w:rsidRPr="00EE3B6B">
        <w:rPr>
          <w:rFonts w:ascii="Times New Roman" w:hAnsi="Times New Roman" w:cs="Times New Roman"/>
        </w:rPr>
        <w:t>would</w:t>
      </w:r>
      <w:r w:rsidRPr="00EE3B6B">
        <w:rPr>
          <w:rFonts w:ascii="Times New Roman" w:hAnsi="Times New Roman" w:cs="Times New Roman"/>
        </w:rPr>
        <w:t xml:space="preserve"> need to be provided to the </w:t>
      </w:r>
      <w:r w:rsidRPr="00EE3B6B" w:rsidR="00915FCC">
        <w:rPr>
          <w:rFonts w:ascii="Times New Roman" w:hAnsi="Times New Roman" w:cs="Times New Roman"/>
        </w:rPr>
        <w:t>s</w:t>
      </w:r>
      <w:r w:rsidRPr="00EE3B6B">
        <w:rPr>
          <w:rFonts w:ascii="Times New Roman" w:hAnsi="Times New Roman" w:cs="Times New Roman"/>
        </w:rPr>
        <w:t>tate regulatory agency under separate cover.</w:t>
      </w:r>
    </w:p>
    <w:p w:rsidR="00BF7AEF" w:rsidRPr="00EE3B6B" w:rsidP="006D1FD2" w14:paraId="242EB364" w14:textId="77777777">
      <w:pPr>
        <w:keepLines/>
        <w:spacing w:after="120" w:line="276" w:lineRule="auto"/>
        <w:rPr>
          <w:rFonts w:ascii="Times New Roman" w:hAnsi="Times New Roman" w:cs="Times New Roman"/>
        </w:rPr>
      </w:pPr>
      <w:r w:rsidRPr="00EE3B6B">
        <w:rPr>
          <w:rFonts w:ascii="Times New Roman" w:hAnsi="Times New Roman" w:cs="Times New Roman"/>
        </w:rPr>
        <w:t>The opining actuary must be a member of the American Academy of Actuaries, in good standing, and have the education and experience necessary to perform the work. The actuary must develop rates in accordance with the appropriate Actuarial Standards of Practice (ASOPs) and the profession’s Code of Professional Conduct.  While other ASOPs apply, particular emphasis is placed on the following:</w:t>
      </w:r>
    </w:p>
    <w:p w:rsidR="00BF7AEF" w:rsidRPr="00EE3B6B" w:rsidP="006D1FD2" w14:paraId="2EA4CCE9" w14:textId="77777777">
      <w:pPr>
        <w:pStyle w:val="ListParagraph"/>
        <w:keepLines/>
        <w:numPr>
          <w:ilvl w:val="0"/>
          <w:numId w:val="47"/>
        </w:numPr>
        <w:spacing w:after="120" w:line="276" w:lineRule="auto"/>
        <w:rPr>
          <w:rFonts w:ascii="Times New Roman" w:hAnsi="Times New Roman" w:cs="Times New Roman"/>
        </w:rPr>
      </w:pPr>
      <w:r w:rsidRPr="00EE3B6B">
        <w:rPr>
          <w:rFonts w:ascii="Times New Roman" w:hAnsi="Times New Roman" w:cs="Times New Roman"/>
        </w:rPr>
        <w:t xml:space="preserve">ASOP No. 5, </w:t>
      </w:r>
      <w:r w:rsidRPr="00EE3B6B">
        <w:rPr>
          <w:rFonts w:ascii="Times New Roman" w:hAnsi="Times New Roman" w:cs="Times New Roman"/>
          <w:i/>
        </w:rPr>
        <w:t>Incurred Health and Disability Claims</w:t>
      </w:r>
    </w:p>
    <w:p w:rsidR="00BF7AEF" w:rsidRPr="00EE3B6B" w:rsidP="006D1FD2" w14:paraId="0355C85C" w14:textId="77777777">
      <w:pPr>
        <w:pStyle w:val="ListParagraph"/>
        <w:keepLines/>
        <w:numPr>
          <w:ilvl w:val="0"/>
          <w:numId w:val="47"/>
        </w:numPr>
        <w:spacing w:after="120" w:line="276" w:lineRule="auto"/>
        <w:rPr>
          <w:rFonts w:ascii="Times New Roman" w:hAnsi="Times New Roman" w:cs="Times New Roman"/>
        </w:rPr>
      </w:pPr>
      <w:r w:rsidRPr="00EE3B6B">
        <w:rPr>
          <w:rFonts w:ascii="Times New Roman" w:hAnsi="Times New Roman" w:cs="Times New Roman"/>
        </w:rPr>
        <w:t xml:space="preserve">ASOP No. 8, </w:t>
      </w:r>
      <w:r w:rsidRPr="00EE3B6B">
        <w:rPr>
          <w:rFonts w:ascii="Times New Roman" w:hAnsi="Times New Roman" w:cs="Times New Roman"/>
          <w:i/>
        </w:rPr>
        <w:t xml:space="preserve">Regulatory Filings for Health </w:t>
      </w:r>
      <w:r w:rsidRPr="00EE3B6B" w:rsidR="00EF773F">
        <w:rPr>
          <w:rFonts w:ascii="Times New Roman" w:hAnsi="Times New Roman" w:cs="Times New Roman"/>
          <w:i/>
        </w:rPr>
        <w:t>Benefits, Accident and Health Insurance, and Entities Providing Health Benefits</w:t>
      </w:r>
    </w:p>
    <w:p w:rsidR="00BF7AEF" w:rsidRPr="00EE3B6B" w:rsidP="006D1FD2" w14:paraId="0CF4305D" w14:textId="77777777">
      <w:pPr>
        <w:pStyle w:val="ListParagraph"/>
        <w:keepLines/>
        <w:numPr>
          <w:ilvl w:val="0"/>
          <w:numId w:val="47"/>
        </w:numPr>
        <w:spacing w:after="120" w:line="276" w:lineRule="auto"/>
        <w:rPr>
          <w:rFonts w:ascii="Times New Roman" w:hAnsi="Times New Roman" w:cs="Times New Roman"/>
        </w:rPr>
      </w:pPr>
      <w:r w:rsidRPr="00EE3B6B">
        <w:rPr>
          <w:rFonts w:ascii="Times New Roman" w:hAnsi="Times New Roman" w:cs="Times New Roman"/>
        </w:rPr>
        <w:t xml:space="preserve">ASOP No. 12, </w:t>
      </w:r>
      <w:r w:rsidRPr="00EE3B6B">
        <w:rPr>
          <w:rFonts w:ascii="Times New Roman" w:hAnsi="Times New Roman" w:cs="Times New Roman"/>
          <w:i/>
        </w:rPr>
        <w:t>Risk Classification</w:t>
      </w:r>
    </w:p>
    <w:p w:rsidR="00BF7AEF" w:rsidRPr="00EE3B6B" w:rsidP="006D1FD2" w14:paraId="0EF02971" w14:textId="77777777">
      <w:pPr>
        <w:pStyle w:val="ListParagraph"/>
        <w:keepLines/>
        <w:numPr>
          <w:ilvl w:val="0"/>
          <w:numId w:val="47"/>
        </w:numPr>
        <w:spacing w:after="120" w:line="276" w:lineRule="auto"/>
        <w:rPr>
          <w:rFonts w:ascii="Times New Roman" w:hAnsi="Times New Roman" w:cs="Times New Roman"/>
        </w:rPr>
      </w:pPr>
      <w:r w:rsidRPr="00EE3B6B">
        <w:rPr>
          <w:rFonts w:ascii="Times New Roman" w:hAnsi="Times New Roman" w:cs="Times New Roman"/>
        </w:rPr>
        <w:t xml:space="preserve">ASOP No. 23, </w:t>
      </w:r>
      <w:r w:rsidRPr="00EE3B6B">
        <w:rPr>
          <w:rFonts w:ascii="Times New Roman" w:hAnsi="Times New Roman" w:cs="Times New Roman"/>
          <w:i/>
        </w:rPr>
        <w:t>Data Quality</w:t>
      </w:r>
    </w:p>
    <w:p w:rsidR="00BF7AEF" w:rsidRPr="00EE3B6B" w:rsidP="006D1FD2" w14:paraId="2E729CBC" w14:textId="77777777">
      <w:pPr>
        <w:pStyle w:val="ListParagraph"/>
        <w:keepLines/>
        <w:numPr>
          <w:ilvl w:val="0"/>
          <w:numId w:val="47"/>
        </w:numPr>
        <w:spacing w:after="120" w:line="276" w:lineRule="auto"/>
        <w:rPr>
          <w:rFonts w:ascii="Times New Roman" w:hAnsi="Times New Roman" w:cs="Times New Roman"/>
        </w:rPr>
      </w:pPr>
      <w:r w:rsidRPr="00EE3B6B">
        <w:rPr>
          <w:rFonts w:ascii="Times New Roman" w:hAnsi="Times New Roman" w:cs="Times New Roman"/>
        </w:rPr>
        <w:t xml:space="preserve">ASOP No. 25, </w:t>
      </w:r>
      <w:r w:rsidRPr="00EE3B6B">
        <w:rPr>
          <w:rFonts w:ascii="Times New Roman" w:hAnsi="Times New Roman" w:cs="Times New Roman"/>
          <w:i/>
        </w:rPr>
        <w:t>Credibility Procedures</w:t>
      </w:r>
    </w:p>
    <w:p w:rsidR="00BF7AEF" w:rsidRPr="00EE3B6B" w:rsidP="006D1FD2" w14:paraId="7DF3931D" w14:textId="77777777">
      <w:pPr>
        <w:pStyle w:val="ListParagraph"/>
        <w:keepLines/>
        <w:numPr>
          <w:ilvl w:val="0"/>
          <w:numId w:val="47"/>
        </w:numPr>
        <w:spacing w:after="120" w:line="276" w:lineRule="auto"/>
        <w:rPr>
          <w:rFonts w:ascii="Times New Roman" w:hAnsi="Times New Roman" w:cs="Times New Roman"/>
        </w:rPr>
      </w:pPr>
      <w:r w:rsidRPr="00EE3B6B">
        <w:rPr>
          <w:rFonts w:ascii="Times New Roman" w:hAnsi="Times New Roman" w:cs="Times New Roman"/>
        </w:rPr>
        <w:t xml:space="preserve">ASOP No. 26, </w:t>
      </w:r>
      <w:r w:rsidRPr="00EE3B6B">
        <w:rPr>
          <w:rFonts w:ascii="Times New Roman" w:hAnsi="Times New Roman" w:cs="Times New Roman"/>
          <w:i/>
        </w:rPr>
        <w:t>Compliance with Statutory and Regulatory Requirements for the Actuarial Certification of Small Employer Health Benefit Plans</w:t>
      </w:r>
    </w:p>
    <w:p w:rsidR="00BF7AEF" w:rsidRPr="00EE3B6B" w:rsidP="006D1FD2" w14:paraId="045FAFEE" w14:textId="77777777">
      <w:pPr>
        <w:pStyle w:val="ListParagraph"/>
        <w:keepLines/>
        <w:numPr>
          <w:ilvl w:val="0"/>
          <w:numId w:val="47"/>
        </w:numPr>
        <w:spacing w:after="120" w:line="276" w:lineRule="auto"/>
        <w:rPr>
          <w:rFonts w:ascii="Times New Roman" w:hAnsi="Times New Roman" w:cs="Times New Roman"/>
        </w:rPr>
      </w:pPr>
      <w:r w:rsidRPr="00EE3B6B">
        <w:rPr>
          <w:rFonts w:ascii="Times New Roman" w:hAnsi="Times New Roman" w:cs="Times New Roman"/>
        </w:rPr>
        <w:t xml:space="preserve">ASOP No. 41, </w:t>
      </w:r>
      <w:r w:rsidRPr="00EE3B6B">
        <w:rPr>
          <w:rFonts w:ascii="Times New Roman" w:hAnsi="Times New Roman" w:cs="Times New Roman"/>
          <w:i/>
        </w:rPr>
        <w:t>Actuarial Communications</w:t>
      </w:r>
    </w:p>
    <w:p w:rsidR="00BF7AEF" w:rsidRPr="00EE3B6B" w:rsidP="006D1FD2" w14:paraId="65ED029E" w14:textId="77777777">
      <w:pPr>
        <w:pStyle w:val="ListParagraph"/>
        <w:keepLines/>
        <w:numPr>
          <w:ilvl w:val="0"/>
          <w:numId w:val="47"/>
        </w:numPr>
        <w:spacing w:after="120" w:line="276" w:lineRule="auto"/>
        <w:rPr>
          <w:rFonts w:ascii="Times New Roman" w:hAnsi="Times New Roman" w:cs="Times New Roman"/>
        </w:rPr>
      </w:pPr>
      <w:r w:rsidRPr="00EE3B6B">
        <w:rPr>
          <w:rFonts w:ascii="Times New Roman" w:hAnsi="Times New Roman" w:cs="Times New Roman"/>
        </w:rPr>
        <w:t xml:space="preserve">ASOP No. 50, </w:t>
      </w:r>
      <w:r w:rsidRPr="00EE3B6B">
        <w:rPr>
          <w:rFonts w:ascii="Times New Roman" w:hAnsi="Times New Roman" w:cs="Times New Roman"/>
          <w:i/>
        </w:rPr>
        <w:t>Determining Minimum Value and Actuarial Value under the Affordable Care Act</w:t>
      </w:r>
    </w:p>
    <w:p w:rsidR="00BF7AEF" w:rsidRPr="00EE3B6B" w:rsidP="006D1FD2" w14:paraId="508A5A56" w14:textId="77777777">
      <w:pPr>
        <w:keepLines/>
        <w:spacing w:after="120" w:line="276" w:lineRule="auto"/>
        <w:rPr>
          <w:rFonts w:ascii="Times New Roman" w:hAnsi="Times New Roman" w:cs="Times New Roman"/>
        </w:rPr>
      </w:pPr>
      <w:r w:rsidRPr="00EE3B6B">
        <w:rPr>
          <w:rFonts w:ascii="Times New Roman" w:hAnsi="Times New Roman" w:cs="Times New Roman"/>
        </w:rPr>
        <w:t>At a minimum, the actuarial certification must include the following:</w:t>
      </w:r>
    </w:p>
    <w:p w:rsidR="00BF7AEF" w:rsidRPr="00EE3B6B" w:rsidP="006D1FD2" w14:paraId="66B88781" w14:textId="77777777">
      <w:pPr>
        <w:pStyle w:val="ListParagraph"/>
        <w:keepLines/>
        <w:numPr>
          <w:ilvl w:val="0"/>
          <w:numId w:val="48"/>
        </w:numPr>
        <w:spacing w:after="120" w:line="276" w:lineRule="auto"/>
        <w:rPr>
          <w:rFonts w:ascii="Times New Roman" w:hAnsi="Times New Roman" w:cs="Times New Roman"/>
        </w:rPr>
      </w:pPr>
      <w:r w:rsidRPr="00EE3B6B">
        <w:rPr>
          <w:rFonts w:ascii="Times New Roman" w:hAnsi="Times New Roman" w:cs="Times New Roman"/>
        </w:rPr>
        <w:t>Identification of the certifying actuary and a statement that he/she is a member of the American Academy of Actuaries.</w:t>
      </w:r>
    </w:p>
    <w:p w:rsidR="00BF7AEF" w:rsidRPr="00EE3B6B" w:rsidP="006D1FD2" w14:paraId="50336024" w14:textId="77777777">
      <w:pPr>
        <w:pStyle w:val="ListParagraph"/>
        <w:keepLines/>
        <w:numPr>
          <w:ilvl w:val="0"/>
          <w:numId w:val="48"/>
        </w:numPr>
        <w:spacing w:after="120" w:line="276" w:lineRule="auto"/>
        <w:rPr>
          <w:rFonts w:ascii="Times New Roman" w:hAnsi="Times New Roman" w:cs="Times New Roman"/>
        </w:rPr>
      </w:pPr>
      <w:r w:rsidRPr="00EE3B6B">
        <w:rPr>
          <w:rFonts w:ascii="Times New Roman" w:hAnsi="Times New Roman" w:cs="Times New Roman"/>
        </w:rPr>
        <w:t xml:space="preserve">A certification that the projected </w:t>
      </w:r>
      <w:r w:rsidRPr="00EE3B6B" w:rsidR="00C66220">
        <w:rPr>
          <w:rFonts w:ascii="Times New Roman" w:hAnsi="Times New Roman" w:cs="Times New Roman"/>
        </w:rPr>
        <w:t>Index Rate</w:t>
      </w:r>
      <w:r w:rsidRPr="00EE3B6B">
        <w:rPr>
          <w:rFonts w:ascii="Times New Roman" w:hAnsi="Times New Roman" w:cs="Times New Roman"/>
        </w:rPr>
        <w:t xml:space="preserve"> is:</w:t>
      </w:r>
    </w:p>
    <w:p w:rsidR="00BF7AEF" w:rsidRPr="00EE3B6B" w:rsidP="00875498" w14:paraId="5DFC1DB7" w14:textId="77777777">
      <w:pPr>
        <w:pStyle w:val="ListParagraph"/>
        <w:keepLines/>
        <w:numPr>
          <w:ilvl w:val="1"/>
          <w:numId w:val="48"/>
        </w:numPr>
        <w:spacing w:after="120" w:line="276" w:lineRule="auto"/>
        <w:ind w:left="1080"/>
        <w:rPr>
          <w:rFonts w:ascii="Times New Roman" w:hAnsi="Times New Roman" w:cs="Times New Roman"/>
        </w:rPr>
      </w:pPr>
      <w:r w:rsidRPr="00EE3B6B">
        <w:rPr>
          <w:rFonts w:ascii="Times New Roman" w:hAnsi="Times New Roman" w:cs="Times New Roman"/>
        </w:rPr>
        <w:t xml:space="preserve">In compliance with all applicable </w:t>
      </w:r>
      <w:r w:rsidRPr="00EE3B6B" w:rsidR="00915FCC">
        <w:rPr>
          <w:rFonts w:ascii="Times New Roman" w:hAnsi="Times New Roman" w:cs="Times New Roman"/>
        </w:rPr>
        <w:t>s</w:t>
      </w:r>
      <w:r w:rsidRPr="00EE3B6B">
        <w:rPr>
          <w:rFonts w:ascii="Times New Roman" w:hAnsi="Times New Roman" w:cs="Times New Roman"/>
        </w:rPr>
        <w:t xml:space="preserve">tate and </w:t>
      </w:r>
      <w:r w:rsidRPr="00EE3B6B" w:rsidR="00915FCC">
        <w:rPr>
          <w:rFonts w:ascii="Times New Roman" w:hAnsi="Times New Roman" w:cs="Times New Roman"/>
        </w:rPr>
        <w:t>f</w:t>
      </w:r>
      <w:r w:rsidRPr="00EE3B6B">
        <w:rPr>
          <w:rFonts w:ascii="Times New Roman" w:hAnsi="Times New Roman" w:cs="Times New Roman"/>
        </w:rPr>
        <w:t>ederal statutes and regulations (45 CFR 156.80 and 147.102)</w:t>
      </w:r>
    </w:p>
    <w:p w:rsidR="00BF7AEF" w:rsidRPr="00EE3B6B" w:rsidP="00875498" w14:paraId="2C0CF11D" w14:textId="77777777">
      <w:pPr>
        <w:pStyle w:val="ListParagraph"/>
        <w:keepLines/>
        <w:numPr>
          <w:ilvl w:val="1"/>
          <w:numId w:val="48"/>
        </w:numPr>
        <w:spacing w:after="120" w:line="276" w:lineRule="auto"/>
        <w:ind w:left="1080"/>
        <w:rPr>
          <w:rFonts w:ascii="Times New Roman" w:hAnsi="Times New Roman" w:cs="Times New Roman"/>
        </w:rPr>
      </w:pPr>
      <w:r w:rsidRPr="00EE3B6B">
        <w:rPr>
          <w:rFonts w:ascii="Times New Roman" w:hAnsi="Times New Roman" w:cs="Times New Roman"/>
        </w:rPr>
        <w:t>Developed in compliance with the applicable Actuarial Standards of Practice</w:t>
      </w:r>
    </w:p>
    <w:p w:rsidR="00BF7AEF" w:rsidRPr="00EE3B6B" w:rsidP="00875498" w14:paraId="078AB424" w14:textId="77777777">
      <w:pPr>
        <w:pStyle w:val="ListParagraph"/>
        <w:keepLines/>
        <w:numPr>
          <w:ilvl w:val="1"/>
          <w:numId w:val="48"/>
        </w:numPr>
        <w:spacing w:after="120" w:line="276" w:lineRule="auto"/>
        <w:ind w:left="1080"/>
        <w:rPr>
          <w:rFonts w:ascii="Times New Roman" w:hAnsi="Times New Roman" w:cs="Times New Roman"/>
        </w:rPr>
      </w:pPr>
      <w:r w:rsidRPr="00EE3B6B">
        <w:rPr>
          <w:rFonts w:ascii="Times New Roman" w:hAnsi="Times New Roman" w:cs="Times New Roman"/>
        </w:rPr>
        <w:t>Reasonable in relation to the benefits provided and the population anticipated to be covered</w:t>
      </w:r>
    </w:p>
    <w:p w:rsidR="00BF7AEF" w:rsidRPr="00EE3B6B" w:rsidP="00875498" w14:paraId="6F2D6AF1" w14:textId="77777777">
      <w:pPr>
        <w:pStyle w:val="ListParagraph"/>
        <w:keepLines/>
        <w:numPr>
          <w:ilvl w:val="1"/>
          <w:numId w:val="48"/>
        </w:numPr>
        <w:spacing w:after="120" w:line="276" w:lineRule="auto"/>
        <w:ind w:left="1080"/>
        <w:rPr>
          <w:rFonts w:ascii="Times New Roman" w:hAnsi="Times New Roman" w:cs="Times New Roman"/>
        </w:rPr>
      </w:pPr>
      <w:r w:rsidRPr="00EE3B6B">
        <w:rPr>
          <w:rFonts w:ascii="Times New Roman" w:hAnsi="Times New Roman" w:cs="Times New Roman"/>
        </w:rPr>
        <w:t>Neither excessive nor deficient</w:t>
      </w:r>
    </w:p>
    <w:p w:rsidR="00BF7AEF" w:rsidRPr="00EE3B6B" w:rsidP="006D1FD2" w14:paraId="3C6CA3A6" w14:textId="77777777">
      <w:pPr>
        <w:pStyle w:val="ListParagraph"/>
        <w:keepLines/>
        <w:numPr>
          <w:ilvl w:val="0"/>
          <w:numId w:val="48"/>
        </w:numPr>
        <w:spacing w:after="120" w:line="276" w:lineRule="auto"/>
        <w:rPr>
          <w:rFonts w:ascii="Times New Roman" w:hAnsi="Times New Roman" w:cs="Times New Roman"/>
        </w:rPr>
      </w:pPr>
      <w:r w:rsidRPr="00EE3B6B">
        <w:rPr>
          <w:rFonts w:ascii="Times New Roman" w:hAnsi="Times New Roman" w:cs="Times New Roman"/>
        </w:rPr>
        <w:t xml:space="preserve">A certification that the </w:t>
      </w:r>
      <w:r w:rsidRPr="00EE3B6B" w:rsidR="00C66220">
        <w:rPr>
          <w:rFonts w:ascii="Times New Roman" w:hAnsi="Times New Roman" w:cs="Times New Roman"/>
        </w:rPr>
        <w:t>Index Rate</w:t>
      </w:r>
      <w:r w:rsidRPr="00EE3B6B">
        <w:rPr>
          <w:rFonts w:ascii="Times New Roman" w:hAnsi="Times New Roman" w:cs="Times New Roman"/>
        </w:rPr>
        <w:t xml:space="preserve"> and only the allowable modifiers as described in 45 CFR 156.80(d)(1) and 156.80(d)(2) were used to generate plan level rates.</w:t>
      </w:r>
    </w:p>
    <w:p w:rsidR="00BF7AEF" w:rsidRPr="00EE3B6B" w:rsidP="006D1FD2" w14:paraId="2ECEFA23" w14:textId="77777777">
      <w:pPr>
        <w:pStyle w:val="ListParagraph"/>
        <w:keepLines/>
        <w:numPr>
          <w:ilvl w:val="0"/>
          <w:numId w:val="48"/>
        </w:numPr>
        <w:spacing w:after="120" w:line="276" w:lineRule="auto"/>
        <w:rPr>
          <w:rFonts w:ascii="Times New Roman" w:hAnsi="Times New Roman" w:cs="Times New Roman"/>
        </w:rPr>
      </w:pPr>
      <w:r w:rsidRPr="00EE3B6B">
        <w:rPr>
          <w:rFonts w:ascii="Times New Roman" w:hAnsi="Times New Roman" w:cs="Times New Roman"/>
        </w:rPr>
        <w:t>A certification that the geographic rating factors reflect only differences in the costs of delivery (which can include unit cost and provider practice pattern differences) and do not include differences for population morbidity by geographic area.</w:t>
      </w:r>
    </w:p>
    <w:p w:rsidR="00BF7AEF" w:rsidRPr="00EE3B6B" w:rsidP="006D1FD2" w14:paraId="555EDA98" w14:textId="77777777">
      <w:pPr>
        <w:pStyle w:val="ListParagraph"/>
        <w:keepLines/>
        <w:numPr>
          <w:ilvl w:val="0"/>
          <w:numId w:val="48"/>
        </w:numPr>
        <w:spacing w:after="120" w:line="276" w:lineRule="auto"/>
        <w:rPr>
          <w:rFonts w:ascii="Times New Roman" w:hAnsi="Times New Roman" w:cs="Times New Roman"/>
        </w:rPr>
      </w:pPr>
      <w:r w:rsidRPr="00EE3B6B">
        <w:rPr>
          <w:rFonts w:ascii="Times New Roman" w:hAnsi="Times New Roman" w:cs="Times New Roman"/>
        </w:rPr>
        <w:t>A certification stating that the AV Calculator was used to determine the AV Metal Values shown in</w:t>
      </w:r>
      <w:r w:rsidRPr="00EE3B6B" w:rsidR="00B14FCD">
        <w:rPr>
          <w:rFonts w:ascii="Times New Roman" w:hAnsi="Times New Roman" w:cs="Times New Roman"/>
        </w:rPr>
        <w:t xml:space="preserve"> Part I of</w:t>
      </w:r>
      <w:r w:rsidRPr="00EE3B6B">
        <w:rPr>
          <w:rFonts w:ascii="Times New Roman" w:hAnsi="Times New Roman" w:cs="Times New Roman"/>
        </w:rPr>
        <w:t xml:space="preserve"> Worksheet 2 </w:t>
      </w:r>
      <w:r w:rsidRPr="00EE3B6B" w:rsidR="00B14FCD">
        <w:rPr>
          <w:rFonts w:ascii="Times New Roman" w:hAnsi="Times New Roman" w:cs="Times New Roman"/>
        </w:rPr>
        <w:t>in</w:t>
      </w:r>
      <w:r w:rsidRPr="00EE3B6B">
        <w:rPr>
          <w:rFonts w:ascii="Times New Roman" w:hAnsi="Times New Roman" w:cs="Times New Roman"/>
        </w:rPr>
        <w:t xml:space="preserve"> the URRT for all plans except those specified in the certification. If an alternate methodology was used to calculate the AV Metal Value for at least one plan offered, a copy of the actuarial certification required by 45 CFR 156.135 must be included.  The certification must be signed by a member of the American Academy of Actuaries and must indicate that the values were developed in accordance with generally accepted actuarial principles and methodologies.</w:t>
      </w:r>
    </w:p>
    <w:p w:rsidR="00BF7AEF" w:rsidRPr="00EE3B6B" w:rsidP="006D1FD2" w14:paraId="32F4D6CE" w14:textId="77777777">
      <w:pPr>
        <w:pStyle w:val="ListParagraph"/>
        <w:keepLines/>
        <w:numPr>
          <w:ilvl w:val="0"/>
          <w:numId w:val="48"/>
        </w:numPr>
        <w:spacing w:after="120" w:line="276" w:lineRule="auto"/>
        <w:rPr>
          <w:rFonts w:ascii="Times New Roman" w:hAnsi="Times New Roman" w:cs="Times New Roman"/>
        </w:rPr>
      </w:pPr>
      <w:r w:rsidRPr="00EE3B6B">
        <w:rPr>
          <w:rFonts w:ascii="Times New Roman" w:hAnsi="Times New Roman" w:cs="Times New Roman"/>
        </w:rPr>
        <w:t>For purposes of rate review, also include the reason an alternate methodology was used and the chosen alternate methodology that was used for each applicable plan. Describe the process that was used to develop the AV Metal Value.</w:t>
      </w:r>
    </w:p>
    <w:p w:rsidR="00BF7AEF" w:rsidRPr="00EE3B6B" w:rsidP="006D1FD2" w14:paraId="75E171A7" w14:textId="77777777">
      <w:pPr>
        <w:keepLines/>
        <w:spacing w:after="120" w:line="276" w:lineRule="auto"/>
        <w:rPr>
          <w:rFonts w:ascii="Times New Roman" w:hAnsi="Times New Roman" w:cs="Times New Roman"/>
        </w:rPr>
      </w:pPr>
      <w:r w:rsidRPr="00EE3B6B">
        <w:rPr>
          <w:rFonts w:ascii="Times New Roman" w:hAnsi="Times New Roman" w:cs="Times New Roman"/>
        </w:rPr>
        <w:t>The actuary may qualify the opinion, if desired, to state that the URRT does not demonstrate the process used by the issuer to develop the rates. Rather</w:t>
      </w:r>
      <w:r w:rsidRPr="00EE3B6B" w:rsidR="00272A37">
        <w:rPr>
          <w:rFonts w:ascii="Times New Roman" w:hAnsi="Times New Roman" w:cs="Times New Roman"/>
        </w:rPr>
        <w:t>,</w:t>
      </w:r>
      <w:r w:rsidRPr="00EE3B6B">
        <w:rPr>
          <w:rFonts w:ascii="Times New Roman" w:hAnsi="Times New Roman" w:cs="Times New Roman"/>
        </w:rPr>
        <w:t xml:space="preserve"> it represents information required by </w:t>
      </w:r>
      <w:r w:rsidRPr="00EE3B6B" w:rsidR="00DF2F3B">
        <w:rPr>
          <w:rFonts w:ascii="Times New Roman" w:hAnsi="Times New Roman" w:cs="Times New Roman"/>
        </w:rPr>
        <w:t>f</w:t>
      </w:r>
      <w:r w:rsidRPr="00EE3B6B">
        <w:rPr>
          <w:rFonts w:ascii="Times New Roman" w:hAnsi="Times New Roman" w:cs="Times New Roman"/>
        </w:rPr>
        <w:t xml:space="preserve">ederal regulation to be provided in support of the review of rate increases, for certification of Qualified Health Plans for </w:t>
      </w:r>
      <w:r w:rsidRPr="00EE3B6B">
        <w:rPr>
          <w:rFonts w:ascii="Times New Roman" w:hAnsi="Times New Roman" w:cs="Times New Roman"/>
        </w:rPr>
        <w:t>Federally-facilitated</w:t>
      </w:r>
      <w:r w:rsidRPr="00EE3B6B">
        <w:rPr>
          <w:rFonts w:ascii="Times New Roman" w:hAnsi="Times New Roman" w:cs="Times New Roman"/>
        </w:rPr>
        <w:t xml:space="preserve"> </w:t>
      </w:r>
      <w:r w:rsidRPr="00EE3B6B" w:rsidR="00AA10AA">
        <w:rPr>
          <w:rFonts w:ascii="Times New Roman" w:hAnsi="Times New Roman" w:cs="Times New Roman"/>
        </w:rPr>
        <w:t>Exchange</w:t>
      </w:r>
      <w:r w:rsidRPr="00EE3B6B">
        <w:rPr>
          <w:rFonts w:ascii="Times New Roman" w:hAnsi="Times New Roman" w:cs="Times New Roman"/>
        </w:rPr>
        <w:t xml:space="preserve">s, and for certification that the </w:t>
      </w:r>
      <w:r w:rsidRPr="00EE3B6B" w:rsidR="00C66220">
        <w:rPr>
          <w:rFonts w:ascii="Times New Roman" w:hAnsi="Times New Roman" w:cs="Times New Roman"/>
        </w:rPr>
        <w:t>Index Rate</w:t>
      </w:r>
      <w:r w:rsidRPr="00EE3B6B">
        <w:rPr>
          <w:rFonts w:ascii="Times New Roman" w:hAnsi="Times New Roman" w:cs="Times New Roman"/>
        </w:rPr>
        <w:t xml:space="preserve"> is developed in accordance with </w:t>
      </w:r>
      <w:r w:rsidRPr="00EE3B6B" w:rsidR="00DF2F3B">
        <w:rPr>
          <w:rFonts w:ascii="Times New Roman" w:hAnsi="Times New Roman" w:cs="Times New Roman"/>
        </w:rPr>
        <w:t>f</w:t>
      </w:r>
      <w:r w:rsidRPr="00EE3B6B">
        <w:rPr>
          <w:rFonts w:ascii="Times New Roman" w:hAnsi="Times New Roman" w:cs="Times New Roman"/>
        </w:rPr>
        <w:t>ederal regulation and used consistently and only adjusted by the allowable modifiers.</w:t>
      </w:r>
    </w:p>
    <w:p w:rsidR="00BC65F6" w:rsidRPr="006C6C1A" w:rsidP="006C6C1A" w14:paraId="64D2052F" w14:textId="344F245D">
      <w:pPr>
        <w:pStyle w:val="Heading1"/>
      </w:pPr>
      <w:bookmarkStart w:id="74" w:name="_Toc174003455"/>
      <w:r w:rsidRPr="006C6C1A">
        <w:t>5</w:t>
      </w:r>
      <w:r w:rsidRPr="006C6C1A" w:rsidR="001142FA">
        <w:t>.</w:t>
      </w:r>
      <w:r w:rsidR="006C6C1A">
        <w:t xml:space="preserve">  </w:t>
      </w:r>
      <w:r w:rsidRPr="006C6C1A">
        <w:t>HIOS Submis</w:t>
      </w:r>
      <w:r w:rsidRPr="006C6C1A" w:rsidR="00272A37">
        <w:t>s</w:t>
      </w:r>
      <w:r w:rsidRPr="006C6C1A">
        <w:t>ion</w:t>
      </w:r>
      <w:bookmarkEnd w:id="74"/>
    </w:p>
    <w:p w:rsidR="00BC65F6" w:rsidRPr="00EE3B6B" w:rsidP="006C6C1A" w14:paraId="681DBD1B" w14:textId="77777777">
      <w:pPr>
        <w:pStyle w:val="Heading2"/>
        <w:numPr>
          <w:ilvl w:val="0"/>
          <w:numId w:val="0"/>
        </w:numPr>
        <w:ind w:left="360" w:hanging="360"/>
      </w:pPr>
      <w:bookmarkStart w:id="75" w:name="_Toc174003456"/>
      <w:r w:rsidRPr="00EE3B6B">
        <w:t>5.1 HIOS Submission Statuses</w:t>
      </w:r>
      <w:bookmarkEnd w:id="75"/>
    </w:p>
    <w:p w:rsidR="00250604" w:rsidRPr="00EE3B6B" w:rsidP="006D1FD2" w14:paraId="2A73D91B" w14:textId="023F12B4">
      <w:pPr>
        <w:keepLines/>
        <w:spacing w:after="120" w:line="276" w:lineRule="auto"/>
        <w:rPr>
          <w:rFonts w:ascii="Times New Roman" w:hAnsi="Times New Roman" w:cs="Times New Roman"/>
        </w:rPr>
      </w:pPr>
      <w:r w:rsidRPr="00EE3B6B">
        <w:rPr>
          <w:rFonts w:ascii="Times New Roman" w:hAnsi="Times New Roman" w:cs="Times New Roman"/>
        </w:rPr>
        <w:t xml:space="preserve">URR submissions in HIOS undergo several changes in status </w:t>
      </w:r>
      <w:r w:rsidRPr="00EE3B6B">
        <w:rPr>
          <w:rFonts w:ascii="Times New Roman" w:hAnsi="Times New Roman" w:cs="Times New Roman"/>
        </w:rPr>
        <w:t>during the course of</w:t>
      </w:r>
      <w:r w:rsidRPr="00EE3B6B">
        <w:rPr>
          <w:rFonts w:ascii="Times New Roman" w:hAnsi="Times New Roman" w:cs="Times New Roman"/>
        </w:rPr>
        <w:t xml:space="preserve"> the rate review process. The following table describes the various statuses and their associated meanings.</w:t>
      </w:r>
      <w:bookmarkStart w:id="76" w:name="_Toc2246543"/>
    </w:p>
    <w:p w:rsidR="004B5D69" w:rsidRPr="00EE3B6B" w:rsidP="006D1FD2" w14:paraId="06445261" w14:textId="61DAF57F">
      <w:pPr>
        <w:pStyle w:val="Caption"/>
        <w:keepLines/>
        <w:spacing w:after="120" w:line="276" w:lineRule="auto"/>
        <w:rPr>
          <w:rFonts w:ascii="Times New Roman" w:hAnsi="Times New Roman" w:cs="Times New Roman"/>
          <w:b/>
          <w:color w:val="auto"/>
          <w:sz w:val="22"/>
          <w:szCs w:val="22"/>
        </w:rPr>
      </w:pPr>
      <w:r w:rsidRPr="00EE3B6B">
        <w:rPr>
          <w:rFonts w:ascii="Times New Roman" w:hAnsi="Times New Roman" w:cs="Times New Roman"/>
          <w:b/>
          <w:color w:val="auto"/>
          <w:sz w:val="22"/>
          <w:szCs w:val="22"/>
        </w:rPr>
        <w:t xml:space="preserve">Table </w:t>
      </w:r>
      <w:r w:rsidRPr="00EE3B6B">
        <w:rPr>
          <w:rFonts w:ascii="Times New Roman" w:hAnsi="Times New Roman" w:cs="Times New Roman"/>
          <w:sz w:val="22"/>
          <w:szCs w:val="22"/>
        </w:rPr>
        <w:fldChar w:fldCharType="begin"/>
      </w:r>
      <w:r w:rsidRPr="00EE3B6B">
        <w:rPr>
          <w:rFonts w:ascii="Times New Roman" w:hAnsi="Times New Roman" w:cs="Times New Roman"/>
          <w:b/>
          <w:color w:val="auto"/>
          <w:sz w:val="22"/>
          <w:szCs w:val="22"/>
        </w:rPr>
        <w:instrText xml:space="preserve"> SEQ Table \* ARABIC </w:instrText>
      </w:r>
      <w:r w:rsidRPr="00EE3B6B">
        <w:rPr>
          <w:rFonts w:ascii="Times New Roman" w:hAnsi="Times New Roman" w:cs="Times New Roman"/>
          <w:sz w:val="22"/>
          <w:szCs w:val="22"/>
        </w:rPr>
        <w:fldChar w:fldCharType="separate"/>
      </w:r>
      <w:r w:rsidR="0033365D">
        <w:rPr>
          <w:rFonts w:ascii="Times New Roman" w:hAnsi="Times New Roman" w:cs="Times New Roman"/>
          <w:b/>
          <w:noProof/>
          <w:color w:val="auto"/>
          <w:sz w:val="22"/>
          <w:szCs w:val="22"/>
        </w:rPr>
        <w:t>1</w:t>
      </w:r>
      <w:r w:rsidRPr="00EE3B6B">
        <w:rPr>
          <w:rFonts w:ascii="Times New Roman" w:hAnsi="Times New Roman" w:cs="Times New Roman"/>
          <w:sz w:val="22"/>
          <w:szCs w:val="22"/>
        </w:rPr>
        <w:fldChar w:fldCharType="end"/>
      </w:r>
      <w:r w:rsidRPr="00EE3B6B">
        <w:rPr>
          <w:rFonts w:ascii="Times New Roman" w:hAnsi="Times New Roman" w:cs="Times New Roman"/>
          <w:b/>
          <w:color w:val="auto"/>
          <w:sz w:val="22"/>
          <w:szCs w:val="22"/>
        </w:rPr>
        <w:t xml:space="preserve"> HIOS Submission Statuses</w:t>
      </w:r>
      <w:bookmarkEnd w:id="76"/>
    </w:p>
    <w:p w:rsidR="004B5D69" w:rsidRPr="00EE3B6B" w:rsidP="006D1FD2" w14:paraId="62741E69" w14:textId="77777777">
      <w:pPr>
        <w:keepLines/>
        <w:spacing w:after="120" w:line="276" w:lineRule="auto"/>
        <w:rPr>
          <w:rFonts w:ascii="Times New Roman" w:hAnsi="Times New Roman" w:cs="Times New Roman"/>
        </w:rPr>
      </w:pPr>
    </w:p>
    <w:tbl>
      <w:tblPr>
        <w:tblW w:w="954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left w:w="0" w:type="dxa"/>
          <w:right w:w="0" w:type="dxa"/>
        </w:tblCellMar>
        <w:tblLook w:val="01E0"/>
      </w:tblPr>
      <w:tblGrid>
        <w:gridCol w:w="1890"/>
        <w:gridCol w:w="2622"/>
        <w:gridCol w:w="1827"/>
        <w:gridCol w:w="3201"/>
      </w:tblGrid>
      <w:tr w14:paraId="3167C92E" w14:textId="77777777" w:rsidTr="00B55ACB">
        <w:tblPrEx>
          <w:tblW w:w="954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left w:w="0" w:type="dxa"/>
            <w:right w:w="0" w:type="dxa"/>
          </w:tblCellMar>
          <w:tblLook w:val="01E0"/>
        </w:tblPrEx>
        <w:trPr>
          <w:trHeight w:hRule="exact" w:val="621"/>
          <w:tblHeader/>
        </w:trPr>
        <w:tc>
          <w:tcPr>
            <w:tcW w:w="1890" w:type="dxa"/>
            <w:tcBorders>
              <w:top w:val="nil"/>
              <w:left w:val="nil"/>
              <w:bottom w:val="nil"/>
              <w:right w:val="nil"/>
            </w:tcBorders>
            <w:shd w:val="clear" w:color="auto" w:fill="4F81BD"/>
          </w:tcPr>
          <w:p w:rsidR="00ED3E04" w:rsidRPr="00EE3B6B" w:rsidP="006D1FD2" w14:paraId="3357BC29" w14:textId="77777777">
            <w:pPr>
              <w:pStyle w:val="TableParagraph"/>
              <w:keepLines/>
              <w:spacing w:after="120" w:line="276" w:lineRule="auto"/>
              <w:ind w:left="98"/>
              <w:rPr>
                <w:b/>
              </w:rPr>
            </w:pPr>
            <w:r w:rsidRPr="00EE3B6B">
              <w:rPr>
                <w:b/>
                <w:color w:val="FFFFFF"/>
              </w:rPr>
              <w:t>Status</w:t>
            </w:r>
          </w:p>
        </w:tc>
        <w:tc>
          <w:tcPr>
            <w:tcW w:w="2622" w:type="dxa"/>
            <w:tcBorders>
              <w:top w:val="nil"/>
              <w:left w:val="nil"/>
              <w:bottom w:val="nil"/>
            </w:tcBorders>
            <w:shd w:val="clear" w:color="auto" w:fill="4F81BD"/>
          </w:tcPr>
          <w:p w:rsidR="00ED3E04" w:rsidRPr="00EE3B6B" w:rsidP="006D1FD2" w14:paraId="47DA4DA8" w14:textId="77777777">
            <w:pPr>
              <w:pStyle w:val="TableParagraph"/>
              <w:keepLines/>
              <w:spacing w:after="120" w:line="276" w:lineRule="auto"/>
              <w:ind w:left="109"/>
              <w:rPr>
                <w:b/>
              </w:rPr>
            </w:pPr>
            <w:r w:rsidRPr="00EE3B6B">
              <w:rPr>
                <w:b/>
                <w:color w:val="FFFFFF"/>
              </w:rPr>
              <w:t>Definition</w:t>
            </w:r>
          </w:p>
        </w:tc>
        <w:tc>
          <w:tcPr>
            <w:tcW w:w="0" w:type="auto"/>
            <w:tcBorders>
              <w:top w:val="nil"/>
              <w:bottom w:val="single" w:sz="24" w:space="0" w:color="FFFFFF"/>
            </w:tcBorders>
            <w:shd w:val="clear" w:color="auto" w:fill="4F81BD"/>
          </w:tcPr>
          <w:p w:rsidR="00ED3E04" w:rsidRPr="00EE3B6B" w:rsidP="006D1FD2" w14:paraId="1CE1FAED" w14:textId="77777777">
            <w:pPr>
              <w:pStyle w:val="TableParagraph"/>
              <w:keepLines/>
              <w:spacing w:after="120" w:line="276" w:lineRule="auto"/>
              <w:ind w:left="100"/>
              <w:rPr>
                <w:b/>
              </w:rPr>
            </w:pPr>
            <w:r w:rsidRPr="00EE3B6B">
              <w:rPr>
                <w:b/>
                <w:color w:val="FFFFFF"/>
              </w:rPr>
              <w:t>Additional Information</w:t>
            </w:r>
          </w:p>
        </w:tc>
        <w:tc>
          <w:tcPr>
            <w:tcW w:w="3201" w:type="dxa"/>
            <w:tcBorders>
              <w:top w:val="nil"/>
              <w:bottom w:val="nil"/>
              <w:right w:val="nil"/>
            </w:tcBorders>
            <w:shd w:val="clear" w:color="auto" w:fill="4F81BD"/>
          </w:tcPr>
          <w:p w:rsidR="00ED3E04" w:rsidRPr="00EE3B6B" w:rsidP="006D1FD2" w14:paraId="24642839" w14:textId="77777777">
            <w:pPr>
              <w:pStyle w:val="TableParagraph"/>
              <w:keepLines/>
              <w:spacing w:after="120" w:line="276" w:lineRule="auto"/>
              <w:ind w:left="100"/>
              <w:rPr>
                <w:b/>
              </w:rPr>
            </w:pPr>
            <w:r w:rsidRPr="00EE3B6B">
              <w:rPr>
                <w:b/>
                <w:color w:val="FFFFFF"/>
              </w:rPr>
              <w:t>Next Step</w:t>
            </w:r>
          </w:p>
        </w:tc>
      </w:tr>
      <w:tr w14:paraId="312BD0AA" w14:textId="77777777" w:rsidTr="000C3F14">
        <w:tblPrEx>
          <w:tblW w:w="9540" w:type="dxa"/>
          <w:tblCellMar>
            <w:left w:w="0" w:type="dxa"/>
            <w:right w:w="0" w:type="dxa"/>
          </w:tblCellMar>
          <w:tblLook w:val="01E0"/>
        </w:tblPrEx>
        <w:trPr>
          <w:cantSplit/>
          <w:trHeight w:hRule="exact" w:val="2004"/>
        </w:trPr>
        <w:tc>
          <w:tcPr>
            <w:tcW w:w="1890" w:type="dxa"/>
            <w:tcBorders>
              <w:top w:val="nil"/>
              <w:left w:val="nil"/>
              <w:bottom w:val="single" w:sz="9" w:space="0" w:color="FFFFFF"/>
              <w:right w:val="single" w:sz="24" w:space="0" w:color="FFFFFF"/>
            </w:tcBorders>
            <w:shd w:val="clear" w:color="auto" w:fill="4F81BD"/>
          </w:tcPr>
          <w:p w:rsidR="00ED3E04" w:rsidRPr="00EE3B6B" w:rsidP="006D1FD2" w14:paraId="759DC592" w14:textId="77777777">
            <w:pPr>
              <w:pStyle w:val="TableParagraph"/>
              <w:keepLines/>
              <w:spacing w:after="120" w:line="276" w:lineRule="auto"/>
              <w:ind w:left="98"/>
              <w:rPr>
                <w:b/>
              </w:rPr>
            </w:pPr>
            <w:r w:rsidRPr="00EE3B6B">
              <w:rPr>
                <w:b/>
                <w:color w:val="FFFFFF"/>
              </w:rPr>
              <w:t>Pre-Validation</w:t>
            </w:r>
          </w:p>
        </w:tc>
        <w:tc>
          <w:tcPr>
            <w:tcW w:w="2622" w:type="dxa"/>
            <w:tcBorders>
              <w:top w:val="nil"/>
              <w:left w:val="single" w:sz="24" w:space="0" w:color="FFFFFF"/>
              <w:bottom w:val="single" w:sz="9" w:space="0" w:color="FFFFFF"/>
            </w:tcBorders>
            <w:shd w:val="clear" w:color="auto" w:fill="A7BFDE"/>
          </w:tcPr>
          <w:p w:rsidR="00ED3E04" w:rsidRPr="00EE3B6B" w:rsidP="006D1FD2" w14:paraId="40B16667" w14:textId="77777777">
            <w:pPr>
              <w:pStyle w:val="TableParagraph"/>
              <w:keepLines/>
              <w:spacing w:after="120" w:line="276" w:lineRule="auto"/>
              <w:ind w:left="79" w:right="176"/>
            </w:pPr>
            <w:r w:rsidRPr="00EE3B6B">
              <w:t>An issuer has successfully created a submission in HIOS.</w:t>
            </w:r>
          </w:p>
        </w:tc>
        <w:tc>
          <w:tcPr>
            <w:tcW w:w="0" w:type="auto"/>
            <w:tcBorders>
              <w:top w:val="single" w:sz="24" w:space="0" w:color="FFFFFF"/>
              <w:bottom w:val="single" w:sz="9" w:space="0" w:color="FFFFFF"/>
            </w:tcBorders>
            <w:shd w:val="clear" w:color="auto" w:fill="A7BFDE"/>
          </w:tcPr>
          <w:p w:rsidR="00ED3E04" w:rsidRPr="00EE3B6B" w:rsidP="006D1FD2" w14:paraId="70B25AB3" w14:textId="476CD449">
            <w:pPr>
              <w:pStyle w:val="TableParagraph"/>
              <w:keepLines/>
              <w:spacing w:after="120" w:line="276" w:lineRule="auto"/>
              <w:ind w:left="100" w:right="129"/>
            </w:pPr>
            <w:r w:rsidRPr="00EE3B6B">
              <w:t>The issuer can revise</w:t>
            </w:r>
            <w:r w:rsidRPr="00EE3B6B">
              <w:rPr>
                <w:position w:val="7"/>
              </w:rPr>
              <w:t xml:space="preserve"> </w:t>
            </w:r>
            <w:r w:rsidRPr="00EE3B6B">
              <w:t>the submission during the Pre-Validation stage.</w:t>
            </w:r>
            <w:r>
              <w:rPr>
                <w:rStyle w:val="FootnoteReference"/>
              </w:rPr>
              <w:footnoteReference w:id="21"/>
            </w:r>
          </w:p>
        </w:tc>
        <w:tc>
          <w:tcPr>
            <w:tcW w:w="3201" w:type="dxa"/>
            <w:tcBorders>
              <w:top w:val="nil"/>
              <w:bottom w:val="single" w:sz="9" w:space="0" w:color="FFFFFF"/>
              <w:right w:val="nil"/>
            </w:tcBorders>
            <w:shd w:val="clear" w:color="auto" w:fill="A7BFDE"/>
          </w:tcPr>
          <w:p w:rsidR="004B5D69" w:rsidRPr="00EE3B6B" w:rsidP="006D1FD2" w14:paraId="054E8AB4" w14:textId="22DB4C76">
            <w:pPr>
              <w:pStyle w:val="TableParagraph"/>
              <w:keepLines/>
              <w:spacing w:after="120" w:line="276" w:lineRule="auto"/>
              <w:ind w:left="100" w:right="334"/>
            </w:pPr>
            <w:r w:rsidRPr="00EE3B6B">
              <w:t>The issuer should validate the submission by checking the validation box on the submission summary page in HIOS.</w:t>
            </w:r>
          </w:p>
        </w:tc>
      </w:tr>
      <w:tr w14:paraId="49BEB494" w14:textId="77777777" w:rsidTr="000C3F14">
        <w:tblPrEx>
          <w:tblW w:w="9540" w:type="dxa"/>
          <w:tblCellMar>
            <w:left w:w="0" w:type="dxa"/>
            <w:right w:w="0" w:type="dxa"/>
          </w:tblCellMar>
          <w:tblLook w:val="01E0"/>
        </w:tblPrEx>
        <w:trPr>
          <w:trHeight w:hRule="exact" w:val="10381"/>
        </w:trPr>
        <w:tc>
          <w:tcPr>
            <w:tcW w:w="1890" w:type="dxa"/>
            <w:tcBorders>
              <w:top w:val="single" w:sz="9" w:space="0" w:color="FFFFFF"/>
              <w:left w:val="nil"/>
              <w:bottom w:val="nil"/>
              <w:right w:val="single" w:sz="24" w:space="0" w:color="FFFFFF"/>
            </w:tcBorders>
            <w:shd w:val="clear" w:color="auto" w:fill="4F81BD"/>
          </w:tcPr>
          <w:p w:rsidR="00ED3E04" w:rsidRPr="00EE3B6B" w:rsidP="006D1FD2" w14:paraId="78F0E937" w14:textId="154FEDB5">
            <w:pPr>
              <w:pStyle w:val="TableParagraph"/>
              <w:keepLines/>
              <w:spacing w:after="120" w:line="276" w:lineRule="auto"/>
              <w:ind w:left="98" w:right="453"/>
              <w:rPr>
                <w:b/>
              </w:rPr>
            </w:pPr>
            <w:r w:rsidRPr="00EE3B6B">
              <w:rPr>
                <w:b/>
                <w:color w:val="FFFFFF"/>
              </w:rPr>
              <w:t xml:space="preserve">Record </w:t>
            </w:r>
            <w:r w:rsidRPr="00EE3B6B">
              <w:rPr>
                <w:b/>
                <w:color w:val="FFFFFF"/>
                <w:w w:val="95"/>
              </w:rPr>
              <w:t>Validated</w:t>
            </w:r>
            <w:r>
              <w:rPr>
                <w:rStyle w:val="FootnoteReference"/>
                <w:b/>
                <w:color w:val="FFFFFF"/>
                <w:w w:val="95"/>
              </w:rPr>
              <w:footnoteReference w:id="22"/>
            </w:r>
          </w:p>
        </w:tc>
        <w:tc>
          <w:tcPr>
            <w:tcW w:w="2622" w:type="dxa"/>
            <w:tcBorders>
              <w:top w:val="single" w:sz="9" w:space="0" w:color="FFFFFF"/>
              <w:left w:val="single" w:sz="24" w:space="0" w:color="FFFFFF"/>
              <w:bottom w:val="nil"/>
            </w:tcBorders>
            <w:shd w:val="clear" w:color="auto" w:fill="D3DFEE"/>
          </w:tcPr>
          <w:p w:rsidR="00ED3E04" w:rsidRPr="00EE3B6B" w:rsidP="006D1FD2" w14:paraId="4D2FCC8E" w14:textId="77777777">
            <w:pPr>
              <w:pStyle w:val="TableParagraph"/>
              <w:keepLines/>
              <w:spacing w:after="120" w:line="276" w:lineRule="auto"/>
              <w:ind w:left="79" w:right="354"/>
            </w:pPr>
            <w:r w:rsidRPr="00EE3B6B">
              <w:t>The issuer has validated the submission.</w:t>
            </w:r>
          </w:p>
          <w:p w:rsidR="00ED3E04" w:rsidRPr="00EE3B6B" w:rsidP="006D1FD2" w14:paraId="3DC73AE1" w14:textId="77777777">
            <w:pPr>
              <w:pStyle w:val="TableParagraph"/>
              <w:keepLines/>
              <w:spacing w:after="120" w:line="276" w:lineRule="auto"/>
            </w:pPr>
          </w:p>
          <w:p w:rsidR="00ED3E04" w:rsidRPr="00EE3B6B" w:rsidP="006D1FD2" w14:paraId="1F2A94AB" w14:textId="77777777">
            <w:pPr>
              <w:pStyle w:val="TableParagraph"/>
              <w:keepLines/>
              <w:spacing w:after="120" w:line="276" w:lineRule="auto"/>
              <w:ind w:left="79" w:right="193"/>
            </w:pPr>
            <w:r w:rsidRPr="00EE3B6B">
              <w:rPr>
                <w:i/>
              </w:rPr>
              <w:t xml:space="preserve">Note: </w:t>
            </w:r>
            <w:r w:rsidRPr="00EE3B6B">
              <w:t>The validator (usually a manager at the insurance company) must have “validator” authority within HIOS.</w:t>
            </w:r>
          </w:p>
        </w:tc>
        <w:tc>
          <w:tcPr>
            <w:tcW w:w="0" w:type="auto"/>
            <w:tcBorders>
              <w:top w:val="single" w:sz="9" w:space="0" w:color="FFFFFF"/>
              <w:bottom w:val="nil"/>
            </w:tcBorders>
            <w:shd w:val="clear" w:color="auto" w:fill="D3DFEE"/>
          </w:tcPr>
          <w:p w:rsidR="00ED3E04" w:rsidRPr="00EE3B6B" w:rsidP="006D1FD2" w14:paraId="3F96302C" w14:textId="77777777">
            <w:pPr>
              <w:pStyle w:val="TableParagraph"/>
              <w:keepLines/>
              <w:spacing w:after="120" w:line="276" w:lineRule="auto"/>
              <w:ind w:left="100" w:right="84"/>
            </w:pPr>
            <w:r w:rsidRPr="00EE3B6B">
              <w:t>The submission is locked and cannot be revised.</w:t>
            </w:r>
          </w:p>
          <w:p w:rsidR="00ED3E04" w:rsidRPr="00EE3B6B" w:rsidP="006D1FD2" w14:paraId="7FC2EFD5" w14:textId="77777777">
            <w:pPr>
              <w:pStyle w:val="TableParagraph"/>
              <w:keepLines/>
              <w:spacing w:after="120" w:line="276" w:lineRule="auto"/>
            </w:pPr>
          </w:p>
          <w:p w:rsidR="00ED3E04" w:rsidRPr="00EE3B6B" w:rsidP="006D1FD2" w14:paraId="7477B523" w14:textId="77777777">
            <w:pPr>
              <w:pStyle w:val="TableParagraph"/>
              <w:keepLines/>
              <w:spacing w:after="120" w:line="276" w:lineRule="auto"/>
              <w:ind w:left="100" w:right="168"/>
            </w:pPr>
            <w:r w:rsidRPr="00EE3B6B">
              <w:rPr>
                <w:i/>
              </w:rPr>
              <w:t xml:space="preserve">Note: </w:t>
            </w:r>
            <w:r w:rsidRPr="00EE3B6B">
              <w:t>If the issuer needs to make revisions after validating the submission, the issuer must have the submission unlocked first.</w:t>
            </w:r>
          </w:p>
        </w:tc>
        <w:tc>
          <w:tcPr>
            <w:tcW w:w="3201" w:type="dxa"/>
            <w:tcBorders>
              <w:top w:val="single" w:sz="9" w:space="0" w:color="FFFFFF"/>
              <w:bottom w:val="nil"/>
              <w:right w:val="nil"/>
            </w:tcBorders>
            <w:shd w:val="clear" w:color="auto" w:fill="D3DFEE"/>
          </w:tcPr>
          <w:p w:rsidR="00ED3E04" w:rsidRPr="00EE3B6B" w:rsidP="006D1FD2" w14:paraId="2F6CFC2C" w14:textId="77777777">
            <w:pPr>
              <w:pStyle w:val="TableParagraph"/>
              <w:keepLines/>
              <w:spacing w:after="120" w:line="276" w:lineRule="auto"/>
              <w:ind w:left="100" w:right="306"/>
              <w:rPr>
                <w:i/>
              </w:rPr>
            </w:pPr>
            <w:r w:rsidRPr="00EE3B6B">
              <w:rPr>
                <w:i/>
                <w:u w:val="single"/>
              </w:rPr>
              <w:t>Rate increases not subject to rate review</w:t>
            </w:r>
            <w:r w:rsidRPr="00EE3B6B">
              <w:rPr>
                <w:i/>
              </w:rPr>
              <w:t>:</w:t>
            </w:r>
          </w:p>
          <w:p w:rsidR="00ED3E04" w:rsidRPr="00EE3B6B" w:rsidP="006D1FD2" w14:paraId="0312F297" w14:textId="77777777">
            <w:pPr>
              <w:pStyle w:val="TableParagraph"/>
              <w:keepLines/>
              <w:spacing w:after="120" w:line="276" w:lineRule="auto"/>
              <w:ind w:left="100" w:right="114"/>
            </w:pPr>
            <w:r w:rsidRPr="00EE3B6B">
              <w:t xml:space="preserve">If </w:t>
            </w:r>
            <w:r w:rsidRPr="00EE3B6B" w:rsidR="00235537">
              <w:t xml:space="preserve">all plans within </w:t>
            </w:r>
            <w:r w:rsidRPr="00EE3B6B">
              <w:t xml:space="preserve">the </w:t>
            </w:r>
            <w:r w:rsidRPr="00EE3B6B" w:rsidR="00DE238B">
              <w:t>submission</w:t>
            </w:r>
            <w:r w:rsidRPr="00EE3B6B" w:rsidR="00235537">
              <w:t xml:space="preserve"> have </w:t>
            </w:r>
            <w:r w:rsidRPr="00EE3B6B">
              <w:t xml:space="preserve">rate </w:t>
            </w:r>
            <w:r w:rsidRPr="00EE3B6B" w:rsidR="00235537">
              <w:t>changes</w:t>
            </w:r>
            <w:r w:rsidRPr="00EE3B6B">
              <w:t xml:space="preserve"> &lt;1</w:t>
            </w:r>
            <w:r w:rsidRPr="00EE3B6B" w:rsidR="00D22F17">
              <w:t>5</w:t>
            </w:r>
            <w:r w:rsidRPr="00EE3B6B">
              <w:t>%, the regulator</w:t>
            </w:r>
            <w:r>
              <w:rPr>
                <w:rStyle w:val="FootnoteReference"/>
              </w:rPr>
              <w:footnoteReference w:id="23"/>
            </w:r>
            <w:r w:rsidRPr="00EE3B6B">
              <w:rPr>
                <w:position w:val="7"/>
              </w:rPr>
              <w:t xml:space="preserve"> </w:t>
            </w:r>
            <w:r w:rsidRPr="00EE3B6B">
              <w:t>reviews the submission for completeness and for compliance with applicable rating rules.</w:t>
            </w:r>
          </w:p>
          <w:p w:rsidR="00ED3E04" w:rsidRPr="00EE3B6B" w:rsidP="006D1FD2" w14:paraId="08F12CBA" w14:textId="12C5BBB4">
            <w:pPr>
              <w:pStyle w:val="TableParagraph"/>
              <w:keepLines/>
              <w:numPr>
                <w:ilvl w:val="0"/>
                <w:numId w:val="49"/>
              </w:numPr>
              <w:tabs>
                <w:tab w:val="left" w:pos="544"/>
                <w:tab w:val="left" w:pos="545"/>
              </w:tabs>
              <w:spacing w:after="120" w:line="276" w:lineRule="auto"/>
              <w:ind w:right="257"/>
            </w:pPr>
            <w:r w:rsidRPr="00EE3B6B">
              <w:t>If the submission passes the compliance review, CCIIO checks the “Web Content Assessment” box in</w:t>
            </w:r>
            <w:r w:rsidRPr="00EE3B6B">
              <w:rPr>
                <w:spacing w:val="-1"/>
              </w:rPr>
              <w:t xml:space="preserve"> </w:t>
            </w:r>
            <w:r w:rsidRPr="00EE3B6B">
              <w:t>HIOS</w:t>
            </w:r>
            <w:r w:rsidRPr="00EE3B6B" w:rsidR="00B55ACB">
              <w:t>.</w:t>
            </w:r>
            <w:r>
              <w:rPr>
                <w:rStyle w:val="FootnoteReference"/>
              </w:rPr>
              <w:footnoteReference w:id="24"/>
            </w:r>
            <w:r w:rsidRPr="00EE3B6B">
              <w:t xml:space="preserve"> </w:t>
            </w:r>
          </w:p>
          <w:p w:rsidR="00ED3E04" w:rsidRPr="00EE3B6B" w:rsidP="006D1FD2" w14:paraId="660B214C" w14:textId="56704902">
            <w:pPr>
              <w:pStyle w:val="TableParagraph"/>
              <w:keepLines/>
              <w:numPr>
                <w:ilvl w:val="0"/>
                <w:numId w:val="49"/>
              </w:numPr>
              <w:tabs>
                <w:tab w:val="left" w:pos="544"/>
                <w:tab w:val="left" w:pos="545"/>
              </w:tabs>
              <w:spacing w:after="120" w:line="276" w:lineRule="auto"/>
              <w:ind w:right="342"/>
            </w:pPr>
            <w:r w:rsidRPr="00EE3B6B">
              <w:t>If the submission does not pass the completeness or compliance review, the regulator asks the issuer</w:t>
            </w:r>
            <w:r w:rsidRPr="00EE3B6B">
              <w:rPr>
                <w:spacing w:val="-14"/>
              </w:rPr>
              <w:t xml:space="preserve"> </w:t>
            </w:r>
            <w:r w:rsidRPr="00EE3B6B">
              <w:t>for more</w:t>
            </w:r>
            <w:r w:rsidRPr="00EE3B6B">
              <w:rPr>
                <w:spacing w:val="-9"/>
              </w:rPr>
              <w:t xml:space="preserve"> </w:t>
            </w:r>
            <w:r w:rsidRPr="00EE3B6B">
              <w:t>information.</w:t>
            </w:r>
          </w:p>
          <w:p w:rsidR="00ED3E04" w:rsidRPr="00EE3B6B" w:rsidP="006D1FD2" w14:paraId="540957EF" w14:textId="78810297">
            <w:pPr>
              <w:pStyle w:val="TableParagraph"/>
              <w:keepLines/>
              <w:spacing w:after="120" w:line="276" w:lineRule="auto"/>
              <w:ind w:left="100" w:right="334"/>
            </w:pPr>
            <w:r w:rsidRPr="00EE3B6B">
              <w:rPr>
                <w:i/>
                <w:u w:val="single"/>
              </w:rPr>
              <w:t xml:space="preserve">Rate increases subject to review: </w:t>
            </w:r>
            <w:r w:rsidRPr="00EE3B6B">
              <w:t xml:space="preserve">If </w:t>
            </w:r>
            <w:r w:rsidRPr="00EE3B6B" w:rsidR="00DE238B">
              <w:t>any plan within the submission</w:t>
            </w:r>
            <w:r w:rsidRPr="00EE3B6B" w:rsidR="00235537">
              <w:t xml:space="preserve"> has a</w:t>
            </w:r>
            <w:r w:rsidRPr="00EE3B6B">
              <w:t xml:space="preserve"> rate increase </w:t>
            </w:r>
            <w:r w:rsidRPr="00EE3B6B" w:rsidR="00235537">
              <w:t xml:space="preserve">that </w:t>
            </w:r>
            <w:r w:rsidRPr="00EE3B6B">
              <w:t>is ≥ 1</w:t>
            </w:r>
            <w:r w:rsidRPr="00EE3B6B" w:rsidR="00D22F17">
              <w:t>5</w:t>
            </w:r>
            <w:r w:rsidRPr="00EE3B6B">
              <w:t>%, the regulator checks that the submission has all the required information.</w:t>
            </w:r>
          </w:p>
          <w:p w:rsidR="00ED3E04" w:rsidRPr="00EE3B6B" w:rsidP="006D1FD2" w14:paraId="057F3C9A" w14:textId="77777777">
            <w:pPr>
              <w:pStyle w:val="TableParagraph"/>
              <w:keepLines/>
              <w:numPr>
                <w:ilvl w:val="0"/>
                <w:numId w:val="49"/>
              </w:numPr>
              <w:tabs>
                <w:tab w:val="left" w:pos="544"/>
                <w:tab w:val="left" w:pos="545"/>
              </w:tabs>
              <w:spacing w:after="120" w:line="276" w:lineRule="auto"/>
              <w:ind w:right="176"/>
            </w:pPr>
            <w:r w:rsidRPr="00EE3B6B">
              <w:t>If there are no obvious</w:t>
            </w:r>
            <w:r w:rsidRPr="00EE3B6B">
              <w:rPr>
                <w:spacing w:val="-17"/>
              </w:rPr>
              <w:t xml:space="preserve"> </w:t>
            </w:r>
            <w:r w:rsidRPr="00EE3B6B">
              <w:t>errors, CCIIO checks the “Web Content Assessment” box in HIOS.</w:t>
            </w:r>
          </w:p>
          <w:p w:rsidR="00ED3E04" w:rsidRPr="00EE3B6B" w:rsidP="006D1FD2" w14:paraId="7D448C13" w14:textId="77777777">
            <w:pPr>
              <w:pStyle w:val="TableParagraph"/>
              <w:keepLines/>
              <w:numPr>
                <w:ilvl w:val="0"/>
                <w:numId w:val="49"/>
              </w:numPr>
              <w:tabs>
                <w:tab w:val="left" w:pos="544"/>
                <w:tab w:val="left" w:pos="545"/>
              </w:tabs>
              <w:spacing w:after="120" w:line="276" w:lineRule="auto"/>
              <w:ind w:right="176"/>
            </w:pPr>
            <w:r w:rsidRPr="00EE3B6B">
              <w:t>If the submission has obvious errors, the regulator asks the issuer for more information.</w:t>
            </w:r>
          </w:p>
        </w:tc>
      </w:tr>
      <w:tr w14:paraId="28779EA8" w14:textId="77777777" w:rsidTr="00B55ACB">
        <w:tblPrEx>
          <w:tblW w:w="9540" w:type="dxa"/>
          <w:tblCellMar>
            <w:left w:w="0" w:type="dxa"/>
            <w:right w:w="0" w:type="dxa"/>
          </w:tblCellMar>
          <w:tblLook w:val="01E0"/>
        </w:tblPrEx>
        <w:trPr>
          <w:trHeight w:hRule="exact" w:val="1831"/>
        </w:trPr>
        <w:tc>
          <w:tcPr>
            <w:tcW w:w="1890" w:type="dxa"/>
            <w:tcBorders>
              <w:top w:val="single" w:sz="9" w:space="0" w:color="FFFFFF"/>
              <w:left w:val="nil"/>
              <w:bottom w:val="nil"/>
              <w:right w:val="single" w:sz="24" w:space="0" w:color="FFFFFF"/>
            </w:tcBorders>
            <w:shd w:val="clear" w:color="auto" w:fill="4F81BD"/>
          </w:tcPr>
          <w:p w:rsidR="00ED3E04" w:rsidRPr="00EE3B6B" w:rsidP="006D1FD2" w14:paraId="34227F63" w14:textId="77777777">
            <w:pPr>
              <w:pStyle w:val="TableParagraph"/>
              <w:keepLines/>
              <w:spacing w:after="120" w:line="276" w:lineRule="auto"/>
              <w:ind w:left="98" w:right="453"/>
              <w:rPr>
                <w:b/>
                <w:color w:val="FFFFFF"/>
              </w:rPr>
            </w:pPr>
            <w:r w:rsidRPr="00EE3B6B">
              <w:rPr>
                <w:b/>
                <w:color w:val="FFFFFF"/>
              </w:rPr>
              <w:t>Pending Supplemental Materials</w:t>
            </w:r>
          </w:p>
        </w:tc>
        <w:tc>
          <w:tcPr>
            <w:tcW w:w="2622" w:type="dxa"/>
            <w:tcBorders>
              <w:top w:val="single" w:sz="9" w:space="0" w:color="FFFFFF"/>
              <w:left w:val="single" w:sz="24" w:space="0" w:color="FFFFFF"/>
              <w:bottom w:val="nil"/>
              <w:right w:val="single" w:sz="6" w:space="0" w:color="FFFFFF"/>
            </w:tcBorders>
            <w:shd w:val="clear" w:color="auto" w:fill="D3DFEE"/>
          </w:tcPr>
          <w:p w:rsidR="00ED3E04" w:rsidRPr="00EE3B6B" w:rsidP="006D1FD2" w14:paraId="2A7DC8D7" w14:textId="77777777">
            <w:pPr>
              <w:pStyle w:val="TableParagraph"/>
              <w:keepLines/>
              <w:spacing w:after="120" w:line="276" w:lineRule="auto"/>
              <w:ind w:left="79" w:right="354"/>
            </w:pPr>
            <w:r w:rsidRPr="00EE3B6B">
              <w:t>A previously validated submission has been unlocked.</w:t>
            </w:r>
          </w:p>
        </w:tc>
        <w:tc>
          <w:tcPr>
            <w:tcW w:w="0" w:type="auto"/>
            <w:tcBorders>
              <w:top w:val="single" w:sz="9" w:space="0" w:color="FFFFFF"/>
              <w:left w:val="single" w:sz="6" w:space="0" w:color="FFFFFF"/>
              <w:bottom w:val="nil"/>
              <w:right w:val="single" w:sz="6" w:space="0" w:color="FFFFFF"/>
            </w:tcBorders>
            <w:shd w:val="clear" w:color="auto" w:fill="D3DFEE"/>
          </w:tcPr>
          <w:p w:rsidR="00ED3E04" w:rsidRPr="00EE3B6B" w:rsidP="006D1FD2" w14:paraId="368EABB6" w14:textId="77777777">
            <w:pPr>
              <w:pStyle w:val="TableParagraph"/>
              <w:keepLines/>
              <w:spacing w:after="120" w:line="276" w:lineRule="auto"/>
              <w:ind w:left="100" w:right="84"/>
            </w:pPr>
            <w:r w:rsidRPr="00EE3B6B">
              <w:t>The issuer can revise the submission during the Pending Supplemental Materials phase.</w:t>
            </w:r>
          </w:p>
        </w:tc>
        <w:tc>
          <w:tcPr>
            <w:tcW w:w="3201" w:type="dxa"/>
            <w:tcBorders>
              <w:top w:val="single" w:sz="9" w:space="0" w:color="FFFFFF"/>
              <w:left w:val="single" w:sz="6" w:space="0" w:color="FFFFFF"/>
              <w:bottom w:val="nil"/>
              <w:right w:val="nil"/>
            </w:tcBorders>
            <w:shd w:val="clear" w:color="auto" w:fill="D3DFEE"/>
          </w:tcPr>
          <w:p w:rsidR="00ED3E04" w:rsidRPr="00EE3B6B" w:rsidP="006D1FD2" w14:paraId="1A5E2329" w14:textId="77777777">
            <w:pPr>
              <w:pStyle w:val="TableParagraph"/>
              <w:keepLines/>
              <w:spacing w:after="120" w:line="276" w:lineRule="auto"/>
              <w:ind w:left="100" w:right="306"/>
              <w:rPr>
                <w:i/>
                <w:u w:val="single"/>
              </w:rPr>
            </w:pPr>
            <w:r w:rsidRPr="00EE3B6B">
              <w:rPr>
                <w:i/>
                <w:u w:val="single"/>
              </w:rPr>
              <w:t>The issuer should revise the submission.</w:t>
            </w:r>
          </w:p>
        </w:tc>
      </w:tr>
      <w:tr w14:paraId="6464C4DE" w14:textId="77777777" w:rsidTr="00B55ACB">
        <w:tblPrEx>
          <w:tblW w:w="9540" w:type="dxa"/>
          <w:tblCellMar>
            <w:left w:w="0" w:type="dxa"/>
            <w:right w:w="0" w:type="dxa"/>
          </w:tblCellMar>
          <w:tblLook w:val="01E0"/>
        </w:tblPrEx>
        <w:trPr>
          <w:trHeight w:hRule="exact" w:val="1849"/>
        </w:trPr>
        <w:tc>
          <w:tcPr>
            <w:tcW w:w="1890" w:type="dxa"/>
            <w:tcBorders>
              <w:top w:val="single" w:sz="9" w:space="0" w:color="FFFFFF"/>
              <w:left w:val="nil"/>
              <w:bottom w:val="nil"/>
              <w:right w:val="single" w:sz="24" w:space="0" w:color="FFFFFF"/>
            </w:tcBorders>
            <w:shd w:val="clear" w:color="auto" w:fill="4F81BD"/>
          </w:tcPr>
          <w:p w:rsidR="00ED3E04" w:rsidRPr="00EE3B6B" w:rsidP="006D1FD2" w14:paraId="100E66CE" w14:textId="77777777">
            <w:pPr>
              <w:pStyle w:val="TableParagraph"/>
              <w:keepLines/>
              <w:spacing w:after="120" w:line="276" w:lineRule="auto"/>
              <w:ind w:left="98" w:right="453"/>
              <w:rPr>
                <w:b/>
                <w:color w:val="FFFFFF"/>
              </w:rPr>
            </w:pPr>
            <w:r w:rsidRPr="00EE3B6B">
              <w:rPr>
                <w:b/>
                <w:color w:val="FFFFFF"/>
              </w:rPr>
              <w:t>Supplemental Materials Received</w:t>
            </w:r>
          </w:p>
        </w:tc>
        <w:tc>
          <w:tcPr>
            <w:tcW w:w="2622" w:type="dxa"/>
            <w:tcBorders>
              <w:top w:val="single" w:sz="9" w:space="0" w:color="FFFFFF"/>
              <w:left w:val="single" w:sz="24" w:space="0" w:color="FFFFFF"/>
              <w:bottom w:val="nil"/>
              <w:right w:val="single" w:sz="6" w:space="0" w:color="FFFFFF"/>
            </w:tcBorders>
            <w:shd w:val="clear" w:color="auto" w:fill="D3DFEE"/>
          </w:tcPr>
          <w:p w:rsidR="00ED3E04" w:rsidRPr="00EE3B6B" w:rsidP="006D1FD2" w14:paraId="138AA329" w14:textId="77777777">
            <w:pPr>
              <w:pStyle w:val="TableParagraph"/>
              <w:keepLines/>
              <w:spacing w:after="120" w:line="276" w:lineRule="auto"/>
              <w:ind w:left="79" w:right="354"/>
            </w:pPr>
            <w:r w:rsidRPr="00EE3B6B">
              <w:t>The issuer has revised a submission that was previously in the Pending Supplemental Materials status.</w:t>
            </w:r>
          </w:p>
        </w:tc>
        <w:tc>
          <w:tcPr>
            <w:tcW w:w="0" w:type="auto"/>
            <w:tcBorders>
              <w:top w:val="single" w:sz="9" w:space="0" w:color="FFFFFF"/>
              <w:left w:val="single" w:sz="6" w:space="0" w:color="FFFFFF"/>
              <w:bottom w:val="nil"/>
              <w:right w:val="single" w:sz="6" w:space="0" w:color="FFFFFF"/>
            </w:tcBorders>
            <w:shd w:val="clear" w:color="auto" w:fill="D3DFEE"/>
          </w:tcPr>
          <w:p w:rsidR="00ED3E04" w:rsidRPr="00EE3B6B" w:rsidP="006D1FD2" w14:paraId="48A229D2" w14:textId="77777777">
            <w:pPr>
              <w:pStyle w:val="TableParagraph"/>
              <w:keepLines/>
              <w:spacing w:after="120" w:line="276" w:lineRule="auto"/>
              <w:ind w:left="100" w:right="84"/>
            </w:pPr>
            <w:r w:rsidRPr="00EE3B6B">
              <w:t>The issuer can revise the submission during the Materials Received phase.</w:t>
            </w:r>
          </w:p>
        </w:tc>
        <w:tc>
          <w:tcPr>
            <w:tcW w:w="3201" w:type="dxa"/>
            <w:tcBorders>
              <w:top w:val="single" w:sz="9" w:space="0" w:color="FFFFFF"/>
              <w:left w:val="single" w:sz="6" w:space="0" w:color="FFFFFF"/>
              <w:bottom w:val="nil"/>
              <w:right w:val="nil"/>
            </w:tcBorders>
            <w:shd w:val="clear" w:color="auto" w:fill="D3DFEE"/>
          </w:tcPr>
          <w:p w:rsidR="00ED3E04" w:rsidRPr="00EE3B6B" w:rsidP="006D1FD2" w14:paraId="102B3389" w14:textId="77777777">
            <w:pPr>
              <w:pStyle w:val="TableParagraph"/>
              <w:keepLines/>
              <w:spacing w:after="120" w:line="276" w:lineRule="auto"/>
              <w:ind w:left="100" w:right="306"/>
              <w:rPr>
                <w:i/>
                <w:u w:val="single"/>
              </w:rPr>
            </w:pPr>
            <w:r w:rsidRPr="00EE3B6B">
              <w:rPr>
                <w:i/>
                <w:u w:val="single"/>
              </w:rPr>
              <w:t>The issuer must re-validate their submission.</w:t>
            </w:r>
          </w:p>
        </w:tc>
      </w:tr>
      <w:tr w14:paraId="3917330E" w14:textId="77777777" w:rsidTr="000C3F14">
        <w:tblPrEx>
          <w:tblW w:w="9540" w:type="dxa"/>
          <w:tblCellMar>
            <w:left w:w="0" w:type="dxa"/>
            <w:right w:w="0" w:type="dxa"/>
          </w:tblCellMar>
          <w:tblLook w:val="01E0"/>
        </w:tblPrEx>
        <w:trPr>
          <w:trHeight w:hRule="exact" w:val="2470"/>
        </w:trPr>
        <w:tc>
          <w:tcPr>
            <w:tcW w:w="1890" w:type="dxa"/>
            <w:tcBorders>
              <w:top w:val="single" w:sz="9" w:space="0" w:color="FFFFFF"/>
              <w:left w:val="nil"/>
              <w:bottom w:val="nil"/>
              <w:right w:val="single" w:sz="24" w:space="0" w:color="FFFFFF"/>
            </w:tcBorders>
            <w:shd w:val="clear" w:color="auto" w:fill="4F81BD"/>
          </w:tcPr>
          <w:p w:rsidR="00ED3E04" w:rsidRPr="00EE3B6B" w:rsidP="006D1FD2" w14:paraId="08E15809" w14:textId="55D4288C">
            <w:pPr>
              <w:pStyle w:val="TableParagraph"/>
              <w:keepLines/>
              <w:spacing w:after="120" w:line="276" w:lineRule="auto"/>
              <w:ind w:left="98" w:right="453"/>
              <w:rPr>
                <w:b/>
                <w:color w:val="FFFFFF"/>
              </w:rPr>
            </w:pPr>
            <w:r w:rsidRPr="00EE3B6B">
              <w:rPr>
                <w:b/>
                <w:color w:val="FFFFFF"/>
              </w:rPr>
              <w:t>Rate Filing Accepted</w:t>
            </w:r>
            <w:r>
              <w:rPr>
                <w:rStyle w:val="FootnoteReference"/>
                <w:b/>
                <w:color w:val="FFFFFF"/>
              </w:rPr>
              <w:footnoteReference w:id="25"/>
            </w:r>
          </w:p>
        </w:tc>
        <w:tc>
          <w:tcPr>
            <w:tcW w:w="2622" w:type="dxa"/>
            <w:tcBorders>
              <w:top w:val="single" w:sz="9" w:space="0" w:color="FFFFFF"/>
              <w:left w:val="single" w:sz="24" w:space="0" w:color="FFFFFF"/>
              <w:bottom w:val="nil"/>
              <w:right w:val="single" w:sz="6" w:space="0" w:color="FFFFFF"/>
            </w:tcBorders>
            <w:shd w:val="clear" w:color="auto" w:fill="D3DFEE"/>
          </w:tcPr>
          <w:p w:rsidR="00ED3E04" w:rsidRPr="00EE3B6B" w:rsidP="006D1FD2" w14:paraId="47FB0D83" w14:textId="77777777">
            <w:pPr>
              <w:pStyle w:val="TableParagraph"/>
              <w:keepLines/>
              <w:spacing w:after="120" w:line="276" w:lineRule="auto"/>
              <w:ind w:left="79" w:right="354"/>
            </w:pPr>
            <w:r w:rsidRPr="00EE3B6B">
              <w:t>A submission not subject to rate review has passed the compliance review</w:t>
            </w:r>
            <w:r w:rsidRPr="00EE3B6B" w:rsidR="00272A37">
              <w:t>,</w:t>
            </w:r>
            <w:r w:rsidRPr="00EE3B6B">
              <w:t xml:space="preserve"> and CCIIO has checked the “Web Content Assessment” box in HIOS.</w:t>
            </w:r>
          </w:p>
        </w:tc>
        <w:tc>
          <w:tcPr>
            <w:tcW w:w="0" w:type="auto"/>
            <w:tcBorders>
              <w:top w:val="single" w:sz="9" w:space="0" w:color="FFFFFF"/>
              <w:left w:val="single" w:sz="6" w:space="0" w:color="FFFFFF"/>
              <w:bottom w:val="nil"/>
              <w:right w:val="single" w:sz="6" w:space="0" w:color="FFFFFF"/>
            </w:tcBorders>
            <w:shd w:val="clear" w:color="auto" w:fill="D3DFEE"/>
          </w:tcPr>
          <w:p w:rsidR="00ED3E04" w:rsidRPr="00EE3B6B" w:rsidP="006D1FD2" w14:paraId="054235EE" w14:textId="77777777">
            <w:pPr>
              <w:pStyle w:val="TableParagraph"/>
              <w:keepLines/>
              <w:spacing w:after="120" w:line="276" w:lineRule="auto"/>
              <w:ind w:left="100" w:right="84"/>
            </w:pPr>
            <w:r w:rsidRPr="00EE3B6B">
              <w:t xml:space="preserve">Only applicable to </w:t>
            </w:r>
            <w:r w:rsidRPr="00EE3B6B" w:rsidR="00235537">
              <w:t xml:space="preserve">submissions where all plans have </w:t>
            </w:r>
            <w:r w:rsidRPr="00EE3B6B">
              <w:t xml:space="preserve">rate </w:t>
            </w:r>
            <w:r w:rsidRPr="00EE3B6B" w:rsidR="00235537">
              <w:t>changes</w:t>
            </w:r>
            <w:r w:rsidRPr="00EE3B6B">
              <w:t xml:space="preserve"> of &lt; 1</w:t>
            </w:r>
            <w:r w:rsidRPr="00EE3B6B" w:rsidR="00D22F17">
              <w:t>5</w:t>
            </w:r>
            <w:r w:rsidRPr="00EE3B6B">
              <w:t>%.</w:t>
            </w:r>
          </w:p>
        </w:tc>
        <w:tc>
          <w:tcPr>
            <w:tcW w:w="3201" w:type="dxa"/>
            <w:tcBorders>
              <w:top w:val="single" w:sz="9" w:space="0" w:color="FFFFFF"/>
              <w:left w:val="single" w:sz="6" w:space="0" w:color="FFFFFF"/>
              <w:bottom w:val="nil"/>
              <w:right w:val="nil"/>
            </w:tcBorders>
            <w:shd w:val="clear" w:color="auto" w:fill="D3DFEE"/>
          </w:tcPr>
          <w:p w:rsidR="00ED3E04" w:rsidRPr="00EE3B6B" w:rsidP="006D1FD2" w14:paraId="581BAF0C" w14:textId="77777777">
            <w:pPr>
              <w:pStyle w:val="TableParagraph"/>
              <w:keepLines/>
              <w:spacing w:after="120" w:line="276" w:lineRule="auto"/>
              <w:ind w:left="100" w:right="306"/>
              <w:rPr>
                <w:i/>
                <w:u w:val="single"/>
              </w:rPr>
            </w:pPr>
            <w:r w:rsidRPr="00EE3B6B">
              <w:rPr>
                <w:i/>
                <w:u w:val="single"/>
              </w:rPr>
              <w:t>None. This is the final status for submissions not subject to rate review.</w:t>
            </w:r>
          </w:p>
        </w:tc>
      </w:tr>
      <w:tr w14:paraId="68C5EEE4" w14:textId="77777777" w:rsidTr="000C3F14">
        <w:tblPrEx>
          <w:tblW w:w="9540" w:type="dxa"/>
          <w:tblCellMar>
            <w:left w:w="0" w:type="dxa"/>
            <w:right w:w="0" w:type="dxa"/>
          </w:tblCellMar>
          <w:tblLook w:val="01E0"/>
        </w:tblPrEx>
        <w:trPr>
          <w:trHeight w:hRule="exact" w:val="1894"/>
        </w:trPr>
        <w:tc>
          <w:tcPr>
            <w:tcW w:w="1890" w:type="dxa"/>
            <w:tcBorders>
              <w:top w:val="single" w:sz="9" w:space="0" w:color="FFFFFF"/>
              <w:left w:val="nil"/>
              <w:bottom w:val="nil"/>
              <w:right w:val="single" w:sz="24" w:space="0" w:color="FFFFFF"/>
            </w:tcBorders>
            <w:shd w:val="clear" w:color="auto" w:fill="4F81BD"/>
          </w:tcPr>
          <w:p w:rsidR="00ED3E04" w:rsidRPr="00EE3B6B" w:rsidP="006D1FD2" w14:paraId="4A0E75CE" w14:textId="77777777">
            <w:pPr>
              <w:pStyle w:val="TableParagraph"/>
              <w:keepLines/>
              <w:spacing w:after="120" w:line="276" w:lineRule="auto"/>
              <w:ind w:left="98" w:right="453"/>
              <w:rPr>
                <w:b/>
                <w:color w:val="FFFFFF"/>
              </w:rPr>
            </w:pPr>
            <w:r w:rsidRPr="00EE3B6B">
              <w:rPr>
                <w:b/>
                <w:color w:val="FFFFFF"/>
              </w:rPr>
              <w:t>Submission Filed</w:t>
            </w:r>
          </w:p>
        </w:tc>
        <w:tc>
          <w:tcPr>
            <w:tcW w:w="2622" w:type="dxa"/>
            <w:tcBorders>
              <w:top w:val="single" w:sz="9" w:space="0" w:color="FFFFFF"/>
              <w:left w:val="single" w:sz="24" w:space="0" w:color="FFFFFF"/>
              <w:bottom w:val="nil"/>
              <w:right w:val="single" w:sz="6" w:space="0" w:color="FFFFFF"/>
            </w:tcBorders>
            <w:shd w:val="clear" w:color="auto" w:fill="D3DFEE"/>
          </w:tcPr>
          <w:p w:rsidR="00ED3E04" w:rsidRPr="00EE3B6B" w:rsidP="006D1FD2" w14:paraId="27CA31E2" w14:textId="77777777">
            <w:pPr>
              <w:pStyle w:val="TableParagraph"/>
              <w:keepLines/>
              <w:spacing w:after="120" w:line="276" w:lineRule="auto"/>
              <w:ind w:left="79" w:right="354"/>
            </w:pPr>
            <w:r w:rsidRPr="00EE3B6B">
              <w:t>CCIIO has checked the “Web Content Assessment” box in HIOS for a submission subject to rate review.</w:t>
            </w:r>
          </w:p>
        </w:tc>
        <w:tc>
          <w:tcPr>
            <w:tcW w:w="0" w:type="auto"/>
            <w:tcBorders>
              <w:top w:val="single" w:sz="9" w:space="0" w:color="FFFFFF"/>
              <w:left w:val="single" w:sz="6" w:space="0" w:color="FFFFFF"/>
              <w:bottom w:val="nil"/>
              <w:right w:val="single" w:sz="6" w:space="0" w:color="FFFFFF"/>
            </w:tcBorders>
            <w:shd w:val="clear" w:color="auto" w:fill="D3DFEE"/>
          </w:tcPr>
          <w:p w:rsidR="00ED3E04" w:rsidRPr="00EE3B6B" w:rsidP="006D1FD2" w14:paraId="12E880F9" w14:textId="77777777">
            <w:pPr>
              <w:pStyle w:val="TableParagraph"/>
              <w:keepLines/>
              <w:spacing w:after="120" w:line="276" w:lineRule="auto"/>
              <w:ind w:left="100" w:right="84"/>
            </w:pPr>
            <w:r w:rsidRPr="00EE3B6B">
              <w:t xml:space="preserve">Only applicable to </w:t>
            </w:r>
            <w:r w:rsidRPr="00EE3B6B" w:rsidR="00235537">
              <w:t xml:space="preserve">submissions that contain a plan with a </w:t>
            </w:r>
            <w:r w:rsidRPr="00EE3B6B">
              <w:t>rate increase of ≥ 1</w:t>
            </w:r>
            <w:r w:rsidRPr="00EE3B6B" w:rsidR="00D22F17">
              <w:t>5</w:t>
            </w:r>
            <w:r w:rsidRPr="00EE3B6B">
              <w:t>%.</w:t>
            </w:r>
          </w:p>
        </w:tc>
        <w:tc>
          <w:tcPr>
            <w:tcW w:w="3201" w:type="dxa"/>
            <w:tcBorders>
              <w:top w:val="single" w:sz="9" w:space="0" w:color="FFFFFF"/>
              <w:left w:val="single" w:sz="6" w:space="0" w:color="FFFFFF"/>
              <w:bottom w:val="nil"/>
              <w:right w:val="nil"/>
            </w:tcBorders>
            <w:shd w:val="clear" w:color="auto" w:fill="D3DFEE"/>
          </w:tcPr>
          <w:p w:rsidR="00ED3E04" w:rsidRPr="00EE3B6B" w:rsidP="006D1FD2" w14:paraId="7CA88A13" w14:textId="77777777">
            <w:pPr>
              <w:pStyle w:val="TableParagraph"/>
              <w:keepLines/>
              <w:spacing w:after="120" w:line="276" w:lineRule="auto"/>
              <w:ind w:left="100" w:right="306"/>
              <w:rPr>
                <w:i/>
                <w:u w:val="single"/>
              </w:rPr>
            </w:pPr>
            <w:r w:rsidRPr="00EE3B6B">
              <w:rPr>
                <w:i/>
                <w:u w:val="single"/>
              </w:rPr>
              <w:t>The regulator must select “Review in Progress” in the dropdown menu in HIOS and then click Save.</w:t>
            </w:r>
          </w:p>
        </w:tc>
      </w:tr>
      <w:tr w14:paraId="2F4D871F" w14:textId="77777777" w:rsidTr="000C3F14">
        <w:tblPrEx>
          <w:tblW w:w="9540" w:type="dxa"/>
          <w:tblCellMar>
            <w:left w:w="0" w:type="dxa"/>
            <w:right w:w="0" w:type="dxa"/>
          </w:tblCellMar>
          <w:tblLook w:val="01E0"/>
        </w:tblPrEx>
        <w:trPr>
          <w:trHeight w:hRule="exact" w:val="2065"/>
        </w:trPr>
        <w:tc>
          <w:tcPr>
            <w:tcW w:w="1890" w:type="dxa"/>
            <w:tcBorders>
              <w:top w:val="single" w:sz="9" w:space="0" w:color="FFFFFF"/>
              <w:left w:val="nil"/>
              <w:bottom w:val="nil"/>
              <w:right w:val="single" w:sz="24" w:space="0" w:color="FFFFFF"/>
            </w:tcBorders>
            <w:shd w:val="clear" w:color="auto" w:fill="4F81BD"/>
          </w:tcPr>
          <w:p w:rsidR="00ED3E04" w:rsidRPr="00EE3B6B" w:rsidP="006D1FD2" w14:paraId="0C6A8190" w14:textId="77777777">
            <w:pPr>
              <w:pStyle w:val="TableParagraph"/>
              <w:keepLines/>
              <w:spacing w:after="120" w:line="276" w:lineRule="auto"/>
              <w:ind w:left="98" w:right="453"/>
              <w:rPr>
                <w:b/>
                <w:color w:val="FFFFFF"/>
              </w:rPr>
            </w:pPr>
            <w:r w:rsidRPr="00EE3B6B">
              <w:rPr>
                <w:b/>
                <w:color w:val="FFFFFF"/>
              </w:rPr>
              <w:t>Review in Progress</w:t>
            </w:r>
          </w:p>
        </w:tc>
        <w:tc>
          <w:tcPr>
            <w:tcW w:w="2622" w:type="dxa"/>
            <w:tcBorders>
              <w:top w:val="single" w:sz="9" w:space="0" w:color="FFFFFF"/>
              <w:left w:val="single" w:sz="24" w:space="0" w:color="FFFFFF"/>
              <w:bottom w:val="nil"/>
              <w:right w:val="single" w:sz="6" w:space="0" w:color="FFFFFF"/>
            </w:tcBorders>
            <w:shd w:val="clear" w:color="auto" w:fill="D3DFEE"/>
          </w:tcPr>
          <w:p w:rsidR="00ED3E04" w:rsidRPr="00EE3B6B" w:rsidP="006D1FD2" w14:paraId="6CF937E4" w14:textId="77777777">
            <w:pPr>
              <w:pStyle w:val="TableParagraph"/>
              <w:keepLines/>
              <w:spacing w:after="120" w:line="276" w:lineRule="auto"/>
              <w:ind w:left="79" w:right="354"/>
            </w:pPr>
            <w:r w:rsidRPr="00EE3B6B">
              <w:t>A submission subject to rate review is being reviewed by the regulator.</w:t>
            </w:r>
          </w:p>
        </w:tc>
        <w:tc>
          <w:tcPr>
            <w:tcW w:w="0" w:type="auto"/>
            <w:tcBorders>
              <w:top w:val="single" w:sz="9" w:space="0" w:color="FFFFFF"/>
              <w:left w:val="single" w:sz="6" w:space="0" w:color="FFFFFF"/>
              <w:bottom w:val="nil"/>
              <w:right w:val="single" w:sz="6" w:space="0" w:color="FFFFFF"/>
            </w:tcBorders>
            <w:shd w:val="clear" w:color="auto" w:fill="D3DFEE"/>
          </w:tcPr>
          <w:p w:rsidR="00ED3E04" w:rsidRPr="00EE3B6B" w:rsidP="006D1FD2" w14:paraId="2FE22A14" w14:textId="77777777">
            <w:pPr>
              <w:pStyle w:val="TableParagraph"/>
              <w:keepLines/>
              <w:spacing w:after="120" w:line="276" w:lineRule="auto"/>
              <w:ind w:left="100" w:right="84"/>
            </w:pPr>
            <w:r w:rsidRPr="00EE3B6B">
              <w:t xml:space="preserve">Only applicable to </w:t>
            </w:r>
            <w:r w:rsidRPr="00EE3B6B" w:rsidR="00DE238B">
              <w:t xml:space="preserve">submissions that contain a plan with a </w:t>
            </w:r>
            <w:r w:rsidRPr="00EE3B6B">
              <w:t xml:space="preserve">rate increase </w:t>
            </w:r>
            <w:r w:rsidRPr="00EE3B6B" w:rsidR="00DE238B">
              <w:t xml:space="preserve">of </w:t>
            </w:r>
            <w:r w:rsidRPr="00EE3B6B">
              <w:t>≥ 1</w:t>
            </w:r>
            <w:r w:rsidRPr="00EE3B6B" w:rsidR="00D22F17">
              <w:t>5</w:t>
            </w:r>
            <w:r w:rsidRPr="00EE3B6B">
              <w:t>%.</w:t>
            </w:r>
          </w:p>
        </w:tc>
        <w:tc>
          <w:tcPr>
            <w:tcW w:w="3201" w:type="dxa"/>
            <w:tcBorders>
              <w:top w:val="single" w:sz="9" w:space="0" w:color="FFFFFF"/>
              <w:left w:val="single" w:sz="6" w:space="0" w:color="FFFFFF"/>
              <w:bottom w:val="nil"/>
              <w:right w:val="nil"/>
            </w:tcBorders>
            <w:shd w:val="clear" w:color="auto" w:fill="D3DFEE"/>
          </w:tcPr>
          <w:p w:rsidR="00ED3E04" w:rsidRPr="00EE3B6B" w:rsidP="006D1FD2" w14:paraId="12750BAC" w14:textId="77777777">
            <w:pPr>
              <w:pStyle w:val="TableParagraph"/>
              <w:keepLines/>
              <w:spacing w:after="120" w:line="276" w:lineRule="auto"/>
              <w:ind w:left="100" w:right="306"/>
              <w:rPr>
                <w:i/>
                <w:u w:val="single"/>
              </w:rPr>
            </w:pPr>
            <w:r w:rsidRPr="00EE3B6B">
              <w:rPr>
                <w:i/>
                <w:u w:val="single"/>
              </w:rPr>
              <w:t>The regulator must enter a Final Determination of Unreasonable or Not Unreasonable in HIOS.</w:t>
            </w:r>
          </w:p>
        </w:tc>
      </w:tr>
      <w:tr w14:paraId="2D9CFE11" w14:textId="77777777" w:rsidTr="000C3F14">
        <w:tblPrEx>
          <w:tblW w:w="9540" w:type="dxa"/>
          <w:tblCellMar>
            <w:left w:w="0" w:type="dxa"/>
            <w:right w:w="0" w:type="dxa"/>
          </w:tblCellMar>
          <w:tblLook w:val="01E0"/>
        </w:tblPrEx>
        <w:trPr>
          <w:trHeight w:hRule="exact" w:val="2461"/>
        </w:trPr>
        <w:tc>
          <w:tcPr>
            <w:tcW w:w="1890" w:type="dxa"/>
            <w:tcBorders>
              <w:top w:val="single" w:sz="9" w:space="0" w:color="FFFFFF"/>
              <w:left w:val="nil"/>
              <w:bottom w:val="nil"/>
              <w:right w:val="single" w:sz="24" w:space="0" w:color="FFFFFF"/>
            </w:tcBorders>
            <w:shd w:val="clear" w:color="auto" w:fill="4F81BD"/>
          </w:tcPr>
          <w:p w:rsidR="00ED3E04" w:rsidRPr="00EE3B6B" w:rsidP="006D1FD2" w14:paraId="4C458E99" w14:textId="3F9C09D8">
            <w:pPr>
              <w:pStyle w:val="TableParagraph"/>
              <w:keepLines/>
              <w:spacing w:after="120" w:line="276" w:lineRule="auto"/>
              <w:ind w:left="98" w:right="453"/>
              <w:rPr>
                <w:b/>
                <w:color w:val="FFFFFF"/>
              </w:rPr>
            </w:pPr>
            <w:r w:rsidRPr="00EE3B6B">
              <w:rPr>
                <w:b/>
                <w:color w:val="FFFFFF"/>
              </w:rPr>
              <w:t>Review Complete</w:t>
            </w:r>
            <w:r>
              <w:rPr>
                <w:rStyle w:val="FootnoteReference"/>
                <w:b/>
                <w:color w:val="FFFFFF"/>
              </w:rPr>
              <w:footnoteReference w:id="26"/>
            </w:r>
          </w:p>
        </w:tc>
        <w:tc>
          <w:tcPr>
            <w:tcW w:w="2622" w:type="dxa"/>
            <w:tcBorders>
              <w:top w:val="single" w:sz="9" w:space="0" w:color="FFFFFF"/>
              <w:left w:val="single" w:sz="24" w:space="0" w:color="FFFFFF"/>
              <w:bottom w:val="nil"/>
              <w:right w:val="single" w:sz="6" w:space="0" w:color="FFFFFF"/>
            </w:tcBorders>
            <w:shd w:val="clear" w:color="auto" w:fill="D3DFEE"/>
          </w:tcPr>
          <w:p w:rsidR="00ED3E04" w:rsidRPr="00EE3B6B" w:rsidP="006D1FD2" w14:paraId="237C515C" w14:textId="77777777">
            <w:pPr>
              <w:pStyle w:val="TableParagraph"/>
              <w:keepLines/>
              <w:spacing w:after="120" w:line="276" w:lineRule="auto"/>
              <w:ind w:left="79" w:right="354"/>
            </w:pPr>
            <w:r w:rsidRPr="00EE3B6B">
              <w:t>The regulator has finished reviewing a submission subject to rate review and has entered a final determination of Not Unreasonable in HIOS.</w:t>
            </w:r>
          </w:p>
        </w:tc>
        <w:tc>
          <w:tcPr>
            <w:tcW w:w="0" w:type="auto"/>
            <w:tcBorders>
              <w:top w:val="single" w:sz="9" w:space="0" w:color="FFFFFF"/>
              <w:left w:val="single" w:sz="6" w:space="0" w:color="FFFFFF"/>
              <w:bottom w:val="nil"/>
              <w:right w:val="single" w:sz="6" w:space="0" w:color="FFFFFF"/>
            </w:tcBorders>
            <w:shd w:val="clear" w:color="auto" w:fill="D3DFEE"/>
          </w:tcPr>
          <w:p w:rsidR="00ED3E04" w:rsidRPr="00EE3B6B" w:rsidP="006D1FD2" w14:paraId="7349FEBA" w14:textId="77777777">
            <w:pPr>
              <w:pStyle w:val="TableParagraph"/>
              <w:keepLines/>
              <w:spacing w:after="120" w:line="276" w:lineRule="auto"/>
              <w:ind w:left="100" w:right="84"/>
            </w:pPr>
            <w:r w:rsidRPr="00EE3B6B">
              <w:t>Only applicable to</w:t>
            </w:r>
            <w:r w:rsidRPr="00EE3B6B" w:rsidR="00DE238B">
              <w:t xml:space="preserve"> submissions that contain a plan with a</w:t>
            </w:r>
            <w:r w:rsidRPr="00EE3B6B">
              <w:t xml:space="preserve"> rate increase</w:t>
            </w:r>
            <w:r w:rsidRPr="00EE3B6B" w:rsidR="00DE238B">
              <w:t xml:space="preserve"> of</w:t>
            </w:r>
            <w:r w:rsidRPr="00EE3B6B">
              <w:t xml:space="preserve"> ≥ 1</w:t>
            </w:r>
            <w:r w:rsidRPr="00EE3B6B" w:rsidR="00D22F17">
              <w:t>5</w:t>
            </w:r>
            <w:r w:rsidRPr="00EE3B6B">
              <w:t>% that have been deemed Not Unreasonable.</w:t>
            </w:r>
          </w:p>
        </w:tc>
        <w:tc>
          <w:tcPr>
            <w:tcW w:w="3201" w:type="dxa"/>
            <w:tcBorders>
              <w:top w:val="single" w:sz="9" w:space="0" w:color="FFFFFF"/>
              <w:left w:val="single" w:sz="6" w:space="0" w:color="FFFFFF"/>
              <w:bottom w:val="nil"/>
              <w:right w:val="nil"/>
            </w:tcBorders>
            <w:shd w:val="clear" w:color="auto" w:fill="D3DFEE"/>
          </w:tcPr>
          <w:p w:rsidR="00ED3E04" w:rsidRPr="00EE3B6B" w:rsidP="006D1FD2" w14:paraId="78BE0A45" w14:textId="77777777">
            <w:pPr>
              <w:pStyle w:val="TableParagraph"/>
              <w:keepLines/>
              <w:spacing w:after="120" w:line="276" w:lineRule="auto"/>
              <w:ind w:left="100" w:right="306"/>
              <w:rPr>
                <w:i/>
                <w:u w:val="single"/>
              </w:rPr>
            </w:pPr>
            <w:r w:rsidRPr="00EE3B6B">
              <w:rPr>
                <w:i/>
                <w:u w:val="single"/>
              </w:rPr>
              <w:t>None. This is the final status for submissions with rate increases that are subject to rate review and have been determined by the regulator to be Not Unreasonable.</w:t>
            </w:r>
          </w:p>
        </w:tc>
      </w:tr>
      <w:tr w14:paraId="02F46B37" w14:textId="77777777" w:rsidTr="000C3F14">
        <w:tblPrEx>
          <w:tblW w:w="9540" w:type="dxa"/>
          <w:tblCellMar>
            <w:left w:w="0" w:type="dxa"/>
            <w:right w:w="0" w:type="dxa"/>
          </w:tblCellMar>
          <w:tblLook w:val="01E0"/>
        </w:tblPrEx>
        <w:trPr>
          <w:trHeight w:hRule="exact" w:val="5395"/>
        </w:trPr>
        <w:tc>
          <w:tcPr>
            <w:tcW w:w="1890" w:type="dxa"/>
            <w:tcBorders>
              <w:top w:val="single" w:sz="9" w:space="0" w:color="FFFFFF"/>
              <w:left w:val="nil"/>
              <w:bottom w:val="nil"/>
              <w:right w:val="single" w:sz="24" w:space="0" w:color="FFFFFF"/>
            </w:tcBorders>
            <w:shd w:val="clear" w:color="auto" w:fill="4F81BD"/>
          </w:tcPr>
          <w:p w:rsidR="00ED3E04" w:rsidRPr="00EE3B6B" w:rsidP="006D1FD2" w14:paraId="7ACB9588" w14:textId="34E91CE5">
            <w:pPr>
              <w:pStyle w:val="TableParagraph"/>
              <w:keepLines/>
              <w:spacing w:after="120" w:line="276" w:lineRule="auto"/>
              <w:ind w:left="98" w:right="453"/>
              <w:rPr>
                <w:b/>
                <w:color w:val="FFFFFF"/>
              </w:rPr>
            </w:pPr>
            <w:r w:rsidRPr="00EE3B6B">
              <w:rPr>
                <w:b/>
                <w:color w:val="FFFFFF"/>
              </w:rPr>
              <w:t>Pending Final Justification</w:t>
            </w:r>
          </w:p>
        </w:tc>
        <w:tc>
          <w:tcPr>
            <w:tcW w:w="2622" w:type="dxa"/>
            <w:tcBorders>
              <w:top w:val="single" w:sz="9" w:space="0" w:color="FFFFFF"/>
              <w:left w:val="single" w:sz="24" w:space="0" w:color="FFFFFF"/>
              <w:bottom w:val="nil"/>
              <w:right w:val="single" w:sz="6" w:space="0" w:color="FFFFFF"/>
            </w:tcBorders>
            <w:shd w:val="clear" w:color="auto" w:fill="D3DFEE"/>
          </w:tcPr>
          <w:p w:rsidR="00ED3E04" w:rsidRPr="00EE3B6B" w:rsidP="006D1FD2" w14:paraId="6F348DEC" w14:textId="77777777">
            <w:pPr>
              <w:pStyle w:val="TableParagraph"/>
              <w:keepLines/>
              <w:spacing w:after="120" w:line="276" w:lineRule="auto"/>
              <w:ind w:left="79" w:right="354"/>
            </w:pPr>
            <w:r w:rsidRPr="00EE3B6B">
              <w:t>The regulator has finished reviewing a submission subject to rate review and has entered a final determination of Unreasonable in HIOS.</w:t>
            </w:r>
          </w:p>
        </w:tc>
        <w:tc>
          <w:tcPr>
            <w:tcW w:w="0" w:type="auto"/>
            <w:tcBorders>
              <w:top w:val="single" w:sz="9" w:space="0" w:color="FFFFFF"/>
              <w:left w:val="single" w:sz="6" w:space="0" w:color="FFFFFF"/>
              <w:bottom w:val="nil"/>
              <w:right w:val="single" w:sz="6" w:space="0" w:color="FFFFFF"/>
            </w:tcBorders>
            <w:shd w:val="clear" w:color="auto" w:fill="D3DFEE"/>
          </w:tcPr>
          <w:p w:rsidR="00ED3E04" w:rsidRPr="00EE3B6B" w:rsidP="006D1FD2" w14:paraId="4E3578F7" w14:textId="77777777">
            <w:pPr>
              <w:pStyle w:val="TableParagraph"/>
              <w:keepLines/>
              <w:spacing w:after="120" w:line="276" w:lineRule="auto"/>
              <w:ind w:left="100" w:right="84"/>
            </w:pPr>
            <w:r w:rsidRPr="00EE3B6B">
              <w:t xml:space="preserve">Only applicable to </w:t>
            </w:r>
            <w:r w:rsidRPr="00EE3B6B" w:rsidR="00DE238B">
              <w:t xml:space="preserve">submissions that contain a plan with a </w:t>
            </w:r>
            <w:r w:rsidRPr="00EE3B6B">
              <w:t>rate increase</w:t>
            </w:r>
            <w:r w:rsidRPr="00EE3B6B" w:rsidR="00DE238B">
              <w:t xml:space="preserve"> of</w:t>
            </w:r>
            <w:r w:rsidRPr="00EE3B6B">
              <w:t xml:space="preserve"> ≥ 1</w:t>
            </w:r>
            <w:r w:rsidRPr="00EE3B6B" w:rsidR="00D22F17">
              <w:t>5</w:t>
            </w:r>
            <w:r w:rsidRPr="00EE3B6B">
              <w:t>% that have been deemed Unreasonable.</w:t>
            </w:r>
          </w:p>
        </w:tc>
        <w:tc>
          <w:tcPr>
            <w:tcW w:w="3201" w:type="dxa"/>
            <w:tcBorders>
              <w:top w:val="single" w:sz="9" w:space="0" w:color="FFFFFF"/>
              <w:left w:val="single" w:sz="6" w:space="0" w:color="FFFFFF"/>
              <w:bottom w:val="nil"/>
              <w:right w:val="nil"/>
            </w:tcBorders>
            <w:shd w:val="clear" w:color="auto" w:fill="D3DFEE"/>
          </w:tcPr>
          <w:p w:rsidR="00ED3E04" w:rsidRPr="00EE3B6B" w:rsidP="006D1FD2" w14:paraId="746E7AA9" w14:textId="77777777">
            <w:pPr>
              <w:pStyle w:val="TableParagraph"/>
              <w:keepLines/>
              <w:spacing w:after="120" w:line="276" w:lineRule="auto"/>
              <w:ind w:left="100" w:right="306"/>
              <w:rPr>
                <w:i/>
                <w:u w:val="single"/>
              </w:rPr>
            </w:pPr>
            <w:r w:rsidRPr="00EE3B6B">
              <w:rPr>
                <w:i/>
                <w:u w:val="single"/>
              </w:rPr>
              <w:t>If the issuer decides to implement the Unreasonable rate increase, then the issuer must enter a Final Justification in HIOS.</w:t>
            </w:r>
          </w:p>
          <w:p w:rsidR="00ED3E04" w:rsidRPr="00EE3B6B" w:rsidP="006D1FD2" w14:paraId="4D64AAEB" w14:textId="77777777">
            <w:pPr>
              <w:pStyle w:val="TableParagraph"/>
              <w:keepLines/>
              <w:spacing w:after="120" w:line="276" w:lineRule="auto"/>
              <w:ind w:left="100" w:right="306"/>
              <w:rPr>
                <w:i/>
                <w:u w:val="single"/>
              </w:rPr>
            </w:pPr>
          </w:p>
          <w:p w:rsidR="00ED3E04" w:rsidRPr="00EE3B6B" w:rsidP="006D1FD2" w14:paraId="29FDC739" w14:textId="77777777">
            <w:pPr>
              <w:pStyle w:val="TableParagraph"/>
              <w:keepLines/>
              <w:spacing w:after="120" w:line="276" w:lineRule="auto"/>
              <w:ind w:left="100" w:right="306"/>
              <w:rPr>
                <w:i/>
                <w:u w:val="single"/>
              </w:rPr>
            </w:pPr>
            <w:r w:rsidRPr="00EE3B6B">
              <w:rPr>
                <w:i/>
                <w:u w:val="single"/>
              </w:rPr>
              <w:t>If the issuer decides to modify the Unreasonable rate increase, the issuer should request a submission unlock and resubmit.</w:t>
            </w:r>
          </w:p>
          <w:p w:rsidR="00ED3E04" w:rsidRPr="00EE3B6B" w:rsidP="006D1FD2" w14:paraId="6A5611C4" w14:textId="77777777">
            <w:pPr>
              <w:pStyle w:val="TableParagraph"/>
              <w:keepLines/>
              <w:spacing w:after="120" w:line="276" w:lineRule="auto"/>
              <w:ind w:left="100" w:right="306"/>
              <w:rPr>
                <w:i/>
                <w:u w:val="single"/>
              </w:rPr>
            </w:pPr>
            <w:r w:rsidRPr="00EE3B6B">
              <w:rPr>
                <w:i/>
                <w:u w:val="single"/>
              </w:rPr>
              <w:t>If the issuer decides not to implement the unreasonable rate increase, then the issuer should contact CCIIO to request a submission deactivation.</w:t>
            </w:r>
          </w:p>
        </w:tc>
      </w:tr>
      <w:tr w14:paraId="6B4FF00E" w14:textId="77777777" w:rsidTr="000C3F14">
        <w:tblPrEx>
          <w:tblW w:w="9540" w:type="dxa"/>
          <w:tblCellMar>
            <w:left w:w="0" w:type="dxa"/>
            <w:right w:w="0" w:type="dxa"/>
          </w:tblCellMar>
          <w:tblLook w:val="01E0"/>
        </w:tblPrEx>
        <w:trPr>
          <w:trHeight w:hRule="exact" w:val="2614"/>
        </w:trPr>
        <w:tc>
          <w:tcPr>
            <w:tcW w:w="1890" w:type="dxa"/>
            <w:tcBorders>
              <w:top w:val="single" w:sz="9" w:space="0" w:color="FFFFFF"/>
              <w:left w:val="nil"/>
              <w:bottom w:val="nil"/>
              <w:right w:val="single" w:sz="24" w:space="0" w:color="FFFFFF"/>
            </w:tcBorders>
            <w:shd w:val="clear" w:color="auto" w:fill="4F81BD"/>
          </w:tcPr>
          <w:p w:rsidR="00ED3E04" w:rsidRPr="00EE3B6B" w:rsidP="00B55ACB" w14:paraId="75C1DCBE" w14:textId="560981BD">
            <w:pPr>
              <w:pStyle w:val="TableParagraph"/>
              <w:keepLines/>
              <w:spacing w:after="120" w:line="276" w:lineRule="auto"/>
              <w:ind w:left="98" w:right="453"/>
              <w:rPr>
                <w:b/>
                <w:color w:val="FFFFFF"/>
              </w:rPr>
            </w:pPr>
            <w:r w:rsidRPr="00EE3B6B">
              <w:rPr>
                <w:b/>
                <w:color w:val="FFFFFF"/>
              </w:rPr>
              <w:t>Final Justification</w:t>
            </w:r>
            <w:r w:rsidRPr="00EE3B6B" w:rsidR="00B55ACB">
              <w:rPr>
                <w:b/>
                <w:color w:val="FFFFFF"/>
              </w:rPr>
              <w:t xml:space="preserve"> </w:t>
            </w:r>
            <w:r w:rsidRPr="00EE3B6B" w:rsidR="004E48B2">
              <w:rPr>
                <w:b/>
                <w:color w:val="FFFFFF"/>
              </w:rPr>
              <w:t xml:space="preserve">Comments </w:t>
            </w:r>
            <w:r w:rsidRPr="00EE3B6B">
              <w:rPr>
                <w:b/>
                <w:color w:val="FFFFFF"/>
              </w:rPr>
              <w:t xml:space="preserve"> Submitted</w:t>
            </w:r>
            <w:r>
              <w:rPr>
                <w:rStyle w:val="FootnoteReference"/>
                <w:b/>
                <w:color w:val="FFFFFF"/>
              </w:rPr>
              <w:footnoteReference w:id="27"/>
            </w:r>
          </w:p>
        </w:tc>
        <w:tc>
          <w:tcPr>
            <w:tcW w:w="2622" w:type="dxa"/>
            <w:tcBorders>
              <w:top w:val="single" w:sz="9" w:space="0" w:color="FFFFFF"/>
              <w:left w:val="single" w:sz="24" w:space="0" w:color="FFFFFF"/>
              <w:bottom w:val="nil"/>
              <w:right w:val="single" w:sz="6" w:space="0" w:color="FFFFFF"/>
            </w:tcBorders>
            <w:shd w:val="clear" w:color="auto" w:fill="D3DFEE"/>
          </w:tcPr>
          <w:p w:rsidR="00ED3E04" w:rsidRPr="00EE3B6B" w:rsidP="006D1FD2" w14:paraId="293E54F8" w14:textId="77777777">
            <w:pPr>
              <w:pStyle w:val="TableParagraph"/>
              <w:keepLines/>
              <w:spacing w:after="120" w:line="276" w:lineRule="auto"/>
              <w:ind w:left="79" w:right="354"/>
            </w:pPr>
            <w:r w:rsidRPr="00EE3B6B">
              <w:t>The issuer has entered a Final Justification in HIOS.</w:t>
            </w:r>
          </w:p>
        </w:tc>
        <w:tc>
          <w:tcPr>
            <w:tcW w:w="0" w:type="auto"/>
            <w:tcBorders>
              <w:top w:val="single" w:sz="9" w:space="0" w:color="FFFFFF"/>
              <w:left w:val="single" w:sz="6" w:space="0" w:color="FFFFFF"/>
              <w:bottom w:val="nil"/>
              <w:right w:val="single" w:sz="6" w:space="0" w:color="FFFFFF"/>
            </w:tcBorders>
            <w:shd w:val="clear" w:color="auto" w:fill="D3DFEE"/>
          </w:tcPr>
          <w:p w:rsidR="00ED3E04" w:rsidRPr="00EE3B6B" w:rsidP="006D1FD2" w14:paraId="574E86E2" w14:textId="77777777">
            <w:pPr>
              <w:pStyle w:val="TableParagraph"/>
              <w:keepLines/>
              <w:spacing w:after="120" w:line="276" w:lineRule="auto"/>
              <w:ind w:left="100" w:right="84"/>
            </w:pPr>
            <w:r w:rsidRPr="00EE3B6B">
              <w:t>Only applicable to</w:t>
            </w:r>
            <w:r w:rsidRPr="00EE3B6B" w:rsidR="00DE238B">
              <w:t xml:space="preserve"> submissions that contain a plan with a</w:t>
            </w:r>
            <w:r w:rsidRPr="00EE3B6B">
              <w:t xml:space="preserve"> rate increase</w:t>
            </w:r>
            <w:r w:rsidRPr="00EE3B6B" w:rsidR="00DE238B">
              <w:t xml:space="preserve"> of</w:t>
            </w:r>
            <w:r w:rsidRPr="00EE3B6B">
              <w:t xml:space="preserve"> ≥ </w:t>
            </w:r>
            <w:r w:rsidRPr="00EE3B6B" w:rsidR="00D22F17">
              <w:t>15</w:t>
            </w:r>
            <w:r w:rsidRPr="00EE3B6B">
              <w:t>% that have been deemed Not Unreasonable.</w:t>
            </w:r>
          </w:p>
        </w:tc>
        <w:tc>
          <w:tcPr>
            <w:tcW w:w="3201" w:type="dxa"/>
            <w:tcBorders>
              <w:top w:val="single" w:sz="9" w:space="0" w:color="FFFFFF"/>
              <w:left w:val="single" w:sz="6" w:space="0" w:color="FFFFFF"/>
              <w:bottom w:val="nil"/>
              <w:right w:val="nil"/>
            </w:tcBorders>
            <w:shd w:val="clear" w:color="auto" w:fill="D3DFEE"/>
          </w:tcPr>
          <w:p w:rsidR="00ED3E04" w:rsidRPr="00EE3B6B" w:rsidP="006D1FD2" w14:paraId="7A996F4E" w14:textId="77777777">
            <w:pPr>
              <w:pStyle w:val="TableParagraph"/>
              <w:keepLines/>
              <w:spacing w:after="120" w:line="276" w:lineRule="auto"/>
              <w:ind w:left="100" w:right="306"/>
              <w:rPr>
                <w:i/>
                <w:u w:val="single"/>
              </w:rPr>
            </w:pPr>
            <w:r w:rsidRPr="00EE3B6B">
              <w:rPr>
                <w:i/>
                <w:u w:val="single"/>
              </w:rPr>
              <w:t>None. This is the final status for submissions with rate increases that are subject to rate review, have been determined by the regulator to be Unreasonable, and will be implemented by the issuer.</w:t>
            </w:r>
          </w:p>
        </w:tc>
      </w:tr>
      <w:tr w14:paraId="4B2D8F41" w14:textId="77777777" w:rsidTr="000C3F14">
        <w:tblPrEx>
          <w:tblW w:w="9540" w:type="dxa"/>
          <w:tblCellMar>
            <w:left w:w="0" w:type="dxa"/>
            <w:right w:w="0" w:type="dxa"/>
          </w:tblCellMar>
          <w:tblLook w:val="01E0"/>
        </w:tblPrEx>
        <w:trPr>
          <w:trHeight w:hRule="exact" w:val="2011"/>
        </w:trPr>
        <w:tc>
          <w:tcPr>
            <w:tcW w:w="1890" w:type="dxa"/>
            <w:tcBorders>
              <w:top w:val="single" w:sz="9" w:space="0" w:color="FFFFFF"/>
              <w:left w:val="nil"/>
              <w:bottom w:val="nil"/>
              <w:right w:val="single" w:sz="24" w:space="0" w:color="FFFFFF"/>
            </w:tcBorders>
            <w:shd w:val="clear" w:color="auto" w:fill="4F81BD"/>
          </w:tcPr>
          <w:p w:rsidR="00ED3E04" w:rsidRPr="00EE3B6B" w:rsidP="00B55ACB" w14:paraId="00B98A9A" w14:textId="4396791D">
            <w:pPr>
              <w:pStyle w:val="TableParagraph"/>
              <w:keepLines/>
              <w:spacing w:after="120" w:line="276" w:lineRule="auto"/>
              <w:ind w:left="98" w:right="453"/>
              <w:rPr>
                <w:b/>
                <w:color w:val="FFFFFF"/>
              </w:rPr>
            </w:pPr>
            <w:r w:rsidRPr="00EE3B6B">
              <w:rPr>
                <w:b/>
                <w:color w:val="FFFFFF"/>
              </w:rPr>
              <w:t>Submission</w:t>
            </w:r>
            <w:r w:rsidRPr="00EE3B6B" w:rsidR="00B55ACB">
              <w:rPr>
                <w:b/>
                <w:color w:val="FFFFFF"/>
              </w:rPr>
              <w:t xml:space="preserve"> </w:t>
            </w:r>
            <w:r w:rsidRPr="00EE3B6B">
              <w:rPr>
                <w:b/>
                <w:color w:val="FFFFFF"/>
              </w:rPr>
              <w:t>Failed</w:t>
            </w:r>
          </w:p>
        </w:tc>
        <w:tc>
          <w:tcPr>
            <w:tcW w:w="2622" w:type="dxa"/>
            <w:tcBorders>
              <w:top w:val="single" w:sz="9" w:space="0" w:color="FFFFFF"/>
              <w:left w:val="single" w:sz="24" w:space="0" w:color="FFFFFF"/>
              <w:bottom w:val="nil"/>
              <w:right w:val="single" w:sz="6" w:space="0" w:color="FFFFFF"/>
            </w:tcBorders>
            <w:shd w:val="clear" w:color="auto" w:fill="D3DFEE"/>
          </w:tcPr>
          <w:p w:rsidR="00ED3E04" w:rsidRPr="00EE3B6B" w:rsidP="006D1FD2" w14:paraId="6906F269" w14:textId="77777777">
            <w:pPr>
              <w:pStyle w:val="TableParagraph"/>
              <w:keepLines/>
              <w:spacing w:after="120" w:line="276" w:lineRule="auto"/>
              <w:ind w:left="79" w:right="354"/>
            </w:pPr>
            <w:r w:rsidRPr="00EE3B6B">
              <w:t>The issuer unsuccessfully attempted to create a submission in HIOS.</w:t>
            </w:r>
          </w:p>
        </w:tc>
        <w:tc>
          <w:tcPr>
            <w:tcW w:w="0" w:type="auto"/>
            <w:tcBorders>
              <w:top w:val="single" w:sz="9" w:space="0" w:color="FFFFFF"/>
              <w:left w:val="single" w:sz="6" w:space="0" w:color="FFFFFF"/>
              <w:bottom w:val="nil"/>
              <w:right w:val="single" w:sz="6" w:space="0" w:color="FFFFFF"/>
            </w:tcBorders>
            <w:shd w:val="clear" w:color="auto" w:fill="D3DFEE"/>
          </w:tcPr>
          <w:p w:rsidR="00ED3E04" w:rsidRPr="00EE3B6B" w:rsidP="006D1FD2" w14:paraId="4A8E9663" w14:textId="77777777">
            <w:pPr>
              <w:pStyle w:val="TableParagraph"/>
              <w:keepLines/>
              <w:spacing w:after="120" w:line="276" w:lineRule="auto"/>
              <w:ind w:left="100" w:right="84"/>
            </w:pPr>
            <w:r w:rsidRPr="00EE3B6B">
              <w:t>Submission failures occur when the issuer enters invalid data or fails to enter required data.</w:t>
            </w:r>
          </w:p>
        </w:tc>
        <w:tc>
          <w:tcPr>
            <w:tcW w:w="3201" w:type="dxa"/>
            <w:tcBorders>
              <w:top w:val="single" w:sz="9" w:space="0" w:color="FFFFFF"/>
              <w:left w:val="single" w:sz="6" w:space="0" w:color="FFFFFF"/>
              <w:bottom w:val="nil"/>
              <w:right w:val="nil"/>
            </w:tcBorders>
            <w:shd w:val="clear" w:color="auto" w:fill="D3DFEE"/>
          </w:tcPr>
          <w:p w:rsidR="00ED3E04" w:rsidRPr="00EE3B6B" w:rsidP="006D1FD2" w14:paraId="5B2C3D03" w14:textId="77777777">
            <w:pPr>
              <w:pStyle w:val="TableParagraph"/>
              <w:keepLines/>
              <w:spacing w:after="120" w:line="276" w:lineRule="auto"/>
              <w:ind w:left="100" w:right="306"/>
              <w:rPr>
                <w:i/>
                <w:u w:val="single"/>
              </w:rPr>
            </w:pPr>
            <w:r w:rsidRPr="00EE3B6B">
              <w:rPr>
                <w:i/>
                <w:u w:val="single"/>
              </w:rPr>
              <w:t>HIOS generates an email to the issuer indicating the submission failure. The issuer should create a new submission.</w:t>
            </w:r>
          </w:p>
        </w:tc>
      </w:tr>
      <w:tr w14:paraId="3BC19BF0" w14:textId="77777777" w:rsidTr="00B55ACB">
        <w:tblPrEx>
          <w:tblW w:w="9540" w:type="dxa"/>
          <w:tblCellMar>
            <w:left w:w="0" w:type="dxa"/>
            <w:right w:w="0" w:type="dxa"/>
          </w:tblCellMar>
          <w:tblLook w:val="01E0"/>
        </w:tblPrEx>
        <w:trPr>
          <w:trHeight w:hRule="exact" w:val="2938"/>
        </w:trPr>
        <w:tc>
          <w:tcPr>
            <w:tcW w:w="1890" w:type="dxa"/>
            <w:tcBorders>
              <w:top w:val="single" w:sz="9" w:space="0" w:color="FFFFFF"/>
              <w:left w:val="nil"/>
              <w:bottom w:val="single" w:sz="9" w:space="0" w:color="FFFFFF"/>
              <w:right w:val="single" w:sz="24" w:space="0" w:color="FFFFFF"/>
            </w:tcBorders>
            <w:shd w:val="clear" w:color="auto" w:fill="4F81BD"/>
          </w:tcPr>
          <w:p w:rsidR="00ED3E04" w:rsidRPr="00EE3B6B" w:rsidP="006D1FD2" w14:paraId="2DDD916C" w14:textId="77777777">
            <w:pPr>
              <w:pStyle w:val="TableParagraph"/>
              <w:keepLines/>
              <w:spacing w:after="120" w:line="276" w:lineRule="auto"/>
              <w:ind w:left="98" w:right="453"/>
              <w:rPr>
                <w:b/>
                <w:color w:val="FFFFFF"/>
              </w:rPr>
            </w:pPr>
            <w:r w:rsidRPr="00EE3B6B">
              <w:rPr>
                <w:b/>
                <w:color w:val="FFFFFF"/>
              </w:rPr>
              <w:t>Submission Deactivated</w:t>
            </w:r>
          </w:p>
        </w:tc>
        <w:tc>
          <w:tcPr>
            <w:tcW w:w="2622" w:type="dxa"/>
            <w:tcBorders>
              <w:top w:val="single" w:sz="9" w:space="0" w:color="FFFFFF"/>
              <w:left w:val="single" w:sz="24" w:space="0" w:color="FFFFFF"/>
              <w:bottom w:val="single" w:sz="9" w:space="0" w:color="FFFFFF"/>
              <w:right w:val="single" w:sz="6" w:space="0" w:color="FFFFFF"/>
            </w:tcBorders>
            <w:shd w:val="clear" w:color="auto" w:fill="D3DFEE"/>
          </w:tcPr>
          <w:p w:rsidR="00ED3E04" w:rsidRPr="00EE3B6B" w:rsidP="006D1FD2" w14:paraId="2820A9C9" w14:textId="77777777">
            <w:pPr>
              <w:pStyle w:val="TableParagraph"/>
              <w:keepLines/>
              <w:spacing w:after="120" w:line="276" w:lineRule="auto"/>
              <w:ind w:left="79" w:right="354"/>
            </w:pPr>
            <w:r w:rsidRPr="00EE3B6B">
              <w:t>CCIIO has deactivated the submission.</w:t>
            </w:r>
          </w:p>
          <w:p w:rsidR="00ED3E04" w:rsidRPr="00EE3B6B" w:rsidP="006D1FD2" w14:paraId="081E5DCA" w14:textId="77777777">
            <w:pPr>
              <w:pStyle w:val="TableParagraph"/>
              <w:keepLines/>
              <w:spacing w:after="120" w:line="276" w:lineRule="auto"/>
              <w:ind w:left="79" w:right="354"/>
            </w:pPr>
          </w:p>
          <w:p w:rsidR="00ED3E04" w:rsidRPr="00EE3B6B" w:rsidP="006D1FD2" w14:paraId="1000B2BA" w14:textId="77777777">
            <w:pPr>
              <w:pStyle w:val="TableParagraph"/>
              <w:keepLines/>
              <w:spacing w:after="120" w:line="276" w:lineRule="auto"/>
              <w:ind w:left="79" w:right="354"/>
            </w:pPr>
            <w:r w:rsidRPr="00EE3B6B">
              <w:rPr>
                <w:i/>
              </w:rPr>
              <w:t>Note:</w:t>
            </w:r>
            <w:r w:rsidRPr="00EE3B6B">
              <w:t xml:space="preserve"> In</w:t>
            </w:r>
            <w:r w:rsidRPr="00EE3B6B" w:rsidR="00915FCC">
              <w:t xml:space="preserve"> s</w:t>
            </w:r>
            <w:r w:rsidRPr="00EE3B6B" w:rsidR="00272A37">
              <w:t>tates with an Effective Rate Review Program</w:t>
            </w:r>
            <w:r w:rsidRPr="00EE3B6B">
              <w:t xml:space="preserve">, the </w:t>
            </w:r>
            <w:r w:rsidRPr="00EE3B6B" w:rsidR="00915FCC">
              <w:t>s</w:t>
            </w:r>
            <w:r w:rsidRPr="00EE3B6B">
              <w:t>tate regulator must first contact CCIIO to request the deactivation.</w:t>
            </w:r>
          </w:p>
        </w:tc>
        <w:tc>
          <w:tcPr>
            <w:tcW w:w="0" w:type="auto"/>
            <w:tcBorders>
              <w:top w:val="single" w:sz="9" w:space="0" w:color="FFFFFF"/>
              <w:left w:val="single" w:sz="6" w:space="0" w:color="FFFFFF"/>
              <w:bottom w:val="single" w:sz="9" w:space="0" w:color="FFFFFF"/>
              <w:right w:val="single" w:sz="6" w:space="0" w:color="FFFFFF"/>
            </w:tcBorders>
            <w:shd w:val="clear" w:color="auto" w:fill="D3DFEE"/>
          </w:tcPr>
          <w:p w:rsidR="00ED3E04" w:rsidRPr="00EE3B6B" w:rsidP="006D1FD2" w14:paraId="05D540B9" w14:textId="77777777">
            <w:pPr>
              <w:pStyle w:val="TableParagraph"/>
              <w:keepLines/>
              <w:spacing w:after="120" w:line="276" w:lineRule="auto"/>
              <w:ind w:left="100" w:right="84"/>
            </w:pPr>
            <w:r w:rsidRPr="00EE3B6B">
              <w:t>Only submissions with a status of Record Validated, Review Complete, or Rate Filing Accepted can be deactivated.</w:t>
            </w:r>
          </w:p>
        </w:tc>
        <w:tc>
          <w:tcPr>
            <w:tcW w:w="3201" w:type="dxa"/>
            <w:tcBorders>
              <w:top w:val="single" w:sz="9" w:space="0" w:color="FFFFFF"/>
              <w:left w:val="single" w:sz="6" w:space="0" w:color="FFFFFF"/>
              <w:bottom w:val="single" w:sz="9" w:space="0" w:color="FFFFFF"/>
              <w:right w:val="nil"/>
            </w:tcBorders>
            <w:shd w:val="clear" w:color="auto" w:fill="D3DFEE"/>
          </w:tcPr>
          <w:p w:rsidR="00ED3E04" w:rsidRPr="00EE3B6B" w:rsidP="006D1FD2" w14:paraId="6120A0B1" w14:textId="77777777">
            <w:pPr>
              <w:pStyle w:val="TableParagraph"/>
              <w:keepLines/>
              <w:spacing w:after="120" w:line="276" w:lineRule="auto"/>
              <w:ind w:left="100" w:right="306"/>
              <w:rPr>
                <w:i/>
                <w:u w:val="single"/>
              </w:rPr>
            </w:pPr>
            <w:r w:rsidRPr="00EE3B6B">
              <w:rPr>
                <w:i/>
                <w:u w:val="single"/>
              </w:rPr>
              <w:t>The issuer should create a new submission.</w:t>
            </w:r>
          </w:p>
        </w:tc>
      </w:tr>
      <w:tr w14:paraId="00C82851" w14:textId="77777777" w:rsidTr="00B55ACB">
        <w:tblPrEx>
          <w:tblW w:w="9540" w:type="dxa"/>
          <w:tblCellMar>
            <w:left w:w="0" w:type="dxa"/>
            <w:right w:w="0" w:type="dxa"/>
          </w:tblCellMar>
          <w:tblLook w:val="01E0"/>
        </w:tblPrEx>
        <w:trPr>
          <w:trHeight w:hRule="exact" w:val="1741"/>
        </w:trPr>
        <w:tc>
          <w:tcPr>
            <w:tcW w:w="1890" w:type="dxa"/>
            <w:tcBorders>
              <w:top w:val="single" w:sz="9" w:space="0" w:color="FFFFFF"/>
              <w:left w:val="nil"/>
              <w:bottom w:val="single" w:sz="9" w:space="0" w:color="FFFFFF"/>
              <w:right w:val="single" w:sz="24" w:space="0" w:color="FFFFFF"/>
            </w:tcBorders>
            <w:shd w:val="clear" w:color="auto" w:fill="4F81BD"/>
          </w:tcPr>
          <w:p w:rsidR="004E48B2" w:rsidRPr="00EE3B6B" w:rsidP="006D1FD2" w14:paraId="165DF604" w14:textId="4F29506D">
            <w:pPr>
              <w:pStyle w:val="TableParagraph"/>
              <w:keepLines/>
              <w:spacing w:after="120" w:line="276" w:lineRule="auto"/>
              <w:ind w:left="98" w:right="453"/>
              <w:rPr>
                <w:b/>
                <w:color w:val="FFFFFF"/>
              </w:rPr>
            </w:pPr>
            <w:r w:rsidRPr="00EE3B6B">
              <w:rPr>
                <w:b/>
                <w:color w:val="FFFFFF"/>
              </w:rPr>
              <w:t>Pending Resubmission</w:t>
            </w:r>
          </w:p>
        </w:tc>
        <w:tc>
          <w:tcPr>
            <w:tcW w:w="2622" w:type="dxa"/>
            <w:tcBorders>
              <w:top w:val="single" w:sz="9" w:space="0" w:color="FFFFFF"/>
              <w:left w:val="single" w:sz="24" w:space="0" w:color="FFFFFF"/>
              <w:bottom w:val="single" w:sz="9" w:space="0" w:color="FFFFFF"/>
              <w:right w:val="single" w:sz="6" w:space="0" w:color="FFFFFF"/>
            </w:tcBorders>
            <w:shd w:val="clear" w:color="auto" w:fill="D3DFEE"/>
          </w:tcPr>
          <w:p w:rsidR="004E48B2" w:rsidRPr="00EE3B6B" w:rsidP="006D1FD2" w14:paraId="2DB3A742" w14:textId="058E7DA4">
            <w:pPr>
              <w:pStyle w:val="TableParagraph"/>
              <w:keepLines/>
              <w:spacing w:after="120" w:line="276" w:lineRule="auto"/>
              <w:ind w:left="79" w:right="354"/>
            </w:pPr>
            <w:r w:rsidRPr="00EE3B6B">
              <w:t>State Reviewer can request resubmission whi</w:t>
            </w:r>
            <w:r w:rsidRPr="00EE3B6B" w:rsidR="00B55ACB">
              <w:t>c</w:t>
            </w:r>
            <w:r w:rsidRPr="00EE3B6B">
              <w:t>h puts the submission in “Pending Resubmission” status.</w:t>
            </w:r>
          </w:p>
        </w:tc>
        <w:tc>
          <w:tcPr>
            <w:tcW w:w="0" w:type="auto"/>
            <w:tcBorders>
              <w:top w:val="single" w:sz="9" w:space="0" w:color="FFFFFF"/>
              <w:left w:val="single" w:sz="6" w:space="0" w:color="FFFFFF"/>
              <w:bottom w:val="single" w:sz="9" w:space="0" w:color="FFFFFF"/>
              <w:right w:val="single" w:sz="6" w:space="0" w:color="FFFFFF"/>
            </w:tcBorders>
            <w:shd w:val="clear" w:color="auto" w:fill="D3DFEE"/>
          </w:tcPr>
          <w:p w:rsidR="004E48B2" w:rsidRPr="00EE3B6B" w:rsidP="006D1FD2" w14:paraId="60246478" w14:textId="579439E0">
            <w:pPr>
              <w:pStyle w:val="TableParagraph"/>
              <w:keepLines/>
              <w:spacing w:after="120" w:line="276" w:lineRule="auto"/>
              <w:ind w:left="100" w:right="84"/>
            </w:pPr>
            <w:r w:rsidRPr="00EE3B6B">
              <w:t>Only applicable to submissions that contain a plan with a rate increase of ≥15%</w:t>
            </w:r>
          </w:p>
        </w:tc>
        <w:tc>
          <w:tcPr>
            <w:tcW w:w="3201" w:type="dxa"/>
            <w:tcBorders>
              <w:top w:val="single" w:sz="9" w:space="0" w:color="FFFFFF"/>
              <w:left w:val="single" w:sz="6" w:space="0" w:color="FFFFFF"/>
              <w:bottom w:val="single" w:sz="9" w:space="0" w:color="FFFFFF"/>
              <w:right w:val="nil"/>
            </w:tcBorders>
            <w:shd w:val="clear" w:color="auto" w:fill="D3DFEE"/>
          </w:tcPr>
          <w:p w:rsidR="004E48B2" w:rsidRPr="00EE3B6B" w:rsidP="006D1FD2" w14:paraId="6F2F3319" w14:textId="34766474">
            <w:pPr>
              <w:pStyle w:val="TableParagraph"/>
              <w:keepLines/>
              <w:spacing w:after="120" w:line="276" w:lineRule="auto"/>
              <w:ind w:left="100" w:right="306"/>
              <w:rPr>
                <w:i/>
              </w:rPr>
            </w:pPr>
            <w:r w:rsidRPr="00EE3B6B">
              <w:rPr>
                <w:i/>
              </w:rPr>
              <w:t>The issuer must revalidate submission and requires new content assessment by CMS.</w:t>
            </w:r>
          </w:p>
        </w:tc>
      </w:tr>
      <w:tr w14:paraId="62F55D80" w14:textId="77777777" w:rsidTr="000C3F14">
        <w:tblPrEx>
          <w:tblW w:w="9540" w:type="dxa"/>
          <w:tblCellMar>
            <w:left w:w="0" w:type="dxa"/>
            <w:right w:w="0" w:type="dxa"/>
          </w:tblCellMar>
          <w:tblLook w:val="01E0"/>
        </w:tblPrEx>
        <w:trPr>
          <w:trHeight w:hRule="exact" w:val="3064"/>
        </w:trPr>
        <w:tc>
          <w:tcPr>
            <w:tcW w:w="1890" w:type="dxa"/>
            <w:tcBorders>
              <w:top w:val="single" w:sz="9" w:space="0" w:color="FFFFFF"/>
              <w:left w:val="nil"/>
              <w:bottom w:val="single" w:sz="9" w:space="0" w:color="FFFFFF"/>
              <w:right w:val="single" w:sz="24" w:space="0" w:color="FFFFFF"/>
            </w:tcBorders>
            <w:shd w:val="clear" w:color="auto" w:fill="4F81BD"/>
          </w:tcPr>
          <w:p w:rsidR="004E48B2" w:rsidRPr="00EE3B6B" w:rsidP="006D1FD2" w14:paraId="626D6177" w14:textId="07812219">
            <w:pPr>
              <w:pStyle w:val="TableParagraph"/>
              <w:keepLines/>
              <w:spacing w:after="120" w:line="276" w:lineRule="auto"/>
              <w:ind w:left="98" w:right="453"/>
              <w:rPr>
                <w:b/>
                <w:color w:val="FFFFFF"/>
              </w:rPr>
            </w:pPr>
            <w:r w:rsidRPr="00EE3B6B">
              <w:rPr>
                <w:b/>
                <w:color w:val="FFFFFF"/>
              </w:rPr>
              <w:t>Pre-Validation Pending Part 2 Consumer Justification Narratives</w:t>
            </w:r>
          </w:p>
        </w:tc>
        <w:tc>
          <w:tcPr>
            <w:tcW w:w="2622" w:type="dxa"/>
            <w:tcBorders>
              <w:top w:val="single" w:sz="9" w:space="0" w:color="FFFFFF"/>
              <w:left w:val="single" w:sz="24" w:space="0" w:color="FFFFFF"/>
              <w:bottom w:val="single" w:sz="9" w:space="0" w:color="FFFFFF"/>
              <w:right w:val="single" w:sz="6" w:space="0" w:color="FFFFFF"/>
            </w:tcBorders>
            <w:shd w:val="clear" w:color="auto" w:fill="D3DFEE"/>
          </w:tcPr>
          <w:p w:rsidR="004E48B2" w:rsidRPr="00EE3B6B" w:rsidP="006D1FD2" w14:paraId="194105C6" w14:textId="0621BB21">
            <w:pPr>
              <w:pStyle w:val="TableParagraph"/>
              <w:keepLines/>
              <w:spacing w:after="120" w:line="276" w:lineRule="auto"/>
              <w:ind w:left="79" w:right="354"/>
            </w:pPr>
            <w:r w:rsidRPr="00EE3B6B">
              <w:t>Issuer submitted a plan with a 15% or greater annual increase will result in HIOS identifying the product as subject to review and will require the issuer to enter a Consumer Justification Narrative for that product.</w:t>
            </w:r>
          </w:p>
        </w:tc>
        <w:tc>
          <w:tcPr>
            <w:tcW w:w="0" w:type="auto"/>
            <w:tcBorders>
              <w:top w:val="single" w:sz="9" w:space="0" w:color="FFFFFF"/>
              <w:left w:val="single" w:sz="6" w:space="0" w:color="FFFFFF"/>
              <w:bottom w:val="single" w:sz="9" w:space="0" w:color="FFFFFF"/>
              <w:right w:val="single" w:sz="6" w:space="0" w:color="FFFFFF"/>
            </w:tcBorders>
            <w:shd w:val="clear" w:color="auto" w:fill="D3DFEE"/>
          </w:tcPr>
          <w:p w:rsidR="004E48B2" w:rsidRPr="00EE3B6B" w:rsidP="006D1FD2" w14:paraId="6E8733DA" w14:textId="65EACCE1">
            <w:pPr>
              <w:pStyle w:val="TableParagraph"/>
              <w:keepLines/>
              <w:spacing w:after="120" w:line="276" w:lineRule="auto"/>
              <w:ind w:left="100" w:right="84"/>
            </w:pPr>
            <w:r w:rsidRPr="00EE3B6B">
              <w:t>Only applicable to submissions that contain a plan with a rate increase of ≥ 15%.</w:t>
            </w:r>
          </w:p>
        </w:tc>
        <w:tc>
          <w:tcPr>
            <w:tcW w:w="3201" w:type="dxa"/>
            <w:tcBorders>
              <w:top w:val="single" w:sz="9" w:space="0" w:color="FFFFFF"/>
              <w:left w:val="single" w:sz="6" w:space="0" w:color="FFFFFF"/>
              <w:bottom w:val="single" w:sz="9" w:space="0" w:color="FFFFFF"/>
              <w:right w:val="nil"/>
            </w:tcBorders>
            <w:shd w:val="clear" w:color="auto" w:fill="D3DFEE"/>
          </w:tcPr>
          <w:p w:rsidR="004E48B2" w:rsidRPr="00EE3B6B" w:rsidP="006D1FD2" w14:paraId="53DD1181" w14:textId="30508766">
            <w:pPr>
              <w:pStyle w:val="TableParagraph"/>
              <w:keepLines/>
              <w:spacing w:after="120" w:line="276" w:lineRule="auto"/>
              <w:ind w:left="100" w:right="306"/>
              <w:rPr>
                <w:i/>
              </w:rPr>
            </w:pPr>
            <w:r w:rsidRPr="00EE3B6B">
              <w:rPr>
                <w:i/>
              </w:rPr>
              <w:t>The issuer must submit a Consumer Justification document on the Submit/Edit Consumer Justification Narratives section.</w:t>
            </w:r>
          </w:p>
        </w:tc>
      </w:tr>
      <w:tr w14:paraId="6D92F3F0" w14:textId="77777777" w:rsidTr="000C3F14">
        <w:tblPrEx>
          <w:tblW w:w="9540" w:type="dxa"/>
          <w:tblCellMar>
            <w:left w:w="0" w:type="dxa"/>
            <w:right w:w="0" w:type="dxa"/>
          </w:tblCellMar>
          <w:tblLook w:val="01E0"/>
        </w:tblPrEx>
        <w:trPr>
          <w:trHeight w:hRule="exact" w:val="1975"/>
        </w:trPr>
        <w:tc>
          <w:tcPr>
            <w:tcW w:w="1890" w:type="dxa"/>
            <w:tcBorders>
              <w:top w:val="single" w:sz="9" w:space="0" w:color="FFFFFF"/>
              <w:left w:val="nil"/>
              <w:bottom w:val="single" w:sz="9" w:space="0" w:color="FFFFFF"/>
              <w:right w:val="single" w:sz="24" w:space="0" w:color="FFFFFF"/>
            </w:tcBorders>
            <w:shd w:val="clear" w:color="auto" w:fill="4F81BD"/>
          </w:tcPr>
          <w:p w:rsidR="000B7352" w:rsidRPr="00EE3B6B" w:rsidP="006D1FD2" w14:paraId="22C900DA" w14:textId="225D66C6">
            <w:pPr>
              <w:pStyle w:val="TableParagraph"/>
              <w:keepLines/>
              <w:spacing w:after="120" w:line="276" w:lineRule="auto"/>
              <w:ind w:left="98" w:right="453"/>
              <w:rPr>
                <w:b/>
                <w:color w:val="FFFFFF"/>
              </w:rPr>
            </w:pPr>
            <w:r w:rsidRPr="00EE3B6B">
              <w:rPr>
                <w:b/>
                <w:color w:val="FFFFFF"/>
              </w:rPr>
              <w:t>Contractor Review in Progress</w:t>
            </w:r>
          </w:p>
        </w:tc>
        <w:tc>
          <w:tcPr>
            <w:tcW w:w="2622" w:type="dxa"/>
            <w:tcBorders>
              <w:top w:val="single" w:sz="9" w:space="0" w:color="FFFFFF"/>
              <w:left w:val="single" w:sz="24" w:space="0" w:color="FFFFFF"/>
              <w:bottom w:val="single" w:sz="9" w:space="0" w:color="FFFFFF"/>
              <w:right w:val="single" w:sz="6" w:space="0" w:color="FFFFFF"/>
            </w:tcBorders>
            <w:shd w:val="clear" w:color="auto" w:fill="D3DFEE"/>
          </w:tcPr>
          <w:p w:rsidR="000B7352" w:rsidRPr="00EE3B6B" w:rsidP="006D1FD2" w14:paraId="143278DD" w14:textId="4CDC42C9">
            <w:pPr>
              <w:pStyle w:val="TableParagraph"/>
              <w:keepLines/>
              <w:spacing w:after="120" w:line="276" w:lineRule="auto"/>
              <w:ind w:left="79" w:right="354"/>
            </w:pPr>
            <w:r w:rsidRPr="00EE3B6B">
              <w:t xml:space="preserve">CCIIO </w:t>
            </w:r>
            <w:r w:rsidRPr="00EE3B6B">
              <w:t>has assigned a submission to a Contractor to review</w:t>
            </w:r>
          </w:p>
        </w:tc>
        <w:tc>
          <w:tcPr>
            <w:tcW w:w="0" w:type="auto"/>
            <w:tcBorders>
              <w:top w:val="single" w:sz="9" w:space="0" w:color="FFFFFF"/>
              <w:left w:val="single" w:sz="6" w:space="0" w:color="FFFFFF"/>
              <w:bottom w:val="single" w:sz="9" w:space="0" w:color="FFFFFF"/>
              <w:right w:val="single" w:sz="6" w:space="0" w:color="FFFFFF"/>
            </w:tcBorders>
            <w:shd w:val="clear" w:color="auto" w:fill="D3DFEE"/>
          </w:tcPr>
          <w:p w:rsidR="000B7352" w:rsidRPr="00EE3B6B" w:rsidP="006D1FD2" w14:paraId="6F5360F4" w14:textId="4AE40918">
            <w:pPr>
              <w:pStyle w:val="TableParagraph"/>
              <w:keepLines/>
              <w:spacing w:after="120" w:line="276" w:lineRule="auto"/>
              <w:ind w:left="100" w:right="84"/>
            </w:pPr>
            <w:r w:rsidRPr="00EE3B6B">
              <w:t>Only applicable to submissions that contain a plan with a rate increase of ≥ 15%.</w:t>
            </w:r>
          </w:p>
        </w:tc>
        <w:tc>
          <w:tcPr>
            <w:tcW w:w="3201" w:type="dxa"/>
            <w:tcBorders>
              <w:top w:val="single" w:sz="9" w:space="0" w:color="FFFFFF"/>
              <w:left w:val="single" w:sz="6" w:space="0" w:color="FFFFFF"/>
              <w:bottom w:val="single" w:sz="9" w:space="0" w:color="FFFFFF"/>
              <w:right w:val="nil"/>
            </w:tcBorders>
            <w:shd w:val="clear" w:color="auto" w:fill="D3DFEE"/>
          </w:tcPr>
          <w:p w:rsidR="000B7352" w:rsidRPr="00EE3B6B" w:rsidP="006D1FD2" w14:paraId="6CBB6EB5" w14:textId="0E9743D6">
            <w:pPr>
              <w:pStyle w:val="TableParagraph"/>
              <w:keepLines/>
              <w:spacing w:after="120" w:line="276" w:lineRule="auto"/>
              <w:ind w:left="100" w:right="306"/>
              <w:rPr>
                <w:i/>
              </w:rPr>
            </w:pPr>
            <w:r w:rsidRPr="00EE3B6B">
              <w:rPr>
                <w:i/>
                <w:iCs/>
              </w:rPr>
              <w:t>The contractor needs to review and change status to Contractor Review Complete after they have completed their review</w:t>
            </w:r>
          </w:p>
        </w:tc>
      </w:tr>
      <w:tr w14:paraId="23DB991C" w14:textId="77777777" w:rsidTr="00B55ACB">
        <w:tblPrEx>
          <w:tblW w:w="9540" w:type="dxa"/>
          <w:tblCellMar>
            <w:left w:w="0" w:type="dxa"/>
            <w:right w:w="0" w:type="dxa"/>
          </w:tblCellMar>
          <w:tblLook w:val="01E0"/>
        </w:tblPrEx>
        <w:trPr>
          <w:trHeight w:hRule="exact" w:val="2938"/>
        </w:trPr>
        <w:tc>
          <w:tcPr>
            <w:tcW w:w="1890" w:type="dxa"/>
            <w:tcBorders>
              <w:top w:val="single" w:sz="9" w:space="0" w:color="FFFFFF"/>
              <w:left w:val="nil"/>
              <w:bottom w:val="nil"/>
              <w:right w:val="single" w:sz="24" w:space="0" w:color="FFFFFF"/>
            </w:tcBorders>
            <w:shd w:val="clear" w:color="auto" w:fill="4F81BD"/>
          </w:tcPr>
          <w:p w:rsidR="000B7352" w:rsidRPr="00EE3B6B" w:rsidP="006D1FD2" w14:paraId="730B020E" w14:textId="587A7E84">
            <w:pPr>
              <w:pStyle w:val="TableParagraph"/>
              <w:keepLines/>
              <w:spacing w:after="120" w:line="276" w:lineRule="auto"/>
              <w:ind w:left="98" w:right="453"/>
              <w:rPr>
                <w:b/>
                <w:color w:val="FFFFFF"/>
              </w:rPr>
            </w:pPr>
            <w:r w:rsidRPr="00EE3B6B">
              <w:rPr>
                <w:b/>
                <w:color w:val="FFFFFF"/>
              </w:rPr>
              <w:t>Contractor Review Complete</w:t>
            </w:r>
          </w:p>
        </w:tc>
        <w:tc>
          <w:tcPr>
            <w:tcW w:w="2622" w:type="dxa"/>
            <w:tcBorders>
              <w:top w:val="single" w:sz="9" w:space="0" w:color="FFFFFF"/>
              <w:left w:val="single" w:sz="24" w:space="0" w:color="FFFFFF"/>
              <w:bottom w:val="nil"/>
              <w:right w:val="single" w:sz="6" w:space="0" w:color="FFFFFF"/>
            </w:tcBorders>
            <w:shd w:val="clear" w:color="auto" w:fill="D3DFEE"/>
          </w:tcPr>
          <w:p w:rsidR="000B7352" w:rsidRPr="00EE3B6B" w:rsidP="006D1FD2" w14:paraId="085ABCD0" w14:textId="128047DB">
            <w:pPr>
              <w:pStyle w:val="TableParagraph"/>
              <w:keepLines/>
              <w:spacing w:after="120" w:line="276" w:lineRule="auto"/>
              <w:ind w:left="79" w:right="354"/>
            </w:pPr>
            <w:r w:rsidRPr="00EE3B6B">
              <w:t>Contractor has completed their review.</w:t>
            </w:r>
          </w:p>
        </w:tc>
        <w:tc>
          <w:tcPr>
            <w:tcW w:w="0" w:type="auto"/>
            <w:tcBorders>
              <w:top w:val="single" w:sz="9" w:space="0" w:color="FFFFFF"/>
              <w:left w:val="single" w:sz="6" w:space="0" w:color="FFFFFF"/>
              <w:bottom w:val="nil"/>
              <w:right w:val="single" w:sz="6" w:space="0" w:color="FFFFFF"/>
            </w:tcBorders>
            <w:shd w:val="clear" w:color="auto" w:fill="D3DFEE"/>
          </w:tcPr>
          <w:p w:rsidR="000B7352" w:rsidRPr="00EE3B6B" w:rsidP="006D1FD2" w14:paraId="1C0A366E" w14:textId="06305804">
            <w:pPr>
              <w:pStyle w:val="TableParagraph"/>
              <w:keepLines/>
              <w:spacing w:after="120" w:line="276" w:lineRule="auto"/>
              <w:ind w:left="100" w:right="84"/>
            </w:pPr>
            <w:r w:rsidRPr="00EE3B6B">
              <w:t>Only applicable to submissions that contain a plan with a rate increase of ≥ 15%.</w:t>
            </w:r>
          </w:p>
        </w:tc>
        <w:tc>
          <w:tcPr>
            <w:tcW w:w="3201" w:type="dxa"/>
            <w:tcBorders>
              <w:top w:val="single" w:sz="9" w:space="0" w:color="FFFFFF"/>
              <w:left w:val="single" w:sz="6" w:space="0" w:color="FFFFFF"/>
              <w:bottom w:val="nil"/>
              <w:right w:val="nil"/>
            </w:tcBorders>
            <w:shd w:val="clear" w:color="auto" w:fill="D3DFEE"/>
          </w:tcPr>
          <w:p w:rsidR="000B7352" w:rsidRPr="00EE3B6B" w:rsidP="006D1FD2" w14:paraId="4ED6DCA6" w14:textId="7DE1A9E4">
            <w:pPr>
              <w:pStyle w:val="TableParagraph"/>
              <w:keepLines/>
              <w:spacing w:after="120" w:line="276" w:lineRule="auto"/>
              <w:ind w:left="100" w:right="306"/>
              <w:rPr>
                <w:i/>
                <w:iCs/>
              </w:rPr>
            </w:pPr>
            <w:r w:rsidRPr="00EE3B6B">
              <w:rPr>
                <w:i/>
                <w:iCs/>
              </w:rPr>
              <w:t>The contractor has finished their review. This is the final status for submissions with rate increases that are subject to rate review and have been sent to a contractor for review.</w:t>
            </w:r>
          </w:p>
        </w:tc>
      </w:tr>
    </w:tbl>
    <w:p w:rsidR="00B31DF7" w:rsidRPr="00EE3B6B" w:rsidP="006C6C1A" w14:paraId="0D8826C6" w14:textId="77777777">
      <w:pPr>
        <w:pStyle w:val="Heading2"/>
        <w:numPr>
          <w:ilvl w:val="0"/>
          <w:numId w:val="0"/>
        </w:numPr>
        <w:ind w:left="360"/>
      </w:pPr>
    </w:p>
    <w:p w:rsidR="00BC65F6" w:rsidRPr="00EE3B6B" w:rsidP="006C6C1A" w14:paraId="3B443293" w14:textId="77777777">
      <w:pPr>
        <w:pStyle w:val="Heading2"/>
        <w:numPr>
          <w:ilvl w:val="0"/>
          <w:numId w:val="0"/>
        </w:numPr>
        <w:ind w:left="360" w:hanging="360"/>
      </w:pPr>
      <w:bookmarkStart w:id="77" w:name="_Toc174003457"/>
      <w:r w:rsidRPr="00EE3B6B">
        <w:t>5.2 Unlocking a Submission</w:t>
      </w:r>
      <w:bookmarkEnd w:id="77"/>
    </w:p>
    <w:p w:rsidR="00B31DF7" w:rsidRPr="00EE3B6B" w:rsidP="006D1FD2" w14:paraId="42551788" w14:textId="77777777">
      <w:pPr>
        <w:keepLines/>
        <w:spacing w:after="120" w:line="276" w:lineRule="auto"/>
        <w:rPr>
          <w:rFonts w:ascii="Times New Roman" w:hAnsi="Times New Roman" w:cs="Times New Roman"/>
        </w:rPr>
      </w:pPr>
      <w:r w:rsidRPr="00EE3B6B">
        <w:rPr>
          <w:rFonts w:ascii="Times New Roman" w:hAnsi="Times New Roman" w:cs="Times New Roman"/>
        </w:rPr>
        <w:t xml:space="preserve">If an issuer needs to change a previously validated submission for any reason (e.g. the regulator requests additional documentation, the issuer realizes that a file is missing), the issuer must first have the previous submission unlocked by the </w:t>
      </w:r>
      <w:r w:rsidRPr="00EE3B6B" w:rsidR="00915FCC">
        <w:rPr>
          <w:rFonts w:ascii="Times New Roman" w:hAnsi="Times New Roman" w:cs="Times New Roman"/>
        </w:rPr>
        <w:t>s</w:t>
      </w:r>
      <w:r w:rsidRPr="00EE3B6B">
        <w:rPr>
          <w:rFonts w:ascii="Times New Roman" w:hAnsi="Times New Roman" w:cs="Times New Roman"/>
        </w:rPr>
        <w:t>tate or CCIIO.</w:t>
      </w:r>
    </w:p>
    <w:p w:rsidR="00B31DF7" w:rsidRPr="00EE3B6B" w:rsidP="006D1FD2" w14:paraId="7244FC9F" w14:textId="26110FB2">
      <w:pPr>
        <w:keepLines/>
        <w:spacing w:after="120" w:line="276" w:lineRule="auto"/>
        <w:rPr>
          <w:rFonts w:ascii="Times New Roman" w:hAnsi="Times New Roman" w:cs="Times New Roman"/>
        </w:rPr>
      </w:pPr>
      <w:r w:rsidRPr="00EE3B6B">
        <w:rPr>
          <w:rFonts w:ascii="Times New Roman" w:hAnsi="Times New Roman" w:cs="Times New Roman"/>
        </w:rPr>
        <w:t>The issuer must re-validate the submission after making revisions.</w:t>
      </w:r>
    </w:p>
    <w:p w:rsidR="00B55ACB" w:rsidRPr="00EE3B6B" w:rsidP="00FA6F2C" w14:paraId="5B90D025" w14:textId="10CD8356">
      <w:pPr>
        <w:pStyle w:val="Heading1"/>
      </w:pPr>
      <w:bookmarkStart w:id="78" w:name="_Toc174003458"/>
      <w:r w:rsidRPr="00EE3B6B">
        <w:t>6.</w:t>
      </w:r>
      <w:r w:rsidR="006C6C1A">
        <w:t xml:space="preserve">  </w:t>
      </w:r>
      <w:r w:rsidRPr="00EE3B6B">
        <w:t>S</w:t>
      </w:r>
      <w:r w:rsidRPr="00EE3B6B" w:rsidR="001142FA">
        <w:t>ERFF</w:t>
      </w:r>
      <w:r w:rsidRPr="00EE3B6B">
        <w:t xml:space="preserve"> Submission</w:t>
      </w:r>
      <w:bookmarkEnd w:id="78"/>
    </w:p>
    <w:p w:rsidR="002553FA" w:rsidRPr="00EE3B6B" w:rsidP="001A3494" w14:paraId="23F0B519" w14:textId="4A2D4EDB">
      <w:pPr>
        <w:keepLines/>
        <w:spacing w:after="120" w:line="276" w:lineRule="auto"/>
        <w:rPr>
          <w:rFonts w:ascii="Times New Roman" w:hAnsi="Times New Roman" w:cs="Times New Roman"/>
        </w:rPr>
      </w:pPr>
      <w:r w:rsidRPr="00EE3B6B">
        <w:rPr>
          <w:rFonts w:ascii="Times New Roman" w:hAnsi="Times New Roman" w:cs="Times New Roman"/>
        </w:rPr>
        <w:t xml:space="preserve">The </w:t>
      </w:r>
      <w:r w:rsidRPr="00EE3B6B" w:rsidR="00A64DC5">
        <w:rPr>
          <w:rFonts w:ascii="Times New Roman" w:hAnsi="Times New Roman" w:cs="Times New Roman"/>
        </w:rPr>
        <w:t xml:space="preserve">CCIIO </w:t>
      </w:r>
      <w:r w:rsidRPr="00EE3B6B">
        <w:rPr>
          <w:rFonts w:ascii="Times New Roman" w:hAnsi="Times New Roman" w:cs="Times New Roman"/>
        </w:rPr>
        <w:t xml:space="preserve">and NAIC teams have </w:t>
      </w:r>
      <w:r w:rsidRPr="00EE3B6B" w:rsidR="007570CB">
        <w:rPr>
          <w:rFonts w:ascii="Times New Roman" w:hAnsi="Times New Roman" w:cs="Times New Roman"/>
        </w:rPr>
        <w:t>built</w:t>
      </w:r>
      <w:r w:rsidRPr="00EE3B6B">
        <w:rPr>
          <w:rFonts w:ascii="Times New Roman" w:hAnsi="Times New Roman" w:cs="Times New Roman"/>
        </w:rPr>
        <w:t xml:space="preserve"> a system connection between the </w:t>
      </w:r>
      <w:r w:rsidRPr="00EE3B6B" w:rsidR="008F0471">
        <w:rPr>
          <w:rFonts w:ascii="Times New Roman" w:hAnsi="Times New Roman" w:cs="Times New Roman"/>
        </w:rPr>
        <w:t xml:space="preserve">NAIC’s </w:t>
      </w:r>
      <w:r w:rsidRPr="00EE3B6B">
        <w:rPr>
          <w:rFonts w:ascii="Times New Roman" w:hAnsi="Times New Roman" w:cs="Times New Roman"/>
        </w:rPr>
        <w:t xml:space="preserve">System for Electronic Rates &amp; Forms Filing (SERFF) and </w:t>
      </w:r>
      <w:r w:rsidRPr="00EE3B6B" w:rsidR="008F0471">
        <w:rPr>
          <w:rFonts w:ascii="Times New Roman" w:hAnsi="Times New Roman" w:cs="Times New Roman"/>
        </w:rPr>
        <w:t xml:space="preserve">CMS’s </w:t>
      </w:r>
      <w:r w:rsidRPr="00EE3B6B">
        <w:rPr>
          <w:rFonts w:ascii="Times New Roman" w:hAnsi="Times New Roman" w:cs="Times New Roman"/>
        </w:rPr>
        <w:t xml:space="preserve">Health Insurance Oversight System Unified Rate Review (HIOS URR) module. This connection allows automatic data and file transfers between the two systems to reduce duplicative manual entry work for both Issuers and State reviewers. </w:t>
      </w:r>
      <w:r w:rsidRPr="00EE3B6B" w:rsidR="00C53FFD">
        <w:rPr>
          <w:rFonts w:ascii="Times New Roman" w:hAnsi="Times New Roman" w:cs="Times New Roman"/>
          <w:noProof/>
        </w:rPr>
        <mc:AlternateContent>
          <mc:Choice Requires="wps">
            <w:drawing>
              <wp:anchor distT="45720" distB="45720" distL="114300" distR="114300" simplePos="0" relativeHeight="251686912" behindDoc="0" locked="1" layoutInCell="1" allowOverlap="1">
                <wp:simplePos x="0" y="0"/>
                <wp:positionH relativeFrom="margin">
                  <wp:align>left</wp:align>
                </wp:positionH>
                <wp:positionV relativeFrom="margin">
                  <wp:posOffset>2030730</wp:posOffset>
                </wp:positionV>
                <wp:extent cx="5952490" cy="622300"/>
                <wp:effectExtent l="0" t="0" r="10160" b="25400"/>
                <wp:wrapSquare wrapText="bothSides"/>
                <wp:docPr id="1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52490" cy="622300"/>
                        </a:xfrm>
                        <a:prstGeom prst="rect">
                          <a:avLst/>
                        </a:prstGeom>
                        <a:solidFill>
                          <a:schemeClr val="bg1">
                            <a:lumMod val="85000"/>
                          </a:schemeClr>
                        </a:solidFill>
                        <a:ln w="9525">
                          <a:solidFill>
                            <a:srgbClr val="000000"/>
                          </a:solidFill>
                          <a:miter lim="800000"/>
                          <a:headEnd/>
                          <a:tailEnd/>
                        </a:ln>
                      </wps:spPr>
                      <wps:txbx>
                        <w:txbxContent>
                          <w:p w:rsidR="00D33AE9" w:rsidRPr="00875498" w:rsidP="00C53FFD" w14:textId="7393453C">
                            <w:pPr>
                              <w:rPr>
                                <w:rFonts w:ascii="Times New Roman" w:hAnsi="Times New Roman" w:cs="Times New Roman"/>
                                <w:color w:val="323E4F" w:themeColor="text2" w:themeShade="BF"/>
                              </w:rPr>
                            </w:pPr>
                            <w:r w:rsidRPr="00875498">
                              <w:rPr>
                                <w:rFonts w:ascii="Times New Roman" w:hAnsi="Times New Roman" w:cs="Times New Roman"/>
                                <w:b/>
                                <w:color w:val="323E4F" w:themeColor="text2" w:themeShade="BF"/>
                                <w:u w:val="single"/>
                              </w:rPr>
                              <w:t>Tip:</w:t>
                            </w:r>
                            <w:r w:rsidRPr="00875498">
                              <w:rPr>
                                <w:rFonts w:ascii="Times New Roman" w:hAnsi="Times New Roman" w:cs="Times New Roman"/>
                                <w:color w:val="323E4F" w:themeColor="text2" w:themeShade="BF"/>
                              </w:rPr>
                              <w:t xml:space="preserve"> The new system connection is Not Applicable to States without an Effective Rate Review Program, or states that do not participate in SERFF.  Issuers in these states should continue to submit filings directly into the HIOS URR module.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9" type="#_x0000_t202" style="width:468.7pt;height:49pt;margin-top:159.9pt;margin-left:0;mso-height-percent:0;mso-height-relative:margin;mso-position-horizontal:left;mso-position-horizontal-relative:margin;mso-position-vertical-relative:margin;mso-width-percent:0;mso-width-relative:margin;mso-wrap-distance-bottom:3.6pt;mso-wrap-distance-left:9pt;mso-wrap-distance-right:9pt;mso-wrap-distance-top:3.6pt;mso-wrap-style:square;position:absolute;visibility:visible;v-text-anchor:top;z-index:251687936" fillcolor="#d8d8d8">
                <v:textbox>
                  <w:txbxContent>
                    <w:p w:rsidR="00D33AE9" w:rsidRPr="00875498" w:rsidP="00C53FFD" w14:paraId="483B4A28" w14:textId="7393453C">
                      <w:pPr>
                        <w:rPr>
                          <w:rFonts w:ascii="Times New Roman" w:hAnsi="Times New Roman" w:cs="Times New Roman"/>
                          <w:color w:val="323E4F" w:themeColor="text2" w:themeShade="BF"/>
                        </w:rPr>
                      </w:pPr>
                      <w:r w:rsidRPr="00875498">
                        <w:rPr>
                          <w:rFonts w:ascii="Times New Roman" w:hAnsi="Times New Roman" w:cs="Times New Roman"/>
                          <w:b/>
                          <w:color w:val="323E4F" w:themeColor="text2" w:themeShade="BF"/>
                          <w:u w:val="single"/>
                        </w:rPr>
                        <w:t>Tip:</w:t>
                      </w:r>
                      <w:r w:rsidRPr="00875498">
                        <w:rPr>
                          <w:rFonts w:ascii="Times New Roman" w:hAnsi="Times New Roman" w:cs="Times New Roman"/>
                          <w:color w:val="323E4F" w:themeColor="text2" w:themeShade="BF"/>
                        </w:rPr>
                        <w:t xml:space="preserve"> The new system connection is Not Applicable to States without an Effective Rate Review Program, or states that do not participate in SERFF.  Issuers in these states should continue to submit filings directly into the HIOS URR module. </w:t>
                      </w:r>
                    </w:p>
                  </w:txbxContent>
                </v:textbox>
                <w10:wrap type="square"/>
                <w10:anchorlock/>
              </v:shape>
            </w:pict>
          </mc:Fallback>
        </mc:AlternateContent>
      </w:r>
      <w:r w:rsidRPr="00EE3B6B" w:rsidR="001A3494">
        <w:rPr>
          <w:rFonts w:ascii="Times New Roman" w:hAnsi="Times New Roman" w:cs="Times New Roman"/>
        </w:rPr>
        <w:t xml:space="preserve">All rate filing information for the </w:t>
      </w:r>
      <w:r w:rsidRPr="00EE3B6B" w:rsidR="006842DF">
        <w:rPr>
          <w:rFonts w:ascii="Times New Roman" w:hAnsi="Times New Roman" w:cs="Times New Roman"/>
        </w:rPr>
        <w:t xml:space="preserve">non-grandfathered single-risk pool coverage in the </w:t>
      </w:r>
      <w:r w:rsidRPr="00EE3B6B" w:rsidR="001A3494">
        <w:rPr>
          <w:rFonts w:ascii="Times New Roman" w:hAnsi="Times New Roman" w:cs="Times New Roman"/>
        </w:rPr>
        <w:t xml:space="preserve">individual and small group </w:t>
      </w:r>
      <w:r w:rsidRPr="00EE3B6B" w:rsidR="009A350D">
        <w:rPr>
          <w:rFonts w:ascii="Times New Roman" w:hAnsi="Times New Roman" w:cs="Times New Roman"/>
        </w:rPr>
        <w:t xml:space="preserve">(or merged) </w:t>
      </w:r>
      <w:r w:rsidRPr="00EE3B6B" w:rsidR="001A3494">
        <w:rPr>
          <w:rFonts w:ascii="Times New Roman" w:hAnsi="Times New Roman" w:cs="Times New Roman"/>
        </w:rPr>
        <w:t xml:space="preserve">markets will be entered directly into SERFF where there will be a new “URRT” tab. </w:t>
      </w:r>
      <w:r w:rsidRPr="00EE3B6B" w:rsidR="006842DF">
        <w:rPr>
          <w:rFonts w:ascii="Times New Roman" w:hAnsi="Times New Roman" w:cs="Times New Roman"/>
        </w:rPr>
        <w:t>Issuers in states with an Effective Rate Review Program that participate in SERFF</w:t>
      </w:r>
      <w:r>
        <w:rPr>
          <w:rStyle w:val="FootnoteReference"/>
          <w:rFonts w:ascii="Times New Roman" w:hAnsi="Times New Roman" w:cs="Times New Roman"/>
        </w:rPr>
        <w:footnoteReference w:id="28"/>
      </w:r>
      <w:r w:rsidRPr="00EE3B6B" w:rsidR="006842DF">
        <w:rPr>
          <w:rFonts w:ascii="Times New Roman" w:hAnsi="Times New Roman" w:cs="Times New Roman"/>
        </w:rPr>
        <w:t xml:space="preserve"> are required to file the </w:t>
      </w:r>
      <w:r>
        <w:rPr>
          <w:rFonts w:ascii="Times New Roman" w:hAnsi="Times New Roman" w:cs="Times New Roman"/>
        </w:rPr>
        <w:t>applicable</w:t>
      </w:r>
      <w:r w:rsidRPr="00EE3B6B" w:rsidR="006842DF">
        <w:rPr>
          <w:rFonts w:ascii="Times New Roman" w:hAnsi="Times New Roman" w:cs="Times New Roman"/>
        </w:rPr>
        <w:t xml:space="preserve"> plan year Rate Filing Justification for non-grandfathered single-risk pool coverage in the new URRT tab of SERFF.</w:t>
      </w:r>
    </w:p>
    <w:p w:rsidR="001A3494" w:rsidRPr="00EE3B6B" w:rsidP="00F11966" w14:paraId="7A3BB258" w14:textId="3A369174">
      <w:pPr>
        <w:keepLines/>
        <w:spacing w:after="120" w:line="276" w:lineRule="auto"/>
        <w:rPr>
          <w:rFonts w:ascii="Times New Roman" w:hAnsi="Times New Roman" w:cs="Times New Roman"/>
        </w:rPr>
      </w:pPr>
      <w:r w:rsidRPr="00EE3B6B">
        <w:rPr>
          <w:rFonts w:ascii="Times New Roman" w:hAnsi="Times New Roman" w:cs="Times New Roman"/>
          <w:noProof/>
        </w:rPr>
        <w:drawing>
          <wp:inline distT="0" distB="0" distL="0" distR="0">
            <wp:extent cx="6224270" cy="437791"/>
            <wp:effectExtent l="0" t="0" r="5080" b="635"/>
            <wp:docPr id="9" name="Picture 9" descr="Tabs available in SERF. Fifth tab from right indicates location of the URRT ta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abs available in SERF. Fifth tab from right indicates location of the URRT tab. "/>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609464" cy="464884"/>
                    </a:xfrm>
                    <a:prstGeom prst="rect">
                      <a:avLst/>
                    </a:prstGeom>
                    <a:noFill/>
                  </pic:spPr>
                </pic:pic>
              </a:graphicData>
            </a:graphic>
          </wp:inline>
        </w:drawing>
      </w:r>
    </w:p>
    <w:p w:rsidR="00C53FFD" w:rsidRPr="00EE3B6B" w:rsidP="001A3494" w14:paraId="3DD8DB69" w14:textId="591CD77B">
      <w:pPr>
        <w:keepLines/>
        <w:spacing w:after="120" w:line="276" w:lineRule="auto"/>
        <w:rPr>
          <w:rFonts w:ascii="Times New Roman" w:hAnsi="Times New Roman" w:cs="Times New Roman"/>
        </w:rPr>
      </w:pPr>
      <w:r w:rsidRPr="00EE3B6B">
        <w:rPr>
          <w:rFonts w:ascii="Times New Roman" w:hAnsi="Times New Roman" w:cs="Times New Roman"/>
        </w:rPr>
        <w:t xml:space="preserve">Once the user navigates to the URRT </w:t>
      </w:r>
      <w:r w:rsidRPr="00EE3B6B" w:rsidR="000D6D73">
        <w:rPr>
          <w:rFonts w:ascii="Times New Roman" w:hAnsi="Times New Roman" w:cs="Times New Roman"/>
        </w:rPr>
        <w:t>tab</w:t>
      </w:r>
      <w:r w:rsidRPr="00EE3B6B">
        <w:rPr>
          <w:rFonts w:ascii="Times New Roman" w:hAnsi="Times New Roman" w:cs="Times New Roman"/>
        </w:rPr>
        <w:t>, they will be asked if URRT is applicable to th</w:t>
      </w:r>
      <w:r w:rsidRPr="00EE3B6B" w:rsidR="000D6D73">
        <w:rPr>
          <w:rFonts w:ascii="Times New Roman" w:hAnsi="Times New Roman" w:cs="Times New Roman"/>
        </w:rPr>
        <w:t>e</w:t>
      </w:r>
      <w:r w:rsidRPr="00EE3B6B">
        <w:rPr>
          <w:rFonts w:ascii="Times New Roman" w:hAnsi="Times New Roman" w:cs="Times New Roman"/>
        </w:rPr>
        <w:t xml:space="preserve"> rate filing</w:t>
      </w:r>
      <w:r w:rsidRPr="00EE3B6B" w:rsidR="008F0471">
        <w:rPr>
          <w:rFonts w:ascii="Times New Roman" w:hAnsi="Times New Roman" w:cs="Times New Roman"/>
        </w:rPr>
        <w:t xml:space="preserve">. </w:t>
      </w:r>
      <w:r w:rsidRPr="00EE3B6B">
        <w:rPr>
          <w:rFonts w:ascii="Times New Roman" w:hAnsi="Times New Roman" w:cs="Times New Roman"/>
        </w:rPr>
        <w:t xml:space="preserve">The Unified Rate Review Template is required to be submitted by Issuers (for both QHPs and non-QHPs) </w:t>
      </w:r>
      <w:r w:rsidRPr="00EE3B6B" w:rsidR="009A350D">
        <w:rPr>
          <w:rFonts w:ascii="Times New Roman" w:hAnsi="Times New Roman" w:cs="Times New Roman"/>
        </w:rPr>
        <w:t xml:space="preserve">for non-grandfathered </w:t>
      </w:r>
      <w:r w:rsidRPr="00EE3B6B">
        <w:rPr>
          <w:rFonts w:ascii="Times New Roman" w:hAnsi="Times New Roman" w:cs="Times New Roman"/>
        </w:rPr>
        <w:t xml:space="preserve">single risk pool </w:t>
      </w:r>
      <w:r w:rsidRPr="00EE3B6B" w:rsidR="009A350D">
        <w:rPr>
          <w:rFonts w:ascii="Times New Roman" w:hAnsi="Times New Roman" w:cs="Times New Roman"/>
        </w:rPr>
        <w:t xml:space="preserve">coverage </w:t>
      </w:r>
      <w:r w:rsidRPr="00EE3B6B">
        <w:rPr>
          <w:rFonts w:ascii="Times New Roman" w:hAnsi="Times New Roman" w:cs="Times New Roman"/>
        </w:rPr>
        <w:t xml:space="preserve">in the individual or small group </w:t>
      </w:r>
      <w:r w:rsidRPr="00EE3B6B" w:rsidR="009A350D">
        <w:rPr>
          <w:rFonts w:ascii="Times New Roman" w:hAnsi="Times New Roman" w:cs="Times New Roman"/>
        </w:rPr>
        <w:t xml:space="preserve">(or merged) </w:t>
      </w:r>
      <w:r w:rsidRPr="00EE3B6B">
        <w:rPr>
          <w:rFonts w:ascii="Times New Roman" w:hAnsi="Times New Roman" w:cs="Times New Roman"/>
        </w:rPr>
        <w:t>market. Issuers can submit quarterly rate changes for the small group market if allowed by the State regulatory authority. Quarterly rate changes must be submitted at least 105 days prior to the effective date of the rate change (or earlier State deadline)</w:t>
      </w:r>
      <w:r w:rsidRPr="00EE3B6B" w:rsidR="008F0471">
        <w:rPr>
          <w:rFonts w:ascii="Times New Roman" w:hAnsi="Times New Roman" w:cs="Times New Roman"/>
        </w:rPr>
        <w:t>.</w:t>
      </w:r>
      <w:r w:rsidRPr="00EE3B6B">
        <w:rPr>
          <w:rFonts w:ascii="Times New Roman" w:hAnsi="Times New Roman" w:cs="Times New Roman"/>
          <w:noProof/>
        </w:rPr>
        <mc:AlternateContent>
          <mc:Choice Requires="wps">
            <w:drawing>
              <wp:anchor distT="45720" distB="45720" distL="114300" distR="114300" simplePos="0" relativeHeight="251688960" behindDoc="0" locked="1" layoutInCell="1" allowOverlap="1">
                <wp:simplePos x="0" y="0"/>
                <wp:positionH relativeFrom="margin">
                  <wp:align>left</wp:align>
                </wp:positionH>
                <wp:positionV relativeFrom="bottomMargin">
                  <wp:posOffset>-2115820</wp:posOffset>
                </wp:positionV>
                <wp:extent cx="5952490" cy="460375"/>
                <wp:effectExtent l="0" t="0" r="10160" b="15875"/>
                <wp:wrapSquare wrapText="bothSides"/>
                <wp:docPr id="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52490" cy="460375"/>
                        </a:xfrm>
                        <a:prstGeom prst="rect">
                          <a:avLst/>
                        </a:prstGeom>
                        <a:solidFill>
                          <a:schemeClr val="bg1">
                            <a:lumMod val="85000"/>
                          </a:schemeClr>
                        </a:solidFill>
                        <a:ln w="9525">
                          <a:solidFill>
                            <a:srgbClr val="000000"/>
                          </a:solidFill>
                          <a:miter lim="800000"/>
                          <a:headEnd/>
                          <a:tailEnd/>
                        </a:ln>
                      </wps:spPr>
                      <wps:txbx>
                        <w:txbxContent>
                          <w:p w:rsidR="00D33AE9" w:rsidRPr="00875498" w:rsidP="00C53FFD" w14:textId="1A0756E4">
                            <w:pPr>
                              <w:rPr>
                                <w:rFonts w:ascii="Times New Roman" w:hAnsi="Times New Roman" w:cs="Times New Roman"/>
                                <w:color w:val="323E4F" w:themeColor="text2" w:themeShade="BF"/>
                              </w:rPr>
                            </w:pPr>
                            <w:r w:rsidRPr="00875498">
                              <w:rPr>
                                <w:rFonts w:ascii="Times New Roman" w:hAnsi="Times New Roman" w:cs="Times New Roman"/>
                                <w:b/>
                                <w:color w:val="323E4F" w:themeColor="text2" w:themeShade="BF"/>
                                <w:u w:val="single"/>
                              </w:rPr>
                              <w:t>Tip:</w:t>
                            </w:r>
                            <w:r w:rsidRPr="00875498">
                              <w:rPr>
                                <w:rFonts w:ascii="Times New Roman" w:hAnsi="Times New Roman" w:cs="Times New Roman"/>
                                <w:color w:val="323E4F" w:themeColor="text2" w:themeShade="BF"/>
                              </w:rPr>
                              <w:t xml:space="preserve"> Grandmothered plans, student health insurance coverage, and excepted benefit products, such as stand-alone dental products, should not be submitted through the SERFF transfer system connection.</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0" type="#_x0000_t202" style="width:468.7pt;height:36.25pt;margin-top:-166.6pt;margin-left:0;mso-height-percent:0;mso-height-relative:margin;mso-position-horizontal:left;mso-position-horizontal-relative:margin;mso-position-vertical-relative:bottom-margin-area;mso-width-percent:0;mso-width-relative:margin;mso-wrap-distance-bottom:3.6pt;mso-wrap-distance-left:9pt;mso-wrap-distance-right:9pt;mso-wrap-distance-top:3.6pt;mso-wrap-style:square;position:absolute;visibility:visible;v-text-anchor:top;z-index:251689984" fillcolor="#d8d8d8">
                <v:textbox>
                  <w:txbxContent>
                    <w:p w:rsidR="00D33AE9" w:rsidRPr="00875498" w:rsidP="00C53FFD" w14:paraId="43663159" w14:textId="1A0756E4">
                      <w:pPr>
                        <w:rPr>
                          <w:rFonts w:ascii="Times New Roman" w:hAnsi="Times New Roman" w:cs="Times New Roman"/>
                          <w:color w:val="323E4F" w:themeColor="text2" w:themeShade="BF"/>
                        </w:rPr>
                      </w:pPr>
                      <w:r w:rsidRPr="00875498">
                        <w:rPr>
                          <w:rFonts w:ascii="Times New Roman" w:hAnsi="Times New Roman" w:cs="Times New Roman"/>
                          <w:b/>
                          <w:color w:val="323E4F" w:themeColor="text2" w:themeShade="BF"/>
                          <w:u w:val="single"/>
                        </w:rPr>
                        <w:t>Tip:</w:t>
                      </w:r>
                      <w:r w:rsidRPr="00875498">
                        <w:rPr>
                          <w:rFonts w:ascii="Times New Roman" w:hAnsi="Times New Roman" w:cs="Times New Roman"/>
                          <w:color w:val="323E4F" w:themeColor="text2" w:themeShade="BF"/>
                        </w:rPr>
                        <w:t xml:space="preserve"> Grandmothered plans, student health insurance coverage, and excepted benefit products, such as stand-alone dental products, should not be submitted through the SERFF transfer system connection.</w:t>
                      </w:r>
                    </w:p>
                  </w:txbxContent>
                </v:textbox>
                <w10:wrap type="square"/>
                <w10:anchorlock/>
              </v:shape>
            </w:pict>
          </mc:Fallback>
        </mc:AlternateContent>
      </w:r>
    </w:p>
    <w:p w:rsidR="001A3494" w:rsidRPr="00EE3B6B" w:rsidP="001A3494" w14:paraId="2EF2B224" w14:textId="4208AD15">
      <w:pPr>
        <w:keepLines/>
        <w:spacing w:after="120" w:line="276" w:lineRule="auto"/>
        <w:rPr>
          <w:rFonts w:ascii="Times New Roman" w:hAnsi="Times New Roman" w:cs="Times New Roman"/>
        </w:rPr>
      </w:pPr>
      <w:r w:rsidRPr="00EE3B6B">
        <w:rPr>
          <w:rFonts w:ascii="Times New Roman" w:hAnsi="Times New Roman" w:cs="Times New Roman"/>
        </w:rPr>
        <w:t xml:space="preserve">Once the </w:t>
      </w:r>
      <w:r w:rsidRPr="00EE3B6B" w:rsidR="008F0471">
        <w:rPr>
          <w:rFonts w:ascii="Times New Roman" w:hAnsi="Times New Roman" w:cs="Times New Roman"/>
        </w:rPr>
        <w:t>URRT</w:t>
      </w:r>
      <w:r w:rsidRPr="00EE3B6B">
        <w:rPr>
          <w:rFonts w:ascii="Times New Roman" w:hAnsi="Times New Roman" w:cs="Times New Roman"/>
        </w:rPr>
        <w:t xml:space="preserve"> has been uploaded, it will be </w:t>
      </w:r>
      <w:r w:rsidRPr="00EE3B6B" w:rsidR="009A350D">
        <w:rPr>
          <w:rFonts w:ascii="Times New Roman" w:hAnsi="Times New Roman" w:cs="Times New Roman"/>
        </w:rPr>
        <w:t xml:space="preserve">automatically </w:t>
      </w:r>
      <w:r w:rsidRPr="00EE3B6B">
        <w:rPr>
          <w:rFonts w:ascii="Times New Roman" w:hAnsi="Times New Roman" w:cs="Times New Roman"/>
        </w:rPr>
        <w:t>sent to CMS for validation and a message appears to the issuer</w:t>
      </w:r>
      <w:r w:rsidRPr="00EE3B6B" w:rsidR="0048378C">
        <w:rPr>
          <w:rFonts w:ascii="Times New Roman" w:hAnsi="Times New Roman" w:cs="Times New Roman"/>
        </w:rPr>
        <w:t xml:space="preserve"> in SERFF</w:t>
      </w:r>
      <w:r w:rsidRPr="00EE3B6B" w:rsidR="008F0471">
        <w:rPr>
          <w:rFonts w:ascii="Times New Roman" w:hAnsi="Times New Roman" w:cs="Times New Roman"/>
        </w:rPr>
        <w:t>. Once the validation request has been processed, the message will update accordingly. If the validation is successful, SERFF</w:t>
      </w:r>
      <w:r w:rsidRPr="00EE3B6B" w:rsidR="006B76AC">
        <w:rPr>
          <w:rFonts w:ascii="Times New Roman" w:hAnsi="Times New Roman" w:cs="Times New Roman"/>
        </w:rPr>
        <w:t xml:space="preserve"> </w:t>
      </w:r>
      <w:r w:rsidRPr="00EE3B6B" w:rsidR="0048378C">
        <w:rPr>
          <w:rFonts w:ascii="Times New Roman" w:hAnsi="Times New Roman" w:cs="Times New Roman"/>
        </w:rPr>
        <w:t>will</w:t>
      </w:r>
      <w:r w:rsidRPr="00EE3B6B" w:rsidR="008F0471">
        <w:rPr>
          <w:rFonts w:ascii="Times New Roman" w:hAnsi="Times New Roman" w:cs="Times New Roman"/>
        </w:rPr>
        <w:t xml:space="preserve"> display the regenerated Excel file.</w:t>
      </w:r>
    </w:p>
    <w:p w:rsidR="001A3494" w:rsidRPr="00EE3B6B" w:rsidP="006D1FD2" w14:paraId="27CA78E0" w14:textId="74873C93">
      <w:pPr>
        <w:keepLines/>
        <w:spacing w:after="120" w:line="276" w:lineRule="auto"/>
        <w:rPr>
          <w:rFonts w:ascii="Times New Roman" w:hAnsi="Times New Roman" w:cs="Times New Roman"/>
        </w:rPr>
      </w:pPr>
      <w:r w:rsidRPr="00EE3B6B">
        <w:rPr>
          <w:rFonts w:ascii="Times New Roman" w:hAnsi="Times New Roman" w:cs="Times New Roman"/>
        </w:rPr>
        <w:t>Issuers will be required to upload the Actuarial Memorandum and Redacted Actuarial Memorandum</w:t>
      </w:r>
      <w:r w:rsidRPr="00EE3B6B" w:rsidR="00E4229D">
        <w:rPr>
          <w:rFonts w:ascii="Times New Roman" w:hAnsi="Times New Roman" w:cs="Times New Roman"/>
        </w:rPr>
        <w:t xml:space="preserve"> in the URRT tab</w:t>
      </w:r>
      <w:r w:rsidRPr="00EE3B6B">
        <w:rPr>
          <w:rFonts w:ascii="Times New Roman" w:hAnsi="Times New Roman" w:cs="Times New Roman"/>
        </w:rPr>
        <w:t>.</w:t>
      </w:r>
      <w:r w:rsidRPr="00EE3B6B" w:rsidR="0048378C">
        <w:rPr>
          <w:rFonts w:ascii="Times New Roman" w:hAnsi="Times New Roman" w:cs="Times New Roman"/>
        </w:rPr>
        <w:t xml:space="preserve"> These two files must have different file names.</w:t>
      </w:r>
    </w:p>
    <w:p w:rsidR="008F0471" w:rsidRPr="00EE3B6B" w:rsidP="006D1FD2" w14:paraId="7E5598AC" w14:textId="5EF3AB13">
      <w:pPr>
        <w:keepLines/>
        <w:spacing w:after="120" w:line="276" w:lineRule="auto"/>
        <w:rPr>
          <w:rFonts w:ascii="Times New Roman" w:hAnsi="Times New Roman" w:cs="Times New Roman"/>
        </w:rPr>
      </w:pPr>
      <w:r w:rsidRPr="00EE3B6B">
        <w:rPr>
          <w:rFonts w:ascii="Times New Roman" w:hAnsi="Times New Roman" w:cs="Times New Roman"/>
        </w:rPr>
        <w:t xml:space="preserve">Issuers can upload the Consumer Justification Narrative (CJN) </w:t>
      </w:r>
      <w:r w:rsidRPr="00EE3B6B" w:rsidR="00E4229D">
        <w:rPr>
          <w:rFonts w:ascii="Times New Roman" w:hAnsi="Times New Roman" w:cs="Times New Roman"/>
        </w:rPr>
        <w:t xml:space="preserve">in the URRT tab </w:t>
      </w:r>
      <w:r w:rsidRPr="00EE3B6B" w:rsidR="0048378C">
        <w:rPr>
          <w:rFonts w:ascii="Times New Roman" w:hAnsi="Times New Roman" w:cs="Times New Roman"/>
        </w:rPr>
        <w:t>regardless of if the filing meets the threshold making it subject to review, but if the filing is</w:t>
      </w:r>
      <w:r w:rsidRPr="00EE3B6B">
        <w:rPr>
          <w:rFonts w:ascii="Times New Roman" w:hAnsi="Times New Roman" w:cs="Times New Roman"/>
        </w:rPr>
        <w:t xml:space="preserve"> above threshold</w:t>
      </w:r>
      <w:r w:rsidRPr="00EE3B6B" w:rsidR="00540EB7">
        <w:rPr>
          <w:rFonts w:ascii="Times New Roman" w:hAnsi="Times New Roman" w:cs="Times New Roman"/>
        </w:rPr>
        <w:t>,</w:t>
      </w:r>
      <w:r w:rsidRPr="00EE3B6B" w:rsidR="0048378C">
        <w:rPr>
          <w:rFonts w:ascii="Times New Roman" w:hAnsi="Times New Roman" w:cs="Times New Roman"/>
        </w:rPr>
        <w:t xml:space="preserve"> upload of the CJN becomes a requirement.</w:t>
      </w:r>
    </w:p>
    <w:p w:rsidR="008F0471" w:rsidP="008F0471" w14:paraId="1F5B3351" w14:textId="2945FA6D">
      <w:pPr>
        <w:keepLines/>
        <w:spacing w:after="120" w:line="276" w:lineRule="auto"/>
        <w:rPr>
          <w:rFonts w:ascii="Times New Roman" w:hAnsi="Times New Roman" w:cs="Times New Roman"/>
        </w:rPr>
      </w:pPr>
      <w:r w:rsidRPr="00EE3B6B">
        <w:rPr>
          <w:rFonts w:ascii="Times New Roman" w:hAnsi="Times New Roman" w:cs="Times New Roman"/>
        </w:rPr>
        <w:t>An “Additional Supporting Documentation” section is available</w:t>
      </w:r>
      <w:r w:rsidRPr="00EE3B6B" w:rsidR="0048378C">
        <w:rPr>
          <w:rFonts w:ascii="Times New Roman" w:hAnsi="Times New Roman" w:cs="Times New Roman"/>
        </w:rPr>
        <w:t xml:space="preserve"> </w:t>
      </w:r>
      <w:r w:rsidRPr="00EE3B6B" w:rsidR="009A350D">
        <w:rPr>
          <w:rFonts w:ascii="Times New Roman" w:hAnsi="Times New Roman" w:cs="Times New Roman"/>
        </w:rPr>
        <w:t xml:space="preserve">on the URRT tab </w:t>
      </w:r>
      <w:r w:rsidRPr="00EE3B6B" w:rsidR="0048378C">
        <w:rPr>
          <w:rFonts w:ascii="Times New Roman" w:hAnsi="Times New Roman" w:cs="Times New Roman"/>
        </w:rPr>
        <w:t>in which</w:t>
      </w:r>
      <w:r w:rsidRPr="00EE3B6B">
        <w:rPr>
          <w:rFonts w:ascii="Times New Roman" w:hAnsi="Times New Roman" w:cs="Times New Roman"/>
        </w:rPr>
        <w:t xml:space="preserve"> up to 30 files can be uploaded.</w:t>
      </w:r>
    </w:p>
    <w:p w:rsidR="00AC4BFF" w:rsidRPr="00EE3B6B" w:rsidP="008F0471" w14:paraId="7CA4F812" w14:textId="77777777">
      <w:pPr>
        <w:keepLines/>
        <w:spacing w:after="120" w:line="276" w:lineRule="auto"/>
        <w:rPr>
          <w:rFonts w:ascii="Times New Roman" w:hAnsi="Times New Roman" w:cs="Times New Roman"/>
        </w:rPr>
      </w:pPr>
    </w:p>
    <w:p w:rsidR="008F0471" w:rsidRPr="00EE3B6B" w:rsidP="008F0471" w14:paraId="08CC6732" w14:textId="7DABBF8E">
      <w:pPr>
        <w:keepLines/>
        <w:spacing w:after="120" w:line="276" w:lineRule="auto"/>
        <w:rPr>
          <w:rFonts w:ascii="Times New Roman" w:hAnsi="Times New Roman" w:cs="Times New Roman"/>
        </w:rPr>
      </w:pPr>
      <w:r w:rsidRPr="00EE3B6B">
        <w:rPr>
          <w:rFonts w:ascii="Times New Roman" w:hAnsi="Times New Roman" w:cs="Times New Roman"/>
        </w:rPr>
        <w:t xml:space="preserve">The template and supporting URR items </w:t>
      </w:r>
      <w:r w:rsidRPr="00EE3B6B" w:rsidR="0048378C">
        <w:rPr>
          <w:rFonts w:ascii="Times New Roman" w:hAnsi="Times New Roman" w:cs="Times New Roman"/>
        </w:rPr>
        <w:t>may</w:t>
      </w:r>
      <w:r w:rsidRPr="00EE3B6B">
        <w:rPr>
          <w:rFonts w:ascii="Times New Roman" w:hAnsi="Times New Roman" w:cs="Times New Roman"/>
        </w:rPr>
        <w:t xml:space="preserve"> also have the following SERFF functions applied, but these functions will not be transferred to the URR module of HIOS:</w:t>
      </w:r>
    </w:p>
    <w:p w:rsidR="002553FA" w:rsidRPr="00EE3B6B" w:rsidP="008F0471" w14:paraId="249FA88E" w14:textId="77777777">
      <w:pPr>
        <w:keepLines/>
        <w:numPr>
          <w:ilvl w:val="0"/>
          <w:numId w:val="55"/>
        </w:numPr>
        <w:spacing w:after="120" w:line="276" w:lineRule="auto"/>
        <w:rPr>
          <w:rFonts w:ascii="Times New Roman" w:hAnsi="Times New Roman" w:cs="Times New Roman"/>
        </w:rPr>
      </w:pPr>
      <w:r w:rsidRPr="00EE3B6B">
        <w:rPr>
          <w:rFonts w:ascii="Times New Roman" w:hAnsi="Times New Roman" w:cs="Times New Roman"/>
        </w:rPr>
        <w:t>Request Confidentiality</w:t>
      </w:r>
    </w:p>
    <w:p w:rsidR="002553FA" w:rsidRPr="00EE3B6B" w:rsidP="008F0471" w14:paraId="1C121CB1" w14:textId="77777777">
      <w:pPr>
        <w:keepLines/>
        <w:numPr>
          <w:ilvl w:val="0"/>
          <w:numId w:val="55"/>
        </w:numPr>
        <w:spacing w:after="120" w:line="276" w:lineRule="auto"/>
        <w:rPr>
          <w:rFonts w:ascii="Times New Roman" w:hAnsi="Times New Roman" w:cs="Times New Roman"/>
        </w:rPr>
      </w:pPr>
      <w:r w:rsidRPr="00EE3B6B">
        <w:rPr>
          <w:rFonts w:ascii="Times New Roman" w:hAnsi="Times New Roman" w:cs="Times New Roman"/>
        </w:rPr>
        <w:t>Objections/Objections Letters</w:t>
      </w:r>
    </w:p>
    <w:p w:rsidR="002553FA" w:rsidRPr="00EE3B6B" w:rsidP="008F0471" w14:paraId="7DE36240" w14:textId="77777777">
      <w:pPr>
        <w:keepLines/>
        <w:numPr>
          <w:ilvl w:val="0"/>
          <w:numId w:val="55"/>
        </w:numPr>
        <w:spacing w:after="120" w:line="276" w:lineRule="auto"/>
        <w:rPr>
          <w:rFonts w:ascii="Times New Roman" w:hAnsi="Times New Roman" w:cs="Times New Roman"/>
        </w:rPr>
      </w:pPr>
      <w:r w:rsidRPr="00EE3B6B">
        <w:rPr>
          <w:rFonts w:ascii="Times New Roman" w:hAnsi="Times New Roman" w:cs="Times New Roman"/>
        </w:rPr>
        <w:t>Change Schedule Items</w:t>
      </w:r>
    </w:p>
    <w:p w:rsidR="002553FA" w:rsidRPr="00EE3B6B" w:rsidP="008F0471" w14:paraId="173D3B0C" w14:textId="77777777">
      <w:pPr>
        <w:keepLines/>
        <w:numPr>
          <w:ilvl w:val="0"/>
          <w:numId w:val="55"/>
        </w:numPr>
        <w:spacing w:after="120" w:line="276" w:lineRule="auto"/>
        <w:rPr>
          <w:rFonts w:ascii="Times New Roman" w:hAnsi="Times New Roman" w:cs="Times New Roman"/>
        </w:rPr>
      </w:pPr>
      <w:r w:rsidRPr="00EE3B6B">
        <w:rPr>
          <w:rFonts w:ascii="Times New Roman" w:hAnsi="Times New Roman" w:cs="Times New Roman"/>
        </w:rPr>
        <w:t>Response Letters</w:t>
      </w:r>
    </w:p>
    <w:p w:rsidR="002553FA" w:rsidRPr="00EE3B6B" w:rsidP="008F0471" w14:paraId="230EF056" w14:textId="77777777">
      <w:pPr>
        <w:keepLines/>
        <w:numPr>
          <w:ilvl w:val="0"/>
          <w:numId w:val="55"/>
        </w:numPr>
        <w:spacing w:after="120" w:line="276" w:lineRule="auto"/>
        <w:rPr>
          <w:rFonts w:ascii="Times New Roman" w:hAnsi="Times New Roman" w:cs="Times New Roman"/>
        </w:rPr>
      </w:pPr>
      <w:r w:rsidRPr="00EE3B6B">
        <w:rPr>
          <w:rFonts w:ascii="Times New Roman" w:hAnsi="Times New Roman" w:cs="Times New Roman"/>
        </w:rPr>
        <w:t>Amendment Letters</w:t>
      </w:r>
    </w:p>
    <w:p w:rsidR="002553FA" w:rsidRPr="00EE3B6B" w:rsidP="008F0471" w14:paraId="0F26D6D5" w14:textId="77777777">
      <w:pPr>
        <w:keepLines/>
        <w:numPr>
          <w:ilvl w:val="0"/>
          <w:numId w:val="55"/>
        </w:numPr>
        <w:spacing w:after="120" w:line="276" w:lineRule="auto"/>
        <w:rPr>
          <w:rFonts w:ascii="Times New Roman" w:hAnsi="Times New Roman" w:cs="Times New Roman"/>
        </w:rPr>
      </w:pPr>
      <w:r w:rsidRPr="00EE3B6B">
        <w:rPr>
          <w:rFonts w:ascii="Times New Roman" w:hAnsi="Times New Roman" w:cs="Times New Roman"/>
        </w:rPr>
        <w:t>State Public Access</w:t>
      </w:r>
    </w:p>
    <w:p w:rsidR="008F0471" w:rsidRPr="00EE3B6B" w:rsidP="00193232" w14:paraId="5F39B4D4" w14:textId="1DF209EE">
      <w:pPr>
        <w:keepLines/>
        <w:spacing w:after="120" w:line="276" w:lineRule="auto"/>
        <w:rPr>
          <w:rFonts w:ascii="Times New Roman" w:hAnsi="Times New Roman" w:cs="Times New Roman"/>
        </w:rPr>
      </w:pPr>
      <w:r w:rsidRPr="00EE3B6B">
        <w:rPr>
          <w:rFonts w:ascii="Times New Roman" w:hAnsi="Times New Roman" w:cs="Times New Roman"/>
        </w:rPr>
        <w:t>Once the state review is complete, the state will need to close out the filing</w:t>
      </w:r>
      <w:r w:rsidRPr="00EE3B6B" w:rsidR="00850A96">
        <w:rPr>
          <w:rFonts w:ascii="Times New Roman" w:hAnsi="Times New Roman" w:cs="Times New Roman"/>
        </w:rPr>
        <w:t xml:space="preserve"> in SERFF</w:t>
      </w:r>
      <w:r w:rsidRPr="00EE3B6B">
        <w:rPr>
          <w:rFonts w:ascii="Times New Roman" w:hAnsi="Times New Roman" w:cs="Times New Roman"/>
        </w:rPr>
        <w:t xml:space="preserve">. If the filing contains only plans below the threshold, the state regulator will mark the filing as “complete.” If the filing contains at least one plan above the threshold, the state regulator will enter a final determination. The </w:t>
      </w:r>
      <w:r w:rsidRPr="00EE3B6B" w:rsidR="009A350D">
        <w:rPr>
          <w:rFonts w:ascii="Times New Roman" w:hAnsi="Times New Roman" w:cs="Times New Roman"/>
        </w:rPr>
        <w:t xml:space="preserve">state’s </w:t>
      </w:r>
      <w:r w:rsidRPr="00EE3B6B" w:rsidR="00850A96">
        <w:rPr>
          <w:rFonts w:ascii="Times New Roman" w:hAnsi="Times New Roman" w:cs="Times New Roman"/>
        </w:rPr>
        <w:t>final</w:t>
      </w:r>
      <w:r w:rsidRPr="00EE3B6B">
        <w:rPr>
          <w:rFonts w:ascii="Times New Roman" w:hAnsi="Times New Roman" w:cs="Times New Roman"/>
        </w:rPr>
        <w:t xml:space="preserve"> determination and </w:t>
      </w:r>
      <w:r w:rsidRPr="00EE3B6B" w:rsidR="00850A96">
        <w:rPr>
          <w:rFonts w:ascii="Times New Roman" w:hAnsi="Times New Roman" w:cs="Times New Roman"/>
        </w:rPr>
        <w:t>associated c</w:t>
      </w:r>
      <w:r w:rsidRPr="00EE3B6B">
        <w:rPr>
          <w:rFonts w:ascii="Times New Roman" w:hAnsi="Times New Roman" w:cs="Times New Roman"/>
        </w:rPr>
        <w:t>omments will be sent to the URR Module of HIOS and displayed on ratereview.healthcare.gov. Once a determination has been sent to CMS, there can be no further action on the URRT tab from the issuer or the state.</w:t>
      </w:r>
    </w:p>
    <w:p w:rsidR="008F0471" w:rsidRPr="00EE3B6B" w:rsidP="008F0471" w14:paraId="79538C4C" w14:textId="26CC4A43">
      <w:pPr>
        <w:keepLines/>
        <w:spacing w:after="120" w:line="276" w:lineRule="auto"/>
        <w:rPr>
          <w:rFonts w:ascii="Times New Roman" w:hAnsi="Times New Roman" w:cs="Times New Roman"/>
        </w:rPr>
      </w:pPr>
      <w:r w:rsidRPr="00EE3B6B">
        <w:rPr>
          <w:rFonts w:ascii="Times New Roman" w:hAnsi="Times New Roman" w:cs="Times New Roman"/>
        </w:rPr>
        <w:t>If changes need to be made to a filing after it has been put into a final status, the state must contact a member of the Rate Review team at CCIIO to have the submission deactivated in HIOS.</w:t>
      </w:r>
      <w:r>
        <w:rPr>
          <w:rStyle w:val="FootnoteReference"/>
          <w:rFonts w:ascii="Times New Roman" w:hAnsi="Times New Roman" w:cs="Times New Roman"/>
        </w:rPr>
        <w:footnoteReference w:id="29"/>
      </w:r>
      <w:r w:rsidRPr="00EE3B6B">
        <w:rPr>
          <w:rFonts w:ascii="Times New Roman" w:hAnsi="Times New Roman" w:cs="Times New Roman"/>
        </w:rPr>
        <w:t xml:space="preserve"> The issuer must then start from scratch and create a new submission in SERFF.</w:t>
      </w:r>
      <w:r w:rsidRPr="00EE3B6B" w:rsidR="00BF4DC4">
        <w:rPr>
          <w:rFonts w:ascii="Times New Roman" w:hAnsi="Times New Roman" w:cs="Times New Roman"/>
        </w:rPr>
        <w:t xml:space="preserve"> We strongly recommend that state regulators do not close out filings until they are certain that no further changes are necessary.</w:t>
      </w:r>
    </w:p>
    <w:p w:rsidR="003B32E4" w:rsidP="006D1FD2" w14:paraId="6FF838F0" w14:textId="49607BE0">
      <w:pPr>
        <w:keepLines/>
        <w:spacing w:after="120" w:line="276" w:lineRule="auto"/>
        <w:rPr>
          <w:rFonts w:ascii="Times New Roman" w:hAnsi="Times New Roman" w:cs="Times New Roman"/>
        </w:rPr>
      </w:pPr>
      <w:r w:rsidRPr="00EE3B6B">
        <w:rPr>
          <w:rFonts w:ascii="Times New Roman" w:hAnsi="Times New Roman" w:cs="Times New Roman"/>
          <w:noProof/>
        </w:rPr>
        <w:drawing>
          <wp:inline distT="0" distB="0" distL="0" distR="0">
            <wp:extent cx="5166360" cy="1344930"/>
            <wp:effectExtent l="0" t="0" r="0" b="7620"/>
            <wp:docPr id="15" name="Picture 7" descr="URRT Tab showing State UURT Review information, determination date, and comments.">
              <a:extLst xmlns:a="http://schemas.openxmlformats.org/drawingml/2006/main">
                <a:ext xmlns:a="http://schemas.openxmlformats.org/drawingml/2006/main" uri="{FF2B5EF4-FFF2-40B4-BE49-F238E27FC236}">
                  <a16:creationId xmlns:a16="http://schemas.microsoft.com/office/drawing/2014/main" id="{E3DA4A3E-9108-4F7B-8EA4-A39321A4D46E}"/>
                </a:ext>
              </a:extLst>
            </wp:docPr>
            <wp:cNvGraphicFramePr/>
            <a:graphic xmlns:a="http://schemas.openxmlformats.org/drawingml/2006/main">
              <a:graphicData uri="http://schemas.openxmlformats.org/drawingml/2006/picture">
                <pic:pic xmlns:pic="http://schemas.openxmlformats.org/drawingml/2006/picture">
                  <pic:nvPicPr>
                    <pic:cNvPr id="15" name="Picture 7" descr="URRT Tab showing State UURT Review information, determination date, and comments.">
                      <a:extLst>
                        <a:ext xmlns:a="http://schemas.openxmlformats.org/drawingml/2006/main" uri="{FF2B5EF4-FFF2-40B4-BE49-F238E27FC236}">
                          <a16:creationId xmlns:a16="http://schemas.microsoft.com/office/drawing/2014/main" id="{E3DA4A3E-9108-4F7B-8EA4-A39321A4D46E}"/>
                        </a:ext>
                      </a:extLst>
                    </pic:cNvPr>
                    <pic:cNvPicPr/>
                  </pic:nvPicPr>
                  <pic:blipFill>
                    <a:blip xmlns:r="http://schemas.openxmlformats.org/officeDocument/2006/relationships" r:embed="rId17"/>
                    <a:srcRect b="10614"/>
                    <a:stretch>
                      <a:fillRect/>
                    </a:stretch>
                  </pic:blipFill>
                  <pic:spPr>
                    <a:xfrm>
                      <a:off x="0" y="0"/>
                      <a:ext cx="5166360" cy="1344930"/>
                    </a:xfrm>
                    <a:prstGeom prst="rect">
                      <a:avLst/>
                    </a:prstGeom>
                  </pic:spPr>
                </pic:pic>
              </a:graphicData>
            </a:graphic>
          </wp:inline>
        </w:drawing>
      </w:r>
    </w:p>
    <w:p w:rsidR="003B32E4" w14:paraId="157D0E9A" w14:textId="77777777">
      <w:pPr>
        <w:widowControl/>
        <w:autoSpaceDE/>
        <w:autoSpaceDN/>
        <w:spacing w:after="160" w:line="259" w:lineRule="auto"/>
        <w:rPr>
          <w:rFonts w:ascii="Times New Roman" w:hAnsi="Times New Roman" w:cs="Times New Roman"/>
        </w:rPr>
      </w:pPr>
      <w:r>
        <w:rPr>
          <w:rFonts w:ascii="Times New Roman" w:hAnsi="Times New Roman" w:cs="Times New Roman"/>
        </w:rPr>
        <w:br w:type="page"/>
      </w:r>
    </w:p>
    <w:p w:rsidR="00F345B8" w:rsidRPr="00BE2C9D" w:rsidP="00F345B8" w14:paraId="6EEC324C" w14:textId="77777777">
      <w:pPr>
        <w:widowControl/>
        <w:suppressAutoHyphens/>
        <w:spacing w:line="240" w:lineRule="atLeast"/>
        <w:rPr>
          <w:rFonts w:ascii="Times New Roman" w:hAnsi="Times New Roman" w:cs="Times New Roman"/>
          <w:b/>
          <w:sz w:val="23"/>
          <w:szCs w:val="23"/>
          <w:u w:val="single"/>
        </w:rPr>
      </w:pPr>
      <w:r w:rsidRPr="00BE2C9D">
        <w:rPr>
          <w:rFonts w:ascii="Times New Roman" w:hAnsi="Times New Roman" w:cs="Times New Roman"/>
          <w:b/>
          <w:sz w:val="23"/>
          <w:szCs w:val="23"/>
          <w:u w:val="single"/>
        </w:rPr>
        <w:t>PRA Disclosure Statement</w:t>
      </w:r>
    </w:p>
    <w:p w:rsidR="00F345B8" w:rsidP="00F345B8" w14:paraId="0A10663E" w14:textId="77777777">
      <w:pPr>
        <w:keepLines/>
        <w:spacing w:after="120" w:line="276" w:lineRule="auto"/>
        <w:rPr>
          <w:rFonts w:ascii="Times New Roman" w:hAnsi="Times New Roman" w:cs="Times New Roman"/>
        </w:rPr>
      </w:pPr>
    </w:p>
    <w:p w:rsidR="008F0471" w:rsidRPr="00EE3B6B" w:rsidP="00F345B8" w14:paraId="0C4B8CAD" w14:textId="0F494CB5">
      <w:pPr>
        <w:keepLines/>
        <w:spacing w:after="120" w:line="276" w:lineRule="auto"/>
        <w:rPr>
          <w:rFonts w:ascii="Times New Roman" w:hAnsi="Times New Roman" w:cs="Times New Roman"/>
        </w:rPr>
      </w:pPr>
      <w:r w:rsidRPr="00F345B8">
        <w:rPr>
          <w:rFonts w:ascii="Times New Roman" w:hAnsi="Times New Roman" w:cs="Times New Roman"/>
        </w:rPr>
        <w:t>According to the Paperwork Reduction Act of 1995, no persons are required to respond to a collection of information unless it displays a valid OMB control number. The valid OMB control number for this information collection is 0938-1140. This information collection is used to facilitate review of rate filings from issuers to determine if the proposed rate change is compliant with federal rating rules and if the proposed rate change is an increase that meets or exceeds the federal threshold, whether such an increase is unreasonable. The information on proposed and final rate changes are made publicly available to increase transparency and to allow for public comments on proposed rate increases. The time required to complete this information collection is estimated to average approximately 10 hours per response, including the time to review instructions, gather the data needed, and complete and review the information collection. This information collection is mandatory for issuers of non-grandfathered health insurance coverage in the individual and small group markets (45 CFR part 154). The information contained in each Rate Filing Justification collected that is not considered a trade secret or confidential commercial or financial information, will be made available to the public at https://ratereview.healthcare.gov/. Issuers are required to submit redacted actuarial memorandums for public display. If you have comments concerning the accuracy of the time estimate(s) or suggestions for improving this form, please write to: CMS, 7500 Security Boulevard, Mail Stop C4-26-05, Attention: Information Collections Clearance Officer Baltimore, Maryland 21244-1850 or keith.mcnamara@cms.hhs.gov.</w:t>
      </w:r>
    </w:p>
    <w:sectPr w:rsidSect="00C40DBC">
      <w:footerReference w:type="default" r:id="rId18"/>
      <w:headerReference w:type="first" r:id="rId19"/>
      <w:type w:val="continuous"/>
      <w:pgSz w:w="12240" w:h="15840" w:code="1"/>
      <w:pgMar w:top="1440" w:right="1440" w:bottom="1440" w:left="1440" w:header="144"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34408293"/>
      <w:docPartObj>
        <w:docPartGallery w:val="Page Numbers (Bottom of Page)"/>
        <w:docPartUnique/>
      </w:docPartObj>
    </w:sdtPr>
    <w:sdtEndPr>
      <w:rPr>
        <w:noProof/>
      </w:rPr>
    </w:sdtEndPr>
    <w:sdtContent>
      <w:p w:rsidR="00D33AE9" w14:paraId="779ACC70" w14:textId="7A23AED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D33AE9" w14:paraId="08A1D20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D6348" w:rsidP="00502F07" w14:paraId="0E90EDF3" w14:textId="77777777">
      <w:pPr>
        <w:spacing w:after="0"/>
      </w:pPr>
      <w:r>
        <w:separator/>
      </w:r>
    </w:p>
  </w:footnote>
  <w:footnote w:type="continuationSeparator" w:id="1">
    <w:p w:rsidR="003D6348" w:rsidP="00502F07" w14:paraId="07A80093" w14:textId="77777777">
      <w:pPr>
        <w:spacing w:after="0"/>
      </w:pPr>
      <w:r>
        <w:continuationSeparator/>
      </w:r>
    </w:p>
  </w:footnote>
  <w:footnote w:type="continuationNotice" w:id="2">
    <w:p w:rsidR="003D6348" w14:paraId="29197DDE" w14:textId="77777777">
      <w:pPr>
        <w:spacing w:after="0"/>
      </w:pPr>
    </w:p>
  </w:footnote>
  <w:footnote w:id="3">
    <w:p w:rsidR="00D33AE9" w:rsidRPr="00EE3B6B" w14:paraId="033C4ADA" w14:textId="77777777">
      <w:pPr>
        <w:pStyle w:val="FootnoteText"/>
        <w:rPr>
          <w:rFonts w:ascii="Times New Roman" w:hAnsi="Times New Roman" w:cs="Times New Roman"/>
        </w:rPr>
      </w:pPr>
      <w:r>
        <w:rPr>
          <w:rStyle w:val="FootnoteReference"/>
        </w:rPr>
        <w:footnoteRef/>
      </w:r>
      <w:r>
        <w:t xml:space="preserve"> </w:t>
      </w:r>
      <w:r w:rsidRPr="00EE3B6B">
        <w:rPr>
          <w:rFonts w:ascii="Times New Roman" w:hAnsi="Times New Roman" w:cs="Times New Roman"/>
        </w:rPr>
        <w:t xml:space="preserve">The phrases “single risk pool plan” and “single risk pool coverage” are used to describe non-grandfathered health insurance coverage in the individual or small group (or combined) market that is subject to </w:t>
      </w:r>
      <w:r w:rsidRPr="00EE3B6B">
        <w:rPr>
          <w:rFonts w:ascii="Times New Roman" w:hAnsi="Times New Roman" w:cs="Times New Roman"/>
        </w:rPr>
        <w:t>all of</w:t>
      </w:r>
      <w:r w:rsidRPr="00EE3B6B">
        <w:rPr>
          <w:rFonts w:ascii="Times New Roman" w:hAnsi="Times New Roman" w:cs="Times New Roman"/>
        </w:rPr>
        <w:t xml:space="preserve"> the single risk pool provisions at 45 CFR 156.80.</w:t>
      </w:r>
    </w:p>
  </w:footnote>
  <w:footnote w:id="4">
    <w:p w:rsidR="00D33AE9" w14:paraId="3B10380E" w14:textId="26F23890">
      <w:pPr>
        <w:pStyle w:val="FootnoteText"/>
      </w:pPr>
      <w:r w:rsidRPr="00EE3B6B">
        <w:rPr>
          <w:rStyle w:val="FootnoteReference"/>
          <w:rFonts w:ascii="Times New Roman" w:hAnsi="Times New Roman" w:cs="Times New Roman"/>
        </w:rPr>
        <w:footnoteRef/>
      </w:r>
      <w:r w:rsidRPr="00EE3B6B">
        <w:rPr>
          <w:rFonts w:ascii="Times New Roman" w:hAnsi="Times New Roman" w:cs="Times New Roman"/>
        </w:rPr>
        <w:t xml:space="preserve"> See 45 CFR 154.301. The </w:t>
      </w:r>
      <w:r w:rsidR="0034758D">
        <w:rPr>
          <w:rFonts w:ascii="Times New Roman" w:hAnsi="Times New Roman" w:cs="Times New Roman"/>
        </w:rPr>
        <w:t xml:space="preserve">current list of </w:t>
      </w:r>
      <w:r w:rsidRPr="00EE3B6B">
        <w:rPr>
          <w:rFonts w:ascii="Times New Roman" w:hAnsi="Times New Roman" w:cs="Times New Roman"/>
        </w:rPr>
        <w:t>states that do not have an Effective Rate Review Program</w:t>
      </w:r>
      <w:r w:rsidR="0034758D">
        <w:rPr>
          <w:rFonts w:ascii="Times New Roman" w:hAnsi="Times New Roman" w:cs="Times New Roman"/>
        </w:rPr>
        <w:t xml:space="preserve"> is available at</w:t>
      </w:r>
      <w:r w:rsidRPr="0034758D" w:rsidR="0034758D">
        <w:t xml:space="preserve"> </w:t>
      </w:r>
      <w:hyperlink r:id="rId1" w:history="1">
        <w:r w:rsidRPr="0087484F" w:rsidR="0034758D">
          <w:rPr>
            <w:rStyle w:val="Hyperlink"/>
            <w:rFonts w:ascii="Times New Roman" w:hAnsi="Times New Roman" w:cs="Times New Roman"/>
          </w:rPr>
          <w:t>https://www.cms.gov/CCIIO/Resources/Fact-Sheets-and-FAQs/rate_review_fact_sheet</w:t>
        </w:r>
      </w:hyperlink>
      <w:r w:rsidRPr="00EE3B6B">
        <w:rPr>
          <w:rFonts w:ascii="Times New Roman" w:hAnsi="Times New Roman" w:cs="Times New Roman"/>
        </w:rPr>
        <w:t>.</w:t>
      </w:r>
    </w:p>
  </w:footnote>
  <w:footnote w:id="5">
    <w:p w:rsidR="00D33AE9" w:rsidRPr="00EE3B6B" w14:paraId="78434707" w14:textId="77777777">
      <w:pPr>
        <w:pStyle w:val="FootnoteText"/>
        <w:rPr>
          <w:rFonts w:ascii="Times New Roman" w:hAnsi="Times New Roman" w:cs="Times New Roman"/>
        </w:rPr>
      </w:pPr>
      <w:r w:rsidRPr="00EE3B6B">
        <w:rPr>
          <w:rStyle w:val="FootnoteReference"/>
          <w:rFonts w:ascii="Times New Roman" w:hAnsi="Times New Roman" w:cs="Times New Roman"/>
        </w:rPr>
        <w:footnoteRef/>
      </w:r>
      <w:r w:rsidRPr="00EE3B6B">
        <w:rPr>
          <w:rFonts w:ascii="Times New Roman" w:hAnsi="Times New Roman" w:cs="Times New Roman"/>
        </w:rPr>
        <w:t xml:space="preserve"> 45 CFR 5.31(d)</w:t>
      </w:r>
    </w:p>
  </w:footnote>
  <w:footnote w:id="6">
    <w:p w:rsidR="00D33AE9" w:rsidRPr="00EE3B6B" w:rsidP="007D7DEC" w14:paraId="4808D57F" w14:textId="77777777">
      <w:pPr>
        <w:pStyle w:val="FootnoteText"/>
        <w:rPr>
          <w:rFonts w:ascii="Times New Roman" w:hAnsi="Times New Roman" w:cs="Times New Roman"/>
        </w:rPr>
      </w:pPr>
      <w:r w:rsidRPr="00EE3B6B">
        <w:rPr>
          <w:rStyle w:val="FootnoteReference"/>
          <w:rFonts w:ascii="Times New Roman" w:hAnsi="Times New Roman" w:cs="Times New Roman"/>
        </w:rPr>
        <w:footnoteRef/>
      </w:r>
      <w:r w:rsidRPr="00EE3B6B">
        <w:rPr>
          <w:rFonts w:ascii="Times New Roman" w:hAnsi="Times New Roman" w:cs="Times New Roman"/>
        </w:rPr>
        <w:t xml:space="preserve"> 45 CFR 154.301(b)(1)(i)</w:t>
      </w:r>
    </w:p>
  </w:footnote>
  <w:footnote w:id="7">
    <w:p w:rsidR="00D33AE9" w14:paraId="32516BFE" w14:textId="77777777">
      <w:pPr>
        <w:pStyle w:val="FootnoteText"/>
      </w:pPr>
      <w:r w:rsidRPr="00EE3B6B">
        <w:rPr>
          <w:rStyle w:val="FootnoteReference"/>
          <w:rFonts w:ascii="Times New Roman" w:hAnsi="Times New Roman" w:cs="Times New Roman"/>
        </w:rPr>
        <w:footnoteRef/>
      </w:r>
      <w:r w:rsidRPr="00EE3B6B">
        <w:rPr>
          <w:rFonts w:ascii="Times New Roman" w:hAnsi="Times New Roman" w:cs="Times New Roman"/>
        </w:rPr>
        <w:t xml:space="preserve"> 45 CFR 154.301(b)(1)(ii)</w:t>
      </w:r>
    </w:p>
  </w:footnote>
  <w:footnote w:id="8">
    <w:p w:rsidR="00D33AE9" w:rsidRPr="00CD1D79" w14:paraId="6F4003DC" w14:textId="4853DD68">
      <w:pPr>
        <w:pStyle w:val="FootnoteText"/>
        <w:rPr>
          <w:rFonts w:ascii="Times New Roman" w:hAnsi="Times New Roman" w:cs="Times New Roman"/>
        </w:rPr>
      </w:pPr>
      <w:r w:rsidRPr="00FA5020">
        <w:rPr>
          <w:rStyle w:val="FootnoteReference"/>
          <w:rFonts w:ascii="Times New Roman" w:hAnsi="Times New Roman" w:cs="Times New Roman"/>
        </w:rPr>
        <w:footnoteRef/>
      </w:r>
      <w:r w:rsidRPr="00FA5020">
        <w:rPr>
          <w:rFonts w:ascii="Times New Roman" w:hAnsi="Times New Roman" w:cs="Times New Roman"/>
        </w:rPr>
        <w:t xml:space="preserve"> </w:t>
      </w:r>
      <w:r w:rsidRPr="00CD1D79">
        <w:rPr>
          <w:rFonts w:ascii="Times New Roman" w:hAnsi="Times New Roman" w:cs="Times New Roman"/>
        </w:rPr>
        <w:t xml:space="preserve">For all instances in this document that refer to filing in the URR Module of HIOS, rate filing documentation that is filed through the NAIC’s System for Electronic Rate &amp; Form Filing (SERFF) and automatically uploaded to the URR module of HIOS will be considered as filed with CMS. This filing option is not available for states that do not have an Effective Rate Review Program and states that do not participate in SERFF.  </w:t>
      </w:r>
      <w:r w:rsidRPr="00FA5020">
        <w:rPr>
          <w:rFonts w:ascii="Times New Roman" w:hAnsi="Times New Roman" w:cs="Times New Roman"/>
        </w:rPr>
        <w:t xml:space="preserve">For information on states with an Effective Rate Review Program, see </w:t>
      </w:r>
      <w:hyperlink r:id="rId1" w:history="1">
        <w:r w:rsidRPr="00FA5020">
          <w:rPr>
            <w:rStyle w:val="Hyperlink"/>
            <w:rFonts w:ascii="Times New Roman" w:hAnsi="Times New Roman" w:cs="Times New Roman"/>
          </w:rPr>
          <w:t>https://www.cms.gov/CCIIO/Resources/Fact-Sheets-and-FAQs/rate_review_fact_sheet</w:t>
        </w:r>
      </w:hyperlink>
      <w:r w:rsidRPr="00FA5020">
        <w:rPr>
          <w:rFonts w:ascii="Times New Roman" w:hAnsi="Times New Roman" w:cs="Times New Roman"/>
        </w:rPr>
        <w:t xml:space="preserve">.  For information on state participation in SERFF, see </w:t>
      </w:r>
      <w:hyperlink r:id="rId2" w:history="1">
        <w:r w:rsidRPr="00FA5020">
          <w:rPr>
            <w:rStyle w:val="Hyperlink"/>
            <w:rFonts w:ascii="Times New Roman" w:hAnsi="Times New Roman" w:cs="Times New Roman"/>
          </w:rPr>
          <w:t>https://www.serff.com/serff_participation_map.htm</w:t>
        </w:r>
      </w:hyperlink>
      <w:r w:rsidRPr="00FA5020">
        <w:rPr>
          <w:rFonts w:ascii="Times New Roman" w:hAnsi="Times New Roman" w:cs="Times New Roman"/>
        </w:rPr>
        <w:t>.</w:t>
      </w:r>
    </w:p>
  </w:footnote>
  <w:footnote w:id="9">
    <w:p w:rsidR="00D33AE9" w:rsidRPr="00CD1D79" w14:paraId="7D30A3EB" w14:textId="3D417376">
      <w:pPr>
        <w:pStyle w:val="FootnoteText"/>
        <w:rPr>
          <w:rFonts w:ascii="Times New Roman" w:hAnsi="Times New Roman" w:cs="Times New Roman"/>
        </w:rPr>
      </w:pPr>
      <w:r w:rsidRPr="00CD1D79">
        <w:rPr>
          <w:rStyle w:val="FootnoteReference"/>
          <w:rFonts w:ascii="Times New Roman" w:hAnsi="Times New Roman" w:cs="Times New Roman"/>
        </w:rPr>
        <w:footnoteRef/>
      </w:r>
      <w:r w:rsidRPr="00CD1D79">
        <w:rPr>
          <w:rFonts w:ascii="Times New Roman" w:hAnsi="Times New Roman" w:cs="Times New Roman"/>
        </w:rPr>
        <w:t xml:space="preserve"> </w:t>
      </w:r>
      <w:r>
        <w:rPr>
          <w:rFonts w:ascii="Times New Roman" w:hAnsi="Times New Roman" w:cs="Times New Roman"/>
        </w:rPr>
        <w:t xml:space="preserve">The Final Bulletin is available at </w:t>
      </w:r>
      <w:r w:rsidRPr="00AB3125">
        <w:rPr>
          <w:rFonts w:ascii="Times New Roman" w:hAnsi="Times New Roman" w:cs="Times New Roman"/>
        </w:rPr>
        <w:t>https://www.cms.gov/cciio/resources/regulations-and-guidance#Review-of-Insurance-Rates</w:t>
      </w:r>
    </w:p>
  </w:footnote>
  <w:footnote w:id="10">
    <w:p w:rsidR="00D33AE9" w:rsidRPr="00711529" w:rsidP="00711529" w14:paraId="3D117661" w14:textId="657A0E95">
      <w:pPr>
        <w:pStyle w:val="FootnoteText"/>
        <w:rPr>
          <w:rFonts w:ascii="Times New Roman" w:hAnsi="Times New Roman" w:cs="Times New Roman"/>
        </w:rPr>
      </w:pPr>
      <w:r w:rsidRPr="00FA5020">
        <w:rPr>
          <w:rStyle w:val="FootnoteReference"/>
          <w:rFonts w:ascii="Times New Roman" w:hAnsi="Times New Roman" w:cs="Times New Roman"/>
        </w:rPr>
        <w:footnoteRef/>
      </w:r>
      <w:r w:rsidRPr="00FA5020">
        <w:rPr>
          <w:rFonts w:ascii="Times New Roman" w:hAnsi="Times New Roman" w:cs="Times New Roman"/>
        </w:rPr>
        <w:t xml:space="preserve"> Health insurance issuers are required to submit rate filings for coverage that has been renewed under CMS’s non-enforcement policy continually since 2014. See Bulletin:</w:t>
      </w:r>
      <w:r w:rsidRPr="00711529">
        <w:t xml:space="preserve"> </w:t>
      </w:r>
      <w:r w:rsidRPr="00711529">
        <w:rPr>
          <w:rFonts w:ascii="Times New Roman" w:hAnsi="Times New Roman" w:cs="Times New Roman"/>
        </w:rPr>
        <w:t>Extension of Limited</w:t>
      </w:r>
    </w:p>
    <w:p w:rsidR="00D33AE9" w:rsidRPr="00FA5020" w:rsidP="00711529" w14:paraId="031E864D" w14:textId="327F18E4">
      <w:pPr>
        <w:pStyle w:val="FootnoteText"/>
        <w:rPr>
          <w:rFonts w:ascii="Times New Roman" w:hAnsi="Times New Roman" w:cs="Times New Roman"/>
        </w:rPr>
      </w:pPr>
      <w:r w:rsidRPr="00711529">
        <w:rPr>
          <w:rFonts w:ascii="Times New Roman" w:hAnsi="Times New Roman" w:cs="Times New Roman"/>
        </w:rPr>
        <w:t>Non-Enforcement Policy through 2023 and Later Benefit Years</w:t>
      </w:r>
      <w:r>
        <w:rPr>
          <w:rFonts w:ascii="Times New Roman" w:hAnsi="Times New Roman" w:cs="Times New Roman"/>
        </w:rPr>
        <w:t xml:space="preserve"> (March 23, 2022), available at: </w:t>
      </w:r>
      <w:hyperlink r:id="rId3" w:history="1">
        <w:r w:rsidRPr="00F45E25">
          <w:rPr>
            <w:rStyle w:val="Hyperlink"/>
            <w:rFonts w:ascii="Times New Roman" w:hAnsi="Times New Roman" w:cs="Times New Roman"/>
          </w:rPr>
          <w:t>https://www.cms.gov/files/document/extension-limited-non-enforcement-policy-through-calendar-year-2023-and-later-benefit-years.pdf</w:t>
        </w:r>
      </w:hyperlink>
      <w:r>
        <w:rPr>
          <w:rFonts w:ascii="Times New Roman" w:hAnsi="Times New Roman" w:cs="Times New Roman"/>
        </w:rPr>
        <w:t>.</w:t>
      </w:r>
    </w:p>
  </w:footnote>
  <w:footnote w:id="11">
    <w:p w:rsidR="00D33AE9" w14:paraId="78A8AE23" w14:textId="77777777">
      <w:pPr>
        <w:pStyle w:val="FootnoteText"/>
      </w:pPr>
      <w:r w:rsidRPr="00FA5020">
        <w:rPr>
          <w:rStyle w:val="FootnoteReference"/>
          <w:rFonts w:ascii="Times New Roman" w:hAnsi="Times New Roman" w:cs="Times New Roman"/>
        </w:rPr>
        <w:footnoteRef/>
      </w:r>
      <w:r w:rsidRPr="00FA5020">
        <w:rPr>
          <w:rFonts w:ascii="Times New Roman" w:hAnsi="Times New Roman" w:cs="Times New Roman"/>
        </w:rPr>
        <w:t xml:space="preserve"> For more information on excepted benefits, see 45 CFR 146.145 and 148.220.</w:t>
      </w:r>
    </w:p>
  </w:footnote>
  <w:footnote w:id="12">
    <w:p w:rsidR="00D33AE9" w:rsidRPr="006738FF" w14:paraId="7A2D5DC3" w14:textId="77777777">
      <w:pPr>
        <w:pStyle w:val="FootnoteText"/>
        <w:rPr>
          <w:rFonts w:ascii="Times New Roman" w:hAnsi="Times New Roman" w:cs="Times New Roman"/>
        </w:rPr>
      </w:pPr>
      <w:r w:rsidRPr="006738FF">
        <w:rPr>
          <w:rStyle w:val="FootnoteReference"/>
          <w:rFonts w:ascii="Times New Roman" w:hAnsi="Times New Roman" w:cs="Times New Roman"/>
        </w:rPr>
        <w:footnoteRef/>
      </w:r>
      <w:r w:rsidRPr="006738FF">
        <w:rPr>
          <w:rFonts w:ascii="Times New Roman" w:hAnsi="Times New Roman" w:cs="Times New Roman"/>
        </w:rPr>
        <w:t xml:space="preserve"> 45 CFR 156.80(d)(3)</w:t>
      </w:r>
    </w:p>
  </w:footnote>
  <w:footnote w:id="13">
    <w:p w:rsidR="00D33AE9" w:rsidRPr="006738FF" w14:paraId="3972F528" w14:textId="4009B02F">
      <w:pPr>
        <w:pStyle w:val="FootnoteText"/>
        <w:rPr>
          <w:rFonts w:ascii="Times New Roman" w:hAnsi="Times New Roman" w:cs="Times New Roman"/>
        </w:rPr>
      </w:pPr>
      <w:r w:rsidRPr="006738FF">
        <w:rPr>
          <w:rStyle w:val="FootnoteReference"/>
          <w:rFonts w:ascii="Times New Roman" w:hAnsi="Times New Roman" w:cs="Times New Roman"/>
        </w:rPr>
        <w:footnoteRef/>
      </w:r>
      <w:r w:rsidRPr="006738FF">
        <w:rPr>
          <w:rFonts w:ascii="Times New Roman" w:hAnsi="Times New Roman" w:cs="Times New Roman"/>
        </w:rPr>
        <w:t xml:space="preserve"> Approved state-specific rating variations are published on the CCIIO website at </w:t>
      </w:r>
      <w:hyperlink r:id="rId4" w:history="1">
        <w:r w:rsidRPr="00AB3125">
          <w:rPr>
            <w:rStyle w:val="Hyperlink"/>
            <w:rFonts w:ascii="Times New Roman" w:hAnsi="Times New Roman" w:cs="Times New Roman"/>
          </w:rPr>
          <w:t>https://www.cms.gov/CCIIO/Programs-and- Initiatives/Health-Insurance-Market-Reforms/state-rating.html</w:t>
        </w:r>
      </w:hyperlink>
    </w:p>
  </w:footnote>
  <w:footnote w:id="14">
    <w:p w:rsidR="00D33AE9" w14:paraId="0A33C7FE" w14:textId="77777777">
      <w:pPr>
        <w:pStyle w:val="FootnoteText"/>
      </w:pPr>
      <w:r w:rsidRPr="006738FF">
        <w:rPr>
          <w:rStyle w:val="FootnoteReference"/>
          <w:rFonts w:ascii="Times New Roman" w:hAnsi="Times New Roman" w:cs="Times New Roman"/>
        </w:rPr>
        <w:footnoteRef/>
      </w:r>
      <w:r w:rsidRPr="006738FF">
        <w:rPr>
          <w:rFonts w:ascii="Times New Roman" w:hAnsi="Times New Roman" w:cs="Times New Roman"/>
        </w:rPr>
        <w:t xml:space="preserve"> </w:t>
      </w:r>
      <w:hyperlink r:id="rId5" w:history="1">
        <w:r w:rsidRPr="006738FF">
          <w:rPr>
            <w:rStyle w:val="Hyperlink"/>
            <w:rFonts w:ascii="Times New Roman" w:hAnsi="Times New Roman" w:cs="Times New Roman"/>
          </w:rPr>
          <w:t>https://www.cms.gov/CCIIO/Programs-and-Initiatives/Health-Insurance-Market-Reforms/state-rating.html</w:t>
        </w:r>
      </w:hyperlink>
    </w:p>
  </w:footnote>
  <w:footnote w:id="15">
    <w:p w:rsidR="00D33AE9" w:rsidRPr="00163906" w:rsidP="00C66220" w14:paraId="7F8C012F" w14:textId="77777777">
      <w:pPr>
        <w:spacing w:before="113"/>
        <w:ind w:left="120" w:right="149" w:hanging="1"/>
        <w:rPr>
          <w:rFonts w:ascii="Times New Roman" w:hAnsi="Times New Roman" w:cs="Times New Roman"/>
          <w:sz w:val="18"/>
        </w:rPr>
      </w:pPr>
      <w:r w:rsidRPr="00163906">
        <w:rPr>
          <w:rStyle w:val="FootnoteReference"/>
          <w:rFonts w:ascii="Times New Roman" w:hAnsi="Times New Roman" w:cs="Times New Roman"/>
        </w:rPr>
        <w:footnoteRef/>
      </w:r>
      <w:r w:rsidRPr="00163906">
        <w:rPr>
          <w:rFonts w:ascii="Times New Roman" w:hAnsi="Times New Roman" w:cs="Times New Roman"/>
        </w:rPr>
        <w:t xml:space="preserve"> </w:t>
      </w:r>
      <w:r w:rsidRPr="00163906">
        <w:rPr>
          <w:rFonts w:ascii="Times New Roman" w:hAnsi="Times New Roman" w:cs="Times New Roman"/>
          <w:sz w:val="18"/>
        </w:rPr>
        <w:t>The URRT is required for single risk pool plans that experience rate increases (of any size), no rate changes, rate decreases, as well as new single risk pool plans.</w:t>
      </w:r>
    </w:p>
    <w:p w:rsidR="00D33AE9" w14:paraId="391664D5" w14:textId="77777777">
      <w:pPr>
        <w:pStyle w:val="FootnoteText"/>
      </w:pPr>
    </w:p>
  </w:footnote>
  <w:footnote w:id="16">
    <w:p w:rsidR="00D33AE9" w:rsidRPr="006C6C1A" w14:paraId="2B27037E" w14:textId="77777777">
      <w:pPr>
        <w:pStyle w:val="FootnoteText"/>
        <w:rPr>
          <w:rFonts w:ascii="Times New Roman" w:hAnsi="Times New Roman" w:cs="Times New Roman"/>
        </w:rPr>
      </w:pPr>
      <w:r w:rsidRPr="006C6C1A">
        <w:rPr>
          <w:rStyle w:val="FootnoteReference"/>
          <w:rFonts w:ascii="Times New Roman" w:hAnsi="Times New Roman" w:cs="Times New Roman"/>
        </w:rPr>
        <w:footnoteRef/>
      </w:r>
      <w:r w:rsidRPr="006C6C1A">
        <w:rPr>
          <w:rFonts w:ascii="Times New Roman" w:hAnsi="Times New Roman" w:cs="Times New Roman"/>
        </w:rPr>
        <w:t xml:space="preserve"> 45 CFR 156.80(d)(2)</w:t>
      </w:r>
    </w:p>
  </w:footnote>
  <w:footnote w:id="17">
    <w:p w:rsidR="00D33AE9" w:rsidRPr="006C6C1A" w14:paraId="12BDB086" w14:textId="77777777">
      <w:pPr>
        <w:pStyle w:val="FootnoteText"/>
        <w:rPr>
          <w:rFonts w:ascii="Times New Roman" w:hAnsi="Times New Roman" w:cs="Times New Roman"/>
        </w:rPr>
      </w:pPr>
      <w:r w:rsidRPr="006C6C1A">
        <w:rPr>
          <w:rStyle w:val="FootnoteReference"/>
          <w:rFonts w:ascii="Times New Roman" w:hAnsi="Times New Roman" w:cs="Times New Roman"/>
        </w:rPr>
        <w:footnoteRef/>
      </w:r>
      <w:r w:rsidRPr="006C6C1A">
        <w:rPr>
          <w:rFonts w:ascii="Times New Roman" w:hAnsi="Times New Roman" w:cs="Times New Roman"/>
        </w:rPr>
        <w:t xml:space="preserve"> 45 CFR 156.80(d)(3)</w:t>
      </w:r>
    </w:p>
  </w:footnote>
  <w:footnote w:id="18">
    <w:p w:rsidR="00D33AE9" w14:paraId="1229BD8E" w14:textId="77777777">
      <w:pPr>
        <w:pStyle w:val="FootnoteText"/>
      </w:pPr>
      <w:r w:rsidRPr="006C6C1A">
        <w:rPr>
          <w:rStyle w:val="FootnoteReference"/>
          <w:rFonts w:ascii="Times New Roman" w:hAnsi="Times New Roman" w:cs="Times New Roman"/>
        </w:rPr>
        <w:footnoteRef/>
      </w:r>
      <w:r w:rsidRPr="006C6C1A">
        <w:rPr>
          <w:rFonts w:ascii="Times New Roman" w:hAnsi="Times New Roman" w:cs="Times New Roman"/>
        </w:rPr>
        <w:t xml:space="preserve"> 45 CFR 156.115(d)</w:t>
      </w:r>
    </w:p>
  </w:footnote>
  <w:footnote w:id="19">
    <w:p w:rsidR="00D33AE9" w:rsidRPr="006C6C1A" w:rsidP="0009135B" w14:paraId="66599EE4" w14:textId="77777777">
      <w:pPr>
        <w:pStyle w:val="FootnoteText"/>
        <w:rPr>
          <w:rFonts w:ascii="Times New Roman" w:hAnsi="Times New Roman" w:cs="Times New Roman"/>
        </w:rPr>
      </w:pPr>
      <w:r w:rsidRPr="006C6C1A">
        <w:rPr>
          <w:rStyle w:val="FootnoteReference"/>
          <w:rFonts w:ascii="Times New Roman" w:hAnsi="Times New Roman" w:cs="Times New Roman"/>
        </w:rPr>
        <w:footnoteRef/>
      </w:r>
      <w:r w:rsidRPr="006C6C1A">
        <w:rPr>
          <w:rFonts w:ascii="Times New Roman" w:hAnsi="Times New Roman" w:cs="Times New Roman"/>
        </w:rPr>
        <w:t xml:space="preserve"> 45 CFR 155.170</w:t>
      </w:r>
    </w:p>
  </w:footnote>
  <w:footnote w:id="20">
    <w:p w:rsidR="00D33AE9" w:rsidRPr="006C6C1A" w14:paraId="33E73228" w14:textId="416312A2">
      <w:pPr>
        <w:pStyle w:val="FootnoteText"/>
        <w:rPr>
          <w:rFonts w:ascii="Times New Roman" w:hAnsi="Times New Roman" w:cs="Times New Roman"/>
        </w:rPr>
      </w:pPr>
      <w:r w:rsidRPr="006C6C1A">
        <w:rPr>
          <w:rStyle w:val="FootnoteReference"/>
          <w:rFonts w:ascii="Times New Roman" w:hAnsi="Times New Roman" w:cs="Times New Roman"/>
        </w:rPr>
        <w:footnoteRef/>
      </w:r>
      <w:r w:rsidRPr="006C6C1A">
        <w:rPr>
          <w:rFonts w:ascii="Times New Roman" w:hAnsi="Times New Roman" w:cs="Times New Roman"/>
        </w:rPr>
        <w:t xml:space="preserve"> 45 CFR 156.280(d)</w:t>
      </w:r>
    </w:p>
  </w:footnote>
  <w:footnote w:id="21">
    <w:p w:rsidR="00D33AE9" w:rsidRPr="00AC4BFF" w:rsidP="00B55ACB" w14:paraId="4E7855E2" w14:textId="77777777">
      <w:pPr>
        <w:pStyle w:val="FootnoteText"/>
        <w:rPr>
          <w:rFonts w:ascii="Times New Roman" w:hAnsi="Times New Roman" w:cs="Times New Roman"/>
        </w:rPr>
      </w:pPr>
      <w:r w:rsidRPr="00AC4BFF">
        <w:rPr>
          <w:rStyle w:val="FootnoteReference"/>
          <w:rFonts w:ascii="Times New Roman" w:hAnsi="Times New Roman" w:cs="Times New Roman"/>
        </w:rPr>
        <w:footnoteRef/>
      </w:r>
      <w:r w:rsidRPr="00AC4BFF">
        <w:rPr>
          <w:rFonts w:ascii="Times New Roman" w:hAnsi="Times New Roman" w:cs="Times New Roman"/>
        </w:rPr>
        <w:t xml:space="preserve"> Revising a submission means that the issuer can upload supplemental documents or revise the URRT or Actuarial Memorandum in HIOS.</w:t>
      </w:r>
    </w:p>
  </w:footnote>
  <w:footnote w:id="22">
    <w:p w:rsidR="00D33AE9" w:rsidRPr="00875498" w14:paraId="365F0256" w14:textId="11CA0654">
      <w:pPr>
        <w:pStyle w:val="FootnoteText"/>
        <w:rPr>
          <w:rFonts w:ascii="Times New Roman" w:hAnsi="Times New Roman" w:cs="Times New Roman"/>
        </w:rPr>
      </w:pPr>
      <w:r w:rsidRPr="00875498">
        <w:rPr>
          <w:rStyle w:val="FootnoteReference"/>
          <w:rFonts w:ascii="Times New Roman" w:hAnsi="Times New Roman" w:cs="Times New Roman"/>
        </w:rPr>
        <w:footnoteRef/>
      </w:r>
      <w:r w:rsidRPr="00875498">
        <w:rPr>
          <w:rFonts w:ascii="Times New Roman" w:hAnsi="Times New Roman" w:cs="Times New Roman"/>
        </w:rPr>
        <w:t xml:space="preserve"> This submission status also applies to SERFF submissions.</w:t>
      </w:r>
    </w:p>
  </w:footnote>
  <w:footnote w:id="23">
    <w:p w:rsidR="00D33AE9" w:rsidRPr="00875498" w14:paraId="5F4BA2FB" w14:textId="77777777">
      <w:pPr>
        <w:pStyle w:val="FootnoteText"/>
        <w:rPr>
          <w:rFonts w:ascii="Times New Roman" w:hAnsi="Times New Roman" w:cs="Times New Roman"/>
        </w:rPr>
      </w:pPr>
      <w:r w:rsidRPr="00875498">
        <w:rPr>
          <w:rStyle w:val="FootnoteReference"/>
          <w:rFonts w:ascii="Times New Roman" w:hAnsi="Times New Roman" w:cs="Times New Roman"/>
        </w:rPr>
        <w:footnoteRef/>
      </w:r>
      <w:r w:rsidRPr="00875498">
        <w:rPr>
          <w:rFonts w:ascii="Times New Roman" w:hAnsi="Times New Roman" w:cs="Times New Roman"/>
        </w:rPr>
        <w:t xml:space="preserve"> In states with an Effective Rate Review Program, the applicable state regulatory authority is the regulator. In states without an Effective Rate Review program, CCIIO is the regulator.</w:t>
      </w:r>
    </w:p>
  </w:footnote>
  <w:footnote w:id="24">
    <w:p w:rsidR="00D33AE9" w14:paraId="73B851EB" w14:textId="77777777">
      <w:pPr>
        <w:pStyle w:val="FootnoteText"/>
      </w:pPr>
      <w:r w:rsidRPr="00875498">
        <w:rPr>
          <w:rStyle w:val="FootnoteReference"/>
          <w:rFonts w:ascii="Times New Roman" w:hAnsi="Times New Roman" w:cs="Times New Roman"/>
        </w:rPr>
        <w:footnoteRef/>
      </w:r>
      <w:r w:rsidRPr="00875498">
        <w:rPr>
          <w:rFonts w:ascii="Times New Roman" w:hAnsi="Times New Roman" w:cs="Times New Roman"/>
        </w:rPr>
        <w:t xml:space="preserve"> State regulators in states with an Effective Rate Review Program must notify CCIIO when a submission passes the compliance review.</w:t>
      </w:r>
    </w:p>
  </w:footnote>
  <w:footnote w:id="25">
    <w:p w:rsidR="00D33AE9" w:rsidRPr="00875498" w14:paraId="472477D3" w14:textId="664D53FD">
      <w:pPr>
        <w:pStyle w:val="FootnoteText"/>
        <w:rPr>
          <w:rFonts w:ascii="Times New Roman" w:hAnsi="Times New Roman" w:cs="Times New Roman"/>
        </w:rPr>
      </w:pPr>
      <w:r w:rsidRPr="00875498">
        <w:rPr>
          <w:rStyle w:val="FootnoteReference"/>
          <w:rFonts w:ascii="Times New Roman" w:hAnsi="Times New Roman" w:cs="Times New Roman"/>
        </w:rPr>
        <w:footnoteRef/>
      </w:r>
      <w:r w:rsidRPr="00875498">
        <w:rPr>
          <w:rFonts w:ascii="Times New Roman" w:hAnsi="Times New Roman" w:cs="Times New Roman"/>
        </w:rPr>
        <w:t xml:space="preserve"> This submission status also applies to SERFF submissions.</w:t>
      </w:r>
    </w:p>
  </w:footnote>
  <w:footnote w:id="26">
    <w:p w:rsidR="00D33AE9" w14:paraId="603283C0" w14:textId="5126C09A">
      <w:pPr>
        <w:pStyle w:val="FootnoteText"/>
      </w:pPr>
      <w:r w:rsidRPr="00875498">
        <w:rPr>
          <w:rStyle w:val="FootnoteReference"/>
          <w:rFonts w:ascii="Times New Roman" w:hAnsi="Times New Roman" w:cs="Times New Roman"/>
        </w:rPr>
        <w:footnoteRef/>
      </w:r>
      <w:r w:rsidRPr="00875498">
        <w:rPr>
          <w:rFonts w:ascii="Times New Roman" w:hAnsi="Times New Roman" w:cs="Times New Roman"/>
        </w:rPr>
        <w:t xml:space="preserve"> This submission status also applies to SERFF submissions.</w:t>
      </w:r>
    </w:p>
  </w:footnote>
  <w:footnote w:id="27">
    <w:p w:rsidR="00D33AE9" w:rsidRPr="00875498" w14:paraId="4DF0E380" w14:textId="2EE39B94">
      <w:pPr>
        <w:pStyle w:val="FootnoteText"/>
        <w:rPr>
          <w:rFonts w:ascii="Times New Roman" w:hAnsi="Times New Roman" w:cs="Times New Roman"/>
        </w:rPr>
      </w:pPr>
      <w:r w:rsidRPr="00875498">
        <w:rPr>
          <w:rStyle w:val="FootnoteReference"/>
          <w:rFonts w:ascii="Times New Roman" w:hAnsi="Times New Roman" w:cs="Times New Roman"/>
        </w:rPr>
        <w:footnoteRef/>
      </w:r>
      <w:r w:rsidRPr="00875498">
        <w:rPr>
          <w:rFonts w:ascii="Times New Roman" w:hAnsi="Times New Roman" w:cs="Times New Roman"/>
        </w:rPr>
        <w:t xml:space="preserve"> This submission status also applies to SERFF submissions.</w:t>
      </w:r>
    </w:p>
  </w:footnote>
  <w:footnote w:id="28">
    <w:p w:rsidR="00D33AE9" w:rsidRPr="00DB7907" w:rsidP="006842DF" w14:paraId="5F8F71C0" w14:textId="77777777">
      <w:pPr>
        <w:pStyle w:val="FootnoteText"/>
        <w:rPr>
          <w:rFonts w:ascii="Times New Roman" w:hAnsi="Times New Roman" w:cs="Times New Roman"/>
        </w:rPr>
      </w:pPr>
      <w:r w:rsidRPr="00DB7907">
        <w:rPr>
          <w:rStyle w:val="FootnoteReference"/>
          <w:rFonts w:ascii="Times New Roman" w:hAnsi="Times New Roman" w:cs="Times New Roman"/>
        </w:rPr>
        <w:footnoteRef/>
      </w:r>
      <w:r w:rsidRPr="00DB7907">
        <w:rPr>
          <w:rFonts w:ascii="Times New Roman" w:hAnsi="Times New Roman" w:cs="Times New Roman"/>
        </w:rPr>
        <w:t xml:space="preserve"> For information on states with an Effective Rate Review Program, see </w:t>
      </w:r>
      <w:hyperlink r:id="rId1" w:history="1">
        <w:r w:rsidRPr="00DB7907">
          <w:rPr>
            <w:rStyle w:val="Hyperlink"/>
            <w:rFonts w:ascii="Times New Roman" w:hAnsi="Times New Roman" w:cs="Times New Roman"/>
          </w:rPr>
          <w:t>https://www.cms.gov/CCIIO/Resources/Fact-Sheets-and-FAQs/rate_review_fact_sheet</w:t>
        </w:r>
      </w:hyperlink>
      <w:r w:rsidRPr="00DB7907">
        <w:rPr>
          <w:rFonts w:ascii="Times New Roman" w:hAnsi="Times New Roman" w:cs="Times New Roman"/>
        </w:rPr>
        <w:t xml:space="preserve">.  For information on state participation in SERFF, see </w:t>
      </w:r>
      <w:hyperlink r:id="rId2" w:history="1">
        <w:r w:rsidRPr="00DB7907">
          <w:rPr>
            <w:rStyle w:val="Hyperlink"/>
            <w:rFonts w:ascii="Times New Roman" w:hAnsi="Times New Roman" w:cs="Times New Roman"/>
          </w:rPr>
          <w:t>https://www.serff.com/serff_participation_map.htm</w:t>
        </w:r>
      </w:hyperlink>
      <w:r w:rsidRPr="00DB7907">
        <w:rPr>
          <w:rFonts w:ascii="Times New Roman" w:hAnsi="Times New Roman" w:cs="Times New Roman"/>
        </w:rPr>
        <w:t xml:space="preserve"> </w:t>
      </w:r>
    </w:p>
  </w:footnote>
  <w:footnote w:id="29">
    <w:p w:rsidR="00D33AE9" w:rsidRPr="00AC4BFF" w14:paraId="0649C12A" w14:textId="10A36355">
      <w:pPr>
        <w:pStyle w:val="FootnoteText"/>
        <w:rPr>
          <w:rFonts w:ascii="Times New Roman" w:hAnsi="Times New Roman" w:cs="Times New Roman"/>
        </w:rPr>
      </w:pPr>
      <w:r w:rsidRPr="00AC4BFF">
        <w:rPr>
          <w:rStyle w:val="FootnoteReference"/>
          <w:rFonts w:ascii="Times New Roman" w:hAnsi="Times New Roman" w:cs="Times New Roman"/>
        </w:rPr>
        <w:footnoteRef/>
      </w:r>
      <w:r w:rsidRPr="00AC4BFF">
        <w:rPr>
          <w:rFonts w:ascii="Times New Roman" w:hAnsi="Times New Roman" w:cs="Times New Roman"/>
        </w:rPr>
        <w:t xml:space="preserve"> A member of the rate review team at CCIIO can be reached by emailing ratereview@cms.hhs.gov.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0DBC" w:rsidRPr="00C40DBC" w:rsidP="00C40DBC" w14:paraId="513A9227" w14:textId="7915230B">
    <w:pPr>
      <w:pStyle w:val="BodyText"/>
      <w:spacing w:before="80" w:line="232" w:lineRule="auto"/>
      <w:ind w:left="248" w:right="-720" w:hanging="149"/>
      <w:jc w:val="right"/>
      <w:rPr>
        <w:rFonts w:ascii="Times New Roman" w:hAnsi="Times New Roman" w:cs="Times New Roman"/>
        <w:sz w:val="24"/>
        <w:szCs w:val="24"/>
      </w:rPr>
    </w:pPr>
    <w:r w:rsidRPr="00C40DBC">
      <w:rPr>
        <w:rFonts w:ascii="Times New Roman" w:hAnsi="Times New Roman" w:cs="Times New Roman"/>
        <w:sz w:val="24"/>
        <w:szCs w:val="24"/>
      </w:rPr>
      <w:t>OMB</w:t>
    </w:r>
    <w:r w:rsidRPr="00C40DBC">
      <w:rPr>
        <w:rFonts w:ascii="Times New Roman" w:hAnsi="Times New Roman" w:cs="Times New Roman"/>
        <w:spacing w:val="-10"/>
        <w:sz w:val="24"/>
        <w:szCs w:val="24"/>
      </w:rPr>
      <w:t xml:space="preserve"> </w:t>
    </w:r>
    <w:r w:rsidRPr="00C40DBC">
      <w:rPr>
        <w:rFonts w:ascii="Times New Roman" w:hAnsi="Times New Roman" w:cs="Times New Roman"/>
        <w:sz w:val="24"/>
        <w:szCs w:val="24"/>
      </w:rPr>
      <w:t>control</w:t>
    </w:r>
    <w:r w:rsidRPr="00C40DBC">
      <w:rPr>
        <w:rFonts w:ascii="Times New Roman" w:hAnsi="Times New Roman" w:cs="Times New Roman"/>
        <w:spacing w:val="-10"/>
        <w:sz w:val="24"/>
        <w:szCs w:val="24"/>
      </w:rPr>
      <w:t xml:space="preserve"> </w:t>
    </w:r>
    <w:r w:rsidRPr="00C40DBC">
      <w:rPr>
        <w:rFonts w:ascii="Times New Roman" w:hAnsi="Times New Roman" w:cs="Times New Roman"/>
        <w:sz w:val="24"/>
        <w:szCs w:val="24"/>
      </w:rPr>
      <w:t>number:</w:t>
    </w:r>
    <w:r w:rsidRPr="00C40DBC">
      <w:rPr>
        <w:rFonts w:ascii="Times New Roman" w:hAnsi="Times New Roman" w:cs="Times New Roman"/>
        <w:spacing w:val="36"/>
        <w:sz w:val="24"/>
        <w:szCs w:val="24"/>
      </w:rPr>
      <w:t xml:space="preserve"> </w:t>
    </w:r>
    <w:r w:rsidRPr="00C40DBC">
      <w:rPr>
        <w:rFonts w:ascii="Times New Roman" w:hAnsi="Times New Roman" w:cs="Times New Roman"/>
        <w:sz w:val="24"/>
        <w:szCs w:val="24"/>
      </w:rPr>
      <w:t>0938-</w:t>
    </w:r>
    <w:r w:rsidR="00CA415C">
      <w:rPr>
        <w:rFonts w:ascii="Times New Roman" w:hAnsi="Times New Roman" w:cs="Times New Roman"/>
        <w:sz w:val="24"/>
        <w:szCs w:val="24"/>
      </w:rPr>
      <w:t>1141</w:t>
    </w:r>
  </w:p>
  <w:p w:rsidR="00C40DBC" w:rsidRPr="00C40DBC" w:rsidP="00C40DBC" w14:paraId="326ED300" w14:textId="4F05B1AB">
    <w:pPr>
      <w:pStyle w:val="BodyText"/>
      <w:spacing w:before="80" w:line="232" w:lineRule="auto"/>
      <w:ind w:left="248" w:right="-720" w:hanging="149"/>
      <w:jc w:val="right"/>
      <w:rPr>
        <w:rFonts w:ascii="Times New Roman" w:hAnsi="Times New Roman" w:cs="Times New Roman"/>
        <w:sz w:val="24"/>
        <w:szCs w:val="24"/>
      </w:rPr>
    </w:pPr>
    <w:r w:rsidRPr="00C40DBC">
      <w:rPr>
        <w:rFonts w:ascii="Times New Roman" w:hAnsi="Times New Roman" w:cs="Times New Roman"/>
        <w:sz w:val="24"/>
        <w:szCs w:val="24"/>
      </w:rPr>
      <w:t>Expiration</w:t>
    </w:r>
    <w:r w:rsidRPr="00C40DBC">
      <w:rPr>
        <w:rFonts w:ascii="Times New Roman" w:hAnsi="Times New Roman" w:cs="Times New Roman"/>
        <w:spacing w:val="-8"/>
        <w:sz w:val="24"/>
        <w:szCs w:val="24"/>
      </w:rPr>
      <w:t xml:space="preserve"> </w:t>
    </w:r>
    <w:r w:rsidRPr="00C40DBC">
      <w:rPr>
        <w:rFonts w:ascii="Times New Roman" w:hAnsi="Times New Roman" w:cs="Times New Roman"/>
        <w:sz w:val="24"/>
        <w:szCs w:val="24"/>
      </w:rPr>
      <w:t>date:</w:t>
    </w:r>
    <w:r w:rsidRPr="00C40DBC">
      <w:rPr>
        <w:rFonts w:ascii="Times New Roman" w:hAnsi="Times New Roman" w:cs="Times New Roman"/>
        <w:spacing w:val="-7"/>
        <w:sz w:val="24"/>
        <w:szCs w:val="24"/>
      </w:rPr>
      <w:t xml:space="preserve"> </w:t>
    </w:r>
    <w:r w:rsidRPr="00C40DBC">
      <w:rPr>
        <w:rFonts w:ascii="Times New Roman" w:hAnsi="Times New Roman" w:cs="Times New Roman"/>
        <w:spacing w:val="-2"/>
        <w:sz w:val="24"/>
        <w:szCs w:val="24"/>
      </w:rPr>
      <w:t>XX/XX/XXXX</w:t>
    </w:r>
  </w:p>
  <w:p w:rsidR="00C40DBC" w14:paraId="7059BFA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11AC8"/>
    <w:multiLevelType w:val="hybridMultilevel"/>
    <w:tmpl w:val="5CCEDD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DC06BF"/>
    <w:multiLevelType w:val="hybridMultilevel"/>
    <w:tmpl w:val="03CC29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CB558C"/>
    <w:multiLevelType w:val="hybridMultilevel"/>
    <w:tmpl w:val="5844B3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5C717D"/>
    <w:multiLevelType w:val="hybridMultilevel"/>
    <w:tmpl w:val="353240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7F6DCE"/>
    <w:multiLevelType w:val="hybridMultilevel"/>
    <w:tmpl w:val="81CCEC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BC1933"/>
    <w:multiLevelType w:val="hybridMultilevel"/>
    <w:tmpl w:val="D01E8E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0163C49"/>
    <w:multiLevelType w:val="hybridMultilevel"/>
    <w:tmpl w:val="E568781C"/>
    <w:lvl w:ilvl="0">
      <w:start w:val="1"/>
      <w:numFmt w:val="bullet"/>
      <w:lvlText w:val=""/>
      <w:lvlJc w:val="left"/>
      <w:pPr>
        <w:ind w:left="839" w:hanging="360"/>
      </w:pPr>
      <w:rPr>
        <w:rFonts w:ascii="Symbol" w:hAnsi="Symbol" w:hint="default"/>
      </w:rPr>
    </w:lvl>
    <w:lvl w:ilvl="1" w:tentative="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abstractNum w:abstractNumId="7">
    <w:nsid w:val="118A0977"/>
    <w:multiLevelType w:val="hybridMultilevel"/>
    <w:tmpl w:val="ADA4F6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24C13D1"/>
    <w:multiLevelType w:val="hybridMultilevel"/>
    <w:tmpl w:val="E5A8F6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47A37A4"/>
    <w:multiLevelType w:val="hybridMultilevel"/>
    <w:tmpl w:val="8B4412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9C0197D"/>
    <w:multiLevelType w:val="hybridMultilevel"/>
    <w:tmpl w:val="2D2678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B6D5BDA"/>
    <w:multiLevelType w:val="hybridMultilevel"/>
    <w:tmpl w:val="9730A5BC"/>
    <w:lvl w:ilvl="0">
      <w:start w:val="1"/>
      <w:numFmt w:val="lowerRoman"/>
      <w:lvlText w:val="%1)"/>
      <w:lvlJc w:val="left"/>
      <w:pPr>
        <w:ind w:left="1440" w:hanging="360"/>
      </w:pPr>
      <w:rPr>
        <w:rFonts w:ascii="Calibri" w:eastAsia="Calibri" w:hAnsi="Calibri" w:cs="Calibri" w:hint="default"/>
        <w:spacing w:val="-1"/>
        <w:w w:val="100"/>
        <w:sz w:val="22"/>
        <w:szCs w:val="22"/>
      </w:rPr>
    </w:lvl>
    <w:lvl w:ilvl="1">
      <w:start w:val="1"/>
      <w:numFmt w:val="lowerRoman"/>
      <w:lvlText w:val="%2)"/>
      <w:lvlJc w:val="left"/>
      <w:pPr>
        <w:ind w:left="2160" w:hanging="360"/>
      </w:pPr>
      <w:rPr>
        <w:rFonts w:ascii="Calibri" w:eastAsia="Calibri" w:hAnsi="Calibri" w:cs="Calibri" w:hint="default"/>
        <w:spacing w:val="-1"/>
        <w:w w:val="100"/>
        <w:sz w:val="22"/>
        <w:szCs w:val="22"/>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1CD24D94"/>
    <w:multiLevelType w:val="multilevel"/>
    <w:tmpl w:val="86D2AC32"/>
    <w:lvl w:ilvl="0">
      <w:start w:val="1"/>
      <w:numFmt w:val="decimal"/>
      <w:lvlText w:val="%1."/>
      <w:lvlJc w:val="left"/>
      <w:pPr>
        <w:ind w:left="1080" w:hanging="360"/>
      </w:pPr>
      <w:rPr>
        <w:rFonts w:hint="default"/>
      </w:rPr>
    </w:lvl>
    <w:lvl w:ilvl="1">
      <w:start w:val="1"/>
      <w:numFmt w:val="decimal"/>
      <w:isLgl/>
      <w:lvlText w:val="%1.%2"/>
      <w:lvlJc w:val="left"/>
      <w:pPr>
        <w:ind w:left="1290" w:hanging="570"/>
      </w:pPr>
      <w:rPr>
        <w:rFonts w:hint="default"/>
      </w:rPr>
    </w:lvl>
    <w:lvl w:ilvl="2">
      <w:start w:val="1"/>
      <w:numFmt w:val="decimal"/>
      <w:pStyle w:val="Heading3"/>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3">
    <w:nsid w:val="20784658"/>
    <w:multiLevelType w:val="hybridMultilevel"/>
    <w:tmpl w:val="B09834B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1DC3A39"/>
    <w:multiLevelType w:val="hybridMultilevel"/>
    <w:tmpl w:val="C78CC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45B68EC"/>
    <w:multiLevelType w:val="hybridMultilevel"/>
    <w:tmpl w:val="C75A3F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5281905"/>
    <w:multiLevelType w:val="hybridMultilevel"/>
    <w:tmpl w:val="303CC2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F436770"/>
    <w:multiLevelType w:val="hybridMultilevel"/>
    <w:tmpl w:val="10584A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317B0340"/>
    <w:multiLevelType w:val="hybridMultilevel"/>
    <w:tmpl w:val="C9706E3E"/>
    <w:lvl w:ilvl="0">
      <w:start w:val="1"/>
      <w:numFmt w:val="lowerLetter"/>
      <w:lvlText w:val="%1)"/>
      <w:lvlJc w:val="left"/>
      <w:pPr>
        <w:ind w:left="475" w:hanging="360"/>
      </w:pPr>
      <w:rPr>
        <w:rFonts w:hint="default"/>
      </w:rPr>
    </w:lvl>
    <w:lvl w:ilvl="1" w:tentative="1">
      <w:start w:val="1"/>
      <w:numFmt w:val="lowerLetter"/>
      <w:lvlText w:val="%2."/>
      <w:lvlJc w:val="left"/>
      <w:pPr>
        <w:ind w:left="1195" w:hanging="360"/>
      </w:pPr>
    </w:lvl>
    <w:lvl w:ilvl="2" w:tentative="1">
      <w:start w:val="1"/>
      <w:numFmt w:val="lowerRoman"/>
      <w:lvlText w:val="%3."/>
      <w:lvlJc w:val="right"/>
      <w:pPr>
        <w:ind w:left="1915" w:hanging="180"/>
      </w:pPr>
    </w:lvl>
    <w:lvl w:ilvl="3" w:tentative="1">
      <w:start w:val="1"/>
      <w:numFmt w:val="decimal"/>
      <w:lvlText w:val="%4."/>
      <w:lvlJc w:val="left"/>
      <w:pPr>
        <w:ind w:left="2635" w:hanging="360"/>
      </w:pPr>
    </w:lvl>
    <w:lvl w:ilvl="4" w:tentative="1">
      <w:start w:val="1"/>
      <w:numFmt w:val="lowerLetter"/>
      <w:lvlText w:val="%5."/>
      <w:lvlJc w:val="left"/>
      <w:pPr>
        <w:ind w:left="3355" w:hanging="360"/>
      </w:pPr>
    </w:lvl>
    <w:lvl w:ilvl="5" w:tentative="1">
      <w:start w:val="1"/>
      <w:numFmt w:val="lowerRoman"/>
      <w:lvlText w:val="%6."/>
      <w:lvlJc w:val="right"/>
      <w:pPr>
        <w:ind w:left="4075" w:hanging="180"/>
      </w:pPr>
    </w:lvl>
    <w:lvl w:ilvl="6" w:tentative="1">
      <w:start w:val="1"/>
      <w:numFmt w:val="decimal"/>
      <w:lvlText w:val="%7."/>
      <w:lvlJc w:val="left"/>
      <w:pPr>
        <w:ind w:left="4795" w:hanging="360"/>
      </w:pPr>
    </w:lvl>
    <w:lvl w:ilvl="7" w:tentative="1">
      <w:start w:val="1"/>
      <w:numFmt w:val="lowerLetter"/>
      <w:lvlText w:val="%8."/>
      <w:lvlJc w:val="left"/>
      <w:pPr>
        <w:ind w:left="5515" w:hanging="360"/>
      </w:pPr>
    </w:lvl>
    <w:lvl w:ilvl="8" w:tentative="1">
      <w:start w:val="1"/>
      <w:numFmt w:val="lowerRoman"/>
      <w:lvlText w:val="%9."/>
      <w:lvlJc w:val="right"/>
      <w:pPr>
        <w:ind w:left="6235" w:hanging="180"/>
      </w:pPr>
    </w:lvl>
  </w:abstractNum>
  <w:abstractNum w:abstractNumId="19">
    <w:nsid w:val="325E7EE8"/>
    <w:multiLevelType w:val="hybridMultilevel"/>
    <w:tmpl w:val="DAA0B2D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33D834C2"/>
    <w:multiLevelType w:val="hybridMultilevel"/>
    <w:tmpl w:val="8B9C779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34BF3EB8"/>
    <w:multiLevelType w:val="multilevel"/>
    <w:tmpl w:val="12628310"/>
    <w:lvl w:ilvl="0">
      <w:start w:val="1"/>
      <w:numFmt w:val="decimal"/>
      <w:lvlText w:val="%1"/>
      <w:lvlJc w:val="left"/>
      <w:pPr>
        <w:ind w:left="552" w:hanging="433"/>
      </w:pPr>
      <w:rPr>
        <w:rFonts w:ascii="Cambria" w:eastAsia="Cambria" w:hAnsi="Cambria" w:cs="Cambria" w:hint="default"/>
        <w:b/>
        <w:bCs/>
        <w:color w:val="365F91"/>
        <w:w w:val="100"/>
        <w:sz w:val="28"/>
        <w:szCs w:val="28"/>
      </w:rPr>
    </w:lvl>
    <w:lvl w:ilvl="1">
      <w:start w:val="1"/>
      <w:numFmt w:val="decimal"/>
      <w:lvlText w:val="%1.%2"/>
      <w:lvlJc w:val="left"/>
      <w:pPr>
        <w:ind w:left="667" w:hanging="577"/>
      </w:pPr>
      <w:rPr>
        <w:rFonts w:ascii="Times New Roman" w:eastAsia="Cambria" w:hAnsi="Times New Roman" w:cs="Times New Roman" w:hint="default"/>
        <w:b/>
        <w:bCs/>
        <w:color w:val="4F81BD"/>
        <w:spacing w:val="-1"/>
        <w:w w:val="99"/>
        <w:sz w:val="22"/>
        <w:szCs w:val="22"/>
      </w:rPr>
    </w:lvl>
    <w:lvl w:ilvl="2">
      <w:start w:val="0"/>
      <w:numFmt w:val="bullet"/>
      <w:lvlText w:val=""/>
      <w:lvlJc w:val="left"/>
      <w:pPr>
        <w:ind w:left="838" w:hanging="361"/>
      </w:pPr>
      <w:rPr>
        <w:rFonts w:ascii="Symbol" w:eastAsia="Symbol" w:hAnsi="Symbol" w:cs="Symbol" w:hint="default"/>
        <w:w w:val="100"/>
        <w:sz w:val="22"/>
        <w:szCs w:val="22"/>
      </w:rPr>
    </w:lvl>
    <w:lvl w:ilvl="3">
      <w:start w:val="0"/>
      <w:numFmt w:val="bullet"/>
      <w:lvlText w:val="•"/>
      <w:lvlJc w:val="left"/>
      <w:pPr>
        <w:ind w:left="880" w:hanging="361"/>
      </w:pPr>
      <w:rPr>
        <w:rFonts w:hint="default"/>
      </w:rPr>
    </w:lvl>
    <w:lvl w:ilvl="4">
      <w:start w:val="0"/>
      <w:numFmt w:val="bullet"/>
      <w:lvlText w:val="•"/>
      <w:lvlJc w:val="left"/>
      <w:pPr>
        <w:ind w:left="2114" w:hanging="361"/>
      </w:pPr>
      <w:rPr>
        <w:rFonts w:hint="default"/>
      </w:rPr>
    </w:lvl>
    <w:lvl w:ilvl="5">
      <w:start w:val="0"/>
      <w:numFmt w:val="bullet"/>
      <w:lvlText w:val="•"/>
      <w:lvlJc w:val="left"/>
      <w:pPr>
        <w:ind w:left="3348" w:hanging="361"/>
      </w:pPr>
      <w:rPr>
        <w:rFonts w:hint="default"/>
      </w:rPr>
    </w:lvl>
    <w:lvl w:ilvl="6">
      <w:start w:val="0"/>
      <w:numFmt w:val="bullet"/>
      <w:lvlText w:val="•"/>
      <w:lvlJc w:val="left"/>
      <w:pPr>
        <w:ind w:left="4582" w:hanging="361"/>
      </w:pPr>
      <w:rPr>
        <w:rFonts w:hint="default"/>
      </w:rPr>
    </w:lvl>
    <w:lvl w:ilvl="7">
      <w:start w:val="0"/>
      <w:numFmt w:val="bullet"/>
      <w:lvlText w:val="•"/>
      <w:lvlJc w:val="left"/>
      <w:pPr>
        <w:ind w:left="5817" w:hanging="361"/>
      </w:pPr>
      <w:rPr>
        <w:rFonts w:hint="default"/>
      </w:rPr>
    </w:lvl>
    <w:lvl w:ilvl="8">
      <w:start w:val="0"/>
      <w:numFmt w:val="bullet"/>
      <w:lvlText w:val="•"/>
      <w:lvlJc w:val="left"/>
      <w:pPr>
        <w:ind w:left="7051" w:hanging="361"/>
      </w:pPr>
      <w:rPr>
        <w:rFonts w:hint="default"/>
      </w:rPr>
    </w:lvl>
  </w:abstractNum>
  <w:abstractNum w:abstractNumId="22">
    <w:nsid w:val="34D459CB"/>
    <w:multiLevelType w:val="hybridMultilevel"/>
    <w:tmpl w:val="11E03EF6"/>
    <w:lvl w:ilvl="0">
      <w:start w:val="1"/>
      <w:numFmt w:val="bullet"/>
      <w:lvlText w:val=""/>
      <w:lvlJc w:val="left"/>
      <w:pPr>
        <w:ind w:left="1484" w:hanging="360"/>
      </w:pPr>
      <w:rPr>
        <w:rFonts w:ascii="Symbol" w:hAnsi="Symbol" w:hint="default"/>
      </w:rPr>
    </w:lvl>
    <w:lvl w:ilvl="1">
      <w:start w:val="1"/>
      <w:numFmt w:val="bullet"/>
      <w:lvlText w:val="o"/>
      <w:lvlJc w:val="left"/>
      <w:pPr>
        <w:ind w:left="2204" w:hanging="360"/>
      </w:pPr>
      <w:rPr>
        <w:rFonts w:ascii="Courier New" w:hAnsi="Courier New" w:cs="Courier New" w:hint="default"/>
      </w:rPr>
    </w:lvl>
    <w:lvl w:ilvl="2" w:tentative="1">
      <w:start w:val="1"/>
      <w:numFmt w:val="bullet"/>
      <w:lvlText w:val=""/>
      <w:lvlJc w:val="left"/>
      <w:pPr>
        <w:ind w:left="2924" w:hanging="360"/>
      </w:pPr>
      <w:rPr>
        <w:rFonts w:ascii="Wingdings" w:hAnsi="Wingdings" w:hint="default"/>
      </w:rPr>
    </w:lvl>
    <w:lvl w:ilvl="3" w:tentative="1">
      <w:start w:val="1"/>
      <w:numFmt w:val="bullet"/>
      <w:lvlText w:val=""/>
      <w:lvlJc w:val="left"/>
      <w:pPr>
        <w:ind w:left="3644" w:hanging="360"/>
      </w:pPr>
      <w:rPr>
        <w:rFonts w:ascii="Symbol" w:hAnsi="Symbol" w:hint="default"/>
      </w:rPr>
    </w:lvl>
    <w:lvl w:ilvl="4" w:tentative="1">
      <w:start w:val="1"/>
      <w:numFmt w:val="bullet"/>
      <w:lvlText w:val="o"/>
      <w:lvlJc w:val="left"/>
      <w:pPr>
        <w:ind w:left="4364" w:hanging="360"/>
      </w:pPr>
      <w:rPr>
        <w:rFonts w:ascii="Courier New" w:hAnsi="Courier New" w:cs="Courier New" w:hint="default"/>
      </w:rPr>
    </w:lvl>
    <w:lvl w:ilvl="5" w:tentative="1">
      <w:start w:val="1"/>
      <w:numFmt w:val="bullet"/>
      <w:lvlText w:val=""/>
      <w:lvlJc w:val="left"/>
      <w:pPr>
        <w:ind w:left="5084" w:hanging="360"/>
      </w:pPr>
      <w:rPr>
        <w:rFonts w:ascii="Wingdings" w:hAnsi="Wingdings" w:hint="default"/>
      </w:rPr>
    </w:lvl>
    <w:lvl w:ilvl="6" w:tentative="1">
      <w:start w:val="1"/>
      <w:numFmt w:val="bullet"/>
      <w:lvlText w:val=""/>
      <w:lvlJc w:val="left"/>
      <w:pPr>
        <w:ind w:left="5804" w:hanging="360"/>
      </w:pPr>
      <w:rPr>
        <w:rFonts w:ascii="Symbol" w:hAnsi="Symbol" w:hint="default"/>
      </w:rPr>
    </w:lvl>
    <w:lvl w:ilvl="7" w:tentative="1">
      <w:start w:val="1"/>
      <w:numFmt w:val="bullet"/>
      <w:lvlText w:val="o"/>
      <w:lvlJc w:val="left"/>
      <w:pPr>
        <w:ind w:left="6524" w:hanging="360"/>
      </w:pPr>
      <w:rPr>
        <w:rFonts w:ascii="Courier New" w:hAnsi="Courier New" w:cs="Courier New" w:hint="default"/>
      </w:rPr>
    </w:lvl>
    <w:lvl w:ilvl="8" w:tentative="1">
      <w:start w:val="1"/>
      <w:numFmt w:val="bullet"/>
      <w:lvlText w:val=""/>
      <w:lvlJc w:val="left"/>
      <w:pPr>
        <w:ind w:left="7244" w:hanging="360"/>
      </w:pPr>
      <w:rPr>
        <w:rFonts w:ascii="Wingdings" w:hAnsi="Wingdings" w:hint="default"/>
      </w:rPr>
    </w:lvl>
  </w:abstractNum>
  <w:abstractNum w:abstractNumId="23">
    <w:nsid w:val="36D95CF0"/>
    <w:multiLevelType w:val="hybridMultilevel"/>
    <w:tmpl w:val="2D883322"/>
    <w:lvl w:ilvl="0">
      <w:start w:val="1"/>
      <w:numFmt w:val="lowerLetter"/>
      <w:lvlText w:val="%1)"/>
      <w:lvlJc w:val="left"/>
      <w:pPr>
        <w:ind w:left="720" w:hanging="360"/>
      </w:pPr>
      <w:rPr>
        <w:rFonts w:hint="default"/>
      </w:rPr>
    </w:lvl>
    <w:lvl w:ilvl="1">
      <w:start w:val="1"/>
      <w:numFmt w:val="lowerRoman"/>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D0E7F7B"/>
    <w:multiLevelType w:val="hybridMultilevel"/>
    <w:tmpl w:val="D278C3CE"/>
    <w:lvl w:ilvl="0">
      <w:start w:val="1"/>
      <w:numFmt w:val="lowerRoman"/>
      <w:lvlText w:val="%1)"/>
      <w:lvlJc w:val="left"/>
      <w:pPr>
        <w:ind w:left="1440" w:hanging="360"/>
      </w:pPr>
      <w:rPr>
        <w:rFonts w:ascii="Calibri" w:eastAsia="Calibri" w:hAnsi="Calibri" w:cs="Calibri" w:hint="default"/>
        <w:spacing w:val="-1"/>
        <w:w w:val="100"/>
        <w:sz w:val="22"/>
        <w:szCs w:val="22"/>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3D6D3CCF"/>
    <w:multiLevelType w:val="hybridMultilevel"/>
    <w:tmpl w:val="22567E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E2A1362"/>
    <w:multiLevelType w:val="hybridMultilevel"/>
    <w:tmpl w:val="C3F892D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0D43D63"/>
    <w:multiLevelType w:val="hybridMultilevel"/>
    <w:tmpl w:val="73B8F838"/>
    <w:lvl w:ilvl="0">
      <w:start w:val="1"/>
      <w:numFmt w:val="bullet"/>
      <w:lvlText w:val="‒"/>
      <w:lvlJc w:val="left"/>
      <w:pPr>
        <w:tabs>
          <w:tab w:val="num" w:pos="720"/>
        </w:tabs>
        <w:ind w:left="720" w:hanging="360"/>
      </w:pPr>
      <w:rPr>
        <w:rFonts w:ascii="Calibri" w:hAnsi="Calibri" w:hint="default"/>
      </w:rPr>
    </w:lvl>
    <w:lvl w:ilvl="1">
      <w:start w:val="1"/>
      <w:numFmt w:val="bullet"/>
      <w:lvlText w:val="‒"/>
      <w:lvlJc w:val="left"/>
      <w:pPr>
        <w:tabs>
          <w:tab w:val="num" w:pos="1440"/>
        </w:tabs>
        <w:ind w:left="1440" w:hanging="360"/>
      </w:pPr>
      <w:rPr>
        <w:rFonts w:ascii="Calibri" w:hAnsi="Calibri" w:hint="default"/>
      </w:rPr>
    </w:lvl>
    <w:lvl w:ilvl="2" w:tentative="1">
      <w:start w:val="1"/>
      <w:numFmt w:val="bullet"/>
      <w:lvlText w:val="‒"/>
      <w:lvlJc w:val="left"/>
      <w:pPr>
        <w:tabs>
          <w:tab w:val="num" w:pos="2160"/>
        </w:tabs>
        <w:ind w:left="2160" w:hanging="360"/>
      </w:pPr>
      <w:rPr>
        <w:rFonts w:ascii="Calibri" w:hAnsi="Calibri" w:hint="default"/>
      </w:rPr>
    </w:lvl>
    <w:lvl w:ilvl="3" w:tentative="1">
      <w:start w:val="1"/>
      <w:numFmt w:val="bullet"/>
      <w:lvlText w:val="‒"/>
      <w:lvlJc w:val="left"/>
      <w:pPr>
        <w:tabs>
          <w:tab w:val="num" w:pos="2880"/>
        </w:tabs>
        <w:ind w:left="2880" w:hanging="360"/>
      </w:pPr>
      <w:rPr>
        <w:rFonts w:ascii="Calibri" w:hAnsi="Calibri" w:hint="default"/>
      </w:rPr>
    </w:lvl>
    <w:lvl w:ilvl="4" w:tentative="1">
      <w:start w:val="1"/>
      <w:numFmt w:val="bullet"/>
      <w:lvlText w:val="‒"/>
      <w:lvlJc w:val="left"/>
      <w:pPr>
        <w:tabs>
          <w:tab w:val="num" w:pos="3600"/>
        </w:tabs>
        <w:ind w:left="3600" w:hanging="360"/>
      </w:pPr>
      <w:rPr>
        <w:rFonts w:ascii="Calibri" w:hAnsi="Calibri" w:hint="default"/>
      </w:rPr>
    </w:lvl>
    <w:lvl w:ilvl="5" w:tentative="1">
      <w:start w:val="1"/>
      <w:numFmt w:val="bullet"/>
      <w:lvlText w:val="‒"/>
      <w:lvlJc w:val="left"/>
      <w:pPr>
        <w:tabs>
          <w:tab w:val="num" w:pos="4320"/>
        </w:tabs>
        <w:ind w:left="4320" w:hanging="360"/>
      </w:pPr>
      <w:rPr>
        <w:rFonts w:ascii="Calibri" w:hAnsi="Calibri" w:hint="default"/>
      </w:rPr>
    </w:lvl>
    <w:lvl w:ilvl="6" w:tentative="1">
      <w:start w:val="1"/>
      <w:numFmt w:val="bullet"/>
      <w:lvlText w:val="‒"/>
      <w:lvlJc w:val="left"/>
      <w:pPr>
        <w:tabs>
          <w:tab w:val="num" w:pos="5040"/>
        </w:tabs>
        <w:ind w:left="5040" w:hanging="360"/>
      </w:pPr>
      <w:rPr>
        <w:rFonts w:ascii="Calibri" w:hAnsi="Calibri" w:hint="default"/>
      </w:rPr>
    </w:lvl>
    <w:lvl w:ilvl="7" w:tentative="1">
      <w:start w:val="1"/>
      <w:numFmt w:val="bullet"/>
      <w:lvlText w:val="‒"/>
      <w:lvlJc w:val="left"/>
      <w:pPr>
        <w:tabs>
          <w:tab w:val="num" w:pos="5760"/>
        </w:tabs>
        <w:ind w:left="5760" w:hanging="360"/>
      </w:pPr>
      <w:rPr>
        <w:rFonts w:ascii="Calibri" w:hAnsi="Calibri" w:hint="default"/>
      </w:rPr>
    </w:lvl>
    <w:lvl w:ilvl="8" w:tentative="1">
      <w:start w:val="1"/>
      <w:numFmt w:val="bullet"/>
      <w:lvlText w:val="‒"/>
      <w:lvlJc w:val="left"/>
      <w:pPr>
        <w:tabs>
          <w:tab w:val="num" w:pos="6480"/>
        </w:tabs>
        <w:ind w:left="6480" w:hanging="360"/>
      </w:pPr>
      <w:rPr>
        <w:rFonts w:ascii="Calibri" w:hAnsi="Calibri" w:hint="default"/>
      </w:rPr>
    </w:lvl>
  </w:abstractNum>
  <w:abstractNum w:abstractNumId="28">
    <w:nsid w:val="45091C08"/>
    <w:multiLevelType w:val="hybridMultilevel"/>
    <w:tmpl w:val="1F9E48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74576E3"/>
    <w:multiLevelType w:val="hybridMultilevel"/>
    <w:tmpl w:val="7E3E96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B357C3B"/>
    <w:multiLevelType w:val="hybridMultilevel"/>
    <w:tmpl w:val="6BE81E7E"/>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1">
    <w:nsid w:val="4D004155"/>
    <w:multiLevelType w:val="hybridMultilevel"/>
    <w:tmpl w:val="4B92B0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FBC1679"/>
    <w:multiLevelType w:val="hybridMultilevel"/>
    <w:tmpl w:val="94D2D2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531C2A4A"/>
    <w:multiLevelType w:val="hybridMultilevel"/>
    <w:tmpl w:val="22CC41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5473DF1"/>
    <w:multiLevelType w:val="hybridMultilevel"/>
    <w:tmpl w:val="D1DC8370"/>
    <w:lvl w:ilvl="0">
      <w:start w:val="1"/>
      <w:numFmt w:val="lowerLetter"/>
      <w:lvlText w:val="%1)"/>
      <w:lvlJc w:val="left"/>
      <w:pPr>
        <w:ind w:left="475" w:hanging="360"/>
      </w:pPr>
      <w:rPr>
        <w:rFonts w:hint="default"/>
      </w:rPr>
    </w:lvl>
    <w:lvl w:ilvl="1">
      <w:start w:val="1"/>
      <w:numFmt w:val="lowerRoman"/>
      <w:lvlText w:val="%2)"/>
      <w:lvlJc w:val="left"/>
      <w:pPr>
        <w:ind w:left="1195" w:hanging="360"/>
      </w:pPr>
      <w:rPr>
        <w:rFonts w:ascii="Calibri" w:eastAsia="Calibri" w:hAnsi="Calibri" w:cs="Calibri" w:hint="default"/>
        <w:spacing w:val="-1"/>
        <w:w w:val="100"/>
        <w:sz w:val="22"/>
        <w:szCs w:val="22"/>
      </w:rPr>
    </w:lvl>
    <w:lvl w:ilvl="2" w:tentative="1">
      <w:start w:val="1"/>
      <w:numFmt w:val="lowerRoman"/>
      <w:lvlText w:val="%3."/>
      <w:lvlJc w:val="right"/>
      <w:pPr>
        <w:ind w:left="1915" w:hanging="180"/>
      </w:pPr>
    </w:lvl>
    <w:lvl w:ilvl="3" w:tentative="1">
      <w:start w:val="1"/>
      <w:numFmt w:val="decimal"/>
      <w:lvlText w:val="%4."/>
      <w:lvlJc w:val="left"/>
      <w:pPr>
        <w:ind w:left="2635" w:hanging="360"/>
      </w:pPr>
    </w:lvl>
    <w:lvl w:ilvl="4" w:tentative="1">
      <w:start w:val="1"/>
      <w:numFmt w:val="lowerLetter"/>
      <w:lvlText w:val="%5."/>
      <w:lvlJc w:val="left"/>
      <w:pPr>
        <w:ind w:left="3355" w:hanging="360"/>
      </w:pPr>
    </w:lvl>
    <w:lvl w:ilvl="5" w:tentative="1">
      <w:start w:val="1"/>
      <w:numFmt w:val="lowerRoman"/>
      <w:lvlText w:val="%6."/>
      <w:lvlJc w:val="right"/>
      <w:pPr>
        <w:ind w:left="4075" w:hanging="180"/>
      </w:pPr>
    </w:lvl>
    <w:lvl w:ilvl="6" w:tentative="1">
      <w:start w:val="1"/>
      <w:numFmt w:val="decimal"/>
      <w:lvlText w:val="%7."/>
      <w:lvlJc w:val="left"/>
      <w:pPr>
        <w:ind w:left="4795" w:hanging="360"/>
      </w:pPr>
    </w:lvl>
    <w:lvl w:ilvl="7" w:tentative="1">
      <w:start w:val="1"/>
      <w:numFmt w:val="lowerLetter"/>
      <w:lvlText w:val="%8."/>
      <w:lvlJc w:val="left"/>
      <w:pPr>
        <w:ind w:left="5515" w:hanging="360"/>
      </w:pPr>
    </w:lvl>
    <w:lvl w:ilvl="8" w:tentative="1">
      <w:start w:val="1"/>
      <w:numFmt w:val="lowerRoman"/>
      <w:lvlText w:val="%9."/>
      <w:lvlJc w:val="right"/>
      <w:pPr>
        <w:ind w:left="6235" w:hanging="180"/>
      </w:pPr>
    </w:lvl>
  </w:abstractNum>
  <w:abstractNum w:abstractNumId="35">
    <w:nsid w:val="56960F6A"/>
    <w:multiLevelType w:val="hybridMultilevel"/>
    <w:tmpl w:val="16AC4D46"/>
    <w:lvl w:ilvl="0">
      <w:start w:val="1"/>
      <w:numFmt w:val="bullet"/>
      <w:lvlText w:val=""/>
      <w:lvlJc w:val="left"/>
      <w:pPr>
        <w:ind w:left="835" w:hanging="360"/>
      </w:pPr>
      <w:rPr>
        <w:rFonts w:ascii="Symbol" w:hAnsi="Symbol" w:hint="default"/>
      </w:rPr>
    </w:lvl>
    <w:lvl w:ilvl="1" w:tentative="1">
      <w:start w:val="1"/>
      <w:numFmt w:val="bullet"/>
      <w:lvlText w:val="o"/>
      <w:lvlJc w:val="left"/>
      <w:pPr>
        <w:ind w:left="1555" w:hanging="360"/>
      </w:pPr>
      <w:rPr>
        <w:rFonts w:ascii="Courier New" w:hAnsi="Courier New" w:cs="Courier New"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36">
    <w:nsid w:val="578D749C"/>
    <w:multiLevelType w:val="hybridMultilevel"/>
    <w:tmpl w:val="B04E3DF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58F0378E"/>
    <w:multiLevelType w:val="hybridMultilevel"/>
    <w:tmpl w:val="EF7A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A19370E"/>
    <w:multiLevelType w:val="hybridMultilevel"/>
    <w:tmpl w:val="B0C62050"/>
    <w:lvl w:ilvl="0">
      <w:start w:val="1"/>
      <w:numFmt w:val="bullet"/>
      <w:lvlText w:val=""/>
      <w:lvlJc w:val="left"/>
      <w:pPr>
        <w:ind w:left="835" w:hanging="360"/>
      </w:pPr>
      <w:rPr>
        <w:rFonts w:ascii="Symbol" w:hAnsi="Symbol" w:hint="default"/>
      </w:rPr>
    </w:lvl>
    <w:lvl w:ilvl="1" w:tentative="1">
      <w:start w:val="1"/>
      <w:numFmt w:val="bullet"/>
      <w:lvlText w:val="o"/>
      <w:lvlJc w:val="left"/>
      <w:pPr>
        <w:ind w:left="1555" w:hanging="360"/>
      </w:pPr>
      <w:rPr>
        <w:rFonts w:ascii="Courier New" w:hAnsi="Courier New" w:cs="Courier New"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39">
    <w:nsid w:val="5FE22D5F"/>
    <w:multiLevelType w:val="hybridMultilevel"/>
    <w:tmpl w:val="88C214B6"/>
    <w:lvl w:ilvl="0">
      <w:start w:val="1"/>
      <w:numFmt w:val="lowerRoman"/>
      <w:lvlText w:val="%1)"/>
      <w:lvlJc w:val="left"/>
      <w:pPr>
        <w:ind w:left="1440" w:hanging="360"/>
      </w:pPr>
      <w:rPr>
        <w:rFonts w:ascii="Calibri" w:eastAsia="Calibri" w:hAnsi="Calibri" w:cs="Calibri" w:hint="default"/>
        <w:spacing w:val="-1"/>
        <w:w w:val="100"/>
        <w:sz w:val="22"/>
        <w:szCs w:val="22"/>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65C0471B"/>
    <w:multiLevelType w:val="hybridMultilevel"/>
    <w:tmpl w:val="1B5E6282"/>
    <w:lvl w:ilvl="0">
      <w:start w:val="1"/>
      <w:numFmt w:val="bullet"/>
      <w:lvlText w:val=""/>
      <w:lvlJc w:val="left"/>
      <w:pPr>
        <w:ind w:left="835" w:hanging="360"/>
      </w:pPr>
      <w:rPr>
        <w:rFonts w:ascii="Symbol" w:hAnsi="Symbol" w:hint="default"/>
      </w:rPr>
    </w:lvl>
    <w:lvl w:ilvl="1" w:tentative="1">
      <w:start w:val="1"/>
      <w:numFmt w:val="bullet"/>
      <w:lvlText w:val="o"/>
      <w:lvlJc w:val="left"/>
      <w:pPr>
        <w:ind w:left="1555" w:hanging="360"/>
      </w:pPr>
      <w:rPr>
        <w:rFonts w:ascii="Courier New" w:hAnsi="Courier New" w:cs="Courier New"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41">
    <w:nsid w:val="662D2A40"/>
    <w:multiLevelType w:val="hybridMultilevel"/>
    <w:tmpl w:val="346C5A78"/>
    <w:lvl w:ilvl="0">
      <w:start w:val="1"/>
      <w:numFmt w:val="bullet"/>
      <w:lvlText w:val=""/>
      <w:lvlJc w:val="left"/>
      <w:pPr>
        <w:ind w:left="835" w:hanging="360"/>
      </w:pPr>
      <w:rPr>
        <w:rFonts w:ascii="Symbol" w:hAnsi="Symbol" w:hint="default"/>
      </w:rPr>
    </w:lvl>
    <w:lvl w:ilvl="1" w:tentative="1">
      <w:start w:val="1"/>
      <w:numFmt w:val="bullet"/>
      <w:lvlText w:val="o"/>
      <w:lvlJc w:val="left"/>
      <w:pPr>
        <w:ind w:left="1555" w:hanging="360"/>
      </w:pPr>
      <w:rPr>
        <w:rFonts w:ascii="Courier New" w:hAnsi="Courier New" w:cs="Courier New"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42">
    <w:nsid w:val="67766467"/>
    <w:multiLevelType w:val="hybridMultilevel"/>
    <w:tmpl w:val="97E47CC2"/>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69F65E07"/>
    <w:multiLevelType w:val="hybridMultilevel"/>
    <w:tmpl w:val="2A2A1B6C"/>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6A673E90"/>
    <w:multiLevelType w:val="hybridMultilevel"/>
    <w:tmpl w:val="CDF4805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5">
    <w:nsid w:val="6C7F05E3"/>
    <w:multiLevelType w:val="hybridMultilevel"/>
    <w:tmpl w:val="2D4AE62C"/>
    <w:lvl w:ilvl="0">
      <w:start w:val="0"/>
      <w:numFmt w:val="bullet"/>
      <w:lvlText w:val=""/>
      <w:lvlJc w:val="left"/>
      <w:pPr>
        <w:ind w:left="544" w:hanging="444"/>
      </w:pPr>
      <w:rPr>
        <w:rFonts w:ascii="Symbol" w:eastAsia="Symbol" w:hAnsi="Symbol" w:cs="Symbol" w:hint="default"/>
        <w:w w:val="100"/>
        <w:sz w:val="22"/>
        <w:szCs w:val="22"/>
      </w:rPr>
    </w:lvl>
    <w:lvl w:ilvl="1">
      <w:start w:val="0"/>
      <w:numFmt w:val="bullet"/>
      <w:lvlText w:val="•"/>
      <w:lvlJc w:val="left"/>
      <w:pPr>
        <w:ind w:left="795" w:hanging="444"/>
      </w:pPr>
      <w:rPr>
        <w:rFonts w:hint="default"/>
      </w:rPr>
    </w:lvl>
    <w:lvl w:ilvl="2">
      <w:start w:val="0"/>
      <w:numFmt w:val="bullet"/>
      <w:lvlText w:val="•"/>
      <w:lvlJc w:val="left"/>
      <w:pPr>
        <w:ind w:left="1051" w:hanging="444"/>
      </w:pPr>
      <w:rPr>
        <w:rFonts w:hint="default"/>
      </w:rPr>
    </w:lvl>
    <w:lvl w:ilvl="3">
      <w:start w:val="0"/>
      <w:numFmt w:val="bullet"/>
      <w:lvlText w:val="•"/>
      <w:lvlJc w:val="left"/>
      <w:pPr>
        <w:ind w:left="1307" w:hanging="444"/>
      </w:pPr>
      <w:rPr>
        <w:rFonts w:hint="default"/>
      </w:rPr>
    </w:lvl>
    <w:lvl w:ilvl="4">
      <w:start w:val="0"/>
      <w:numFmt w:val="bullet"/>
      <w:lvlText w:val="•"/>
      <w:lvlJc w:val="left"/>
      <w:pPr>
        <w:ind w:left="1563" w:hanging="444"/>
      </w:pPr>
      <w:rPr>
        <w:rFonts w:hint="default"/>
      </w:rPr>
    </w:lvl>
    <w:lvl w:ilvl="5">
      <w:start w:val="0"/>
      <w:numFmt w:val="bullet"/>
      <w:lvlText w:val="•"/>
      <w:lvlJc w:val="left"/>
      <w:pPr>
        <w:ind w:left="1819" w:hanging="444"/>
      </w:pPr>
      <w:rPr>
        <w:rFonts w:hint="default"/>
      </w:rPr>
    </w:lvl>
    <w:lvl w:ilvl="6">
      <w:start w:val="0"/>
      <w:numFmt w:val="bullet"/>
      <w:lvlText w:val="•"/>
      <w:lvlJc w:val="left"/>
      <w:pPr>
        <w:ind w:left="2075" w:hanging="444"/>
      </w:pPr>
      <w:rPr>
        <w:rFonts w:hint="default"/>
      </w:rPr>
    </w:lvl>
    <w:lvl w:ilvl="7">
      <w:start w:val="0"/>
      <w:numFmt w:val="bullet"/>
      <w:lvlText w:val="•"/>
      <w:lvlJc w:val="left"/>
      <w:pPr>
        <w:ind w:left="2330" w:hanging="444"/>
      </w:pPr>
      <w:rPr>
        <w:rFonts w:hint="default"/>
      </w:rPr>
    </w:lvl>
    <w:lvl w:ilvl="8">
      <w:start w:val="0"/>
      <w:numFmt w:val="bullet"/>
      <w:lvlText w:val="•"/>
      <w:lvlJc w:val="left"/>
      <w:pPr>
        <w:ind w:left="2586" w:hanging="444"/>
      </w:pPr>
      <w:rPr>
        <w:rFonts w:hint="default"/>
      </w:rPr>
    </w:lvl>
  </w:abstractNum>
  <w:abstractNum w:abstractNumId="46">
    <w:nsid w:val="70151B5B"/>
    <w:multiLevelType w:val="hybridMultilevel"/>
    <w:tmpl w:val="5FB07CE2"/>
    <w:lvl w:ilvl="0">
      <w:start w:val="1"/>
      <w:numFmt w:val="bullet"/>
      <w:lvlText w:val=""/>
      <w:lvlJc w:val="left"/>
      <w:pPr>
        <w:ind w:left="835" w:hanging="360"/>
      </w:pPr>
      <w:rPr>
        <w:rFonts w:ascii="Symbol" w:hAnsi="Symbol" w:hint="default"/>
      </w:rPr>
    </w:lvl>
    <w:lvl w:ilvl="1" w:tentative="1">
      <w:start w:val="1"/>
      <w:numFmt w:val="bullet"/>
      <w:lvlText w:val="o"/>
      <w:lvlJc w:val="left"/>
      <w:pPr>
        <w:ind w:left="1555" w:hanging="360"/>
      </w:pPr>
      <w:rPr>
        <w:rFonts w:ascii="Courier New" w:hAnsi="Courier New" w:cs="Courier New"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47">
    <w:nsid w:val="71907E1D"/>
    <w:multiLevelType w:val="hybridMultilevel"/>
    <w:tmpl w:val="F1504BF6"/>
    <w:lvl w:ilvl="0">
      <w:start w:val="1"/>
      <w:numFmt w:val="bullet"/>
      <w:lvlText w:val=""/>
      <w:lvlJc w:val="left"/>
      <w:pPr>
        <w:ind w:left="835" w:hanging="360"/>
      </w:pPr>
      <w:rPr>
        <w:rFonts w:ascii="Symbol" w:hAnsi="Symbol" w:hint="default"/>
      </w:rPr>
    </w:lvl>
    <w:lvl w:ilvl="1" w:tentative="1">
      <w:start w:val="1"/>
      <w:numFmt w:val="bullet"/>
      <w:lvlText w:val="o"/>
      <w:lvlJc w:val="left"/>
      <w:pPr>
        <w:ind w:left="1555" w:hanging="360"/>
      </w:pPr>
      <w:rPr>
        <w:rFonts w:ascii="Courier New" w:hAnsi="Courier New" w:cs="Courier New"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48">
    <w:nsid w:val="72C5347A"/>
    <w:multiLevelType w:val="hybridMultilevel"/>
    <w:tmpl w:val="89D2C73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73E571D2"/>
    <w:multiLevelType w:val="hybridMultilevel"/>
    <w:tmpl w:val="B24EEF5C"/>
    <w:lvl w:ilvl="0">
      <w:start w:val="1"/>
      <w:numFmt w:val="lowerRoman"/>
      <w:lvlText w:val="%1."/>
      <w:lvlJc w:val="right"/>
      <w:pPr>
        <w:ind w:left="1075" w:hanging="360"/>
      </w:pPr>
    </w:lvl>
    <w:lvl w:ilvl="1" w:tentative="1">
      <w:start w:val="1"/>
      <w:numFmt w:val="lowerLetter"/>
      <w:lvlText w:val="%2."/>
      <w:lvlJc w:val="left"/>
      <w:pPr>
        <w:ind w:left="1795" w:hanging="360"/>
      </w:pPr>
    </w:lvl>
    <w:lvl w:ilvl="2" w:tentative="1">
      <w:start w:val="1"/>
      <w:numFmt w:val="lowerRoman"/>
      <w:lvlText w:val="%3."/>
      <w:lvlJc w:val="right"/>
      <w:pPr>
        <w:ind w:left="2515" w:hanging="180"/>
      </w:pPr>
    </w:lvl>
    <w:lvl w:ilvl="3" w:tentative="1">
      <w:start w:val="1"/>
      <w:numFmt w:val="decimal"/>
      <w:lvlText w:val="%4."/>
      <w:lvlJc w:val="left"/>
      <w:pPr>
        <w:ind w:left="3235" w:hanging="360"/>
      </w:pPr>
    </w:lvl>
    <w:lvl w:ilvl="4" w:tentative="1">
      <w:start w:val="1"/>
      <w:numFmt w:val="lowerLetter"/>
      <w:lvlText w:val="%5."/>
      <w:lvlJc w:val="left"/>
      <w:pPr>
        <w:ind w:left="3955" w:hanging="360"/>
      </w:pPr>
    </w:lvl>
    <w:lvl w:ilvl="5" w:tentative="1">
      <w:start w:val="1"/>
      <w:numFmt w:val="lowerRoman"/>
      <w:lvlText w:val="%6."/>
      <w:lvlJc w:val="right"/>
      <w:pPr>
        <w:ind w:left="4675" w:hanging="180"/>
      </w:pPr>
    </w:lvl>
    <w:lvl w:ilvl="6" w:tentative="1">
      <w:start w:val="1"/>
      <w:numFmt w:val="decimal"/>
      <w:lvlText w:val="%7."/>
      <w:lvlJc w:val="left"/>
      <w:pPr>
        <w:ind w:left="5395" w:hanging="360"/>
      </w:pPr>
    </w:lvl>
    <w:lvl w:ilvl="7" w:tentative="1">
      <w:start w:val="1"/>
      <w:numFmt w:val="lowerLetter"/>
      <w:lvlText w:val="%8."/>
      <w:lvlJc w:val="left"/>
      <w:pPr>
        <w:ind w:left="6115" w:hanging="360"/>
      </w:pPr>
    </w:lvl>
    <w:lvl w:ilvl="8" w:tentative="1">
      <w:start w:val="1"/>
      <w:numFmt w:val="lowerRoman"/>
      <w:lvlText w:val="%9."/>
      <w:lvlJc w:val="right"/>
      <w:pPr>
        <w:ind w:left="6835" w:hanging="180"/>
      </w:pPr>
    </w:lvl>
  </w:abstractNum>
  <w:abstractNum w:abstractNumId="50">
    <w:nsid w:val="753F31CA"/>
    <w:multiLevelType w:val="hybridMultilevel"/>
    <w:tmpl w:val="E0B2B2C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7647F61"/>
    <w:multiLevelType w:val="hybridMultilevel"/>
    <w:tmpl w:val="0D06EC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8AB78EF"/>
    <w:multiLevelType w:val="hybridMultilevel"/>
    <w:tmpl w:val="88F0F5F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3">
    <w:nsid w:val="78F17CAB"/>
    <w:multiLevelType w:val="multilevel"/>
    <w:tmpl w:val="22880C6C"/>
    <w:lvl w:ilvl="0">
      <w:start w:val="1"/>
      <w:numFmt w:val="decimal"/>
      <w:lvlText w:val="%1"/>
      <w:lvlJc w:val="left"/>
      <w:pPr>
        <w:ind w:left="390" w:hanging="390"/>
      </w:pPr>
      <w:rPr>
        <w:rFonts w:hint="default"/>
      </w:rPr>
    </w:lvl>
    <w:lvl w:ilvl="1">
      <w:start w:val="1"/>
      <w:numFmt w:val="decimal"/>
      <w:pStyle w:val="Heading2"/>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nsid w:val="7BC21701"/>
    <w:multiLevelType w:val="hybridMultilevel"/>
    <w:tmpl w:val="7390B50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5">
    <w:nsid w:val="7D254EB6"/>
    <w:multiLevelType w:val="hybridMultilevel"/>
    <w:tmpl w:val="CBF64F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78305613">
    <w:abstractNumId w:val="53"/>
  </w:num>
  <w:num w:numId="2" w16cid:durableId="2111118930">
    <w:abstractNumId w:val="21"/>
  </w:num>
  <w:num w:numId="3" w16cid:durableId="1545286721">
    <w:abstractNumId w:val="12"/>
  </w:num>
  <w:num w:numId="4" w16cid:durableId="1324699821">
    <w:abstractNumId w:val="6"/>
  </w:num>
  <w:num w:numId="5" w16cid:durableId="1508323893">
    <w:abstractNumId w:val="41"/>
  </w:num>
  <w:num w:numId="6" w16cid:durableId="2132553173">
    <w:abstractNumId w:val="48"/>
  </w:num>
  <w:num w:numId="7" w16cid:durableId="688532559">
    <w:abstractNumId w:val="36"/>
  </w:num>
  <w:num w:numId="8" w16cid:durableId="1945720455">
    <w:abstractNumId w:val="46"/>
  </w:num>
  <w:num w:numId="9" w16cid:durableId="1625650372">
    <w:abstractNumId w:val="47"/>
  </w:num>
  <w:num w:numId="10" w16cid:durableId="1225991867">
    <w:abstractNumId w:val="19"/>
  </w:num>
  <w:num w:numId="11" w16cid:durableId="677078753">
    <w:abstractNumId w:val="35"/>
  </w:num>
  <w:num w:numId="12" w16cid:durableId="1441224275">
    <w:abstractNumId w:val="40"/>
  </w:num>
  <w:num w:numId="13" w16cid:durableId="573668461">
    <w:abstractNumId w:val="38"/>
  </w:num>
  <w:num w:numId="14" w16cid:durableId="1502816756">
    <w:abstractNumId w:val="39"/>
  </w:num>
  <w:num w:numId="15" w16cid:durableId="1878472856">
    <w:abstractNumId w:val="49"/>
  </w:num>
  <w:num w:numId="16" w16cid:durableId="1802113499">
    <w:abstractNumId w:val="24"/>
  </w:num>
  <w:num w:numId="17" w16cid:durableId="1625038765">
    <w:abstractNumId w:val="34"/>
  </w:num>
  <w:num w:numId="18" w16cid:durableId="673727465">
    <w:abstractNumId w:val="18"/>
  </w:num>
  <w:num w:numId="19" w16cid:durableId="2144078998">
    <w:abstractNumId w:val="26"/>
  </w:num>
  <w:num w:numId="20" w16cid:durableId="604844118">
    <w:abstractNumId w:val="23"/>
  </w:num>
  <w:num w:numId="21" w16cid:durableId="395786468">
    <w:abstractNumId w:val="42"/>
  </w:num>
  <w:num w:numId="22" w16cid:durableId="847015110">
    <w:abstractNumId w:val="43"/>
  </w:num>
  <w:num w:numId="23" w16cid:durableId="320471446">
    <w:abstractNumId w:val="11"/>
  </w:num>
  <w:num w:numId="24" w16cid:durableId="1638682091">
    <w:abstractNumId w:val="44"/>
  </w:num>
  <w:num w:numId="25" w16cid:durableId="415520851">
    <w:abstractNumId w:val="32"/>
  </w:num>
  <w:num w:numId="26" w16cid:durableId="1288242187">
    <w:abstractNumId w:val="52"/>
  </w:num>
  <w:num w:numId="27" w16cid:durableId="1647082428">
    <w:abstractNumId w:val="17"/>
  </w:num>
  <w:num w:numId="28" w16cid:durableId="289290543">
    <w:abstractNumId w:val="16"/>
  </w:num>
  <w:num w:numId="29" w16cid:durableId="618223129">
    <w:abstractNumId w:val="4"/>
  </w:num>
  <w:num w:numId="30" w16cid:durableId="782381960">
    <w:abstractNumId w:val="13"/>
  </w:num>
  <w:num w:numId="31" w16cid:durableId="728723214">
    <w:abstractNumId w:val="10"/>
  </w:num>
  <w:num w:numId="32" w16cid:durableId="482435476">
    <w:abstractNumId w:val="3"/>
  </w:num>
  <w:num w:numId="33" w16cid:durableId="359205733">
    <w:abstractNumId w:val="9"/>
  </w:num>
  <w:num w:numId="34" w16cid:durableId="226453939">
    <w:abstractNumId w:val="33"/>
  </w:num>
  <w:num w:numId="35" w16cid:durableId="279729982">
    <w:abstractNumId w:val="51"/>
  </w:num>
  <w:num w:numId="36" w16cid:durableId="952201617">
    <w:abstractNumId w:val="37"/>
  </w:num>
  <w:num w:numId="37" w16cid:durableId="219024401">
    <w:abstractNumId w:val="55"/>
  </w:num>
  <w:num w:numId="38" w16cid:durableId="1266424037">
    <w:abstractNumId w:val="2"/>
  </w:num>
  <w:num w:numId="39" w16cid:durableId="1496409936">
    <w:abstractNumId w:val="14"/>
  </w:num>
  <w:num w:numId="40" w16cid:durableId="570505857">
    <w:abstractNumId w:val="0"/>
  </w:num>
  <w:num w:numId="41" w16cid:durableId="1972664236">
    <w:abstractNumId w:val="5"/>
  </w:num>
  <w:num w:numId="42" w16cid:durableId="1000429998">
    <w:abstractNumId w:val="15"/>
  </w:num>
  <w:num w:numId="43" w16cid:durableId="470484120">
    <w:abstractNumId w:val="7"/>
  </w:num>
  <w:num w:numId="44" w16cid:durableId="823929691">
    <w:abstractNumId w:val="8"/>
  </w:num>
  <w:num w:numId="45" w16cid:durableId="298264296">
    <w:abstractNumId w:val="31"/>
  </w:num>
  <w:num w:numId="46" w16cid:durableId="1204099639">
    <w:abstractNumId w:val="29"/>
  </w:num>
  <w:num w:numId="47" w16cid:durableId="159078507">
    <w:abstractNumId w:val="1"/>
  </w:num>
  <w:num w:numId="48" w16cid:durableId="11231397">
    <w:abstractNumId w:val="50"/>
  </w:num>
  <w:num w:numId="49" w16cid:durableId="1493449520">
    <w:abstractNumId w:val="45"/>
  </w:num>
  <w:num w:numId="50" w16cid:durableId="1164928851">
    <w:abstractNumId w:val="25"/>
  </w:num>
  <w:num w:numId="51" w16cid:durableId="1390298230">
    <w:abstractNumId w:val="54"/>
  </w:num>
  <w:num w:numId="52" w16cid:durableId="570120118">
    <w:abstractNumId w:val="22"/>
  </w:num>
  <w:num w:numId="53" w16cid:durableId="1609655858">
    <w:abstractNumId w:val="20"/>
  </w:num>
  <w:num w:numId="54" w16cid:durableId="859777756">
    <w:abstractNumId w:val="27"/>
  </w:num>
  <w:num w:numId="55" w16cid:durableId="1429545024">
    <w:abstractNumId w:val="30"/>
  </w:num>
  <w:num w:numId="56" w16cid:durableId="1103452090">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6F6"/>
    <w:rsid w:val="00001589"/>
    <w:rsid w:val="0000187F"/>
    <w:rsid w:val="00006DB9"/>
    <w:rsid w:val="00010A0A"/>
    <w:rsid w:val="00011098"/>
    <w:rsid w:val="0001281E"/>
    <w:rsid w:val="0001557C"/>
    <w:rsid w:val="00022533"/>
    <w:rsid w:val="00023133"/>
    <w:rsid w:val="00023230"/>
    <w:rsid w:val="00023643"/>
    <w:rsid w:val="00023DF2"/>
    <w:rsid w:val="00027399"/>
    <w:rsid w:val="0003054A"/>
    <w:rsid w:val="000333BB"/>
    <w:rsid w:val="000339CF"/>
    <w:rsid w:val="00041FAE"/>
    <w:rsid w:val="000428CB"/>
    <w:rsid w:val="000438F5"/>
    <w:rsid w:val="0004581E"/>
    <w:rsid w:val="00047EE1"/>
    <w:rsid w:val="0005191E"/>
    <w:rsid w:val="00051CB0"/>
    <w:rsid w:val="00060859"/>
    <w:rsid w:val="000646D4"/>
    <w:rsid w:val="00065396"/>
    <w:rsid w:val="0007222E"/>
    <w:rsid w:val="0007362B"/>
    <w:rsid w:val="00074A77"/>
    <w:rsid w:val="00085FBB"/>
    <w:rsid w:val="0008683C"/>
    <w:rsid w:val="00090D2B"/>
    <w:rsid w:val="0009135B"/>
    <w:rsid w:val="000950CD"/>
    <w:rsid w:val="000A010E"/>
    <w:rsid w:val="000A1538"/>
    <w:rsid w:val="000A15C8"/>
    <w:rsid w:val="000A4768"/>
    <w:rsid w:val="000A5B29"/>
    <w:rsid w:val="000B0160"/>
    <w:rsid w:val="000B2EE8"/>
    <w:rsid w:val="000B3711"/>
    <w:rsid w:val="000B5275"/>
    <w:rsid w:val="000B56F5"/>
    <w:rsid w:val="000B6DA9"/>
    <w:rsid w:val="000B7352"/>
    <w:rsid w:val="000C032E"/>
    <w:rsid w:val="000C141B"/>
    <w:rsid w:val="000C2AC5"/>
    <w:rsid w:val="000C3F14"/>
    <w:rsid w:val="000C5A78"/>
    <w:rsid w:val="000D6326"/>
    <w:rsid w:val="000D6583"/>
    <w:rsid w:val="000D6D73"/>
    <w:rsid w:val="000D75C5"/>
    <w:rsid w:val="000E01E4"/>
    <w:rsid w:val="000E0447"/>
    <w:rsid w:val="000E0C5F"/>
    <w:rsid w:val="000E56A0"/>
    <w:rsid w:val="000F2F50"/>
    <w:rsid w:val="000F345B"/>
    <w:rsid w:val="000F4F0F"/>
    <w:rsid w:val="000F5DD5"/>
    <w:rsid w:val="00103E47"/>
    <w:rsid w:val="0010559F"/>
    <w:rsid w:val="00105D5B"/>
    <w:rsid w:val="00105F5A"/>
    <w:rsid w:val="001065F2"/>
    <w:rsid w:val="00110B43"/>
    <w:rsid w:val="0011355F"/>
    <w:rsid w:val="001142FA"/>
    <w:rsid w:val="00115C5B"/>
    <w:rsid w:val="00116991"/>
    <w:rsid w:val="00130FF6"/>
    <w:rsid w:val="00133D40"/>
    <w:rsid w:val="001357D4"/>
    <w:rsid w:val="00135AEB"/>
    <w:rsid w:val="001404DF"/>
    <w:rsid w:val="00140D98"/>
    <w:rsid w:val="0014164C"/>
    <w:rsid w:val="001425C2"/>
    <w:rsid w:val="00142A8E"/>
    <w:rsid w:val="0014522F"/>
    <w:rsid w:val="001458AB"/>
    <w:rsid w:val="00147227"/>
    <w:rsid w:val="001566E9"/>
    <w:rsid w:val="00157347"/>
    <w:rsid w:val="0016375A"/>
    <w:rsid w:val="00163906"/>
    <w:rsid w:val="00163E56"/>
    <w:rsid w:val="0016481A"/>
    <w:rsid w:val="00166566"/>
    <w:rsid w:val="00166D20"/>
    <w:rsid w:val="0016703F"/>
    <w:rsid w:val="00167A6E"/>
    <w:rsid w:val="00171F4E"/>
    <w:rsid w:val="001736B5"/>
    <w:rsid w:val="001736F6"/>
    <w:rsid w:val="00177B95"/>
    <w:rsid w:val="00177EE8"/>
    <w:rsid w:val="0018081D"/>
    <w:rsid w:val="00180C25"/>
    <w:rsid w:val="00181AFC"/>
    <w:rsid w:val="001852A3"/>
    <w:rsid w:val="00185C31"/>
    <w:rsid w:val="00186E70"/>
    <w:rsid w:val="0019216F"/>
    <w:rsid w:val="001927F5"/>
    <w:rsid w:val="00193232"/>
    <w:rsid w:val="00195355"/>
    <w:rsid w:val="001A1D42"/>
    <w:rsid w:val="001A2DDF"/>
    <w:rsid w:val="001A3494"/>
    <w:rsid w:val="001A380F"/>
    <w:rsid w:val="001B0314"/>
    <w:rsid w:val="001B0DAE"/>
    <w:rsid w:val="001B5948"/>
    <w:rsid w:val="001C13D5"/>
    <w:rsid w:val="001C1B00"/>
    <w:rsid w:val="001C210F"/>
    <w:rsid w:val="001D128E"/>
    <w:rsid w:val="001D2A91"/>
    <w:rsid w:val="001D6B41"/>
    <w:rsid w:val="001D7EB8"/>
    <w:rsid w:val="001E062D"/>
    <w:rsid w:val="001E1489"/>
    <w:rsid w:val="001E22F8"/>
    <w:rsid w:val="001E29CD"/>
    <w:rsid w:val="001E38B7"/>
    <w:rsid w:val="001E3E88"/>
    <w:rsid w:val="001E3FF6"/>
    <w:rsid w:val="001E6218"/>
    <w:rsid w:val="001E640D"/>
    <w:rsid w:val="001E6807"/>
    <w:rsid w:val="001F2610"/>
    <w:rsid w:val="001F3931"/>
    <w:rsid w:val="001F3973"/>
    <w:rsid w:val="001F6909"/>
    <w:rsid w:val="00200D99"/>
    <w:rsid w:val="0020151F"/>
    <w:rsid w:val="002043A0"/>
    <w:rsid w:val="00204C65"/>
    <w:rsid w:val="002056E0"/>
    <w:rsid w:val="00213923"/>
    <w:rsid w:val="0021555A"/>
    <w:rsid w:val="00216047"/>
    <w:rsid w:val="00220E5F"/>
    <w:rsid w:val="00221860"/>
    <w:rsid w:val="00225D12"/>
    <w:rsid w:val="00232998"/>
    <w:rsid w:val="00233656"/>
    <w:rsid w:val="0023391E"/>
    <w:rsid w:val="00234308"/>
    <w:rsid w:val="00234528"/>
    <w:rsid w:val="00235537"/>
    <w:rsid w:val="002416F7"/>
    <w:rsid w:val="002437E4"/>
    <w:rsid w:val="0024490A"/>
    <w:rsid w:val="0024637D"/>
    <w:rsid w:val="00246EFB"/>
    <w:rsid w:val="00247187"/>
    <w:rsid w:val="00247F79"/>
    <w:rsid w:val="00250604"/>
    <w:rsid w:val="00252BC3"/>
    <w:rsid w:val="002553FA"/>
    <w:rsid w:val="00256730"/>
    <w:rsid w:val="00256AE2"/>
    <w:rsid w:val="00256DB2"/>
    <w:rsid w:val="0025702A"/>
    <w:rsid w:val="00261223"/>
    <w:rsid w:val="00261C53"/>
    <w:rsid w:val="0026381B"/>
    <w:rsid w:val="00265336"/>
    <w:rsid w:val="00266657"/>
    <w:rsid w:val="002701B2"/>
    <w:rsid w:val="00272A37"/>
    <w:rsid w:val="00273609"/>
    <w:rsid w:val="0027564E"/>
    <w:rsid w:val="00276CC5"/>
    <w:rsid w:val="002825D3"/>
    <w:rsid w:val="002845AF"/>
    <w:rsid w:val="002863B8"/>
    <w:rsid w:val="0028698F"/>
    <w:rsid w:val="00287C0B"/>
    <w:rsid w:val="002901B4"/>
    <w:rsid w:val="002931D6"/>
    <w:rsid w:val="002932B1"/>
    <w:rsid w:val="002938D9"/>
    <w:rsid w:val="0029665B"/>
    <w:rsid w:val="00296F4A"/>
    <w:rsid w:val="002A468E"/>
    <w:rsid w:val="002A4E73"/>
    <w:rsid w:val="002A57BF"/>
    <w:rsid w:val="002A6927"/>
    <w:rsid w:val="002A7896"/>
    <w:rsid w:val="002B5CBA"/>
    <w:rsid w:val="002B6B91"/>
    <w:rsid w:val="002B778D"/>
    <w:rsid w:val="002C42E2"/>
    <w:rsid w:val="002C6911"/>
    <w:rsid w:val="002C7610"/>
    <w:rsid w:val="002D15F0"/>
    <w:rsid w:val="002D1758"/>
    <w:rsid w:val="002D25C0"/>
    <w:rsid w:val="002D6C2B"/>
    <w:rsid w:val="002E03A5"/>
    <w:rsid w:val="002E04AA"/>
    <w:rsid w:val="002E0F85"/>
    <w:rsid w:val="002E144D"/>
    <w:rsid w:val="002E298C"/>
    <w:rsid w:val="002E3D89"/>
    <w:rsid w:val="002E42DC"/>
    <w:rsid w:val="002E4A41"/>
    <w:rsid w:val="002E65A7"/>
    <w:rsid w:val="002F0C85"/>
    <w:rsid w:val="002F0E6D"/>
    <w:rsid w:val="00301546"/>
    <w:rsid w:val="003015B6"/>
    <w:rsid w:val="00302F8D"/>
    <w:rsid w:val="00306690"/>
    <w:rsid w:val="00307E05"/>
    <w:rsid w:val="00310343"/>
    <w:rsid w:val="0031098E"/>
    <w:rsid w:val="00310BC8"/>
    <w:rsid w:val="00311EAB"/>
    <w:rsid w:val="00314FFC"/>
    <w:rsid w:val="00321DE0"/>
    <w:rsid w:val="003224F8"/>
    <w:rsid w:val="00323592"/>
    <w:rsid w:val="00323692"/>
    <w:rsid w:val="00327A13"/>
    <w:rsid w:val="00330EF8"/>
    <w:rsid w:val="00331237"/>
    <w:rsid w:val="00332A8C"/>
    <w:rsid w:val="0033365D"/>
    <w:rsid w:val="003377A5"/>
    <w:rsid w:val="00340F05"/>
    <w:rsid w:val="00341D43"/>
    <w:rsid w:val="00343CBF"/>
    <w:rsid w:val="00344956"/>
    <w:rsid w:val="00344F61"/>
    <w:rsid w:val="00344F9D"/>
    <w:rsid w:val="00345AD9"/>
    <w:rsid w:val="0034758D"/>
    <w:rsid w:val="0035004A"/>
    <w:rsid w:val="00353EF1"/>
    <w:rsid w:val="00353F85"/>
    <w:rsid w:val="00354310"/>
    <w:rsid w:val="00355545"/>
    <w:rsid w:val="0035627C"/>
    <w:rsid w:val="00356F50"/>
    <w:rsid w:val="003579A6"/>
    <w:rsid w:val="00357FB5"/>
    <w:rsid w:val="003616C6"/>
    <w:rsid w:val="00363475"/>
    <w:rsid w:val="003636DE"/>
    <w:rsid w:val="00367C50"/>
    <w:rsid w:val="00371975"/>
    <w:rsid w:val="00376881"/>
    <w:rsid w:val="0037715A"/>
    <w:rsid w:val="00377891"/>
    <w:rsid w:val="00380AF1"/>
    <w:rsid w:val="0038249F"/>
    <w:rsid w:val="00383138"/>
    <w:rsid w:val="003840B6"/>
    <w:rsid w:val="00390202"/>
    <w:rsid w:val="003909F8"/>
    <w:rsid w:val="003911A0"/>
    <w:rsid w:val="00391902"/>
    <w:rsid w:val="00392F15"/>
    <w:rsid w:val="00395666"/>
    <w:rsid w:val="003A0AFF"/>
    <w:rsid w:val="003A1B50"/>
    <w:rsid w:val="003A405C"/>
    <w:rsid w:val="003B32E4"/>
    <w:rsid w:val="003B5928"/>
    <w:rsid w:val="003B5DED"/>
    <w:rsid w:val="003C048D"/>
    <w:rsid w:val="003C0673"/>
    <w:rsid w:val="003C19D8"/>
    <w:rsid w:val="003C1AF8"/>
    <w:rsid w:val="003C28C6"/>
    <w:rsid w:val="003C409E"/>
    <w:rsid w:val="003C4BAE"/>
    <w:rsid w:val="003C6132"/>
    <w:rsid w:val="003C6351"/>
    <w:rsid w:val="003D029E"/>
    <w:rsid w:val="003D04F1"/>
    <w:rsid w:val="003D2DF3"/>
    <w:rsid w:val="003D543B"/>
    <w:rsid w:val="003D5674"/>
    <w:rsid w:val="003D6348"/>
    <w:rsid w:val="003D7E4D"/>
    <w:rsid w:val="003E388E"/>
    <w:rsid w:val="003E59E8"/>
    <w:rsid w:val="003E61F3"/>
    <w:rsid w:val="003E62EC"/>
    <w:rsid w:val="003E7855"/>
    <w:rsid w:val="003E7EF8"/>
    <w:rsid w:val="003F15D3"/>
    <w:rsid w:val="003F37EB"/>
    <w:rsid w:val="003F547E"/>
    <w:rsid w:val="003F624E"/>
    <w:rsid w:val="003F667C"/>
    <w:rsid w:val="004023D5"/>
    <w:rsid w:val="00404524"/>
    <w:rsid w:val="0040571C"/>
    <w:rsid w:val="00405E18"/>
    <w:rsid w:val="0041285D"/>
    <w:rsid w:val="00415740"/>
    <w:rsid w:val="00415EB0"/>
    <w:rsid w:val="00417180"/>
    <w:rsid w:val="00421CE2"/>
    <w:rsid w:val="00421D1A"/>
    <w:rsid w:val="004221BA"/>
    <w:rsid w:val="00422EA9"/>
    <w:rsid w:val="00423979"/>
    <w:rsid w:val="0042609B"/>
    <w:rsid w:val="004263B0"/>
    <w:rsid w:val="00430A37"/>
    <w:rsid w:val="00433F80"/>
    <w:rsid w:val="00435F3E"/>
    <w:rsid w:val="004423C1"/>
    <w:rsid w:val="00444097"/>
    <w:rsid w:val="004447EC"/>
    <w:rsid w:val="00444B22"/>
    <w:rsid w:val="004453ED"/>
    <w:rsid w:val="00445FD6"/>
    <w:rsid w:val="004465A8"/>
    <w:rsid w:val="00450041"/>
    <w:rsid w:val="00451B2D"/>
    <w:rsid w:val="0045280B"/>
    <w:rsid w:val="004611DA"/>
    <w:rsid w:val="004618C1"/>
    <w:rsid w:val="00462599"/>
    <w:rsid w:val="00465390"/>
    <w:rsid w:val="00466AB6"/>
    <w:rsid w:val="00470B22"/>
    <w:rsid w:val="0047159D"/>
    <w:rsid w:val="00471D6C"/>
    <w:rsid w:val="004724D6"/>
    <w:rsid w:val="00472A07"/>
    <w:rsid w:val="00473B94"/>
    <w:rsid w:val="004801A5"/>
    <w:rsid w:val="0048378C"/>
    <w:rsid w:val="00486C24"/>
    <w:rsid w:val="004939DD"/>
    <w:rsid w:val="004964AE"/>
    <w:rsid w:val="0049743D"/>
    <w:rsid w:val="004A1670"/>
    <w:rsid w:val="004A4811"/>
    <w:rsid w:val="004A4D87"/>
    <w:rsid w:val="004A7248"/>
    <w:rsid w:val="004B1590"/>
    <w:rsid w:val="004B2DE7"/>
    <w:rsid w:val="004B5D69"/>
    <w:rsid w:val="004B5F94"/>
    <w:rsid w:val="004B6AF7"/>
    <w:rsid w:val="004C00F1"/>
    <w:rsid w:val="004C3B86"/>
    <w:rsid w:val="004C46A6"/>
    <w:rsid w:val="004C6D28"/>
    <w:rsid w:val="004D1950"/>
    <w:rsid w:val="004D335E"/>
    <w:rsid w:val="004D50E4"/>
    <w:rsid w:val="004D6959"/>
    <w:rsid w:val="004E1F81"/>
    <w:rsid w:val="004E2495"/>
    <w:rsid w:val="004E34B7"/>
    <w:rsid w:val="004E47B7"/>
    <w:rsid w:val="004E48B2"/>
    <w:rsid w:val="004E5C03"/>
    <w:rsid w:val="004E60CF"/>
    <w:rsid w:val="004F03BE"/>
    <w:rsid w:val="00501E80"/>
    <w:rsid w:val="00502CAA"/>
    <w:rsid w:val="00502F07"/>
    <w:rsid w:val="0050500E"/>
    <w:rsid w:val="00507DD5"/>
    <w:rsid w:val="00507E7E"/>
    <w:rsid w:val="00510631"/>
    <w:rsid w:val="00520788"/>
    <w:rsid w:val="00521D01"/>
    <w:rsid w:val="005227D6"/>
    <w:rsid w:val="00522AD6"/>
    <w:rsid w:val="00532314"/>
    <w:rsid w:val="00532D5A"/>
    <w:rsid w:val="005343A5"/>
    <w:rsid w:val="005363ED"/>
    <w:rsid w:val="0053755B"/>
    <w:rsid w:val="00540EB7"/>
    <w:rsid w:val="00541831"/>
    <w:rsid w:val="0054220F"/>
    <w:rsid w:val="00542EE3"/>
    <w:rsid w:val="005464B8"/>
    <w:rsid w:val="0055086C"/>
    <w:rsid w:val="00551FB2"/>
    <w:rsid w:val="005541FE"/>
    <w:rsid w:val="00554D15"/>
    <w:rsid w:val="005639CE"/>
    <w:rsid w:val="0056755E"/>
    <w:rsid w:val="005761B3"/>
    <w:rsid w:val="00577C05"/>
    <w:rsid w:val="00582304"/>
    <w:rsid w:val="00585723"/>
    <w:rsid w:val="0058613B"/>
    <w:rsid w:val="00587169"/>
    <w:rsid w:val="005877E9"/>
    <w:rsid w:val="00587C67"/>
    <w:rsid w:val="00591CE2"/>
    <w:rsid w:val="0059244D"/>
    <w:rsid w:val="00592DB6"/>
    <w:rsid w:val="005944CA"/>
    <w:rsid w:val="005A07F2"/>
    <w:rsid w:val="005A14C9"/>
    <w:rsid w:val="005A2BF5"/>
    <w:rsid w:val="005A409A"/>
    <w:rsid w:val="005A5E7C"/>
    <w:rsid w:val="005A7CFC"/>
    <w:rsid w:val="005B06D7"/>
    <w:rsid w:val="005B0809"/>
    <w:rsid w:val="005B3679"/>
    <w:rsid w:val="005B43A3"/>
    <w:rsid w:val="005B43F6"/>
    <w:rsid w:val="005B6725"/>
    <w:rsid w:val="005B6D41"/>
    <w:rsid w:val="005B78DE"/>
    <w:rsid w:val="005B7B66"/>
    <w:rsid w:val="005C21E4"/>
    <w:rsid w:val="005C2EB3"/>
    <w:rsid w:val="005C4ED0"/>
    <w:rsid w:val="005D0B0B"/>
    <w:rsid w:val="005D0B16"/>
    <w:rsid w:val="005D1792"/>
    <w:rsid w:val="005D613C"/>
    <w:rsid w:val="005D643D"/>
    <w:rsid w:val="005E1007"/>
    <w:rsid w:val="005E1791"/>
    <w:rsid w:val="005E1B19"/>
    <w:rsid w:val="005E7F70"/>
    <w:rsid w:val="005F1D35"/>
    <w:rsid w:val="005F2B5C"/>
    <w:rsid w:val="00601549"/>
    <w:rsid w:val="00602FBA"/>
    <w:rsid w:val="0060353B"/>
    <w:rsid w:val="00606C08"/>
    <w:rsid w:val="00607030"/>
    <w:rsid w:val="006102F2"/>
    <w:rsid w:val="006126D3"/>
    <w:rsid w:val="00613627"/>
    <w:rsid w:val="006239B0"/>
    <w:rsid w:val="00626019"/>
    <w:rsid w:val="00627638"/>
    <w:rsid w:val="00627BDE"/>
    <w:rsid w:val="00630018"/>
    <w:rsid w:val="00631270"/>
    <w:rsid w:val="00633475"/>
    <w:rsid w:val="00637AC8"/>
    <w:rsid w:val="0064357A"/>
    <w:rsid w:val="006444D7"/>
    <w:rsid w:val="00645985"/>
    <w:rsid w:val="006461C3"/>
    <w:rsid w:val="0064680C"/>
    <w:rsid w:val="00647359"/>
    <w:rsid w:val="00650491"/>
    <w:rsid w:val="006543BB"/>
    <w:rsid w:val="00654FB7"/>
    <w:rsid w:val="0066254B"/>
    <w:rsid w:val="0066383F"/>
    <w:rsid w:val="00671214"/>
    <w:rsid w:val="006734B6"/>
    <w:rsid w:val="006738FF"/>
    <w:rsid w:val="00673FA1"/>
    <w:rsid w:val="0067587F"/>
    <w:rsid w:val="006761F3"/>
    <w:rsid w:val="006769D4"/>
    <w:rsid w:val="00683401"/>
    <w:rsid w:val="006842AC"/>
    <w:rsid w:val="006842DF"/>
    <w:rsid w:val="0068440D"/>
    <w:rsid w:val="00684A18"/>
    <w:rsid w:val="00685A04"/>
    <w:rsid w:val="006936CD"/>
    <w:rsid w:val="0069602E"/>
    <w:rsid w:val="006979F4"/>
    <w:rsid w:val="006A5E11"/>
    <w:rsid w:val="006A6A62"/>
    <w:rsid w:val="006B1246"/>
    <w:rsid w:val="006B18F7"/>
    <w:rsid w:val="006B76AC"/>
    <w:rsid w:val="006B7D7C"/>
    <w:rsid w:val="006C01ED"/>
    <w:rsid w:val="006C3B6E"/>
    <w:rsid w:val="006C45DF"/>
    <w:rsid w:val="006C5C7E"/>
    <w:rsid w:val="006C6C1A"/>
    <w:rsid w:val="006D002B"/>
    <w:rsid w:val="006D1212"/>
    <w:rsid w:val="006D16B7"/>
    <w:rsid w:val="006D1FD2"/>
    <w:rsid w:val="006D4172"/>
    <w:rsid w:val="006D6AA7"/>
    <w:rsid w:val="006E0528"/>
    <w:rsid w:val="006F0E24"/>
    <w:rsid w:val="006F1C3E"/>
    <w:rsid w:val="006F387F"/>
    <w:rsid w:val="006F3D48"/>
    <w:rsid w:val="006F5DEE"/>
    <w:rsid w:val="007002A2"/>
    <w:rsid w:val="0070148C"/>
    <w:rsid w:val="00705D14"/>
    <w:rsid w:val="00711529"/>
    <w:rsid w:val="007126DF"/>
    <w:rsid w:val="0071359B"/>
    <w:rsid w:val="0071674B"/>
    <w:rsid w:val="0072004F"/>
    <w:rsid w:val="007216F4"/>
    <w:rsid w:val="00721952"/>
    <w:rsid w:val="00721997"/>
    <w:rsid w:val="00722558"/>
    <w:rsid w:val="0072299D"/>
    <w:rsid w:val="00726667"/>
    <w:rsid w:val="00731252"/>
    <w:rsid w:val="007317DC"/>
    <w:rsid w:val="00731FD0"/>
    <w:rsid w:val="0073218A"/>
    <w:rsid w:val="007324A4"/>
    <w:rsid w:val="00732706"/>
    <w:rsid w:val="00736085"/>
    <w:rsid w:val="00742542"/>
    <w:rsid w:val="00743592"/>
    <w:rsid w:val="0075039D"/>
    <w:rsid w:val="00750449"/>
    <w:rsid w:val="0075128F"/>
    <w:rsid w:val="00753742"/>
    <w:rsid w:val="0075377A"/>
    <w:rsid w:val="00755585"/>
    <w:rsid w:val="007570CB"/>
    <w:rsid w:val="00760014"/>
    <w:rsid w:val="007616C9"/>
    <w:rsid w:val="007628D2"/>
    <w:rsid w:val="00763359"/>
    <w:rsid w:val="00765395"/>
    <w:rsid w:val="00767D24"/>
    <w:rsid w:val="00767E86"/>
    <w:rsid w:val="00770100"/>
    <w:rsid w:val="007730A8"/>
    <w:rsid w:val="007731CE"/>
    <w:rsid w:val="00782BF9"/>
    <w:rsid w:val="007844EA"/>
    <w:rsid w:val="00786195"/>
    <w:rsid w:val="00786486"/>
    <w:rsid w:val="0079086E"/>
    <w:rsid w:val="00791C93"/>
    <w:rsid w:val="00792370"/>
    <w:rsid w:val="00792E5E"/>
    <w:rsid w:val="00793D97"/>
    <w:rsid w:val="00794C5B"/>
    <w:rsid w:val="00796C56"/>
    <w:rsid w:val="007A01A2"/>
    <w:rsid w:val="007A1670"/>
    <w:rsid w:val="007A3F0A"/>
    <w:rsid w:val="007A6FB6"/>
    <w:rsid w:val="007B1AA0"/>
    <w:rsid w:val="007C0CCD"/>
    <w:rsid w:val="007C1A30"/>
    <w:rsid w:val="007C3C1A"/>
    <w:rsid w:val="007D31C7"/>
    <w:rsid w:val="007D3CF8"/>
    <w:rsid w:val="007D4198"/>
    <w:rsid w:val="007D6041"/>
    <w:rsid w:val="007D609D"/>
    <w:rsid w:val="007D7DEC"/>
    <w:rsid w:val="007E16BC"/>
    <w:rsid w:val="007E32B6"/>
    <w:rsid w:val="007E4BA0"/>
    <w:rsid w:val="007E65B0"/>
    <w:rsid w:val="007E7629"/>
    <w:rsid w:val="007F1141"/>
    <w:rsid w:val="007F1D87"/>
    <w:rsid w:val="007F1F65"/>
    <w:rsid w:val="007F3D6F"/>
    <w:rsid w:val="007F56C7"/>
    <w:rsid w:val="007F7592"/>
    <w:rsid w:val="00801440"/>
    <w:rsid w:val="008056F7"/>
    <w:rsid w:val="0080609F"/>
    <w:rsid w:val="008120CE"/>
    <w:rsid w:val="00813445"/>
    <w:rsid w:val="008266ED"/>
    <w:rsid w:val="008272A3"/>
    <w:rsid w:val="008311DA"/>
    <w:rsid w:val="00837B09"/>
    <w:rsid w:val="008428B4"/>
    <w:rsid w:val="008430D3"/>
    <w:rsid w:val="008432CA"/>
    <w:rsid w:val="008439B5"/>
    <w:rsid w:val="00843E4F"/>
    <w:rsid w:val="00845E39"/>
    <w:rsid w:val="00847804"/>
    <w:rsid w:val="008479A9"/>
    <w:rsid w:val="00850681"/>
    <w:rsid w:val="00850A96"/>
    <w:rsid w:val="008511BA"/>
    <w:rsid w:val="008546DF"/>
    <w:rsid w:val="00857273"/>
    <w:rsid w:val="00857A34"/>
    <w:rsid w:val="00863D6D"/>
    <w:rsid w:val="008668E3"/>
    <w:rsid w:val="008705B6"/>
    <w:rsid w:val="00870866"/>
    <w:rsid w:val="00872127"/>
    <w:rsid w:val="0087484F"/>
    <w:rsid w:val="00875498"/>
    <w:rsid w:val="00877652"/>
    <w:rsid w:val="00877947"/>
    <w:rsid w:val="00877AE1"/>
    <w:rsid w:val="00880813"/>
    <w:rsid w:val="008820DB"/>
    <w:rsid w:val="008834C7"/>
    <w:rsid w:val="00887999"/>
    <w:rsid w:val="008925F3"/>
    <w:rsid w:val="00893E78"/>
    <w:rsid w:val="008941D1"/>
    <w:rsid w:val="00896154"/>
    <w:rsid w:val="008A2A32"/>
    <w:rsid w:val="008A41AB"/>
    <w:rsid w:val="008A5C5D"/>
    <w:rsid w:val="008B0A69"/>
    <w:rsid w:val="008B3AA0"/>
    <w:rsid w:val="008B631C"/>
    <w:rsid w:val="008B66F0"/>
    <w:rsid w:val="008B67A0"/>
    <w:rsid w:val="008C09BB"/>
    <w:rsid w:val="008C100E"/>
    <w:rsid w:val="008C166E"/>
    <w:rsid w:val="008C1CC1"/>
    <w:rsid w:val="008C47D3"/>
    <w:rsid w:val="008C4912"/>
    <w:rsid w:val="008C7216"/>
    <w:rsid w:val="008D1708"/>
    <w:rsid w:val="008D4702"/>
    <w:rsid w:val="008D7C3C"/>
    <w:rsid w:val="008E04EC"/>
    <w:rsid w:val="008E3552"/>
    <w:rsid w:val="008F0471"/>
    <w:rsid w:val="008F0F6E"/>
    <w:rsid w:val="008F547B"/>
    <w:rsid w:val="008F5F6E"/>
    <w:rsid w:val="009043B2"/>
    <w:rsid w:val="00906A31"/>
    <w:rsid w:val="009077E7"/>
    <w:rsid w:val="0091064F"/>
    <w:rsid w:val="00910C0A"/>
    <w:rsid w:val="00911609"/>
    <w:rsid w:val="00911B62"/>
    <w:rsid w:val="00912177"/>
    <w:rsid w:val="00914C42"/>
    <w:rsid w:val="00915FCC"/>
    <w:rsid w:val="009218CD"/>
    <w:rsid w:val="009221F9"/>
    <w:rsid w:val="00922545"/>
    <w:rsid w:val="00931194"/>
    <w:rsid w:val="00933287"/>
    <w:rsid w:val="00935829"/>
    <w:rsid w:val="00936E6D"/>
    <w:rsid w:val="00937C5A"/>
    <w:rsid w:val="0094125A"/>
    <w:rsid w:val="00943091"/>
    <w:rsid w:val="009445BB"/>
    <w:rsid w:val="00944E87"/>
    <w:rsid w:val="009459DE"/>
    <w:rsid w:val="00945DAA"/>
    <w:rsid w:val="00946D47"/>
    <w:rsid w:val="009529A5"/>
    <w:rsid w:val="00953D8F"/>
    <w:rsid w:val="00954EF2"/>
    <w:rsid w:val="00962B5E"/>
    <w:rsid w:val="00964484"/>
    <w:rsid w:val="00964607"/>
    <w:rsid w:val="00964747"/>
    <w:rsid w:val="00965121"/>
    <w:rsid w:val="00966A06"/>
    <w:rsid w:val="009730B9"/>
    <w:rsid w:val="00973D12"/>
    <w:rsid w:val="00974CCF"/>
    <w:rsid w:val="0097524D"/>
    <w:rsid w:val="009752CA"/>
    <w:rsid w:val="00975FA3"/>
    <w:rsid w:val="00976E87"/>
    <w:rsid w:val="00977D03"/>
    <w:rsid w:val="009831BB"/>
    <w:rsid w:val="00984603"/>
    <w:rsid w:val="009853A2"/>
    <w:rsid w:val="00990AD5"/>
    <w:rsid w:val="00991F20"/>
    <w:rsid w:val="00992EBD"/>
    <w:rsid w:val="009A0943"/>
    <w:rsid w:val="009A350D"/>
    <w:rsid w:val="009A37E1"/>
    <w:rsid w:val="009A3861"/>
    <w:rsid w:val="009A3AB1"/>
    <w:rsid w:val="009B17F6"/>
    <w:rsid w:val="009B2E92"/>
    <w:rsid w:val="009B7643"/>
    <w:rsid w:val="009B78BC"/>
    <w:rsid w:val="009C2EC4"/>
    <w:rsid w:val="009C3250"/>
    <w:rsid w:val="009C360D"/>
    <w:rsid w:val="009C463F"/>
    <w:rsid w:val="009C65AA"/>
    <w:rsid w:val="009C764D"/>
    <w:rsid w:val="009D6F46"/>
    <w:rsid w:val="009D7498"/>
    <w:rsid w:val="009E085F"/>
    <w:rsid w:val="009E2BDB"/>
    <w:rsid w:val="009E3C12"/>
    <w:rsid w:val="009E7395"/>
    <w:rsid w:val="009E755A"/>
    <w:rsid w:val="009E7FEA"/>
    <w:rsid w:val="009F0AD1"/>
    <w:rsid w:val="009F2AC0"/>
    <w:rsid w:val="00A0041F"/>
    <w:rsid w:val="00A00B59"/>
    <w:rsid w:val="00A03798"/>
    <w:rsid w:val="00A03944"/>
    <w:rsid w:val="00A11006"/>
    <w:rsid w:val="00A204D6"/>
    <w:rsid w:val="00A22390"/>
    <w:rsid w:val="00A24B66"/>
    <w:rsid w:val="00A257AE"/>
    <w:rsid w:val="00A27C09"/>
    <w:rsid w:val="00A3032C"/>
    <w:rsid w:val="00A32B01"/>
    <w:rsid w:val="00A34172"/>
    <w:rsid w:val="00A34C6B"/>
    <w:rsid w:val="00A36824"/>
    <w:rsid w:val="00A37511"/>
    <w:rsid w:val="00A40771"/>
    <w:rsid w:val="00A44561"/>
    <w:rsid w:val="00A45576"/>
    <w:rsid w:val="00A47A6F"/>
    <w:rsid w:val="00A51B78"/>
    <w:rsid w:val="00A52393"/>
    <w:rsid w:val="00A542A4"/>
    <w:rsid w:val="00A556D6"/>
    <w:rsid w:val="00A6000B"/>
    <w:rsid w:val="00A62219"/>
    <w:rsid w:val="00A6386B"/>
    <w:rsid w:val="00A64DC5"/>
    <w:rsid w:val="00A654C2"/>
    <w:rsid w:val="00A66B4C"/>
    <w:rsid w:val="00A712F5"/>
    <w:rsid w:val="00A72386"/>
    <w:rsid w:val="00A725B1"/>
    <w:rsid w:val="00A80638"/>
    <w:rsid w:val="00A84707"/>
    <w:rsid w:val="00A86284"/>
    <w:rsid w:val="00A865CC"/>
    <w:rsid w:val="00A87431"/>
    <w:rsid w:val="00A91C85"/>
    <w:rsid w:val="00A91FD8"/>
    <w:rsid w:val="00A932D6"/>
    <w:rsid w:val="00A95D27"/>
    <w:rsid w:val="00A960D4"/>
    <w:rsid w:val="00A96E02"/>
    <w:rsid w:val="00A9760F"/>
    <w:rsid w:val="00AA10AA"/>
    <w:rsid w:val="00AA4140"/>
    <w:rsid w:val="00AA5D23"/>
    <w:rsid w:val="00AA5F57"/>
    <w:rsid w:val="00AA6810"/>
    <w:rsid w:val="00AA76CF"/>
    <w:rsid w:val="00AB1606"/>
    <w:rsid w:val="00AB18F2"/>
    <w:rsid w:val="00AB3125"/>
    <w:rsid w:val="00AB3C20"/>
    <w:rsid w:val="00AC13A5"/>
    <w:rsid w:val="00AC327C"/>
    <w:rsid w:val="00AC464D"/>
    <w:rsid w:val="00AC4BFF"/>
    <w:rsid w:val="00AC7F00"/>
    <w:rsid w:val="00AD0266"/>
    <w:rsid w:val="00AD4129"/>
    <w:rsid w:val="00AD60B8"/>
    <w:rsid w:val="00AE185A"/>
    <w:rsid w:val="00AF120A"/>
    <w:rsid w:val="00AF1E08"/>
    <w:rsid w:val="00AF2585"/>
    <w:rsid w:val="00AF4DDC"/>
    <w:rsid w:val="00AF715E"/>
    <w:rsid w:val="00AF7E06"/>
    <w:rsid w:val="00B03927"/>
    <w:rsid w:val="00B103B9"/>
    <w:rsid w:val="00B14FCD"/>
    <w:rsid w:val="00B16041"/>
    <w:rsid w:val="00B168A9"/>
    <w:rsid w:val="00B232BD"/>
    <w:rsid w:val="00B23BAC"/>
    <w:rsid w:val="00B23FC4"/>
    <w:rsid w:val="00B31DF7"/>
    <w:rsid w:val="00B35093"/>
    <w:rsid w:val="00B357F4"/>
    <w:rsid w:val="00B40D3E"/>
    <w:rsid w:val="00B4171C"/>
    <w:rsid w:val="00B41A5D"/>
    <w:rsid w:val="00B439A5"/>
    <w:rsid w:val="00B43C38"/>
    <w:rsid w:val="00B45921"/>
    <w:rsid w:val="00B50C96"/>
    <w:rsid w:val="00B5181D"/>
    <w:rsid w:val="00B52466"/>
    <w:rsid w:val="00B5376F"/>
    <w:rsid w:val="00B5494F"/>
    <w:rsid w:val="00B54B9C"/>
    <w:rsid w:val="00B55ACB"/>
    <w:rsid w:val="00B6289D"/>
    <w:rsid w:val="00B6689F"/>
    <w:rsid w:val="00B7158B"/>
    <w:rsid w:val="00B733F3"/>
    <w:rsid w:val="00B74DF6"/>
    <w:rsid w:val="00B75CE4"/>
    <w:rsid w:val="00B779CE"/>
    <w:rsid w:val="00B77E7E"/>
    <w:rsid w:val="00B8547C"/>
    <w:rsid w:val="00B86FFE"/>
    <w:rsid w:val="00B87A69"/>
    <w:rsid w:val="00B92D4E"/>
    <w:rsid w:val="00B93349"/>
    <w:rsid w:val="00B96397"/>
    <w:rsid w:val="00B96E02"/>
    <w:rsid w:val="00B972FC"/>
    <w:rsid w:val="00B975D9"/>
    <w:rsid w:val="00B97AF9"/>
    <w:rsid w:val="00BA020A"/>
    <w:rsid w:val="00BA0ED8"/>
    <w:rsid w:val="00BA29B6"/>
    <w:rsid w:val="00BA3830"/>
    <w:rsid w:val="00BA39C0"/>
    <w:rsid w:val="00BA59D3"/>
    <w:rsid w:val="00BB09C8"/>
    <w:rsid w:val="00BB21D5"/>
    <w:rsid w:val="00BB25F7"/>
    <w:rsid w:val="00BB2E91"/>
    <w:rsid w:val="00BB591C"/>
    <w:rsid w:val="00BB5EB4"/>
    <w:rsid w:val="00BB7883"/>
    <w:rsid w:val="00BB7962"/>
    <w:rsid w:val="00BC04F5"/>
    <w:rsid w:val="00BC364F"/>
    <w:rsid w:val="00BC65F6"/>
    <w:rsid w:val="00BD0250"/>
    <w:rsid w:val="00BD0FAE"/>
    <w:rsid w:val="00BD108F"/>
    <w:rsid w:val="00BD2AF7"/>
    <w:rsid w:val="00BD3492"/>
    <w:rsid w:val="00BD4815"/>
    <w:rsid w:val="00BE0F5F"/>
    <w:rsid w:val="00BE25A7"/>
    <w:rsid w:val="00BE2C9D"/>
    <w:rsid w:val="00BE6930"/>
    <w:rsid w:val="00BE6940"/>
    <w:rsid w:val="00BE7508"/>
    <w:rsid w:val="00BF00F5"/>
    <w:rsid w:val="00BF0E8E"/>
    <w:rsid w:val="00BF26CE"/>
    <w:rsid w:val="00BF4DC4"/>
    <w:rsid w:val="00BF7AEF"/>
    <w:rsid w:val="00C13BD8"/>
    <w:rsid w:val="00C150FE"/>
    <w:rsid w:val="00C15C2A"/>
    <w:rsid w:val="00C25A93"/>
    <w:rsid w:val="00C26F21"/>
    <w:rsid w:val="00C272E8"/>
    <w:rsid w:val="00C31DCD"/>
    <w:rsid w:val="00C322BD"/>
    <w:rsid w:val="00C33B1C"/>
    <w:rsid w:val="00C36164"/>
    <w:rsid w:val="00C40DBC"/>
    <w:rsid w:val="00C44792"/>
    <w:rsid w:val="00C52F49"/>
    <w:rsid w:val="00C53FFD"/>
    <w:rsid w:val="00C565AE"/>
    <w:rsid w:val="00C60838"/>
    <w:rsid w:val="00C623DC"/>
    <w:rsid w:val="00C63B00"/>
    <w:rsid w:val="00C64B69"/>
    <w:rsid w:val="00C64D5A"/>
    <w:rsid w:val="00C66220"/>
    <w:rsid w:val="00C67399"/>
    <w:rsid w:val="00C74022"/>
    <w:rsid w:val="00C74CC5"/>
    <w:rsid w:val="00C76D12"/>
    <w:rsid w:val="00C77B4D"/>
    <w:rsid w:val="00C77ED9"/>
    <w:rsid w:val="00C84F50"/>
    <w:rsid w:val="00C863E3"/>
    <w:rsid w:val="00C87492"/>
    <w:rsid w:val="00C87BD7"/>
    <w:rsid w:val="00C9080B"/>
    <w:rsid w:val="00C90B8A"/>
    <w:rsid w:val="00C9197E"/>
    <w:rsid w:val="00C91C31"/>
    <w:rsid w:val="00C937CC"/>
    <w:rsid w:val="00C9542D"/>
    <w:rsid w:val="00C960BB"/>
    <w:rsid w:val="00C96229"/>
    <w:rsid w:val="00C96E0A"/>
    <w:rsid w:val="00CA1779"/>
    <w:rsid w:val="00CA223E"/>
    <w:rsid w:val="00CA3E81"/>
    <w:rsid w:val="00CA415C"/>
    <w:rsid w:val="00CA5F10"/>
    <w:rsid w:val="00CA632B"/>
    <w:rsid w:val="00CA6340"/>
    <w:rsid w:val="00CA7134"/>
    <w:rsid w:val="00CB044C"/>
    <w:rsid w:val="00CB16C9"/>
    <w:rsid w:val="00CB201B"/>
    <w:rsid w:val="00CB25C7"/>
    <w:rsid w:val="00CB4058"/>
    <w:rsid w:val="00CB5E4B"/>
    <w:rsid w:val="00CB68C7"/>
    <w:rsid w:val="00CC0A77"/>
    <w:rsid w:val="00CC0AF4"/>
    <w:rsid w:val="00CC50BE"/>
    <w:rsid w:val="00CC65BF"/>
    <w:rsid w:val="00CD1665"/>
    <w:rsid w:val="00CD1D79"/>
    <w:rsid w:val="00CD5C57"/>
    <w:rsid w:val="00CD732F"/>
    <w:rsid w:val="00CD7988"/>
    <w:rsid w:val="00CE2725"/>
    <w:rsid w:val="00CE2B70"/>
    <w:rsid w:val="00CE5620"/>
    <w:rsid w:val="00CE7B22"/>
    <w:rsid w:val="00CF46F7"/>
    <w:rsid w:val="00CF6AE7"/>
    <w:rsid w:val="00CF709C"/>
    <w:rsid w:val="00D00DF3"/>
    <w:rsid w:val="00D02CCC"/>
    <w:rsid w:val="00D02D82"/>
    <w:rsid w:val="00D04459"/>
    <w:rsid w:val="00D0457A"/>
    <w:rsid w:val="00D04F38"/>
    <w:rsid w:val="00D057A8"/>
    <w:rsid w:val="00D07DC6"/>
    <w:rsid w:val="00D1113D"/>
    <w:rsid w:val="00D1133F"/>
    <w:rsid w:val="00D12653"/>
    <w:rsid w:val="00D134E1"/>
    <w:rsid w:val="00D14085"/>
    <w:rsid w:val="00D174B4"/>
    <w:rsid w:val="00D21524"/>
    <w:rsid w:val="00D22F17"/>
    <w:rsid w:val="00D25B94"/>
    <w:rsid w:val="00D31757"/>
    <w:rsid w:val="00D334ED"/>
    <w:rsid w:val="00D33AE9"/>
    <w:rsid w:val="00D35720"/>
    <w:rsid w:val="00D35DA5"/>
    <w:rsid w:val="00D3616E"/>
    <w:rsid w:val="00D365A2"/>
    <w:rsid w:val="00D36F79"/>
    <w:rsid w:val="00D370B1"/>
    <w:rsid w:val="00D37788"/>
    <w:rsid w:val="00D406F5"/>
    <w:rsid w:val="00D4090E"/>
    <w:rsid w:val="00D41110"/>
    <w:rsid w:val="00D50080"/>
    <w:rsid w:val="00D5058D"/>
    <w:rsid w:val="00D5071A"/>
    <w:rsid w:val="00D51320"/>
    <w:rsid w:val="00D52F07"/>
    <w:rsid w:val="00D72DBF"/>
    <w:rsid w:val="00D74C72"/>
    <w:rsid w:val="00D76515"/>
    <w:rsid w:val="00D76C4B"/>
    <w:rsid w:val="00D80365"/>
    <w:rsid w:val="00D803EF"/>
    <w:rsid w:val="00D80BA9"/>
    <w:rsid w:val="00D81003"/>
    <w:rsid w:val="00D81A14"/>
    <w:rsid w:val="00D81B33"/>
    <w:rsid w:val="00D84749"/>
    <w:rsid w:val="00D84E24"/>
    <w:rsid w:val="00D852A3"/>
    <w:rsid w:val="00D92746"/>
    <w:rsid w:val="00D96E28"/>
    <w:rsid w:val="00DA0E39"/>
    <w:rsid w:val="00DA29AE"/>
    <w:rsid w:val="00DA4785"/>
    <w:rsid w:val="00DB2E7D"/>
    <w:rsid w:val="00DB4E40"/>
    <w:rsid w:val="00DB7907"/>
    <w:rsid w:val="00DB7CEE"/>
    <w:rsid w:val="00DC03B8"/>
    <w:rsid w:val="00DC4828"/>
    <w:rsid w:val="00DC5DAC"/>
    <w:rsid w:val="00DC61B4"/>
    <w:rsid w:val="00DD4BFC"/>
    <w:rsid w:val="00DD61E7"/>
    <w:rsid w:val="00DD7410"/>
    <w:rsid w:val="00DE15EA"/>
    <w:rsid w:val="00DE1B7F"/>
    <w:rsid w:val="00DE238B"/>
    <w:rsid w:val="00DE2F07"/>
    <w:rsid w:val="00DE3BBA"/>
    <w:rsid w:val="00DE602A"/>
    <w:rsid w:val="00DE6DE3"/>
    <w:rsid w:val="00DF033E"/>
    <w:rsid w:val="00DF2F3B"/>
    <w:rsid w:val="00DF4F9E"/>
    <w:rsid w:val="00DF611C"/>
    <w:rsid w:val="00DF73F0"/>
    <w:rsid w:val="00DF7F14"/>
    <w:rsid w:val="00E06844"/>
    <w:rsid w:val="00E12D1A"/>
    <w:rsid w:val="00E12DFF"/>
    <w:rsid w:val="00E12E72"/>
    <w:rsid w:val="00E135AB"/>
    <w:rsid w:val="00E20A58"/>
    <w:rsid w:val="00E24DA4"/>
    <w:rsid w:val="00E26F17"/>
    <w:rsid w:val="00E30BAC"/>
    <w:rsid w:val="00E30D06"/>
    <w:rsid w:val="00E347D6"/>
    <w:rsid w:val="00E34A0A"/>
    <w:rsid w:val="00E35D3D"/>
    <w:rsid w:val="00E360F1"/>
    <w:rsid w:val="00E3698B"/>
    <w:rsid w:val="00E369BC"/>
    <w:rsid w:val="00E40C80"/>
    <w:rsid w:val="00E4229D"/>
    <w:rsid w:val="00E43BAF"/>
    <w:rsid w:val="00E45B75"/>
    <w:rsid w:val="00E46A4F"/>
    <w:rsid w:val="00E46F4F"/>
    <w:rsid w:val="00E51C59"/>
    <w:rsid w:val="00E52D88"/>
    <w:rsid w:val="00E600A6"/>
    <w:rsid w:val="00E602B0"/>
    <w:rsid w:val="00E62FA0"/>
    <w:rsid w:val="00E63A9E"/>
    <w:rsid w:val="00E646B8"/>
    <w:rsid w:val="00E65905"/>
    <w:rsid w:val="00E737B5"/>
    <w:rsid w:val="00E74C8E"/>
    <w:rsid w:val="00E77DEA"/>
    <w:rsid w:val="00E85BEF"/>
    <w:rsid w:val="00E933C7"/>
    <w:rsid w:val="00E93878"/>
    <w:rsid w:val="00E94647"/>
    <w:rsid w:val="00E947B0"/>
    <w:rsid w:val="00E96FA5"/>
    <w:rsid w:val="00EA167D"/>
    <w:rsid w:val="00EA41C1"/>
    <w:rsid w:val="00EA450C"/>
    <w:rsid w:val="00EA5CA4"/>
    <w:rsid w:val="00EA7EEB"/>
    <w:rsid w:val="00EB10C9"/>
    <w:rsid w:val="00EB1DC0"/>
    <w:rsid w:val="00EB554B"/>
    <w:rsid w:val="00EB7145"/>
    <w:rsid w:val="00EB7514"/>
    <w:rsid w:val="00EC1BFF"/>
    <w:rsid w:val="00EC75F5"/>
    <w:rsid w:val="00ED1754"/>
    <w:rsid w:val="00ED2076"/>
    <w:rsid w:val="00ED231C"/>
    <w:rsid w:val="00ED2CCF"/>
    <w:rsid w:val="00ED3E04"/>
    <w:rsid w:val="00ED7289"/>
    <w:rsid w:val="00ED75F7"/>
    <w:rsid w:val="00ED7C60"/>
    <w:rsid w:val="00EE2E38"/>
    <w:rsid w:val="00EE313C"/>
    <w:rsid w:val="00EE323F"/>
    <w:rsid w:val="00EE3B6B"/>
    <w:rsid w:val="00EE3FAF"/>
    <w:rsid w:val="00EE6254"/>
    <w:rsid w:val="00EF36A7"/>
    <w:rsid w:val="00EF49ED"/>
    <w:rsid w:val="00EF5200"/>
    <w:rsid w:val="00EF69E8"/>
    <w:rsid w:val="00EF773F"/>
    <w:rsid w:val="00EF7C1E"/>
    <w:rsid w:val="00EF7CD1"/>
    <w:rsid w:val="00F00259"/>
    <w:rsid w:val="00F04325"/>
    <w:rsid w:val="00F04F63"/>
    <w:rsid w:val="00F069D2"/>
    <w:rsid w:val="00F108ED"/>
    <w:rsid w:val="00F11966"/>
    <w:rsid w:val="00F1525C"/>
    <w:rsid w:val="00F22442"/>
    <w:rsid w:val="00F2531D"/>
    <w:rsid w:val="00F25B81"/>
    <w:rsid w:val="00F27FB1"/>
    <w:rsid w:val="00F30DE5"/>
    <w:rsid w:val="00F31C27"/>
    <w:rsid w:val="00F3269D"/>
    <w:rsid w:val="00F345B8"/>
    <w:rsid w:val="00F368AE"/>
    <w:rsid w:val="00F40710"/>
    <w:rsid w:val="00F41F91"/>
    <w:rsid w:val="00F4311A"/>
    <w:rsid w:val="00F44172"/>
    <w:rsid w:val="00F45E25"/>
    <w:rsid w:val="00F51A11"/>
    <w:rsid w:val="00F5707E"/>
    <w:rsid w:val="00F578CC"/>
    <w:rsid w:val="00F61E72"/>
    <w:rsid w:val="00F631FE"/>
    <w:rsid w:val="00F65789"/>
    <w:rsid w:val="00F65A2C"/>
    <w:rsid w:val="00F666F9"/>
    <w:rsid w:val="00F66EC9"/>
    <w:rsid w:val="00F703C6"/>
    <w:rsid w:val="00F707E3"/>
    <w:rsid w:val="00F81D75"/>
    <w:rsid w:val="00F81E90"/>
    <w:rsid w:val="00F82110"/>
    <w:rsid w:val="00F84C4C"/>
    <w:rsid w:val="00F929A6"/>
    <w:rsid w:val="00F9462E"/>
    <w:rsid w:val="00F967C1"/>
    <w:rsid w:val="00F96BAD"/>
    <w:rsid w:val="00FA1E74"/>
    <w:rsid w:val="00FA5020"/>
    <w:rsid w:val="00FA668B"/>
    <w:rsid w:val="00FA6901"/>
    <w:rsid w:val="00FA6F2C"/>
    <w:rsid w:val="00FB0B84"/>
    <w:rsid w:val="00FB4C30"/>
    <w:rsid w:val="00FB4C4E"/>
    <w:rsid w:val="00FB5867"/>
    <w:rsid w:val="00FB66CC"/>
    <w:rsid w:val="00FC0F3E"/>
    <w:rsid w:val="00FC519B"/>
    <w:rsid w:val="00FC6456"/>
    <w:rsid w:val="00FD04D2"/>
    <w:rsid w:val="00FD192B"/>
    <w:rsid w:val="00FD2CCC"/>
    <w:rsid w:val="00FE03A3"/>
    <w:rsid w:val="00FE3B48"/>
    <w:rsid w:val="00FE74A7"/>
    <w:rsid w:val="00FE7C6B"/>
    <w:rsid w:val="00FF0366"/>
    <w:rsid w:val="00FF1D13"/>
    <w:rsid w:val="00FF2042"/>
    <w:rsid w:val="00FF3D33"/>
    <w:rsid w:val="00FF4026"/>
    <w:rsid w:val="00FF4B61"/>
    <w:rsid w:val="00FF5AAC"/>
    <w:rsid w:val="00FF7257"/>
    <w:rsid w:val="00FF7B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2F0F78"/>
  <w15:docId w15:val="{49653609-B9A4-4BE4-875C-8AD68CAED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736F6"/>
    <w:pPr>
      <w:widowControl w:val="0"/>
      <w:autoSpaceDE w:val="0"/>
      <w:autoSpaceDN w:val="0"/>
      <w:spacing w:after="80" w:line="240" w:lineRule="auto"/>
    </w:pPr>
    <w:rPr>
      <w:rFonts w:ascii="Calibri" w:eastAsia="Calibri" w:hAnsi="Calibri" w:cs="Calibri"/>
    </w:rPr>
  </w:style>
  <w:style w:type="paragraph" w:styleId="Heading1">
    <w:name w:val="heading 1"/>
    <w:basedOn w:val="Normal"/>
    <w:next w:val="Normal"/>
    <w:link w:val="Heading1Char"/>
    <w:uiPriority w:val="9"/>
    <w:qFormat/>
    <w:rsid w:val="00FA6F2C"/>
    <w:pPr>
      <w:keepNext/>
      <w:keepLines/>
      <w:spacing w:after="120" w:line="276" w:lineRule="auto"/>
      <w:outlineLvl w:val="0"/>
    </w:pPr>
    <w:rPr>
      <w:rFonts w:ascii="Times New Roman" w:hAnsi="Times New Roman" w:eastAsiaTheme="majorEastAsia" w:cs="Times New Roman"/>
      <w:b/>
      <w:color w:val="2E74B5" w:themeColor="accent1" w:themeShade="BF"/>
      <w:sz w:val="24"/>
      <w:szCs w:val="24"/>
    </w:rPr>
  </w:style>
  <w:style w:type="paragraph" w:styleId="Heading2">
    <w:name w:val="heading 2"/>
    <w:basedOn w:val="Normal"/>
    <w:next w:val="Normal"/>
    <w:link w:val="Heading2Char"/>
    <w:uiPriority w:val="9"/>
    <w:unhideWhenUsed/>
    <w:qFormat/>
    <w:rsid w:val="00FA6F2C"/>
    <w:pPr>
      <w:keepNext/>
      <w:keepLines/>
      <w:numPr>
        <w:ilvl w:val="1"/>
        <w:numId w:val="1"/>
      </w:numPr>
      <w:spacing w:after="120" w:line="276" w:lineRule="auto"/>
      <w:ind w:left="360" w:hanging="360"/>
      <w:outlineLvl w:val="1"/>
    </w:pPr>
    <w:rPr>
      <w:rFonts w:ascii="Times New Roman" w:hAnsi="Times New Roman" w:eastAsiaTheme="majorEastAsia" w:cs="Times New Roman"/>
      <w:b/>
      <w:color w:val="2E74B5" w:themeColor="accent1" w:themeShade="BF"/>
    </w:rPr>
  </w:style>
  <w:style w:type="paragraph" w:styleId="Heading3">
    <w:name w:val="heading 3"/>
    <w:basedOn w:val="Normal"/>
    <w:next w:val="Normal"/>
    <w:link w:val="Heading3Char"/>
    <w:uiPriority w:val="9"/>
    <w:unhideWhenUsed/>
    <w:qFormat/>
    <w:rsid w:val="00FA6F2C"/>
    <w:pPr>
      <w:keepNext/>
      <w:keepLines/>
      <w:numPr>
        <w:ilvl w:val="2"/>
        <w:numId w:val="3"/>
      </w:numPr>
      <w:spacing w:after="120" w:line="276" w:lineRule="auto"/>
      <w:ind w:left="720"/>
      <w:outlineLvl w:val="2"/>
    </w:pPr>
    <w:rPr>
      <w:rFonts w:ascii="Times New Roman" w:hAnsi="Times New Roman" w:eastAsiaTheme="majorEastAsia" w:cs="Times New Roman"/>
      <w:b/>
      <w:color w:val="1F4D78" w:themeColor="accent1" w:themeShade="7F"/>
    </w:rPr>
  </w:style>
  <w:style w:type="paragraph" w:styleId="Heading4">
    <w:name w:val="heading 4"/>
    <w:basedOn w:val="Normal"/>
    <w:next w:val="Normal"/>
    <w:link w:val="Heading4Char"/>
    <w:uiPriority w:val="9"/>
    <w:unhideWhenUsed/>
    <w:qFormat/>
    <w:rsid w:val="00FA6F2C"/>
    <w:pPr>
      <w:keepNext/>
      <w:keepLines/>
      <w:spacing w:after="120" w:line="276" w:lineRule="auto"/>
      <w:outlineLvl w:val="3"/>
    </w:pPr>
    <w:rPr>
      <w:rFonts w:ascii="Times New Roman" w:hAnsi="Times New Roman" w:eastAsiaTheme="majorEastAsia" w:cs="Times New Roman"/>
      <w:b/>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736F6"/>
  </w:style>
  <w:style w:type="character" w:customStyle="1" w:styleId="BodyTextChar">
    <w:name w:val="Body Text Char"/>
    <w:basedOn w:val="DefaultParagraphFont"/>
    <w:link w:val="BodyText"/>
    <w:uiPriority w:val="1"/>
    <w:rsid w:val="001736F6"/>
    <w:rPr>
      <w:rFonts w:ascii="Calibri" w:eastAsia="Calibri" w:hAnsi="Calibri" w:cs="Calibri"/>
    </w:rPr>
  </w:style>
  <w:style w:type="character" w:customStyle="1" w:styleId="Heading1Char">
    <w:name w:val="Heading 1 Char"/>
    <w:basedOn w:val="DefaultParagraphFont"/>
    <w:link w:val="Heading1"/>
    <w:uiPriority w:val="9"/>
    <w:rsid w:val="00FA6F2C"/>
    <w:rPr>
      <w:rFonts w:ascii="Times New Roman" w:hAnsi="Times New Roman" w:eastAsiaTheme="majorEastAsia" w:cs="Times New Roman"/>
      <w:b/>
      <w:color w:val="2E74B5" w:themeColor="accent1" w:themeShade="BF"/>
      <w:sz w:val="24"/>
      <w:szCs w:val="24"/>
    </w:rPr>
  </w:style>
  <w:style w:type="paragraph" w:styleId="ListParagraph">
    <w:name w:val="List Paragraph"/>
    <w:basedOn w:val="Normal"/>
    <w:uiPriority w:val="1"/>
    <w:qFormat/>
    <w:rsid w:val="001736F6"/>
    <w:pPr>
      <w:ind w:left="720"/>
      <w:contextualSpacing/>
    </w:pPr>
  </w:style>
  <w:style w:type="character" w:customStyle="1" w:styleId="Heading2Char">
    <w:name w:val="Heading 2 Char"/>
    <w:basedOn w:val="DefaultParagraphFont"/>
    <w:link w:val="Heading2"/>
    <w:uiPriority w:val="9"/>
    <w:rsid w:val="00FA6F2C"/>
    <w:rPr>
      <w:rFonts w:ascii="Times New Roman" w:hAnsi="Times New Roman" w:eastAsiaTheme="majorEastAsia" w:cs="Times New Roman"/>
      <w:b/>
      <w:color w:val="2E74B5" w:themeColor="accent1" w:themeShade="BF"/>
    </w:rPr>
  </w:style>
  <w:style w:type="paragraph" w:styleId="FootnoteText">
    <w:name w:val="footnote text"/>
    <w:aliases w:val="F1"/>
    <w:basedOn w:val="Normal"/>
    <w:link w:val="FootnoteTextChar"/>
    <w:uiPriority w:val="99"/>
    <w:unhideWhenUsed/>
    <w:qFormat/>
    <w:rsid w:val="00502F07"/>
    <w:pPr>
      <w:spacing w:after="0"/>
    </w:pPr>
    <w:rPr>
      <w:sz w:val="20"/>
      <w:szCs w:val="20"/>
    </w:rPr>
  </w:style>
  <w:style w:type="character" w:customStyle="1" w:styleId="FootnoteTextChar">
    <w:name w:val="Footnote Text Char"/>
    <w:aliases w:val="F1 Char"/>
    <w:basedOn w:val="DefaultParagraphFont"/>
    <w:link w:val="FootnoteText"/>
    <w:uiPriority w:val="99"/>
    <w:rsid w:val="00502F07"/>
    <w:rPr>
      <w:rFonts w:ascii="Calibri" w:eastAsia="Calibri" w:hAnsi="Calibri" w:cs="Calibri"/>
      <w:sz w:val="20"/>
      <w:szCs w:val="20"/>
    </w:rPr>
  </w:style>
  <w:style w:type="character" w:styleId="FootnoteReference">
    <w:name w:val="footnote reference"/>
    <w:basedOn w:val="DefaultParagraphFont"/>
    <w:uiPriority w:val="99"/>
    <w:unhideWhenUsed/>
    <w:rsid w:val="00502F07"/>
    <w:rPr>
      <w:vertAlign w:val="superscript"/>
    </w:rPr>
  </w:style>
  <w:style w:type="character" w:styleId="CommentReference">
    <w:name w:val="annotation reference"/>
    <w:basedOn w:val="DefaultParagraphFont"/>
    <w:uiPriority w:val="99"/>
    <w:semiHidden/>
    <w:unhideWhenUsed/>
    <w:rsid w:val="00502F07"/>
    <w:rPr>
      <w:sz w:val="16"/>
      <w:szCs w:val="16"/>
    </w:rPr>
  </w:style>
  <w:style w:type="paragraph" w:styleId="CommentText">
    <w:name w:val="annotation text"/>
    <w:basedOn w:val="Normal"/>
    <w:link w:val="CommentTextChar"/>
    <w:uiPriority w:val="99"/>
    <w:unhideWhenUsed/>
    <w:qFormat/>
    <w:rsid w:val="0024490A"/>
    <w:rPr>
      <w:sz w:val="20"/>
      <w:szCs w:val="20"/>
    </w:rPr>
  </w:style>
  <w:style w:type="character" w:customStyle="1" w:styleId="CommentTextChar">
    <w:name w:val="Comment Text Char"/>
    <w:basedOn w:val="DefaultParagraphFont"/>
    <w:link w:val="CommentText"/>
    <w:uiPriority w:val="99"/>
    <w:rsid w:val="00502F07"/>
    <w:rPr>
      <w:rFonts w:ascii="Calibri" w:eastAsia="Calibri" w:hAnsi="Calibri" w:cs="Calibri"/>
      <w:sz w:val="20"/>
      <w:szCs w:val="20"/>
    </w:rPr>
  </w:style>
  <w:style w:type="paragraph" w:styleId="BalloonText">
    <w:name w:val="Balloon Text"/>
    <w:basedOn w:val="Normal"/>
    <w:link w:val="BalloonTextChar"/>
    <w:uiPriority w:val="99"/>
    <w:semiHidden/>
    <w:unhideWhenUsed/>
    <w:rsid w:val="00502F0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F07"/>
    <w:rPr>
      <w:rFonts w:ascii="Segoe UI" w:eastAsia="Calibri" w:hAnsi="Segoe UI" w:cs="Segoe UI"/>
      <w:sz w:val="18"/>
      <w:szCs w:val="18"/>
    </w:rPr>
  </w:style>
  <w:style w:type="character" w:customStyle="1" w:styleId="Heading3Char">
    <w:name w:val="Heading 3 Char"/>
    <w:basedOn w:val="DefaultParagraphFont"/>
    <w:link w:val="Heading3"/>
    <w:uiPriority w:val="9"/>
    <w:rsid w:val="00FA6F2C"/>
    <w:rPr>
      <w:rFonts w:ascii="Times New Roman" w:hAnsi="Times New Roman" w:eastAsiaTheme="majorEastAsia" w:cs="Times New Roman"/>
      <w:b/>
      <w:color w:val="1F4D78" w:themeColor="accent1" w:themeShade="7F"/>
    </w:rPr>
  </w:style>
  <w:style w:type="paragraph" w:styleId="Header">
    <w:name w:val="header"/>
    <w:basedOn w:val="Normal"/>
    <w:link w:val="HeaderChar"/>
    <w:uiPriority w:val="99"/>
    <w:unhideWhenUsed/>
    <w:rsid w:val="002E0F85"/>
    <w:pPr>
      <w:tabs>
        <w:tab w:val="center" w:pos="4680"/>
        <w:tab w:val="right" w:pos="9360"/>
      </w:tabs>
      <w:spacing w:after="0"/>
    </w:pPr>
  </w:style>
  <w:style w:type="character" w:customStyle="1" w:styleId="HeaderChar">
    <w:name w:val="Header Char"/>
    <w:basedOn w:val="DefaultParagraphFont"/>
    <w:link w:val="Header"/>
    <w:uiPriority w:val="99"/>
    <w:rsid w:val="002E0F85"/>
    <w:rPr>
      <w:rFonts w:ascii="Calibri" w:eastAsia="Calibri" w:hAnsi="Calibri" w:cs="Calibri"/>
    </w:rPr>
  </w:style>
  <w:style w:type="paragraph" w:styleId="Footer">
    <w:name w:val="footer"/>
    <w:basedOn w:val="Normal"/>
    <w:link w:val="FooterChar"/>
    <w:uiPriority w:val="99"/>
    <w:unhideWhenUsed/>
    <w:rsid w:val="002E0F85"/>
    <w:pPr>
      <w:tabs>
        <w:tab w:val="center" w:pos="4680"/>
        <w:tab w:val="right" w:pos="9360"/>
      </w:tabs>
      <w:spacing w:after="0"/>
    </w:pPr>
  </w:style>
  <w:style w:type="character" w:customStyle="1" w:styleId="FooterChar">
    <w:name w:val="Footer Char"/>
    <w:basedOn w:val="DefaultParagraphFont"/>
    <w:link w:val="Footer"/>
    <w:uiPriority w:val="99"/>
    <w:rsid w:val="002E0F85"/>
    <w:rPr>
      <w:rFonts w:ascii="Calibri" w:eastAsia="Calibri" w:hAnsi="Calibri" w:cs="Calibri"/>
    </w:rPr>
  </w:style>
  <w:style w:type="paragraph" w:styleId="EndnoteText">
    <w:name w:val="endnote text"/>
    <w:basedOn w:val="Normal"/>
    <w:link w:val="EndnoteTextChar"/>
    <w:uiPriority w:val="99"/>
    <w:semiHidden/>
    <w:unhideWhenUsed/>
    <w:rsid w:val="0067587F"/>
    <w:pPr>
      <w:spacing w:after="0"/>
    </w:pPr>
    <w:rPr>
      <w:sz w:val="20"/>
      <w:szCs w:val="20"/>
    </w:rPr>
  </w:style>
  <w:style w:type="character" w:customStyle="1" w:styleId="EndnoteTextChar">
    <w:name w:val="Endnote Text Char"/>
    <w:basedOn w:val="DefaultParagraphFont"/>
    <w:link w:val="EndnoteText"/>
    <w:uiPriority w:val="99"/>
    <w:semiHidden/>
    <w:rsid w:val="0067587F"/>
    <w:rPr>
      <w:rFonts w:ascii="Calibri" w:eastAsia="Calibri" w:hAnsi="Calibri" w:cs="Calibri"/>
      <w:sz w:val="20"/>
      <w:szCs w:val="20"/>
    </w:rPr>
  </w:style>
  <w:style w:type="character" w:styleId="EndnoteReference">
    <w:name w:val="endnote reference"/>
    <w:basedOn w:val="DefaultParagraphFont"/>
    <w:uiPriority w:val="99"/>
    <w:semiHidden/>
    <w:unhideWhenUsed/>
    <w:rsid w:val="0067587F"/>
    <w:rPr>
      <w:vertAlign w:val="superscript"/>
    </w:rPr>
  </w:style>
  <w:style w:type="character" w:customStyle="1" w:styleId="Heading4Char">
    <w:name w:val="Heading 4 Char"/>
    <w:basedOn w:val="DefaultParagraphFont"/>
    <w:link w:val="Heading4"/>
    <w:uiPriority w:val="9"/>
    <w:rsid w:val="00FA6F2C"/>
    <w:rPr>
      <w:rFonts w:ascii="Times New Roman" w:hAnsi="Times New Roman" w:eastAsiaTheme="majorEastAsia" w:cs="Times New Roman"/>
      <w:b/>
      <w:i/>
      <w:iCs/>
      <w:color w:val="2E74B5" w:themeColor="accent1" w:themeShade="BF"/>
    </w:rPr>
  </w:style>
  <w:style w:type="paragraph" w:customStyle="1" w:styleId="TableParagraph">
    <w:name w:val="Table Paragraph"/>
    <w:basedOn w:val="Normal"/>
    <w:uiPriority w:val="1"/>
    <w:qFormat/>
    <w:rsid w:val="00935829"/>
    <w:rPr>
      <w:rFonts w:ascii="Times New Roman" w:eastAsia="Times New Roman" w:hAnsi="Times New Roman" w:cs="Times New Roman"/>
    </w:rPr>
  </w:style>
  <w:style w:type="character" w:styleId="Hyperlink">
    <w:name w:val="Hyperlink"/>
    <w:basedOn w:val="DefaultParagraphFont"/>
    <w:uiPriority w:val="99"/>
    <w:unhideWhenUsed/>
    <w:rsid w:val="00CE2725"/>
    <w:rPr>
      <w:color w:val="0563C1" w:themeColor="hyperlink"/>
      <w:u w:val="single"/>
    </w:rPr>
  </w:style>
  <w:style w:type="paragraph" w:styleId="TOCHeading">
    <w:name w:val="TOC Heading"/>
    <w:basedOn w:val="Heading1"/>
    <w:next w:val="Normal"/>
    <w:uiPriority w:val="39"/>
    <w:unhideWhenUsed/>
    <w:qFormat/>
    <w:rsid w:val="00302F8D"/>
    <w:pPr>
      <w:widowControl/>
      <w:autoSpaceDE/>
      <w:autoSpaceDN/>
      <w:spacing w:line="259" w:lineRule="auto"/>
      <w:outlineLvl w:val="9"/>
    </w:pPr>
  </w:style>
  <w:style w:type="paragraph" w:styleId="TOC1">
    <w:name w:val="toc 1"/>
    <w:basedOn w:val="Normal"/>
    <w:next w:val="Normal"/>
    <w:autoRedefine/>
    <w:uiPriority w:val="39"/>
    <w:unhideWhenUsed/>
    <w:rsid w:val="00E30D06"/>
    <w:pPr>
      <w:keepLines/>
      <w:tabs>
        <w:tab w:val="left" w:pos="360"/>
        <w:tab w:val="right" w:leader="dot" w:pos="9350"/>
      </w:tabs>
      <w:spacing w:after="120" w:line="276" w:lineRule="auto"/>
    </w:pPr>
  </w:style>
  <w:style w:type="paragraph" w:styleId="TOC2">
    <w:name w:val="toc 2"/>
    <w:basedOn w:val="Normal"/>
    <w:next w:val="Normal"/>
    <w:autoRedefine/>
    <w:uiPriority w:val="39"/>
    <w:unhideWhenUsed/>
    <w:rsid w:val="00E30D06"/>
    <w:pPr>
      <w:keepLines/>
      <w:tabs>
        <w:tab w:val="left" w:pos="720"/>
        <w:tab w:val="right" w:leader="dot" w:pos="9350"/>
      </w:tabs>
      <w:spacing w:after="120" w:line="276" w:lineRule="auto"/>
      <w:ind w:left="220"/>
    </w:pPr>
  </w:style>
  <w:style w:type="paragraph" w:styleId="TOC3">
    <w:name w:val="toc 3"/>
    <w:basedOn w:val="Normal"/>
    <w:next w:val="Normal"/>
    <w:autoRedefine/>
    <w:uiPriority w:val="39"/>
    <w:unhideWhenUsed/>
    <w:rsid w:val="00302F8D"/>
    <w:pPr>
      <w:spacing w:after="100"/>
      <w:ind w:left="440"/>
    </w:pPr>
  </w:style>
  <w:style w:type="paragraph" w:styleId="CommentSubject">
    <w:name w:val="annotation subject"/>
    <w:basedOn w:val="CommentText"/>
    <w:next w:val="CommentText"/>
    <w:link w:val="CommentSubjectChar"/>
    <w:uiPriority w:val="99"/>
    <w:semiHidden/>
    <w:unhideWhenUsed/>
    <w:rsid w:val="00BB591C"/>
    <w:rPr>
      <w:b/>
      <w:bCs/>
    </w:rPr>
  </w:style>
  <w:style w:type="character" w:customStyle="1" w:styleId="CommentSubjectChar">
    <w:name w:val="Comment Subject Char"/>
    <w:basedOn w:val="CommentTextChar"/>
    <w:link w:val="CommentSubject"/>
    <w:uiPriority w:val="99"/>
    <w:semiHidden/>
    <w:rsid w:val="00BB591C"/>
    <w:rPr>
      <w:rFonts w:ascii="Calibri" w:eastAsia="Calibri" w:hAnsi="Calibri" w:cs="Calibri"/>
      <w:b/>
      <w:bCs/>
      <w:sz w:val="20"/>
      <w:szCs w:val="20"/>
    </w:rPr>
  </w:style>
  <w:style w:type="character" w:styleId="FollowedHyperlink">
    <w:name w:val="FollowedHyperlink"/>
    <w:basedOn w:val="DefaultParagraphFont"/>
    <w:uiPriority w:val="99"/>
    <w:semiHidden/>
    <w:unhideWhenUsed/>
    <w:rsid w:val="00B972FC"/>
    <w:rPr>
      <w:color w:val="954F72" w:themeColor="followedHyperlink"/>
      <w:u w:val="single"/>
    </w:rPr>
  </w:style>
  <w:style w:type="paragraph" w:styleId="Revision">
    <w:name w:val="Revision"/>
    <w:hidden/>
    <w:uiPriority w:val="99"/>
    <w:semiHidden/>
    <w:rsid w:val="00FC0F3E"/>
    <w:pPr>
      <w:spacing w:after="0" w:line="240" w:lineRule="auto"/>
    </w:pPr>
    <w:rPr>
      <w:rFonts w:ascii="Calibri" w:eastAsia="Calibri" w:hAnsi="Calibri" w:cs="Calibri"/>
    </w:rPr>
  </w:style>
  <w:style w:type="paragraph" w:styleId="NoSpacing">
    <w:name w:val="No Spacing"/>
    <w:uiPriority w:val="1"/>
    <w:qFormat/>
    <w:rsid w:val="00023230"/>
    <w:pPr>
      <w:widowControl w:val="0"/>
      <w:autoSpaceDE w:val="0"/>
      <w:autoSpaceDN w:val="0"/>
      <w:spacing w:after="0" w:line="240" w:lineRule="auto"/>
    </w:pPr>
    <w:rPr>
      <w:rFonts w:ascii="Calibri" w:eastAsia="Calibri" w:hAnsi="Calibri" w:cs="Calibri"/>
    </w:rPr>
  </w:style>
  <w:style w:type="paragraph" w:styleId="Caption">
    <w:name w:val="caption"/>
    <w:basedOn w:val="Normal"/>
    <w:next w:val="Normal"/>
    <w:uiPriority w:val="35"/>
    <w:unhideWhenUsed/>
    <w:qFormat/>
    <w:rsid w:val="005B0809"/>
    <w:pPr>
      <w:spacing w:after="200"/>
    </w:pPr>
    <w:rPr>
      <w:i/>
      <w:iCs/>
      <w:color w:val="44546A" w:themeColor="text2"/>
      <w:sz w:val="18"/>
      <w:szCs w:val="18"/>
    </w:rPr>
  </w:style>
  <w:style w:type="paragraph" w:customStyle="1" w:styleId="TableText">
    <w:name w:val="Table Text"/>
    <w:basedOn w:val="Normal"/>
    <w:rsid w:val="00DB7CEE"/>
    <w:pPr>
      <w:widowControl/>
      <w:autoSpaceDE/>
      <w:autoSpaceDN/>
      <w:spacing w:before="40" w:after="40"/>
    </w:pPr>
    <w:rPr>
      <w:rFonts w:ascii="Arial" w:hAnsi="Arial" w:eastAsiaTheme="minorHAnsi" w:cstheme="minorBidi"/>
      <w:bCs/>
      <w:sz w:val="19"/>
      <w:szCs w:val="20"/>
    </w:rPr>
  </w:style>
  <w:style w:type="paragraph" w:customStyle="1" w:styleId="wordsection1">
    <w:name w:val="wordsection1"/>
    <w:basedOn w:val="Normal"/>
    <w:uiPriority w:val="99"/>
    <w:rsid w:val="00010A0A"/>
    <w:pPr>
      <w:widowControl/>
      <w:autoSpaceDE/>
      <w:autoSpaceDN/>
      <w:spacing w:before="100" w:beforeAutospacing="1" w:after="100" w:afterAutospacing="1"/>
    </w:pPr>
    <w:rPr>
      <w:rFonts w:ascii="Times New Roman" w:hAnsi="Times New Roman" w:eastAsiaTheme="minorHAnsi" w:cs="Times New Roman"/>
      <w:sz w:val="24"/>
      <w:szCs w:val="24"/>
    </w:rPr>
  </w:style>
  <w:style w:type="character" w:styleId="UnresolvedMention">
    <w:name w:val="Unresolved Mention"/>
    <w:basedOn w:val="DefaultParagraphFont"/>
    <w:uiPriority w:val="99"/>
    <w:semiHidden/>
    <w:unhideWhenUsed/>
    <w:rsid w:val="00E52D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image" Target="media/image1.png" /><Relationship Id="rId12" Type="http://schemas.openxmlformats.org/officeDocument/2006/relationships/hyperlink" Target="https://ratereview.healthcare.gov/" TargetMode="External" /><Relationship Id="rId13" Type="http://schemas.openxmlformats.org/officeDocument/2006/relationships/hyperlink" Target="http://www.cms.gov/CCIIO/Resources/Data-Resources/ratereview.html" TargetMode="External" /><Relationship Id="rId14" Type="http://schemas.openxmlformats.org/officeDocument/2006/relationships/hyperlink" Target="https://www.cms.gov/CCIIO/Resources/Forms-Reports-and-Other-Resources/Downloads/HIOS-Rate-Review-Technical-Instructions-for-States-and-Health-Insurance-Issuers.pdf" TargetMode="External" /><Relationship Id="rId15" Type="http://schemas.openxmlformats.org/officeDocument/2006/relationships/image" Target="media/image2.png" /><Relationship Id="rId16" Type="http://schemas.openxmlformats.org/officeDocument/2006/relationships/image" Target="media/image3.png" /><Relationship Id="rId17" Type="http://schemas.openxmlformats.org/officeDocument/2006/relationships/image" Target="media/image4.png" /><Relationship Id="rId18" Type="http://schemas.openxmlformats.org/officeDocument/2006/relationships/footer" Target="footer1.xml" /><Relationship Id="rId19" Type="http://schemas.openxmlformats.org/officeDocument/2006/relationships/header" Target="header1.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cms.gov/CCIIO/Resources/Fact-Sheets-and-FAQs/rate_review_fact_sheet" TargetMode="External" /><Relationship Id="rId2" Type="http://schemas.openxmlformats.org/officeDocument/2006/relationships/hyperlink" Target="https://www.serff.com/serff_participation_map.htm" TargetMode="External" /><Relationship Id="rId3" Type="http://schemas.openxmlformats.org/officeDocument/2006/relationships/hyperlink" Target="https://www.cms.gov/files/document/extension-limited-non-enforcement-policy-through-calendar-year-2023-and-later-benefit-years.pdf" TargetMode="External" /><Relationship Id="rId4" Type="http://schemas.openxmlformats.org/officeDocument/2006/relationships/hyperlink" Target="https://www.cms.gov/CCIIO/Programs-and-%20Initiatives/Health-Insurance-Market-Reforms/state-rating.html" TargetMode="External" /><Relationship Id="rId5" Type="http://schemas.openxmlformats.org/officeDocument/2006/relationships/hyperlink" Target="https://www.cms.gov/CCIIO/Programs-and-Initiatives/Health-Insurance-Market-Reforms/state-rating.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D2E1DCA6E0D15B41B660C3EE325EB8C4" ma:contentTypeVersion="13" ma:contentTypeDescription="Create a new document." ma:contentTypeScope="" ma:versionID="8112529446ba825e5ce1fef653678f90">
  <xsd:schema xmlns:xsd="http://www.w3.org/2001/XMLSchema" xmlns:xs="http://www.w3.org/2001/XMLSchema" xmlns:p="http://schemas.microsoft.com/office/2006/metadata/properties" xmlns:ns1="http://schemas.microsoft.com/sharepoint/v3" xmlns:ns2="0a7ec611-ce07-4a86-9826-2005babf8684" xmlns:ns3="http://schemas.microsoft.com/sharepoint/v4" xmlns:ns4="af700cd2-e751-40ff-b925-504f6a7b9f87" targetNamespace="http://schemas.microsoft.com/office/2006/metadata/properties" ma:root="true" ma:fieldsID="a1a63122f2848c404c97723bab0403cd" ns1:_="" ns2:_="" ns3:_="" ns4:_="">
    <xsd:import namespace="http://schemas.microsoft.com/sharepoint/v3"/>
    <xsd:import namespace="0a7ec611-ce07-4a86-9826-2005babf8684"/>
    <xsd:import namespace="http://schemas.microsoft.com/sharepoint/v4"/>
    <xsd:import namespace="af700cd2-e751-40ff-b925-504f6a7b9f87"/>
    <xsd:element name="properties">
      <xsd:complexType>
        <xsd:sequence>
          <xsd:element name="documentManagement">
            <xsd:complexType>
              <xsd:all>
                <xsd:element ref="ns2:Topic" minOccurs="0"/>
                <xsd:element ref="ns2:Final_x0020_Version_x003f_" minOccurs="0"/>
                <xsd:element ref="ns1:EmailSender" minOccurs="0"/>
                <xsd:element ref="ns1:EmailTo" minOccurs="0"/>
                <xsd:element ref="ns1:EmailCc" minOccurs="0"/>
                <xsd:element ref="ns1:EmailFrom" minOccurs="0"/>
                <xsd:element ref="ns1:EmailSubject" minOccurs="0"/>
                <xsd:element ref="ns3:EmailHeaders" minOccurs="0"/>
                <xsd:element ref="ns2:Project_x0020_Name"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4" nillable="true" ma:displayName="E-Mail Sender" ma:hidden="true" ma:internalName="EmailSender">
      <xsd:simpleType>
        <xsd:restriction base="dms:Note">
          <xsd:maxLength value="255"/>
        </xsd:restriction>
      </xsd:simpleType>
    </xsd:element>
    <xsd:element name="EmailTo" ma:index="5" nillable="true" ma:displayName="E-Mail To" ma:hidden="true" ma:internalName="EmailTo">
      <xsd:simpleType>
        <xsd:restriction base="dms:Note">
          <xsd:maxLength value="255"/>
        </xsd:restriction>
      </xsd:simpleType>
    </xsd:element>
    <xsd:element name="EmailCc" ma:index="6" nillable="true" ma:displayName="E-Mail Cc" ma:hidden="true" ma:internalName="EmailCc">
      <xsd:simpleType>
        <xsd:restriction base="dms:Note">
          <xsd:maxLength value="255"/>
        </xsd:restriction>
      </xsd:simpleType>
    </xsd:element>
    <xsd:element name="EmailFrom" ma:index="7" nillable="true" ma:displayName="E-Mail From" ma:hidden="true" ma:internalName="EmailFrom">
      <xsd:simpleType>
        <xsd:restriction base="dms:Text"/>
      </xsd:simpleType>
    </xsd:element>
    <xsd:element name="EmailSubject" ma:index="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7ec611-ce07-4a86-9826-2005babf8684" elementFormDefault="qualified">
    <xsd:import namespace="http://schemas.microsoft.com/office/2006/documentManagement/types"/>
    <xsd:import namespace="http://schemas.microsoft.com/office/infopath/2007/PartnerControls"/>
    <xsd:element name="Topic" ma:index="2" nillable="true" ma:displayName="Topic" ma:default="General" ma:format="Dropdown" ma:indexed="true" ma:internalName="Topic">
      <xsd:simpleType>
        <xsd:restriction base="dms:Choice">
          <xsd:enumeration value="General"/>
          <xsd:enumeration value="Policy"/>
          <xsd:enumeration value="Grants"/>
          <xsd:enumeration value="Info Systems"/>
          <xsd:enumeration value="Data Analytics"/>
          <xsd:enumeration value="Communications"/>
          <xsd:enumeration value="Off-Site16"/>
        </xsd:restriction>
      </xsd:simpleType>
    </xsd:element>
    <xsd:element name="Final_x0020_Version_x003f_" ma:index="3" nillable="true" ma:displayName="Final Version?" ma:default="0" ma:internalName="Final_x0020_Version_x003f_">
      <xsd:simpleType>
        <xsd:restriction base="dms:Boolean"/>
      </xsd:simpleType>
    </xsd:element>
    <xsd:element name="Project_x0020_Name" ma:index="10" nillable="true" ma:displayName="Project Name" ma:description="What is the overall project" ma:internalName="Project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9" nillable="true" ma:displayName="E-Mail Headers" ma:hidden="true" ma:internalName="EmailHeader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700cd2-e751-40ff-b925-504f6a7b9f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Project_x0020_Name xmlns="0a7ec611-ce07-4a86-9826-2005babf8684" xsi:nil="true"/>
    <EmailSender xmlns="http://schemas.microsoft.com/sharepoint/v3" xsi:nil="true"/>
    <EmailFrom xmlns="http://schemas.microsoft.com/sharepoint/v3" xsi:nil="true"/>
    <EmailSubject xmlns="http://schemas.microsoft.com/sharepoint/v3" xsi:nil="true"/>
    <Final_x0020_Version_x003f_ xmlns="0a7ec611-ce07-4a86-9826-2005babf8684">false</Final_x0020_Version_x003f_>
    <Topic xmlns="0a7ec611-ce07-4a86-9826-2005babf8684">General</Topic>
    <EmailCc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000C7-B08C-40FC-8654-E6BFEC0302EB}">
  <ds:schemaRefs>
    <ds:schemaRef ds:uri="http://schemas.microsoft.com/sharepoint/v3/contenttype/forms"/>
  </ds:schemaRefs>
</ds:datastoreItem>
</file>

<file path=customXml/itemProps2.xml><?xml version="1.0" encoding="utf-8"?>
<ds:datastoreItem xmlns:ds="http://schemas.openxmlformats.org/officeDocument/2006/customXml" ds:itemID="{3BF91DDE-C17E-4FC8-B6A9-2D4FA5FC9053}">
  <ds:schemaRefs>
    <ds:schemaRef ds:uri="http://schemas.microsoft.com/sharepoint/events"/>
  </ds:schemaRefs>
</ds:datastoreItem>
</file>

<file path=customXml/itemProps3.xml><?xml version="1.0" encoding="utf-8"?>
<ds:datastoreItem xmlns:ds="http://schemas.openxmlformats.org/officeDocument/2006/customXml" ds:itemID="{98219660-C452-40C8-B0A8-96117F8DBF83}">
  <ds:schemaRefs>
    <ds:schemaRef ds:uri="Microsoft.SharePoint.Taxonomy.ContentTypeSync"/>
  </ds:schemaRefs>
</ds:datastoreItem>
</file>

<file path=customXml/itemProps4.xml><?xml version="1.0" encoding="utf-8"?>
<ds:datastoreItem xmlns:ds="http://schemas.openxmlformats.org/officeDocument/2006/customXml" ds:itemID="{3CFA3F50-2143-4B64-81A9-A0097A6B3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7ec611-ce07-4a86-9826-2005babf8684"/>
    <ds:schemaRef ds:uri="http://schemas.microsoft.com/sharepoint/v4"/>
    <ds:schemaRef ds:uri="af700cd2-e751-40ff-b925-504f6a7b9f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F725FE-B741-4D62-BC28-EA8D4D9B1980}">
  <ds:schemaRefs>
    <ds:schemaRef ds:uri="http://schemas.microsoft.com/office/2006/documentManagement/types"/>
    <ds:schemaRef ds:uri="http://schemas.microsoft.com/sharepoint/v4"/>
    <ds:schemaRef ds:uri="http://purl.org/dc/terms/"/>
    <ds:schemaRef ds:uri="http://schemas.microsoft.com/sharepoint/v3"/>
    <ds:schemaRef ds:uri="http://schemas.microsoft.com/office/2006/metadata/properties"/>
    <ds:schemaRef ds:uri="http://schemas.microsoft.com/office/infopath/2007/PartnerControls"/>
    <ds:schemaRef ds:uri="http://schemas.openxmlformats.org/package/2006/metadata/core-properties"/>
    <ds:schemaRef ds:uri="af700cd2-e751-40ff-b925-504f6a7b9f87"/>
    <ds:schemaRef ds:uri="0a7ec611-ce07-4a86-9826-2005babf8684"/>
    <ds:schemaRef ds:uri="http://www.w3.org/XML/1998/namespace"/>
    <ds:schemaRef ds:uri="http://purl.org/dc/dcmitype/"/>
    <ds:schemaRef ds:uri="http://purl.org/dc/elements/1.1/"/>
  </ds:schemaRefs>
</ds:datastoreItem>
</file>

<file path=customXml/itemProps6.xml><?xml version="1.0" encoding="utf-8"?>
<ds:datastoreItem xmlns:ds="http://schemas.openxmlformats.org/officeDocument/2006/customXml" ds:itemID="{19E974EE-32FD-486B-9612-C3F23ED7E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54</Pages>
  <Words>21061</Words>
  <Characters>120048</Characters>
  <Application>Microsoft Office Word</Application>
  <DocSecurity>0</DocSecurity>
  <Lines>1000</Lines>
  <Paragraphs>281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140828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Brent Plemons</dc:creator>
  <cp:lastModifiedBy>Tipps, Russell (CMS/CCIIO)</cp:lastModifiedBy>
  <cp:revision>4</cp:revision>
  <cp:lastPrinted>2024-08-08T14:12:00Z</cp:lastPrinted>
  <dcterms:created xsi:type="dcterms:W3CDTF">2024-08-08T14:10:00Z</dcterms:created>
  <dcterms:modified xsi:type="dcterms:W3CDTF">2024-08-08T14:34:00Z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0x010100D2E1DCA6E0D15B41B660C3EE325EB8C4</vt:lpwstr>
  </property>
  <property fmtid="{D5CDD505-2E9C-101B-9397-08002B2CF9AE}" pid="3" name="_dlc_DocId">
    <vt:lpwstr>QSXZK4DW25JC-1558821122-162</vt:lpwstr>
  </property>
  <property fmtid="{D5CDD505-2E9C-101B-9397-08002B2CF9AE}" pid="4" name="_dlc_DocIdItemGuid">
    <vt:lpwstr>0f9c2ab1-4015-4c8d-9417-040ab5f6505e</vt:lpwstr>
  </property>
  <property fmtid="{D5CDD505-2E9C-101B-9397-08002B2CF9AE}" pid="5" name="_dlc_DocIdUrl">
    <vt:lpwstr>https://share.cms.gov/center/cciio/Oversight/Rates/_layouts/15/DocIdRedir.aspx?ID=QSXZK4DW25JC-1558821122-162, QSXZK4DW25JC-1558821122-162</vt:lpwstr>
  </property>
  <property fmtid="{D5CDD505-2E9C-101B-9397-08002B2CF9AE}" pid="6" name="_NewReviewCycle">
    <vt:lpwstr/>
  </property>
</Properties>
</file>