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08B5" w:rsidP="00BD4B6A" w14:paraId="12D12DFC" w14:textId="673CF89F">
      <w:pPr>
        <w:spacing w:after="0" w:line="259" w:lineRule="auto"/>
        <w:ind w:left="7361" w:firstLine="0"/>
      </w:pPr>
      <w:r>
        <w:rPr>
          <w:b/>
          <w:sz w:val="32"/>
        </w:rPr>
        <w:t>March</w:t>
      </w:r>
      <w:r w:rsidR="00DA079C">
        <w:rPr>
          <w:b/>
          <w:sz w:val="32"/>
        </w:rPr>
        <w:t xml:space="preserve"> </w:t>
      </w:r>
      <w:r>
        <w:rPr>
          <w:b/>
          <w:sz w:val="32"/>
        </w:rPr>
        <w:t>2024</w:t>
      </w:r>
    </w:p>
    <w:p w:rsidR="00AE08B5" w14:paraId="7DDDDACF" w14:textId="77777777">
      <w:pPr>
        <w:spacing w:after="0" w:line="259" w:lineRule="auto"/>
        <w:ind w:left="881" w:firstLine="0"/>
      </w:pPr>
      <w:r>
        <w:rPr>
          <w:b/>
          <w:sz w:val="34"/>
        </w:rPr>
        <w:t xml:space="preserve"> </w:t>
      </w:r>
    </w:p>
    <w:p w:rsidR="00AE08B5" w14:paraId="4320353B" w14:textId="77777777">
      <w:pPr>
        <w:spacing w:after="0" w:line="259" w:lineRule="auto"/>
        <w:ind w:left="881" w:firstLine="0"/>
      </w:pPr>
      <w:r>
        <w:rPr>
          <w:b/>
          <w:sz w:val="34"/>
        </w:rPr>
        <w:t xml:space="preserve"> </w:t>
      </w:r>
    </w:p>
    <w:p w:rsidR="00AE08B5" w14:paraId="45A6DFFD" w14:textId="77777777">
      <w:pPr>
        <w:spacing w:after="0" w:line="259" w:lineRule="auto"/>
        <w:ind w:left="881" w:firstLine="0"/>
      </w:pPr>
      <w:r>
        <w:rPr>
          <w:b/>
          <w:sz w:val="34"/>
        </w:rPr>
        <w:t xml:space="preserve"> </w:t>
      </w:r>
    </w:p>
    <w:p w:rsidR="00AE08B5" w14:paraId="2DEBD8A9" w14:textId="77777777">
      <w:pPr>
        <w:spacing w:after="272" w:line="259" w:lineRule="auto"/>
        <w:ind w:left="881" w:firstLine="0"/>
      </w:pPr>
      <w:r>
        <w:rPr>
          <w:b/>
          <w:sz w:val="34"/>
        </w:rPr>
        <w:t xml:space="preserve"> </w:t>
      </w:r>
    </w:p>
    <w:p w:rsidR="00AE08B5" w:rsidP="00E342D2" w14:paraId="538CFDCF" w14:textId="4226D4B9">
      <w:pPr>
        <w:spacing w:after="29" w:line="259" w:lineRule="auto"/>
        <w:ind w:left="108" w:firstLine="0"/>
      </w:pPr>
      <w:r>
        <w:rPr>
          <w:b/>
          <w:sz w:val="40"/>
        </w:rPr>
        <w:t xml:space="preserve">National Implementation of the Hospital Consumer Assessment of Healthcare Providers and Systems (HCAHPS) Survey </w:t>
      </w:r>
    </w:p>
    <w:p w:rsidR="00AE08B5" w14:paraId="62F1E2B6" w14:textId="77777777">
      <w:pPr>
        <w:spacing w:after="208" w:line="259" w:lineRule="auto"/>
        <w:ind w:left="881" w:firstLine="0"/>
      </w:pPr>
      <w:r>
        <w:rPr>
          <w:b/>
          <w:sz w:val="44"/>
        </w:rPr>
        <w:t xml:space="preserve"> </w:t>
      </w:r>
    </w:p>
    <w:p w:rsidR="00AE08B5" w:rsidP="00E342D2" w14:paraId="74934B43" w14:textId="77777777">
      <w:pPr>
        <w:spacing w:after="0" w:line="259" w:lineRule="auto"/>
        <w:ind w:left="10" w:right="475" w:firstLine="98"/>
      </w:pPr>
      <w:r>
        <w:rPr>
          <w:b/>
          <w:sz w:val="32"/>
        </w:rPr>
        <w:t>(CMS 10102, OMB</w:t>
      </w:r>
      <w:r>
        <w:rPr>
          <w:b/>
          <w:sz w:val="34"/>
        </w:rPr>
        <w:t xml:space="preserve"> 0938-0981) </w:t>
      </w:r>
    </w:p>
    <w:p w:rsidR="00AE08B5" w14:paraId="51BB3FCD" w14:textId="77777777">
      <w:pPr>
        <w:spacing w:after="0" w:line="259" w:lineRule="auto"/>
        <w:ind w:left="881" w:firstLine="0"/>
      </w:pPr>
      <w:r>
        <w:rPr>
          <w:b/>
          <w:sz w:val="34"/>
        </w:rPr>
        <w:t xml:space="preserve"> </w:t>
      </w:r>
    </w:p>
    <w:p w:rsidR="00AE08B5" w14:paraId="178B7C0F" w14:textId="77777777">
      <w:pPr>
        <w:spacing w:after="243" w:line="259" w:lineRule="auto"/>
        <w:ind w:left="881" w:firstLine="0"/>
      </w:pPr>
      <w:r>
        <w:rPr>
          <w:b/>
          <w:sz w:val="34"/>
        </w:rPr>
        <w:t xml:space="preserve"> </w:t>
      </w:r>
    </w:p>
    <w:p w:rsidR="00AE08B5" w:rsidP="00E342D2" w14:paraId="5D230418" w14:textId="399BB8D6">
      <w:pPr>
        <w:spacing w:after="0" w:line="259" w:lineRule="auto"/>
        <w:ind w:left="10" w:right="476"/>
      </w:pPr>
      <w:r>
        <w:rPr>
          <w:b/>
          <w:sz w:val="40"/>
        </w:rPr>
        <w:t xml:space="preserve">OMB Supporting Statement </w:t>
      </w:r>
      <w:r w:rsidR="00667B02">
        <w:rPr>
          <w:b/>
          <w:sz w:val="40"/>
        </w:rPr>
        <w:t>–</w:t>
      </w:r>
      <w:r>
        <w:rPr>
          <w:b/>
          <w:sz w:val="40"/>
        </w:rPr>
        <w:t xml:space="preserve"> Part B </w:t>
      </w:r>
    </w:p>
    <w:p w:rsidR="00AE08B5" w14:paraId="2360F2D9" w14:textId="77777777">
      <w:pPr>
        <w:spacing w:after="0" w:line="259" w:lineRule="auto"/>
        <w:ind w:left="881" w:firstLine="0"/>
      </w:pPr>
      <w:r>
        <w:rPr>
          <w:b/>
          <w:sz w:val="44"/>
        </w:rPr>
        <w:t xml:space="preserve"> </w:t>
      </w:r>
    </w:p>
    <w:p w:rsidR="00AE08B5" w14:paraId="59513869" w14:textId="77777777">
      <w:pPr>
        <w:spacing w:after="0" w:line="259" w:lineRule="auto"/>
        <w:ind w:left="881" w:firstLine="0"/>
      </w:pPr>
      <w:r>
        <w:rPr>
          <w:b/>
          <w:sz w:val="44"/>
        </w:rPr>
        <w:t xml:space="preserve"> </w:t>
      </w:r>
    </w:p>
    <w:p w:rsidR="00AE08B5" w14:paraId="1BEDFC39" w14:textId="77777777">
      <w:pPr>
        <w:spacing w:after="0" w:line="259" w:lineRule="auto"/>
        <w:ind w:left="881" w:firstLine="0"/>
      </w:pPr>
      <w:r>
        <w:rPr>
          <w:b/>
          <w:sz w:val="44"/>
        </w:rPr>
        <w:t xml:space="preserve"> </w:t>
      </w:r>
    </w:p>
    <w:p w:rsidR="00AE08B5" w14:paraId="13F1D5A6" w14:textId="77777777">
      <w:pPr>
        <w:spacing w:after="0" w:line="259" w:lineRule="auto"/>
        <w:ind w:left="881" w:firstLine="0"/>
      </w:pPr>
      <w:r>
        <w:rPr>
          <w:b/>
          <w:sz w:val="44"/>
        </w:rPr>
        <w:t xml:space="preserve"> </w:t>
      </w:r>
    </w:p>
    <w:p w:rsidR="00AE08B5" w14:paraId="3F9E0AF6" w14:textId="77777777">
      <w:pPr>
        <w:spacing w:after="24" w:line="259" w:lineRule="auto"/>
        <w:ind w:left="881" w:firstLine="0"/>
      </w:pPr>
      <w:r>
        <w:rPr>
          <w:b/>
          <w:sz w:val="44"/>
        </w:rPr>
        <w:t xml:space="preserve"> </w:t>
      </w:r>
    </w:p>
    <w:p w:rsidR="00AE08B5" w14:paraId="2D17480D" w14:textId="77777777">
      <w:pPr>
        <w:spacing w:after="0" w:line="259" w:lineRule="auto"/>
        <w:ind w:left="881" w:firstLine="0"/>
      </w:pPr>
      <w:r>
        <w:rPr>
          <w:b/>
          <w:sz w:val="50"/>
        </w:rPr>
        <w:t xml:space="preserve"> </w:t>
      </w:r>
    </w:p>
    <w:p w:rsidR="00AE08B5" w:rsidP="00E342D2" w14:paraId="7133D58A" w14:textId="38E3D7D0">
      <w:pPr>
        <w:spacing w:after="47" w:line="259" w:lineRule="auto"/>
        <w:ind w:left="10" w:right="478" w:firstLine="0"/>
        <w:jc w:val="right"/>
      </w:pPr>
      <w:r>
        <w:rPr>
          <w:sz w:val="28"/>
        </w:rPr>
        <w:t xml:space="preserve">Prepared by </w:t>
      </w:r>
      <w:r w:rsidR="00E342D2">
        <w:rPr>
          <w:sz w:val="28"/>
        </w:rPr>
        <w:t xml:space="preserve">       </w:t>
      </w:r>
    </w:p>
    <w:p w:rsidR="00AE08B5" w14:paraId="6C93FF86" w14:textId="77777777">
      <w:pPr>
        <w:spacing w:after="0" w:line="259" w:lineRule="auto"/>
        <w:ind w:left="881" w:firstLine="0"/>
      </w:pPr>
      <w:r>
        <w:rPr>
          <w:sz w:val="36"/>
        </w:rPr>
        <w:t xml:space="preserve"> </w:t>
      </w:r>
    </w:p>
    <w:p w:rsidR="00AE08B5" w14:paraId="04BEA335" w14:textId="77777777">
      <w:pPr>
        <w:spacing w:after="19" w:line="259" w:lineRule="auto"/>
        <w:ind w:left="10" w:right="478"/>
        <w:jc w:val="right"/>
      </w:pPr>
      <w:r>
        <w:rPr>
          <w:sz w:val="28"/>
        </w:rPr>
        <w:t xml:space="preserve">Division of Consumer Assessment &amp; Plan Performance </w:t>
      </w:r>
    </w:p>
    <w:p w:rsidR="004415B9" w14:paraId="2B38BB0B" w14:textId="77777777">
      <w:pPr>
        <w:spacing w:after="19" w:line="259" w:lineRule="auto"/>
        <w:ind w:left="10" w:right="478"/>
        <w:jc w:val="right"/>
        <w:rPr>
          <w:sz w:val="28"/>
        </w:rPr>
      </w:pPr>
    </w:p>
    <w:p w:rsidR="00AE08B5" w14:paraId="2087CE8B" w14:textId="157B0342">
      <w:pPr>
        <w:spacing w:after="19" w:line="259" w:lineRule="auto"/>
        <w:ind w:left="10" w:right="478"/>
        <w:jc w:val="right"/>
      </w:pPr>
      <w:r>
        <w:rPr>
          <w:sz w:val="28"/>
        </w:rPr>
        <w:t xml:space="preserve">Centers for Medicare &amp; Medicaid Services </w:t>
      </w:r>
    </w:p>
    <w:p w:rsidR="00E342D2" w:rsidP="00E342D2" w14:paraId="4FACCFE0" w14:textId="77777777">
      <w:pPr>
        <w:spacing w:after="191" w:line="259" w:lineRule="auto"/>
        <w:ind w:left="10" w:right="478"/>
        <w:jc w:val="right"/>
      </w:pPr>
      <w:r>
        <w:rPr>
          <w:sz w:val="28"/>
        </w:rPr>
        <w:t xml:space="preserve">7500 Security Boulevard </w:t>
      </w:r>
    </w:p>
    <w:p w:rsidR="00E47B9E" w:rsidP="004415B9" w14:paraId="279D0648" w14:textId="49FC6BAC">
      <w:pPr>
        <w:spacing w:after="191" w:line="259" w:lineRule="auto"/>
        <w:ind w:left="10" w:right="478"/>
        <w:jc w:val="right"/>
      </w:pPr>
      <w:r>
        <w:rPr>
          <w:sz w:val="28"/>
        </w:rPr>
        <w:t xml:space="preserve">Baltimore, MD 21244 </w:t>
      </w:r>
    </w:p>
    <w:p w:rsidR="005860C1" w14:paraId="05E3BC61" w14:textId="77777777">
      <w:pPr>
        <w:spacing w:after="160" w:line="259" w:lineRule="auto"/>
        <w:ind w:left="0" w:firstLine="0"/>
        <w:rPr>
          <w:b/>
          <w:sz w:val="28"/>
        </w:rPr>
      </w:pPr>
      <w:r>
        <w:br w:type="page"/>
      </w:r>
    </w:p>
    <w:sdt>
      <w:sdtPr>
        <w:rPr>
          <w:rFonts w:ascii="Times New Roman" w:eastAsia="Times New Roman" w:hAnsi="Times New Roman" w:cs="Times New Roman"/>
          <w:color w:val="000000"/>
          <w:sz w:val="24"/>
          <w:szCs w:val="22"/>
        </w:rPr>
        <w:id w:val="-1925943889"/>
        <w:docPartObj>
          <w:docPartGallery w:val="Table of Contents"/>
          <w:docPartUnique/>
        </w:docPartObj>
      </w:sdtPr>
      <w:sdtEndPr>
        <w:rPr>
          <w:b/>
          <w:bCs/>
          <w:noProof/>
        </w:rPr>
      </w:sdtEndPr>
      <w:sdtContent>
        <w:p w:rsidR="00A0735A" w:rsidRPr="00C453BB" w:rsidP="00C453BB" w14:paraId="1C30B906" w14:textId="33ADC9AF">
          <w:pPr>
            <w:pStyle w:val="TOCHeading"/>
            <w:jc w:val="center"/>
            <w:rPr>
              <w:rFonts w:ascii="Times New Roman" w:eastAsia="Times New Roman" w:hAnsi="Times New Roman" w:cs="Times New Roman"/>
              <w:b/>
              <w:color w:val="000000"/>
              <w:sz w:val="28"/>
              <w:szCs w:val="22"/>
            </w:rPr>
          </w:pPr>
          <w:r w:rsidRPr="00C453BB">
            <w:rPr>
              <w:rFonts w:ascii="Times New Roman" w:eastAsia="Times New Roman" w:hAnsi="Times New Roman" w:cs="Times New Roman"/>
              <w:b/>
              <w:color w:val="000000"/>
              <w:sz w:val="28"/>
              <w:szCs w:val="22"/>
            </w:rPr>
            <w:t>T</w:t>
          </w:r>
          <w:r w:rsidR="00AC0235">
            <w:rPr>
              <w:rFonts w:ascii="Times New Roman" w:eastAsia="Times New Roman" w:hAnsi="Times New Roman" w:cs="Times New Roman"/>
              <w:b/>
              <w:color w:val="000000"/>
              <w:sz w:val="28"/>
              <w:szCs w:val="22"/>
            </w:rPr>
            <w:t>ABLE OF CONTENTS</w:t>
          </w:r>
        </w:p>
        <w:p w:rsidR="00DC3F53" w:rsidP="002D4BC1" w14:paraId="485245AE" w14:textId="20F71C4A">
          <w:pPr>
            <w:pStyle w:val="TOC1"/>
            <w:rPr>
              <w:rFonts w:asciiTheme="minorHAnsi" w:eastAsiaTheme="minorEastAsia" w:hAnsiTheme="minorHAnsi" w:cstheme="minorBidi"/>
              <w:noProof/>
              <w:color w:val="auto"/>
              <w:kern w:val="2"/>
              <w:sz w:val="22"/>
              <w14:ligatures w14:val="standardContextual"/>
            </w:rPr>
          </w:pPr>
          <w:r>
            <w:fldChar w:fldCharType="begin"/>
          </w:r>
          <w:r>
            <w:instrText xml:space="preserve"> TOC \o "1-3" \h \z \u </w:instrText>
          </w:r>
          <w:r>
            <w:fldChar w:fldCharType="separate"/>
          </w:r>
          <w:hyperlink w:anchor="_Toc142558112" w:history="1">
            <w:r w:rsidRPr="001340AA">
              <w:rPr>
                <w:rStyle w:val="Hyperlink"/>
                <w:noProof/>
              </w:rPr>
              <w:t>Introduction</w:t>
            </w:r>
            <w:r>
              <w:rPr>
                <w:noProof/>
                <w:webHidden/>
              </w:rPr>
              <w:tab/>
            </w:r>
            <w:r>
              <w:rPr>
                <w:noProof/>
                <w:webHidden/>
              </w:rPr>
              <w:fldChar w:fldCharType="begin"/>
            </w:r>
            <w:r>
              <w:rPr>
                <w:noProof/>
                <w:webHidden/>
              </w:rPr>
              <w:instrText xml:space="preserve"> PAGEREF _Toc142558112 \h </w:instrText>
            </w:r>
            <w:r>
              <w:rPr>
                <w:noProof/>
                <w:webHidden/>
              </w:rPr>
              <w:fldChar w:fldCharType="separate"/>
            </w:r>
            <w:r w:rsidR="005E53C2">
              <w:rPr>
                <w:noProof/>
                <w:webHidden/>
              </w:rPr>
              <w:t>3</w:t>
            </w:r>
            <w:r>
              <w:rPr>
                <w:noProof/>
                <w:webHidden/>
              </w:rPr>
              <w:fldChar w:fldCharType="end"/>
            </w:r>
          </w:hyperlink>
        </w:p>
        <w:p w:rsidR="00DC3F53" w14:paraId="1747F1C4" w14:textId="67C063D9">
          <w:pPr>
            <w:pStyle w:val="TOC2"/>
            <w:rPr>
              <w:rFonts w:asciiTheme="minorHAnsi" w:eastAsiaTheme="minorEastAsia" w:hAnsiTheme="minorHAnsi" w:cstheme="minorBidi"/>
              <w:noProof/>
              <w:color w:val="auto"/>
              <w:kern w:val="2"/>
              <w:sz w:val="22"/>
              <w14:ligatures w14:val="standardContextual"/>
            </w:rPr>
          </w:pPr>
          <w:hyperlink w:anchor="_Toc142558113" w:history="1">
            <w:r w:rsidRPr="001340AA">
              <w:rPr>
                <w:rStyle w:val="Hyperlink"/>
                <w:noProof/>
              </w:rPr>
              <w:t>1.</w:t>
            </w:r>
            <w:r>
              <w:rPr>
                <w:rFonts w:asciiTheme="minorHAnsi" w:eastAsiaTheme="minorEastAsia" w:hAnsiTheme="minorHAnsi" w:cstheme="minorBidi"/>
                <w:noProof/>
                <w:color w:val="auto"/>
                <w:kern w:val="2"/>
                <w:sz w:val="22"/>
                <w14:ligatures w14:val="standardContextual"/>
              </w:rPr>
              <w:tab/>
            </w:r>
            <w:r w:rsidRPr="001340AA">
              <w:rPr>
                <w:rStyle w:val="Hyperlink"/>
                <w:noProof/>
              </w:rPr>
              <w:t>Respondent Universe and Sampling</w:t>
            </w:r>
            <w:r>
              <w:rPr>
                <w:noProof/>
                <w:webHidden/>
              </w:rPr>
              <w:tab/>
            </w:r>
            <w:r>
              <w:rPr>
                <w:noProof/>
                <w:webHidden/>
              </w:rPr>
              <w:fldChar w:fldCharType="begin"/>
            </w:r>
            <w:r>
              <w:rPr>
                <w:noProof/>
                <w:webHidden/>
              </w:rPr>
              <w:instrText xml:space="preserve"> PAGEREF _Toc142558113 \h </w:instrText>
            </w:r>
            <w:r>
              <w:rPr>
                <w:noProof/>
                <w:webHidden/>
              </w:rPr>
              <w:fldChar w:fldCharType="separate"/>
            </w:r>
            <w:r w:rsidR="005E53C2">
              <w:rPr>
                <w:noProof/>
                <w:webHidden/>
              </w:rPr>
              <w:t>4</w:t>
            </w:r>
            <w:r>
              <w:rPr>
                <w:noProof/>
                <w:webHidden/>
              </w:rPr>
              <w:fldChar w:fldCharType="end"/>
            </w:r>
          </w:hyperlink>
        </w:p>
        <w:p w:rsidR="00DC3F53" w14:paraId="3E129F9B" w14:textId="176EE2F9">
          <w:pPr>
            <w:pStyle w:val="TOC2"/>
            <w:rPr>
              <w:rFonts w:asciiTheme="minorHAnsi" w:eastAsiaTheme="minorEastAsia" w:hAnsiTheme="minorHAnsi" w:cstheme="minorBidi"/>
              <w:noProof/>
              <w:color w:val="auto"/>
              <w:kern w:val="2"/>
              <w:sz w:val="22"/>
              <w14:ligatures w14:val="standardContextual"/>
            </w:rPr>
          </w:pPr>
          <w:hyperlink w:anchor="_Toc142558114" w:history="1">
            <w:r w:rsidRPr="001340AA">
              <w:rPr>
                <w:rStyle w:val="Hyperlink"/>
                <w:noProof/>
              </w:rPr>
              <w:t>2.</w:t>
            </w:r>
            <w:r>
              <w:rPr>
                <w:rFonts w:asciiTheme="minorHAnsi" w:eastAsiaTheme="minorEastAsia" w:hAnsiTheme="minorHAnsi" w:cstheme="minorBidi"/>
                <w:noProof/>
                <w:color w:val="auto"/>
                <w:kern w:val="2"/>
                <w:sz w:val="22"/>
                <w14:ligatures w14:val="standardContextual"/>
              </w:rPr>
              <w:tab/>
            </w:r>
            <w:r w:rsidRPr="001340AA">
              <w:rPr>
                <w:rStyle w:val="Hyperlink"/>
                <w:noProof/>
              </w:rPr>
              <w:t>Data Collection Procedures</w:t>
            </w:r>
            <w:r>
              <w:rPr>
                <w:noProof/>
                <w:webHidden/>
              </w:rPr>
              <w:tab/>
            </w:r>
            <w:r>
              <w:rPr>
                <w:noProof/>
                <w:webHidden/>
              </w:rPr>
              <w:fldChar w:fldCharType="begin"/>
            </w:r>
            <w:r>
              <w:rPr>
                <w:noProof/>
                <w:webHidden/>
              </w:rPr>
              <w:instrText xml:space="preserve"> PAGEREF _Toc142558114 \h </w:instrText>
            </w:r>
            <w:r>
              <w:rPr>
                <w:noProof/>
                <w:webHidden/>
              </w:rPr>
              <w:fldChar w:fldCharType="separate"/>
            </w:r>
            <w:r w:rsidR="005E53C2">
              <w:rPr>
                <w:noProof/>
                <w:webHidden/>
              </w:rPr>
              <w:t>6</w:t>
            </w:r>
            <w:r>
              <w:rPr>
                <w:noProof/>
                <w:webHidden/>
              </w:rPr>
              <w:fldChar w:fldCharType="end"/>
            </w:r>
          </w:hyperlink>
        </w:p>
        <w:p w:rsidR="00DC3F53" w:rsidP="00A207B4" w14:paraId="6B81C803" w14:textId="49978CEB">
          <w:pPr>
            <w:pStyle w:val="TOC3"/>
            <w:rPr>
              <w:rFonts w:asciiTheme="minorHAnsi" w:eastAsiaTheme="minorEastAsia" w:hAnsiTheme="minorHAnsi" w:cstheme="minorBidi"/>
              <w:noProof/>
              <w:color w:val="auto"/>
              <w:kern w:val="2"/>
              <w:sz w:val="22"/>
              <w14:ligatures w14:val="standardContextual"/>
            </w:rPr>
          </w:pPr>
          <w:hyperlink w:anchor="_Toc142558115" w:history="1">
            <w:r w:rsidRPr="001340AA">
              <w:rPr>
                <w:rStyle w:val="Hyperlink"/>
                <w:noProof/>
              </w:rPr>
              <w:t>a.</w:t>
            </w:r>
            <w:r>
              <w:rPr>
                <w:rFonts w:asciiTheme="minorHAnsi" w:eastAsiaTheme="minorEastAsia" w:hAnsiTheme="minorHAnsi" w:cstheme="minorBidi"/>
                <w:noProof/>
                <w:color w:val="auto"/>
                <w:kern w:val="2"/>
                <w:sz w:val="22"/>
                <w14:ligatures w14:val="standardContextual"/>
              </w:rPr>
              <w:tab/>
            </w:r>
            <w:r w:rsidRPr="001340AA">
              <w:rPr>
                <w:rStyle w:val="Hyperlink"/>
                <w:noProof/>
              </w:rPr>
              <w:t>Statistical Methodology for Stratification and Sample Selection</w:t>
            </w:r>
            <w:r>
              <w:rPr>
                <w:noProof/>
                <w:webHidden/>
              </w:rPr>
              <w:tab/>
            </w:r>
            <w:r>
              <w:rPr>
                <w:noProof/>
                <w:webHidden/>
              </w:rPr>
              <w:fldChar w:fldCharType="begin"/>
            </w:r>
            <w:r>
              <w:rPr>
                <w:noProof/>
                <w:webHidden/>
              </w:rPr>
              <w:instrText xml:space="preserve"> PAGEREF _Toc142558115 \h </w:instrText>
            </w:r>
            <w:r>
              <w:rPr>
                <w:noProof/>
                <w:webHidden/>
              </w:rPr>
              <w:fldChar w:fldCharType="separate"/>
            </w:r>
            <w:r w:rsidR="005E53C2">
              <w:rPr>
                <w:noProof/>
                <w:webHidden/>
              </w:rPr>
              <w:t>6</w:t>
            </w:r>
            <w:r>
              <w:rPr>
                <w:noProof/>
                <w:webHidden/>
              </w:rPr>
              <w:fldChar w:fldCharType="end"/>
            </w:r>
          </w:hyperlink>
        </w:p>
        <w:p w:rsidR="00DC3F53" w:rsidP="00A207B4" w14:paraId="6CE2F899" w14:textId="3D64170A">
          <w:pPr>
            <w:pStyle w:val="TOC3"/>
            <w:rPr>
              <w:rFonts w:asciiTheme="minorHAnsi" w:eastAsiaTheme="minorEastAsia" w:hAnsiTheme="minorHAnsi" w:cstheme="minorBidi"/>
              <w:noProof/>
              <w:color w:val="auto"/>
              <w:kern w:val="2"/>
              <w:sz w:val="22"/>
              <w14:ligatures w14:val="standardContextual"/>
            </w:rPr>
          </w:pPr>
          <w:hyperlink w:anchor="_Toc142558116" w:history="1">
            <w:r w:rsidRPr="001340AA">
              <w:rPr>
                <w:rStyle w:val="Hyperlink"/>
                <w:noProof/>
              </w:rPr>
              <w:t>b.</w:t>
            </w:r>
            <w:r>
              <w:rPr>
                <w:rFonts w:asciiTheme="minorHAnsi" w:eastAsiaTheme="minorEastAsia" w:hAnsiTheme="minorHAnsi" w:cstheme="minorBidi"/>
                <w:noProof/>
                <w:color w:val="auto"/>
                <w:kern w:val="2"/>
                <w:sz w:val="22"/>
                <w14:ligatures w14:val="standardContextual"/>
              </w:rPr>
              <w:tab/>
            </w:r>
            <w:r w:rsidRPr="001340AA">
              <w:rPr>
                <w:rStyle w:val="Hyperlink"/>
                <w:noProof/>
              </w:rPr>
              <w:t>Estimation Procedures.</w:t>
            </w:r>
            <w:r>
              <w:rPr>
                <w:noProof/>
                <w:webHidden/>
              </w:rPr>
              <w:tab/>
            </w:r>
            <w:r>
              <w:rPr>
                <w:noProof/>
                <w:webHidden/>
              </w:rPr>
              <w:fldChar w:fldCharType="begin"/>
            </w:r>
            <w:r>
              <w:rPr>
                <w:noProof/>
                <w:webHidden/>
              </w:rPr>
              <w:instrText xml:space="preserve"> PAGEREF _Toc142558116 \h </w:instrText>
            </w:r>
            <w:r>
              <w:rPr>
                <w:noProof/>
                <w:webHidden/>
              </w:rPr>
              <w:fldChar w:fldCharType="separate"/>
            </w:r>
            <w:r w:rsidR="005E53C2">
              <w:rPr>
                <w:noProof/>
                <w:webHidden/>
              </w:rPr>
              <w:t>7</w:t>
            </w:r>
            <w:r>
              <w:rPr>
                <w:noProof/>
                <w:webHidden/>
              </w:rPr>
              <w:fldChar w:fldCharType="end"/>
            </w:r>
          </w:hyperlink>
        </w:p>
        <w:p w:rsidR="00DC3F53" w:rsidP="00A207B4" w14:paraId="5A67F9CB" w14:textId="500E4F4B">
          <w:pPr>
            <w:pStyle w:val="TOC3"/>
            <w:rPr>
              <w:rFonts w:asciiTheme="minorHAnsi" w:eastAsiaTheme="minorEastAsia" w:hAnsiTheme="minorHAnsi" w:cstheme="minorBidi"/>
              <w:noProof/>
              <w:color w:val="auto"/>
              <w:kern w:val="2"/>
              <w:sz w:val="22"/>
              <w14:ligatures w14:val="standardContextual"/>
            </w:rPr>
          </w:pPr>
          <w:hyperlink w:anchor="_Toc142558117" w:history="1">
            <w:r w:rsidRPr="001340AA">
              <w:rPr>
                <w:rStyle w:val="Hyperlink"/>
                <w:noProof/>
              </w:rPr>
              <w:t>c.</w:t>
            </w:r>
            <w:r>
              <w:rPr>
                <w:rFonts w:asciiTheme="minorHAnsi" w:eastAsiaTheme="minorEastAsia" w:hAnsiTheme="minorHAnsi" w:cstheme="minorBidi"/>
                <w:noProof/>
                <w:color w:val="auto"/>
                <w:kern w:val="2"/>
                <w:sz w:val="22"/>
                <w14:ligatures w14:val="standardContextual"/>
              </w:rPr>
              <w:tab/>
            </w:r>
            <w:r w:rsidRPr="001340AA">
              <w:rPr>
                <w:rStyle w:val="Hyperlink"/>
                <w:noProof/>
              </w:rPr>
              <w:t>Degree of Accuracy Needed for the Purpose Described in the Justification.</w:t>
            </w:r>
            <w:r>
              <w:rPr>
                <w:noProof/>
                <w:webHidden/>
              </w:rPr>
              <w:tab/>
            </w:r>
            <w:r>
              <w:rPr>
                <w:noProof/>
                <w:webHidden/>
              </w:rPr>
              <w:fldChar w:fldCharType="begin"/>
            </w:r>
            <w:r>
              <w:rPr>
                <w:noProof/>
                <w:webHidden/>
              </w:rPr>
              <w:instrText xml:space="preserve"> PAGEREF _Toc142558117 \h </w:instrText>
            </w:r>
            <w:r>
              <w:rPr>
                <w:noProof/>
                <w:webHidden/>
              </w:rPr>
              <w:fldChar w:fldCharType="separate"/>
            </w:r>
            <w:r w:rsidR="005E53C2">
              <w:rPr>
                <w:noProof/>
                <w:webHidden/>
              </w:rPr>
              <w:t>7</w:t>
            </w:r>
            <w:r>
              <w:rPr>
                <w:noProof/>
                <w:webHidden/>
              </w:rPr>
              <w:fldChar w:fldCharType="end"/>
            </w:r>
          </w:hyperlink>
        </w:p>
        <w:p w:rsidR="00DC3F53" w:rsidP="00A207B4" w14:paraId="61E6D675" w14:textId="6680F4DB">
          <w:pPr>
            <w:pStyle w:val="TOC3"/>
            <w:rPr>
              <w:rFonts w:asciiTheme="minorHAnsi" w:eastAsiaTheme="minorEastAsia" w:hAnsiTheme="minorHAnsi" w:cstheme="minorBidi"/>
              <w:noProof/>
              <w:color w:val="auto"/>
              <w:kern w:val="2"/>
              <w:sz w:val="22"/>
              <w14:ligatures w14:val="standardContextual"/>
            </w:rPr>
          </w:pPr>
          <w:hyperlink w:anchor="_Toc142558118" w:history="1">
            <w:r w:rsidRPr="001340AA">
              <w:rPr>
                <w:rStyle w:val="Hyperlink"/>
                <w:noProof/>
              </w:rPr>
              <w:t>d.</w:t>
            </w:r>
            <w:r>
              <w:rPr>
                <w:rFonts w:asciiTheme="minorHAnsi" w:eastAsiaTheme="minorEastAsia" w:hAnsiTheme="minorHAnsi" w:cstheme="minorBidi"/>
                <w:noProof/>
                <w:color w:val="auto"/>
                <w:kern w:val="2"/>
                <w:sz w:val="22"/>
                <w14:ligatures w14:val="standardContextual"/>
              </w:rPr>
              <w:tab/>
            </w:r>
            <w:r w:rsidRPr="001340AA">
              <w:rPr>
                <w:rStyle w:val="Hyperlink"/>
                <w:noProof/>
              </w:rPr>
              <w:t>Unusual Problems Requiring Specialized Sampling Procedures.</w:t>
            </w:r>
            <w:r>
              <w:rPr>
                <w:noProof/>
                <w:webHidden/>
              </w:rPr>
              <w:tab/>
            </w:r>
            <w:r>
              <w:rPr>
                <w:noProof/>
                <w:webHidden/>
              </w:rPr>
              <w:fldChar w:fldCharType="begin"/>
            </w:r>
            <w:r>
              <w:rPr>
                <w:noProof/>
                <w:webHidden/>
              </w:rPr>
              <w:instrText xml:space="preserve"> PAGEREF _Toc142558118 \h </w:instrText>
            </w:r>
            <w:r>
              <w:rPr>
                <w:noProof/>
                <w:webHidden/>
              </w:rPr>
              <w:fldChar w:fldCharType="separate"/>
            </w:r>
            <w:r w:rsidR="005E53C2">
              <w:rPr>
                <w:noProof/>
                <w:webHidden/>
              </w:rPr>
              <w:t>8</w:t>
            </w:r>
            <w:r>
              <w:rPr>
                <w:noProof/>
                <w:webHidden/>
              </w:rPr>
              <w:fldChar w:fldCharType="end"/>
            </w:r>
          </w:hyperlink>
        </w:p>
        <w:p w:rsidR="00DC3F53" w14:paraId="6FBE2E0D" w14:textId="7FF41124">
          <w:pPr>
            <w:pStyle w:val="TOC2"/>
            <w:rPr>
              <w:rFonts w:asciiTheme="minorHAnsi" w:eastAsiaTheme="minorEastAsia" w:hAnsiTheme="minorHAnsi" w:cstheme="minorBidi"/>
              <w:noProof/>
              <w:color w:val="auto"/>
              <w:kern w:val="2"/>
              <w:sz w:val="22"/>
              <w14:ligatures w14:val="standardContextual"/>
            </w:rPr>
          </w:pPr>
          <w:hyperlink w:anchor="_Toc142558119" w:history="1">
            <w:r w:rsidRPr="001340AA">
              <w:rPr>
                <w:rStyle w:val="Hyperlink"/>
                <w:noProof/>
              </w:rPr>
              <w:t>3.</w:t>
            </w:r>
            <w:r>
              <w:rPr>
                <w:rFonts w:asciiTheme="minorHAnsi" w:eastAsiaTheme="minorEastAsia" w:hAnsiTheme="minorHAnsi" w:cstheme="minorBidi"/>
                <w:noProof/>
                <w:color w:val="auto"/>
                <w:kern w:val="2"/>
                <w:sz w:val="22"/>
                <w14:ligatures w14:val="standardContextual"/>
              </w:rPr>
              <w:tab/>
            </w:r>
            <w:r w:rsidRPr="001340AA">
              <w:rPr>
                <w:rStyle w:val="Hyperlink"/>
                <w:noProof/>
              </w:rPr>
              <w:t>Maximizing Response Rates/Non-response and Issues of Accuracy, Reliability, and Validity</w:t>
            </w:r>
            <w:r>
              <w:rPr>
                <w:noProof/>
                <w:webHidden/>
              </w:rPr>
              <w:tab/>
            </w:r>
            <w:r>
              <w:rPr>
                <w:noProof/>
                <w:webHidden/>
              </w:rPr>
              <w:fldChar w:fldCharType="begin"/>
            </w:r>
            <w:r>
              <w:rPr>
                <w:noProof/>
                <w:webHidden/>
              </w:rPr>
              <w:instrText xml:space="preserve"> PAGEREF _Toc142558119 \h </w:instrText>
            </w:r>
            <w:r>
              <w:rPr>
                <w:noProof/>
                <w:webHidden/>
              </w:rPr>
              <w:fldChar w:fldCharType="separate"/>
            </w:r>
            <w:r w:rsidR="005E53C2">
              <w:rPr>
                <w:noProof/>
                <w:webHidden/>
              </w:rPr>
              <w:t>8</w:t>
            </w:r>
            <w:r>
              <w:rPr>
                <w:noProof/>
                <w:webHidden/>
              </w:rPr>
              <w:fldChar w:fldCharType="end"/>
            </w:r>
          </w:hyperlink>
        </w:p>
        <w:p w:rsidR="00DC3F53" w14:paraId="6DF9A9F9" w14:textId="0362955A">
          <w:pPr>
            <w:pStyle w:val="TOC2"/>
            <w:rPr>
              <w:rFonts w:asciiTheme="minorHAnsi" w:eastAsiaTheme="minorEastAsia" w:hAnsiTheme="minorHAnsi" w:cstheme="minorBidi"/>
              <w:noProof/>
              <w:color w:val="auto"/>
              <w:kern w:val="2"/>
              <w:sz w:val="22"/>
              <w14:ligatures w14:val="standardContextual"/>
            </w:rPr>
          </w:pPr>
          <w:hyperlink w:anchor="_Toc142558120" w:history="1">
            <w:r w:rsidRPr="001340AA">
              <w:rPr>
                <w:rStyle w:val="Hyperlink"/>
                <w:noProof/>
              </w:rPr>
              <w:t>4.</w:t>
            </w:r>
            <w:r>
              <w:rPr>
                <w:rFonts w:asciiTheme="minorHAnsi" w:eastAsiaTheme="minorEastAsia" w:hAnsiTheme="minorHAnsi" w:cstheme="minorBidi"/>
                <w:noProof/>
                <w:color w:val="auto"/>
                <w:kern w:val="2"/>
                <w:sz w:val="22"/>
                <w14:ligatures w14:val="standardContextual"/>
              </w:rPr>
              <w:tab/>
            </w:r>
            <w:r w:rsidRPr="001340AA">
              <w:rPr>
                <w:rStyle w:val="Hyperlink"/>
                <w:noProof/>
              </w:rPr>
              <w:t>Tests of Procedures or Methods</w:t>
            </w:r>
            <w:r>
              <w:rPr>
                <w:noProof/>
                <w:webHidden/>
              </w:rPr>
              <w:tab/>
            </w:r>
            <w:r>
              <w:rPr>
                <w:noProof/>
                <w:webHidden/>
              </w:rPr>
              <w:fldChar w:fldCharType="begin"/>
            </w:r>
            <w:r>
              <w:rPr>
                <w:noProof/>
                <w:webHidden/>
              </w:rPr>
              <w:instrText xml:space="preserve"> PAGEREF _Toc142558120 \h </w:instrText>
            </w:r>
            <w:r>
              <w:rPr>
                <w:noProof/>
                <w:webHidden/>
              </w:rPr>
              <w:fldChar w:fldCharType="separate"/>
            </w:r>
            <w:r w:rsidR="005E53C2">
              <w:rPr>
                <w:noProof/>
                <w:webHidden/>
              </w:rPr>
              <w:t>12</w:t>
            </w:r>
            <w:r>
              <w:rPr>
                <w:noProof/>
                <w:webHidden/>
              </w:rPr>
              <w:fldChar w:fldCharType="end"/>
            </w:r>
          </w:hyperlink>
        </w:p>
        <w:p w:rsidR="00DC3F53" w14:paraId="1DFA9C09" w14:textId="7488DAD9">
          <w:pPr>
            <w:pStyle w:val="TOC2"/>
            <w:rPr>
              <w:rFonts w:asciiTheme="minorHAnsi" w:eastAsiaTheme="minorEastAsia" w:hAnsiTheme="minorHAnsi" w:cstheme="minorBidi"/>
              <w:noProof/>
              <w:color w:val="auto"/>
              <w:kern w:val="2"/>
              <w:sz w:val="22"/>
              <w14:ligatures w14:val="standardContextual"/>
            </w:rPr>
          </w:pPr>
          <w:hyperlink w:anchor="_Toc142558121" w:history="1">
            <w:r w:rsidRPr="001340AA">
              <w:rPr>
                <w:rStyle w:val="Hyperlink"/>
                <w:noProof/>
              </w:rPr>
              <w:t>5.</w:t>
            </w:r>
            <w:r>
              <w:rPr>
                <w:rFonts w:asciiTheme="minorHAnsi" w:eastAsiaTheme="minorEastAsia" w:hAnsiTheme="minorHAnsi" w:cstheme="minorBidi"/>
                <w:noProof/>
                <w:color w:val="auto"/>
                <w:kern w:val="2"/>
                <w:sz w:val="22"/>
                <w14:ligatures w14:val="standardContextual"/>
              </w:rPr>
              <w:tab/>
            </w:r>
            <w:r w:rsidRPr="001340AA">
              <w:rPr>
                <w:rStyle w:val="Hyperlink"/>
                <w:noProof/>
              </w:rPr>
              <w:t>Names and telephone numbe</w:t>
            </w:r>
            <w:r w:rsidRPr="001340AA">
              <w:rPr>
                <w:rStyle w:val="Hyperlink"/>
                <w:noProof/>
              </w:rPr>
              <w:t>r</w:t>
            </w:r>
            <w:r w:rsidRPr="001340AA">
              <w:rPr>
                <w:rStyle w:val="Hyperlink"/>
                <w:noProof/>
              </w:rPr>
              <w:t>s of individuals consulted on statistical aspects of the survey and implementation design and names of agency units, contractor(s), grantee(s), or other persons(s) who collect and/or analyze the information for the agency</w:t>
            </w:r>
            <w:r>
              <w:rPr>
                <w:noProof/>
                <w:webHidden/>
              </w:rPr>
              <w:tab/>
            </w:r>
            <w:r>
              <w:rPr>
                <w:noProof/>
                <w:webHidden/>
              </w:rPr>
              <w:fldChar w:fldCharType="begin"/>
            </w:r>
            <w:r>
              <w:rPr>
                <w:noProof/>
                <w:webHidden/>
              </w:rPr>
              <w:instrText xml:space="preserve"> PAGEREF _Toc142558121 \h </w:instrText>
            </w:r>
            <w:r>
              <w:rPr>
                <w:noProof/>
                <w:webHidden/>
              </w:rPr>
              <w:fldChar w:fldCharType="separate"/>
            </w:r>
            <w:r w:rsidR="005E53C2">
              <w:rPr>
                <w:noProof/>
                <w:webHidden/>
              </w:rPr>
              <w:t>15</w:t>
            </w:r>
            <w:r>
              <w:rPr>
                <w:noProof/>
                <w:webHidden/>
              </w:rPr>
              <w:fldChar w:fldCharType="end"/>
            </w:r>
          </w:hyperlink>
        </w:p>
        <w:p w:rsidR="00A0735A" w:rsidP="000B30BA" w14:paraId="1436E4FD" w14:textId="3240D25F">
          <w:pPr>
            <w:spacing w:before="120" w:after="120" w:line="250" w:lineRule="auto"/>
            <w:ind w:hanging="14"/>
          </w:pPr>
          <w:r>
            <w:rPr>
              <w:b/>
              <w:bCs/>
              <w:noProof/>
            </w:rPr>
            <w:fldChar w:fldCharType="end"/>
          </w:r>
        </w:p>
      </w:sdtContent>
    </w:sdt>
    <w:p w:rsidR="00AE08B5" w:rsidP="00C453BB" w14:paraId="59BED6C1" w14:textId="6FE49BF3">
      <w:pPr>
        <w:spacing w:after="0" w:line="259" w:lineRule="auto"/>
        <w:ind w:left="0" w:firstLine="0"/>
      </w:pPr>
      <w:r>
        <w:rPr>
          <w:i/>
        </w:rPr>
        <w:t xml:space="preserve"> </w:t>
      </w:r>
      <w:r>
        <w:rPr>
          <w:i/>
          <w:sz w:val="26"/>
        </w:rPr>
        <w:t xml:space="preserve"> </w:t>
      </w:r>
    </w:p>
    <w:p w:rsidR="00A41C96" w:rsidRPr="008C1C15" w:rsidP="00B95A44" w14:paraId="1FD2EC9C" w14:textId="77777777">
      <w:pPr>
        <w:spacing w:after="0" w:line="259" w:lineRule="auto"/>
        <w:ind w:left="0" w:firstLine="0"/>
        <w:rPr>
          <w:b/>
          <w:bCs/>
        </w:rPr>
      </w:pPr>
    </w:p>
    <w:p w:rsidR="00AE08B5" w14:paraId="112C2CEE" w14:textId="1CC267A2">
      <w:pPr>
        <w:spacing w:after="0" w:line="259" w:lineRule="auto"/>
        <w:ind w:left="0" w:firstLine="0"/>
      </w:pPr>
    </w:p>
    <w:p w:rsidR="00AE08B5" w14:paraId="66C4677F" w14:textId="77777777">
      <w:pPr>
        <w:spacing w:after="0" w:line="259" w:lineRule="auto"/>
        <w:ind w:left="0" w:firstLine="0"/>
      </w:pPr>
      <w:r>
        <w:t xml:space="preserve"> </w:t>
      </w:r>
    </w:p>
    <w:p w:rsidR="00AE08B5" w14:paraId="3E3E3886" w14:textId="27860279">
      <w:pPr>
        <w:spacing w:after="3" w:line="259" w:lineRule="auto"/>
        <w:ind w:left="10" w:right="47"/>
        <w:jc w:val="right"/>
      </w:pPr>
    </w:p>
    <w:p w:rsidR="00AC0235" w14:paraId="3EA11B61" w14:textId="77777777">
      <w:pPr>
        <w:spacing w:after="160" w:line="259" w:lineRule="auto"/>
        <w:ind w:left="0" w:firstLine="0"/>
        <w:rPr>
          <w:b/>
          <w:sz w:val="28"/>
        </w:rPr>
      </w:pPr>
      <w:r>
        <w:rPr>
          <w:b/>
          <w:sz w:val="28"/>
        </w:rPr>
        <w:br w:type="page"/>
      </w:r>
    </w:p>
    <w:p w:rsidR="00AE08B5" w14:paraId="740B31FC" w14:textId="50C2075B">
      <w:pPr>
        <w:spacing w:after="222" w:line="259" w:lineRule="auto"/>
        <w:ind w:left="585" w:right="234"/>
        <w:jc w:val="center"/>
      </w:pPr>
      <w:r>
        <w:rPr>
          <w:b/>
          <w:sz w:val="28"/>
        </w:rPr>
        <w:t xml:space="preserve">OMB SUPPORTING STATEMENT – Part B: </w:t>
      </w:r>
    </w:p>
    <w:p w:rsidR="00AE08B5" w:rsidP="00C453BB" w14:paraId="3D6EACB7" w14:textId="22B5FE40">
      <w:pPr>
        <w:spacing w:after="21" w:line="259" w:lineRule="auto"/>
        <w:ind w:left="663" w:firstLine="0"/>
      </w:pPr>
      <w:r>
        <w:rPr>
          <w:b/>
          <w:sz w:val="28"/>
        </w:rPr>
        <w:t>National Implementation of the</w:t>
      </w:r>
      <w:r w:rsidR="00491A63">
        <w:rPr>
          <w:b/>
          <w:sz w:val="28"/>
        </w:rPr>
        <w:t xml:space="preserve"> </w:t>
      </w:r>
      <w:r>
        <w:rPr>
          <w:b/>
          <w:sz w:val="28"/>
        </w:rPr>
        <w:t xml:space="preserve">Hospital Consumer Assessment of Healthcare </w:t>
      </w:r>
      <w:r w:rsidRPr="00C453BB">
        <w:rPr>
          <w:b/>
          <w:sz w:val="28"/>
        </w:rPr>
        <w:t xml:space="preserve">Providers and Systems (HCAHPS) Survey (CMS-10102, OMB-0938-0981) </w:t>
      </w:r>
      <w:r>
        <w:rPr>
          <w:b/>
          <w:sz w:val="28"/>
        </w:rPr>
        <w:t xml:space="preserve"> </w:t>
      </w:r>
    </w:p>
    <w:p w:rsidR="00AE08B5" w14:paraId="59E4C11F" w14:textId="77777777">
      <w:pPr>
        <w:spacing w:after="147" w:line="259" w:lineRule="auto"/>
        <w:ind w:left="0" w:firstLine="0"/>
      </w:pPr>
      <w:r>
        <w:rPr>
          <w:b/>
          <w:sz w:val="16"/>
        </w:rPr>
        <w:t xml:space="preserve"> </w:t>
      </w:r>
    </w:p>
    <w:p w:rsidR="00AE08B5" w:rsidP="00C453BB" w14:paraId="37D19788" w14:textId="77777777">
      <w:pPr>
        <w:pStyle w:val="Heading1"/>
        <w:jc w:val="left"/>
      </w:pPr>
      <w:bookmarkStart w:id="0" w:name="_Toc142558112"/>
      <w:r>
        <w:t>Introduction</w:t>
      </w:r>
      <w:bookmarkEnd w:id="0"/>
      <w:r>
        <w:t xml:space="preserve"> </w:t>
      </w:r>
    </w:p>
    <w:p w:rsidR="00AE08B5" w14:paraId="7EAF0B01" w14:textId="77777777">
      <w:pPr>
        <w:spacing w:after="0" w:line="259" w:lineRule="auto"/>
        <w:ind w:left="0" w:firstLine="0"/>
      </w:pPr>
      <w:r>
        <w:rPr>
          <w:b/>
        </w:rPr>
        <w:t xml:space="preserve"> </w:t>
      </w:r>
    </w:p>
    <w:p w:rsidR="00CB7D22" w:rsidP="006501C6" w14:paraId="283B932F" w14:textId="2038BB6A">
      <w:pPr>
        <w:spacing w:line="358" w:lineRule="auto"/>
        <w:ind w:left="108" w:right="133" w:firstLine="0"/>
      </w:pPr>
      <w:r>
        <w:t xml:space="preserve">The Hospital Consumer Assessment of Healthcare Providers and Systems (HCAHPS) survey is administered to a random sample of adult inpatients between 48 hours and six weeks after discharge. </w:t>
      </w:r>
      <w:r w:rsidR="006501C6">
        <w:t xml:space="preserve"> </w:t>
      </w:r>
      <w:r>
        <w:t>Patients admitted in the medical, surgical</w:t>
      </w:r>
      <w:r w:rsidR="00667B02">
        <w:t>,</w:t>
      </w:r>
      <w:r>
        <w:t xml:space="preserve"> and maternity care service lines are eligible for the survey. HCAHPS is not restricted to Medicare patients. Hospitals may use an approved survey vendor or collect their own HCAHPS data, if approved by CMS to do so. </w:t>
      </w:r>
    </w:p>
    <w:p w:rsidR="00CB7D22" w14:paraId="6AD0185C" w14:textId="77777777">
      <w:pPr>
        <w:spacing w:line="358" w:lineRule="auto"/>
        <w:ind w:right="133"/>
      </w:pPr>
    </w:p>
    <w:p w:rsidR="00243AE9" w:rsidRPr="00243AE9" w:rsidP="00243AE9" w14:paraId="0AD7B19E" w14:textId="72EAC1F6">
      <w:pPr>
        <w:pStyle w:val="NormalWeb"/>
        <w:spacing w:before="0" w:beforeAutospacing="0" w:after="6" w:afterAutospacing="0" w:line="358" w:lineRule="auto"/>
        <w:rPr>
          <w:color w:val="000000"/>
          <w:szCs w:val="22"/>
        </w:rPr>
      </w:pPr>
      <w:r w:rsidRPr="00243AE9">
        <w:rPr>
          <w:color w:val="000000"/>
          <w:szCs w:val="22"/>
        </w:rPr>
        <w:t xml:space="preserve">Starting </w:t>
      </w:r>
      <w:r>
        <w:rPr>
          <w:color w:val="000000"/>
          <w:szCs w:val="22"/>
        </w:rPr>
        <w:t>with</w:t>
      </w:r>
      <w:r w:rsidRPr="00243AE9">
        <w:rPr>
          <w:color w:val="000000"/>
          <w:szCs w:val="22"/>
        </w:rPr>
        <w:t xml:space="preserve"> January 2025</w:t>
      </w:r>
      <w:r>
        <w:rPr>
          <w:color w:val="000000"/>
          <w:szCs w:val="22"/>
        </w:rPr>
        <w:t xml:space="preserve"> hospital discharges</w:t>
      </w:r>
      <w:r w:rsidRPr="00243AE9">
        <w:rPr>
          <w:color w:val="000000"/>
          <w:szCs w:val="22"/>
        </w:rPr>
        <w:t>, the</w:t>
      </w:r>
      <w:r>
        <w:rPr>
          <w:color w:val="000000"/>
          <w:szCs w:val="22"/>
        </w:rPr>
        <w:t xml:space="preserve"> FY</w:t>
      </w:r>
      <w:r w:rsidRPr="00243AE9">
        <w:rPr>
          <w:color w:val="000000"/>
          <w:szCs w:val="22"/>
        </w:rPr>
        <w:t xml:space="preserve"> 2025 IPPS</w:t>
      </w:r>
      <w:r>
        <w:rPr>
          <w:color w:val="000000"/>
          <w:szCs w:val="22"/>
        </w:rPr>
        <w:t>/LTCH PPS</w:t>
      </w:r>
      <w:r w:rsidRPr="00243AE9">
        <w:rPr>
          <w:color w:val="000000"/>
          <w:szCs w:val="22"/>
        </w:rPr>
        <w:t xml:space="preserve"> </w:t>
      </w:r>
      <w:r w:rsidR="004C3B62">
        <w:rPr>
          <w:color w:val="000000"/>
          <w:szCs w:val="22"/>
        </w:rPr>
        <w:t>proposed</w:t>
      </w:r>
      <w:r>
        <w:rPr>
          <w:color w:val="000000"/>
          <w:szCs w:val="22"/>
        </w:rPr>
        <w:t xml:space="preserve"> </w:t>
      </w:r>
      <w:r w:rsidRPr="00243AE9">
        <w:rPr>
          <w:color w:val="000000"/>
          <w:szCs w:val="22"/>
        </w:rPr>
        <w:t xml:space="preserve">rule is proposing </w:t>
      </w:r>
      <w:r>
        <w:rPr>
          <w:color w:val="000000"/>
          <w:szCs w:val="22"/>
        </w:rPr>
        <w:t xml:space="preserve">the use of </w:t>
      </w:r>
      <w:r w:rsidR="00CC31D3">
        <w:rPr>
          <w:color w:val="000000"/>
          <w:szCs w:val="22"/>
        </w:rPr>
        <w:t>an updated</w:t>
      </w:r>
      <w:r w:rsidRPr="00243AE9">
        <w:rPr>
          <w:color w:val="000000"/>
          <w:szCs w:val="22"/>
        </w:rPr>
        <w:t xml:space="preserve"> version of the HCAHPS Survey</w:t>
      </w:r>
      <w:r w:rsidRPr="00243AE9">
        <w:rPr>
          <w:color w:val="000000"/>
          <w:szCs w:val="22"/>
        </w:rPr>
        <w:t xml:space="preserve">. The proposed updates to the HCAHPS Survey would result in a survey of 32 items that would form 11 measures, with seven composite multi-item measures and four single-item measures for the Hospital IQR and PCHQR Programs. </w:t>
      </w:r>
      <w:r w:rsidR="001E6258">
        <w:rPr>
          <w:color w:val="000000"/>
          <w:szCs w:val="22"/>
        </w:rPr>
        <w:t>Seven measures, f</w:t>
      </w:r>
      <w:r w:rsidRPr="00243AE9">
        <w:rPr>
          <w:color w:val="000000"/>
          <w:szCs w:val="22"/>
        </w:rPr>
        <w:t xml:space="preserve">our </w:t>
      </w:r>
      <w:r w:rsidR="001E6258">
        <w:rPr>
          <w:color w:val="000000"/>
          <w:szCs w:val="22"/>
        </w:rPr>
        <w:t xml:space="preserve">multi-item </w:t>
      </w:r>
      <w:r w:rsidRPr="00243AE9">
        <w:rPr>
          <w:color w:val="000000"/>
          <w:szCs w:val="22"/>
        </w:rPr>
        <w:t>composite measures and three single-item measures from the current HCAHPS Survey</w:t>
      </w:r>
      <w:r w:rsidR="001E6258">
        <w:rPr>
          <w:color w:val="000000"/>
          <w:szCs w:val="22"/>
        </w:rPr>
        <w:t>,</w:t>
      </w:r>
      <w:r w:rsidRPr="00243AE9">
        <w:rPr>
          <w:color w:val="000000"/>
          <w:szCs w:val="22"/>
        </w:rPr>
        <w:t xml:space="preserve"> would remain unchanged in the HCAHPS Survey. </w:t>
      </w:r>
      <w:r w:rsidR="001E6258">
        <w:rPr>
          <w:color w:val="000000"/>
          <w:szCs w:val="22"/>
        </w:rPr>
        <w:t>In addition, the HCAHPS Survey will include three new measures (two multi-item measures and one single-item measure) and one revised multi-item measure.</w:t>
      </w:r>
    </w:p>
    <w:p w:rsidR="00243AE9" w:rsidP="00243AE9" w14:paraId="28B30E4F" w14:textId="77777777">
      <w:pPr>
        <w:pStyle w:val="NormalWeb"/>
        <w:spacing w:before="0" w:beforeAutospacing="0" w:after="6" w:afterAutospacing="0" w:line="358" w:lineRule="auto"/>
        <w:rPr>
          <w:color w:val="000000"/>
          <w:szCs w:val="22"/>
        </w:rPr>
      </w:pPr>
    </w:p>
    <w:p w:rsidR="00243AE9" w:rsidRPr="00243AE9" w:rsidP="00243AE9" w14:paraId="0FC5C3AE" w14:textId="5B6765A3">
      <w:pPr>
        <w:pStyle w:val="NormalWeb"/>
        <w:spacing w:before="0" w:beforeAutospacing="0" w:after="6" w:afterAutospacing="0" w:line="358" w:lineRule="auto"/>
        <w:rPr>
          <w:color w:val="000000"/>
          <w:szCs w:val="22"/>
        </w:rPr>
      </w:pPr>
      <w:r w:rsidRPr="00243AE9">
        <w:rPr>
          <w:color w:val="000000"/>
          <w:szCs w:val="22"/>
        </w:rPr>
        <w:t>The need for these proposed updates to the HCAHPS Survey was identified by the measure developer through literature review, focus groups and cognitive interviews with patients and caregivers, and discussions with technical experts. The proposed updated content to the HCAHPS Survey was empirically tested in a large-scale mode experiment in 2021, as described in the final FY 2024 IPPS/LTCH PPS final rule (88 FR 59196 through 59197). The measure developer has determined that these proposed updates to the HCAHPS Survey will amount to a minimal change in burden because the combination of removal and addition of survey items will result in only an additional 1.0 minute to complete the survey. The time required to complete the 32-item survey is estimated to average eight minutes. Additionally, we note that these proposed updates resulting in a 32-item survey is a return to an earlier item count</w:t>
      </w:r>
    </w:p>
    <w:p w:rsidR="00243AE9" w:rsidP="00243AE9" w14:paraId="30F0B66A" w14:textId="30AFED19">
      <w:pPr>
        <w:pStyle w:val="NormalWeb"/>
        <w:spacing w:before="0" w:beforeAutospacing="0" w:after="6" w:afterAutospacing="0" w:line="358" w:lineRule="auto"/>
        <w:rPr>
          <w:color w:val="000000"/>
          <w:szCs w:val="22"/>
        </w:rPr>
      </w:pPr>
      <w:r w:rsidRPr="00243AE9">
        <w:rPr>
          <w:color w:val="000000"/>
          <w:szCs w:val="22"/>
        </w:rPr>
        <w:t xml:space="preserve">and should not represent an undue increased burden for patients or survey administrators given that before the “Communication About Pain” questions were removed in the CY 2019 OPPS/ASC Final Rule (83 FR 59140 through 59149), the HCAHPS </w:t>
      </w:r>
      <w:r w:rsidR="008026D7">
        <w:rPr>
          <w:color w:val="000000"/>
          <w:szCs w:val="22"/>
        </w:rPr>
        <w:t>S</w:t>
      </w:r>
      <w:r w:rsidRPr="00243AE9">
        <w:rPr>
          <w:color w:val="000000"/>
          <w:szCs w:val="22"/>
        </w:rPr>
        <w:t>urvey also consisted of 32 items.</w:t>
      </w:r>
    </w:p>
    <w:p w:rsidR="0077743B" w:rsidRPr="00243AE9" w:rsidP="00243AE9" w14:paraId="18F310EB" w14:textId="77777777">
      <w:pPr>
        <w:pStyle w:val="NormalWeb"/>
        <w:spacing w:before="0" w:beforeAutospacing="0" w:after="6" w:afterAutospacing="0" w:line="358" w:lineRule="auto"/>
        <w:rPr>
          <w:color w:val="000000"/>
          <w:szCs w:val="22"/>
        </w:rPr>
      </w:pPr>
    </w:p>
    <w:p w:rsidR="00CB7D22" w:rsidP="006501C6" w14:paraId="170831CA" w14:textId="17D6D00F">
      <w:pPr>
        <w:spacing w:line="358" w:lineRule="auto"/>
        <w:ind w:left="108" w:right="133" w:firstLine="0"/>
      </w:pPr>
      <w:r>
        <w:t xml:space="preserve">HCAHPS can be </w:t>
      </w:r>
      <w:r w:rsidR="001F3F24">
        <w:t xml:space="preserve">currently </w:t>
      </w:r>
      <w:r>
        <w:t xml:space="preserve">implemented in four survey modes: mail, telephone, mail with telephone follow-up, or active interactive voice recognition (IVR), each of which requires multiple attempts to contact patients. </w:t>
      </w:r>
      <w:r w:rsidR="001F3F24">
        <w:t>Per the 2024 IPPS Rule, beginning in January 2025 hospitals can also administer their survey by web with mail follow-up, web with telephone follow-up, or web with mail and telephone follow-up.</w:t>
      </w:r>
      <w:r w:rsidR="00701B49">
        <w:t xml:space="preserve"> The IVR survey mode will be dropped in 2025.</w:t>
      </w:r>
    </w:p>
    <w:p w:rsidR="00CB7D22" w14:paraId="4D665522" w14:textId="77777777">
      <w:pPr>
        <w:spacing w:line="358" w:lineRule="auto"/>
        <w:ind w:right="133"/>
      </w:pPr>
    </w:p>
    <w:p w:rsidR="002B2992" w:rsidP="006501C6" w14:paraId="2B47C1DC" w14:textId="030E61B3">
      <w:pPr>
        <w:spacing w:after="0" w:line="360" w:lineRule="auto"/>
        <w:ind w:left="115" w:firstLine="0"/>
        <w:rPr>
          <w:color w:val="000000" w:themeColor="text1"/>
          <w:szCs w:val="24"/>
        </w:rPr>
      </w:pPr>
      <w:r>
        <w:t xml:space="preserve">Hospitals must survey patients throughout each month of the year.  IPPS hospitals must achieve at least 300 completed surveys over four calendar quarters.  HCAHPS is available in official English, Spanish, Chinese, Russian, Vietnamese, </w:t>
      </w:r>
      <w:r w:rsidR="005131A4">
        <w:t>Portuguese, German</w:t>
      </w:r>
      <w:r w:rsidR="00FE4E23">
        <w:t>, Tagalog, and Arabic</w:t>
      </w:r>
      <w:r>
        <w:t xml:space="preserve"> versions. </w:t>
      </w:r>
      <w:r w:rsidR="002F582A">
        <w:t xml:space="preserve"> CMS will add additional translations over time as needed. </w:t>
      </w:r>
      <w:r>
        <w:t>The HCAHPS Survey sampling protocol promotes the following: 1) standardized administration of the HCAHPS Survey by hospital/survey vendors</w:t>
      </w:r>
      <w:r w:rsidR="005505A8">
        <w:t>,</w:t>
      </w:r>
      <w:r>
        <w:t xml:space="preserve"> and 2) comparability of resulting data across all participating hospitals.</w:t>
      </w:r>
      <w:r>
        <w:t xml:space="preserve"> T</w:t>
      </w:r>
      <w:r w:rsidRPr="196A5BE7">
        <w:rPr>
          <w:color w:val="000000" w:themeColor="text1"/>
          <w:szCs w:val="24"/>
        </w:rPr>
        <w:t xml:space="preserve">he FY 2024 IPPS/LTCH </w:t>
      </w:r>
      <w:r>
        <w:rPr>
          <w:color w:val="000000" w:themeColor="text1"/>
          <w:szCs w:val="24"/>
        </w:rPr>
        <w:t xml:space="preserve">PPS </w:t>
      </w:r>
      <w:r w:rsidRPr="196A5BE7">
        <w:rPr>
          <w:color w:val="000000" w:themeColor="text1"/>
          <w:szCs w:val="24"/>
        </w:rPr>
        <w:t>final rule</w:t>
      </w:r>
      <w:r w:rsidRPr="279908A9">
        <w:rPr>
          <w:szCs w:val="24"/>
        </w:rPr>
        <w:t xml:space="preserve"> </w:t>
      </w:r>
      <w:r>
        <w:rPr>
          <w:color w:val="000000" w:themeColor="text1"/>
          <w:szCs w:val="24"/>
        </w:rPr>
        <w:t>describes the most recent updates to</w:t>
      </w:r>
      <w:r w:rsidRPr="196A5BE7">
        <w:rPr>
          <w:color w:val="000000" w:themeColor="text1"/>
          <w:szCs w:val="24"/>
        </w:rPr>
        <w:t xml:space="preserve"> HCAHPS su</w:t>
      </w:r>
      <w:r>
        <w:rPr>
          <w:color w:val="000000" w:themeColor="text1"/>
          <w:szCs w:val="24"/>
        </w:rPr>
        <w:t>rvey administration</w:t>
      </w:r>
      <w:r w:rsidRPr="196A5BE7">
        <w:rPr>
          <w:color w:val="000000" w:themeColor="text1"/>
          <w:szCs w:val="24"/>
        </w:rPr>
        <w:t xml:space="preserve"> requirements</w:t>
      </w:r>
      <w:r>
        <w:rPr>
          <w:color w:val="000000" w:themeColor="text1"/>
          <w:szCs w:val="24"/>
        </w:rPr>
        <w:t xml:space="preserve"> and</w:t>
      </w:r>
      <w:r w:rsidRPr="196A5BE7">
        <w:rPr>
          <w:color w:val="000000" w:themeColor="text1"/>
          <w:szCs w:val="24"/>
        </w:rPr>
        <w:t xml:space="preserve"> additional background information </w:t>
      </w:r>
      <w:r>
        <w:rPr>
          <w:color w:val="000000" w:themeColor="text1"/>
          <w:szCs w:val="24"/>
        </w:rPr>
        <w:t xml:space="preserve">for the </w:t>
      </w:r>
      <w:r>
        <w:rPr>
          <w:szCs w:val="24"/>
        </w:rPr>
        <w:t xml:space="preserve">Hospital VBP Program, the </w:t>
      </w:r>
      <w:r>
        <w:rPr>
          <w:color w:val="000000" w:themeColor="text1"/>
          <w:szCs w:val="24"/>
        </w:rPr>
        <w:t xml:space="preserve">Hospital IQR Program, and the </w:t>
      </w:r>
      <w:r>
        <w:rPr>
          <w:szCs w:val="24"/>
        </w:rPr>
        <w:t xml:space="preserve">PCHQR Program </w:t>
      </w:r>
      <w:r w:rsidRPr="196A5BE7">
        <w:rPr>
          <w:color w:val="000000" w:themeColor="text1"/>
          <w:szCs w:val="24"/>
        </w:rPr>
        <w:t>(</w:t>
      </w:r>
      <w:r>
        <w:rPr>
          <w:szCs w:val="24"/>
        </w:rPr>
        <w:t xml:space="preserve">88 FR 59083 through 59089, </w:t>
      </w:r>
      <w:r w:rsidRPr="00B747CF">
        <w:rPr>
          <w:szCs w:val="24"/>
        </w:rPr>
        <w:t>88 FR 59196</w:t>
      </w:r>
      <w:r w:rsidRPr="00DA5D1C">
        <w:rPr>
          <w:color w:val="000000" w:themeColor="text1"/>
          <w:szCs w:val="24"/>
        </w:rPr>
        <w:t xml:space="preserve"> through </w:t>
      </w:r>
      <w:r w:rsidRPr="00B747CF">
        <w:rPr>
          <w:szCs w:val="24"/>
        </w:rPr>
        <w:t>59201</w:t>
      </w:r>
      <w:r>
        <w:rPr>
          <w:szCs w:val="24"/>
        </w:rPr>
        <w:t xml:space="preserve">, and </w:t>
      </w:r>
      <w:r w:rsidRPr="279908A9">
        <w:rPr>
          <w:szCs w:val="24"/>
        </w:rPr>
        <w:t>88 FR 59229 through 59232</w:t>
      </w:r>
      <w:r>
        <w:rPr>
          <w:szCs w:val="24"/>
        </w:rPr>
        <w:t>, respectively)</w:t>
      </w:r>
      <w:r>
        <w:rPr>
          <w:color w:val="000000" w:themeColor="text1"/>
          <w:szCs w:val="24"/>
        </w:rPr>
        <w:t xml:space="preserve">.  </w:t>
      </w:r>
      <w:r w:rsidRPr="005512C5">
        <w:rPr>
          <w:color w:val="000000" w:themeColor="text1"/>
          <w:szCs w:val="24"/>
        </w:rPr>
        <w:t xml:space="preserve">For </w:t>
      </w:r>
      <w:r>
        <w:rPr>
          <w:color w:val="000000" w:themeColor="text1"/>
          <w:szCs w:val="24"/>
        </w:rPr>
        <w:t xml:space="preserve">more </w:t>
      </w:r>
      <w:r w:rsidRPr="005512C5">
        <w:rPr>
          <w:color w:val="000000" w:themeColor="text1"/>
          <w:szCs w:val="24"/>
        </w:rPr>
        <w:t xml:space="preserve">details </w:t>
      </w:r>
      <w:r>
        <w:rPr>
          <w:color w:val="000000" w:themeColor="text1"/>
          <w:szCs w:val="24"/>
        </w:rPr>
        <w:t xml:space="preserve">including information </w:t>
      </w:r>
      <w:r w:rsidRPr="005512C5">
        <w:rPr>
          <w:color w:val="000000" w:themeColor="text1"/>
          <w:szCs w:val="24"/>
        </w:rPr>
        <w:t xml:space="preserve">about </w:t>
      </w:r>
      <w:r>
        <w:rPr>
          <w:color w:val="000000" w:themeColor="text1"/>
          <w:szCs w:val="24"/>
        </w:rPr>
        <w:t xml:space="preserve">patient eligibility for the </w:t>
      </w:r>
      <w:r w:rsidRPr="005512C5">
        <w:rPr>
          <w:color w:val="000000" w:themeColor="text1"/>
          <w:szCs w:val="24"/>
        </w:rPr>
        <w:t xml:space="preserve">HCAHPS </w:t>
      </w:r>
      <w:r>
        <w:rPr>
          <w:color w:val="000000" w:themeColor="text1"/>
          <w:szCs w:val="24"/>
        </w:rPr>
        <w:t>survey</w:t>
      </w:r>
      <w:r w:rsidRPr="005512C5">
        <w:rPr>
          <w:color w:val="000000" w:themeColor="text1"/>
          <w:szCs w:val="24"/>
        </w:rPr>
        <w:t xml:space="preserve">, please refer to the </w:t>
      </w:r>
      <w:r>
        <w:rPr>
          <w:color w:val="000000" w:themeColor="text1"/>
          <w:szCs w:val="24"/>
        </w:rPr>
        <w:t xml:space="preserve">current </w:t>
      </w:r>
      <w:r w:rsidRPr="005512C5">
        <w:rPr>
          <w:color w:val="000000" w:themeColor="text1"/>
          <w:szCs w:val="24"/>
        </w:rPr>
        <w:t xml:space="preserve">HCAHPS Quality Assurance Guidelines, which can be found on the official HCAHPS On-Line Web site at: </w:t>
      </w:r>
      <w:hyperlink r:id="rId5" w:history="1">
        <w:r w:rsidRPr="005512C5">
          <w:rPr>
            <w:rStyle w:val="Hyperlink"/>
            <w:szCs w:val="24"/>
          </w:rPr>
          <w:t>https://hcahpsonline.org/en/quality-assurance/</w:t>
        </w:r>
      </w:hyperlink>
      <w:r w:rsidRPr="005512C5">
        <w:rPr>
          <w:color w:val="000000" w:themeColor="text1"/>
          <w:szCs w:val="24"/>
        </w:rPr>
        <w:t>.</w:t>
      </w:r>
      <w:r>
        <w:rPr>
          <w:color w:val="000000" w:themeColor="text1"/>
          <w:szCs w:val="24"/>
        </w:rPr>
        <w:t xml:space="preserve">  </w:t>
      </w:r>
    </w:p>
    <w:p w:rsidR="00AE08B5" w:rsidP="00B95A44" w14:paraId="6C5A9FC8" w14:textId="77777777">
      <w:pPr>
        <w:pStyle w:val="Heading2"/>
        <w:numPr>
          <w:ilvl w:val="0"/>
          <w:numId w:val="8"/>
        </w:numPr>
        <w:spacing w:before="240" w:after="120"/>
        <w:ind w:left="475"/>
      </w:pPr>
      <w:bookmarkStart w:id="1" w:name="_Toc142558113"/>
      <w:r>
        <w:t>Respondent Universe and Sampling</w:t>
      </w:r>
      <w:bookmarkEnd w:id="1"/>
      <w:r>
        <w:t xml:space="preserve"> </w:t>
      </w:r>
    </w:p>
    <w:p w:rsidR="00AE08B5" w14:paraId="6BB09D6F" w14:textId="77777777">
      <w:pPr>
        <w:spacing w:after="125"/>
        <w:ind w:right="133"/>
      </w:pPr>
      <w:r>
        <w:t xml:space="preserve">The HCAHPS Survey is broadly intended for patients of all payer types who meet the following criteria: </w:t>
      </w:r>
    </w:p>
    <w:p w:rsidR="00AE08B5" w14:paraId="7194AD2C" w14:textId="77777777">
      <w:pPr>
        <w:numPr>
          <w:ilvl w:val="1"/>
          <w:numId w:val="2"/>
        </w:numPr>
        <w:ind w:right="133" w:hanging="360"/>
      </w:pPr>
      <w:r>
        <w:t xml:space="preserve">Eighteen (18) years or older at the time of admission </w:t>
      </w:r>
    </w:p>
    <w:p w:rsidR="00AE08B5" w14:paraId="6FC468F1" w14:textId="77777777">
      <w:pPr>
        <w:numPr>
          <w:ilvl w:val="1"/>
          <w:numId w:val="2"/>
        </w:numPr>
        <w:ind w:right="133" w:hanging="360"/>
      </w:pPr>
      <w:r>
        <w:t xml:space="preserve">Admission includes at least one overnight stay in the hospital </w:t>
      </w:r>
    </w:p>
    <w:p w:rsidR="00DC667A" w14:paraId="3CD8494D" w14:textId="77777777">
      <w:pPr>
        <w:numPr>
          <w:ilvl w:val="1"/>
          <w:numId w:val="2"/>
        </w:numPr>
        <w:ind w:right="133" w:hanging="360"/>
      </w:pPr>
      <w:r>
        <w:t xml:space="preserve">Non-psychiatric MS-DRG/principal diagnosis at discharge </w:t>
      </w:r>
    </w:p>
    <w:p w:rsidR="00AE08B5" w14:paraId="5CFADE69" w14:textId="7E96DB49">
      <w:pPr>
        <w:numPr>
          <w:ilvl w:val="1"/>
          <w:numId w:val="2"/>
        </w:numPr>
        <w:ind w:right="133" w:hanging="360"/>
      </w:pPr>
      <w:r>
        <w:t xml:space="preserve">Alive at the time of discharge </w:t>
      </w:r>
    </w:p>
    <w:p w:rsidR="00AE08B5" w14:paraId="1F333B89" w14:textId="77777777">
      <w:pPr>
        <w:spacing w:after="0" w:line="259" w:lineRule="auto"/>
        <w:ind w:left="0" w:firstLine="0"/>
      </w:pPr>
      <w:r>
        <w:t xml:space="preserve"> </w:t>
      </w:r>
    </w:p>
    <w:p w:rsidR="00AE08B5" w:rsidP="00B95A44" w14:paraId="0B7FC500" w14:textId="77777777">
      <w:pPr>
        <w:spacing w:after="63" w:line="250" w:lineRule="auto"/>
        <w:ind w:left="129" w:right="130" w:hanging="14"/>
      </w:pPr>
      <w:r>
        <w:t xml:space="preserve">There are a few categories of otherwise eligible patients who are excluded from the sample frame. These are: </w:t>
      </w:r>
    </w:p>
    <w:p w:rsidR="006501C6" w:rsidP="00B95A44" w14:paraId="6A37BC15" w14:textId="77777777">
      <w:pPr>
        <w:spacing w:after="63" w:line="250" w:lineRule="auto"/>
        <w:ind w:left="129" w:right="130" w:hanging="14"/>
      </w:pPr>
    </w:p>
    <w:p w:rsidR="00AE08B5" w:rsidP="00B95A44" w14:paraId="25F4664F" w14:textId="77777777">
      <w:pPr>
        <w:numPr>
          <w:ilvl w:val="1"/>
          <w:numId w:val="2"/>
        </w:numPr>
        <w:ind w:right="133" w:hanging="360"/>
      </w:pPr>
      <w:r>
        <w:t xml:space="preserve">“No-Publicity” patients – Patients who request that they not be contacted </w:t>
      </w:r>
    </w:p>
    <w:p w:rsidR="00DC667A" w14:paraId="7BE2EAC3" w14:textId="77777777">
      <w:pPr>
        <w:numPr>
          <w:ilvl w:val="1"/>
          <w:numId w:val="2"/>
        </w:numPr>
        <w:ind w:right="133" w:hanging="360"/>
      </w:pPr>
      <w:r>
        <w:t>Court/Law enforcement patients (i.e., prisoners); patients residing in halfway houses are included</w:t>
      </w:r>
    </w:p>
    <w:p w:rsidR="00AE08B5" w14:paraId="2C059F38" w14:textId="0A6B8270">
      <w:pPr>
        <w:numPr>
          <w:ilvl w:val="1"/>
          <w:numId w:val="2"/>
        </w:numPr>
        <w:ind w:right="133" w:hanging="360"/>
      </w:pPr>
      <w:r>
        <w:t xml:space="preserve">Patients with a foreign home address (U.S. territories – Virgin Islands, Puerto Rico, Guam, American Samoa, and Northern Mariana Islands </w:t>
      </w:r>
      <w:r w:rsidR="00DE0EDF">
        <w:t xml:space="preserve">-- </w:t>
      </w:r>
      <w:r>
        <w:t xml:space="preserve">are not considered foreign addresses and are not excluded) </w:t>
      </w:r>
    </w:p>
    <w:p w:rsidR="00AE08B5" w14:paraId="6EB9FBDC" w14:textId="77777777">
      <w:pPr>
        <w:numPr>
          <w:ilvl w:val="1"/>
          <w:numId w:val="2"/>
        </w:numPr>
        <w:spacing w:after="72"/>
        <w:ind w:right="133" w:hanging="360"/>
      </w:pPr>
      <w:r>
        <w:t xml:space="preserve">Patients discharged to hospice care (Hospice-home or Hospice-medical facility) </w:t>
      </w:r>
    </w:p>
    <w:p w:rsidR="00AE08B5" w14:paraId="700022ED" w14:textId="77777777">
      <w:pPr>
        <w:numPr>
          <w:ilvl w:val="1"/>
          <w:numId w:val="2"/>
        </w:numPr>
        <w:ind w:right="133" w:hanging="360"/>
      </w:pPr>
      <w:r>
        <w:t xml:space="preserve">Patients who are excluded because of state regulations </w:t>
      </w:r>
    </w:p>
    <w:p w:rsidR="00AE08B5" w14:paraId="5048CF9D" w14:textId="77777777">
      <w:pPr>
        <w:numPr>
          <w:ilvl w:val="1"/>
          <w:numId w:val="2"/>
        </w:numPr>
        <w:ind w:right="133" w:hanging="360"/>
      </w:pPr>
      <w:r>
        <w:t xml:space="preserve">Patients discharged to nursing homes and skilled nursing facilities </w:t>
      </w:r>
    </w:p>
    <w:p w:rsidR="00AE08B5" w14:paraId="14519B12" w14:textId="77777777">
      <w:pPr>
        <w:spacing w:after="0" w:line="259" w:lineRule="auto"/>
        <w:ind w:left="0" w:firstLine="0"/>
      </w:pPr>
      <w:r>
        <w:t xml:space="preserve"> </w:t>
      </w:r>
    </w:p>
    <w:p w:rsidR="00793A7E" w:rsidP="00B95A44" w14:paraId="21F7BEB0" w14:textId="2D54DE6D">
      <w:pPr>
        <w:spacing w:after="180" w:line="355" w:lineRule="auto"/>
        <w:ind w:left="129" w:right="130" w:hanging="14"/>
      </w:pPr>
      <w:r>
        <w:t xml:space="preserve">Hospitals/Survey vendors must retain documentation that verifies all exclusions and ineligible patients for a minimum of three years. This documentation is subject to review. </w:t>
      </w:r>
    </w:p>
    <w:p w:rsidR="00AE08B5" w:rsidP="00B95A44" w14:paraId="158A3272" w14:textId="77777777">
      <w:pPr>
        <w:spacing w:line="356" w:lineRule="auto"/>
        <w:ind w:right="133"/>
      </w:pPr>
      <w:r>
        <w:t xml:space="preserve">Hospitals/Survey vendors participating in HCAHPS are responsible for generating complete, accurate, and valid sample frame data files each month that contain all administrative information on all patients who meet the eligible population criteria. The following steps must be followed when creating the sample frame: </w:t>
      </w:r>
    </w:p>
    <w:p w:rsidR="00AE08B5" w14:paraId="71BDEBFE" w14:textId="77777777">
      <w:pPr>
        <w:numPr>
          <w:ilvl w:val="1"/>
          <w:numId w:val="2"/>
        </w:numPr>
        <w:spacing w:after="3" w:line="240" w:lineRule="auto"/>
        <w:ind w:right="133" w:hanging="360"/>
      </w:pPr>
      <w:r>
        <w:t xml:space="preserve">The sample frame for a particular month must include all eligible hospital discharges between the first and last days of the month (e.g., for January, any qualifying discharges between the 1st and 31st) </w:t>
      </w:r>
    </w:p>
    <w:p w:rsidR="00AE08B5" w14:paraId="1E137266" w14:textId="77777777">
      <w:pPr>
        <w:numPr>
          <w:ilvl w:val="1"/>
          <w:numId w:val="2"/>
        </w:numPr>
        <w:ind w:right="133" w:hanging="360"/>
      </w:pPr>
      <w:r>
        <w:t xml:space="preserve">If a hospital is conducting sampling at the end of each month, they must create the sample frame in a timely manner in order to initiate contact for all sampled patients within 42 days of discharge </w:t>
      </w:r>
    </w:p>
    <w:p w:rsidR="00AE08B5" w14:paraId="6B188819" w14:textId="77777777">
      <w:pPr>
        <w:numPr>
          <w:ilvl w:val="1"/>
          <w:numId w:val="2"/>
        </w:numPr>
        <w:spacing w:after="3" w:line="240" w:lineRule="auto"/>
        <w:ind w:right="133" w:hanging="360"/>
      </w:pPr>
      <w:r>
        <w:t xml:space="preserve">Patients with missing or incomplete addresses and/or telephone numbers must not be removed from the sample frame. Instead, every attempt must be made to find the correct address and/or telephone number </w:t>
      </w:r>
    </w:p>
    <w:p w:rsidR="00AE08B5" w14:paraId="272A0724" w14:textId="77777777">
      <w:pPr>
        <w:numPr>
          <w:ilvl w:val="1"/>
          <w:numId w:val="2"/>
        </w:numPr>
        <w:ind w:right="133" w:hanging="360"/>
      </w:pPr>
      <w:r>
        <w:t xml:space="preserve">Patients whose eligibility status is uncertain must be included in the sample frame </w:t>
      </w:r>
    </w:p>
    <w:p w:rsidR="00AE08B5" w14:paraId="1260C4D3" w14:textId="77777777">
      <w:pPr>
        <w:spacing w:after="0" w:line="259" w:lineRule="auto"/>
        <w:ind w:left="0" w:firstLine="0"/>
      </w:pPr>
      <w:r>
        <w:t xml:space="preserve"> </w:t>
      </w:r>
    </w:p>
    <w:p w:rsidR="00AE08B5" w:rsidP="00B95A44" w14:paraId="256B96D7" w14:textId="24CD3CA5">
      <w:pPr>
        <w:spacing w:after="180" w:line="358" w:lineRule="auto"/>
        <w:ind w:left="129" w:right="130" w:hanging="14"/>
      </w:pPr>
      <w:r>
        <w:t xml:space="preserve">The hospital/survey vendor must retain the sample frame (i.e., the entire list of eligible HCAHPS patients from which each hospital’s sample is pulled) for 3 years. Confidentiality note: Patient-identifying information within the sample frame will not be part of the final data submitted to CMS, nor will any other </w:t>
      </w:r>
      <w:r w:rsidR="00A52E1F">
        <w:t>protected health information</w:t>
      </w:r>
      <w:r>
        <w:t xml:space="preserve">. </w:t>
      </w:r>
    </w:p>
    <w:p w:rsidR="00AE08B5" w14:paraId="603C7766" w14:textId="77777777">
      <w:pPr>
        <w:spacing w:line="357" w:lineRule="auto"/>
        <w:ind w:right="133"/>
      </w:pPr>
      <w:r>
        <w:t xml:space="preserve">Hospitals must submit at least 300 completed HCAHPS Surveys in a rolling four-quarter period (unless the hospital is too small to obtain 300 completed surveys). The absence of a sufficient number of HCAHPS eligible discharges is the only acceptable reason for submitting fewer than 300 completed HCAHPS Surveys in a rolling four-quarter period. In that not all sampled patients who are contacted to complete the survey will actually do so, guidance is provided hospitals/survey vendors as to how many discharges are needed to reach the required 300 completed surveys per four rolling quarters of data (a 12- month reporting period). </w:t>
      </w:r>
    </w:p>
    <w:p w:rsidR="00AE08B5" w14:paraId="0ABD7F77" w14:textId="77777777">
      <w:pPr>
        <w:spacing w:after="0" w:line="259" w:lineRule="auto"/>
        <w:ind w:left="0" w:firstLine="0"/>
      </w:pPr>
      <w:r>
        <w:rPr>
          <w:b/>
        </w:rPr>
        <w:t xml:space="preserve"> </w:t>
      </w:r>
    </w:p>
    <w:p w:rsidR="00AE08B5" w:rsidP="00C453BB" w14:paraId="22CFB1ED" w14:textId="77777777">
      <w:pPr>
        <w:pStyle w:val="Heading2"/>
        <w:numPr>
          <w:ilvl w:val="0"/>
          <w:numId w:val="8"/>
        </w:numPr>
      </w:pPr>
      <w:bookmarkStart w:id="2" w:name="_Toc142558114"/>
      <w:r>
        <w:t>Data Collection Procedures</w:t>
      </w:r>
      <w:bookmarkEnd w:id="2"/>
      <w:r>
        <w:t xml:space="preserve"> </w:t>
      </w:r>
    </w:p>
    <w:p w:rsidR="00AE08B5" w:rsidRPr="00C453BB" w:rsidP="00C453BB" w14:paraId="14E9A5B2" w14:textId="02C0D20B">
      <w:pPr>
        <w:pStyle w:val="Heading3"/>
        <w:numPr>
          <w:ilvl w:val="0"/>
          <w:numId w:val="9"/>
        </w:numPr>
        <w:spacing w:before="120" w:after="120" w:line="250" w:lineRule="auto"/>
        <w:ind w:left="475"/>
        <w:rPr>
          <w:rFonts w:ascii="Times New Roman" w:hAnsi="Times New Roman" w:cs="Times New Roman"/>
          <w:color w:val="auto"/>
          <w:u w:val="single"/>
        </w:rPr>
      </w:pPr>
      <w:bookmarkStart w:id="3" w:name="_Toc142558115"/>
      <w:r w:rsidRPr="00C453BB">
        <w:rPr>
          <w:rFonts w:ascii="Times New Roman" w:hAnsi="Times New Roman" w:cs="Times New Roman"/>
          <w:color w:val="auto"/>
          <w:u w:val="single"/>
        </w:rPr>
        <w:t>Statistical Methodology for Stratification and Sample Selection</w:t>
      </w:r>
      <w:bookmarkEnd w:id="3"/>
    </w:p>
    <w:p w:rsidR="00AE08B5" w14:paraId="628653E9" w14:textId="77777777">
      <w:pPr>
        <w:spacing w:line="356" w:lineRule="auto"/>
        <w:ind w:right="133"/>
      </w:pPr>
      <w:r>
        <w:t xml:space="preserve">The basic sampling procedure for HCAHPS entails drawing a random sample of all eligible discharges from a hospital on a monthly basis. Sampling may be conducted either continuously throughout the month or at the end of the month, as long as a random sample is generated from the entire month. The HCAHPS sample must be drawn according to this uninterrupted random sampling protocol and not according to any “quota” system. Hospitals/Survey vendors must sample from every month throughout the entire 12-month reporting period and not stop sampling or curtail ongoing survey administration activities even if 300 completed surveys have been attained. </w:t>
      </w:r>
    </w:p>
    <w:p w:rsidR="00AE08B5" w14:paraId="564DFEF7" w14:textId="77777777">
      <w:pPr>
        <w:spacing w:after="0" w:line="259" w:lineRule="auto"/>
        <w:ind w:left="0" w:firstLine="0"/>
      </w:pPr>
      <w:r>
        <w:t xml:space="preserve"> </w:t>
      </w:r>
    </w:p>
    <w:p w:rsidR="00AE08B5" w:rsidP="006501C6" w14:paraId="093B2419" w14:textId="77777777">
      <w:pPr>
        <w:spacing w:line="360" w:lineRule="auto"/>
        <w:ind w:right="133"/>
      </w:pPr>
      <w:r>
        <w:t>Sampling for HCAHPS is based on the eligible discharges (HCAHPS sample frame) for a calendar month</w:t>
      </w:r>
      <w:r>
        <w:rPr>
          <w:b/>
        </w:rPr>
        <w:t xml:space="preserve">. </w:t>
      </w:r>
      <w:r>
        <w:t xml:space="preserve">If every eligible discharge for a given month has the same probability of being sampled, then an equiprobable approach is being used. Stratified sampling is where eligible discharges are divided into non-overlapping subgroups, referred to as strata, before sampling. </w:t>
      </w:r>
    </w:p>
    <w:p w:rsidR="00AE08B5" w:rsidP="006501C6" w14:paraId="3CE488CE" w14:textId="77777777">
      <w:pPr>
        <w:spacing w:after="0" w:line="360" w:lineRule="auto"/>
        <w:ind w:left="0" w:firstLine="0"/>
      </w:pPr>
      <w:r>
        <w:t xml:space="preserve"> </w:t>
      </w:r>
    </w:p>
    <w:p w:rsidR="00833514" w:rsidP="006501C6" w14:paraId="71978ADC" w14:textId="12D95961">
      <w:pPr>
        <w:spacing w:after="123" w:line="360" w:lineRule="auto"/>
        <w:ind w:right="133"/>
      </w:pPr>
      <w:r>
        <w:t xml:space="preserve">There are three options for sampling patients for the HCAHPS Survey: Simple Random Sampling (SRS), Proportionate Stratified Random Sampling (PSRS), and Disproportionate Stratified Random Sampling (DSRS). Once a sample type is used within a quarter it must be maintained throughout that quarter; “Sample Type” can only be changed at the beginning of a quarter. </w:t>
      </w:r>
      <w:r>
        <w:t xml:space="preserve">For more information about HCAHPS sampling, please see HCAHPS Quality Assurance Guidelines, V18.0, pp. 61-84, at </w:t>
      </w:r>
      <w:hyperlink r:id="rId6">
        <w:r>
          <w:rPr>
            <w:color w:val="0000FF"/>
            <w:u w:val="single" w:color="0000FF"/>
          </w:rPr>
          <w:t>www.hcahpsonline.org/en/quality-assurance/</w:t>
        </w:r>
      </w:hyperlink>
      <w:hyperlink r:id="rId6">
        <w:r>
          <w:t>.</w:t>
        </w:r>
      </w:hyperlink>
      <w:r>
        <w:t xml:space="preserve"> </w:t>
      </w:r>
    </w:p>
    <w:p w:rsidR="00AE08B5" w14:paraId="1142EFAB" w14:textId="77777777">
      <w:pPr>
        <w:numPr>
          <w:ilvl w:val="0"/>
          <w:numId w:val="3"/>
        </w:numPr>
        <w:spacing w:line="358" w:lineRule="auto"/>
        <w:ind w:right="133" w:hanging="360"/>
      </w:pPr>
      <w:r>
        <w:rPr>
          <w:b/>
        </w:rPr>
        <w:t>SRS</w:t>
      </w:r>
      <w:r>
        <w:t xml:space="preserve">: </w:t>
      </w:r>
      <w:r>
        <w:rPr>
          <w:b/>
        </w:rPr>
        <w:t>S</w:t>
      </w:r>
      <w:r>
        <w:t xml:space="preserve">imple </w:t>
      </w:r>
      <w:r>
        <w:rPr>
          <w:b/>
        </w:rPr>
        <w:t>R</w:t>
      </w:r>
      <w:r>
        <w:t xml:space="preserve">andom </w:t>
      </w:r>
      <w:r>
        <w:rPr>
          <w:b/>
        </w:rPr>
        <w:t>S</w:t>
      </w:r>
      <w:r>
        <w:t xml:space="preserve">ampling is the most basic sampling type; patients are randomly selected from all eligible discharges for a month.  Strata are not used when employing SRS and each patient has equal opportunity of being selected into the sample, making SRS equiprobable. Census sampling is considered a form of simple random sampling. </w:t>
      </w:r>
    </w:p>
    <w:p w:rsidR="00AE08B5" w14:paraId="4FF12253" w14:textId="77777777">
      <w:pPr>
        <w:numPr>
          <w:ilvl w:val="0"/>
          <w:numId w:val="3"/>
        </w:numPr>
        <w:spacing w:line="359" w:lineRule="auto"/>
        <w:ind w:right="133" w:hanging="360"/>
      </w:pPr>
      <w:r>
        <w:rPr>
          <w:b/>
        </w:rPr>
        <w:t>PSRS</w:t>
      </w:r>
      <w:r>
        <w:t xml:space="preserve">: </w:t>
      </w:r>
      <w:r>
        <w:rPr>
          <w:b/>
        </w:rPr>
        <w:t>P</w:t>
      </w:r>
      <w:r>
        <w:t xml:space="preserve">roportionate </w:t>
      </w:r>
      <w:r>
        <w:rPr>
          <w:b/>
        </w:rPr>
        <w:t>S</w:t>
      </w:r>
      <w:r>
        <w:t xml:space="preserve">tratified </w:t>
      </w:r>
      <w:r>
        <w:rPr>
          <w:b/>
        </w:rPr>
        <w:t>R</w:t>
      </w:r>
      <w:r>
        <w:t xml:space="preserve">andom </w:t>
      </w:r>
      <w:r>
        <w:rPr>
          <w:b/>
        </w:rPr>
        <w:t>S</w:t>
      </w:r>
      <w:r>
        <w:t xml:space="preserve">ampling uses strata definitions and random sample selection from all strata at equal rates. Since the sampling rates of the strata are “proportionate,” PSRS is also considered equiprobable. </w:t>
      </w:r>
    </w:p>
    <w:p w:rsidR="00AE08B5" w14:paraId="70BEB49F" w14:textId="77777777">
      <w:pPr>
        <w:numPr>
          <w:ilvl w:val="0"/>
          <w:numId w:val="3"/>
        </w:numPr>
        <w:spacing w:line="358" w:lineRule="auto"/>
        <w:ind w:right="133" w:hanging="360"/>
      </w:pPr>
      <w:r>
        <w:rPr>
          <w:b/>
        </w:rPr>
        <w:t>DSRS</w:t>
      </w:r>
      <w:r>
        <w:t xml:space="preserve">: </w:t>
      </w:r>
      <w:r>
        <w:rPr>
          <w:b/>
        </w:rPr>
        <w:t>D</w:t>
      </w:r>
      <w:r>
        <w:t xml:space="preserve">isproportionate </w:t>
      </w:r>
      <w:r>
        <w:rPr>
          <w:b/>
        </w:rPr>
        <w:t>S</w:t>
      </w:r>
      <w:r>
        <w:t xml:space="preserve">tratified </w:t>
      </w:r>
      <w:r>
        <w:rPr>
          <w:b/>
        </w:rPr>
        <w:t>R</w:t>
      </w:r>
      <w:r>
        <w:t xml:space="preserve">andom </w:t>
      </w:r>
      <w:r>
        <w:rPr>
          <w:b/>
        </w:rPr>
        <w:t>S</w:t>
      </w:r>
      <w:r>
        <w:t xml:space="preserve">ampling involves sampling within strata at different rates, and thus, DSRS requires information about the strata. By definition, DSRS is not an equiprobable sampling approach as DSRS allows for dissimilar sampling rates across strata. DSRS means that all eligible discharges do not have an equal chance of being selected for inclusion in the monthly sample. To account for this, CMS requires additional information from hospitals and survey vendors who choose to use DSRS as a sampling type. Hospitals/survey vendors must submit an Exceptions Request Form and then be approved to use DSRS. </w:t>
      </w:r>
    </w:p>
    <w:p w:rsidR="00AE08B5" w14:paraId="5F243C3C" w14:textId="77777777">
      <w:pPr>
        <w:spacing w:after="0" w:line="259" w:lineRule="auto"/>
        <w:ind w:left="0" w:firstLine="0"/>
      </w:pPr>
      <w:r>
        <w:t xml:space="preserve"> </w:t>
      </w:r>
    </w:p>
    <w:p w:rsidR="00AE08B5" w:rsidRPr="00C453BB" w:rsidP="00C453BB" w14:paraId="0C27A909" w14:textId="662984A8">
      <w:pPr>
        <w:pStyle w:val="Heading3"/>
        <w:numPr>
          <w:ilvl w:val="0"/>
          <w:numId w:val="9"/>
        </w:numPr>
        <w:spacing w:before="120" w:after="120" w:line="250" w:lineRule="auto"/>
        <w:ind w:left="475"/>
        <w:rPr>
          <w:rFonts w:ascii="Times New Roman" w:hAnsi="Times New Roman" w:cs="Times New Roman"/>
          <w:color w:val="auto"/>
          <w:u w:val="single"/>
        </w:rPr>
      </w:pPr>
      <w:bookmarkStart w:id="4" w:name="_Toc142558116"/>
      <w:r w:rsidRPr="00C453BB">
        <w:rPr>
          <w:rFonts w:ascii="Times New Roman" w:hAnsi="Times New Roman" w:cs="Times New Roman"/>
          <w:color w:val="auto"/>
          <w:u w:val="single"/>
        </w:rPr>
        <w:t>Estimation Procedures.</w:t>
      </w:r>
      <w:bookmarkEnd w:id="4"/>
      <w:r w:rsidRPr="00C453BB">
        <w:rPr>
          <w:rFonts w:ascii="Times New Roman" w:hAnsi="Times New Roman" w:cs="Times New Roman"/>
          <w:color w:val="auto"/>
          <w:u w:val="single"/>
        </w:rPr>
        <w:t xml:space="preserve"> </w:t>
      </w:r>
    </w:p>
    <w:p w:rsidR="00AE08B5" w:rsidP="00C453BB" w14:paraId="6E2E26FB" w14:textId="592AAE31">
      <w:pPr>
        <w:ind w:left="-5" w:right="133" w:firstLine="123"/>
      </w:pPr>
      <w:r>
        <w:t xml:space="preserve">Not applicable to the HCAHPS Survey.  </w:t>
      </w:r>
    </w:p>
    <w:p w:rsidR="00AE08B5" w14:paraId="7B9A5461" w14:textId="77777777">
      <w:pPr>
        <w:spacing w:after="0" w:line="259" w:lineRule="auto"/>
        <w:ind w:left="0" w:firstLine="0"/>
      </w:pPr>
      <w:r>
        <w:t xml:space="preserve"> </w:t>
      </w:r>
    </w:p>
    <w:p w:rsidR="00AE08B5" w:rsidRPr="00C453BB" w:rsidP="00C453BB" w14:paraId="6AA40E56" w14:textId="625BB998">
      <w:pPr>
        <w:pStyle w:val="Heading3"/>
        <w:numPr>
          <w:ilvl w:val="0"/>
          <w:numId w:val="9"/>
        </w:numPr>
        <w:spacing w:before="120" w:after="120" w:line="250" w:lineRule="auto"/>
        <w:ind w:left="475"/>
        <w:rPr>
          <w:rFonts w:ascii="Times New Roman" w:hAnsi="Times New Roman" w:cs="Times New Roman"/>
          <w:color w:val="auto"/>
          <w:u w:val="single"/>
        </w:rPr>
      </w:pPr>
      <w:bookmarkStart w:id="5" w:name="_Toc142558117"/>
      <w:r w:rsidRPr="00C453BB">
        <w:rPr>
          <w:rFonts w:ascii="Times New Roman" w:hAnsi="Times New Roman" w:cs="Times New Roman"/>
          <w:color w:val="auto"/>
          <w:u w:val="single"/>
        </w:rPr>
        <w:t>Degree of Accuracy Needed for the Purpose Described in the Justification.</w:t>
      </w:r>
      <w:bookmarkEnd w:id="5"/>
      <w:r w:rsidRPr="00C453BB">
        <w:rPr>
          <w:rFonts w:ascii="Times New Roman" w:hAnsi="Times New Roman" w:cs="Times New Roman"/>
          <w:color w:val="auto"/>
          <w:u w:val="single"/>
        </w:rPr>
        <w:t xml:space="preserve"> </w:t>
      </w:r>
    </w:p>
    <w:p w:rsidR="00AE08B5" w:rsidP="00C453BB" w14:paraId="162E5E28" w14:textId="23ECA46E">
      <w:pPr>
        <w:spacing w:after="120" w:line="358" w:lineRule="auto"/>
        <w:ind w:left="129" w:right="130" w:hanging="14"/>
      </w:pPr>
      <w:r>
        <w:t>IPPS hospitals are expected to achieve at least 300 completed surveys over a 12 month period, if possible, to attain the desired degree of accuracy; please see below.  HCAHPS scores based on fewer than 100 or 50 completed surveys are publicly reported but the lower reliability of these scores is noted with an appropriate footnote in public reporting. HCAHPS scores based on fewer than 25 completed surveys are not reported on the Care Compare Web site. However, these hospitals do receive their HCAHPS scores in their confidential Preview Reports.  IPPS hospitals must achieve at least 100 completed HCAHPS surveys during the 12 month Performance Period in order for a Person and Community Engagement Domain score to be calculated in the Hospital Value-Based Purchasing program. The HCAHPS Quality Assurance Guidelines, V1</w:t>
      </w:r>
      <w:r w:rsidR="00B856FD">
        <w:t>8</w:t>
      </w:r>
      <w:r>
        <w:t>.0, pp. 6</w:t>
      </w:r>
      <w:r w:rsidR="009C06E1">
        <w:t>7</w:t>
      </w:r>
      <w:r>
        <w:t>-</w:t>
      </w:r>
      <w:r w:rsidR="009C06E1">
        <w:t>70</w:t>
      </w:r>
      <w:r>
        <w:t xml:space="preserve">, describe how to calculate the sample size necessary to attain at least 300 completed surveys, </w:t>
      </w:r>
      <w:hyperlink r:id="rId6">
        <w:r>
          <w:rPr>
            <w:color w:val="0000FF"/>
            <w:u w:val="single" w:color="0000FF"/>
          </w:rPr>
          <w:t>www.hcahpsonline.org/en/quality-assurance/</w:t>
        </w:r>
      </w:hyperlink>
      <w:hyperlink r:id="rId6">
        <w:r>
          <w:t>.</w:t>
        </w:r>
      </w:hyperlink>
      <w:r>
        <w:t xml:space="preserve">  </w:t>
      </w:r>
      <w:r w:rsidR="008026D7">
        <w:t>A</w:t>
      </w:r>
      <w:r>
        <w:t>dditional information about the validity and reliability of the HCAHPS Survey</w:t>
      </w:r>
      <w:r w:rsidR="008026D7">
        <w:t xml:space="preserve"> is provided in </w:t>
      </w:r>
      <w:r>
        <w:t xml:space="preserve"> </w:t>
      </w:r>
      <w:r>
        <w:t xml:space="preserve">Elliott, Lehrman, et al. (2010). “Do Hospitals Rank Differently on HCAHPS for Different Patient Subgroups?” </w:t>
      </w:r>
      <w:r>
        <w:rPr>
          <w:u w:val="single" w:color="000000"/>
        </w:rPr>
        <w:t>Medical Care Research and Review</w:t>
      </w:r>
      <w:r>
        <w:t xml:space="preserve">, 67(1):56- 73.  </w:t>
      </w:r>
    </w:p>
    <w:p w:rsidR="00AE08B5" w:rsidRPr="00C453BB" w:rsidP="00C453BB" w14:paraId="0BDEF322" w14:textId="7EECF293">
      <w:pPr>
        <w:pStyle w:val="Heading3"/>
        <w:numPr>
          <w:ilvl w:val="0"/>
          <w:numId w:val="9"/>
        </w:numPr>
        <w:spacing w:before="120" w:after="120" w:line="250" w:lineRule="auto"/>
        <w:ind w:left="475"/>
        <w:rPr>
          <w:rFonts w:ascii="Times New Roman" w:hAnsi="Times New Roman" w:cs="Times New Roman"/>
          <w:color w:val="auto"/>
          <w:u w:val="single"/>
        </w:rPr>
      </w:pPr>
      <w:bookmarkStart w:id="6" w:name="_Toc142558118"/>
      <w:r w:rsidRPr="00C453BB">
        <w:rPr>
          <w:rFonts w:ascii="Times New Roman" w:hAnsi="Times New Roman" w:cs="Times New Roman"/>
          <w:color w:val="auto"/>
          <w:u w:val="single"/>
        </w:rPr>
        <w:t>Unusual Problems Requiring Specialized Sampling Procedures.</w:t>
      </w:r>
      <w:bookmarkEnd w:id="6"/>
      <w:r w:rsidRPr="00C453BB">
        <w:rPr>
          <w:rFonts w:ascii="Times New Roman" w:hAnsi="Times New Roman" w:cs="Times New Roman"/>
          <w:color w:val="auto"/>
          <w:u w:val="single"/>
        </w:rPr>
        <w:t xml:space="preserve"> </w:t>
      </w:r>
    </w:p>
    <w:p w:rsidR="00AE08B5" w:rsidP="00C453BB" w14:paraId="03222796" w14:textId="77777777">
      <w:pPr>
        <w:spacing w:after="0" w:line="240" w:lineRule="auto"/>
        <w:ind w:left="115" w:right="3528" w:firstLine="0"/>
      </w:pPr>
      <w:r>
        <w:t xml:space="preserve">Not applicable to the HCAHPS Survey. </w:t>
      </w:r>
    </w:p>
    <w:p w:rsidR="00AE08B5" w14:paraId="50555CDD" w14:textId="77777777">
      <w:pPr>
        <w:spacing w:after="0" w:line="259" w:lineRule="auto"/>
        <w:ind w:left="108" w:firstLine="0"/>
      </w:pPr>
      <w:r>
        <w:t xml:space="preserve"> </w:t>
      </w:r>
    </w:p>
    <w:p w:rsidR="00AE08B5" w:rsidP="00C453BB" w14:paraId="22CEB02E" w14:textId="1AF138FB">
      <w:pPr>
        <w:pStyle w:val="Heading2"/>
        <w:numPr>
          <w:ilvl w:val="0"/>
          <w:numId w:val="8"/>
        </w:numPr>
        <w:spacing w:before="120" w:after="120"/>
        <w:ind w:left="475"/>
      </w:pPr>
      <w:bookmarkStart w:id="7" w:name="_Toc142036718"/>
      <w:bookmarkStart w:id="8" w:name="_Toc142558119"/>
      <w:bookmarkEnd w:id="7"/>
      <w:r>
        <w:t>Maximizing Response Rates/Non-response and Issues of Accuracy, Reliability, and Validity</w:t>
      </w:r>
      <w:bookmarkEnd w:id="8"/>
    </w:p>
    <w:p w:rsidR="00AE08B5" w:rsidP="00C453BB" w14:paraId="564E2A98" w14:textId="246CBB9C">
      <w:pPr>
        <w:spacing w:after="235" w:line="358" w:lineRule="auto"/>
        <w:ind w:left="115" w:right="130" w:firstLine="0"/>
      </w:pPr>
      <w:r>
        <w:t>Implementation of the HCAHPS Survey according to the protocols contained in the current HCAHPS Quality Assurance Guidelines, V1</w:t>
      </w:r>
      <w:r w:rsidR="00B856FD">
        <w:t>8</w:t>
      </w:r>
      <w:r>
        <w:t>.0, helps hospita</w:t>
      </w:r>
      <w:r w:rsidR="00D16206">
        <w:t>l</w:t>
      </w:r>
      <w:r w:rsidR="0065552C">
        <w:t>s</w:t>
      </w:r>
      <w:r>
        <w:t xml:space="preserve"> to attain the greatest response rate. CMS examines hospital response rates every quarter and works with hospitals and survey vendors whose response rate is significantly below the national average.  Among other tactics, CMS strongly encourages hospitals to offer the HCAHPS Survey in the language spoken at home by their patients. Analysis of HCAHPS data indicates that the patient-mix adjustment applied to survey results adequately addresses the non-response bias that would exist without patient-mix adjustment; see “The Effects of Survey Mode, Patient Mix, and Nonresponse on CAHPS Hospital Survey Scores.” Elliott, Zaslavsky et al. (2009) </w:t>
      </w:r>
      <w:r>
        <w:rPr>
          <w:u w:val="single" w:color="000000"/>
        </w:rPr>
        <w:t>Health Services Research</w:t>
      </w:r>
      <w:r>
        <w:t xml:space="preserve">, 44 (2): 501-518. </w:t>
      </w:r>
    </w:p>
    <w:p w:rsidR="00AE08B5" w:rsidP="00C453BB" w14:paraId="121907AA" w14:textId="5199A04E">
      <w:pPr>
        <w:spacing w:after="235" w:line="358" w:lineRule="auto"/>
        <w:ind w:left="115" w:right="130" w:firstLine="0"/>
      </w:pPr>
      <w:r>
        <w:t xml:space="preserve">Information on statistical tests of the original 27-item HCAHPS Survey can be found in the original 2006 OMB package. Here we focus on the most recent tests of the validity and reliability of the </w:t>
      </w:r>
      <w:r w:rsidR="00B15E4B">
        <w:t xml:space="preserve">currently implemented </w:t>
      </w:r>
      <w:r>
        <w:t xml:space="preserve">29-item HCAHPS Survey </w:t>
      </w:r>
      <w:r w:rsidR="00B15E4B">
        <w:t>(</w:t>
      </w:r>
      <w:r>
        <w:t>at the recommended 300 completed surveys in a 12-month public reporting period</w:t>
      </w:r>
      <w:r w:rsidR="00B15E4B">
        <w:t>)</w:t>
      </w:r>
      <w:r w:rsidR="001E6258">
        <w:t xml:space="preserve"> for seven HCAHPS measures that</w:t>
      </w:r>
      <w:r w:rsidR="0037345C">
        <w:t xml:space="preserve"> will</w:t>
      </w:r>
      <w:r w:rsidR="001E6258">
        <w:t xml:space="preserve"> remain unchanged on the </w:t>
      </w:r>
      <w:r w:rsidR="00B15E4B">
        <w:t xml:space="preserve">updated HCAHPS Survey </w:t>
      </w:r>
      <w:r w:rsidR="001E6258">
        <w:t xml:space="preserve">. </w:t>
      </w:r>
      <w:r>
        <w:t xml:space="preserve"> </w:t>
      </w:r>
      <w:r w:rsidR="0042692A">
        <w:t xml:space="preserve">For the </w:t>
      </w:r>
      <w:r w:rsidR="00B15E4B">
        <w:t>three</w:t>
      </w:r>
      <w:r w:rsidR="0042692A">
        <w:t xml:space="preserve"> new </w:t>
      </w:r>
      <w:r w:rsidR="00B15E4B">
        <w:t xml:space="preserve">and one revised </w:t>
      </w:r>
      <w:r w:rsidR="0042692A">
        <w:t xml:space="preserve">measures </w:t>
      </w:r>
      <w:r w:rsidR="00B15E4B">
        <w:t>that will first appear on the updated HCAHPS Survey</w:t>
      </w:r>
      <w:r w:rsidR="00BF6064">
        <w:t xml:space="preserve"> in 2025</w:t>
      </w:r>
      <w:r w:rsidR="0042692A">
        <w:t xml:space="preserve">, </w:t>
      </w:r>
      <w:r w:rsidR="00B15E4B">
        <w:t xml:space="preserve">the </w:t>
      </w:r>
      <w:r w:rsidR="0042692A">
        <w:t xml:space="preserve">tests for validity and reliability are from the 2021 </w:t>
      </w:r>
      <w:r w:rsidR="00BF6064">
        <w:t xml:space="preserve">HCAHPS </w:t>
      </w:r>
      <w:r w:rsidR="0042692A">
        <w:t xml:space="preserve">mode experiment.  </w:t>
      </w:r>
    </w:p>
    <w:p w:rsidR="00AE08B5" w:rsidP="00C453BB" w14:paraId="087FE091" w14:textId="57D65CD1">
      <w:pPr>
        <w:spacing w:line="358" w:lineRule="auto"/>
        <w:ind w:left="115" w:right="130"/>
      </w:pPr>
      <w:r>
        <w:t xml:space="preserve">In terms of hospital-level reliability, the signal-to-noise ratio indicates how much of what you measure is “signal” (true variation in performance), rather than “noise” (measurement error). Unit or hospital-level reliability (Spearman-Brown reliability) is the proportion of variance in hospital-level scores that reflect true variation among hospitals, not noise due to limited numbers of patient surveys; see Table 1.  </w:t>
      </w:r>
    </w:p>
    <w:p w:rsidR="00AE08B5" w:rsidP="00C453BB" w14:paraId="2CD6C769" w14:textId="77777777">
      <w:pPr>
        <w:spacing w:after="0" w:line="259" w:lineRule="auto"/>
        <w:ind w:left="115" w:right="130" w:firstLine="0"/>
      </w:pPr>
      <w:r>
        <w:rPr>
          <w:b/>
        </w:rPr>
        <w:t xml:space="preserve"> </w:t>
      </w:r>
      <w:r>
        <w:rPr>
          <w:b/>
        </w:rPr>
        <w:tab/>
        <w:t xml:space="preserve"> </w:t>
      </w:r>
    </w:p>
    <w:p w:rsidR="00AE08B5" w:rsidRPr="00F667F7" w:rsidP="00B95A44" w14:paraId="46ACCB7B" w14:textId="0FD3B701">
      <w:pPr>
        <w:pStyle w:val="Caption"/>
        <w:keepNext/>
      </w:pPr>
      <w:r w:rsidRPr="00B95A44">
        <w:rPr>
          <w:b/>
          <w:bCs/>
          <w:i w:val="0"/>
          <w:iCs w:val="0"/>
          <w:color w:val="auto"/>
          <w:sz w:val="24"/>
          <w:szCs w:val="24"/>
        </w:rPr>
        <w:t xml:space="preserve">Table 1:  Hospital-Level </w:t>
      </w:r>
      <w:r w:rsidRPr="001A5DEA">
        <w:rPr>
          <w:b/>
          <w:bCs/>
          <w:i w:val="0"/>
          <w:iCs w:val="0"/>
          <w:color w:val="auto"/>
          <w:sz w:val="24"/>
          <w:szCs w:val="24"/>
        </w:rPr>
        <w:t>Spearman-Brown</w:t>
      </w:r>
      <w:r w:rsidRPr="00B95A44">
        <w:rPr>
          <w:b/>
          <w:bCs/>
          <w:i w:val="0"/>
          <w:iCs w:val="0"/>
          <w:color w:val="auto"/>
          <w:sz w:val="24"/>
          <w:szCs w:val="24"/>
        </w:rPr>
        <w:t xml:space="preserve"> Reliabilities of HCAHPS </w:t>
      </w:r>
      <w:r w:rsidR="001A5DEA">
        <w:rPr>
          <w:b/>
          <w:bCs/>
          <w:i w:val="0"/>
          <w:iCs w:val="0"/>
          <w:color w:val="auto"/>
          <w:sz w:val="24"/>
          <w:szCs w:val="24"/>
        </w:rPr>
        <w:t>Linear-Mean</w:t>
      </w:r>
      <w:r w:rsidRPr="00B95A44" w:rsidR="00D90FAA">
        <w:rPr>
          <w:b/>
          <w:bCs/>
          <w:i w:val="0"/>
          <w:iCs w:val="0"/>
          <w:color w:val="auto"/>
          <w:sz w:val="24"/>
          <w:szCs w:val="24"/>
        </w:rPr>
        <w:t xml:space="preserve"> Scores of HCAHPS Measures at 300 Completed Surveys, </w:t>
      </w:r>
      <w:r w:rsidRPr="00B95A44" w:rsidR="00E47B9E">
        <w:rPr>
          <w:b/>
          <w:color w:val="auto"/>
          <w:sz w:val="24"/>
          <w:szCs w:val="24"/>
        </w:rPr>
        <w:t>2.</w:t>
      </w:r>
      <w:r w:rsidRPr="00B95A44" w:rsidR="0074755A">
        <w:rPr>
          <w:b/>
          <w:color w:val="auto"/>
          <w:sz w:val="24"/>
          <w:szCs w:val="24"/>
        </w:rPr>
        <w:t>3</w:t>
      </w:r>
      <w:r w:rsidRPr="00B95A44" w:rsidR="00E47B9E">
        <w:rPr>
          <w:b/>
          <w:color w:val="auto"/>
          <w:sz w:val="24"/>
          <w:szCs w:val="24"/>
        </w:rPr>
        <w:t xml:space="preserve"> million discharges, January – December 20</w:t>
      </w:r>
      <w:r w:rsidRPr="00B95A44" w:rsidR="0074755A">
        <w:rPr>
          <w:b/>
          <w:color w:val="auto"/>
          <w:sz w:val="24"/>
          <w:szCs w:val="24"/>
        </w:rPr>
        <w:t>22</w:t>
      </w:r>
      <w:r w:rsidRPr="00B95A44" w:rsidR="00E47B9E">
        <w:rPr>
          <w:b/>
          <w:color w:val="auto"/>
        </w:rPr>
        <w:t xml:space="preserve"> </w:t>
      </w:r>
    </w:p>
    <w:tbl>
      <w:tblPr>
        <w:tblStyle w:val="TableGrid"/>
        <w:tblW w:w="6276" w:type="dxa"/>
        <w:tblInd w:w="104" w:type="dxa"/>
        <w:tblCellMar>
          <w:top w:w="60" w:type="dxa"/>
          <w:left w:w="108" w:type="dxa"/>
          <w:right w:w="115" w:type="dxa"/>
        </w:tblCellMar>
        <w:tblLook w:val="04A0"/>
      </w:tblPr>
      <w:tblGrid>
        <w:gridCol w:w="4476"/>
        <w:gridCol w:w="1800"/>
      </w:tblGrid>
      <w:tr w14:paraId="5478967A" w14:textId="77777777" w:rsidTr="006A3C5C">
        <w:tblPrEx>
          <w:tblW w:w="6276" w:type="dxa"/>
          <w:tblInd w:w="104" w:type="dxa"/>
          <w:tblCellMar>
            <w:top w:w="60" w:type="dxa"/>
            <w:left w:w="108" w:type="dxa"/>
            <w:right w:w="115" w:type="dxa"/>
          </w:tblCellMar>
          <w:tblLook w:val="04A0"/>
        </w:tblPrEx>
        <w:trPr>
          <w:trHeight w:val="317"/>
        </w:trPr>
        <w:tc>
          <w:tcPr>
            <w:tcW w:w="4476" w:type="dxa"/>
            <w:tcBorders>
              <w:top w:val="single" w:sz="8" w:space="0" w:color="000000"/>
              <w:left w:val="single" w:sz="8" w:space="0" w:color="000000"/>
              <w:bottom w:val="single" w:sz="4" w:space="0" w:color="000000"/>
              <w:right w:val="single" w:sz="4" w:space="0" w:color="000000"/>
            </w:tcBorders>
          </w:tcPr>
          <w:p w:rsidR="00AE08B5" w:rsidRPr="00F667F7" w14:paraId="6E06FA55" w14:textId="77777777">
            <w:pPr>
              <w:spacing w:after="0" w:line="259" w:lineRule="auto"/>
              <w:ind w:left="0" w:firstLine="0"/>
            </w:pPr>
            <w:r w:rsidRPr="00F667F7">
              <w:rPr>
                <w:rFonts w:ascii="Calibri" w:eastAsia="Calibri" w:hAnsi="Calibri" w:cs="Calibri"/>
              </w:rPr>
              <w:t xml:space="preserve">Communication with Nurses </w:t>
            </w:r>
          </w:p>
        </w:tc>
        <w:tc>
          <w:tcPr>
            <w:tcW w:w="1800" w:type="dxa"/>
            <w:tcBorders>
              <w:top w:val="single" w:sz="8" w:space="0" w:color="000000"/>
              <w:left w:val="single" w:sz="4" w:space="0" w:color="000000"/>
              <w:bottom w:val="single" w:sz="4" w:space="0" w:color="000000"/>
              <w:right w:val="single" w:sz="8" w:space="0" w:color="000000"/>
            </w:tcBorders>
          </w:tcPr>
          <w:p w:rsidR="00AE08B5" w:rsidRPr="00913E97" w14:paraId="1CBE881E" w14:textId="4FE3BCD8">
            <w:pPr>
              <w:spacing w:after="0" w:line="259" w:lineRule="auto"/>
              <w:ind w:left="0" w:firstLine="0"/>
            </w:pPr>
            <w:r w:rsidRPr="00F667F7">
              <w:rPr>
                <w:rFonts w:ascii="Calibri" w:eastAsia="Calibri" w:hAnsi="Calibri" w:cs="Calibri"/>
              </w:rPr>
              <w:t>0.</w:t>
            </w:r>
            <w:r w:rsidRPr="00F667F7" w:rsidR="00DC5125">
              <w:rPr>
                <w:rFonts w:ascii="Calibri" w:eastAsia="Calibri" w:hAnsi="Calibri" w:cs="Calibri"/>
              </w:rPr>
              <w:t>90</w:t>
            </w:r>
            <w:r w:rsidRPr="00913E97" w:rsidR="00DC5125">
              <w:rPr>
                <w:rFonts w:ascii="Calibri" w:eastAsia="Calibri" w:hAnsi="Calibri" w:cs="Calibri"/>
              </w:rPr>
              <w:t xml:space="preserve"> </w:t>
            </w:r>
          </w:p>
        </w:tc>
      </w:tr>
      <w:tr w14:paraId="46C2F4EE"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3131AD46" w14:textId="77777777">
            <w:pPr>
              <w:spacing w:after="0" w:line="259" w:lineRule="auto"/>
              <w:ind w:left="0" w:firstLine="0"/>
            </w:pPr>
            <w:r w:rsidRPr="00913E97">
              <w:rPr>
                <w:rFonts w:ascii="Calibri" w:eastAsia="Calibri" w:hAnsi="Calibri" w:cs="Calibri"/>
              </w:rPr>
              <w:t xml:space="preserve">Communication with Doctors </w:t>
            </w:r>
          </w:p>
        </w:tc>
        <w:tc>
          <w:tcPr>
            <w:tcW w:w="1800" w:type="dxa"/>
            <w:tcBorders>
              <w:top w:val="single" w:sz="4" w:space="0" w:color="000000"/>
              <w:left w:val="single" w:sz="4" w:space="0" w:color="000000"/>
              <w:bottom w:val="single" w:sz="4" w:space="0" w:color="000000"/>
              <w:right w:val="single" w:sz="8" w:space="0" w:color="000000"/>
            </w:tcBorders>
          </w:tcPr>
          <w:p w:rsidR="00AE08B5" w:rsidRPr="00F667F7" w14:paraId="59D11FEF" w14:textId="6ED0814F">
            <w:pPr>
              <w:spacing w:after="0" w:line="259" w:lineRule="auto"/>
              <w:ind w:left="0" w:firstLine="0"/>
            </w:pPr>
            <w:r w:rsidRPr="00F667F7">
              <w:rPr>
                <w:rFonts w:ascii="Calibri" w:eastAsia="Calibri" w:hAnsi="Calibri" w:cs="Calibri"/>
              </w:rPr>
              <w:t>0.</w:t>
            </w:r>
            <w:r w:rsidRPr="00F667F7" w:rsidR="00DC5125">
              <w:rPr>
                <w:rFonts w:ascii="Calibri" w:eastAsia="Calibri" w:hAnsi="Calibri" w:cs="Calibri"/>
              </w:rPr>
              <w:t xml:space="preserve">89 </w:t>
            </w:r>
          </w:p>
        </w:tc>
      </w:tr>
      <w:tr w14:paraId="0A252CD5"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50495747" w14:textId="77777777">
            <w:pPr>
              <w:spacing w:after="0" w:line="259" w:lineRule="auto"/>
              <w:ind w:left="0" w:firstLine="0"/>
            </w:pPr>
            <w:r w:rsidRPr="00913E97">
              <w:rPr>
                <w:rFonts w:ascii="Calibri" w:eastAsia="Calibri" w:hAnsi="Calibri" w:cs="Calibri"/>
              </w:rPr>
              <w:t xml:space="preserve">Communication about Medicines </w:t>
            </w:r>
          </w:p>
        </w:tc>
        <w:tc>
          <w:tcPr>
            <w:tcW w:w="1800" w:type="dxa"/>
            <w:tcBorders>
              <w:top w:val="single" w:sz="4" w:space="0" w:color="000000"/>
              <w:left w:val="single" w:sz="4" w:space="0" w:color="000000"/>
              <w:bottom w:val="single" w:sz="4" w:space="0" w:color="000000"/>
              <w:right w:val="single" w:sz="8" w:space="0" w:color="000000"/>
            </w:tcBorders>
          </w:tcPr>
          <w:p w:rsidR="00AE08B5" w:rsidRPr="00F667F7" w14:paraId="28A62D50" w14:textId="3999ACFB">
            <w:pPr>
              <w:spacing w:after="0" w:line="259" w:lineRule="auto"/>
              <w:ind w:left="0" w:firstLine="0"/>
            </w:pPr>
            <w:r w:rsidRPr="00F667F7">
              <w:rPr>
                <w:rFonts w:ascii="Calibri" w:eastAsia="Calibri" w:hAnsi="Calibri" w:cs="Calibri"/>
              </w:rPr>
              <w:t>0.</w:t>
            </w:r>
            <w:r w:rsidRPr="00F667F7" w:rsidR="00DC5125">
              <w:rPr>
                <w:rFonts w:ascii="Calibri" w:eastAsia="Calibri" w:hAnsi="Calibri" w:cs="Calibri"/>
              </w:rPr>
              <w:t>8</w:t>
            </w:r>
            <w:r w:rsidR="001A5DEA">
              <w:rPr>
                <w:rFonts w:ascii="Calibri" w:eastAsia="Calibri" w:hAnsi="Calibri" w:cs="Calibri"/>
              </w:rPr>
              <w:t>9</w:t>
            </w:r>
            <w:r w:rsidRPr="00F667F7" w:rsidR="00DC5125">
              <w:rPr>
                <w:rFonts w:ascii="Calibri" w:eastAsia="Calibri" w:hAnsi="Calibri" w:cs="Calibri"/>
              </w:rPr>
              <w:t xml:space="preserve"> </w:t>
            </w:r>
          </w:p>
        </w:tc>
      </w:tr>
      <w:tr w14:paraId="5E7FCACC"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4F35A7E4" w14:textId="77777777">
            <w:pPr>
              <w:spacing w:after="0" w:line="259" w:lineRule="auto"/>
              <w:ind w:left="0" w:firstLine="0"/>
            </w:pPr>
            <w:r w:rsidRPr="00913E97">
              <w:rPr>
                <w:rFonts w:ascii="Calibri" w:eastAsia="Calibri" w:hAnsi="Calibri" w:cs="Calibri"/>
              </w:rPr>
              <w:t xml:space="preserve">Cleanliness </w:t>
            </w:r>
          </w:p>
        </w:tc>
        <w:tc>
          <w:tcPr>
            <w:tcW w:w="1800" w:type="dxa"/>
            <w:tcBorders>
              <w:top w:val="single" w:sz="4" w:space="0" w:color="000000"/>
              <w:left w:val="single" w:sz="4" w:space="0" w:color="000000"/>
              <w:bottom w:val="single" w:sz="4" w:space="0" w:color="000000"/>
              <w:right w:val="single" w:sz="8" w:space="0" w:color="000000"/>
            </w:tcBorders>
          </w:tcPr>
          <w:p w:rsidR="00AE08B5" w:rsidRPr="00F667F7" w14:paraId="5876BEBA" w14:textId="24D3C0C7">
            <w:pPr>
              <w:spacing w:after="0" w:line="259" w:lineRule="auto"/>
              <w:ind w:left="0" w:firstLine="0"/>
            </w:pPr>
            <w:r w:rsidRPr="00F667F7">
              <w:rPr>
                <w:rFonts w:ascii="Calibri" w:eastAsia="Calibri" w:hAnsi="Calibri" w:cs="Calibri"/>
              </w:rPr>
              <w:t>0.</w:t>
            </w:r>
            <w:r w:rsidRPr="00F667F7" w:rsidR="00F914C7">
              <w:rPr>
                <w:rFonts w:ascii="Calibri" w:eastAsia="Calibri" w:hAnsi="Calibri" w:cs="Calibri"/>
              </w:rPr>
              <w:t xml:space="preserve">91 </w:t>
            </w:r>
          </w:p>
        </w:tc>
      </w:tr>
      <w:tr w14:paraId="63B120FA"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15C2B283" w14:textId="77777777">
            <w:pPr>
              <w:spacing w:after="0" w:line="259" w:lineRule="auto"/>
              <w:ind w:left="0" w:firstLine="0"/>
            </w:pPr>
            <w:r w:rsidRPr="00913E97">
              <w:rPr>
                <w:rFonts w:ascii="Calibri" w:eastAsia="Calibri" w:hAnsi="Calibri" w:cs="Calibri"/>
              </w:rPr>
              <w:t xml:space="preserve">Discharge Information </w:t>
            </w:r>
          </w:p>
        </w:tc>
        <w:tc>
          <w:tcPr>
            <w:tcW w:w="1800" w:type="dxa"/>
            <w:tcBorders>
              <w:top w:val="single" w:sz="4" w:space="0" w:color="000000"/>
              <w:left w:val="single" w:sz="4" w:space="0" w:color="000000"/>
              <w:bottom w:val="single" w:sz="4" w:space="0" w:color="000000"/>
              <w:right w:val="single" w:sz="8" w:space="0" w:color="000000"/>
            </w:tcBorders>
          </w:tcPr>
          <w:p w:rsidR="00AE08B5" w:rsidRPr="00F667F7" w14:paraId="6946FEFD" w14:textId="6A974937">
            <w:pPr>
              <w:spacing w:after="0" w:line="259" w:lineRule="auto"/>
              <w:ind w:left="0" w:firstLine="0"/>
            </w:pPr>
            <w:r w:rsidRPr="00F667F7">
              <w:rPr>
                <w:rFonts w:ascii="Calibri" w:eastAsia="Calibri" w:hAnsi="Calibri" w:cs="Calibri"/>
              </w:rPr>
              <w:t>0.</w:t>
            </w:r>
            <w:r w:rsidRPr="00F667F7" w:rsidR="00F914C7">
              <w:rPr>
                <w:rFonts w:ascii="Calibri" w:eastAsia="Calibri" w:hAnsi="Calibri" w:cs="Calibri"/>
              </w:rPr>
              <w:t xml:space="preserve">86 </w:t>
            </w:r>
          </w:p>
        </w:tc>
      </w:tr>
      <w:tr w14:paraId="1FE98B36"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1D4AF455" w14:textId="77777777">
            <w:pPr>
              <w:spacing w:after="0" w:line="259" w:lineRule="auto"/>
              <w:ind w:left="0" w:firstLine="0"/>
            </w:pPr>
            <w:r w:rsidRPr="00913E97">
              <w:rPr>
                <w:rFonts w:ascii="Calibri" w:eastAsia="Calibri" w:hAnsi="Calibri" w:cs="Calibri"/>
              </w:rPr>
              <w:t xml:space="preserve">Overall Rating </w:t>
            </w:r>
          </w:p>
        </w:tc>
        <w:tc>
          <w:tcPr>
            <w:tcW w:w="1800" w:type="dxa"/>
            <w:tcBorders>
              <w:top w:val="single" w:sz="4" w:space="0" w:color="000000"/>
              <w:left w:val="single" w:sz="4" w:space="0" w:color="000000"/>
              <w:bottom w:val="single" w:sz="4" w:space="0" w:color="000000"/>
              <w:right w:val="single" w:sz="8" w:space="0" w:color="000000"/>
            </w:tcBorders>
          </w:tcPr>
          <w:p w:rsidR="00AE08B5" w:rsidRPr="00F667F7" w14:paraId="5F8C2EBA" w14:textId="578DDF3E">
            <w:pPr>
              <w:spacing w:after="0" w:line="259" w:lineRule="auto"/>
              <w:ind w:left="0" w:firstLine="0"/>
            </w:pPr>
            <w:r w:rsidRPr="00F667F7">
              <w:rPr>
                <w:rFonts w:ascii="Calibri" w:eastAsia="Calibri" w:hAnsi="Calibri" w:cs="Calibri"/>
              </w:rPr>
              <w:t>0.</w:t>
            </w:r>
            <w:r w:rsidRPr="00F667F7" w:rsidR="00F914C7">
              <w:rPr>
                <w:rFonts w:ascii="Calibri" w:eastAsia="Calibri" w:hAnsi="Calibri" w:cs="Calibri"/>
              </w:rPr>
              <w:t>9</w:t>
            </w:r>
            <w:r w:rsidR="001A5DEA">
              <w:rPr>
                <w:rFonts w:ascii="Calibri" w:eastAsia="Calibri" w:hAnsi="Calibri" w:cs="Calibri"/>
              </w:rPr>
              <w:t>4</w:t>
            </w:r>
            <w:r w:rsidRPr="00F667F7" w:rsidR="00F914C7">
              <w:rPr>
                <w:rFonts w:ascii="Calibri" w:eastAsia="Calibri" w:hAnsi="Calibri" w:cs="Calibri"/>
              </w:rPr>
              <w:t xml:space="preserve"> </w:t>
            </w:r>
          </w:p>
        </w:tc>
      </w:tr>
      <w:tr w14:paraId="5BE9ABE0"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E08B5" w:rsidRPr="00913E97" w14:paraId="5D8E50D6" w14:textId="77777777">
            <w:pPr>
              <w:spacing w:after="0" w:line="259" w:lineRule="auto"/>
              <w:ind w:left="0" w:firstLine="0"/>
            </w:pPr>
            <w:r w:rsidRPr="00913E97">
              <w:rPr>
                <w:rFonts w:ascii="Calibri" w:eastAsia="Calibri" w:hAnsi="Calibri" w:cs="Calibri"/>
              </w:rPr>
              <w:t xml:space="preserve">Recommend Hospital </w:t>
            </w:r>
          </w:p>
        </w:tc>
        <w:tc>
          <w:tcPr>
            <w:tcW w:w="1800" w:type="dxa"/>
            <w:tcBorders>
              <w:top w:val="single" w:sz="4" w:space="0" w:color="000000"/>
              <w:left w:val="single" w:sz="4" w:space="0" w:color="000000"/>
              <w:bottom w:val="single" w:sz="4" w:space="0" w:color="000000"/>
              <w:right w:val="single" w:sz="8" w:space="0" w:color="000000"/>
            </w:tcBorders>
          </w:tcPr>
          <w:p w:rsidR="00AE08B5" w:rsidRPr="00913E97" w14:paraId="37C000C1" w14:textId="77777777">
            <w:pPr>
              <w:spacing w:after="0" w:line="259" w:lineRule="auto"/>
              <w:ind w:left="0" w:firstLine="0"/>
            </w:pPr>
            <w:r w:rsidRPr="00913E97">
              <w:rPr>
                <w:rFonts w:ascii="Calibri" w:eastAsia="Calibri" w:hAnsi="Calibri" w:cs="Calibri"/>
              </w:rPr>
              <w:t xml:space="preserve">0.94 </w:t>
            </w:r>
          </w:p>
        </w:tc>
      </w:tr>
      <w:tr w14:paraId="5A8999B0" w14:textId="77777777" w:rsidTr="006A3C5C">
        <w:tblPrEx>
          <w:tblW w:w="62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1A5DEA" w:rsidRPr="00913E97" w:rsidP="001A5DEA" w14:paraId="20023E9B" w14:textId="128F7915">
            <w:pPr>
              <w:spacing w:after="0" w:line="259" w:lineRule="auto"/>
              <w:ind w:left="0" w:firstLine="0"/>
              <w:rPr>
                <w:rFonts w:ascii="Calibri" w:eastAsia="Calibri" w:hAnsi="Calibri" w:cs="Calibri"/>
              </w:rPr>
            </w:pPr>
            <w:r w:rsidRPr="00913E97">
              <w:rPr>
                <w:rFonts w:ascii="Calibri" w:eastAsia="Calibri" w:hAnsi="Calibri" w:cs="Calibri"/>
              </w:rPr>
              <w:t xml:space="preserve">Responsiveness of Hospital Staff </w:t>
            </w:r>
            <w:r>
              <w:rPr>
                <w:rFonts w:ascii="Calibri" w:eastAsia="Calibri" w:hAnsi="Calibri" w:cs="Calibri"/>
                <w:vertAlign w:val="superscript"/>
              </w:rPr>
              <w:t>1</w:t>
            </w:r>
          </w:p>
        </w:tc>
        <w:tc>
          <w:tcPr>
            <w:tcW w:w="1800" w:type="dxa"/>
            <w:tcBorders>
              <w:top w:val="single" w:sz="4" w:space="0" w:color="000000"/>
              <w:left w:val="single" w:sz="4" w:space="0" w:color="000000"/>
              <w:bottom w:val="single" w:sz="4" w:space="0" w:color="000000"/>
              <w:right w:val="single" w:sz="8" w:space="0" w:color="000000"/>
            </w:tcBorders>
          </w:tcPr>
          <w:p w:rsidR="001A5DEA" w:rsidRPr="00913E97" w:rsidP="001A5DEA" w14:paraId="1128852C" w14:textId="17909774">
            <w:pPr>
              <w:spacing w:after="0" w:line="259" w:lineRule="auto"/>
              <w:ind w:left="0" w:firstLine="0"/>
              <w:rPr>
                <w:rFonts w:ascii="Calibri" w:eastAsia="Calibri" w:hAnsi="Calibri" w:cs="Calibri"/>
              </w:rPr>
            </w:pPr>
            <w:r>
              <w:rPr>
                <w:rFonts w:ascii="Calibri" w:eastAsia="Calibri" w:hAnsi="Calibri" w:cs="Calibri"/>
              </w:rPr>
              <w:t>0.78</w:t>
            </w:r>
          </w:p>
        </w:tc>
      </w:tr>
      <w:tr w14:paraId="60C3B2CD" w14:textId="77777777" w:rsidTr="006A3C5C">
        <w:tblPrEx>
          <w:tblW w:w="62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1A5DEA" w:rsidRPr="00913E97" w:rsidP="001A5DEA" w14:paraId="2E73A052" w14:textId="210EF544">
            <w:pPr>
              <w:spacing w:after="0" w:line="259" w:lineRule="auto"/>
              <w:ind w:left="0" w:firstLine="0"/>
            </w:pPr>
            <w:r>
              <w:rPr>
                <w:rFonts w:ascii="Calibri" w:eastAsia="Calibri" w:hAnsi="Calibri" w:cs="Calibri"/>
              </w:rPr>
              <w:t xml:space="preserve">Care Coordination </w:t>
            </w:r>
            <w:r>
              <w:rPr>
                <w:rFonts w:ascii="Calibri" w:eastAsia="Calibri" w:hAnsi="Calibri" w:cs="Calibri"/>
                <w:vertAlign w:val="superscript"/>
              </w:rPr>
              <w:t>1</w:t>
            </w:r>
          </w:p>
        </w:tc>
        <w:tc>
          <w:tcPr>
            <w:tcW w:w="1800" w:type="dxa"/>
            <w:tcBorders>
              <w:top w:val="single" w:sz="4" w:space="0" w:color="000000"/>
              <w:left w:val="single" w:sz="4" w:space="0" w:color="000000"/>
              <w:bottom w:val="single" w:sz="4" w:space="0" w:color="000000"/>
              <w:right w:val="single" w:sz="8" w:space="0" w:color="000000"/>
            </w:tcBorders>
          </w:tcPr>
          <w:p w:rsidR="001A5DEA" w:rsidRPr="00913E97" w:rsidP="001A5DEA" w14:paraId="24DA2B81" w14:textId="2E28CB42">
            <w:pPr>
              <w:spacing w:after="0" w:line="259" w:lineRule="auto"/>
              <w:ind w:left="0" w:firstLine="0"/>
            </w:pPr>
            <w:r>
              <w:rPr>
                <w:rFonts w:ascii="Calibri" w:eastAsia="Calibri" w:hAnsi="Calibri" w:cs="Calibri"/>
              </w:rPr>
              <w:t>0.79</w:t>
            </w:r>
          </w:p>
        </w:tc>
      </w:tr>
      <w:tr w14:paraId="796A951F" w14:textId="77777777" w:rsidTr="006A3C5C">
        <w:tblPrEx>
          <w:tblW w:w="62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1A5DEA" w:rsidRPr="00ED7B94" w:rsidP="001A5DEA" w14:paraId="255A6015" w14:textId="78548AC9">
            <w:pPr>
              <w:spacing w:after="0" w:line="259" w:lineRule="auto"/>
              <w:ind w:left="0" w:firstLine="0"/>
              <w:rPr>
                <w:rFonts w:ascii="Calibri" w:eastAsia="Calibri" w:hAnsi="Calibri" w:cs="Calibri"/>
                <w:vertAlign w:val="superscript"/>
              </w:rPr>
            </w:pPr>
            <w:r>
              <w:rPr>
                <w:rFonts w:ascii="Calibri" w:eastAsia="Calibri" w:hAnsi="Calibri" w:cs="Calibri"/>
              </w:rPr>
              <w:t xml:space="preserve">Restfulness of Hospital Environment </w:t>
            </w:r>
            <w:r>
              <w:rPr>
                <w:rFonts w:ascii="Calibri" w:eastAsia="Calibri" w:hAnsi="Calibri" w:cs="Calibri"/>
                <w:vertAlign w:val="superscript"/>
              </w:rPr>
              <w:t>1</w:t>
            </w:r>
          </w:p>
        </w:tc>
        <w:tc>
          <w:tcPr>
            <w:tcW w:w="1800" w:type="dxa"/>
            <w:tcBorders>
              <w:top w:val="single" w:sz="4" w:space="0" w:color="000000"/>
              <w:left w:val="single" w:sz="4" w:space="0" w:color="000000"/>
              <w:bottom w:val="single" w:sz="4" w:space="0" w:color="000000"/>
              <w:right w:val="single" w:sz="8" w:space="0" w:color="000000"/>
            </w:tcBorders>
          </w:tcPr>
          <w:p w:rsidR="001A5DEA" w:rsidRPr="00913E97" w:rsidP="001A5DEA" w14:paraId="1724CA1E" w14:textId="4AAA9D41">
            <w:pPr>
              <w:spacing w:after="0" w:line="259" w:lineRule="auto"/>
              <w:ind w:left="0" w:firstLine="0"/>
              <w:rPr>
                <w:rFonts w:ascii="Calibri" w:eastAsia="Calibri" w:hAnsi="Calibri" w:cs="Calibri"/>
              </w:rPr>
            </w:pPr>
            <w:r>
              <w:rPr>
                <w:rFonts w:ascii="Calibri" w:eastAsia="Calibri" w:hAnsi="Calibri" w:cs="Calibri"/>
              </w:rPr>
              <w:t>0.87</w:t>
            </w:r>
          </w:p>
        </w:tc>
      </w:tr>
      <w:tr w14:paraId="6B5AF404" w14:textId="77777777" w:rsidTr="006A3C5C">
        <w:tblPrEx>
          <w:tblW w:w="62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1A5DEA" w:rsidRPr="00ED7B94" w:rsidP="001A5DEA" w14:paraId="7DEE813C" w14:textId="7CA4E581">
            <w:pPr>
              <w:spacing w:after="0" w:line="259" w:lineRule="auto"/>
              <w:ind w:left="0" w:firstLine="0"/>
              <w:rPr>
                <w:rFonts w:ascii="Calibri" w:eastAsia="Calibri" w:hAnsi="Calibri" w:cs="Calibri"/>
                <w:vertAlign w:val="superscript"/>
              </w:rPr>
            </w:pPr>
            <w:r>
              <w:rPr>
                <w:rFonts w:ascii="Calibri" w:eastAsia="Calibri" w:hAnsi="Calibri" w:cs="Calibri"/>
              </w:rPr>
              <w:t xml:space="preserve">Information about Symptoms </w:t>
            </w:r>
            <w:r>
              <w:rPr>
                <w:rFonts w:ascii="Calibri" w:eastAsia="Calibri" w:hAnsi="Calibri" w:cs="Calibri"/>
                <w:vertAlign w:val="superscript"/>
              </w:rPr>
              <w:t>1</w:t>
            </w:r>
          </w:p>
        </w:tc>
        <w:tc>
          <w:tcPr>
            <w:tcW w:w="1800" w:type="dxa"/>
            <w:tcBorders>
              <w:top w:val="single" w:sz="4" w:space="0" w:color="000000"/>
              <w:left w:val="single" w:sz="4" w:space="0" w:color="000000"/>
              <w:bottom w:val="single" w:sz="4" w:space="0" w:color="000000"/>
              <w:right w:val="single" w:sz="8" w:space="0" w:color="000000"/>
            </w:tcBorders>
          </w:tcPr>
          <w:p w:rsidR="001A5DEA" w:rsidRPr="00913E97" w:rsidP="001A5DEA" w14:paraId="41E0E26B" w14:textId="0D24BDF9">
            <w:pPr>
              <w:spacing w:after="0" w:line="259" w:lineRule="auto"/>
              <w:ind w:left="0" w:firstLine="0"/>
              <w:rPr>
                <w:rFonts w:ascii="Calibri" w:eastAsia="Calibri" w:hAnsi="Calibri" w:cs="Calibri"/>
              </w:rPr>
            </w:pPr>
            <w:r>
              <w:rPr>
                <w:rFonts w:ascii="Calibri" w:eastAsia="Calibri" w:hAnsi="Calibri" w:cs="Calibri"/>
              </w:rPr>
              <w:t>0.71</w:t>
            </w:r>
          </w:p>
        </w:tc>
      </w:tr>
    </w:tbl>
    <w:p w:rsidR="00CC72AD" w:rsidP="00321F7E" w14:paraId="64421A93" w14:textId="4FEED4C2">
      <w:pPr>
        <w:spacing w:after="112" w:line="259" w:lineRule="auto"/>
        <w:ind w:left="108" w:firstLine="0"/>
      </w:pPr>
      <w:r w:rsidRPr="00ED7B94">
        <w:rPr>
          <w:sz w:val="20"/>
          <w:szCs w:val="20"/>
        </w:rPr>
        <w:t xml:space="preserve"> </w:t>
      </w:r>
      <w:r w:rsidRPr="00D6560F" w:rsidR="00F1551D">
        <w:rPr>
          <w:sz w:val="18"/>
          <w:szCs w:val="18"/>
          <w:vertAlign w:val="superscript"/>
        </w:rPr>
        <w:t>1</w:t>
      </w:r>
      <w:r w:rsidR="00736D24">
        <w:rPr>
          <w:sz w:val="18"/>
          <w:szCs w:val="18"/>
        </w:rPr>
        <w:t>Estimaes</w:t>
      </w:r>
      <w:r w:rsidRPr="00D6560F" w:rsidR="00F1551D">
        <w:rPr>
          <w:sz w:val="18"/>
          <w:szCs w:val="18"/>
        </w:rPr>
        <w:t xml:space="preserve"> based on </w:t>
      </w:r>
      <w:r w:rsidRPr="00D6560F" w:rsidR="00DC3B28">
        <w:rPr>
          <w:sz w:val="18"/>
          <w:szCs w:val="18"/>
        </w:rPr>
        <w:t>the</w:t>
      </w:r>
      <w:r w:rsidRPr="00D6560F" w:rsidR="00415C61">
        <w:rPr>
          <w:sz w:val="18"/>
          <w:szCs w:val="18"/>
        </w:rPr>
        <w:t xml:space="preserve"> 9</w:t>
      </w:r>
      <w:r w:rsidRPr="00D6560F" w:rsidR="00862420">
        <w:rPr>
          <w:sz w:val="18"/>
          <w:szCs w:val="18"/>
        </w:rPr>
        <w:t>,</w:t>
      </w:r>
      <w:r w:rsidRPr="00D6560F" w:rsidR="00415C61">
        <w:rPr>
          <w:sz w:val="18"/>
          <w:szCs w:val="18"/>
        </w:rPr>
        <w:t>642</w:t>
      </w:r>
      <w:r w:rsidRPr="00D6560F" w:rsidR="00EF042C">
        <w:rPr>
          <w:sz w:val="18"/>
          <w:szCs w:val="18"/>
        </w:rPr>
        <w:t xml:space="preserve"> </w:t>
      </w:r>
      <w:r w:rsidRPr="00D6560F" w:rsidR="00DE1848">
        <w:rPr>
          <w:sz w:val="18"/>
          <w:szCs w:val="18"/>
        </w:rPr>
        <w:t xml:space="preserve">respondents to the </w:t>
      </w:r>
      <w:r w:rsidRPr="00D6560F" w:rsidR="00F1551D">
        <w:rPr>
          <w:sz w:val="18"/>
          <w:szCs w:val="18"/>
        </w:rPr>
        <w:t xml:space="preserve">2021 </w:t>
      </w:r>
      <w:r w:rsidRPr="00D6560F" w:rsidR="0072096E">
        <w:rPr>
          <w:sz w:val="18"/>
          <w:szCs w:val="18"/>
        </w:rPr>
        <w:t xml:space="preserve">HCAHPS </w:t>
      </w:r>
      <w:r w:rsidRPr="00D6560F" w:rsidR="00F1551D">
        <w:rPr>
          <w:sz w:val="18"/>
          <w:szCs w:val="18"/>
        </w:rPr>
        <w:t>Mode Experiment.</w:t>
      </w:r>
      <w:r w:rsidRPr="00D6560F" w:rsidR="001A5DEA">
        <w:rPr>
          <w:sz w:val="18"/>
          <w:szCs w:val="18"/>
        </w:rPr>
        <w:t xml:space="preserve"> Evidence from </w:t>
      </w:r>
      <w:r w:rsidRPr="00D6560F" w:rsidR="00782804">
        <w:rPr>
          <w:sz w:val="18"/>
          <w:szCs w:val="18"/>
        </w:rPr>
        <w:t xml:space="preserve">prior mode experiments </w:t>
      </w:r>
      <w:r w:rsidRPr="00D6560F" w:rsidR="001A5DEA">
        <w:rPr>
          <w:sz w:val="18"/>
          <w:szCs w:val="18"/>
        </w:rPr>
        <w:t xml:space="preserve">suggest that reliability estimates from </w:t>
      </w:r>
      <w:r w:rsidRPr="00D6560F" w:rsidR="00DF3105">
        <w:rPr>
          <w:sz w:val="18"/>
          <w:szCs w:val="18"/>
        </w:rPr>
        <w:t>m</w:t>
      </w:r>
      <w:r w:rsidRPr="00D6560F" w:rsidR="001A5DEA">
        <w:rPr>
          <w:sz w:val="18"/>
          <w:szCs w:val="18"/>
        </w:rPr>
        <w:t xml:space="preserve">ode </w:t>
      </w:r>
      <w:r w:rsidRPr="00D6560F" w:rsidR="00DF3105">
        <w:rPr>
          <w:sz w:val="18"/>
          <w:szCs w:val="18"/>
        </w:rPr>
        <w:t>e</w:t>
      </w:r>
      <w:r w:rsidRPr="00D6560F" w:rsidR="001A5DEA">
        <w:rPr>
          <w:sz w:val="18"/>
          <w:szCs w:val="18"/>
        </w:rPr>
        <w:t>xperiment tend to be lower than w</w:t>
      </w:r>
      <w:r w:rsidRPr="00D6560F" w:rsidR="00782804">
        <w:rPr>
          <w:sz w:val="18"/>
          <w:szCs w:val="18"/>
        </w:rPr>
        <w:t>hat is subsequently found in</w:t>
      </w:r>
      <w:r w:rsidRPr="00D6560F" w:rsidR="001A5DEA">
        <w:rPr>
          <w:sz w:val="18"/>
          <w:szCs w:val="18"/>
        </w:rPr>
        <w:t xml:space="preserve"> implementation data.</w:t>
      </w:r>
    </w:p>
    <w:p w:rsidR="00AE08B5" w:rsidP="00D6560F" w14:paraId="0CE4A52F" w14:textId="54F8B4EF">
      <w:pPr>
        <w:spacing w:after="125" w:line="360" w:lineRule="auto"/>
        <w:ind w:left="108" w:right="130" w:firstLine="0"/>
      </w:pPr>
      <w:r w:rsidRPr="00913E97">
        <w:t xml:space="preserve">Generally accepted standards for reliability are: 0.7: Adequate (all </w:t>
      </w:r>
      <w:r w:rsidR="0066506D">
        <w:t xml:space="preserve">11 </w:t>
      </w:r>
      <w:r w:rsidRPr="00913E97">
        <w:t>HCAHPS measures exceed this); 0.8: Good (</w:t>
      </w:r>
      <w:r w:rsidR="00782804">
        <w:t>eight</w:t>
      </w:r>
      <w:r w:rsidR="00E92EA2">
        <w:t xml:space="preserve"> measures</w:t>
      </w:r>
      <w:r w:rsidRPr="00913E97">
        <w:t xml:space="preserve"> exceed this); 0.85</w:t>
      </w:r>
      <w:r w:rsidR="00EF042C">
        <w:t>:</w:t>
      </w:r>
      <w:r w:rsidRPr="00913E97">
        <w:t xml:space="preserve"> Very good </w:t>
      </w:r>
      <w:r w:rsidRPr="00F667F7">
        <w:t>(</w:t>
      </w:r>
      <w:r w:rsidR="00782804">
        <w:t>eight</w:t>
      </w:r>
      <w:r w:rsidR="00E92EA2">
        <w:t xml:space="preserve"> measures </w:t>
      </w:r>
      <w:r w:rsidRPr="00F667F7" w:rsidR="00CD03AA">
        <w:t>exceed this</w:t>
      </w:r>
      <w:r w:rsidRPr="00F667F7">
        <w:t>); and 0.9: Excellent (</w:t>
      </w:r>
      <w:r w:rsidR="00782804">
        <w:t xml:space="preserve">four </w:t>
      </w:r>
      <w:r w:rsidR="005131A4">
        <w:t xml:space="preserve">measures </w:t>
      </w:r>
      <w:r w:rsidRPr="00F667F7" w:rsidR="005131A4">
        <w:t>reach</w:t>
      </w:r>
      <w:r w:rsidRPr="00F667F7">
        <w:t xml:space="preserve"> this level). It should be noted that at more than the recommended 300 completed surveys in 12 month reporting period, HCAHPS reliability is even higher. </w:t>
      </w:r>
      <w:r>
        <w:t xml:space="preserve"> </w:t>
      </w:r>
    </w:p>
    <w:p w:rsidR="00D90FAA" w:rsidP="00D6560F" w14:paraId="1D717FFE" w14:textId="48C56BBC">
      <w:pPr>
        <w:spacing w:line="360" w:lineRule="auto"/>
        <w:ind w:left="115" w:right="130" w:hanging="14"/>
        <w:rPr>
          <w:b/>
        </w:rPr>
      </w:pPr>
      <w:r>
        <w:t>Evidence of the internal consistency of the</w:t>
      </w:r>
      <w:r w:rsidR="0066506D">
        <w:t xml:space="preserve"> updated</w:t>
      </w:r>
      <w:r>
        <w:t xml:space="preserve"> HCAHPS Survey can be found in Table 2, which displays the Cronbach’s Alpha statistics for the </w:t>
      </w:r>
      <w:r w:rsidR="00E92EA2">
        <w:t>seven</w:t>
      </w:r>
      <w:r>
        <w:t xml:space="preserve"> HCAHPS measures</w:t>
      </w:r>
      <w:r w:rsidR="00B77EDF">
        <w:t xml:space="preserve"> </w:t>
      </w:r>
      <w:r w:rsidR="0066506D">
        <w:t>that are comprised of two or three survey items.  Four of these multi-item composite measures are from the current HCAHPS Survey and three are new or revised measures.</w:t>
      </w:r>
      <w:r>
        <w:t xml:space="preserve"> </w:t>
      </w:r>
      <w:r>
        <w:rPr>
          <w:b/>
          <w:sz w:val="36"/>
        </w:rPr>
        <w:t xml:space="preserve"> </w:t>
      </w:r>
    </w:p>
    <w:p w:rsidR="00D90FAA" w:rsidP="00B95A44" w14:paraId="0B469884" w14:textId="77777777">
      <w:pPr>
        <w:spacing w:line="341" w:lineRule="auto"/>
        <w:ind w:left="115" w:right="130"/>
        <w:rPr>
          <w:b/>
        </w:rPr>
      </w:pPr>
    </w:p>
    <w:p w:rsidR="00AE08B5" w:rsidRPr="00B95A44" w:rsidP="00B95A44" w14:paraId="217F19C8" w14:textId="0A587A83">
      <w:pPr>
        <w:pStyle w:val="Caption"/>
        <w:rPr>
          <w:b/>
          <w:bCs/>
          <w:color w:val="auto"/>
          <w:sz w:val="24"/>
          <w:szCs w:val="24"/>
          <w:highlight w:val="yellow"/>
        </w:rPr>
      </w:pPr>
      <w:r w:rsidRPr="00B95A44">
        <w:rPr>
          <w:b/>
          <w:bCs/>
          <w:i w:val="0"/>
          <w:iCs w:val="0"/>
          <w:color w:val="auto"/>
          <w:sz w:val="24"/>
          <w:szCs w:val="24"/>
        </w:rPr>
        <w:t>Table 2</w:t>
      </w:r>
      <w:bookmarkStart w:id="9" w:name="_Hlk144901497"/>
      <w:r w:rsidRPr="00B95A44">
        <w:rPr>
          <w:b/>
          <w:bCs/>
          <w:i w:val="0"/>
          <w:iCs w:val="0"/>
          <w:color w:val="auto"/>
          <w:sz w:val="24"/>
          <w:szCs w:val="24"/>
        </w:rPr>
        <w:t>: Cronbach’s Alphas of HCAHPS Com</w:t>
      </w:r>
      <w:r w:rsidRPr="00B95A44" w:rsidR="00D90FAA">
        <w:rPr>
          <w:b/>
          <w:bCs/>
          <w:i w:val="0"/>
          <w:iCs w:val="0"/>
          <w:color w:val="auto"/>
          <w:sz w:val="24"/>
          <w:szCs w:val="24"/>
        </w:rPr>
        <w:t xml:space="preserve">posite Measures, </w:t>
      </w:r>
      <w:r w:rsidRPr="00B95A44" w:rsidR="00E47B9E">
        <w:rPr>
          <w:b/>
          <w:bCs/>
          <w:color w:val="auto"/>
          <w:sz w:val="24"/>
          <w:szCs w:val="24"/>
        </w:rPr>
        <w:t>2.</w:t>
      </w:r>
      <w:r w:rsidRPr="00B95A44" w:rsidR="0074755A">
        <w:rPr>
          <w:b/>
          <w:bCs/>
          <w:color w:val="auto"/>
          <w:sz w:val="24"/>
          <w:szCs w:val="24"/>
        </w:rPr>
        <w:t>3</w:t>
      </w:r>
      <w:r w:rsidRPr="000B30BA" w:rsidR="00E47B9E">
        <w:rPr>
          <w:b/>
          <w:bCs/>
          <w:iCs w:val="0"/>
          <w:color w:val="auto"/>
          <w:sz w:val="24"/>
          <w:szCs w:val="24"/>
        </w:rPr>
        <w:t xml:space="preserve"> million discharges, January – December 20</w:t>
      </w:r>
      <w:r w:rsidRPr="00B95A44" w:rsidR="0074755A">
        <w:rPr>
          <w:b/>
          <w:bCs/>
          <w:color w:val="auto"/>
          <w:sz w:val="24"/>
          <w:szCs w:val="24"/>
        </w:rPr>
        <w:t>22</w:t>
      </w:r>
      <w:r w:rsidRPr="000B30BA" w:rsidR="00E47B9E">
        <w:rPr>
          <w:b/>
          <w:bCs/>
          <w:iCs w:val="0"/>
          <w:color w:val="auto"/>
          <w:sz w:val="24"/>
          <w:szCs w:val="24"/>
        </w:rPr>
        <w:t xml:space="preserve"> </w:t>
      </w:r>
      <w:r w:rsidRPr="00B95A44" w:rsidR="00E47B9E">
        <w:rPr>
          <w:b/>
          <w:bCs/>
          <w:color w:val="auto"/>
          <w:sz w:val="24"/>
          <w:szCs w:val="24"/>
          <w:highlight w:val="yellow"/>
        </w:rPr>
        <w:t xml:space="preserve"> </w:t>
      </w:r>
      <w:bookmarkEnd w:id="9"/>
    </w:p>
    <w:tbl>
      <w:tblPr>
        <w:tblStyle w:val="TableGrid"/>
        <w:tblW w:w="4834" w:type="dxa"/>
        <w:tblInd w:w="115" w:type="dxa"/>
        <w:tblCellMar>
          <w:top w:w="38" w:type="dxa"/>
          <w:left w:w="34" w:type="dxa"/>
          <w:right w:w="115" w:type="dxa"/>
        </w:tblCellMar>
        <w:tblLook w:val="04A0"/>
      </w:tblPr>
      <w:tblGrid>
        <w:gridCol w:w="3644"/>
        <w:gridCol w:w="1190"/>
      </w:tblGrid>
      <w:tr w14:paraId="3F12B476" w14:textId="77777777" w:rsidTr="00B95A44">
        <w:tblPrEx>
          <w:tblW w:w="4834" w:type="dxa"/>
          <w:tblInd w:w="115" w:type="dxa"/>
          <w:tblCellMar>
            <w:top w:w="38" w:type="dxa"/>
            <w:left w:w="34" w:type="dxa"/>
            <w:right w:w="115" w:type="dxa"/>
          </w:tblCellMar>
          <w:tblLook w:val="04A0"/>
        </w:tblPrEx>
        <w:trPr>
          <w:trHeight w:val="317"/>
        </w:trPr>
        <w:tc>
          <w:tcPr>
            <w:tcW w:w="3644" w:type="dxa"/>
            <w:tcBorders>
              <w:top w:val="single" w:sz="12" w:space="0" w:color="000000"/>
              <w:left w:val="single" w:sz="12" w:space="0" w:color="000000"/>
              <w:bottom w:val="single" w:sz="6" w:space="0" w:color="000000"/>
              <w:right w:val="single" w:sz="6" w:space="0" w:color="000000"/>
            </w:tcBorders>
          </w:tcPr>
          <w:p w:rsidR="00AE08B5" w:rsidRPr="00D90FAA" w14:paraId="240CC135" w14:textId="77777777">
            <w:pPr>
              <w:spacing w:after="0" w:line="259" w:lineRule="auto"/>
              <w:ind w:left="0" w:firstLine="0"/>
            </w:pPr>
            <w:r w:rsidRPr="00D90FAA">
              <w:rPr>
                <w:rFonts w:ascii="Calibri" w:eastAsia="Calibri" w:hAnsi="Calibri" w:cs="Calibri"/>
              </w:rPr>
              <w:t xml:space="preserve">Communication with Nurses </w:t>
            </w:r>
          </w:p>
        </w:tc>
        <w:tc>
          <w:tcPr>
            <w:tcW w:w="1190" w:type="dxa"/>
            <w:tcBorders>
              <w:top w:val="single" w:sz="12" w:space="0" w:color="000000"/>
              <w:left w:val="single" w:sz="6" w:space="0" w:color="000000"/>
              <w:bottom w:val="single" w:sz="6" w:space="0" w:color="000000"/>
              <w:right w:val="single" w:sz="12" w:space="0" w:color="000000"/>
            </w:tcBorders>
          </w:tcPr>
          <w:p w:rsidR="00AE08B5" w:rsidRPr="00B95A44" w14:paraId="185CE6E6" w14:textId="724B6933">
            <w:pPr>
              <w:spacing w:after="0" w:line="259" w:lineRule="auto"/>
              <w:ind w:left="86" w:firstLine="0"/>
              <w:jc w:val="center"/>
            </w:pPr>
            <w:r>
              <w:t>0.84</w:t>
            </w:r>
          </w:p>
        </w:tc>
      </w:tr>
      <w:tr w14:paraId="4A81FC63" w14:textId="77777777" w:rsidTr="00B95A44">
        <w:tblPrEx>
          <w:tblW w:w="4834" w:type="dxa"/>
          <w:tblInd w:w="115" w:type="dxa"/>
          <w:tblCellMar>
            <w:top w:w="38" w:type="dxa"/>
            <w:left w:w="34" w:type="dxa"/>
            <w:right w:w="115" w:type="dxa"/>
          </w:tblCellMar>
          <w:tblLook w:val="04A0"/>
        </w:tblPrEx>
        <w:trPr>
          <w:trHeight w:val="314"/>
        </w:trPr>
        <w:tc>
          <w:tcPr>
            <w:tcW w:w="3644" w:type="dxa"/>
            <w:tcBorders>
              <w:top w:val="single" w:sz="6" w:space="0" w:color="000000"/>
              <w:left w:val="single" w:sz="12" w:space="0" w:color="000000"/>
              <w:bottom w:val="single" w:sz="6" w:space="0" w:color="000000"/>
              <w:right w:val="single" w:sz="6" w:space="0" w:color="000000"/>
            </w:tcBorders>
          </w:tcPr>
          <w:p w:rsidR="00AE08B5" w:rsidRPr="00B95A44" w14:paraId="4BA1E177" w14:textId="77777777">
            <w:pPr>
              <w:spacing w:after="0" w:line="259" w:lineRule="auto"/>
              <w:ind w:left="0" w:firstLine="0"/>
            </w:pPr>
            <w:r w:rsidRPr="00B95A44">
              <w:rPr>
                <w:rFonts w:ascii="Calibri" w:eastAsia="Calibri" w:hAnsi="Calibri" w:cs="Calibri"/>
              </w:rPr>
              <w:t xml:space="preserve">Communication with Doctors </w:t>
            </w:r>
          </w:p>
        </w:tc>
        <w:tc>
          <w:tcPr>
            <w:tcW w:w="1190" w:type="dxa"/>
            <w:tcBorders>
              <w:top w:val="single" w:sz="6" w:space="0" w:color="000000"/>
              <w:left w:val="single" w:sz="6" w:space="0" w:color="000000"/>
              <w:bottom w:val="single" w:sz="6" w:space="0" w:color="000000"/>
              <w:right w:val="single" w:sz="12" w:space="0" w:color="000000"/>
            </w:tcBorders>
          </w:tcPr>
          <w:p w:rsidR="00AE08B5" w:rsidRPr="00B95A44" w14:paraId="1C5380D4" w14:textId="5D33F5A2">
            <w:pPr>
              <w:spacing w:after="0" w:line="259" w:lineRule="auto"/>
              <w:ind w:left="86" w:firstLine="0"/>
              <w:jc w:val="center"/>
            </w:pPr>
            <w:r>
              <w:t>0.87</w:t>
            </w:r>
          </w:p>
        </w:tc>
      </w:tr>
      <w:tr w14:paraId="116404CA" w14:textId="77777777" w:rsidTr="00B95A44">
        <w:tblPrEx>
          <w:tblW w:w="4834" w:type="dxa"/>
          <w:tblInd w:w="115" w:type="dxa"/>
          <w:tblCellMar>
            <w:top w:w="38" w:type="dxa"/>
            <w:left w:w="34" w:type="dxa"/>
            <w:right w:w="115" w:type="dxa"/>
          </w:tblCellMar>
          <w:tblLook w:val="04A0"/>
        </w:tblPrEx>
        <w:trPr>
          <w:trHeight w:val="317"/>
        </w:trPr>
        <w:tc>
          <w:tcPr>
            <w:tcW w:w="3644" w:type="dxa"/>
            <w:tcBorders>
              <w:top w:val="single" w:sz="6" w:space="0" w:color="000000"/>
              <w:left w:val="single" w:sz="12" w:space="0" w:color="000000"/>
              <w:bottom w:val="single" w:sz="6" w:space="0" w:color="000000"/>
              <w:right w:val="single" w:sz="6" w:space="0" w:color="000000"/>
            </w:tcBorders>
          </w:tcPr>
          <w:p w:rsidR="00AE08B5" w:rsidRPr="00D90FAA" w14:paraId="36D97EA0" w14:textId="77777777">
            <w:pPr>
              <w:spacing w:after="0" w:line="259" w:lineRule="auto"/>
              <w:ind w:left="0" w:firstLine="0"/>
            </w:pPr>
            <w:r w:rsidRPr="00D90FAA">
              <w:rPr>
                <w:rFonts w:ascii="Calibri" w:eastAsia="Calibri" w:hAnsi="Calibri" w:cs="Calibri"/>
              </w:rPr>
              <w:t xml:space="preserve">Communication about Medicines </w:t>
            </w:r>
          </w:p>
        </w:tc>
        <w:tc>
          <w:tcPr>
            <w:tcW w:w="1190" w:type="dxa"/>
            <w:tcBorders>
              <w:top w:val="single" w:sz="6" w:space="0" w:color="000000"/>
              <w:left w:val="single" w:sz="6" w:space="0" w:color="000000"/>
              <w:bottom w:val="single" w:sz="6" w:space="0" w:color="000000"/>
              <w:right w:val="single" w:sz="12" w:space="0" w:color="000000"/>
            </w:tcBorders>
          </w:tcPr>
          <w:p w:rsidR="00AE08B5" w:rsidRPr="00D90FAA" w14:paraId="50DB8AAE" w14:textId="7EBD6F5B">
            <w:pPr>
              <w:spacing w:after="0" w:line="259" w:lineRule="auto"/>
              <w:ind w:left="86" w:firstLine="0"/>
              <w:jc w:val="center"/>
            </w:pPr>
            <w:r>
              <w:t>0.67</w:t>
            </w:r>
          </w:p>
        </w:tc>
      </w:tr>
      <w:tr w14:paraId="18C3C314" w14:textId="77777777" w:rsidTr="00B95A44">
        <w:tblPrEx>
          <w:tblW w:w="4834" w:type="dxa"/>
          <w:tblInd w:w="115" w:type="dxa"/>
          <w:tblCellMar>
            <w:top w:w="38" w:type="dxa"/>
            <w:left w:w="34" w:type="dxa"/>
            <w:right w:w="115" w:type="dxa"/>
          </w:tblCellMar>
          <w:tblLook w:val="04A0"/>
        </w:tblPrEx>
        <w:trPr>
          <w:trHeight w:val="305"/>
        </w:trPr>
        <w:tc>
          <w:tcPr>
            <w:tcW w:w="3644" w:type="dxa"/>
            <w:tcBorders>
              <w:top w:val="single" w:sz="6" w:space="0" w:color="000000"/>
              <w:left w:val="single" w:sz="12" w:space="0" w:color="000000"/>
              <w:bottom w:val="single" w:sz="6" w:space="0" w:color="000000"/>
              <w:right w:val="single" w:sz="6" w:space="0" w:color="000000"/>
            </w:tcBorders>
          </w:tcPr>
          <w:p w:rsidR="00AE08B5" w:rsidRPr="00D90FAA" w14:paraId="4518691D" w14:textId="77777777">
            <w:pPr>
              <w:spacing w:after="0" w:line="259" w:lineRule="auto"/>
              <w:ind w:left="0" w:firstLine="0"/>
            </w:pPr>
            <w:r w:rsidRPr="00D90FAA">
              <w:rPr>
                <w:rFonts w:ascii="Calibri" w:eastAsia="Calibri" w:hAnsi="Calibri" w:cs="Calibri"/>
              </w:rPr>
              <w:t xml:space="preserve">Discharge Information </w:t>
            </w:r>
          </w:p>
        </w:tc>
        <w:tc>
          <w:tcPr>
            <w:tcW w:w="1190" w:type="dxa"/>
            <w:tcBorders>
              <w:top w:val="single" w:sz="6" w:space="0" w:color="000000"/>
              <w:left w:val="single" w:sz="6" w:space="0" w:color="000000"/>
              <w:bottom w:val="single" w:sz="6" w:space="0" w:color="000000"/>
              <w:right w:val="single" w:sz="12" w:space="0" w:color="000000"/>
            </w:tcBorders>
          </w:tcPr>
          <w:p w:rsidR="00AE08B5" w:rsidRPr="00D90FAA" w14:paraId="54854C0F" w14:textId="0A757579">
            <w:pPr>
              <w:spacing w:after="0" w:line="259" w:lineRule="auto"/>
              <w:ind w:left="86" w:firstLine="0"/>
              <w:jc w:val="center"/>
            </w:pPr>
            <w:r>
              <w:t>0.45</w:t>
            </w:r>
          </w:p>
        </w:tc>
      </w:tr>
      <w:tr w14:paraId="4450EC25" w14:textId="77777777" w:rsidTr="0020770C">
        <w:tblPrEx>
          <w:tblW w:w="4834" w:type="dxa"/>
          <w:tblInd w:w="115" w:type="dxa"/>
          <w:tblCellMar>
            <w:top w:w="38" w:type="dxa"/>
            <w:left w:w="34" w:type="dxa"/>
            <w:right w:w="115" w:type="dxa"/>
          </w:tblCellMar>
          <w:tblLook w:val="04A0"/>
        </w:tblPrEx>
        <w:trPr>
          <w:trHeight w:val="314"/>
        </w:trPr>
        <w:tc>
          <w:tcPr>
            <w:tcW w:w="3644" w:type="dxa"/>
            <w:tcBorders>
              <w:top w:val="single" w:sz="6" w:space="0" w:color="000000"/>
              <w:left w:val="single" w:sz="12" w:space="0" w:color="000000"/>
              <w:bottom w:val="single" w:sz="6" w:space="0" w:color="000000"/>
              <w:right w:val="single" w:sz="6" w:space="0" w:color="000000"/>
            </w:tcBorders>
          </w:tcPr>
          <w:p w:rsidR="000A6F2F" w:rsidRPr="00ED7B94" w:rsidP="0020770C" w14:paraId="429EBEFC" w14:textId="77777777">
            <w:pPr>
              <w:spacing w:after="0" w:line="259" w:lineRule="auto"/>
              <w:ind w:left="0" w:firstLine="0"/>
              <w:rPr>
                <w:vertAlign w:val="superscript"/>
              </w:rPr>
            </w:pPr>
            <w:r w:rsidRPr="00B95A44">
              <w:rPr>
                <w:rFonts w:ascii="Calibri" w:eastAsia="Calibri" w:hAnsi="Calibri" w:cs="Calibri"/>
              </w:rPr>
              <w:t xml:space="preserve">Responsiveness of Hospital Staff </w:t>
            </w:r>
            <w:r>
              <w:rPr>
                <w:rFonts w:ascii="Calibri" w:eastAsia="Calibri" w:hAnsi="Calibri" w:cs="Calibri"/>
                <w:vertAlign w:val="superscript"/>
              </w:rPr>
              <w:t>1</w:t>
            </w:r>
          </w:p>
        </w:tc>
        <w:tc>
          <w:tcPr>
            <w:tcW w:w="1190" w:type="dxa"/>
            <w:tcBorders>
              <w:top w:val="single" w:sz="6" w:space="0" w:color="000000"/>
              <w:left w:val="single" w:sz="6" w:space="0" w:color="000000"/>
              <w:bottom w:val="single" w:sz="6" w:space="0" w:color="000000"/>
              <w:right w:val="single" w:sz="12" w:space="0" w:color="000000"/>
            </w:tcBorders>
          </w:tcPr>
          <w:p w:rsidR="000A6F2F" w:rsidRPr="00B95A44" w:rsidP="0020770C" w14:paraId="5F11AE19" w14:textId="77777777">
            <w:pPr>
              <w:spacing w:after="0" w:line="259" w:lineRule="auto"/>
              <w:ind w:left="86" w:firstLine="0"/>
              <w:jc w:val="center"/>
            </w:pPr>
            <w:r w:rsidRPr="00B95A44">
              <w:rPr>
                <w:rFonts w:ascii="Calibri" w:eastAsia="Calibri" w:hAnsi="Calibri" w:cs="Calibri"/>
              </w:rPr>
              <w:t>0.</w:t>
            </w:r>
            <w:r>
              <w:rPr>
                <w:rFonts w:ascii="Calibri" w:eastAsia="Calibri" w:hAnsi="Calibri" w:cs="Calibri"/>
              </w:rPr>
              <w:t>75</w:t>
            </w:r>
            <w:r w:rsidRPr="00B95A44">
              <w:rPr>
                <w:rFonts w:ascii="Calibri" w:eastAsia="Calibri" w:hAnsi="Calibri" w:cs="Calibri"/>
              </w:rPr>
              <w:t xml:space="preserve"> </w:t>
            </w:r>
          </w:p>
        </w:tc>
      </w:tr>
      <w:tr w14:paraId="7AB21B4E" w14:textId="77777777" w:rsidTr="00ED7B94">
        <w:tblPrEx>
          <w:tblW w:w="4834" w:type="dxa"/>
          <w:tblInd w:w="115" w:type="dxa"/>
          <w:tblCellMar>
            <w:top w:w="38" w:type="dxa"/>
            <w:left w:w="34" w:type="dxa"/>
            <w:right w:w="115" w:type="dxa"/>
          </w:tblCellMar>
          <w:tblLook w:val="04A0"/>
        </w:tblPrEx>
        <w:trPr>
          <w:trHeight w:val="329"/>
        </w:trPr>
        <w:tc>
          <w:tcPr>
            <w:tcW w:w="3644" w:type="dxa"/>
            <w:tcBorders>
              <w:top w:val="single" w:sz="6" w:space="0" w:color="000000"/>
              <w:left w:val="single" w:sz="12" w:space="0" w:color="000000"/>
              <w:bottom w:val="single" w:sz="6" w:space="0" w:color="000000"/>
              <w:right w:val="single" w:sz="6" w:space="0" w:color="000000"/>
            </w:tcBorders>
          </w:tcPr>
          <w:p w:rsidR="003A4C21" w:rsidRPr="00ED7B94" w14:paraId="5A7725CA" w14:textId="1C2AAA2B">
            <w:pPr>
              <w:spacing w:after="0" w:line="259" w:lineRule="auto"/>
              <w:ind w:left="0" w:firstLine="0"/>
              <w:rPr>
                <w:rFonts w:ascii="Calibri" w:eastAsia="Calibri" w:hAnsi="Calibri" w:cs="Calibri"/>
                <w:vertAlign w:val="superscript"/>
              </w:rPr>
            </w:pPr>
            <w:r>
              <w:rPr>
                <w:rFonts w:ascii="Calibri" w:eastAsia="Calibri" w:hAnsi="Calibri" w:cs="Calibri"/>
              </w:rPr>
              <w:t>Care Coordination</w:t>
            </w:r>
            <w:r w:rsidR="00A1747F">
              <w:rPr>
                <w:rFonts w:ascii="Calibri" w:eastAsia="Calibri" w:hAnsi="Calibri" w:cs="Calibri"/>
              </w:rPr>
              <w:t xml:space="preserve"> </w:t>
            </w:r>
            <w:r w:rsidR="00A1747F">
              <w:rPr>
                <w:rFonts w:ascii="Calibri" w:eastAsia="Calibri" w:hAnsi="Calibri" w:cs="Calibri"/>
                <w:vertAlign w:val="superscript"/>
              </w:rPr>
              <w:t>1</w:t>
            </w:r>
          </w:p>
        </w:tc>
        <w:tc>
          <w:tcPr>
            <w:tcW w:w="1190" w:type="dxa"/>
            <w:tcBorders>
              <w:top w:val="single" w:sz="6" w:space="0" w:color="000000"/>
              <w:left w:val="single" w:sz="6" w:space="0" w:color="000000"/>
              <w:bottom w:val="single" w:sz="6" w:space="0" w:color="000000"/>
              <w:right w:val="single" w:sz="12" w:space="0" w:color="000000"/>
            </w:tcBorders>
          </w:tcPr>
          <w:p w:rsidR="003A4C21" w:rsidRPr="00D90FAA" w14:paraId="27F19A1D" w14:textId="723E6233">
            <w:pPr>
              <w:spacing w:after="0" w:line="259" w:lineRule="auto"/>
              <w:ind w:left="86" w:firstLine="0"/>
              <w:jc w:val="center"/>
              <w:rPr>
                <w:rFonts w:ascii="Calibri" w:eastAsia="Calibri" w:hAnsi="Calibri" w:cs="Calibri"/>
              </w:rPr>
            </w:pPr>
            <w:r>
              <w:rPr>
                <w:rFonts w:ascii="Calibri" w:eastAsia="Calibri" w:hAnsi="Calibri" w:cs="Calibri"/>
              </w:rPr>
              <w:t>0.7</w:t>
            </w:r>
            <w:r w:rsidR="000A6F2F">
              <w:rPr>
                <w:rFonts w:ascii="Calibri" w:eastAsia="Calibri" w:hAnsi="Calibri" w:cs="Calibri"/>
              </w:rPr>
              <w:t>7</w:t>
            </w:r>
          </w:p>
        </w:tc>
      </w:tr>
      <w:tr w14:paraId="49A132FA" w14:textId="77777777" w:rsidTr="00B95A44">
        <w:tblPrEx>
          <w:tblW w:w="4834" w:type="dxa"/>
          <w:tblInd w:w="115" w:type="dxa"/>
          <w:tblCellMar>
            <w:top w:w="38" w:type="dxa"/>
            <w:left w:w="34" w:type="dxa"/>
            <w:right w:w="115" w:type="dxa"/>
          </w:tblCellMar>
          <w:tblLook w:val="04A0"/>
        </w:tblPrEx>
        <w:trPr>
          <w:trHeight w:val="329"/>
        </w:trPr>
        <w:tc>
          <w:tcPr>
            <w:tcW w:w="3644" w:type="dxa"/>
            <w:tcBorders>
              <w:top w:val="single" w:sz="6" w:space="0" w:color="000000"/>
              <w:left w:val="single" w:sz="12" w:space="0" w:color="000000"/>
              <w:bottom w:val="single" w:sz="12" w:space="0" w:color="000000"/>
              <w:right w:val="single" w:sz="6" w:space="0" w:color="000000"/>
            </w:tcBorders>
          </w:tcPr>
          <w:p w:rsidR="003A4C21" w:rsidRPr="00ED7B94" w14:paraId="2536F8B8" w14:textId="2E1012D6">
            <w:pPr>
              <w:spacing w:after="0" w:line="259" w:lineRule="auto"/>
              <w:ind w:left="0" w:firstLine="0"/>
              <w:rPr>
                <w:rFonts w:ascii="Calibri" w:eastAsia="Calibri" w:hAnsi="Calibri" w:cs="Calibri"/>
                <w:vertAlign w:val="superscript"/>
              </w:rPr>
            </w:pPr>
            <w:r>
              <w:rPr>
                <w:rFonts w:ascii="Calibri" w:eastAsia="Calibri" w:hAnsi="Calibri" w:cs="Calibri"/>
              </w:rPr>
              <w:t>Restfulness of Hospital Environment</w:t>
            </w:r>
            <w:r w:rsidR="00A1747F">
              <w:rPr>
                <w:rFonts w:ascii="Calibri" w:eastAsia="Calibri" w:hAnsi="Calibri" w:cs="Calibri"/>
              </w:rPr>
              <w:t xml:space="preserve"> </w:t>
            </w:r>
            <w:r w:rsidR="00A1747F">
              <w:rPr>
                <w:rFonts w:ascii="Calibri" w:eastAsia="Calibri" w:hAnsi="Calibri" w:cs="Calibri"/>
                <w:vertAlign w:val="superscript"/>
              </w:rPr>
              <w:t>1</w:t>
            </w:r>
          </w:p>
        </w:tc>
        <w:tc>
          <w:tcPr>
            <w:tcW w:w="1190" w:type="dxa"/>
            <w:tcBorders>
              <w:top w:val="single" w:sz="6" w:space="0" w:color="000000"/>
              <w:left w:val="single" w:sz="6" w:space="0" w:color="000000"/>
              <w:bottom w:val="single" w:sz="12" w:space="0" w:color="000000"/>
              <w:right w:val="single" w:sz="12" w:space="0" w:color="000000"/>
            </w:tcBorders>
          </w:tcPr>
          <w:p w:rsidR="003A4C21" w14:paraId="48F066B6" w14:textId="018B8124">
            <w:pPr>
              <w:spacing w:after="0" w:line="259" w:lineRule="auto"/>
              <w:ind w:left="86" w:firstLine="0"/>
              <w:jc w:val="center"/>
              <w:rPr>
                <w:rFonts w:ascii="Calibri" w:eastAsia="Calibri" w:hAnsi="Calibri" w:cs="Calibri"/>
              </w:rPr>
            </w:pPr>
            <w:r>
              <w:rPr>
                <w:rFonts w:ascii="Calibri" w:eastAsia="Calibri" w:hAnsi="Calibri" w:cs="Calibri"/>
              </w:rPr>
              <w:t>0.74</w:t>
            </w:r>
          </w:p>
        </w:tc>
      </w:tr>
    </w:tbl>
    <w:p w:rsidR="00AE08B5" w:rsidRPr="00D6560F" w14:paraId="17E6E203" w14:textId="5F200B29">
      <w:pPr>
        <w:spacing w:after="104" w:line="259" w:lineRule="auto"/>
        <w:ind w:left="0" w:right="2822" w:firstLine="0"/>
        <w:rPr>
          <w:bCs/>
          <w:sz w:val="18"/>
          <w:szCs w:val="18"/>
        </w:rPr>
      </w:pPr>
      <w:r w:rsidRPr="00D6560F">
        <w:rPr>
          <w:b/>
          <w:sz w:val="18"/>
          <w:szCs w:val="18"/>
        </w:rPr>
        <w:t xml:space="preserve"> </w:t>
      </w:r>
      <w:r w:rsidRPr="00D6560F" w:rsidR="00A1747F">
        <w:rPr>
          <w:b/>
          <w:sz w:val="18"/>
          <w:szCs w:val="18"/>
          <w:vertAlign w:val="superscript"/>
        </w:rPr>
        <w:t>1</w:t>
      </w:r>
      <w:r w:rsidRPr="00D6560F" w:rsidR="00A1747F">
        <w:rPr>
          <w:bCs/>
          <w:sz w:val="18"/>
          <w:szCs w:val="18"/>
        </w:rPr>
        <w:t xml:space="preserve"> </w:t>
      </w:r>
      <w:r w:rsidR="00CC72AD">
        <w:rPr>
          <w:bCs/>
          <w:sz w:val="18"/>
          <w:szCs w:val="18"/>
        </w:rPr>
        <w:t>E</w:t>
      </w:r>
      <w:r w:rsidRPr="00D6560F" w:rsidR="00A1747F">
        <w:rPr>
          <w:bCs/>
          <w:sz w:val="18"/>
          <w:szCs w:val="18"/>
        </w:rPr>
        <w:t xml:space="preserve">stimates based on </w:t>
      </w:r>
      <w:r w:rsidRPr="00D6560F" w:rsidR="0072096E">
        <w:rPr>
          <w:bCs/>
          <w:sz w:val="18"/>
          <w:szCs w:val="18"/>
        </w:rPr>
        <w:t xml:space="preserve">the </w:t>
      </w:r>
      <w:r w:rsidRPr="00D6560F" w:rsidR="00415C61">
        <w:rPr>
          <w:sz w:val="18"/>
          <w:szCs w:val="18"/>
        </w:rPr>
        <w:t>9</w:t>
      </w:r>
      <w:r w:rsidRPr="00D6560F" w:rsidR="00862420">
        <w:rPr>
          <w:sz w:val="18"/>
          <w:szCs w:val="18"/>
        </w:rPr>
        <w:t>,</w:t>
      </w:r>
      <w:r w:rsidRPr="00D6560F" w:rsidR="00415C61">
        <w:rPr>
          <w:sz w:val="18"/>
          <w:szCs w:val="18"/>
        </w:rPr>
        <w:t>642</w:t>
      </w:r>
      <w:r w:rsidRPr="00D6560F" w:rsidR="00DE1848">
        <w:rPr>
          <w:sz w:val="18"/>
          <w:szCs w:val="18"/>
        </w:rPr>
        <w:t xml:space="preserve"> respondents to the </w:t>
      </w:r>
      <w:r w:rsidRPr="00D6560F" w:rsidR="00A1747F">
        <w:rPr>
          <w:bCs/>
          <w:sz w:val="18"/>
          <w:szCs w:val="18"/>
        </w:rPr>
        <w:t>2021 HCAHPS Mode Experiment</w:t>
      </w:r>
      <w:r w:rsidRPr="00D6560F" w:rsidR="00782566">
        <w:rPr>
          <w:bCs/>
          <w:sz w:val="18"/>
          <w:szCs w:val="18"/>
        </w:rPr>
        <w:t>.</w:t>
      </w:r>
    </w:p>
    <w:p w:rsidR="00782566" w:rsidRPr="00A1747F" w14:paraId="0EBFA84F" w14:textId="77777777">
      <w:pPr>
        <w:spacing w:after="104" w:line="259" w:lineRule="auto"/>
        <w:ind w:left="0" w:right="2822" w:firstLine="0"/>
        <w:rPr>
          <w:bCs/>
        </w:rPr>
      </w:pPr>
    </w:p>
    <w:p w:rsidR="00AE08B5" w:rsidRPr="00CD03AA" w:rsidP="00C453BB" w14:paraId="0F793960" w14:textId="024F2ADC">
      <w:pPr>
        <w:spacing w:line="357" w:lineRule="auto"/>
        <w:ind w:left="115" w:right="130"/>
      </w:pPr>
      <w:r w:rsidRPr="00817AEA">
        <w:t xml:space="preserve">Criterion validity indicates the extent to which </w:t>
      </w:r>
      <w:r w:rsidR="008C7E44">
        <w:t xml:space="preserve">the </w:t>
      </w:r>
      <w:r w:rsidRPr="00817AEA">
        <w:t xml:space="preserve">HCAHPS </w:t>
      </w:r>
      <w:r w:rsidR="008C7E44">
        <w:t xml:space="preserve">Survey </w:t>
      </w:r>
      <w:r w:rsidRPr="00817AEA">
        <w:t xml:space="preserve">measures what </w:t>
      </w:r>
      <w:r w:rsidR="008C7E44">
        <w:t>it</w:t>
      </w:r>
      <w:r w:rsidRPr="00817AEA" w:rsidR="00A61001">
        <w:t xml:space="preserve"> purport</w:t>
      </w:r>
      <w:r w:rsidR="008C7E44">
        <w:t>s</w:t>
      </w:r>
      <w:r w:rsidRPr="00817AEA">
        <w:t xml:space="preserve"> to measure: patient</w:t>
      </w:r>
      <w:r>
        <w:t xml:space="preserve"> experience of care. The patient-level correlation of specific HCAHPS measures with </w:t>
      </w:r>
      <w:r w:rsidR="008C7E44">
        <w:t xml:space="preserve">the </w:t>
      </w:r>
      <w:r>
        <w:t>“Hospital Rating” and “Recommend the Hospital”</w:t>
      </w:r>
      <w:r w:rsidR="008C7E44">
        <w:t xml:space="preserve"> single-item global measures</w:t>
      </w:r>
      <w:r>
        <w:t xml:space="preserve"> can be used to assess validity (criterion validity); see Table 3. We expect moderate, positive correlations of the other </w:t>
      </w:r>
      <w:r w:rsidR="00E92EA2">
        <w:t>nine</w:t>
      </w:r>
      <w:r>
        <w:t xml:space="preserve"> measures</w:t>
      </w:r>
      <w:r w:rsidR="008C7E44">
        <w:t xml:space="preserve"> in the updated HCAHPS Survey</w:t>
      </w:r>
      <w:r>
        <w:t xml:space="preserve"> with </w:t>
      </w:r>
      <w:r w:rsidR="006F1E9E">
        <w:t xml:space="preserve">these two global </w:t>
      </w:r>
      <w:r>
        <w:t>patient experience of care constructs. If the correlations were too high, this may indicate redundancy or halo effect. If too low, would indicate lack of validity</w:t>
      </w:r>
      <w:r w:rsidRPr="00CD03AA">
        <w:t xml:space="preserve">.  We find moderate, positive correlations between the </w:t>
      </w:r>
      <w:r w:rsidR="00E92EA2">
        <w:t>nine</w:t>
      </w:r>
      <w:r w:rsidRPr="00CD03AA">
        <w:t xml:space="preserve"> specific HCAHPS measures </w:t>
      </w:r>
      <w:r w:rsidR="00984FD6">
        <w:t xml:space="preserve">in the updated HCAHPS Survey </w:t>
      </w:r>
      <w:r w:rsidRPr="00CD03AA">
        <w:t>and the two global measures (</w:t>
      </w:r>
      <w:r w:rsidR="00F056A5">
        <w:t xml:space="preserve">Hospital </w:t>
      </w:r>
      <w:r w:rsidRPr="00CD03AA">
        <w:t>Rating and Recommend</w:t>
      </w:r>
      <w:r w:rsidR="00F056A5">
        <w:t xml:space="preserve"> the Hospital</w:t>
      </w:r>
      <w:r w:rsidRPr="00CD03AA">
        <w:t>).  All 1</w:t>
      </w:r>
      <w:r w:rsidR="007F0C98">
        <w:t>8</w:t>
      </w:r>
      <w:r w:rsidRPr="00CD03AA">
        <w:t xml:space="preserve"> of these correlations are between 0.</w:t>
      </w:r>
      <w:r w:rsidRPr="00913E97" w:rsidR="00CC4D12">
        <w:t>3</w:t>
      </w:r>
      <w:r w:rsidR="007F0C98">
        <w:t>1</w:t>
      </w:r>
      <w:r w:rsidRPr="00CD03AA">
        <w:t xml:space="preserve"> and 0.</w:t>
      </w:r>
      <w:r w:rsidRPr="00913E97" w:rsidR="00CC4D12">
        <w:t>68</w:t>
      </w:r>
      <w:r w:rsidRPr="00CD03AA">
        <w:t>; 1</w:t>
      </w:r>
      <w:r w:rsidR="007F0C98">
        <w:t>6</w:t>
      </w:r>
      <w:r w:rsidRPr="00CD03AA">
        <w:t xml:space="preserve"> of 1</w:t>
      </w:r>
      <w:r w:rsidR="007F0C98">
        <w:t>8</w:t>
      </w:r>
      <w:r w:rsidRPr="00CD03AA">
        <w:t xml:space="preserve"> correlations exceed 0.35. </w:t>
      </w:r>
    </w:p>
    <w:p w:rsidR="00AE08B5" w:rsidRPr="00CD03AA" w:rsidP="00C453BB" w14:paraId="389AD8C4" w14:textId="77777777">
      <w:pPr>
        <w:spacing w:after="41" w:line="259" w:lineRule="auto"/>
        <w:ind w:left="115" w:right="130" w:firstLine="0"/>
      </w:pPr>
      <w:r w:rsidRPr="00CD03AA">
        <w:rPr>
          <w:b/>
        </w:rPr>
        <w:t xml:space="preserve"> </w:t>
      </w:r>
    </w:p>
    <w:p w:rsidR="00AE08B5" w:rsidP="00B95A44" w14:paraId="277A9638" w14:textId="4C29502D">
      <w:pPr>
        <w:pStyle w:val="Caption"/>
        <w:ind w:left="129" w:right="130" w:hanging="14"/>
        <w:rPr>
          <w:b/>
          <w:bCs/>
          <w:i w:val="0"/>
          <w:iCs w:val="0"/>
          <w:color w:val="auto"/>
          <w:sz w:val="24"/>
          <w:szCs w:val="24"/>
        </w:rPr>
      </w:pPr>
      <w:bookmarkStart w:id="10" w:name="_Hlk144901518"/>
      <w:r w:rsidRPr="00B95A44">
        <w:rPr>
          <w:b/>
          <w:bCs/>
          <w:i w:val="0"/>
          <w:iCs w:val="0"/>
          <w:color w:val="auto"/>
          <w:sz w:val="24"/>
          <w:szCs w:val="24"/>
        </w:rPr>
        <w:t>Table 3: HCAHPS Patient-level Correlations</w:t>
      </w:r>
      <w:r w:rsidR="0000250B">
        <w:rPr>
          <w:b/>
          <w:bCs/>
          <w:i w:val="0"/>
          <w:iCs w:val="0"/>
          <w:color w:val="auto"/>
          <w:sz w:val="24"/>
          <w:szCs w:val="24"/>
        </w:rPr>
        <w:t>*</w:t>
      </w:r>
      <w:r w:rsidRPr="00B95A44">
        <w:rPr>
          <w:b/>
          <w:bCs/>
          <w:i w:val="0"/>
          <w:iCs w:val="0"/>
          <w:color w:val="auto"/>
          <w:sz w:val="24"/>
          <w:szCs w:val="24"/>
        </w:rPr>
        <w:t xml:space="preserve">, </w:t>
      </w:r>
      <w:r w:rsidRPr="00B95A44" w:rsidR="00E47B9E">
        <w:rPr>
          <w:b/>
          <w:bCs/>
          <w:color w:val="auto"/>
          <w:sz w:val="24"/>
          <w:szCs w:val="24"/>
        </w:rPr>
        <w:t>2.</w:t>
      </w:r>
      <w:r w:rsidRPr="00B95A44" w:rsidR="0074755A">
        <w:rPr>
          <w:b/>
          <w:bCs/>
          <w:color w:val="auto"/>
          <w:sz w:val="24"/>
          <w:szCs w:val="24"/>
        </w:rPr>
        <w:t>3</w:t>
      </w:r>
      <w:r w:rsidRPr="00B95A44" w:rsidR="00E47B9E">
        <w:rPr>
          <w:b/>
          <w:bCs/>
          <w:color w:val="auto"/>
          <w:sz w:val="24"/>
          <w:szCs w:val="24"/>
        </w:rPr>
        <w:t xml:space="preserve"> million discharges, July 20</w:t>
      </w:r>
      <w:r w:rsidRPr="00B95A44" w:rsidR="0074755A">
        <w:rPr>
          <w:b/>
          <w:bCs/>
          <w:color w:val="auto"/>
          <w:sz w:val="24"/>
          <w:szCs w:val="24"/>
        </w:rPr>
        <w:t>21</w:t>
      </w:r>
      <w:r w:rsidRPr="00B95A44" w:rsidR="00E47B9E">
        <w:rPr>
          <w:b/>
          <w:bCs/>
          <w:color w:val="auto"/>
          <w:sz w:val="24"/>
          <w:szCs w:val="24"/>
        </w:rPr>
        <w:t xml:space="preserve"> – June</w:t>
      </w:r>
      <w:r w:rsidRPr="00B95A44" w:rsidR="00E47B9E">
        <w:rPr>
          <w:b/>
          <w:bCs/>
          <w:i w:val="0"/>
          <w:iCs w:val="0"/>
          <w:color w:val="auto"/>
          <w:sz w:val="24"/>
          <w:szCs w:val="24"/>
        </w:rPr>
        <w:t xml:space="preserve"> </w:t>
      </w:r>
      <w:r w:rsidRPr="00B95A44" w:rsidR="00E47B9E">
        <w:rPr>
          <w:b/>
          <w:bCs/>
          <w:color w:val="auto"/>
          <w:sz w:val="24"/>
          <w:szCs w:val="24"/>
        </w:rPr>
        <w:t>20</w:t>
      </w:r>
      <w:r w:rsidRPr="00B95A44" w:rsidR="0074755A">
        <w:rPr>
          <w:b/>
          <w:bCs/>
          <w:color w:val="auto"/>
          <w:sz w:val="24"/>
          <w:szCs w:val="24"/>
        </w:rPr>
        <w:t>22</w:t>
      </w:r>
      <w:r w:rsidRPr="00B95A44" w:rsidR="00E47B9E">
        <w:rPr>
          <w:b/>
          <w:bCs/>
          <w:i w:val="0"/>
          <w:iCs w:val="0"/>
          <w:color w:val="auto"/>
          <w:sz w:val="24"/>
          <w:szCs w:val="24"/>
        </w:rPr>
        <w:t xml:space="preserve"> </w:t>
      </w:r>
    </w:p>
    <w:bookmarkEnd w:id="10"/>
    <w:p w:rsidR="00822111" w:rsidRPr="00822111" w:rsidP="00822111" w14:paraId="359BB8DE" w14:textId="7EFC6810">
      <w:pPr>
        <w:jc w:val="center"/>
      </w:pPr>
    </w:p>
    <w:tbl>
      <w:tblPr>
        <w:tblStyle w:val="TableGrid"/>
        <w:tblW w:w="8076" w:type="dxa"/>
        <w:tblInd w:w="104" w:type="dxa"/>
        <w:tblCellMar>
          <w:top w:w="60" w:type="dxa"/>
          <w:left w:w="108" w:type="dxa"/>
          <w:right w:w="115" w:type="dxa"/>
        </w:tblCellMar>
        <w:tblLook w:val="04A0"/>
      </w:tblPr>
      <w:tblGrid>
        <w:gridCol w:w="4476"/>
        <w:gridCol w:w="1800"/>
        <w:gridCol w:w="1800"/>
      </w:tblGrid>
      <w:tr w14:paraId="6AA3EA06" w14:textId="0BC0691C" w:rsidTr="00A34463">
        <w:tblPrEx>
          <w:tblW w:w="8076" w:type="dxa"/>
          <w:tblInd w:w="104" w:type="dxa"/>
          <w:tblCellMar>
            <w:top w:w="60" w:type="dxa"/>
            <w:left w:w="108" w:type="dxa"/>
            <w:right w:w="115" w:type="dxa"/>
          </w:tblCellMar>
          <w:tblLook w:val="04A0"/>
        </w:tblPrEx>
        <w:trPr>
          <w:trHeight w:val="317"/>
        </w:trPr>
        <w:tc>
          <w:tcPr>
            <w:tcW w:w="4476" w:type="dxa"/>
            <w:tcBorders>
              <w:top w:val="single" w:sz="8" w:space="0" w:color="000000"/>
              <w:left w:val="single" w:sz="8" w:space="0" w:color="000000"/>
              <w:bottom w:val="single" w:sz="4" w:space="0" w:color="000000"/>
              <w:right w:val="single" w:sz="4" w:space="0" w:color="000000"/>
            </w:tcBorders>
          </w:tcPr>
          <w:p w:rsidR="00A34463" w:rsidRPr="00A34463" w:rsidP="0020770C" w14:paraId="4B67C7D5" w14:textId="666473C8">
            <w:pPr>
              <w:spacing w:after="0" w:line="259" w:lineRule="auto"/>
              <w:ind w:left="0" w:firstLine="0"/>
              <w:rPr>
                <w:rFonts w:asciiTheme="minorHAnsi" w:hAnsiTheme="minorHAnsi" w:cstheme="minorHAnsi"/>
                <w:szCs w:val="24"/>
              </w:rPr>
            </w:pPr>
          </w:p>
        </w:tc>
        <w:tc>
          <w:tcPr>
            <w:tcW w:w="1800" w:type="dxa"/>
            <w:tcBorders>
              <w:top w:val="single" w:sz="8" w:space="0" w:color="000000"/>
              <w:left w:val="single" w:sz="4" w:space="0" w:color="000000"/>
              <w:bottom w:val="single" w:sz="4" w:space="0" w:color="000000"/>
              <w:right w:val="single" w:sz="8" w:space="0" w:color="000000"/>
            </w:tcBorders>
          </w:tcPr>
          <w:p w:rsidR="00A34463" w:rsidRPr="00A34463" w:rsidP="007F0C98" w14:paraId="676A0DE5" w14:textId="1B81CE58">
            <w:pPr>
              <w:spacing w:after="0" w:line="259" w:lineRule="auto"/>
              <w:ind w:left="0" w:firstLine="0"/>
              <w:jc w:val="center"/>
              <w:rPr>
                <w:rFonts w:asciiTheme="minorHAnsi" w:hAnsiTheme="minorHAnsi" w:cstheme="minorHAnsi"/>
                <w:szCs w:val="24"/>
              </w:rPr>
            </w:pPr>
            <w:r>
              <w:rPr>
                <w:rFonts w:asciiTheme="minorHAnsi" w:hAnsiTheme="minorHAnsi" w:cstheme="minorHAnsi"/>
                <w:szCs w:val="24"/>
              </w:rPr>
              <w:t>Hospital</w:t>
            </w:r>
            <w:r w:rsidRPr="00A34463">
              <w:rPr>
                <w:rFonts w:asciiTheme="minorHAnsi" w:hAnsiTheme="minorHAnsi" w:cstheme="minorHAnsi"/>
                <w:szCs w:val="24"/>
              </w:rPr>
              <w:t xml:space="preserve"> Rating</w:t>
            </w:r>
          </w:p>
        </w:tc>
        <w:tc>
          <w:tcPr>
            <w:tcW w:w="1800" w:type="dxa"/>
            <w:tcBorders>
              <w:top w:val="single" w:sz="8" w:space="0" w:color="000000"/>
              <w:left w:val="single" w:sz="4" w:space="0" w:color="000000"/>
              <w:bottom w:val="single" w:sz="4" w:space="0" w:color="000000"/>
              <w:right w:val="single" w:sz="8" w:space="0" w:color="000000"/>
            </w:tcBorders>
          </w:tcPr>
          <w:p w:rsidR="00A34463" w:rsidRPr="00A34463" w:rsidP="007F0C98" w14:paraId="6F8D2146" w14:textId="2827C6F0">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Recommend</w:t>
            </w:r>
            <w:r w:rsidR="007F0C98">
              <w:rPr>
                <w:rFonts w:asciiTheme="minorHAnsi" w:hAnsiTheme="minorHAnsi" w:cstheme="minorHAnsi"/>
                <w:szCs w:val="24"/>
              </w:rPr>
              <w:t xml:space="preserve"> the Hospital</w:t>
            </w:r>
          </w:p>
        </w:tc>
      </w:tr>
      <w:tr w14:paraId="3EFC8081" w14:textId="14426CEC" w:rsidTr="00700F96">
        <w:tblPrEx>
          <w:tblW w:w="8076" w:type="dxa"/>
          <w:tblInd w:w="104" w:type="dxa"/>
          <w:tblCellMar>
            <w:top w:w="60" w:type="dxa"/>
            <w:left w:w="108" w:type="dxa"/>
            <w:right w:w="115" w:type="dxa"/>
          </w:tblCellMar>
          <w:tblLook w:val="04A0"/>
        </w:tblPrEx>
        <w:trPr>
          <w:trHeight w:val="317"/>
        </w:trPr>
        <w:tc>
          <w:tcPr>
            <w:tcW w:w="4476" w:type="dxa"/>
            <w:tcBorders>
              <w:top w:val="single" w:sz="8" w:space="0" w:color="000000"/>
              <w:left w:val="single" w:sz="8" w:space="0" w:color="000000"/>
              <w:bottom w:val="single" w:sz="4" w:space="0" w:color="000000"/>
              <w:right w:val="single" w:sz="4" w:space="0" w:color="000000"/>
            </w:tcBorders>
          </w:tcPr>
          <w:p w:rsidR="00A34463" w:rsidRPr="00A34463" w:rsidP="00A34463" w14:paraId="1DC6A887" w14:textId="7BFDBB82">
            <w:pPr>
              <w:spacing w:after="0" w:line="259" w:lineRule="auto"/>
              <w:ind w:left="0" w:firstLine="0"/>
              <w:rPr>
                <w:rFonts w:eastAsia="Calibri" w:asciiTheme="minorHAnsi" w:hAnsiTheme="minorHAnsi" w:cstheme="minorHAnsi"/>
                <w:szCs w:val="24"/>
              </w:rPr>
            </w:pPr>
            <w:r w:rsidRPr="00A34463">
              <w:rPr>
                <w:rFonts w:eastAsia="Calibri" w:asciiTheme="minorHAnsi" w:hAnsiTheme="minorHAnsi" w:cstheme="minorHAnsi"/>
                <w:szCs w:val="24"/>
              </w:rPr>
              <w:t xml:space="preserve">Communication with Nurses </w:t>
            </w:r>
          </w:p>
        </w:tc>
        <w:tc>
          <w:tcPr>
            <w:tcW w:w="1800" w:type="dxa"/>
            <w:tcBorders>
              <w:top w:val="single" w:sz="8" w:space="0" w:color="000000"/>
              <w:left w:val="single" w:sz="4" w:space="0" w:color="000000"/>
              <w:bottom w:val="single" w:sz="4" w:space="0" w:color="000000"/>
              <w:right w:val="single" w:sz="8" w:space="0" w:color="000000"/>
            </w:tcBorders>
            <w:vAlign w:val="bottom"/>
          </w:tcPr>
          <w:p w:rsidR="00A34463" w:rsidRPr="00A34463" w:rsidP="00A34463" w14:paraId="693C079A" w14:textId="2DFA3578">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0.68</w:t>
            </w:r>
          </w:p>
        </w:tc>
        <w:tc>
          <w:tcPr>
            <w:tcW w:w="1800" w:type="dxa"/>
            <w:tcBorders>
              <w:top w:val="single" w:sz="8" w:space="0" w:color="000000"/>
              <w:left w:val="single" w:sz="4" w:space="0" w:color="000000"/>
              <w:bottom w:val="single" w:sz="4" w:space="0" w:color="000000"/>
              <w:right w:val="single" w:sz="8" w:space="0" w:color="000000"/>
            </w:tcBorders>
            <w:vAlign w:val="bottom"/>
          </w:tcPr>
          <w:p w:rsidR="00A34463" w:rsidRPr="00A34463" w:rsidP="00A34463" w14:paraId="53596230" w14:textId="72E20A11">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0.61</w:t>
            </w:r>
          </w:p>
        </w:tc>
      </w:tr>
      <w:tr w14:paraId="4FF7FFFA" w14:textId="2718BE14" w:rsidTr="00700F96">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2D55CE3C" w14:textId="77777777">
            <w:pPr>
              <w:spacing w:after="0" w:line="259" w:lineRule="auto"/>
              <w:ind w:left="0" w:firstLine="0"/>
              <w:rPr>
                <w:rFonts w:asciiTheme="minorHAnsi" w:hAnsiTheme="minorHAnsi" w:cstheme="minorHAnsi"/>
                <w:szCs w:val="24"/>
              </w:rPr>
            </w:pPr>
            <w:r w:rsidRPr="00A34463">
              <w:rPr>
                <w:rFonts w:eastAsia="Calibri" w:asciiTheme="minorHAnsi" w:hAnsiTheme="minorHAnsi" w:cstheme="minorHAnsi"/>
                <w:szCs w:val="24"/>
              </w:rPr>
              <w:t xml:space="preserve">Communication with Doctors </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4FD59668" w14:textId="64A92755">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0.56</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7B40DBA8" w14:textId="4856DD24">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0.52</w:t>
            </w:r>
          </w:p>
        </w:tc>
      </w:tr>
      <w:tr w14:paraId="0DBED989" w14:textId="0237A66F" w:rsidTr="00700F96">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7823FEBF" w14:textId="77777777">
            <w:pPr>
              <w:spacing w:after="0" w:line="259" w:lineRule="auto"/>
              <w:ind w:left="0" w:firstLine="0"/>
              <w:rPr>
                <w:rFonts w:asciiTheme="minorHAnsi" w:hAnsiTheme="minorHAnsi" w:cstheme="minorHAnsi"/>
                <w:szCs w:val="24"/>
              </w:rPr>
            </w:pPr>
            <w:r w:rsidRPr="00A34463">
              <w:rPr>
                <w:rFonts w:eastAsia="Calibri" w:asciiTheme="minorHAnsi" w:hAnsiTheme="minorHAnsi" w:cstheme="minorHAnsi"/>
                <w:szCs w:val="24"/>
              </w:rPr>
              <w:t xml:space="preserve">Communication about Medicines </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17F0D8EE" w14:textId="476E922F">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0.51</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2BF8A11B" w14:textId="77EAE252">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0.46</w:t>
            </w:r>
          </w:p>
        </w:tc>
      </w:tr>
      <w:tr w14:paraId="6529F318" w14:textId="7C4945CD" w:rsidTr="00700F96">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6DAC23A6" w14:textId="77777777">
            <w:pPr>
              <w:spacing w:after="0" w:line="259" w:lineRule="auto"/>
              <w:ind w:left="0" w:firstLine="0"/>
              <w:rPr>
                <w:rFonts w:asciiTheme="minorHAnsi" w:hAnsiTheme="minorHAnsi" w:cstheme="minorHAnsi"/>
                <w:szCs w:val="24"/>
              </w:rPr>
            </w:pPr>
            <w:r w:rsidRPr="00A34463">
              <w:rPr>
                <w:rFonts w:eastAsia="Calibri" w:asciiTheme="minorHAnsi" w:hAnsiTheme="minorHAnsi" w:cstheme="minorHAnsi"/>
                <w:szCs w:val="24"/>
              </w:rPr>
              <w:t xml:space="preserve">Cleanliness </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7FE0910F" w14:textId="08F96E69">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0.45</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2207B4C6" w14:textId="640D671E">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0.40</w:t>
            </w:r>
          </w:p>
        </w:tc>
      </w:tr>
      <w:tr w14:paraId="7C6FAE30" w14:textId="1CAEC79B" w:rsidTr="00700F96">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155FC94C" w14:textId="77777777">
            <w:pPr>
              <w:spacing w:after="0" w:line="259" w:lineRule="auto"/>
              <w:ind w:left="0" w:firstLine="0"/>
              <w:rPr>
                <w:rFonts w:asciiTheme="minorHAnsi" w:hAnsiTheme="minorHAnsi" w:cstheme="minorHAnsi"/>
                <w:szCs w:val="24"/>
              </w:rPr>
            </w:pPr>
            <w:r w:rsidRPr="00A34463">
              <w:rPr>
                <w:rFonts w:eastAsia="Calibri" w:asciiTheme="minorHAnsi" w:hAnsiTheme="minorHAnsi" w:cstheme="minorHAnsi"/>
                <w:szCs w:val="24"/>
              </w:rPr>
              <w:t xml:space="preserve">Discharge Information </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16BA1977" w14:textId="7139D3D8">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0.34</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782C3735" w14:textId="5280FF87">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0.31</w:t>
            </w:r>
          </w:p>
        </w:tc>
      </w:tr>
      <w:tr w14:paraId="671255D8" w14:textId="4C86F641" w:rsidTr="00700F96">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6A881939" w14:textId="3CBC0268">
            <w:pPr>
              <w:spacing w:after="0" w:line="259" w:lineRule="auto"/>
              <w:ind w:left="0" w:firstLine="0"/>
              <w:rPr>
                <w:rFonts w:eastAsia="Calibri" w:asciiTheme="minorHAnsi" w:hAnsiTheme="minorHAnsi" w:cstheme="minorHAnsi"/>
                <w:szCs w:val="24"/>
              </w:rPr>
            </w:pPr>
            <w:r w:rsidRPr="00A34463">
              <w:rPr>
                <w:rFonts w:eastAsia="Calibri" w:asciiTheme="minorHAnsi" w:hAnsiTheme="minorHAnsi" w:cstheme="minorHAnsi"/>
                <w:szCs w:val="24"/>
              </w:rPr>
              <w:t>Responsiveness of Hospital Staff</w:t>
            </w:r>
            <w:r w:rsidRPr="00A34463" w:rsidR="00684F27">
              <w:rPr>
                <w:rFonts w:eastAsia="Calibri" w:asciiTheme="minorHAnsi" w:hAnsiTheme="minorHAnsi" w:cstheme="minorHAnsi"/>
                <w:szCs w:val="24"/>
                <w:vertAlign w:val="superscript"/>
              </w:rPr>
              <w:t>1</w:t>
            </w:r>
            <w:r w:rsidRPr="00A34463">
              <w:rPr>
                <w:rFonts w:eastAsia="Calibri" w:asciiTheme="minorHAnsi" w:hAnsiTheme="minorHAnsi" w:cstheme="minorHAnsi"/>
                <w:szCs w:val="24"/>
              </w:rPr>
              <w:t xml:space="preserve"> </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023C86F7" w14:textId="34311703">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0.61</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70A1F7FF" w14:textId="5A4CA8D4">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0.53</w:t>
            </w:r>
          </w:p>
        </w:tc>
      </w:tr>
      <w:tr w14:paraId="7E9FDC5D" w14:textId="10B3F06B" w:rsidTr="00700F96">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45742E71" w14:textId="13B536BC">
            <w:pPr>
              <w:spacing w:after="0" w:line="259" w:lineRule="auto"/>
              <w:ind w:left="0" w:firstLine="0"/>
              <w:rPr>
                <w:rFonts w:asciiTheme="minorHAnsi" w:hAnsiTheme="minorHAnsi" w:cstheme="minorHAnsi"/>
                <w:szCs w:val="24"/>
              </w:rPr>
            </w:pPr>
            <w:r w:rsidRPr="00A34463">
              <w:rPr>
                <w:rFonts w:eastAsia="Calibri" w:asciiTheme="minorHAnsi" w:hAnsiTheme="minorHAnsi" w:cstheme="minorHAnsi"/>
                <w:szCs w:val="24"/>
              </w:rPr>
              <w:t>Care Coordination</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15266FE8" w14:textId="49F5A595">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0.67</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621AF93C" w14:textId="6FDE136D">
            <w:pPr>
              <w:spacing w:after="0" w:line="259" w:lineRule="auto"/>
              <w:ind w:left="0" w:firstLine="0"/>
              <w:jc w:val="center"/>
              <w:rPr>
                <w:rFonts w:asciiTheme="minorHAnsi" w:hAnsiTheme="minorHAnsi" w:cstheme="minorHAnsi"/>
                <w:szCs w:val="24"/>
              </w:rPr>
            </w:pPr>
            <w:r w:rsidRPr="00A34463">
              <w:rPr>
                <w:rFonts w:asciiTheme="minorHAnsi" w:hAnsiTheme="minorHAnsi" w:cstheme="minorHAnsi"/>
                <w:szCs w:val="24"/>
              </w:rPr>
              <w:t>0.62</w:t>
            </w:r>
          </w:p>
        </w:tc>
      </w:tr>
      <w:tr w14:paraId="62AA40E8" w14:textId="3FD84DC3" w:rsidTr="00700F96">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55D5C7C1" w14:textId="2A0193CE">
            <w:pPr>
              <w:spacing w:after="0" w:line="259" w:lineRule="auto"/>
              <w:ind w:left="0" w:firstLine="0"/>
              <w:rPr>
                <w:rFonts w:eastAsia="Calibri" w:asciiTheme="minorHAnsi" w:hAnsiTheme="minorHAnsi" w:cstheme="minorHAnsi"/>
                <w:szCs w:val="24"/>
                <w:vertAlign w:val="superscript"/>
              </w:rPr>
            </w:pPr>
            <w:r w:rsidRPr="00A34463">
              <w:rPr>
                <w:rFonts w:eastAsia="Calibri" w:asciiTheme="minorHAnsi" w:hAnsiTheme="minorHAnsi" w:cstheme="minorHAnsi"/>
                <w:szCs w:val="24"/>
              </w:rPr>
              <w:t>Restfulness of Hospital Environment</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055D2D94" w14:textId="359C35AF">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0.55</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682BF8F2" w14:textId="44C4426E">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0.48</w:t>
            </w:r>
          </w:p>
        </w:tc>
      </w:tr>
      <w:tr w14:paraId="4FA2B0DB" w14:textId="79FA4436" w:rsidTr="00700F96">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A34463" w:rsidRPr="00A34463" w:rsidP="00A34463" w14:paraId="388902B0" w14:textId="19900095">
            <w:pPr>
              <w:spacing w:after="0" w:line="259" w:lineRule="auto"/>
              <w:ind w:left="0" w:firstLine="0"/>
              <w:rPr>
                <w:rFonts w:eastAsia="Calibri" w:asciiTheme="minorHAnsi" w:hAnsiTheme="minorHAnsi" w:cstheme="minorHAnsi"/>
                <w:szCs w:val="24"/>
                <w:vertAlign w:val="superscript"/>
              </w:rPr>
            </w:pPr>
            <w:r w:rsidRPr="00A34463">
              <w:rPr>
                <w:rFonts w:eastAsia="Calibri" w:asciiTheme="minorHAnsi" w:hAnsiTheme="minorHAnsi" w:cstheme="minorHAnsi"/>
                <w:szCs w:val="24"/>
              </w:rPr>
              <w:t>Information about Symptoms</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7B38DDD2" w14:textId="38355738">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0.49</w:t>
            </w:r>
          </w:p>
        </w:tc>
        <w:tc>
          <w:tcPr>
            <w:tcW w:w="1800" w:type="dxa"/>
            <w:tcBorders>
              <w:top w:val="single" w:sz="4" w:space="0" w:color="000000"/>
              <w:left w:val="single" w:sz="4" w:space="0" w:color="000000"/>
              <w:bottom w:val="single" w:sz="4" w:space="0" w:color="000000"/>
              <w:right w:val="single" w:sz="8" w:space="0" w:color="000000"/>
            </w:tcBorders>
            <w:vAlign w:val="bottom"/>
          </w:tcPr>
          <w:p w:rsidR="00A34463" w:rsidRPr="00A34463" w:rsidP="00A34463" w14:paraId="1117C5D4" w14:textId="715FD057">
            <w:pPr>
              <w:spacing w:after="0" w:line="259" w:lineRule="auto"/>
              <w:ind w:left="0" w:firstLine="0"/>
              <w:jc w:val="center"/>
              <w:rPr>
                <w:rFonts w:eastAsia="Calibri" w:asciiTheme="minorHAnsi" w:hAnsiTheme="minorHAnsi" w:cstheme="minorHAnsi"/>
                <w:szCs w:val="24"/>
              </w:rPr>
            </w:pPr>
            <w:r w:rsidRPr="00A34463">
              <w:rPr>
                <w:rFonts w:asciiTheme="minorHAnsi" w:hAnsiTheme="minorHAnsi" w:cstheme="minorHAnsi"/>
                <w:szCs w:val="24"/>
              </w:rPr>
              <w:t>0.45</w:t>
            </w:r>
          </w:p>
        </w:tc>
      </w:tr>
    </w:tbl>
    <w:p w:rsidR="001A1DD8" w:rsidRPr="00D6560F" w:rsidP="001A1DD8" w14:paraId="1F874A11" w14:textId="7B1D9090">
      <w:pPr>
        <w:spacing w:after="104" w:line="259" w:lineRule="auto"/>
        <w:ind w:left="0" w:right="2822" w:firstLine="0"/>
        <w:rPr>
          <w:bCs/>
          <w:sz w:val="18"/>
          <w:szCs w:val="18"/>
        </w:rPr>
      </w:pPr>
      <w:r w:rsidRPr="00913E97">
        <w:rPr>
          <w:b/>
          <w:sz w:val="20"/>
        </w:rPr>
        <w:t xml:space="preserve"> </w:t>
      </w:r>
      <w:r w:rsidRPr="00D6560F">
        <w:rPr>
          <w:b/>
          <w:sz w:val="18"/>
          <w:szCs w:val="18"/>
          <w:vertAlign w:val="superscript"/>
        </w:rPr>
        <w:t>1</w:t>
      </w:r>
      <w:r w:rsidRPr="00D6560F">
        <w:rPr>
          <w:bCs/>
          <w:sz w:val="18"/>
          <w:szCs w:val="18"/>
        </w:rPr>
        <w:t xml:space="preserve"> </w:t>
      </w:r>
      <w:r w:rsidRPr="00D6560F" w:rsidR="00BF6064">
        <w:rPr>
          <w:bCs/>
          <w:sz w:val="18"/>
          <w:szCs w:val="18"/>
        </w:rPr>
        <w:t>E</w:t>
      </w:r>
      <w:r w:rsidRPr="00D6560F">
        <w:rPr>
          <w:bCs/>
          <w:sz w:val="18"/>
          <w:szCs w:val="18"/>
        </w:rPr>
        <w:t xml:space="preserve">stimates based on the </w:t>
      </w:r>
      <w:r w:rsidRPr="00D6560F" w:rsidR="00415C61">
        <w:rPr>
          <w:sz w:val="18"/>
          <w:szCs w:val="18"/>
        </w:rPr>
        <w:t>9</w:t>
      </w:r>
      <w:r w:rsidRPr="00D6560F" w:rsidR="00B77EDF">
        <w:rPr>
          <w:sz w:val="18"/>
          <w:szCs w:val="18"/>
        </w:rPr>
        <w:t>,</w:t>
      </w:r>
      <w:r w:rsidRPr="00D6560F" w:rsidR="00415C61">
        <w:rPr>
          <w:sz w:val="18"/>
          <w:szCs w:val="18"/>
        </w:rPr>
        <w:t>642</w:t>
      </w:r>
      <w:r w:rsidRPr="00D6560F" w:rsidR="00DE1848">
        <w:rPr>
          <w:sz w:val="18"/>
          <w:szCs w:val="18"/>
        </w:rPr>
        <w:t xml:space="preserve"> respondents to the </w:t>
      </w:r>
      <w:r w:rsidRPr="00D6560F">
        <w:rPr>
          <w:bCs/>
          <w:sz w:val="18"/>
          <w:szCs w:val="18"/>
        </w:rPr>
        <w:t>2021 HCAHPS Mode Experiment.</w:t>
      </w:r>
    </w:p>
    <w:p w:rsidR="00AE08B5" w:rsidRPr="00D6560F" w:rsidP="00C83E09" w14:paraId="068F68A9" w14:textId="383FE544">
      <w:pPr>
        <w:spacing w:after="60" w:line="304" w:lineRule="auto"/>
        <w:ind w:right="1385"/>
        <w:rPr>
          <w:bCs/>
          <w:sz w:val="18"/>
          <w:szCs w:val="18"/>
        </w:rPr>
      </w:pPr>
      <w:r w:rsidRPr="00D6560F">
        <w:rPr>
          <w:bCs/>
          <w:sz w:val="18"/>
          <w:szCs w:val="18"/>
        </w:rPr>
        <w:t>*Patient-level Pearson correlations of rescaled linear means of HCAHPS measures</w:t>
      </w:r>
      <w:r w:rsidRPr="00D6560F" w:rsidR="0000250B">
        <w:rPr>
          <w:bCs/>
          <w:sz w:val="18"/>
          <w:szCs w:val="18"/>
        </w:rPr>
        <w:t xml:space="preserve"> </w:t>
      </w:r>
      <w:r w:rsidRPr="00D6560F">
        <w:rPr>
          <w:bCs/>
          <w:sz w:val="18"/>
          <w:szCs w:val="18"/>
        </w:rPr>
        <w:t>for patients discharged between July 20</w:t>
      </w:r>
      <w:r w:rsidRPr="00D6560F" w:rsidR="00CC4D12">
        <w:rPr>
          <w:bCs/>
          <w:sz w:val="18"/>
          <w:szCs w:val="18"/>
        </w:rPr>
        <w:t>21</w:t>
      </w:r>
      <w:r w:rsidRPr="00D6560F">
        <w:rPr>
          <w:bCs/>
          <w:sz w:val="18"/>
          <w:szCs w:val="18"/>
        </w:rPr>
        <w:t xml:space="preserve"> and June 20</w:t>
      </w:r>
      <w:r w:rsidRPr="00D6560F" w:rsidR="00CC4D12">
        <w:rPr>
          <w:bCs/>
          <w:sz w:val="18"/>
          <w:szCs w:val="18"/>
        </w:rPr>
        <w:t>22</w:t>
      </w:r>
      <w:r w:rsidRPr="00D6560F">
        <w:rPr>
          <w:bCs/>
          <w:sz w:val="18"/>
          <w:szCs w:val="18"/>
        </w:rPr>
        <w:t xml:space="preserve"> (2.</w:t>
      </w:r>
      <w:r w:rsidRPr="00D6560F" w:rsidR="00CC4D12">
        <w:rPr>
          <w:bCs/>
          <w:sz w:val="18"/>
          <w:szCs w:val="18"/>
        </w:rPr>
        <w:t>3</w:t>
      </w:r>
      <w:r w:rsidRPr="00D6560F">
        <w:rPr>
          <w:bCs/>
          <w:sz w:val="18"/>
          <w:szCs w:val="18"/>
        </w:rPr>
        <w:t xml:space="preserve"> million completed surveys)</w:t>
      </w:r>
      <w:r w:rsidRPr="00D6560F" w:rsidR="0000250B">
        <w:rPr>
          <w:bCs/>
          <w:sz w:val="18"/>
          <w:szCs w:val="18"/>
        </w:rPr>
        <w:t>, unless otherwise noted</w:t>
      </w:r>
      <w:r w:rsidRPr="00D6560F">
        <w:rPr>
          <w:bCs/>
          <w:sz w:val="18"/>
          <w:szCs w:val="18"/>
        </w:rPr>
        <w:t xml:space="preserve">. Note: All correlations are significant at p&lt;0.001. </w:t>
      </w:r>
    </w:p>
    <w:p w:rsidR="00AE08B5" w:rsidRPr="00C83E09" w:rsidP="00C83E09" w14:paraId="3C40074E" w14:textId="2C7FDB9C">
      <w:pPr>
        <w:spacing w:after="60" w:line="304" w:lineRule="auto"/>
        <w:ind w:right="1385"/>
        <w:rPr>
          <w:bCs/>
          <w:sz w:val="20"/>
        </w:rPr>
      </w:pPr>
    </w:p>
    <w:p w:rsidR="007F0C98" w:rsidP="007F0C98" w14:paraId="502A8A44" w14:textId="70EC67CF">
      <w:pPr>
        <w:spacing w:line="360" w:lineRule="auto"/>
        <w:ind w:left="129" w:right="130" w:hanging="14"/>
        <w:rPr>
          <w:b/>
        </w:rPr>
      </w:pPr>
      <w:r w:rsidRPr="00CD03AA">
        <w:t xml:space="preserve">The correlations of the </w:t>
      </w:r>
      <w:r w:rsidR="003A4D22">
        <w:t>nine</w:t>
      </w:r>
      <w:r w:rsidRPr="00CD03AA">
        <w:t xml:space="preserve"> specific measures with the two global measures are larger at the hospital level than at the patient level, in part because of the better measurement at the hospital level (as intended) than at the patient level; see Table 4.  These hospital level correlations ranged from 0.</w:t>
      </w:r>
      <w:r w:rsidR="00B21AB5">
        <w:t>48</w:t>
      </w:r>
      <w:r w:rsidRPr="00CD03AA">
        <w:t xml:space="preserve"> to 0.</w:t>
      </w:r>
      <w:r w:rsidRPr="00913E97" w:rsidR="00CC4D12">
        <w:t>8</w:t>
      </w:r>
      <w:r w:rsidR="00B21AB5">
        <w:t>8</w:t>
      </w:r>
      <w:r w:rsidRPr="00CD03AA">
        <w:t xml:space="preserve">.  </w:t>
      </w:r>
      <w:r w:rsidRPr="00CD03AA">
        <w:rPr>
          <w:b/>
        </w:rPr>
        <w:t xml:space="preserve"> </w:t>
      </w:r>
      <w:bookmarkStart w:id="11" w:name="_Toc142036612"/>
    </w:p>
    <w:p w:rsidR="007F0C98" w:rsidP="007F0C98" w14:paraId="39B49F8D" w14:textId="77777777">
      <w:pPr>
        <w:spacing w:line="360" w:lineRule="auto"/>
        <w:ind w:left="129" w:right="130" w:hanging="14"/>
        <w:rPr>
          <w:b/>
        </w:rPr>
      </w:pPr>
    </w:p>
    <w:p w:rsidR="00AE08B5" w:rsidRPr="00B95A44" w:rsidP="007F0C98" w14:paraId="4AD63D38" w14:textId="5F273EE8">
      <w:pPr>
        <w:spacing w:line="360" w:lineRule="auto"/>
        <w:ind w:left="129" w:right="130" w:hanging="14"/>
        <w:rPr>
          <w:color w:val="auto"/>
          <w:szCs w:val="24"/>
        </w:rPr>
      </w:pPr>
      <w:r w:rsidRPr="00B95A44">
        <w:rPr>
          <w:b/>
          <w:bCs/>
          <w:color w:val="auto"/>
          <w:szCs w:val="24"/>
        </w:rPr>
        <w:t xml:space="preserve">Table 4: </w:t>
      </w:r>
      <w:r w:rsidRPr="00B95A44" w:rsidR="005131A4">
        <w:rPr>
          <w:b/>
          <w:bCs/>
          <w:color w:val="auto"/>
          <w:szCs w:val="24"/>
        </w:rPr>
        <w:t>Hospital Correlations</w:t>
      </w:r>
      <w:r w:rsidRPr="00B95A44">
        <w:rPr>
          <w:b/>
          <w:bCs/>
          <w:color w:val="auto"/>
          <w:szCs w:val="24"/>
        </w:rPr>
        <w:t xml:space="preserve"> f</w:t>
      </w:r>
      <w:r w:rsidRPr="00B95A44" w:rsidR="00E47B9E">
        <w:rPr>
          <w:b/>
          <w:bCs/>
          <w:color w:val="auto"/>
          <w:szCs w:val="24"/>
        </w:rPr>
        <w:t>or HCAHPS Measures, January – December 20</w:t>
      </w:r>
      <w:r w:rsidRPr="00B95A44" w:rsidR="00CC4D12">
        <w:rPr>
          <w:b/>
          <w:bCs/>
          <w:color w:val="auto"/>
          <w:szCs w:val="24"/>
        </w:rPr>
        <w:t>22</w:t>
      </w:r>
      <w:bookmarkEnd w:id="11"/>
      <w:r w:rsidRPr="00B95A44" w:rsidR="00E47B9E">
        <w:rPr>
          <w:b/>
          <w:bCs/>
          <w:color w:val="auto"/>
          <w:szCs w:val="24"/>
        </w:rPr>
        <w:t xml:space="preserve"> </w:t>
      </w:r>
      <w:r w:rsidRPr="00B95A44" w:rsidR="00E47B9E">
        <w:rPr>
          <w:b/>
          <w:color w:val="auto"/>
          <w:szCs w:val="24"/>
        </w:rPr>
        <w:t>discharges (</w:t>
      </w:r>
      <w:r w:rsidR="00B21AB5">
        <w:rPr>
          <w:b/>
          <w:color w:val="auto"/>
          <w:szCs w:val="24"/>
        </w:rPr>
        <w:t>4,424</w:t>
      </w:r>
      <w:r w:rsidRPr="00B95A44" w:rsidR="00E47B9E">
        <w:rPr>
          <w:b/>
          <w:color w:val="auto"/>
          <w:szCs w:val="24"/>
        </w:rPr>
        <w:t xml:space="preserve"> hospitals, 2.</w:t>
      </w:r>
      <w:r w:rsidRPr="00B95A44" w:rsidR="00CC4D12">
        <w:rPr>
          <w:b/>
          <w:color w:val="auto"/>
          <w:szCs w:val="24"/>
        </w:rPr>
        <w:t>3</w:t>
      </w:r>
      <w:r w:rsidRPr="00B95A44" w:rsidR="00E47B9E">
        <w:rPr>
          <w:b/>
          <w:color w:val="auto"/>
          <w:szCs w:val="24"/>
        </w:rPr>
        <w:t xml:space="preserve"> million surveys) </w:t>
      </w:r>
    </w:p>
    <w:p w:rsidR="00AE08B5" w:rsidRPr="00CD03AA" w14:paraId="0C0167EF" w14:textId="3FF571D7">
      <w:pPr>
        <w:spacing w:after="0" w:line="259" w:lineRule="auto"/>
        <w:ind w:left="439" w:firstLine="0"/>
        <w:jc w:val="center"/>
      </w:pPr>
    </w:p>
    <w:tbl>
      <w:tblPr>
        <w:tblStyle w:val="TableGrid"/>
        <w:tblW w:w="8076" w:type="dxa"/>
        <w:tblInd w:w="104" w:type="dxa"/>
        <w:tblCellMar>
          <w:top w:w="60" w:type="dxa"/>
          <w:left w:w="108" w:type="dxa"/>
          <w:right w:w="115" w:type="dxa"/>
        </w:tblCellMar>
        <w:tblLook w:val="04A0"/>
      </w:tblPr>
      <w:tblGrid>
        <w:gridCol w:w="4476"/>
        <w:gridCol w:w="1800"/>
        <w:gridCol w:w="1800"/>
      </w:tblGrid>
      <w:tr w14:paraId="4A3D31FA" w14:textId="77777777" w:rsidTr="0020770C">
        <w:tblPrEx>
          <w:tblW w:w="8076" w:type="dxa"/>
          <w:tblInd w:w="104" w:type="dxa"/>
          <w:tblCellMar>
            <w:top w:w="60" w:type="dxa"/>
            <w:left w:w="108" w:type="dxa"/>
            <w:right w:w="115" w:type="dxa"/>
          </w:tblCellMar>
          <w:tblLook w:val="04A0"/>
        </w:tblPrEx>
        <w:trPr>
          <w:trHeight w:val="317"/>
        </w:trPr>
        <w:tc>
          <w:tcPr>
            <w:tcW w:w="4476" w:type="dxa"/>
            <w:tcBorders>
              <w:top w:val="single" w:sz="8" w:space="0" w:color="000000"/>
              <w:left w:val="single" w:sz="8" w:space="0" w:color="000000"/>
              <w:bottom w:val="single" w:sz="4" w:space="0" w:color="000000"/>
              <w:right w:val="single" w:sz="4" w:space="0" w:color="000000"/>
            </w:tcBorders>
          </w:tcPr>
          <w:p w:rsidR="007F0C98" w:rsidRPr="007F0C98" w:rsidP="007F0C98" w14:paraId="5E7547BB" w14:textId="77777777">
            <w:pPr>
              <w:spacing w:after="0" w:line="259" w:lineRule="auto"/>
              <w:ind w:left="0" w:firstLine="0"/>
              <w:rPr>
                <w:rFonts w:asciiTheme="minorHAnsi" w:hAnsiTheme="minorHAnsi" w:cstheme="minorHAnsi"/>
                <w:szCs w:val="24"/>
              </w:rPr>
            </w:pPr>
          </w:p>
        </w:tc>
        <w:tc>
          <w:tcPr>
            <w:tcW w:w="1800" w:type="dxa"/>
            <w:tcBorders>
              <w:top w:val="single" w:sz="8" w:space="0" w:color="000000"/>
              <w:left w:val="single" w:sz="4" w:space="0" w:color="000000"/>
              <w:bottom w:val="single" w:sz="4" w:space="0" w:color="000000"/>
              <w:right w:val="single" w:sz="8" w:space="0" w:color="000000"/>
            </w:tcBorders>
          </w:tcPr>
          <w:p w:rsidR="007F0C98" w:rsidRPr="007F0C98" w:rsidP="007F0C98" w14:paraId="544DCA8B" w14:textId="46357FC4">
            <w:pPr>
              <w:spacing w:after="0" w:line="259" w:lineRule="auto"/>
              <w:ind w:left="0" w:firstLine="0"/>
              <w:rPr>
                <w:rFonts w:asciiTheme="minorHAnsi" w:hAnsiTheme="minorHAnsi" w:cstheme="minorHAnsi"/>
                <w:szCs w:val="24"/>
              </w:rPr>
            </w:pPr>
            <w:r w:rsidRPr="007F0C98">
              <w:rPr>
                <w:rFonts w:asciiTheme="minorHAnsi" w:hAnsiTheme="minorHAnsi" w:cstheme="minorHAnsi"/>
                <w:szCs w:val="24"/>
              </w:rPr>
              <w:t>Hospital Rating</w:t>
            </w:r>
          </w:p>
        </w:tc>
        <w:tc>
          <w:tcPr>
            <w:tcW w:w="1800" w:type="dxa"/>
            <w:tcBorders>
              <w:top w:val="single" w:sz="8" w:space="0" w:color="000000"/>
              <w:left w:val="single" w:sz="4" w:space="0" w:color="000000"/>
              <w:bottom w:val="single" w:sz="4" w:space="0" w:color="000000"/>
              <w:right w:val="single" w:sz="8" w:space="0" w:color="000000"/>
            </w:tcBorders>
          </w:tcPr>
          <w:p w:rsidR="007F0C98" w:rsidRPr="007F0C98" w:rsidP="007F0C98" w14:paraId="476008C4" w14:textId="1C3793D6">
            <w:pPr>
              <w:spacing w:after="0" w:line="259" w:lineRule="auto"/>
              <w:ind w:left="0" w:firstLine="0"/>
              <w:rPr>
                <w:rFonts w:asciiTheme="minorHAnsi" w:hAnsiTheme="minorHAnsi" w:cstheme="minorHAnsi"/>
                <w:szCs w:val="24"/>
              </w:rPr>
            </w:pPr>
            <w:r w:rsidRPr="007F0C98">
              <w:rPr>
                <w:rFonts w:asciiTheme="minorHAnsi" w:hAnsiTheme="minorHAnsi" w:cstheme="minorHAnsi"/>
                <w:szCs w:val="24"/>
              </w:rPr>
              <w:t>Recommend the Hospital</w:t>
            </w:r>
          </w:p>
        </w:tc>
      </w:tr>
      <w:tr w14:paraId="5D65D738" w14:textId="77777777" w:rsidTr="0020770C">
        <w:tblPrEx>
          <w:tblW w:w="8076" w:type="dxa"/>
          <w:tblInd w:w="104" w:type="dxa"/>
          <w:tblCellMar>
            <w:top w:w="60" w:type="dxa"/>
            <w:left w:w="108" w:type="dxa"/>
            <w:right w:w="115" w:type="dxa"/>
          </w:tblCellMar>
          <w:tblLook w:val="04A0"/>
        </w:tblPrEx>
        <w:trPr>
          <w:trHeight w:val="317"/>
        </w:trPr>
        <w:tc>
          <w:tcPr>
            <w:tcW w:w="4476" w:type="dxa"/>
            <w:tcBorders>
              <w:top w:val="single" w:sz="8" w:space="0" w:color="000000"/>
              <w:left w:val="single" w:sz="8" w:space="0" w:color="000000"/>
              <w:bottom w:val="single" w:sz="4" w:space="0" w:color="000000"/>
              <w:right w:val="single" w:sz="4" w:space="0" w:color="000000"/>
            </w:tcBorders>
          </w:tcPr>
          <w:p w:rsidR="0053255C" w:rsidRPr="007F0C98" w:rsidP="0053255C" w14:paraId="28B31771" w14:textId="77777777">
            <w:pPr>
              <w:spacing w:after="0" w:line="259" w:lineRule="auto"/>
              <w:ind w:left="0" w:firstLine="0"/>
              <w:rPr>
                <w:rFonts w:eastAsia="Calibri" w:asciiTheme="minorHAnsi" w:hAnsiTheme="minorHAnsi" w:cstheme="minorHAnsi"/>
                <w:szCs w:val="24"/>
              </w:rPr>
            </w:pPr>
            <w:r w:rsidRPr="007F0C98">
              <w:rPr>
                <w:rFonts w:eastAsia="Calibri" w:asciiTheme="minorHAnsi" w:hAnsiTheme="minorHAnsi" w:cstheme="minorHAnsi"/>
                <w:szCs w:val="24"/>
              </w:rPr>
              <w:t xml:space="preserve">Communication with Nurses </w:t>
            </w:r>
          </w:p>
        </w:tc>
        <w:tc>
          <w:tcPr>
            <w:tcW w:w="1800" w:type="dxa"/>
            <w:tcBorders>
              <w:top w:val="single" w:sz="8" w:space="0" w:color="000000"/>
              <w:left w:val="single" w:sz="4" w:space="0" w:color="000000"/>
              <w:bottom w:val="single" w:sz="4" w:space="0" w:color="000000"/>
              <w:right w:val="single" w:sz="8" w:space="0" w:color="000000"/>
            </w:tcBorders>
            <w:vAlign w:val="bottom"/>
          </w:tcPr>
          <w:p w:rsidR="0053255C" w:rsidRPr="007F0C98" w:rsidP="0053255C" w14:paraId="799718CC" w14:textId="57DFEF3A">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0.88</w:t>
            </w:r>
          </w:p>
        </w:tc>
        <w:tc>
          <w:tcPr>
            <w:tcW w:w="1800" w:type="dxa"/>
            <w:tcBorders>
              <w:top w:val="single" w:sz="8" w:space="0" w:color="000000"/>
              <w:left w:val="single" w:sz="4" w:space="0" w:color="000000"/>
              <w:bottom w:val="single" w:sz="4" w:space="0" w:color="000000"/>
              <w:right w:val="single" w:sz="8" w:space="0" w:color="000000"/>
            </w:tcBorders>
            <w:vAlign w:val="bottom"/>
          </w:tcPr>
          <w:p w:rsidR="0053255C" w:rsidRPr="007F0C98" w:rsidP="0053255C" w14:paraId="349F46A4" w14:textId="44E95E0F">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0.82</w:t>
            </w:r>
          </w:p>
        </w:tc>
      </w:tr>
      <w:tr w14:paraId="13756164" w14:textId="77777777" w:rsidTr="0020770C">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26FE70C9" w14:textId="77777777">
            <w:pPr>
              <w:spacing w:after="0" w:line="259" w:lineRule="auto"/>
              <w:ind w:left="0" w:firstLine="0"/>
              <w:rPr>
                <w:rFonts w:asciiTheme="minorHAnsi" w:hAnsiTheme="minorHAnsi" w:cstheme="minorHAnsi"/>
                <w:szCs w:val="24"/>
              </w:rPr>
            </w:pPr>
            <w:r w:rsidRPr="007F0C98">
              <w:rPr>
                <w:rFonts w:eastAsia="Calibri" w:asciiTheme="minorHAnsi" w:hAnsiTheme="minorHAnsi" w:cstheme="minorHAnsi"/>
                <w:szCs w:val="24"/>
              </w:rPr>
              <w:t xml:space="preserve">Communication with Doctors </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0A39A903" w14:textId="47CA450F">
            <w:pPr>
              <w:spacing w:after="0" w:line="259" w:lineRule="auto"/>
              <w:ind w:left="0" w:firstLine="0"/>
              <w:jc w:val="center"/>
              <w:rPr>
                <w:rFonts w:asciiTheme="minorHAnsi" w:hAnsiTheme="minorHAnsi" w:cstheme="minorHAnsi"/>
                <w:szCs w:val="24"/>
              </w:rPr>
            </w:pPr>
            <w:r w:rsidRPr="007F0C98">
              <w:rPr>
                <w:rFonts w:ascii="Calibri" w:hAnsi="Calibri" w:cs="Calibri"/>
                <w:szCs w:val="24"/>
              </w:rPr>
              <w:t>0.80</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61159155" w14:textId="35C82199">
            <w:pPr>
              <w:spacing w:after="0" w:line="259" w:lineRule="auto"/>
              <w:ind w:left="0" w:firstLine="0"/>
              <w:jc w:val="center"/>
              <w:rPr>
                <w:rFonts w:asciiTheme="minorHAnsi" w:hAnsiTheme="minorHAnsi" w:cstheme="minorHAnsi"/>
                <w:szCs w:val="24"/>
              </w:rPr>
            </w:pPr>
            <w:r w:rsidRPr="007F0C98">
              <w:rPr>
                <w:rFonts w:ascii="Calibri" w:hAnsi="Calibri" w:cs="Calibri"/>
                <w:szCs w:val="24"/>
              </w:rPr>
              <w:t>0.75</w:t>
            </w:r>
          </w:p>
        </w:tc>
      </w:tr>
      <w:tr w14:paraId="051CC60B" w14:textId="77777777" w:rsidTr="0020770C">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1926084E" w14:textId="77777777">
            <w:pPr>
              <w:spacing w:after="0" w:line="259" w:lineRule="auto"/>
              <w:ind w:left="0" w:firstLine="0"/>
              <w:rPr>
                <w:rFonts w:asciiTheme="minorHAnsi" w:hAnsiTheme="minorHAnsi" w:cstheme="minorHAnsi"/>
                <w:szCs w:val="24"/>
              </w:rPr>
            </w:pPr>
            <w:r w:rsidRPr="007F0C98">
              <w:rPr>
                <w:rFonts w:eastAsia="Calibri" w:asciiTheme="minorHAnsi" w:hAnsiTheme="minorHAnsi" w:cstheme="minorHAnsi"/>
                <w:szCs w:val="24"/>
              </w:rPr>
              <w:t xml:space="preserve">Communication about Medicines </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63195D0B" w14:textId="59BDB98E">
            <w:pPr>
              <w:spacing w:after="0" w:line="259" w:lineRule="auto"/>
              <w:ind w:left="0" w:firstLine="0"/>
              <w:jc w:val="center"/>
              <w:rPr>
                <w:rFonts w:asciiTheme="minorHAnsi" w:hAnsiTheme="minorHAnsi" w:cstheme="minorHAnsi"/>
                <w:szCs w:val="24"/>
              </w:rPr>
            </w:pPr>
            <w:r w:rsidRPr="007F0C98">
              <w:rPr>
                <w:rFonts w:ascii="Calibri" w:hAnsi="Calibri" w:cs="Calibri"/>
                <w:szCs w:val="24"/>
              </w:rPr>
              <w:t>0.78</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5F135E7D" w14:textId="5E8467A8">
            <w:pPr>
              <w:spacing w:after="0" w:line="259" w:lineRule="auto"/>
              <w:ind w:left="0" w:firstLine="0"/>
              <w:jc w:val="center"/>
              <w:rPr>
                <w:rFonts w:asciiTheme="minorHAnsi" w:hAnsiTheme="minorHAnsi" w:cstheme="minorHAnsi"/>
                <w:szCs w:val="24"/>
              </w:rPr>
            </w:pPr>
            <w:r w:rsidRPr="007F0C98">
              <w:rPr>
                <w:rFonts w:ascii="Calibri" w:hAnsi="Calibri" w:cs="Calibri"/>
                <w:szCs w:val="24"/>
              </w:rPr>
              <w:t>0.72</w:t>
            </w:r>
          </w:p>
        </w:tc>
      </w:tr>
      <w:tr w14:paraId="1E991316" w14:textId="77777777" w:rsidTr="0020770C">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3BE6454D" w14:textId="77777777">
            <w:pPr>
              <w:spacing w:after="0" w:line="259" w:lineRule="auto"/>
              <w:ind w:left="0" w:firstLine="0"/>
              <w:rPr>
                <w:rFonts w:asciiTheme="minorHAnsi" w:hAnsiTheme="minorHAnsi" w:cstheme="minorHAnsi"/>
                <w:szCs w:val="24"/>
              </w:rPr>
            </w:pPr>
            <w:r w:rsidRPr="007F0C98">
              <w:rPr>
                <w:rFonts w:eastAsia="Calibri" w:asciiTheme="minorHAnsi" w:hAnsiTheme="minorHAnsi" w:cstheme="minorHAnsi"/>
                <w:szCs w:val="24"/>
              </w:rPr>
              <w:t xml:space="preserve">Cleanliness </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0BFD6262" w14:textId="18898787">
            <w:pPr>
              <w:spacing w:after="0" w:line="259" w:lineRule="auto"/>
              <w:ind w:left="0" w:firstLine="0"/>
              <w:jc w:val="center"/>
              <w:rPr>
                <w:rFonts w:asciiTheme="minorHAnsi" w:hAnsiTheme="minorHAnsi" w:cstheme="minorHAnsi"/>
                <w:szCs w:val="24"/>
              </w:rPr>
            </w:pPr>
            <w:r w:rsidRPr="007F0C98">
              <w:rPr>
                <w:rFonts w:ascii="Calibri" w:hAnsi="Calibri" w:cs="Calibri"/>
                <w:szCs w:val="24"/>
              </w:rPr>
              <w:t>0.68</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12B4010D" w14:textId="6F21044E">
            <w:pPr>
              <w:spacing w:after="0" w:line="259" w:lineRule="auto"/>
              <w:ind w:left="0" w:firstLine="0"/>
              <w:jc w:val="center"/>
              <w:rPr>
                <w:rFonts w:asciiTheme="minorHAnsi" w:hAnsiTheme="minorHAnsi" w:cstheme="minorHAnsi"/>
                <w:szCs w:val="24"/>
              </w:rPr>
            </w:pPr>
            <w:r w:rsidRPr="007F0C98">
              <w:rPr>
                <w:rFonts w:ascii="Calibri" w:hAnsi="Calibri" w:cs="Calibri"/>
                <w:szCs w:val="24"/>
              </w:rPr>
              <w:t>0.61</w:t>
            </w:r>
          </w:p>
        </w:tc>
      </w:tr>
      <w:tr w14:paraId="709EAA6E" w14:textId="77777777" w:rsidTr="0020770C">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717DF1C8" w14:textId="77777777">
            <w:pPr>
              <w:spacing w:after="0" w:line="259" w:lineRule="auto"/>
              <w:ind w:left="0" w:firstLine="0"/>
              <w:rPr>
                <w:rFonts w:asciiTheme="minorHAnsi" w:hAnsiTheme="minorHAnsi" w:cstheme="minorHAnsi"/>
                <w:szCs w:val="24"/>
              </w:rPr>
            </w:pPr>
            <w:r w:rsidRPr="007F0C98">
              <w:rPr>
                <w:rFonts w:eastAsia="Calibri" w:asciiTheme="minorHAnsi" w:hAnsiTheme="minorHAnsi" w:cstheme="minorHAnsi"/>
                <w:szCs w:val="24"/>
              </w:rPr>
              <w:t xml:space="preserve">Discharge Information </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07B167BE" w14:textId="60AF225D">
            <w:pPr>
              <w:spacing w:after="0" w:line="259" w:lineRule="auto"/>
              <w:ind w:left="0" w:firstLine="0"/>
              <w:jc w:val="center"/>
              <w:rPr>
                <w:rFonts w:asciiTheme="minorHAnsi" w:hAnsiTheme="minorHAnsi" w:cstheme="minorHAnsi"/>
                <w:szCs w:val="24"/>
              </w:rPr>
            </w:pPr>
            <w:r w:rsidRPr="007F0C98">
              <w:rPr>
                <w:rFonts w:ascii="Calibri" w:hAnsi="Calibri" w:cs="Calibri"/>
                <w:szCs w:val="24"/>
              </w:rPr>
              <w:t>0.66</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3BE58EA9" w14:textId="39C637B5">
            <w:pPr>
              <w:spacing w:after="0" w:line="259" w:lineRule="auto"/>
              <w:ind w:left="0" w:firstLine="0"/>
              <w:jc w:val="center"/>
              <w:rPr>
                <w:rFonts w:asciiTheme="minorHAnsi" w:hAnsiTheme="minorHAnsi" w:cstheme="minorHAnsi"/>
                <w:szCs w:val="24"/>
              </w:rPr>
            </w:pPr>
            <w:r w:rsidRPr="007F0C98">
              <w:rPr>
                <w:rFonts w:ascii="Calibri" w:hAnsi="Calibri" w:cs="Calibri"/>
                <w:szCs w:val="24"/>
              </w:rPr>
              <w:t>0.66</w:t>
            </w:r>
          </w:p>
        </w:tc>
      </w:tr>
      <w:tr w14:paraId="744EC96F" w14:textId="77777777" w:rsidTr="0020770C">
        <w:tblPrEx>
          <w:tblW w:w="8076" w:type="dxa"/>
          <w:tblInd w:w="104" w:type="dxa"/>
          <w:tblCellMar>
            <w:top w:w="60" w:type="dxa"/>
            <w:left w:w="108" w:type="dxa"/>
            <w:right w:w="115" w:type="dxa"/>
          </w:tblCellMar>
          <w:tblLook w:val="04A0"/>
        </w:tblPrEx>
        <w:trPr>
          <w:trHeight w:val="310"/>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11FD3147" w14:textId="46A084A0">
            <w:pPr>
              <w:spacing w:after="0" w:line="259" w:lineRule="auto"/>
              <w:ind w:left="0" w:firstLine="0"/>
              <w:rPr>
                <w:rFonts w:eastAsia="Calibri" w:asciiTheme="minorHAnsi" w:hAnsiTheme="minorHAnsi" w:cstheme="minorHAnsi"/>
                <w:szCs w:val="24"/>
              </w:rPr>
            </w:pPr>
            <w:r w:rsidRPr="007F0C98">
              <w:rPr>
                <w:rFonts w:eastAsia="Calibri" w:asciiTheme="minorHAnsi" w:hAnsiTheme="minorHAnsi" w:cstheme="minorHAnsi"/>
                <w:szCs w:val="24"/>
              </w:rPr>
              <w:t>Responsiveness of Hospital Staff</w:t>
            </w:r>
            <w:r w:rsidRPr="00A34463" w:rsidR="00684F27">
              <w:rPr>
                <w:rFonts w:eastAsia="Calibri" w:asciiTheme="minorHAnsi" w:hAnsiTheme="minorHAnsi" w:cstheme="minorHAnsi"/>
                <w:szCs w:val="24"/>
                <w:vertAlign w:val="superscript"/>
              </w:rPr>
              <w:t>1</w:t>
            </w:r>
            <w:r w:rsidRPr="007F0C98">
              <w:rPr>
                <w:rFonts w:eastAsia="Calibri" w:asciiTheme="minorHAnsi" w:hAnsiTheme="minorHAnsi" w:cstheme="minorHAnsi"/>
                <w:szCs w:val="24"/>
              </w:rPr>
              <w:t xml:space="preserve"> </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39583940" w14:textId="461D283C">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0.78</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08991888" w14:textId="679D6B8C">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0.71</w:t>
            </w:r>
          </w:p>
        </w:tc>
      </w:tr>
      <w:tr w14:paraId="5571CE3B" w14:textId="77777777" w:rsidTr="0020770C">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0D9291BA" w14:textId="10EC87E9">
            <w:pPr>
              <w:spacing w:after="0" w:line="259" w:lineRule="auto"/>
              <w:ind w:left="0" w:firstLine="0"/>
              <w:rPr>
                <w:rFonts w:asciiTheme="minorHAnsi" w:hAnsiTheme="minorHAnsi" w:cstheme="minorHAnsi"/>
                <w:szCs w:val="24"/>
              </w:rPr>
            </w:pPr>
            <w:r w:rsidRPr="007F0C98">
              <w:rPr>
                <w:rFonts w:eastAsia="Calibri" w:asciiTheme="minorHAnsi" w:hAnsiTheme="minorHAnsi" w:cstheme="minorHAnsi"/>
                <w:szCs w:val="24"/>
              </w:rPr>
              <w:t>Care Coordination</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4AED3D59" w14:textId="1D33CD54">
            <w:pPr>
              <w:spacing w:after="0" w:line="259" w:lineRule="auto"/>
              <w:ind w:left="0" w:firstLine="0"/>
              <w:jc w:val="center"/>
              <w:rPr>
                <w:rFonts w:asciiTheme="minorHAnsi" w:hAnsiTheme="minorHAnsi" w:cstheme="minorHAnsi"/>
                <w:szCs w:val="24"/>
              </w:rPr>
            </w:pPr>
            <w:r w:rsidRPr="007F0C98">
              <w:rPr>
                <w:rFonts w:ascii="Calibri" w:hAnsi="Calibri" w:cs="Calibri"/>
                <w:szCs w:val="24"/>
              </w:rPr>
              <w:t>0.84</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0A5762B1" w14:textId="6758BF78">
            <w:pPr>
              <w:spacing w:after="0" w:line="259" w:lineRule="auto"/>
              <w:ind w:left="0" w:firstLine="0"/>
              <w:jc w:val="center"/>
              <w:rPr>
                <w:rFonts w:asciiTheme="minorHAnsi" w:hAnsiTheme="minorHAnsi" w:cstheme="minorHAnsi"/>
                <w:szCs w:val="24"/>
              </w:rPr>
            </w:pPr>
            <w:r w:rsidRPr="007F0C98">
              <w:rPr>
                <w:rFonts w:ascii="Calibri" w:hAnsi="Calibri" w:cs="Calibri"/>
                <w:szCs w:val="24"/>
              </w:rPr>
              <w:t>0.78</w:t>
            </w:r>
          </w:p>
        </w:tc>
      </w:tr>
      <w:tr w14:paraId="48590402" w14:textId="77777777" w:rsidTr="0020770C">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0A01948A" w14:textId="036DA2B9">
            <w:pPr>
              <w:spacing w:after="0" w:line="259" w:lineRule="auto"/>
              <w:ind w:left="0" w:firstLine="0"/>
              <w:rPr>
                <w:rFonts w:eastAsia="Calibri" w:asciiTheme="minorHAnsi" w:hAnsiTheme="minorHAnsi" w:cstheme="minorHAnsi"/>
                <w:szCs w:val="24"/>
                <w:vertAlign w:val="superscript"/>
              </w:rPr>
            </w:pPr>
            <w:r w:rsidRPr="007F0C98">
              <w:rPr>
                <w:rFonts w:eastAsia="Calibri" w:asciiTheme="minorHAnsi" w:hAnsiTheme="minorHAnsi" w:cstheme="minorHAnsi"/>
                <w:szCs w:val="24"/>
              </w:rPr>
              <w:t>Restfulness of Hospital Environment</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79AC2335" w14:textId="52B64206">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0.64</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5BCFA77B" w14:textId="350FBB71">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0.50</w:t>
            </w:r>
          </w:p>
        </w:tc>
      </w:tr>
      <w:tr w14:paraId="70E71E46" w14:textId="77777777" w:rsidTr="0020770C">
        <w:tblPrEx>
          <w:tblW w:w="8076" w:type="dxa"/>
          <w:tblInd w:w="104" w:type="dxa"/>
          <w:tblCellMar>
            <w:top w:w="60" w:type="dxa"/>
            <w:left w:w="108" w:type="dxa"/>
            <w:right w:w="115" w:type="dxa"/>
          </w:tblCellMar>
          <w:tblLook w:val="04A0"/>
        </w:tblPrEx>
        <w:trPr>
          <w:trHeight w:val="331"/>
        </w:trPr>
        <w:tc>
          <w:tcPr>
            <w:tcW w:w="4476" w:type="dxa"/>
            <w:tcBorders>
              <w:top w:val="single" w:sz="4" w:space="0" w:color="000000"/>
              <w:left w:val="single" w:sz="8" w:space="0" w:color="000000"/>
              <w:bottom w:val="single" w:sz="4" w:space="0" w:color="000000"/>
              <w:right w:val="single" w:sz="4" w:space="0" w:color="000000"/>
            </w:tcBorders>
          </w:tcPr>
          <w:p w:rsidR="0053255C" w:rsidRPr="007F0C98" w:rsidP="0053255C" w14:paraId="19FB90E7" w14:textId="419012A0">
            <w:pPr>
              <w:spacing w:after="0" w:line="259" w:lineRule="auto"/>
              <w:ind w:left="0" w:firstLine="0"/>
              <w:rPr>
                <w:rFonts w:eastAsia="Calibri" w:asciiTheme="minorHAnsi" w:hAnsiTheme="minorHAnsi" w:cstheme="minorHAnsi"/>
                <w:szCs w:val="24"/>
                <w:vertAlign w:val="superscript"/>
              </w:rPr>
            </w:pPr>
            <w:r w:rsidRPr="007F0C98">
              <w:rPr>
                <w:rFonts w:eastAsia="Calibri" w:asciiTheme="minorHAnsi" w:hAnsiTheme="minorHAnsi" w:cstheme="minorHAnsi"/>
                <w:szCs w:val="24"/>
              </w:rPr>
              <w:t>Information about Symptoms</w:t>
            </w:r>
            <w:r w:rsidRPr="00A34463" w:rsidR="00684F27">
              <w:rPr>
                <w:rFonts w:eastAsia="Calibri" w:asciiTheme="minorHAnsi" w:hAnsiTheme="minorHAnsi" w:cstheme="minorHAnsi"/>
                <w:szCs w:val="24"/>
                <w:vertAlign w:val="superscript"/>
              </w:rPr>
              <w:t>1</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62F2AF07" w14:textId="3796C108">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0.56</w:t>
            </w:r>
          </w:p>
        </w:tc>
        <w:tc>
          <w:tcPr>
            <w:tcW w:w="1800" w:type="dxa"/>
            <w:tcBorders>
              <w:top w:val="single" w:sz="4" w:space="0" w:color="000000"/>
              <w:left w:val="single" w:sz="4" w:space="0" w:color="000000"/>
              <w:bottom w:val="single" w:sz="4" w:space="0" w:color="000000"/>
              <w:right w:val="single" w:sz="8" w:space="0" w:color="000000"/>
            </w:tcBorders>
            <w:vAlign w:val="bottom"/>
          </w:tcPr>
          <w:p w:rsidR="0053255C" w:rsidRPr="007F0C98" w:rsidP="0053255C" w14:paraId="133199D4" w14:textId="2D7827B9">
            <w:pPr>
              <w:spacing w:after="0" w:line="259" w:lineRule="auto"/>
              <w:ind w:left="0" w:firstLine="0"/>
              <w:jc w:val="center"/>
              <w:rPr>
                <w:rFonts w:eastAsia="Calibri" w:asciiTheme="minorHAnsi" w:hAnsiTheme="minorHAnsi" w:cstheme="minorHAnsi"/>
                <w:szCs w:val="24"/>
              </w:rPr>
            </w:pPr>
            <w:r w:rsidRPr="007F0C98">
              <w:rPr>
                <w:rFonts w:ascii="Calibri" w:hAnsi="Calibri" w:cs="Calibri"/>
                <w:szCs w:val="24"/>
              </w:rPr>
              <w:t>0.48</w:t>
            </w:r>
          </w:p>
        </w:tc>
      </w:tr>
    </w:tbl>
    <w:p w:rsidR="00946FE1" w:rsidRPr="00D6560F" w:rsidP="00946FE1" w14:paraId="35606C5D" w14:textId="0CF36F4C">
      <w:pPr>
        <w:spacing w:after="104" w:line="259" w:lineRule="auto"/>
        <w:ind w:left="0" w:right="2822" w:firstLine="0"/>
        <w:rPr>
          <w:bCs/>
          <w:sz w:val="18"/>
          <w:szCs w:val="18"/>
        </w:rPr>
      </w:pPr>
      <w:r w:rsidRPr="00CD03AA">
        <w:t xml:space="preserve"> </w:t>
      </w:r>
      <w:r w:rsidRPr="00913E97" w:rsidR="00FA012C">
        <w:rPr>
          <w:b/>
          <w:sz w:val="20"/>
        </w:rPr>
        <w:t xml:space="preserve"> </w:t>
      </w:r>
      <w:r w:rsidRPr="00D6560F" w:rsidR="00FA012C">
        <w:rPr>
          <w:b/>
          <w:sz w:val="18"/>
          <w:szCs w:val="18"/>
          <w:vertAlign w:val="superscript"/>
        </w:rPr>
        <w:t>1</w:t>
      </w:r>
      <w:r w:rsidRPr="00D6560F">
        <w:rPr>
          <w:bCs/>
          <w:sz w:val="18"/>
          <w:szCs w:val="18"/>
        </w:rPr>
        <w:t xml:space="preserve"> </w:t>
      </w:r>
      <w:r w:rsidRPr="00D6560F" w:rsidR="009C1B48">
        <w:rPr>
          <w:bCs/>
          <w:sz w:val="18"/>
          <w:szCs w:val="18"/>
        </w:rPr>
        <w:t>E</w:t>
      </w:r>
      <w:r w:rsidRPr="00D6560F">
        <w:rPr>
          <w:bCs/>
          <w:sz w:val="18"/>
          <w:szCs w:val="18"/>
        </w:rPr>
        <w:t xml:space="preserve">stimates based on the </w:t>
      </w:r>
      <w:r w:rsidRPr="00D6560F" w:rsidR="00415C61">
        <w:rPr>
          <w:sz w:val="18"/>
          <w:szCs w:val="18"/>
        </w:rPr>
        <w:t>9</w:t>
      </w:r>
      <w:r w:rsidRPr="00D6560F" w:rsidR="00862420">
        <w:rPr>
          <w:sz w:val="18"/>
          <w:szCs w:val="18"/>
        </w:rPr>
        <w:t>,</w:t>
      </w:r>
      <w:r w:rsidRPr="00D6560F" w:rsidR="00415C61">
        <w:rPr>
          <w:sz w:val="18"/>
          <w:szCs w:val="18"/>
        </w:rPr>
        <w:t>642</w:t>
      </w:r>
      <w:r w:rsidRPr="00D6560F" w:rsidR="00DE1848">
        <w:rPr>
          <w:sz w:val="18"/>
          <w:szCs w:val="18"/>
        </w:rPr>
        <w:t xml:space="preserve"> respondents to the </w:t>
      </w:r>
      <w:r w:rsidRPr="00D6560F">
        <w:rPr>
          <w:bCs/>
          <w:sz w:val="18"/>
          <w:szCs w:val="18"/>
        </w:rPr>
        <w:t xml:space="preserve">2021 HCAHPS Mode </w:t>
      </w:r>
      <w:r w:rsidRPr="00D6560F" w:rsidR="00690104">
        <w:rPr>
          <w:bCs/>
          <w:sz w:val="18"/>
          <w:szCs w:val="18"/>
        </w:rPr>
        <w:t>E</w:t>
      </w:r>
      <w:r w:rsidRPr="00D6560F">
        <w:rPr>
          <w:bCs/>
          <w:sz w:val="18"/>
          <w:szCs w:val="18"/>
        </w:rPr>
        <w:t>xperiment.</w:t>
      </w:r>
    </w:p>
    <w:p w:rsidR="00AE08B5" w:rsidRPr="00CD03AA" w:rsidP="00946FE1" w14:paraId="51E30203" w14:textId="4F29F31E">
      <w:pPr>
        <w:spacing w:after="104" w:line="259" w:lineRule="auto"/>
        <w:ind w:left="0" w:right="2822" w:firstLine="0"/>
      </w:pPr>
    </w:p>
    <w:p w:rsidR="00AE08B5" w:rsidP="00C453BB" w14:paraId="0CD11039" w14:textId="6870C41F">
      <w:pPr>
        <w:spacing w:line="354" w:lineRule="auto"/>
        <w:ind w:left="115" w:right="130"/>
      </w:pPr>
      <w:r w:rsidRPr="00CD03AA">
        <w:t>The goal of HCAHPS is to c</w:t>
      </w:r>
      <w:r>
        <w:t xml:space="preserve">ollect information from patients using a standardized, national survey and to present the information based on those surveys to consumers, </w:t>
      </w:r>
      <w:r w:rsidR="00445426">
        <w:t>providers,</w:t>
      </w:r>
      <w:r>
        <w:t xml:space="preserve"> and hospitals.  One of the methodological issues associated with making comparisons between hospitals is the need to adjust appropriately for patient-mix differences. Patient-mix refers to patient characteristics that are not under the control of the hospital that may affect measures of patient experiences, such as demographic characteristics and health status. The basic goal of adjusting for patient-mix is to estimate how different hospitals would be rated if they all provided care to comparable groups of patients. </w:t>
      </w:r>
    </w:p>
    <w:p w:rsidR="00AE08B5" w:rsidP="00C453BB" w14:paraId="4B681A19" w14:textId="77777777">
      <w:pPr>
        <w:spacing w:after="0" w:line="259" w:lineRule="auto"/>
        <w:ind w:left="115" w:right="130" w:firstLine="0"/>
      </w:pPr>
      <w:bookmarkStart w:id="12" w:name="_Hlk158990395"/>
      <w:r>
        <w:rPr>
          <w:sz w:val="36"/>
        </w:rPr>
        <w:t xml:space="preserve"> </w:t>
      </w:r>
    </w:p>
    <w:p w:rsidR="00AE08B5" w:rsidP="00C453BB" w14:paraId="73BDFE2E" w14:textId="088014F7">
      <w:pPr>
        <w:spacing w:line="357" w:lineRule="auto"/>
        <w:ind w:left="115" w:right="130"/>
      </w:pPr>
      <w:r>
        <w:t xml:space="preserve">CMS applies patient-mix adjustment to control for patient characteristics that affect ratings and that are differentially distributed across hospitals. Most of the patient-mix items are included in the “About You” section of the instrument, while others are taken from administrative records. Based on the </w:t>
      </w:r>
      <w:r w:rsidR="00F226EF">
        <w:t xml:space="preserve">2021 </w:t>
      </w:r>
      <w:r>
        <w:t xml:space="preserve">mode experiment, and consistent with previous studies of patient-mix adjustment in CAHPS and in previous hospital patient surveys, we </w:t>
      </w:r>
      <w:r w:rsidR="0065552C">
        <w:t xml:space="preserve">will </w:t>
      </w:r>
      <w:r>
        <w:t xml:space="preserve">employ the following variables in the patient-mix adjustment model: </w:t>
      </w:r>
    </w:p>
    <w:p w:rsidR="00AE08B5" w:rsidP="00D6560F" w14:paraId="5ACD2764" w14:textId="5D7DC047">
      <w:pPr>
        <w:numPr>
          <w:ilvl w:val="0"/>
          <w:numId w:val="5"/>
        </w:numPr>
        <w:spacing w:line="240" w:lineRule="auto"/>
        <w:ind w:left="835" w:right="130" w:hanging="360"/>
      </w:pPr>
      <w:r>
        <w:t xml:space="preserve">Self-reported general health status (specified as a linear variable) </w:t>
      </w:r>
    </w:p>
    <w:p w:rsidR="00667B02" w:rsidP="00D6560F" w14:paraId="3C463E28" w14:textId="305DF204">
      <w:pPr>
        <w:numPr>
          <w:ilvl w:val="0"/>
          <w:numId w:val="5"/>
        </w:numPr>
        <w:spacing w:line="240" w:lineRule="auto"/>
        <w:ind w:left="835" w:right="130" w:hanging="360"/>
      </w:pPr>
      <w:r>
        <w:t>Self-reported mental or emotional health status (specified as a linear variable)</w:t>
      </w:r>
    </w:p>
    <w:p w:rsidR="00AE08B5" w:rsidP="00D6560F" w14:paraId="0B6D0AC3" w14:textId="77777777">
      <w:pPr>
        <w:numPr>
          <w:ilvl w:val="0"/>
          <w:numId w:val="5"/>
        </w:numPr>
        <w:spacing w:line="240" w:lineRule="auto"/>
        <w:ind w:left="835" w:right="130" w:hanging="360"/>
      </w:pPr>
      <w:r>
        <w:t xml:space="preserve">Education (specified as a linear variable) </w:t>
      </w:r>
    </w:p>
    <w:p w:rsidR="00AE08B5" w:rsidP="00D6560F" w14:paraId="71428FBD" w14:textId="6356342A">
      <w:pPr>
        <w:numPr>
          <w:ilvl w:val="0"/>
          <w:numId w:val="5"/>
        </w:numPr>
        <w:spacing w:line="240" w:lineRule="auto"/>
        <w:ind w:left="835" w:right="130" w:hanging="360"/>
      </w:pPr>
      <w:r>
        <w:t>S</w:t>
      </w:r>
      <w:r w:rsidR="00E47B9E">
        <w:t xml:space="preserve">ervice </w:t>
      </w:r>
      <w:r>
        <w:t xml:space="preserve">line </w:t>
      </w:r>
      <w:r w:rsidR="00E47B9E">
        <w:t>(</w:t>
      </w:r>
      <w:r w:rsidR="00FF6FCA">
        <w:t xml:space="preserve">male </w:t>
      </w:r>
      <w:r w:rsidR="00E47B9E">
        <w:t xml:space="preserve">medical, </w:t>
      </w:r>
      <w:r w:rsidR="00FF6FCA">
        <w:t xml:space="preserve">female medical, male </w:t>
      </w:r>
      <w:r w:rsidR="00E47B9E">
        <w:t>surgical,</w:t>
      </w:r>
      <w:r w:rsidR="00FF6FCA">
        <w:t xml:space="preserve"> female surgical</w:t>
      </w:r>
      <w:r>
        <w:t>,</w:t>
      </w:r>
      <w:r w:rsidR="00E47B9E">
        <w:t xml:space="preserve"> or maternity care) </w:t>
      </w:r>
    </w:p>
    <w:p w:rsidR="00AE08B5" w:rsidP="00D6560F" w14:paraId="219128A5" w14:textId="77777777">
      <w:pPr>
        <w:numPr>
          <w:ilvl w:val="0"/>
          <w:numId w:val="5"/>
        </w:numPr>
        <w:spacing w:line="240" w:lineRule="auto"/>
        <w:ind w:left="835" w:right="130" w:hanging="360"/>
      </w:pPr>
      <w:r>
        <w:t xml:space="preserve">Age (specified as a categorical variable) </w:t>
      </w:r>
    </w:p>
    <w:p w:rsidR="00AE08B5" w:rsidP="00D6560F" w14:paraId="58D0F378" w14:textId="4ACF6349">
      <w:pPr>
        <w:numPr>
          <w:ilvl w:val="0"/>
          <w:numId w:val="5"/>
        </w:numPr>
        <w:spacing w:line="240" w:lineRule="auto"/>
        <w:ind w:left="835" w:right="130" w:hanging="360"/>
      </w:pPr>
      <w:r>
        <w:t xml:space="preserve">Lag time between </w:t>
      </w:r>
      <w:r w:rsidR="0055403D">
        <w:t xml:space="preserve">patient </w:t>
      </w:r>
      <w:r>
        <w:t xml:space="preserve">discharge and survey </w:t>
      </w:r>
      <w:r w:rsidR="0055403D">
        <w:t>completion or disposition</w:t>
      </w:r>
    </w:p>
    <w:p w:rsidR="00AE08B5" w:rsidP="00D6560F" w14:paraId="63191EE7" w14:textId="77777777">
      <w:pPr>
        <w:numPr>
          <w:ilvl w:val="0"/>
          <w:numId w:val="5"/>
        </w:numPr>
        <w:spacing w:line="240" w:lineRule="auto"/>
        <w:ind w:left="835" w:right="130" w:hanging="360"/>
      </w:pPr>
      <w:r>
        <w:t xml:space="preserve">Age by service line interaction </w:t>
      </w:r>
    </w:p>
    <w:p w:rsidR="00AE08B5" w:rsidP="00D6560F" w14:paraId="55C37BBA" w14:textId="39C65C89">
      <w:pPr>
        <w:numPr>
          <w:ilvl w:val="0"/>
          <w:numId w:val="5"/>
        </w:numPr>
        <w:spacing w:after="97" w:line="240" w:lineRule="auto"/>
        <w:ind w:left="835" w:right="130" w:hanging="360"/>
      </w:pPr>
      <w:r>
        <w:t>Language</w:t>
      </w:r>
      <w:r w:rsidR="00F226EF">
        <w:t xml:space="preserve"> spoken at </w:t>
      </w:r>
      <w:r w:rsidR="005131A4">
        <w:t>home (</w:t>
      </w:r>
      <w:r>
        <w:t xml:space="preserve">English, Spanish, Chinese, </w:t>
      </w:r>
      <w:r w:rsidR="0055403D">
        <w:t xml:space="preserve">and </w:t>
      </w:r>
      <w:r>
        <w:t>Russian/Vietnamese/Portuguese/German/</w:t>
      </w:r>
      <w:r w:rsidR="00FE4E23">
        <w:t>Tagalog/Arabic/</w:t>
      </w:r>
      <w:r>
        <w:t>Other)</w:t>
      </w:r>
    </w:p>
    <w:p w:rsidR="00935426" w:rsidP="00D6560F" w14:paraId="54AAE963" w14:textId="72015E18">
      <w:pPr>
        <w:numPr>
          <w:ilvl w:val="0"/>
          <w:numId w:val="5"/>
        </w:numPr>
        <w:spacing w:after="97" w:line="240" w:lineRule="auto"/>
        <w:ind w:left="835" w:right="130" w:hanging="360"/>
      </w:pPr>
      <w:r>
        <w:t xml:space="preserve">Planned </w:t>
      </w:r>
      <w:r w:rsidR="007860B2">
        <w:t xml:space="preserve">hospital </w:t>
      </w:r>
      <w:r>
        <w:t>stay</w:t>
      </w:r>
      <w:r w:rsidR="00684F27">
        <w:t xml:space="preserve"> </w:t>
      </w:r>
      <w:r w:rsidR="00D25490">
        <w:t>(</w:t>
      </w:r>
      <w:r w:rsidR="00684F27">
        <w:t xml:space="preserve">indicator of </w:t>
      </w:r>
      <w:r w:rsidR="006F59D7">
        <w:t>“Y</w:t>
      </w:r>
      <w:r w:rsidR="00D25490">
        <w:t>es</w:t>
      </w:r>
      <w:r w:rsidR="00684F27">
        <w:t>, definitely</w:t>
      </w:r>
      <w:r w:rsidR="006F59D7">
        <w:t>”</w:t>
      </w:r>
      <w:r w:rsidR="00684F27">
        <w:t xml:space="preserve"> vs. other responses</w:t>
      </w:r>
      <w:r w:rsidR="00D25490">
        <w:t>)</w:t>
      </w:r>
    </w:p>
    <w:bookmarkEnd w:id="12"/>
    <w:p w:rsidR="00AE08B5" w14:paraId="476E796B" w14:textId="77777777">
      <w:pPr>
        <w:spacing w:after="0" w:line="259" w:lineRule="auto"/>
        <w:ind w:left="0" w:firstLine="0"/>
      </w:pPr>
      <w:r>
        <w:rPr>
          <w:sz w:val="35"/>
        </w:rPr>
        <w:t xml:space="preserve"> </w:t>
      </w:r>
    </w:p>
    <w:p w:rsidR="00AE08B5" w:rsidP="00C453BB" w14:paraId="2A60F17F" w14:textId="4D9CD3B2">
      <w:pPr>
        <w:spacing w:after="228" w:line="356" w:lineRule="auto"/>
        <w:ind w:left="129" w:right="130" w:hanging="14"/>
      </w:pPr>
      <w:r>
        <w:t xml:space="preserve">Once the data are adjusted for patient-mix, there is a fixed adjustment for each of the reported measures for mode of administration (discussed in detail below). The patient-mix adjustment employs a regression methodology, also referred to as covariance adjustment. </w:t>
      </w:r>
      <w:r>
        <w:rPr>
          <w:sz w:val="36"/>
        </w:rPr>
        <w:t xml:space="preserve"> </w:t>
      </w:r>
    </w:p>
    <w:p w:rsidR="00AE08B5" w:rsidP="00C453BB" w14:paraId="641D6BAD" w14:textId="5AF0FD66">
      <w:pPr>
        <w:spacing w:after="109" w:line="357" w:lineRule="auto"/>
        <w:ind w:left="129" w:right="130" w:hanging="14"/>
      </w:pPr>
      <w:r>
        <w:t>On the survey there are two items that capture the race and ethnicity of the respondent.  These items are not included in the patient-mix adjustment model but are used as analytic variables to support the congressionally-mandated report</w:t>
      </w:r>
      <w:r w:rsidR="004A1091">
        <w:t>,</w:t>
      </w:r>
      <w:r>
        <w:t xml:space="preserve"> “T</w:t>
      </w:r>
      <w:r w:rsidRPr="00C71D66">
        <w:t>h</w:t>
      </w:r>
      <w:r w:rsidRPr="007F5F24">
        <w:rPr>
          <w:color w:val="auto"/>
          <w:szCs w:val="24"/>
        </w:rPr>
        <w:t>e</w:t>
      </w:r>
      <w:r w:rsidR="00C71D66">
        <w:rPr>
          <w:color w:val="auto"/>
          <w:szCs w:val="24"/>
        </w:rPr>
        <w:t xml:space="preserve"> </w:t>
      </w:r>
      <w:r w:rsidRPr="007F5F24" w:rsidR="00C71D66">
        <w:rPr>
          <w:rStyle w:val="Emphasis"/>
          <w:i w:val="0"/>
          <w:iCs w:val="0"/>
          <w:color w:val="auto"/>
          <w:szCs w:val="24"/>
          <w:shd w:val="clear" w:color="auto" w:fill="FFFFFF"/>
        </w:rPr>
        <w:t>National Healthcare Quality and Disparities Report</w:t>
      </w:r>
      <w:r w:rsidRPr="00C71D66">
        <w:t>.” This report provides annual, national</w:t>
      </w:r>
      <w:r w:rsidRPr="00C71D66" w:rsidR="00211313">
        <w:t xml:space="preserve"> </w:t>
      </w:r>
      <w:r w:rsidRPr="00C71D66">
        <w:t>level bre</w:t>
      </w:r>
      <w:r>
        <w:t>akdowns of HCAHPS scores by race and ethnicity. Many hospitals collect information on race and ethnicity through their administrative systems, but coding is not standard.  Thus</w:t>
      </w:r>
      <w:r w:rsidR="00C71D66">
        <w:t>,</w:t>
      </w:r>
      <w:r>
        <w:t xml:space="preserve"> it was determined that administrative data are not adequate to support the analyses needed for the reports and the items should be included in the </w:t>
      </w:r>
      <w:r w:rsidR="006F59D7">
        <w:t>survey</w:t>
      </w:r>
      <w:r>
        <w:t xml:space="preserve">. </w:t>
      </w:r>
    </w:p>
    <w:p w:rsidR="002D11BB" w:rsidRPr="00C453BB" w:rsidP="00C453BB" w14:paraId="21F9C883" w14:textId="1FB27FCE">
      <w:pPr>
        <w:pStyle w:val="Heading2"/>
        <w:numPr>
          <w:ilvl w:val="0"/>
          <w:numId w:val="8"/>
        </w:numPr>
      </w:pPr>
      <w:bookmarkStart w:id="13" w:name="_Toc142036721"/>
      <w:bookmarkStart w:id="14" w:name="_Toc142558120"/>
      <w:bookmarkEnd w:id="13"/>
      <w:r w:rsidRPr="00C453BB">
        <w:t>Tests of Procedures or Methods</w:t>
      </w:r>
      <w:bookmarkEnd w:id="14"/>
    </w:p>
    <w:p w:rsidR="00AE08B5" w14:paraId="664B0DF9" w14:textId="068E16D8">
      <w:pPr>
        <w:spacing w:after="0" w:line="248" w:lineRule="auto"/>
        <w:ind w:left="0" w:right="1581" w:firstLine="108"/>
      </w:pPr>
    </w:p>
    <w:p w:rsidR="00AE08B5" w:rsidP="00321F7E" w14:paraId="5C9D7A90" w14:textId="1864E65A">
      <w:pPr>
        <w:spacing w:after="129" w:line="360" w:lineRule="auto"/>
        <w:ind w:left="115" w:right="130"/>
      </w:pPr>
      <w:r>
        <w:t xml:space="preserve">Hospitals began using the HCAHPS Survey in 2006 under the auspices of the </w:t>
      </w:r>
      <w:r>
        <w:rPr>
          <w:b/>
        </w:rPr>
        <w:t>Hospital Quality Alliance</w:t>
      </w:r>
      <w:r>
        <w:t xml:space="preserve">, a private/public partnership that includes CMS and the </w:t>
      </w:r>
      <w:r>
        <w:rPr>
          <w:b/>
        </w:rPr>
        <w:t>American Hospital Association</w:t>
      </w:r>
      <w:r>
        <w:t xml:space="preserve">, the </w:t>
      </w:r>
    </w:p>
    <w:p w:rsidR="00AE08B5" w:rsidP="00321F7E" w14:paraId="2073CA92" w14:textId="3FF40460">
      <w:pPr>
        <w:spacing w:after="0" w:line="360" w:lineRule="auto"/>
        <w:ind w:left="115" w:right="130" w:hanging="14"/>
      </w:pPr>
      <w:r>
        <w:rPr>
          <w:b/>
        </w:rPr>
        <w:t>Federation of American Hospitals</w:t>
      </w:r>
      <w:r>
        <w:t xml:space="preserve">, and the </w:t>
      </w:r>
      <w:r>
        <w:rPr>
          <w:b/>
        </w:rPr>
        <w:t>Association of American Medical Colleges</w:t>
      </w:r>
      <w:r>
        <w:t xml:space="preserve">; the </w:t>
      </w:r>
      <w:r>
        <w:rPr>
          <w:b/>
        </w:rPr>
        <w:t xml:space="preserve">Joint Commission on Accreditation of Healthcare Organizations; </w:t>
      </w:r>
      <w:r>
        <w:t xml:space="preserve">the </w:t>
      </w:r>
      <w:r>
        <w:rPr>
          <w:b/>
        </w:rPr>
        <w:t xml:space="preserve">National Quality Forum; AARP; </w:t>
      </w:r>
      <w:r>
        <w:t xml:space="preserve">and the </w:t>
      </w:r>
      <w:r>
        <w:rPr>
          <w:b/>
        </w:rPr>
        <w:t xml:space="preserve">Agency for Healthcare Research and Quality (AHRQ). </w:t>
      </w:r>
    </w:p>
    <w:p w:rsidR="00AE08B5" w:rsidP="002D4BC1" w14:paraId="152EF7DE" w14:textId="093F8797">
      <w:pPr>
        <w:spacing w:after="0" w:line="240" w:lineRule="auto"/>
        <w:ind w:left="115" w:right="130" w:firstLine="0"/>
      </w:pPr>
    </w:p>
    <w:p w:rsidR="00AF67A5" w:rsidRPr="00AF67A5" w:rsidP="00AF67A5" w14:paraId="44A62B32" w14:textId="5BCB1D53">
      <w:pPr>
        <w:autoSpaceDE w:val="0"/>
        <w:autoSpaceDN w:val="0"/>
        <w:adjustRightInd w:val="0"/>
        <w:spacing w:after="2" w:line="355" w:lineRule="auto"/>
        <w:rPr>
          <w:color w:val="000000" w:themeColor="text1"/>
          <w:szCs w:val="24"/>
        </w:rPr>
      </w:pPr>
      <w:r>
        <w:t xml:space="preserve">Throughout the HCAHPS development process, CMS solicited and received a great deal of public input. As a result, the HCAHPS questionnaire and methodology went through several iterations prior to national implementation. The accumulated lessons learned from the pilot testing, public comments, input from stakeholders, numerous team discussions, and the </w:t>
      </w:r>
      <w:r>
        <w:rPr>
          <w:b/>
        </w:rPr>
        <w:t xml:space="preserve">National Quality Forum’s </w:t>
      </w:r>
      <w:r>
        <w:t>review and endorsement (</w:t>
      </w:r>
      <w:r w:rsidR="00EE54A0">
        <w:t>CBE</w:t>
      </w:r>
      <w:r>
        <w:t xml:space="preserve"> #0166) through their consensus development process led to the national implementation in 2006 of the 27-item HCAHPS Survey and the HCAHPS data collection protocol that allows hospitals to integrate their own supplemental questions. The resulting core questionnaire </w:t>
      </w:r>
      <w:r w:rsidR="00A107B2">
        <w:t>was</w:t>
      </w:r>
      <w:r>
        <w:t xml:space="preserve"> comprised of questions in several dimensions of primary importance to the target audience: communication</w:t>
      </w:r>
      <w:r w:rsidR="00A107B2">
        <w:t xml:space="preserve"> with doctors and nurses,</w:t>
      </w:r>
      <w:r>
        <w:t xml:space="preserve"> responsiveness of hospital staff, cleanliness of the hospital environment, quietness of the hospital environment, nurse communication, pain management, communication about medicines, and discharge information. The HCAHPS Survey was re-endorsed by the </w:t>
      </w:r>
      <w:r w:rsidR="00EE54A0">
        <w:t>consensus-based entity</w:t>
      </w:r>
      <w:r>
        <w:t xml:space="preserve"> in 2012</w:t>
      </w:r>
      <w:r w:rsidR="005D1A03">
        <w:t>,</w:t>
      </w:r>
      <w:r>
        <w:t xml:space="preserve"> 2015</w:t>
      </w:r>
      <w:r w:rsidR="005D1A03">
        <w:t>, and 2019</w:t>
      </w:r>
      <w:r>
        <w:t xml:space="preserve">. </w:t>
      </w:r>
      <w:r w:rsidRPr="00AF67A5">
        <w:t xml:space="preserve"> The updated HCAHPS survey has been approved by </w:t>
      </w:r>
      <w:r w:rsidRPr="00AF67A5">
        <w:rPr>
          <w:szCs w:val="24"/>
        </w:rPr>
        <w:t xml:space="preserve">the 2023-2024 Measures Under Consideration process for review by the Measures Application Partnership, a multi-stakeholder partnership that provides recommendations to HHS on the selection of quality and efficiency measures for CMS programs.  </w:t>
      </w:r>
    </w:p>
    <w:p w:rsidR="00AE08B5" w:rsidP="00C453BB" w14:paraId="2FC94E3D" w14:textId="215F5EDD">
      <w:pPr>
        <w:spacing w:after="0" w:line="250" w:lineRule="auto"/>
        <w:ind w:left="115" w:right="130" w:hanging="14"/>
      </w:pPr>
    </w:p>
    <w:p w:rsidR="00DD3B90" w:rsidP="00DD3B90" w14:paraId="72A60DD4" w14:textId="44F59F35">
      <w:pPr>
        <w:spacing w:line="358" w:lineRule="auto"/>
        <w:ind w:left="115" w:right="130"/>
      </w:pPr>
      <w:r>
        <w:t>Since national implementation began in 2006, CMS has continually refined and clarified HCAHPS survey protocols,</w:t>
      </w:r>
      <w:r w:rsidR="007C3813">
        <w:t xml:space="preserve"> and</w:t>
      </w:r>
      <w:r>
        <w:t xml:space="preserve"> created new translations of the survey in Chinese, Russian, Vietnamese, Portuguese, German, Tagalog, and Arabic in addition to the original English and Spanish versions.  CMS has annually updated the HCAHPS </w:t>
      </w:r>
      <w:r>
        <w:rPr>
          <w:i/>
        </w:rPr>
        <w:t xml:space="preserve">Quality Assurance Guidelines </w:t>
      </w:r>
      <w:r>
        <w:t>(currently version 18.0), improved the appearance and accessibility of HCAHPS results on the CMS public reporting Web site Care Compare (</w:t>
      </w:r>
      <w:hyperlink r:id="rId7">
        <w:r>
          <w:rPr>
            <w:color w:val="0000FF"/>
            <w:u w:val="single" w:color="0000FF"/>
          </w:rPr>
          <w:t>https://www.medicare.gov/care-compare/</w:t>
        </w:r>
      </w:hyperlink>
      <w:r>
        <w:rPr>
          <w:color w:val="0000FF"/>
          <w:u w:val="single" w:color="0000FF"/>
        </w:rPr>
        <w:t xml:space="preserve">), </w:t>
      </w:r>
      <w:r>
        <w:t xml:space="preserve">and made information about HCAHPS quickly and easily available through its official HCAHPS On-Line website, </w:t>
      </w:r>
      <w:hyperlink r:id="rId8">
        <w:r>
          <w:rPr>
            <w:color w:val="000033"/>
            <w:u w:val="single" w:color="000033"/>
          </w:rPr>
          <w:t>www.hcahpsonline.org</w:t>
        </w:r>
      </w:hyperlink>
      <w:hyperlink r:id="rId8">
        <w:r>
          <w:t>.</w:t>
        </w:r>
      </w:hyperlink>
      <w:r>
        <w:t xml:space="preserve">, including aggregate state and national scores, scores for individual survey items, coefficients for patient-mix and survey mode adjustment, and benchmarks for the service lines, as well as the survey instrument, training materials, and a series of user-friendly podcasts to further understanding of HCAHPS content, </w:t>
      </w:r>
      <w:r>
        <w:t xml:space="preserve">implementation, adjustment and scoring. The HCAHPS Project Team has published a number of analyses of HCAHPS results in peer-reviewed scientific journals and made numerous presentations at professional conferences; a bibliography of the publications can be found at: </w:t>
      </w:r>
      <w:hyperlink r:id="rId9" w:anchor="HCAHPSPublications" w:history="1">
        <w:r w:rsidRPr="006E5F00">
          <w:rPr>
            <w:rStyle w:val="Hyperlink"/>
          </w:rPr>
          <w:t>https://hcahpsonline.org/#HCAHPSPublications</w:t>
        </w:r>
      </w:hyperlink>
      <w:r>
        <w:t>.</w:t>
      </w:r>
      <w:r>
        <w:t xml:space="preserve"> </w:t>
      </w:r>
      <w:hyperlink w:history="1"/>
      <w:r>
        <w:t xml:space="preserve"> Other researchers have also analyzed HCAHPS data; the PubMed Web site (</w:t>
      </w:r>
      <w:r w:rsidRPr="002A2AAD">
        <w:t>https://pubmed.ncbi.nlm.nih.gov/</w:t>
      </w:r>
      <w:r>
        <w:t xml:space="preserve">) lists over 500 published articles that employ HCAHPS data.   </w:t>
      </w:r>
    </w:p>
    <w:p w:rsidR="00DD3B90" w:rsidP="00C453BB" w14:paraId="58F38F7B" w14:textId="77777777">
      <w:pPr>
        <w:spacing w:after="0" w:line="250" w:lineRule="auto"/>
        <w:ind w:left="115" w:right="130" w:hanging="14"/>
      </w:pPr>
    </w:p>
    <w:p w:rsidR="000F41D0" w:rsidP="00C453BB" w14:paraId="41FFE4B8" w14:textId="19C5D3DF">
      <w:pPr>
        <w:spacing w:after="0" w:line="358" w:lineRule="auto"/>
        <w:ind w:left="115" w:right="130" w:hanging="14"/>
      </w:pPr>
      <w:r>
        <w:t xml:space="preserve">Since public reporting of hospitals HCAHPS results was inaugurated in March 2008, a growing number of healthcare, consumer and professional organizations, state governments, media outlets and others have adopted or incorporated HCAHPS scores, in part or in whole, for their own purposes. These activities, external to CMS, have had the effect of extending knowledge about HCAHPS and increasing the impact of survey results. The content of the HCAHPS Survey, its methodology and administration protocols, and its ambition to measure and publicly report consumers’ experiences in a uniform and standardized manner have influenced other surveys developed within CMS as well as those undertaken by hospitals and healthcare systems in the United States and abroad. </w:t>
      </w:r>
    </w:p>
    <w:p w:rsidR="00AE08B5" w:rsidP="00C453BB" w14:paraId="30E38FF5" w14:textId="08911C86">
      <w:pPr>
        <w:spacing w:line="250" w:lineRule="auto"/>
        <w:ind w:left="115" w:right="130" w:hanging="14"/>
      </w:pPr>
      <w:r>
        <w:t xml:space="preserve"> </w:t>
      </w:r>
    </w:p>
    <w:p w:rsidR="00AE08B5" w:rsidP="00C453BB" w14:paraId="2516742F" w14:textId="77777777">
      <w:pPr>
        <w:spacing w:line="361" w:lineRule="auto"/>
        <w:ind w:left="115" w:right="130"/>
      </w:pPr>
      <w:r>
        <w:t xml:space="preserve">There are distinct roles for </w:t>
      </w:r>
      <w:r>
        <w:rPr>
          <w:b/>
        </w:rPr>
        <w:t xml:space="preserve">hospitals or their survey vendors </w:t>
      </w:r>
      <w:r>
        <w:t xml:space="preserve">and the federal government in the national implementation of HCAHPS. The </w:t>
      </w:r>
      <w:r>
        <w:rPr>
          <w:b/>
        </w:rPr>
        <w:t xml:space="preserve">federal government </w:t>
      </w:r>
      <w:r>
        <w:t xml:space="preserve">is responsible for support and public reporting, including: </w:t>
      </w:r>
    </w:p>
    <w:p w:rsidR="00AE08B5" w14:paraId="6974022B" w14:textId="4CECF647">
      <w:pPr>
        <w:numPr>
          <w:ilvl w:val="0"/>
          <w:numId w:val="7"/>
        </w:numPr>
        <w:ind w:right="133" w:hanging="360"/>
      </w:pPr>
      <w:r>
        <w:t>C</w:t>
      </w:r>
      <w:r w:rsidR="00E47B9E">
        <w:t xml:space="preserve">onducting training on data collection and submission procedures </w:t>
      </w:r>
    </w:p>
    <w:p w:rsidR="00AE08B5" w14:paraId="22841652" w14:textId="39B0ECB7">
      <w:pPr>
        <w:numPr>
          <w:ilvl w:val="0"/>
          <w:numId w:val="7"/>
        </w:numPr>
        <w:ind w:right="133" w:hanging="360"/>
      </w:pPr>
      <w:r>
        <w:t>P</w:t>
      </w:r>
      <w:r w:rsidR="00E47B9E">
        <w:t xml:space="preserve">roviding on-going technical assistance </w:t>
      </w:r>
    </w:p>
    <w:p w:rsidR="00AE08B5" w14:paraId="40591471" w14:textId="53760A09">
      <w:pPr>
        <w:numPr>
          <w:ilvl w:val="0"/>
          <w:numId w:val="7"/>
        </w:numPr>
        <w:ind w:right="133" w:hanging="360"/>
      </w:pPr>
      <w:r>
        <w:t>E</w:t>
      </w:r>
      <w:r w:rsidR="00E47B9E">
        <w:t xml:space="preserve">nsuring the integrity of data collection </w:t>
      </w:r>
    </w:p>
    <w:p w:rsidR="00AE08B5" w14:paraId="347205EC" w14:textId="726BE823">
      <w:pPr>
        <w:numPr>
          <w:ilvl w:val="0"/>
          <w:numId w:val="7"/>
        </w:numPr>
        <w:ind w:right="133" w:hanging="360"/>
      </w:pPr>
      <w:r>
        <w:t>A</w:t>
      </w:r>
      <w:r w:rsidR="00E47B9E">
        <w:t xml:space="preserve">ccumulating HCAHPS data from individual hospitals </w:t>
      </w:r>
    </w:p>
    <w:p w:rsidR="00AE08B5" w14:paraId="155A0488" w14:textId="3E959C16">
      <w:pPr>
        <w:numPr>
          <w:ilvl w:val="0"/>
          <w:numId w:val="7"/>
        </w:numPr>
        <w:ind w:right="133" w:hanging="360"/>
      </w:pPr>
      <w:r>
        <w:t>Pr</w:t>
      </w:r>
      <w:r w:rsidR="00E47B9E">
        <w:t xml:space="preserve">oducing patient-mix adjusted hospital-level estimates </w:t>
      </w:r>
    </w:p>
    <w:p w:rsidR="00AE08B5" w14:paraId="396C880F" w14:textId="0C91D8A7">
      <w:pPr>
        <w:numPr>
          <w:ilvl w:val="0"/>
          <w:numId w:val="7"/>
        </w:numPr>
        <w:ind w:right="133" w:hanging="360"/>
      </w:pPr>
      <w:r>
        <w:t>C</w:t>
      </w:r>
      <w:r w:rsidR="00E47B9E">
        <w:t xml:space="preserve">onducting research on the presentation of data for public reporting </w:t>
      </w:r>
    </w:p>
    <w:p w:rsidR="00AE08B5" w14:paraId="13AC7933" w14:textId="52313E48">
      <w:pPr>
        <w:numPr>
          <w:ilvl w:val="0"/>
          <w:numId w:val="7"/>
        </w:numPr>
        <w:ind w:right="133" w:hanging="360"/>
      </w:pPr>
      <w:r>
        <w:t>P</w:t>
      </w:r>
      <w:r w:rsidR="00E47B9E">
        <w:t xml:space="preserve">ublicly reporting the comparative hospital data </w:t>
      </w:r>
    </w:p>
    <w:p w:rsidR="00AE08B5" w14:paraId="5AB25385" w14:textId="77777777">
      <w:pPr>
        <w:spacing w:after="0" w:line="259" w:lineRule="auto"/>
        <w:ind w:left="0" w:firstLine="0"/>
      </w:pPr>
      <w:r>
        <w:rPr>
          <w:sz w:val="22"/>
        </w:rPr>
        <w:t xml:space="preserve"> </w:t>
      </w:r>
    </w:p>
    <w:p w:rsidR="00AE08B5" w:rsidP="00C453BB" w14:paraId="063B05CA" w14:textId="4CAE11C8">
      <w:pPr>
        <w:spacing w:after="232" w:line="358" w:lineRule="auto"/>
        <w:ind w:left="115" w:right="130"/>
      </w:pPr>
      <w:r>
        <w:rPr>
          <w:b/>
        </w:rPr>
        <w:t xml:space="preserve">Hospitals or their survey vendors </w:t>
      </w:r>
      <w:r>
        <w:t xml:space="preserve">are responsible for data collection, </w:t>
      </w:r>
      <w:r w:rsidR="005131A4">
        <w:t>including</w:t>
      </w:r>
      <w:r>
        <w:t xml:space="preserve"> developing a sampling frame of relevant discharges, drawing the sample of discharges to be surveyed, collecting survey data from sampled discharges, and submitting HCAHPS data to CMS in a standard format.  We have formatted the data files so hospitals/vendors will submit to CMS de-identified data files following 45 CFR Section §164.514. Hospitals maintain business </w:t>
      </w:r>
      <w:r>
        <w:t xml:space="preserve">associate agreements with their contracted </w:t>
      </w:r>
      <w:r w:rsidR="00E550BB">
        <w:t xml:space="preserve">approved </w:t>
      </w:r>
      <w:r>
        <w:t xml:space="preserve">survey vendors to collect and submit HCAHPS survey data through the secure </w:t>
      </w:r>
      <w:r>
        <w:rPr>
          <w:b/>
        </w:rPr>
        <w:t xml:space="preserve">QualityNet Exchange </w:t>
      </w:r>
      <w:r>
        <w:t xml:space="preserve">portal and data warehouse. </w:t>
      </w:r>
    </w:p>
    <w:p w:rsidR="000F41D0" w:rsidP="00C453BB" w14:paraId="1F297712" w14:textId="446F0ED7">
      <w:pPr>
        <w:spacing w:before="120" w:after="0" w:line="355" w:lineRule="auto"/>
        <w:ind w:left="115" w:right="130" w:hanging="14"/>
      </w:pPr>
      <w:r>
        <w:t xml:space="preserve">CMS began its collaboration with the </w:t>
      </w:r>
      <w:r>
        <w:rPr>
          <w:b/>
        </w:rPr>
        <w:t xml:space="preserve">Health Services Advisory Group (HSAG) </w:t>
      </w:r>
      <w:r>
        <w:t xml:space="preserve">in 2003 to coordinate the national implementation of the Hospital CAHPS Survey. HSAG’s role is to provide technical assistance and training for vendors and hospitals, data validation, data processing, analysis, and adjustment, and oversight of self-administering hospitals and survey vendors. HSAG also produces electronic data files and a hospital level extract file for public reporting of the HCAHPS scores. </w:t>
      </w:r>
      <w:r>
        <w:rPr>
          <w:sz w:val="36"/>
        </w:rPr>
        <w:t xml:space="preserve"> </w:t>
      </w:r>
    </w:p>
    <w:p w:rsidR="00AE08B5" w:rsidRPr="00C453BB" w:rsidP="00C453BB" w14:paraId="498610ED" w14:textId="33E2BDDA">
      <w:pPr>
        <w:spacing w:after="180" w:line="240" w:lineRule="auto"/>
        <w:ind w:left="0" w:right="130" w:hanging="14"/>
        <w:rPr>
          <w:rFonts w:eastAsia="Arial"/>
          <w:b/>
          <w:sz w:val="16"/>
          <w:szCs w:val="16"/>
        </w:rPr>
      </w:pPr>
    </w:p>
    <w:p w:rsidR="00AE08B5" w:rsidP="00C453BB" w14:paraId="374439ED" w14:textId="4D96F58D">
      <w:pPr>
        <w:pStyle w:val="Heading2"/>
        <w:numPr>
          <w:ilvl w:val="0"/>
          <w:numId w:val="8"/>
        </w:numPr>
      </w:pPr>
      <w:bookmarkStart w:id="15" w:name="_Toc142558121"/>
      <w:r>
        <w:t>Names and telephone numbers of individuals consulted on statistical aspects of the survey and implementation design and names of agency units, contractor(s), grantee(s), or other persons(s) who collect and/or analyze the information for the agency</w:t>
      </w:r>
      <w:bookmarkEnd w:id="15"/>
    </w:p>
    <w:p w:rsidR="00AE08B5" w14:paraId="4F6F0D2B" w14:textId="77777777">
      <w:pPr>
        <w:spacing w:after="0" w:line="259" w:lineRule="auto"/>
        <w:ind w:left="0" w:firstLine="0"/>
      </w:pPr>
      <w:r>
        <w:rPr>
          <w:b/>
          <w:sz w:val="21"/>
        </w:rPr>
        <w:t xml:space="preserve"> </w:t>
      </w:r>
    </w:p>
    <w:p w:rsidR="00AE08B5" w:rsidRPr="00913E97" w:rsidP="00C453BB" w14:paraId="7258FCD1" w14:textId="77777777">
      <w:pPr>
        <w:ind w:left="115" w:right="130"/>
      </w:pPr>
      <w:r w:rsidRPr="00913E97">
        <w:t xml:space="preserve">Marc N. Elliott, PhD </w:t>
      </w:r>
    </w:p>
    <w:p w:rsidR="00AE08B5" w:rsidRPr="00913E97" w:rsidP="00C453BB" w14:paraId="5AE7C1BB" w14:textId="77777777">
      <w:pPr>
        <w:spacing w:after="46"/>
        <w:ind w:left="115" w:right="130"/>
      </w:pPr>
      <w:r w:rsidRPr="00913E97">
        <w:t xml:space="preserve">Distinguished Chair in Statistics; Senior Principal Researcher </w:t>
      </w:r>
    </w:p>
    <w:p w:rsidR="00AE08B5" w:rsidRPr="00913E97" w:rsidP="00C453BB" w14:paraId="07FFFAAE" w14:textId="77777777">
      <w:pPr>
        <w:spacing w:after="49"/>
        <w:ind w:left="115" w:right="130"/>
      </w:pPr>
      <w:r w:rsidRPr="00913E97">
        <w:t xml:space="preserve">RAND Corporation </w:t>
      </w:r>
    </w:p>
    <w:p w:rsidR="00AE08B5" w:rsidRPr="00913E97" w:rsidP="00C453BB" w14:paraId="02408D3A" w14:textId="3356FA6A">
      <w:pPr>
        <w:spacing w:after="86"/>
        <w:ind w:left="115" w:right="130"/>
      </w:pPr>
      <w:r w:rsidRPr="00913E97">
        <w:t xml:space="preserve">(310) 393-0411, x7931  </w:t>
      </w:r>
      <w:r w:rsidRPr="002B436B" w:rsidR="002B436B">
        <w:t>elliott@rand.org</w:t>
      </w:r>
    </w:p>
    <w:p w:rsidR="00AE08B5" w:rsidRPr="00913E97" w:rsidP="00C453BB" w14:paraId="01769D66" w14:textId="77777777">
      <w:pPr>
        <w:spacing w:after="0" w:line="259" w:lineRule="auto"/>
        <w:ind w:left="115" w:right="130" w:firstLine="0"/>
      </w:pPr>
      <w:r w:rsidRPr="00913E97">
        <w:rPr>
          <w:sz w:val="34"/>
        </w:rPr>
        <w:t xml:space="preserve"> </w:t>
      </w:r>
    </w:p>
    <w:p w:rsidR="00AE08B5" w:rsidRPr="00913E97" w:rsidP="00C453BB" w14:paraId="3E8115CB" w14:textId="77777777">
      <w:pPr>
        <w:ind w:left="115" w:right="130"/>
      </w:pPr>
      <w:r w:rsidRPr="00913E97">
        <w:t xml:space="preserve">Christopher Cohea, MS  </w:t>
      </w:r>
    </w:p>
    <w:p w:rsidR="00AE08B5" w:rsidRPr="00913E97" w:rsidP="00C453BB" w14:paraId="792DDF02" w14:textId="77777777">
      <w:pPr>
        <w:ind w:left="115" w:right="130"/>
      </w:pPr>
      <w:r w:rsidRPr="00913E97">
        <w:t xml:space="preserve">Director, Research and Analysis </w:t>
      </w:r>
    </w:p>
    <w:p w:rsidR="00AE08B5" w:rsidRPr="00913E97" w:rsidP="00C453BB" w14:paraId="6FD14DC1" w14:textId="77777777">
      <w:pPr>
        <w:ind w:left="115" w:right="130"/>
      </w:pPr>
      <w:r w:rsidRPr="00913E97">
        <w:t xml:space="preserve">Health Services Advisory Group, Inc. </w:t>
      </w:r>
    </w:p>
    <w:p w:rsidR="00AE08B5" w:rsidP="00C453BB" w14:paraId="4BA0D308" w14:textId="77777777">
      <w:pPr>
        <w:spacing w:after="0" w:line="238" w:lineRule="auto"/>
        <w:ind w:left="115" w:right="130" w:firstLine="0"/>
      </w:pPr>
      <w:r w:rsidRPr="00913E97">
        <w:t xml:space="preserve">(602) 471-3673 </w:t>
      </w:r>
      <w:r w:rsidRPr="00913E97">
        <w:rPr>
          <w:color w:val="0000FF"/>
          <w:u w:val="single" w:color="0000FF"/>
        </w:rPr>
        <w:t>ccohea@hsag.com</w:t>
      </w:r>
      <w:r w:rsidRPr="00913E97">
        <w:t xml:space="preserve"> </w:t>
      </w:r>
    </w:p>
    <w:sectPr w:rsidSect="00BD4B6A">
      <w:footerReference w:type="even" r:id="rId10"/>
      <w:footerReference w:type="default" r:id="rId11"/>
      <w:footerReference w:type="first" r:id="rId12"/>
      <w:pgSz w:w="12240" w:h="15840"/>
      <w:pgMar w:top="1440" w:right="1440" w:bottom="1440" w:left="1440" w:header="720" w:footer="98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8B5" w14:paraId="099475EE" w14:textId="77777777">
    <w:pPr>
      <w:tabs>
        <w:tab w:val="center" w:pos="1015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8B5" w14:paraId="13E0761B" w14:textId="77777777">
    <w:pPr>
      <w:tabs>
        <w:tab w:val="center" w:pos="1015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noProof/>
      </w:rPr>
      <w:t>17</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08B5" w14:paraId="48E78AEF" w14:textId="77777777">
    <w:pPr>
      <w:tabs>
        <w:tab w:val="center" w:pos="10155"/>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9E36C2"/>
    <w:multiLevelType w:val="hybridMultilevel"/>
    <w:tmpl w:val="C71AE700"/>
    <w:lvl w:ilvl="0">
      <w:start w:val="2"/>
      <w:numFmt w:val="lowerLetter"/>
      <w:lvlText w:val="%1."/>
      <w:lvlJc w:val="left"/>
      <w:pPr>
        <w:ind w:left="393"/>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CBE0E67"/>
    <w:multiLevelType w:val="hybridMultilevel"/>
    <w:tmpl w:val="85BAC1C8"/>
    <w:lvl w:ilvl="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EA37CC0"/>
    <w:multiLevelType w:val="hybridMultilevel"/>
    <w:tmpl w:val="50C4DA5A"/>
    <w:lvl w:ilvl="0">
      <w:start w:val="1"/>
      <w:numFmt w:val="bullet"/>
      <w:lvlText w:val=""/>
      <w:lvlJc w:val="left"/>
      <w:pPr>
        <w:ind w:left="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nsid w:val="2E646DE0"/>
    <w:multiLevelType w:val="hybridMultilevel"/>
    <w:tmpl w:val="0ED0A4DE"/>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433EBE"/>
    <w:multiLevelType w:val="hybridMultilevel"/>
    <w:tmpl w:val="B1106668"/>
    <w:lvl w:ilvl="0">
      <w:start w:val="1"/>
      <w:numFmt w:val="decimal"/>
      <w:lvlText w:val="%1."/>
      <w:lvlJc w:val="left"/>
      <w:pPr>
        <w:ind w:left="478" w:hanging="360"/>
      </w:pPr>
    </w:lvl>
    <w:lvl w:ilvl="1">
      <w:start w:val="1"/>
      <w:numFmt w:val="lowerLetter"/>
      <w:lvlText w:val="%2."/>
      <w:lvlJc w:val="left"/>
      <w:pPr>
        <w:ind w:left="1198" w:hanging="360"/>
      </w:pPr>
      <w:rPr>
        <w:rFonts w:hint="default"/>
      </w:rPr>
    </w:lvl>
    <w:lvl w:ilvl="2" w:tentative="1">
      <w:start w:val="1"/>
      <w:numFmt w:val="lowerRoman"/>
      <w:lvlText w:val="%3."/>
      <w:lvlJc w:val="right"/>
      <w:pPr>
        <w:ind w:left="1918" w:hanging="180"/>
      </w:pPr>
    </w:lvl>
    <w:lvl w:ilvl="3" w:tentative="1">
      <w:start w:val="1"/>
      <w:numFmt w:val="decimal"/>
      <w:lvlText w:val="%4."/>
      <w:lvlJc w:val="left"/>
      <w:pPr>
        <w:ind w:left="2638" w:hanging="360"/>
      </w:pPr>
    </w:lvl>
    <w:lvl w:ilvl="4" w:tentative="1">
      <w:start w:val="1"/>
      <w:numFmt w:val="lowerLetter"/>
      <w:lvlText w:val="%5."/>
      <w:lvlJc w:val="left"/>
      <w:pPr>
        <w:ind w:left="3358" w:hanging="360"/>
      </w:pPr>
    </w:lvl>
    <w:lvl w:ilvl="5" w:tentative="1">
      <w:start w:val="1"/>
      <w:numFmt w:val="lowerRoman"/>
      <w:lvlText w:val="%6."/>
      <w:lvlJc w:val="right"/>
      <w:pPr>
        <w:ind w:left="4078" w:hanging="180"/>
      </w:pPr>
    </w:lvl>
    <w:lvl w:ilvl="6" w:tentative="1">
      <w:start w:val="1"/>
      <w:numFmt w:val="decimal"/>
      <w:lvlText w:val="%7."/>
      <w:lvlJc w:val="left"/>
      <w:pPr>
        <w:ind w:left="4798" w:hanging="360"/>
      </w:pPr>
    </w:lvl>
    <w:lvl w:ilvl="7" w:tentative="1">
      <w:start w:val="1"/>
      <w:numFmt w:val="lowerLetter"/>
      <w:lvlText w:val="%8."/>
      <w:lvlJc w:val="left"/>
      <w:pPr>
        <w:ind w:left="5518" w:hanging="360"/>
      </w:pPr>
    </w:lvl>
    <w:lvl w:ilvl="8" w:tentative="1">
      <w:start w:val="1"/>
      <w:numFmt w:val="lowerRoman"/>
      <w:lvlText w:val="%9."/>
      <w:lvlJc w:val="right"/>
      <w:pPr>
        <w:ind w:left="6238" w:hanging="180"/>
      </w:pPr>
    </w:lvl>
  </w:abstractNum>
  <w:abstractNum w:abstractNumId="5">
    <w:nsid w:val="3C9C7C39"/>
    <w:multiLevelType w:val="hybridMultilevel"/>
    <w:tmpl w:val="B0F07CBA"/>
    <w:lvl w:ilvl="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6EE478B1"/>
    <w:multiLevelType w:val="hybridMultilevel"/>
    <w:tmpl w:val="D480EE56"/>
    <w:lvl w:ilvl="0">
      <w:start w:val="1"/>
      <w:numFmt w:val="decimal"/>
      <w:lvlText w:val="%1."/>
      <w:lvlJc w:val="left"/>
      <w:pPr>
        <w:ind w:left="3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765C77C2"/>
    <w:multiLevelType w:val="hybridMultilevel"/>
    <w:tmpl w:val="26143EAC"/>
    <w:lvl w:ilvl="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7F34548B"/>
    <w:multiLevelType w:val="hybridMultilevel"/>
    <w:tmpl w:val="5F50EF58"/>
    <w:lvl w:ilvl="0">
      <w:start w:val="1"/>
      <w:numFmt w:val="bullet"/>
      <w:lvlText w:val="•"/>
      <w:lvlJc w:val="left"/>
      <w:pPr>
        <w:ind w:left="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01500849">
    <w:abstractNumId w:val="5"/>
  </w:num>
  <w:num w:numId="2" w16cid:durableId="1840853207">
    <w:abstractNumId w:val="6"/>
  </w:num>
  <w:num w:numId="3" w16cid:durableId="952173291">
    <w:abstractNumId w:val="2"/>
  </w:num>
  <w:num w:numId="4" w16cid:durableId="581450940">
    <w:abstractNumId w:val="0"/>
  </w:num>
  <w:num w:numId="5" w16cid:durableId="1002321603">
    <w:abstractNumId w:val="7"/>
  </w:num>
  <w:num w:numId="6" w16cid:durableId="1704942947">
    <w:abstractNumId w:val="1"/>
  </w:num>
  <w:num w:numId="7" w16cid:durableId="183829091">
    <w:abstractNumId w:val="8"/>
  </w:num>
  <w:num w:numId="8" w16cid:durableId="1730305718">
    <w:abstractNumId w:val="4"/>
  </w:num>
  <w:num w:numId="9" w16cid:durableId="1350642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8B5"/>
    <w:rsid w:val="0000250B"/>
    <w:rsid w:val="0000464F"/>
    <w:rsid w:val="00014880"/>
    <w:rsid w:val="00022886"/>
    <w:rsid w:val="0003288D"/>
    <w:rsid w:val="0004439F"/>
    <w:rsid w:val="00054FD6"/>
    <w:rsid w:val="00055E6B"/>
    <w:rsid w:val="00071504"/>
    <w:rsid w:val="0009446B"/>
    <w:rsid w:val="000A31AA"/>
    <w:rsid w:val="000A6F2F"/>
    <w:rsid w:val="000B30BA"/>
    <w:rsid w:val="000D36B0"/>
    <w:rsid w:val="000F2DE1"/>
    <w:rsid w:val="000F41D0"/>
    <w:rsid w:val="001035CC"/>
    <w:rsid w:val="001208DE"/>
    <w:rsid w:val="001340AA"/>
    <w:rsid w:val="00195606"/>
    <w:rsid w:val="001A136E"/>
    <w:rsid w:val="001A1DD8"/>
    <w:rsid w:val="001A5DEA"/>
    <w:rsid w:val="001C5BEE"/>
    <w:rsid w:val="001D6F53"/>
    <w:rsid w:val="001E6258"/>
    <w:rsid w:val="001F3F24"/>
    <w:rsid w:val="0020770C"/>
    <w:rsid w:val="00211313"/>
    <w:rsid w:val="0023641D"/>
    <w:rsid w:val="00243AE9"/>
    <w:rsid w:val="002563F4"/>
    <w:rsid w:val="002A2AAD"/>
    <w:rsid w:val="002A408E"/>
    <w:rsid w:val="002B26E3"/>
    <w:rsid w:val="002B2992"/>
    <w:rsid w:val="002B3601"/>
    <w:rsid w:val="002B436B"/>
    <w:rsid w:val="002B54B0"/>
    <w:rsid w:val="002C2D4E"/>
    <w:rsid w:val="002D11BB"/>
    <w:rsid w:val="002D2F77"/>
    <w:rsid w:val="002D4BC1"/>
    <w:rsid w:val="002F04B6"/>
    <w:rsid w:val="002F582A"/>
    <w:rsid w:val="00304638"/>
    <w:rsid w:val="00316814"/>
    <w:rsid w:val="00321F7E"/>
    <w:rsid w:val="00343AE6"/>
    <w:rsid w:val="0037345C"/>
    <w:rsid w:val="003A4C21"/>
    <w:rsid w:val="003A4D22"/>
    <w:rsid w:val="003A5A2B"/>
    <w:rsid w:val="003C09A2"/>
    <w:rsid w:val="003C1476"/>
    <w:rsid w:val="003C5E1D"/>
    <w:rsid w:val="003F7703"/>
    <w:rsid w:val="003F772C"/>
    <w:rsid w:val="00415C61"/>
    <w:rsid w:val="00422F3F"/>
    <w:rsid w:val="004236CF"/>
    <w:rsid w:val="0042692A"/>
    <w:rsid w:val="0043069D"/>
    <w:rsid w:val="0043672F"/>
    <w:rsid w:val="004415B9"/>
    <w:rsid w:val="00445426"/>
    <w:rsid w:val="00467BD6"/>
    <w:rsid w:val="004771B0"/>
    <w:rsid w:val="00491A63"/>
    <w:rsid w:val="004944B3"/>
    <w:rsid w:val="00494BD3"/>
    <w:rsid w:val="004A1091"/>
    <w:rsid w:val="004B235A"/>
    <w:rsid w:val="004C0671"/>
    <w:rsid w:val="004C06A8"/>
    <w:rsid w:val="004C3B62"/>
    <w:rsid w:val="004C57AA"/>
    <w:rsid w:val="004F7DD0"/>
    <w:rsid w:val="00501EBC"/>
    <w:rsid w:val="00505B85"/>
    <w:rsid w:val="005131A4"/>
    <w:rsid w:val="005150A6"/>
    <w:rsid w:val="00525BA3"/>
    <w:rsid w:val="0053255C"/>
    <w:rsid w:val="005505A8"/>
    <w:rsid w:val="005512C5"/>
    <w:rsid w:val="00552ECD"/>
    <w:rsid w:val="0055403D"/>
    <w:rsid w:val="005640CE"/>
    <w:rsid w:val="005710B8"/>
    <w:rsid w:val="005739EB"/>
    <w:rsid w:val="00576665"/>
    <w:rsid w:val="00576E5E"/>
    <w:rsid w:val="005860C1"/>
    <w:rsid w:val="00586714"/>
    <w:rsid w:val="00597760"/>
    <w:rsid w:val="005B0E84"/>
    <w:rsid w:val="005D1A03"/>
    <w:rsid w:val="005E0802"/>
    <w:rsid w:val="005E44E1"/>
    <w:rsid w:val="005E53C2"/>
    <w:rsid w:val="006150E4"/>
    <w:rsid w:val="00625635"/>
    <w:rsid w:val="006501C6"/>
    <w:rsid w:val="0065552C"/>
    <w:rsid w:val="0065778A"/>
    <w:rsid w:val="00662DB2"/>
    <w:rsid w:val="0066506D"/>
    <w:rsid w:val="00666070"/>
    <w:rsid w:val="00667B02"/>
    <w:rsid w:val="00684F27"/>
    <w:rsid w:val="00690104"/>
    <w:rsid w:val="006951E3"/>
    <w:rsid w:val="006A3C5C"/>
    <w:rsid w:val="006D6C20"/>
    <w:rsid w:val="006E5F00"/>
    <w:rsid w:val="006F1E9E"/>
    <w:rsid w:val="006F5434"/>
    <w:rsid w:val="006F59D7"/>
    <w:rsid w:val="00701B49"/>
    <w:rsid w:val="00707068"/>
    <w:rsid w:val="00711AE5"/>
    <w:rsid w:val="0072096E"/>
    <w:rsid w:val="00732FBD"/>
    <w:rsid w:val="00733C57"/>
    <w:rsid w:val="00736D24"/>
    <w:rsid w:val="0074755A"/>
    <w:rsid w:val="0075557F"/>
    <w:rsid w:val="0077743B"/>
    <w:rsid w:val="00782566"/>
    <w:rsid w:val="00782804"/>
    <w:rsid w:val="007860B2"/>
    <w:rsid w:val="00793A7E"/>
    <w:rsid w:val="007A33EB"/>
    <w:rsid w:val="007B387E"/>
    <w:rsid w:val="007C3813"/>
    <w:rsid w:val="007F0C98"/>
    <w:rsid w:val="007F5F24"/>
    <w:rsid w:val="008026D7"/>
    <w:rsid w:val="00817AEA"/>
    <w:rsid w:val="00820469"/>
    <w:rsid w:val="00822111"/>
    <w:rsid w:val="00833514"/>
    <w:rsid w:val="00835783"/>
    <w:rsid w:val="00851ACD"/>
    <w:rsid w:val="00862420"/>
    <w:rsid w:val="00883E9D"/>
    <w:rsid w:val="008905E5"/>
    <w:rsid w:val="00890AB0"/>
    <w:rsid w:val="008A207A"/>
    <w:rsid w:val="008C1C15"/>
    <w:rsid w:val="008C7E44"/>
    <w:rsid w:val="008D22AF"/>
    <w:rsid w:val="008E3A24"/>
    <w:rsid w:val="008E445B"/>
    <w:rsid w:val="0090509D"/>
    <w:rsid w:val="0090553C"/>
    <w:rsid w:val="00913E97"/>
    <w:rsid w:val="00934C65"/>
    <w:rsid w:val="00935426"/>
    <w:rsid w:val="009423BA"/>
    <w:rsid w:val="00946FE1"/>
    <w:rsid w:val="00960669"/>
    <w:rsid w:val="00983C21"/>
    <w:rsid w:val="00984FD6"/>
    <w:rsid w:val="009C06E1"/>
    <w:rsid w:val="009C17A7"/>
    <w:rsid w:val="009C1B48"/>
    <w:rsid w:val="009E7A18"/>
    <w:rsid w:val="009F6E0B"/>
    <w:rsid w:val="00A0735A"/>
    <w:rsid w:val="00A107B2"/>
    <w:rsid w:val="00A1704F"/>
    <w:rsid w:val="00A1747F"/>
    <w:rsid w:val="00A207B4"/>
    <w:rsid w:val="00A34463"/>
    <w:rsid w:val="00A40B19"/>
    <w:rsid w:val="00A41C96"/>
    <w:rsid w:val="00A52E1F"/>
    <w:rsid w:val="00A56069"/>
    <w:rsid w:val="00A61001"/>
    <w:rsid w:val="00A66400"/>
    <w:rsid w:val="00A70FA4"/>
    <w:rsid w:val="00A84F65"/>
    <w:rsid w:val="00AA1651"/>
    <w:rsid w:val="00AA2982"/>
    <w:rsid w:val="00AB5D07"/>
    <w:rsid w:val="00AC0235"/>
    <w:rsid w:val="00AC1488"/>
    <w:rsid w:val="00AD5264"/>
    <w:rsid w:val="00AE08B5"/>
    <w:rsid w:val="00AE3422"/>
    <w:rsid w:val="00AE3435"/>
    <w:rsid w:val="00AF57FE"/>
    <w:rsid w:val="00AF67A5"/>
    <w:rsid w:val="00B14229"/>
    <w:rsid w:val="00B15E4B"/>
    <w:rsid w:val="00B16DA4"/>
    <w:rsid w:val="00B21AB5"/>
    <w:rsid w:val="00B53A70"/>
    <w:rsid w:val="00B660B2"/>
    <w:rsid w:val="00B6726F"/>
    <w:rsid w:val="00B747CF"/>
    <w:rsid w:val="00B77942"/>
    <w:rsid w:val="00B77EDF"/>
    <w:rsid w:val="00B8071F"/>
    <w:rsid w:val="00B856FD"/>
    <w:rsid w:val="00B91F0C"/>
    <w:rsid w:val="00B95A44"/>
    <w:rsid w:val="00BB3B45"/>
    <w:rsid w:val="00BD1EDB"/>
    <w:rsid w:val="00BD4B6A"/>
    <w:rsid w:val="00BE62DD"/>
    <w:rsid w:val="00BF6064"/>
    <w:rsid w:val="00C32B00"/>
    <w:rsid w:val="00C453BB"/>
    <w:rsid w:val="00C66D0E"/>
    <w:rsid w:val="00C701DC"/>
    <w:rsid w:val="00C71D66"/>
    <w:rsid w:val="00C80CEA"/>
    <w:rsid w:val="00C83E09"/>
    <w:rsid w:val="00CB7D22"/>
    <w:rsid w:val="00CC225E"/>
    <w:rsid w:val="00CC31D3"/>
    <w:rsid w:val="00CC4D12"/>
    <w:rsid w:val="00CC72AD"/>
    <w:rsid w:val="00CD03AA"/>
    <w:rsid w:val="00CF3925"/>
    <w:rsid w:val="00D0049C"/>
    <w:rsid w:val="00D013EF"/>
    <w:rsid w:val="00D01914"/>
    <w:rsid w:val="00D12DAB"/>
    <w:rsid w:val="00D16206"/>
    <w:rsid w:val="00D21FB9"/>
    <w:rsid w:val="00D25490"/>
    <w:rsid w:val="00D2650E"/>
    <w:rsid w:val="00D3252B"/>
    <w:rsid w:val="00D369DD"/>
    <w:rsid w:val="00D6560F"/>
    <w:rsid w:val="00D90FAA"/>
    <w:rsid w:val="00D918EC"/>
    <w:rsid w:val="00D97641"/>
    <w:rsid w:val="00DA079C"/>
    <w:rsid w:val="00DA378E"/>
    <w:rsid w:val="00DA5D1C"/>
    <w:rsid w:val="00DA5EEA"/>
    <w:rsid w:val="00DA7A4A"/>
    <w:rsid w:val="00DC3B28"/>
    <w:rsid w:val="00DC3F53"/>
    <w:rsid w:val="00DC5125"/>
    <w:rsid w:val="00DC667A"/>
    <w:rsid w:val="00DD3B90"/>
    <w:rsid w:val="00DE0EDF"/>
    <w:rsid w:val="00DE1848"/>
    <w:rsid w:val="00DF3105"/>
    <w:rsid w:val="00E220F6"/>
    <w:rsid w:val="00E342D2"/>
    <w:rsid w:val="00E47B9E"/>
    <w:rsid w:val="00E51159"/>
    <w:rsid w:val="00E550BB"/>
    <w:rsid w:val="00E63ECB"/>
    <w:rsid w:val="00E92EA2"/>
    <w:rsid w:val="00E96275"/>
    <w:rsid w:val="00EB3F2F"/>
    <w:rsid w:val="00EB6551"/>
    <w:rsid w:val="00EB7B00"/>
    <w:rsid w:val="00ED1828"/>
    <w:rsid w:val="00ED7B94"/>
    <w:rsid w:val="00EE52B0"/>
    <w:rsid w:val="00EE54A0"/>
    <w:rsid w:val="00EF042C"/>
    <w:rsid w:val="00F056A5"/>
    <w:rsid w:val="00F1551D"/>
    <w:rsid w:val="00F226EF"/>
    <w:rsid w:val="00F3232C"/>
    <w:rsid w:val="00F43F62"/>
    <w:rsid w:val="00F648A6"/>
    <w:rsid w:val="00F667F7"/>
    <w:rsid w:val="00F66E2C"/>
    <w:rsid w:val="00F8097D"/>
    <w:rsid w:val="00F81B01"/>
    <w:rsid w:val="00F914C7"/>
    <w:rsid w:val="00F931BB"/>
    <w:rsid w:val="00FA012C"/>
    <w:rsid w:val="00FA4D13"/>
    <w:rsid w:val="00FC0032"/>
    <w:rsid w:val="00FD2BC6"/>
    <w:rsid w:val="00FE4E23"/>
    <w:rsid w:val="00FF181C"/>
    <w:rsid w:val="00FF6FCA"/>
    <w:rsid w:val="196A5BE7"/>
    <w:rsid w:val="279908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9D3F2"/>
  <w15:docId w15:val="{273A696B-0E74-4952-A077-9DF062DB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11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9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2928"/>
      <w:outlineLvl w:val="1"/>
    </w:pPr>
    <w:rPr>
      <w:rFonts w:ascii="Arial" w:eastAsia="Arial" w:hAnsi="Arial" w:cs="Arial"/>
      <w:b/>
      <w:color w:val="000000"/>
      <w:sz w:val="24"/>
    </w:rPr>
  </w:style>
  <w:style w:type="paragraph" w:styleId="Heading3">
    <w:name w:val="heading 3"/>
    <w:basedOn w:val="Normal"/>
    <w:next w:val="Normal"/>
    <w:link w:val="Heading3Char"/>
    <w:uiPriority w:val="9"/>
    <w:unhideWhenUsed/>
    <w:qFormat/>
    <w:rsid w:val="005860C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67B02"/>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nhideWhenUsed/>
    <w:rsid w:val="00667B02"/>
    <w:rPr>
      <w:sz w:val="16"/>
      <w:szCs w:val="16"/>
    </w:rPr>
  </w:style>
  <w:style w:type="paragraph" w:styleId="CommentText">
    <w:name w:val="annotation text"/>
    <w:basedOn w:val="Normal"/>
    <w:link w:val="CommentTextChar"/>
    <w:uiPriority w:val="99"/>
    <w:unhideWhenUsed/>
    <w:rsid w:val="00667B02"/>
    <w:pPr>
      <w:spacing w:line="240" w:lineRule="auto"/>
    </w:pPr>
    <w:rPr>
      <w:sz w:val="20"/>
      <w:szCs w:val="20"/>
    </w:rPr>
  </w:style>
  <w:style w:type="character" w:customStyle="1" w:styleId="CommentTextChar">
    <w:name w:val="Comment Text Char"/>
    <w:basedOn w:val="DefaultParagraphFont"/>
    <w:link w:val="CommentText"/>
    <w:uiPriority w:val="99"/>
    <w:rsid w:val="00667B0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7B02"/>
    <w:rPr>
      <w:b/>
      <w:bCs/>
    </w:rPr>
  </w:style>
  <w:style w:type="character" w:customStyle="1" w:styleId="CommentSubjectChar">
    <w:name w:val="Comment Subject Char"/>
    <w:basedOn w:val="CommentTextChar"/>
    <w:link w:val="CommentSubject"/>
    <w:uiPriority w:val="99"/>
    <w:semiHidden/>
    <w:rsid w:val="00667B0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90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5E5"/>
    <w:rPr>
      <w:rFonts w:ascii="Segoe UI" w:eastAsia="Times New Roman" w:hAnsi="Segoe UI" w:cs="Segoe UI"/>
      <w:color w:val="000000"/>
      <w:sz w:val="18"/>
      <w:szCs w:val="18"/>
    </w:rPr>
  </w:style>
  <w:style w:type="character" w:styleId="Emphasis">
    <w:name w:val="Emphasis"/>
    <w:basedOn w:val="DefaultParagraphFont"/>
    <w:uiPriority w:val="20"/>
    <w:qFormat/>
    <w:rsid w:val="00C71D66"/>
    <w:rPr>
      <w:i/>
      <w:iCs/>
    </w:rPr>
  </w:style>
  <w:style w:type="character" w:customStyle="1" w:styleId="Heading3Char">
    <w:name w:val="Heading 3 Char"/>
    <w:basedOn w:val="DefaultParagraphFont"/>
    <w:link w:val="Heading3"/>
    <w:uiPriority w:val="9"/>
    <w:rsid w:val="005860C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0735A"/>
    <w:pPr>
      <w:ind w:left="720"/>
      <w:contextualSpacing/>
    </w:pPr>
  </w:style>
  <w:style w:type="paragraph" w:styleId="TOCHeading">
    <w:name w:val="TOC Heading"/>
    <w:basedOn w:val="Heading1"/>
    <w:next w:val="Normal"/>
    <w:uiPriority w:val="39"/>
    <w:unhideWhenUsed/>
    <w:qFormat/>
    <w:rsid w:val="00A0735A"/>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2D4BC1"/>
    <w:pPr>
      <w:tabs>
        <w:tab w:val="right" w:leader="dot" w:pos="10449"/>
      </w:tabs>
      <w:spacing w:after="100"/>
      <w:ind w:left="0"/>
    </w:pPr>
  </w:style>
  <w:style w:type="paragraph" w:styleId="TOC2">
    <w:name w:val="toc 2"/>
    <w:basedOn w:val="Normal"/>
    <w:next w:val="Normal"/>
    <w:autoRedefine/>
    <w:uiPriority w:val="39"/>
    <w:unhideWhenUsed/>
    <w:rsid w:val="00662DB2"/>
    <w:pPr>
      <w:tabs>
        <w:tab w:val="left" w:pos="660"/>
        <w:tab w:val="right" w:leader="dot" w:pos="10449"/>
      </w:tabs>
      <w:spacing w:after="100"/>
      <w:ind w:left="240"/>
    </w:pPr>
  </w:style>
  <w:style w:type="paragraph" w:styleId="TOC3">
    <w:name w:val="toc 3"/>
    <w:basedOn w:val="Normal"/>
    <w:next w:val="Normal"/>
    <w:autoRedefine/>
    <w:uiPriority w:val="39"/>
    <w:unhideWhenUsed/>
    <w:rsid w:val="00A207B4"/>
    <w:pPr>
      <w:tabs>
        <w:tab w:val="left" w:pos="880"/>
        <w:tab w:val="right" w:leader="dot" w:pos="10449"/>
      </w:tabs>
      <w:spacing w:after="100"/>
      <w:ind w:left="480"/>
    </w:pPr>
  </w:style>
  <w:style w:type="character" w:styleId="Hyperlink">
    <w:name w:val="Hyperlink"/>
    <w:basedOn w:val="DefaultParagraphFont"/>
    <w:uiPriority w:val="99"/>
    <w:unhideWhenUsed/>
    <w:rsid w:val="00A0735A"/>
    <w:rPr>
      <w:color w:val="0563C1" w:themeColor="hyperlink"/>
      <w:u w:val="single"/>
    </w:rPr>
  </w:style>
  <w:style w:type="paragraph" w:styleId="Caption">
    <w:name w:val="caption"/>
    <w:basedOn w:val="Normal"/>
    <w:next w:val="Normal"/>
    <w:uiPriority w:val="35"/>
    <w:unhideWhenUsed/>
    <w:qFormat/>
    <w:rsid w:val="00D90FA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A378E"/>
    <w:pPr>
      <w:spacing w:after="0"/>
      <w:ind w:left="0"/>
    </w:pPr>
  </w:style>
  <w:style w:type="paragraph" w:styleId="NormalWeb">
    <w:name w:val="Normal (Web)"/>
    <w:basedOn w:val="Normal"/>
    <w:uiPriority w:val="99"/>
    <w:semiHidden/>
    <w:unhideWhenUsed/>
    <w:rsid w:val="00243AE9"/>
    <w:pPr>
      <w:spacing w:before="100" w:beforeAutospacing="1" w:after="100" w:afterAutospacing="1" w:line="240" w:lineRule="auto"/>
      <w:ind w:left="0" w:firstLine="0"/>
    </w:pPr>
    <w:rPr>
      <w:color w:val="auto"/>
      <w:szCs w:val="24"/>
    </w:rPr>
  </w:style>
  <w:style w:type="character" w:styleId="UnresolvedMention">
    <w:name w:val="Unresolved Mention"/>
    <w:basedOn w:val="DefaultParagraphFont"/>
    <w:uiPriority w:val="99"/>
    <w:semiHidden/>
    <w:unhideWhenUsed/>
    <w:rsid w:val="00550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hcahpsonline.org/en/quality-assurance/" TargetMode="External" /><Relationship Id="rId6" Type="http://schemas.openxmlformats.org/officeDocument/2006/relationships/hyperlink" Target="http://www.hcahpsonline.org/en/quality-assurance/" TargetMode="External" /><Relationship Id="rId7" Type="http://schemas.openxmlformats.org/officeDocument/2006/relationships/hyperlink" Target="https://www.medicare.gov/care-compare/" TargetMode="External" /><Relationship Id="rId8" Type="http://schemas.openxmlformats.org/officeDocument/2006/relationships/hyperlink" Target="http://www.hcahpsonline.org/" TargetMode="External" /><Relationship Id="rId9" Type="http://schemas.openxmlformats.org/officeDocument/2006/relationships/hyperlink" Target="https://hcahpsonline.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894C-9BC8-4A49-9621-6CBD44703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Justification of the Hospital CAHPS Survey</vt:lpstr>
    </vt:vector>
  </TitlesOfParts>
  <Company>CMS</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the Hospital CAHPS Survey</dc:title>
  <dc:creator>CMS</dc:creator>
  <cp:lastModifiedBy>Famolaro, Theresa (CMS/CM)</cp:lastModifiedBy>
  <cp:revision>3</cp:revision>
  <cp:lastPrinted>2024-03-07T19:10:00Z</cp:lastPrinted>
  <dcterms:created xsi:type="dcterms:W3CDTF">2024-03-07T14:49:00Z</dcterms:created>
  <dcterms:modified xsi:type="dcterms:W3CDTF">2024-03-07T20:32:00Z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8662f0e49489d6d215f3ba507029eb384bcbfbf0fa1d662ca77cb8bd7001c1fe</vt:lpwstr>
  </property>
</Properties>
</file>