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3F1" w:rsidP="002923F1" w14:paraId="35FB43CD" w14:textId="77777777">
      <w:pPr>
        <w:pStyle w:val="Heading1"/>
        <w:spacing w:before="60"/>
        <w:ind w:left="2776" w:right="1171" w:hanging="923"/>
        <w:jc w:val="center"/>
        <w:rPr>
          <w:spacing w:val="-10"/>
        </w:rPr>
      </w:pPr>
      <w:r>
        <w:t>SUPPORTING</w:t>
      </w:r>
      <w:r>
        <w:rPr>
          <w:spacing w:val="-9"/>
        </w:rPr>
        <w:t xml:space="preserve"> </w:t>
      </w:r>
      <w:r>
        <w:t>STATEMENT</w:t>
      </w:r>
      <w:r>
        <w:rPr>
          <w:spacing w:val="-10"/>
        </w:rPr>
        <w:t xml:space="preserve"> A</w:t>
      </w:r>
    </w:p>
    <w:p w:rsidR="00B60A79" w:rsidP="002923F1" w14:paraId="3727D12F" w14:textId="1B08A6FF">
      <w:pPr>
        <w:pStyle w:val="Heading1"/>
        <w:spacing w:before="60"/>
        <w:ind w:left="2776" w:right="1171" w:hanging="923"/>
        <w:jc w:val="center"/>
      </w:pPr>
      <w:r>
        <w:t>HOME OFFICE COST STATEMENT</w:t>
      </w:r>
    </w:p>
    <w:p w:rsidR="002923F1" w:rsidP="002923F1" w14:paraId="520C8B96" w14:textId="0CC411CB">
      <w:pPr>
        <w:pStyle w:val="Heading1"/>
        <w:spacing w:before="60"/>
        <w:ind w:left="2776" w:right="1171" w:hanging="923"/>
        <w:jc w:val="center"/>
      </w:pPr>
      <w:r>
        <w:t>(CMS-287-22; OMB 0938-0202)</w:t>
      </w:r>
    </w:p>
    <w:p w:rsidR="00B60A79" w14:paraId="0D90C63A" w14:textId="77777777">
      <w:pPr>
        <w:pStyle w:val="BodyText"/>
        <w:ind w:left="0"/>
        <w:rPr>
          <w:b/>
        </w:rPr>
      </w:pPr>
    </w:p>
    <w:p w:rsidR="00B60A79" w14:paraId="061163DC" w14:textId="77777777">
      <w:pPr>
        <w:pStyle w:val="BodyText"/>
        <w:ind w:left="0"/>
        <w:rPr>
          <w:b/>
        </w:rPr>
      </w:pPr>
    </w:p>
    <w:p w:rsidR="00B60A79" w14:paraId="643098A8" w14:textId="77777777">
      <w:pPr>
        <w:pStyle w:val="ListParagraph"/>
        <w:numPr>
          <w:ilvl w:val="0"/>
          <w:numId w:val="1"/>
        </w:numPr>
        <w:tabs>
          <w:tab w:val="left" w:pos="459"/>
        </w:tabs>
        <w:ind w:left="459" w:hanging="359"/>
        <w:rPr>
          <w:b/>
          <w:sz w:val="24"/>
        </w:rPr>
      </w:pPr>
      <w:bookmarkStart w:id="0" w:name="A._BACKGROUND"/>
      <w:bookmarkEnd w:id="0"/>
      <w:r>
        <w:rPr>
          <w:b/>
          <w:spacing w:val="-2"/>
          <w:sz w:val="24"/>
          <w:u w:val="single"/>
        </w:rPr>
        <w:t>BACKGROUND</w:t>
      </w:r>
    </w:p>
    <w:p w:rsidR="00B60A79" w14:paraId="375D458A" w14:textId="77777777">
      <w:pPr>
        <w:pStyle w:val="BodyText"/>
        <w:ind w:left="0"/>
        <w:rPr>
          <w:b/>
        </w:rPr>
      </w:pPr>
    </w:p>
    <w:p w:rsidR="00B60A79" w14:paraId="1041972D" w14:textId="77777777">
      <w:pPr>
        <w:pStyle w:val="BodyText"/>
        <w:ind w:left="460" w:right="186"/>
      </w:pPr>
      <w:r>
        <w:t>CMS is requesting the Office of Management and Budget (OMB) review and approve this extension request for OMB No. 0938-0202, the Home Office Cost Statement, Form CMS- 287-22.</w:t>
      </w:r>
      <w:r>
        <w:rPr>
          <w:spacing w:val="80"/>
          <w:w w:val="150"/>
        </w:rPr>
        <w:t xml:space="preserve"> </w:t>
      </w:r>
      <w:r>
        <w:t>A</w:t>
      </w:r>
      <w:r>
        <w:rPr>
          <w:spacing w:val="-4"/>
        </w:rPr>
        <w:t xml:space="preserve"> </w:t>
      </w:r>
      <w:r>
        <w:t>home</w:t>
      </w:r>
      <w:r>
        <w:rPr>
          <w:spacing w:val="-3"/>
        </w:rPr>
        <w:t xml:space="preserve"> </w:t>
      </w:r>
      <w:r>
        <w:t>office/chain</w:t>
      </w:r>
      <w:r>
        <w:rPr>
          <w:spacing w:val="-3"/>
        </w:rPr>
        <w:t xml:space="preserve"> </w:t>
      </w:r>
      <w:r>
        <w:t>organization</w:t>
      </w:r>
      <w:r>
        <w:rPr>
          <w:spacing w:val="-5"/>
        </w:rPr>
        <w:t xml:space="preserve"> </w:t>
      </w:r>
      <w:r>
        <w:t>(HO/CO)</w:t>
      </w:r>
      <w:r>
        <w:rPr>
          <w:spacing w:val="-3"/>
        </w:rPr>
        <w:t xml:space="preserve"> </w:t>
      </w:r>
      <w:r>
        <w:t>submits</w:t>
      </w:r>
      <w:r>
        <w:rPr>
          <w:spacing w:val="-4"/>
        </w:rPr>
        <w:t xml:space="preserve"> </w:t>
      </w:r>
      <w:r>
        <w:t>the</w:t>
      </w:r>
      <w:r>
        <w:rPr>
          <w:spacing w:val="-3"/>
        </w:rPr>
        <w:t xml:space="preserve"> </w:t>
      </w:r>
      <w:r>
        <w:t>home</w:t>
      </w:r>
      <w:r>
        <w:rPr>
          <w:spacing w:val="-3"/>
        </w:rPr>
        <w:t xml:space="preserve"> </w:t>
      </w:r>
      <w:r>
        <w:t>office</w:t>
      </w:r>
      <w:r>
        <w:rPr>
          <w:spacing w:val="-4"/>
        </w:rPr>
        <w:t xml:space="preserve"> </w:t>
      </w:r>
      <w:r>
        <w:t>cost</w:t>
      </w:r>
      <w:r>
        <w:rPr>
          <w:spacing w:val="-3"/>
        </w:rPr>
        <w:t xml:space="preserve"> </w:t>
      </w:r>
      <w:r>
        <w:t>statement annually as the documentary support required for a provider that is a member of the HO/CO to be reimbursed for HO/CO costs claimed in the provider’s cost report (see</w:t>
      </w:r>
    </w:p>
    <w:p w:rsidR="00B60A79" w14:paraId="3F515D3C" w14:textId="77777777">
      <w:pPr>
        <w:pStyle w:val="BodyText"/>
        <w:ind w:left="460"/>
      </w:pPr>
      <w:r>
        <w:t>42</w:t>
      </w:r>
      <w:r>
        <w:rPr>
          <w:spacing w:val="-2"/>
        </w:rPr>
        <w:t xml:space="preserve"> </w:t>
      </w:r>
      <w:r>
        <w:t>CFR</w:t>
      </w:r>
      <w:r>
        <w:rPr>
          <w:spacing w:val="-3"/>
        </w:rPr>
        <w:t xml:space="preserve"> </w:t>
      </w:r>
      <w:r>
        <w:t>413.24(f)(5)(</w:t>
      </w:r>
      <w:r>
        <w:t>i</w:t>
      </w:r>
      <w:r>
        <w:t>)(E)(1)</w:t>
      </w:r>
      <w:r>
        <w:rPr>
          <w:spacing w:val="-1"/>
        </w:rPr>
        <w:t xml:space="preserve"> </w:t>
      </w:r>
      <w:r>
        <w:t>and</w:t>
      </w:r>
      <w:r>
        <w:rPr>
          <w:spacing w:val="-3"/>
        </w:rPr>
        <w:t xml:space="preserve"> </w:t>
      </w:r>
      <w:r>
        <w:rPr>
          <w:spacing w:val="-2"/>
        </w:rPr>
        <w:t>(2)).</w:t>
      </w:r>
    </w:p>
    <w:p w:rsidR="00B60A79" w14:paraId="2F729001" w14:textId="77777777">
      <w:pPr>
        <w:pStyle w:val="BodyText"/>
        <w:ind w:left="0"/>
      </w:pPr>
    </w:p>
    <w:p w:rsidR="00B60A79" w14:paraId="590B3B99" w14:textId="77777777">
      <w:pPr>
        <w:pStyle w:val="BodyText"/>
        <w:ind w:left="460"/>
      </w:pPr>
      <w:r>
        <w:t>The</w:t>
      </w:r>
      <w:r>
        <w:rPr>
          <w:spacing w:val="-2"/>
        </w:rPr>
        <w:t xml:space="preserve"> </w:t>
      </w:r>
      <w:r>
        <w:t>relationship</w:t>
      </w:r>
      <w:r>
        <w:rPr>
          <w:spacing w:val="-1"/>
        </w:rPr>
        <w:t xml:space="preserve"> </w:t>
      </w:r>
      <w:r>
        <w:t>of</w:t>
      </w:r>
      <w:r>
        <w:rPr>
          <w:spacing w:val="-1"/>
        </w:rPr>
        <w:t xml:space="preserve"> </w:t>
      </w:r>
      <w:r>
        <w:t>the</w:t>
      </w:r>
      <w:r>
        <w:rPr>
          <w:spacing w:val="-2"/>
        </w:rPr>
        <w:t xml:space="preserve"> </w:t>
      </w:r>
      <w:r>
        <w:t>HO/CO</w:t>
      </w:r>
      <w:r>
        <w:rPr>
          <w:spacing w:val="-3"/>
        </w:rPr>
        <w:t xml:space="preserve"> </w:t>
      </w:r>
      <w:r>
        <w:t>is</w:t>
      </w:r>
      <w:r>
        <w:rPr>
          <w:spacing w:val="-1"/>
        </w:rPr>
        <w:t xml:space="preserve"> </w:t>
      </w:r>
      <w:r>
        <w:t>that</w:t>
      </w:r>
      <w:r>
        <w:rPr>
          <w:spacing w:val="-1"/>
        </w:rPr>
        <w:t xml:space="preserve"> </w:t>
      </w:r>
      <w:r>
        <w:t>of</w:t>
      </w:r>
      <w:r>
        <w:rPr>
          <w:spacing w:val="-1"/>
        </w:rPr>
        <w:t xml:space="preserve"> </w:t>
      </w:r>
      <w:r>
        <w:t>a</w:t>
      </w:r>
      <w:r>
        <w:rPr>
          <w:spacing w:val="-2"/>
        </w:rPr>
        <w:t xml:space="preserve"> </w:t>
      </w:r>
      <w:r>
        <w:t>related</w:t>
      </w:r>
      <w:r>
        <w:rPr>
          <w:spacing w:val="-2"/>
        </w:rPr>
        <w:t xml:space="preserve"> </w:t>
      </w:r>
      <w:r>
        <w:t>organization</w:t>
      </w:r>
      <w:r>
        <w:rPr>
          <w:spacing w:val="-1"/>
        </w:rPr>
        <w:t xml:space="preserve"> </w:t>
      </w:r>
      <w:r>
        <w:t>to</w:t>
      </w:r>
      <w:r>
        <w:rPr>
          <w:spacing w:val="-1"/>
        </w:rPr>
        <w:t xml:space="preserve"> </w:t>
      </w:r>
      <w:r>
        <w:t>a</w:t>
      </w:r>
      <w:r>
        <w:rPr>
          <w:spacing w:val="-1"/>
        </w:rPr>
        <w:t xml:space="preserve"> </w:t>
      </w:r>
      <w:r>
        <w:t>provider</w:t>
      </w:r>
      <w:r>
        <w:rPr>
          <w:spacing w:val="-1"/>
        </w:rPr>
        <w:t xml:space="preserve"> </w:t>
      </w:r>
      <w:r>
        <w:rPr>
          <w:spacing w:val="-4"/>
        </w:rPr>
        <w:t>(see</w:t>
      </w:r>
    </w:p>
    <w:p w:rsidR="00B60A79" w14:paraId="1EFA3021" w14:textId="77777777">
      <w:pPr>
        <w:pStyle w:val="BodyText"/>
        <w:ind w:left="460" w:right="186"/>
      </w:pPr>
      <w:r>
        <w:t>42 CFR 413.17).</w:t>
      </w:r>
      <w:r>
        <w:rPr>
          <w:spacing w:val="80"/>
          <w:w w:val="150"/>
        </w:rPr>
        <w:t xml:space="preserve"> </w:t>
      </w:r>
      <w:r>
        <w:t>A HO/CO usually furnishes central management and administrative services, e.g., centralized accounting, purchasing, personnel services, management direction and control, and other services.</w:t>
      </w:r>
      <w:r>
        <w:rPr>
          <w:spacing w:val="80"/>
          <w:w w:val="150"/>
        </w:rPr>
        <w:t xml:space="preserve"> </w:t>
      </w:r>
      <w:r>
        <w:t>To the extent that the HO/CO furnishes services related to patient</w:t>
      </w:r>
      <w:r>
        <w:rPr>
          <w:spacing w:val="-3"/>
        </w:rPr>
        <w:t xml:space="preserve"> </w:t>
      </w:r>
      <w:r>
        <w:t>care</w:t>
      </w:r>
      <w:r>
        <w:rPr>
          <w:spacing w:val="-4"/>
        </w:rPr>
        <w:t xml:space="preserve"> </w:t>
      </w:r>
      <w:r>
        <w:t>to</w:t>
      </w:r>
      <w:r>
        <w:rPr>
          <w:spacing w:val="-3"/>
        </w:rPr>
        <w:t xml:space="preserve"> </w:t>
      </w:r>
      <w:r>
        <w:t>a</w:t>
      </w:r>
      <w:r>
        <w:rPr>
          <w:spacing w:val="-3"/>
        </w:rPr>
        <w:t xml:space="preserve"> </w:t>
      </w:r>
      <w:r>
        <w:t>provider,</w:t>
      </w:r>
      <w:r>
        <w:rPr>
          <w:spacing w:val="-3"/>
        </w:rPr>
        <w:t xml:space="preserve"> </w:t>
      </w:r>
      <w:r>
        <w:t>the</w:t>
      </w:r>
      <w:r>
        <w:rPr>
          <w:spacing w:val="-3"/>
        </w:rPr>
        <w:t xml:space="preserve"> </w:t>
      </w:r>
      <w:r>
        <w:t>reasonable</w:t>
      </w:r>
      <w:r>
        <w:rPr>
          <w:spacing w:val="-3"/>
        </w:rPr>
        <w:t xml:space="preserve"> </w:t>
      </w:r>
      <w:r>
        <w:t>costs</w:t>
      </w:r>
      <w:r>
        <w:rPr>
          <w:spacing w:val="-3"/>
        </w:rPr>
        <w:t xml:space="preserve"> </w:t>
      </w:r>
      <w:r>
        <w:t>of</w:t>
      </w:r>
      <w:r>
        <w:rPr>
          <w:spacing w:val="-4"/>
        </w:rPr>
        <w:t xml:space="preserve"> </w:t>
      </w:r>
      <w:r>
        <w:t>such</w:t>
      </w:r>
      <w:r>
        <w:rPr>
          <w:spacing w:val="-3"/>
        </w:rPr>
        <w:t xml:space="preserve"> </w:t>
      </w:r>
      <w:r>
        <w:t>services</w:t>
      </w:r>
      <w:r>
        <w:rPr>
          <w:spacing w:val="-3"/>
        </w:rPr>
        <w:t xml:space="preserve"> </w:t>
      </w:r>
      <w:r>
        <w:t>are</w:t>
      </w:r>
      <w:r>
        <w:rPr>
          <w:spacing w:val="-3"/>
        </w:rPr>
        <w:t xml:space="preserve"> </w:t>
      </w:r>
      <w:r>
        <w:t>included</w:t>
      </w:r>
      <w:r>
        <w:rPr>
          <w:spacing w:val="-3"/>
        </w:rPr>
        <w:t xml:space="preserve"> </w:t>
      </w:r>
      <w:r>
        <w:t>in</w:t>
      </w:r>
      <w:r>
        <w:rPr>
          <w:spacing w:val="-3"/>
        </w:rPr>
        <w:t xml:space="preserve"> </w:t>
      </w:r>
      <w:r>
        <w:t>the</w:t>
      </w:r>
      <w:r>
        <w:rPr>
          <w:spacing w:val="-3"/>
        </w:rPr>
        <w:t xml:space="preserve"> </w:t>
      </w:r>
      <w:r>
        <w:t>provider’s cost report and are reimbursable as part of the provider’s costs.</w:t>
      </w:r>
    </w:p>
    <w:p w:rsidR="00B60A79" w14:paraId="7F1529C4" w14:textId="77777777">
      <w:pPr>
        <w:pStyle w:val="BodyText"/>
        <w:ind w:left="0"/>
      </w:pPr>
    </w:p>
    <w:p w:rsidR="00B60A79" w14:paraId="69F044DA" w14:textId="77777777">
      <w:pPr>
        <w:pStyle w:val="BodyText"/>
        <w:ind w:left="0"/>
      </w:pPr>
    </w:p>
    <w:p w:rsidR="00B60A79" w14:paraId="418E5AC1" w14:textId="77777777">
      <w:pPr>
        <w:pStyle w:val="Heading1"/>
        <w:numPr>
          <w:ilvl w:val="0"/>
          <w:numId w:val="1"/>
        </w:numPr>
        <w:tabs>
          <w:tab w:val="left" w:pos="459"/>
        </w:tabs>
        <w:spacing w:before="1"/>
        <w:ind w:left="459" w:hanging="359"/>
      </w:pPr>
      <w:bookmarkStart w:id="1" w:name="B._JUSTIFICATION"/>
      <w:bookmarkEnd w:id="1"/>
      <w:r>
        <w:rPr>
          <w:spacing w:val="-2"/>
          <w:u w:val="single"/>
        </w:rPr>
        <w:t>JUSTIFICATION</w:t>
      </w:r>
    </w:p>
    <w:p w:rsidR="00B60A79" w14:paraId="0D3C65C0" w14:textId="77777777">
      <w:pPr>
        <w:pStyle w:val="ListParagraph"/>
        <w:numPr>
          <w:ilvl w:val="1"/>
          <w:numId w:val="1"/>
        </w:numPr>
        <w:tabs>
          <w:tab w:val="left" w:pos="820"/>
        </w:tabs>
        <w:spacing w:before="276"/>
        <w:rPr>
          <w:sz w:val="24"/>
        </w:rPr>
      </w:pPr>
      <w:bookmarkStart w:id="2" w:name="1._Need_and_Legal_Basis"/>
      <w:bookmarkEnd w:id="2"/>
      <w:r>
        <w:rPr>
          <w:sz w:val="24"/>
          <w:u w:val="single"/>
        </w:rPr>
        <w:t>Need</w:t>
      </w:r>
      <w:r>
        <w:rPr>
          <w:spacing w:val="-1"/>
          <w:sz w:val="24"/>
          <w:u w:val="single"/>
        </w:rPr>
        <w:t xml:space="preserve"> </w:t>
      </w:r>
      <w:r>
        <w:rPr>
          <w:sz w:val="24"/>
          <w:u w:val="single"/>
        </w:rPr>
        <w:t>and</w:t>
      </w:r>
      <w:r>
        <w:rPr>
          <w:spacing w:val="-1"/>
          <w:sz w:val="24"/>
          <w:u w:val="single"/>
        </w:rPr>
        <w:t xml:space="preserve"> </w:t>
      </w:r>
      <w:r>
        <w:rPr>
          <w:sz w:val="24"/>
          <w:u w:val="single"/>
        </w:rPr>
        <w:t xml:space="preserve">Legal </w:t>
      </w:r>
      <w:r>
        <w:rPr>
          <w:spacing w:val="-2"/>
          <w:sz w:val="24"/>
          <w:u w:val="single"/>
        </w:rPr>
        <w:t>Basis</w:t>
      </w:r>
    </w:p>
    <w:p w:rsidR="00B60A79" w14:paraId="61181CBD" w14:textId="77777777">
      <w:pPr>
        <w:pStyle w:val="BodyText"/>
        <w:spacing w:before="276" w:line="242" w:lineRule="auto"/>
        <w:ind w:right="208"/>
      </w:pPr>
      <w:r>
        <w:t>Under</w:t>
      </w:r>
      <w:r>
        <w:rPr>
          <w:spacing w:val="-3"/>
        </w:rPr>
        <w:t xml:space="preserve"> </w:t>
      </w:r>
      <w:r>
        <w:t>the</w:t>
      </w:r>
      <w:r>
        <w:rPr>
          <w:spacing w:val="-3"/>
        </w:rPr>
        <w:t xml:space="preserve"> </w:t>
      </w:r>
      <w:r>
        <w:t>authority</w:t>
      </w:r>
      <w:r>
        <w:rPr>
          <w:spacing w:val="-3"/>
        </w:rPr>
        <w:t xml:space="preserve"> </w:t>
      </w:r>
      <w:r>
        <w:t>of</w:t>
      </w:r>
      <w:r>
        <w:rPr>
          <w:spacing w:val="-3"/>
        </w:rPr>
        <w:t xml:space="preserve"> </w:t>
      </w:r>
      <w:r>
        <w:t>§§1815(a)</w:t>
      </w:r>
      <w:r>
        <w:rPr>
          <w:spacing w:val="-3"/>
        </w:rPr>
        <w:t xml:space="preserve"> </w:t>
      </w:r>
      <w:r>
        <w:t>and</w:t>
      </w:r>
      <w:r>
        <w:rPr>
          <w:spacing w:val="-3"/>
        </w:rPr>
        <w:t xml:space="preserve"> </w:t>
      </w:r>
      <w:r>
        <w:t>1833(e)</w:t>
      </w:r>
      <w:r>
        <w:rPr>
          <w:spacing w:val="-3"/>
        </w:rPr>
        <w:t xml:space="preserve"> </w:t>
      </w:r>
      <w:r>
        <w:t>of</w:t>
      </w:r>
      <w:r>
        <w:rPr>
          <w:spacing w:val="-4"/>
        </w:rPr>
        <w:t xml:space="preserve"> </w:t>
      </w:r>
      <w:r>
        <w:t>the</w:t>
      </w:r>
      <w:r>
        <w:rPr>
          <w:spacing w:val="-3"/>
        </w:rPr>
        <w:t xml:space="preserve"> </w:t>
      </w:r>
      <w:r>
        <w:t>Social</w:t>
      </w:r>
      <w:r>
        <w:rPr>
          <w:spacing w:val="-3"/>
        </w:rPr>
        <w:t xml:space="preserve"> </w:t>
      </w:r>
      <w:r>
        <w:t>Security</w:t>
      </w:r>
      <w:r>
        <w:rPr>
          <w:spacing w:val="-3"/>
        </w:rPr>
        <w:t xml:space="preserve"> </w:t>
      </w:r>
      <w:r>
        <w:t>Act</w:t>
      </w:r>
      <w:r>
        <w:rPr>
          <w:spacing w:val="-3"/>
        </w:rPr>
        <w:t xml:space="preserve"> </w:t>
      </w:r>
      <w:r>
        <w:t>(the</w:t>
      </w:r>
      <w:r>
        <w:rPr>
          <w:spacing w:val="-3"/>
        </w:rPr>
        <w:t xml:space="preserve"> </w:t>
      </w:r>
      <w:r>
        <w:t>Act),</w:t>
      </w:r>
      <w:r>
        <w:rPr>
          <w:spacing w:val="-3"/>
        </w:rPr>
        <w:t xml:space="preserve"> </w:t>
      </w:r>
      <w:r>
        <w:t>CMS requires that providers of services participating in the Medicare program submit information to determine costs for health care services rendered to Medicare beneficiaries.</w:t>
      </w:r>
      <w:r>
        <w:rPr>
          <w:spacing w:val="80"/>
        </w:rPr>
        <w:t xml:space="preserve"> </w:t>
      </w:r>
      <w:r>
        <w:t>The regulation at 42 CFR 413.24(f)(5)(</w:t>
      </w:r>
      <w:r>
        <w:t>i</w:t>
      </w:r>
      <w:r>
        <w:t>)(E) requires that a provider claiming home office cost submit an acceptable home office cost statement that corresponds to the HO/CO costs claimed in the provider’s cost report.</w:t>
      </w:r>
      <w:r>
        <w:rPr>
          <w:spacing w:val="80"/>
          <w:w w:val="150"/>
        </w:rPr>
        <w:t xml:space="preserve"> </w:t>
      </w:r>
      <w:r>
        <w:t>CMS requires that a HO/CO follow reasonable cost principles under 1861(v)(1)(A) of the Act when completing the home office cost statement.</w:t>
      </w:r>
      <w:r>
        <w:rPr>
          <w:spacing w:val="80"/>
          <w:w w:val="150"/>
        </w:rPr>
        <w:t xml:space="preserve"> </w:t>
      </w:r>
      <w:r>
        <w:t>The regulation at 42 CFR 413.20 requires that a HO/CO maintain sufficient financial records and statistical data, capable of verification by qualified auditors.</w:t>
      </w:r>
    </w:p>
    <w:p w:rsidR="00B60A79" w14:paraId="75135C05" w14:textId="77777777">
      <w:pPr>
        <w:pStyle w:val="BodyText"/>
        <w:spacing w:before="272" w:line="242" w:lineRule="auto"/>
        <w:ind w:right="116"/>
      </w:pPr>
      <w:r>
        <w:t>In</w:t>
      </w:r>
      <w:r>
        <w:rPr>
          <w:spacing w:val="-4"/>
        </w:rPr>
        <w:t xml:space="preserve"> </w:t>
      </w:r>
      <w:r>
        <w:t>accordance</w:t>
      </w:r>
      <w:r>
        <w:rPr>
          <w:spacing w:val="-4"/>
        </w:rPr>
        <w:t xml:space="preserve"> </w:t>
      </w:r>
      <w:r>
        <w:t>with</w:t>
      </w:r>
      <w:r>
        <w:rPr>
          <w:spacing w:val="-4"/>
        </w:rPr>
        <w:t xml:space="preserve"> </w:t>
      </w:r>
      <w:r>
        <w:t>42</w:t>
      </w:r>
      <w:r>
        <w:rPr>
          <w:spacing w:val="-4"/>
        </w:rPr>
        <w:t xml:space="preserve"> </w:t>
      </w:r>
      <w:r>
        <w:t>CFR</w:t>
      </w:r>
      <w:r>
        <w:rPr>
          <w:spacing w:val="-5"/>
        </w:rPr>
        <w:t xml:space="preserve"> </w:t>
      </w:r>
      <w:r>
        <w:t>413.20(a),</w:t>
      </w:r>
      <w:r>
        <w:rPr>
          <w:spacing w:val="-4"/>
        </w:rPr>
        <w:t xml:space="preserve"> </w:t>
      </w:r>
      <w:r>
        <w:t>CMS</w:t>
      </w:r>
      <w:r>
        <w:rPr>
          <w:spacing w:val="-5"/>
        </w:rPr>
        <w:t xml:space="preserve"> </w:t>
      </w:r>
      <w:r>
        <w:t>follows</w:t>
      </w:r>
      <w:r>
        <w:rPr>
          <w:spacing w:val="-4"/>
        </w:rPr>
        <w:t xml:space="preserve"> </w:t>
      </w:r>
      <w:r>
        <w:t>standardized</w:t>
      </w:r>
      <w:r>
        <w:rPr>
          <w:spacing w:val="-4"/>
        </w:rPr>
        <w:t xml:space="preserve"> </w:t>
      </w:r>
      <w:r>
        <w:t>definitions,</w:t>
      </w:r>
      <w:r>
        <w:rPr>
          <w:spacing w:val="-4"/>
        </w:rPr>
        <w:t xml:space="preserve"> </w:t>
      </w:r>
      <w:r>
        <w:t>accounting, statistics, and reporting practices that are widely accepted in the hospital and related fields.</w:t>
      </w:r>
      <w:r>
        <w:rPr>
          <w:spacing w:val="80"/>
          <w:w w:val="150"/>
        </w:rPr>
        <w:t xml:space="preserve"> </w:t>
      </w:r>
      <w:r>
        <w:t>CMS does not require changes in these practices and systems to determine allowable costs under the principles of reimbursement.</w:t>
      </w:r>
      <w:r>
        <w:rPr>
          <w:spacing w:val="80"/>
        </w:rPr>
        <w:t xml:space="preserve"> </w:t>
      </w:r>
      <w:r>
        <w:t>Essentially the methods of determining allowable costs under Medicare involve making use of data available from the HO/CO’s standard cost accounting system, as usually maintained, to arrive at equitable and allowable costs.</w:t>
      </w:r>
    </w:p>
    <w:p w:rsidR="00B60A79" w14:paraId="02BE1219" w14:textId="77777777">
      <w:pPr>
        <w:pStyle w:val="BodyText"/>
        <w:ind w:left="0"/>
      </w:pPr>
    </w:p>
    <w:p w:rsidR="00B60A79" w14:paraId="50C8FA4F" w14:textId="77777777">
      <w:pPr>
        <w:pStyle w:val="BodyText"/>
        <w:ind w:right="186"/>
      </w:pPr>
      <w:r>
        <w:t>CMS requires the form to determine a HO/CO’s reasonable cost incurred in furnishing management and administrative services to Medicare providers, each of which includes the</w:t>
      </w:r>
      <w:r>
        <w:rPr>
          <w:spacing w:val="-3"/>
        </w:rPr>
        <w:t xml:space="preserve"> </w:t>
      </w:r>
      <w:r>
        <w:t>costs</w:t>
      </w:r>
      <w:r>
        <w:rPr>
          <w:spacing w:val="-3"/>
        </w:rPr>
        <w:t xml:space="preserve"> </w:t>
      </w:r>
      <w:r>
        <w:t>in</w:t>
      </w:r>
      <w:r>
        <w:rPr>
          <w:spacing w:val="-5"/>
        </w:rPr>
        <w:t xml:space="preserve"> </w:t>
      </w:r>
      <w:r>
        <w:t>their</w:t>
      </w:r>
      <w:r>
        <w:rPr>
          <w:spacing w:val="-3"/>
        </w:rPr>
        <w:t xml:space="preserve"> </w:t>
      </w:r>
      <w:r>
        <w:t>cost</w:t>
      </w:r>
      <w:r>
        <w:rPr>
          <w:spacing w:val="-3"/>
        </w:rPr>
        <w:t xml:space="preserve"> </w:t>
      </w:r>
      <w:r>
        <w:t>report</w:t>
      </w:r>
      <w:r>
        <w:rPr>
          <w:spacing w:val="-3"/>
        </w:rPr>
        <w:t xml:space="preserve"> </w:t>
      </w:r>
      <w:r>
        <w:t>for</w:t>
      </w:r>
      <w:r>
        <w:rPr>
          <w:spacing w:val="-3"/>
        </w:rPr>
        <w:t xml:space="preserve"> </w:t>
      </w:r>
      <w:r>
        <w:t>reimbursement.</w:t>
      </w:r>
      <w:r>
        <w:rPr>
          <w:spacing w:val="80"/>
        </w:rPr>
        <w:t xml:space="preserve"> </w:t>
      </w:r>
      <w:r>
        <w:t>A</w:t>
      </w:r>
      <w:r>
        <w:rPr>
          <w:spacing w:val="-4"/>
        </w:rPr>
        <w:t xml:space="preserve"> </w:t>
      </w:r>
      <w:r>
        <w:t>Medicare-certified</w:t>
      </w:r>
      <w:r>
        <w:rPr>
          <w:spacing w:val="-3"/>
        </w:rPr>
        <w:t xml:space="preserve"> </w:t>
      </w:r>
      <w:r>
        <w:t>provider</w:t>
      </w:r>
      <w:r>
        <w:rPr>
          <w:spacing w:val="-4"/>
        </w:rPr>
        <w:t xml:space="preserve"> </w:t>
      </w:r>
      <w:r>
        <w:t>includes</w:t>
      </w:r>
    </w:p>
    <w:p w:rsidR="00B60A79" w14:paraId="49378F81" w14:textId="77777777">
      <w:pPr>
        <w:sectPr>
          <w:type w:val="continuous"/>
          <w:pgSz w:w="12240" w:h="15840"/>
          <w:pgMar w:top="1380" w:right="1320" w:bottom="280" w:left="1340" w:header="720" w:footer="720" w:gutter="0"/>
          <w:cols w:space="720"/>
        </w:sectPr>
      </w:pPr>
    </w:p>
    <w:p w:rsidR="00B60A79" w14:paraId="73891A6E" w14:textId="77777777">
      <w:pPr>
        <w:pStyle w:val="BodyText"/>
        <w:spacing w:before="60"/>
        <w:ind w:left="819" w:right="186"/>
      </w:pPr>
      <w:r>
        <w:t>costs allocated from the home office cost statement in the provider’s costs used by CMS for</w:t>
      </w:r>
      <w:r>
        <w:rPr>
          <w:spacing w:val="-3"/>
        </w:rPr>
        <w:t xml:space="preserve"> </w:t>
      </w:r>
      <w:r>
        <w:t>rate</w:t>
      </w:r>
      <w:r>
        <w:rPr>
          <w:spacing w:val="-3"/>
        </w:rPr>
        <w:t xml:space="preserve"> </w:t>
      </w:r>
      <w:r>
        <w:t>setting;</w:t>
      </w:r>
      <w:r>
        <w:rPr>
          <w:spacing w:val="-3"/>
        </w:rPr>
        <w:t xml:space="preserve"> </w:t>
      </w:r>
      <w:r>
        <w:t>payment</w:t>
      </w:r>
      <w:r>
        <w:rPr>
          <w:spacing w:val="-4"/>
        </w:rPr>
        <w:t xml:space="preserve"> </w:t>
      </w:r>
      <w:r>
        <w:t>refinement</w:t>
      </w:r>
      <w:r>
        <w:rPr>
          <w:spacing w:val="-4"/>
        </w:rPr>
        <w:t xml:space="preserve"> </w:t>
      </w:r>
      <w:r>
        <w:t>activities,</w:t>
      </w:r>
      <w:r>
        <w:rPr>
          <w:spacing w:val="-4"/>
        </w:rPr>
        <w:t xml:space="preserve"> </w:t>
      </w:r>
      <w:r>
        <w:t>including</w:t>
      </w:r>
      <w:r>
        <w:rPr>
          <w:spacing w:val="-3"/>
        </w:rPr>
        <w:t xml:space="preserve"> </w:t>
      </w:r>
      <w:r>
        <w:t>developing</w:t>
      </w:r>
      <w:r>
        <w:rPr>
          <w:spacing w:val="-3"/>
        </w:rPr>
        <w:t xml:space="preserve"> </w:t>
      </w:r>
      <w:r>
        <w:t>a</w:t>
      </w:r>
      <w:r>
        <w:rPr>
          <w:spacing w:val="-4"/>
        </w:rPr>
        <w:t xml:space="preserve"> </w:t>
      </w:r>
      <w:r>
        <w:t>market</w:t>
      </w:r>
      <w:r>
        <w:rPr>
          <w:spacing w:val="-3"/>
        </w:rPr>
        <w:t xml:space="preserve"> </w:t>
      </w:r>
      <w:r>
        <w:t>basket;</w:t>
      </w:r>
      <w:r>
        <w:rPr>
          <w:spacing w:val="-4"/>
        </w:rPr>
        <w:t xml:space="preserve"> </w:t>
      </w:r>
      <w:r>
        <w:t>and Medicare Trust Fund projections; and to support program operations.</w:t>
      </w:r>
      <w:r>
        <w:rPr>
          <w:spacing w:val="80"/>
        </w:rPr>
        <w:t xml:space="preserve"> </w:t>
      </w:r>
      <w:r>
        <w:t>Additionally, the Medicare Payment Advisory Commission (</w:t>
      </w:r>
      <w:r>
        <w:t>MedPAC</w:t>
      </w:r>
      <w:r>
        <w:t>) uses the cost report data to calculate</w:t>
      </w:r>
      <w:r>
        <w:rPr>
          <w:spacing w:val="-2"/>
        </w:rPr>
        <w:t xml:space="preserve"> </w:t>
      </w:r>
      <w:r>
        <w:t>Medicare</w:t>
      </w:r>
      <w:r>
        <w:rPr>
          <w:spacing w:val="-1"/>
        </w:rPr>
        <w:t xml:space="preserve"> </w:t>
      </w:r>
      <w:r>
        <w:t>margins</w:t>
      </w:r>
      <w:r>
        <w:rPr>
          <w:spacing w:val="-1"/>
        </w:rPr>
        <w:t xml:space="preserve"> </w:t>
      </w:r>
      <w:r>
        <w:t>(a</w:t>
      </w:r>
      <w:r>
        <w:rPr>
          <w:spacing w:val="-2"/>
        </w:rPr>
        <w:t xml:space="preserve"> </w:t>
      </w:r>
      <w:r>
        <w:t>measure</w:t>
      </w:r>
      <w:r>
        <w:rPr>
          <w:spacing w:val="-1"/>
        </w:rPr>
        <w:t xml:space="preserve"> </w:t>
      </w:r>
      <w:r>
        <w:t>of</w:t>
      </w:r>
      <w:r>
        <w:rPr>
          <w:spacing w:val="-1"/>
        </w:rPr>
        <w:t xml:space="preserve"> </w:t>
      </w:r>
      <w:r>
        <w:t>the</w:t>
      </w:r>
      <w:r>
        <w:rPr>
          <w:spacing w:val="-1"/>
        </w:rPr>
        <w:t xml:space="preserve"> </w:t>
      </w:r>
      <w:r>
        <w:t>relationship</w:t>
      </w:r>
      <w:r>
        <w:rPr>
          <w:spacing w:val="-1"/>
        </w:rPr>
        <w:t xml:space="preserve"> </w:t>
      </w:r>
      <w:r>
        <w:t>between</w:t>
      </w:r>
      <w:r>
        <w:rPr>
          <w:spacing w:val="-1"/>
        </w:rPr>
        <w:t xml:space="preserve"> </w:t>
      </w:r>
      <w:r>
        <w:t>Medicare’s</w:t>
      </w:r>
      <w:r>
        <w:rPr>
          <w:spacing w:val="-1"/>
        </w:rPr>
        <w:t xml:space="preserve"> </w:t>
      </w:r>
      <w:r>
        <w:t>payments and providers’ Medicare costs) and analyze data to formulate Medicare Program recommendations to Congress.</w:t>
      </w:r>
    </w:p>
    <w:p w:rsidR="00B60A79" w14:paraId="6DC7F49B" w14:textId="77777777">
      <w:pPr>
        <w:pStyle w:val="BodyText"/>
        <w:ind w:left="0"/>
      </w:pPr>
    </w:p>
    <w:p w:rsidR="00B60A79" w14:paraId="2AFFC7E2" w14:textId="77777777">
      <w:pPr>
        <w:pStyle w:val="ListParagraph"/>
        <w:numPr>
          <w:ilvl w:val="1"/>
          <w:numId w:val="1"/>
        </w:numPr>
        <w:tabs>
          <w:tab w:val="left" w:pos="820"/>
        </w:tabs>
        <w:rPr>
          <w:sz w:val="24"/>
        </w:rPr>
      </w:pPr>
      <w:bookmarkStart w:id="3" w:name="2._Information_Users"/>
      <w:bookmarkEnd w:id="3"/>
      <w:r>
        <w:rPr>
          <w:sz w:val="24"/>
          <w:u w:val="single"/>
        </w:rPr>
        <w:t>Information</w:t>
      </w:r>
      <w:r>
        <w:rPr>
          <w:spacing w:val="-4"/>
          <w:sz w:val="24"/>
          <w:u w:val="single"/>
        </w:rPr>
        <w:t xml:space="preserve"> </w:t>
      </w:r>
      <w:r>
        <w:rPr>
          <w:spacing w:val="-2"/>
          <w:sz w:val="24"/>
          <w:u w:val="single"/>
        </w:rPr>
        <w:t>Users</w:t>
      </w:r>
    </w:p>
    <w:p w:rsidR="00B60A79" w14:paraId="31A40065" w14:textId="77777777">
      <w:pPr>
        <w:pStyle w:val="BodyText"/>
        <w:ind w:left="0"/>
      </w:pPr>
    </w:p>
    <w:p w:rsidR="00B60A79" w14:paraId="7BAFED9E" w14:textId="77777777">
      <w:pPr>
        <w:pStyle w:val="BodyText"/>
      </w:pPr>
      <w:r>
        <w:t>As</w:t>
      </w:r>
      <w:r>
        <w:rPr>
          <w:spacing w:val="-3"/>
        </w:rPr>
        <w:t xml:space="preserve"> </w:t>
      </w:r>
      <w:r>
        <w:t>its</w:t>
      </w:r>
      <w:r>
        <w:rPr>
          <w:spacing w:val="-3"/>
        </w:rPr>
        <w:t xml:space="preserve"> </w:t>
      </w:r>
      <w:r>
        <w:t>primary</w:t>
      </w:r>
      <w:r>
        <w:rPr>
          <w:spacing w:val="-3"/>
        </w:rPr>
        <w:t xml:space="preserve"> </w:t>
      </w:r>
      <w:r>
        <w:t>function,</w:t>
      </w:r>
      <w:r>
        <w:rPr>
          <w:spacing w:val="-5"/>
        </w:rPr>
        <w:t xml:space="preserve"> </w:t>
      </w:r>
      <w:r>
        <w:t>the</w:t>
      </w:r>
      <w:r>
        <w:rPr>
          <w:spacing w:val="-3"/>
        </w:rPr>
        <w:t xml:space="preserve"> </w:t>
      </w:r>
      <w:r>
        <w:t>home</w:t>
      </w:r>
      <w:r>
        <w:rPr>
          <w:spacing w:val="-3"/>
        </w:rPr>
        <w:t xml:space="preserve"> </w:t>
      </w:r>
      <w:r>
        <w:t>office</w:t>
      </w:r>
      <w:r>
        <w:rPr>
          <w:spacing w:val="-3"/>
        </w:rPr>
        <w:t xml:space="preserve"> </w:t>
      </w:r>
      <w:r>
        <w:t>cost</w:t>
      </w:r>
      <w:r>
        <w:rPr>
          <w:spacing w:val="-3"/>
        </w:rPr>
        <w:t xml:space="preserve"> </w:t>
      </w:r>
      <w:r>
        <w:t>statement</w:t>
      </w:r>
      <w:r>
        <w:rPr>
          <w:spacing w:val="-3"/>
        </w:rPr>
        <w:t xml:space="preserve"> </w:t>
      </w:r>
      <w:r>
        <w:t>provides</w:t>
      </w:r>
      <w:r>
        <w:rPr>
          <w:spacing w:val="-3"/>
        </w:rPr>
        <w:t xml:space="preserve"> </w:t>
      </w:r>
      <w:r>
        <w:t>the</w:t>
      </w:r>
      <w:r>
        <w:rPr>
          <w:spacing w:val="-3"/>
        </w:rPr>
        <w:t xml:space="preserve"> </w:t>
      </w:r>
      <w:r>
        <w:t>documentary</w:t>
      </w:r>
      <w:r>
        <w:rPr>
          <w:spacing w:val="-3"/>
        </w:rPr>
        <w:t xml:space="preserve"> </w:t>
      </w:r>
      <w:r>
        <w:t>support required for a Medicare provider to claim reimbursement for HO/CO costs in their Medicare cost report.</w:t>
      </w:r>
      <w:r>
        <w:rPr>
          <w:spacing w:val="80"/>
          <w:w w:val="150"/>
        </w:rPr>
        <w:t xml:space="preserve"> </w:t>
      </w:r>
      <w:r>
        <w:t>A HO/CO must submit an acceptable home office cost statement directly to the servicing contractors for each provider that received a home office cost allocation for reimbursement determinations.</w:t>
      </w:r>
      <w:r>
        <w:rPr>
          <w:spacing w:val="80"/>
        </w:rPr>
        <w:t xml:space="preserve"> </w:t>
      </w:r>
      <w:r>
        <w:t>Section 1874A of the Act describes the functions of the contractor.</w:t>
      </w:r>
    </w:p>
    <w:p w:rsidR="00B60A79" w14:paraId="273BB8D1" w14:textId="77777777">
      <w:pPr>
        <w:pStyle w:val="BodyText"/>
        <w:ind w:left="0"/>
      </w:pPr>
    </w:p>
    <w:p w:rsidR="00B60A79" w14:paraId="392DEB7D" w14:textId="77777777">
      <w:pPr>
        <w:pStyle w:val="BodyText"/>
        <w:ind w:left="819" w:right="208"/>
      </w:pPr>
      <w:r>
        <w:t>The home office cost statement schedules collect the cost data required to support home office costs claimed in a provider’s Medicare cost report.</w:t>
      </w:r>
      <w:r>
        <w:rPr>
          <w:spacing w:val="80"/>
          <w:w w:val="150"/>
        </w:rPr>
        <w:t xml:space="preserve"> </w:t>
      </w:r>
      <w:r>
        <w:t>The Schedule S includes the certification statement where the HO/CO attests to the accuracy of the information and allows the HO/CO the opportunity to electronically sign and electronically submit the home office cost statement.</w:t>
      </w:r>
      <w:r>
        <w:rPr>
          <w:spacing w:val="80"/>
        </w:rPr>
        <w:t xml:space="preserve"> </w:t>
      </w:r>
      <w:r>
        <w:t>The Schedule S-1 collects identifying data about the home office and key officers/employees of the home office.</w:t>
      </w:r>
      <w:r>
        <w:rPr>
          <w:spacing w:val="80"/>
        </w:rPr>
        <w:t xml:space="preserve"> </w:t>
      </w:r>
      <w:r>
        <w:t>The Schedule S-2 collects identifying</w:t>
      </w:r>
      <w:r>
        <w:rPr>
          <w:spacing w:val="-7"/>
        </w:rPr>
        <w:t xml:space="preserve"> </w:t>
      </w:r>
      <w:r>
        <w:t>information</w:t>
      </w:r>
      <w:r>
        <w:rPr>
          <w:spacing w:val="-7"/>
        </w:rPr>
        <w:t xml:space="preserve"> </w:t>
      </w:r>
      <w:r>
        <w:t>for</w:t>
      </w:r>
      <w:r>
        <w:rPr>
          <w:spacing w:val="-5"/>
        </w:rPr>
        <w:t xml:space="preserve"> </w:t>
      </w:r>
      <w:r>
        <w:t>healthcare</w:t>
      </w:r>
      <w:r>
        <w:rPr>
          <w:spacing w:val="-5"/>
        </w:rPr>
        <w:t xml:space="preserve"> </w:t>
      </w:r>
      <w:r>
        <w:t>provider</w:t>
      </w:r>
      <w:r>
        <w:rPr>
          <w:spacing w:val="-5"/>
        </w:rPr>
        <w:t xml:space="preserve"> </w:t>
      </w:r>
      <w:r>
        <w:t>components,</w:t>
      </w:r>
      <w:r>
        <w:rPr>
          <w:spacing w:val="-7"/>
        </w:rPr>
        <w:t xml:space="preserve"> </w:t>
      </w:r>
      <w:r>
        <w:t>non-healthcare</w:t>
      </w:r>
      <w:r>
        <w:rPr>
          <w:spacing w:val="-5"/>
        </w:rPr>
        <w:t xml:space="preserve"> </w:t>
      </w:r>
      <w:r>
        <w:t>components, and region/division components of the HO/CO; and provides the structure for reporting costs</w:t>
      </w:r>
      <w:r>
        <w:rPr>
          <w:spacing w:val="-1"/>
        </w:rPr>
        <w:t xml:space="preserve"> </w:t>
      </w:r>
      <w:r>
        <w:t>for</w:t>
      </w:r>
      <w:r>
        <w:rPr>
          <w:spacing w:val="-1"/>
        </w:rPr>
        <w:t xml:space="preserve"> </w:t>
      </w:r>
      <w:r>
        <w:t>those</w:t>
      </w:r>
      <w:r>
        <w:rPr>
          <w:spacing w:val="-1"/>
        </w:rPr>
        <w:t xml:space="preserve"> </w:t>
      </w:r>
      <w:r>
        <w:t>components.</w:t>
      </w:r>
      <w:r>
        <w:rPr>
          <w:spacing w:val="80"/>
          <w:w w:val="150"/>
        </w:rPr>
        <w:t xml:space="preserve"> </w:t>
      </w:r>
      <w:r>
        <w:t>The</w:t>
      </w:r>
      <w:r>
        <w:rPr>
          <w:spacing w:val="-1"/>
        </w:rPr>
        <w:t xml:space="preserve"> </w:t>
      </w:r>
      <w:r>
        <w:t>A</w:t>
      </w:r>
      <w:r>
        <w:rPr>
          <w:spacing w:val="-2"/>
        </w:rPr>
        <w:t xml:space="preserve"> </w:t>
      </w:r>
      <w:r>
        <w:t>series</w:t>
      </w:r>
      <w:r>
        <w:rPr>
          <w:spacing w:val="-1"/>
        </w:rPr>
        <w:t xml:space="preserve"> </w:t>
      </w:r>
      <w:r>
        <w:t>of</w:t>
      </w:r>
      <w:r>
        <w:rPr>
          <w:spacing w:val="-1"/>
        </w:rPr>
        <w:t xml:space="preserve"> </w:t>
      </w:r>
      <w:r>
        <w:t>schedules</w:t>
      </w:r>
      <w:r>
        <w:rPr>
          <w:spacing w:val="-1"/>
        </w:rPr>
        <w:t xml:space="preserve"> </w:t>
      </w:r>
      <w:r>
        <w:t>collects</w:t>
      </w:r>
      <w:r>
        <w:rPr>
          <w:spacing w:val="-1"/>
        </w:rPr>
        <w:t xml:space="preserve"> </w:t>
      </w:r>
      <w:r>
        <w:t>the</w:t>
      </w:r>
      <w:r>
        <w:rPr>
          <w:spacing w:val="-1"/>
        </w:rPr>
        <w:t xml:space="preserve"> </w:t>
      </w:r>
      <w:r>
        <w:t>HO/CO</w:t>
      </w:r>
      <w:r>
        <w:rPr>
          <w:spacing w:val="-2"/>
        </w:rPr>
        <w:t xml:space="preserve"> </w:t>
      </w:r>
      <w:r>
        <w:t>trial</w:t>
      </w:r>
      <w:r>
        <w:rPr>
          <w:spacing w:val="-1"/>
        </w:rPr>
        <w:t xml:space="preserve"> </w:t>
      </w:r>
      <w:r>
        <w:t>balance of expenses, reclassifications, and adjustments, for allocation of the HO/CO costs to its components.</w:t>
      </w:r>
      <w:r>
        <w:rPr>
          <w:spacing w:val="80"/>
        </w:rPr>
        <w:t xml:space="preserve"> </w:t>
      </w:r>
      <w:r>
        <w:t>On the B series of schedules, the home office directly allocates costs directly attributable to specific components.</w:t>
      </w:r>
      <w:r>
        <w:rPr>
          <w:spacing w:val="80"/>
          <w:w w:val="150"/>
        </w:rPr>
        <w:t xml:space="preserve"> </w:t>
      </w:r>
      <w:r>
        <w:t>On the C and D series of schedules, the HO/CO</w:t>
      </w:r>
      <w:r>
        <w:rPr>
          <w:spacing w:val="-2"/>
        </w:rPr>
        <w:t xml:space="preserve"> </w:t>
      </w:r>
      <w:r>
        <w:t>functionally</w:t>
      </w:r>
      <w:r>
        <w:rPr>
          <w:spacing w:val="-1"/>
        </w:rPr>
        <w:t xml:space="preserve"> </w:t>
      </w:r>
      <w:r>
        <w:t>allocates</w:t>
      </w:r>
      <w:r>
        <w:rPr>
          <w:spacing w:val="-2"/>
        </w:rPr>
        <w:t xml:space="preserve"> </w:t>
      </w:r>
      <w:r>
        <w:t>costs</w:t>
      </w:r>
      <w:r>
        <w:rPr>
          <w:spacing w:val="-2"/>
        </w:rPr>
        <w:t xml:space="preserve"> </w:t>
      </w:r>
      <w:r>
        <w:t>to</w:t>
      </w:r>
      <w:r>
        <w:rPr>
          <w:spacing w:val="-1"/>
        </w:rPr>
        <w:t xml:space="preserve"> </w:t>
      </w:r>
      <w:r>
        <w:t>components</w:t>
      </w:r>
      <w:r>
        <w:rPr>
          <w:spacing w:val="-1"/>
        </w:rPr>
        <w:t xml:space="preserve"> </w:t>
      </w:r>
      <w:r>
        <w:t>in</w:t>
      </w:r>
      <w:r>
        <w:rPr>
          <w:spacing w:val="-1"/>
        </w:rPr>
        <w:t xml:space="preserve"> </w:t>
      </w:r>
      <w:r>
        <w:t>a</w:t>
      </w:r>
      <w:r>
        <w:rPr>
          <w:spacing w:val="-2"/>
        </w:rPr>
        <w:t xml:space="preserve"> </w:t>
      </w:r>
      <w:r>
        <w:t>manner</w:t>
      </w:r>
      <w:r>
        <w:rPr>
          <w:spacing w:val="-1"/>
        </w:rPr>
        <w:t xml:space="preserve"> </w:t>
      </w:r>
      <w:r>
        <w:t>that</w:t>
      </w:r>
      <w:r>
        <w:rPr>
          <w:spacing w:val="-1"/>
        </w:rPr>
        <w:t xml:space="preserve"> </w:t>
      </w:r>
      <w:r>
        <w:t>reasonably</w:t>
      </w:r>
      <w:r>
        <w:rPr>
          <w:spacing w:val="-1"/>
        </w:rPr>
        <w:t xml:space="preserve"> </w:t>
      </w:r>
      <w:r>
        <w:t>relates</w:t>
      </w:r>
      <w:r>
        <w:rPr>
          <w:spacing w:val="-1"/>
        </w:rPr>
        <w:t xml:space="preserve"> </w:t>
      </w:r>
      <w:r>
        <w:t>to the services provided to the components.</w:t>
      </w:r>
      <w:r>
        <w:rPr>
          <w:spacing w:val="80"/>
          <w:w w:val="150"/>
        </w:rPr>
        <w:t xml:space="preserve"> </w:t>
      </w:r>
      <w:r>
        <w:t>On the E series of schedules, the HO/CO allocates pooled costs (costs not directly assigned or functionally allocated) to the components.</w:t>
      </w:r>
      <w:r>
        <w:rPr>
          <w:spacing w:val="80"/>
          <w:w w:val="150"/>
        </w:rPr>
        <w:t xml:space="preserve"> </w:t>
      </w:r>
      <w:r>
        <w:t>On the F series of schedule, the HO/CO summarizes the cost allocations by component.</w:t>
      </w:r>
      <w:r>
        <w:rPr>
          <w:spacing w:val="80"/>
          <w:w w:val="150"/>
        </w:rPr>
        <w:t xml:space="preserve"> </w:t>
      </w:r>
      <w:r>
        <w:t>On the G series of schedules, the HO/CO reports financial data from their balance sheet and income statement.</w:t>
      </w:r>
    </w:p>
    <w:p w:rsidR="00B60A79" w14:paraId="31AFF1C7" w14:textId="77777777">
      <w:pPr>
        <w:pStyle w:val="ListParagraph"/>
        <w:numPr>
          <w:ilvl w:val="1"/>
          <w:numId w:val="1"/>
        </w:numPr>
        <w:tabs>
          <w:tab w:val="left" w:pos="820"/>
        </w:tabs>
        <w:spacing w:before="240"/>
        <w:rPr>
          <w:sz w:val="24"/>
        </w:rPr>
      </w:pPr>
      <w:bookmarkStart w:id="4" w:name="3._Use_of_Information_Technology"/>
      <w:bookmarkEnd w:id="4"/>
      <w:r>
        <w:rPr>
          <w:sz w:val="24"/>
          <w:u w:val="single"/>
        </w:rPr>
        <w:t>Use</w:t>
      </w:r>
      <w:r>
        <w:rPr>
          <w:spacing w:val="-2"/>
          <w:sz w:val="24"/>
          <w:u w:val="single"/>
        </w:rPr>
        <w:t xml:space="preserve"> </w:t>
      </w:r>
      <w:r>
        <w:rPr>
          <w:sz w:val="24"/>
          <w:u w:val="single"/>
        </w:rPr>
        <w:t>of</w:t>
      </w:r>
      <w:r>
        <w:rPr>
          <w:spacing w:val="-2"/>
          <w:sz w:val="24"/>
          <w:u w:val="single"/>
        </w:rPr>
        <w:t xml:space="preserve"> </w:t>
      </w:r>
      <w:r>
        <w:rPr>
          <w:sz w:val="24"/>
          <w:u w:val="single"/>
        </w:rPr>
        <w:t>Information</w:t>
      </w:r>
      <w:r>
        <w:rPr>
          <w:spacing w:val="-1"/>
          <w:sz w:val="24"/>
          <w:u w:val="single"/>
        </w:rPr>
        <w:t xml:space="preserve"> </w:t>
      </w:r>
      <w:r>
        <w:rPr>
          <w:spacing w:val="-2"/>
          <w:sz w:val="24"/>
          <w:u w:val="single"/>
        </w:rPr>
        <w:t>Technology</w:t>
      </w:r>
    </w:p>
    <w:p w:rsidR="00B60A79" w14:paraId="45DB3131" w14:textId="77777777">
      <w:pPr>
        <w:pStyle w:val="BodyText"/>
        <w:ind w:left="0"/>
      </w:pPr>
    </w:p>
    <w:p w:rsidR="00B60A79" w14:paraId="04FAECBC" w14:textId="77777777">
      <w:pPr>
        <w:pStyle w:val="BodyText"/>
        <w:ind w:right="186"/>
      </w:pPr>
      <w:r>
        <w:t>To</w:t>
      </w:r>
      <w:r>
        <w:rPr>
          <w:spacing w:val="-3"/>
        </w:rPr>
        <w:t xml:space="preserve"> </w:t>
      </w:r>
      <w:r>
        <w:t>facilitate</w:t>
      </w:r>
      <w:r>
        <w:rPr>
          <w:spacing w:val="-4"/>
        </w:rPr>
        <w:t xml:space="preserve"> </w:t>
      </w:r>
      <w:r>
        <w:t>the</w:t>
      </w:r>
      <w:r>
        <w:rPr>
          <w:spacing w:val="-3"/>
        </w:rPr>
        <w:t xml:space="preserve"> </w:t>
      </w:r>
      <w:r>
        <w:t>efficient</w:t>
      </w:r>
      <w:r>
        <w:rPr>
          <w:spacing w:val="-4"/>
        </w:rPr>
        <w:t xml:space="preserve"> </w:t>
      </w:r>
      <w:r>
        <w:t>collection</w:t>
      </w:r>
      <w:r>
        <w:rPr>
          <w:spacing w:val="-5"/>
        </w:rPr>
        <w:t xml:space="preserve"> </w:t>
      </w:r>
      <w:r>
        <w:t>and</w:t>
      </w:r>
      <w:r>
        <w:rPr>
          <w:spacing w:val="-4"/>
        </w:rPr>
        <w:t xml:space="preserve"> </w:t>
      </w:r>
      <w:r>
        <w:t>ensure</w:t>
      </w:r>
      <w:r>
        <w:rPr>
          <w:spacing w:val="-3"/>
        </w:rPr>
        <w:t xml:space="preserve"> </w:t>
      </w:r>
      <w:r>
        <w:t>the</w:t>
      </w:r>
      <w:r>
        <w:rPr>
          <w:spacing w:val="-3"/>
        </w:rPr>
        <w:t xml:space="preserve"> </w:t>
      </w:r>
      <w:r>
        <w:t>mathematical</w:t>
      </w:r>
      <w:r>
        <w:rPr>
          <w:spacing w:val="-3"/>
        </w:rPr>
        <w:t xml:space="preserve"> </w:t>
      </w:r>
      <w:r>
        <w:t>accuracy</w:t>
      </w:r>
      <w:r>
        <w:rPr>
          <w:spacing w:val="-5"/>
        </w:rPr>
        <w:t xml:space="preserve"> </w:t>
      </w:r>
      <w:r>
        <w:t>of</w:t>
      </w:r>
      <w:r>
        <w:rPr>
          <w:spacing w:val="-3"/>
        </w:rPr>
        <w:t xml:space="preserve"> </w:t>
      </w:r>
      <w:r>
        <w:t>home</w:t>
      </w:r>
      <w:r>
        <w:rPr>
          <w:spacing w:val="-3"/>
        </w:rPr>
        <w:t xml:space="preserve"> </w:t>
      </w:r>
      <w:r>
        <w:t>office cost statement data, CMS requires that HO/COs submit cost reports to their contractor in a standard (ASCII) ECR format effective for reporting periods beginning on or after January 1, 2021.</w:t>
      </w:r>
    </w:p>
    <w:p w:rsidR="00B60A79" w14:paraId="2958AA29" w14:textId="77777777">
      <w:pPr>
        <w:pStyle w:val="BodyText"/>
        <w:ind w:left="0"/>
      </w:pPr>
    </w:p>
    <w:p w:rsidR="00B60A79" w14:paraId="4984B3C5" w14:textId="77777777">
      <w:pPr>
        <w:pStyle w:val="ListParagraph"/>
        <w:numPr>
          <w:ilvl w:val="1"/>
          <w:numId w:val="1"/>
        </w:numPr>
        <w:tabs>
          <w:tab w:val="left" w:pos="820"/>
        </w:tabs>
        <w:rPr>
          <w:sz w:val="24"/>
        </w:rPr>
      </w:pPr>
      <w:bookmarkStart w:id="5" w:name="4._Duplication_of_Efforts"/>
      <w:bookmarkEnd w:id="5"/>
      <w:r>
        <w:rPr>
          <w:sz w:val="24"/>
          <w:u w:val="single"/>
        </w:rPr>
        <w:t>Duplication</w:t>
      </w:r>
      <w:r>
        <w:rPr>
          <w:spacing w:val="-3"/>
          <w:sz w:val="24"/>
          <w:u w:val="single"/>
        </w:rPr>
        <w:t xml:space="preserve"> </w:t>
      </w:r>
      <w:r>
        <w:rPr>
          <w:sz w:val="24"/>
          <w:u w:val="single"/>
        </w:rPr>
        <w:t>of</w:t>
      </w:r>
      <w:r>
        <w:rPr>
          <w:spacing w:val="-1"/>
          <w:sz w:val="24"/>
          <w:u w:val="single"/>
        </w:rPr>
        <w:t xml:space="preserve"> </w:t>
      </w:r>
      <w:r>
        <w:rPr>
          <w:spacing w:val="-2"/>
          <w:sz w:val="24"/>
          <w:u w:val="single"/>
        </w:rPr>
        <w:t>Efforts</w:t>
      </w:r>
    </w:p>
    <w:p w:rsidR="00B60A79" w14:paraId="02F17459" w14:textId="77777777">
      <w:pPr>
        <w:pStyle w:val="BodyText"/>
        <w:ind w:left="0"/>
      </w:pPr>
    </w:p>
    <w:p w:rsidR="00B60A79" w14:paraId="04091D67" w14:textId="77777777">
      <w:pPr>
        <w:pStyle w:val="BodyText"/>
        <w:ind w:right="133"/>
      </w:pPr>
      <w:r>
        <w:t>The</w:t>
      </w:r>
      <w:r>
        <w:rPr>
          <w:spacing w:val="-3"/>
        </w:rPr>
        <w:t xml:space="preserve"> </w:t>
      </w:r>
      <w:r>
        <w:t>information</w:t>
      </w:r>
      <w:r>
        <w:rPr>
          <w:spacing w:val="-3"/>
        </w:rPr>
        <w:t xml:space="preserve"> </w:t>
      </w:r>
      <w:r>
        <w:t>collection</w:t>
      </w:r>
      <w:r>
        <w:rPr>
          <w:spacing w:val="-3"/>
        </w:rPr>
        <w:t xml:space="preserve"> </w:t>
      </w:r>
      <w:r>
        <w:t>does</w:t>
      </w:r>
      <w:r>
        <w:rPr>
          <w:spacing w:val="-3"/>
        </w:rPr>
        <w:t xml:space="preserve"> </w:t>
      </w:r>
      <w:r>
        <w:t>not</w:t>
      </w:r>
      <w:r>
        <w:rPr>
          <w:spacing w:val="-4"/>
        </w:rPr>
        <w:t xml:space="preserve"> </w:t>
      </w:r>
      <w:r>
        <w:t>duplicate</w:t>
      </w:r>
      <w:r>
        <w:rPr>
          <w:spacing w:val="-3"/>
        </w:rPr>
        <w:t xml:space="preserve"> </w:t>
      </w:r>
      <w:r>
        <w:t>any</w:t>
      </w:r>
      <w:r>
        <w:rPr>
          <w:spacing w:val="-3"/>
        </w:rPr>
        <w:t xml:space="preserve"> </w:t>
      </w:r>
      <w:r>
        <w:t>other</w:t>
      </w:r>
      <w:r>
        <w:rPr>
          <w:spacing w:val="-3"/>
        </w:rPr>
        <w:t xml:space="preserve"> </w:t>
      </w:r>
      <w:r>
        <w:t>effort</w:t>
      </w:r>
      <w:r>
        <w:rPr>
          <w:spacing w:val="-3"/>
        </w:rPr>
        <w:t xml:space="preserve"> </w:t>
      </w:r>
      <w:r>
        <w:t>and</w:t>
      </w:r>
      <w:r>
        <w:rPr>
          <w:spacing w:val="-3"/>
        </w:rPr>
        <w:t xml:space="preserve"> </w:t>
      </w:r>
      <w:r>
        <w:t>the</w:t>
      </w:r>
      <w:r>
        <w:rPr>
          <w:spacing w:val="-4"/>
        </w:rPr>
        <w:t xml:space="preserve"> </w:t>
      </w:r>
      <w:r>
        <w:t>information</w:t>
      </w:r>
      <w:r>
        <w:rPr>
          <w:spacing w:val="-3"/>
        </w:rPr>
        <w:t xml:space="preserve"> </w:t>
      </w:r>
      <w:r>
        <w:t>cannot be obtained from any other source.</w:t>
      </w:r>
    </w:p>
    <w:p w:rsidR="00B60A79" w14:paraId="6CB9AC32" w14:textId="77777777">
      <w:pPr>
        <w:sectPr>
          <w:pgSz w:w="12240" w:h="15840"/>
          <w:pgMar w:top="1380" w:right="1320" w:bottom="280" w:left="1340" w:header="720" w:footer="720" w:gutter="0"/>
          <w:cols w:space="720"/>
        </w:sectPr>
      </w:pPr>
    </w:p>
    <w:p w:rsidR="00B60A79" w14:paraId="2A0FD857" w14:textId="77777777">
      <w:pPr>
        <w:pStyle w:val="ListParagraph"/>
        <w:numPr>
          <w:ilvl w:val="1"/>
          <w:numId w:val="1"/>
        </w:numPr>
        <w:tabs>
          <w:tab w:val="left" w:pos="820"/>
        </w:tabs>
        <w:spacing w:before="172"/>
        <w:rPr>
          <w:sz w:val="24"/>
        </w:rPr>
      </w:pPr>
      <w:bookmarkStart w:id="6" w:name="5._Small_Business"/>
      <w:bookmarkEnd w:id="6"/>
      <w:r>
        <w:rPr>
          <w:sz w:val="24"/>
          <w:u w:val="single"/>
        </w:rPr>
        <w:t>Small</w:t>
      </w:r>
      <w:r>
        <w:rPr>
          <w:spacing w:val="-3"/>
          <w:sz w:val="24"/>
          <w:u w:val="single"/>
        </w:rPr>
        <w:t xml:space="preserve"> </w:t>
      </w:r>
      <w:r>
        <w:rPr>
          <w:spacing w:val="-2"/>
          <w:sz w:val="24"/>
          <w:u w:val="single"/>
        </w:rPr>
        <w:t>Business</w:t>
      </w:r>
    </w:p>
    <w:p w:rsidR="00B60A79" w14:paraId="3CEB5899" w14:textId="77777777">
      <w:pPr>
        <w:pStyle w:val="BodyText"/>
        <w:ind w:left="0"/>
      </w:pPr>
    </w:p>
    <w:p w:rsidR="00B60A79" w14:paraId="2BB2BB00" w14:textId="77777777">
      <w:pPr>
        <w:pStyle w:val="BodyText"/>
        <w:ind w:left="819" w:right="186"/>
      </w:pPr>
      <w:r>
        <w:t>CMS designed this home office cost statement with a view toward minimizing the reporting</w:t>
      </w:r>
      <w:r>
        <w:rPr>
          <w:spacing w:val="-2"/>
        </w:rPr>
        <w:t xml:space="preserve"> </w:t>
      </w:r>
      <w:r>
        <w:t>burden.</w:t>
      </w:r>
      <w:r>
        <w:rPr>
          <w:spacing w:val="80"/>
          <w:w w:val="150"/>
        </w:rPr>
        <w:t xml:space="preserve"> </w:t>
      </w:r>
      <w:r>
        <w:t>CMS</w:t>
      </w:r>
      <w:r>
        <w:rPr>
          <w:spacing w:val="-3"/>
        </w:rPr>
        <w:t xml:space="preserve"> </w:t>
      </w:r>
      <w:r>
        <w:t>collects</w:t>
      </w:r>
      <w:r>
        <w:rPr>
          <w:spacing w:val="-3"/>
        </w:rPr>
        <w:t xml:space="preserve"> </w:t>
      </w:r>
      <w:r>
        <w:t>the</w:t>
      </w:r>
      <w:r>
        <w:rPr>
          <w:spacing w:val="-3"/>
        </w:rPr>
        <w:t xml:space="preserve"> </w:t>
      </w:r>
      <w:r>
        <w:t>form</w:t>
      </w:r>
      <w:r>
        <w:rPr>
          <w:spacing w:val="-2"/>
        </w:rPr>
        <w:t xml:space="preserve"> </w:t>
      </w:r>
      <w:r>
        <w:t>as</w:t>
      </w:r>
      <w:r>
        <w:rPr>
          <w:spacing w:val="-2"/>
        </w:rPr>
        <w:t xml:space="preserve"> </w:t>
      </w:r>
      <w:r>
        <w:t>infrequently</w:t>
      </w:r>
      <w:r>
        <w:rPr>
          <w:spacing w:val="-4"/>
        </w:rPr>
        <w:t xml:space="preserve"> </w:t>
      </w:r>
      <w:r>
        <w:t>as</w:t>
      </w:r>
      <w:r>
        <w:rPr>
          <w:spacing w:val="-3"/>
        </w:rPr>
        <w:t xml:space="preserve"> </w:t>
      </w:r>
      <w:r>
        <w:t>possible</w:t>
      </w:r>
      <w:r>
        <w:rPr>
          <w:spacing w:val="-3"/>
        </w:rPr>
        <w:t xml:space="preserve"> </w:t>
      </w:r>
      <w:r>
        <w:t>(annually)</w:t>
      </w:r>
      <w:r>
        <w:rPr>
          <w:spacing w:val="-2"/>
        </w:rPr>
        <w:t xml:space="preserve"> </w:t>
      </w:r>
      <w:r>
        <w:t>and</w:t>
      </w:r>
      <w:r>
        <w:rPr>
          <w:spacing w:val="-4"/>
        </w:rPr>
        <w:t xml:space="preserve"> </w:t>
      </w:r>
      <w:r>
        <w:t>only the schedules necessary to determine proper cost allocation are required.</w:t>
      </w:r>
    </w:p>
    <w:p w:rsidR="00B60A79" w14:paraId="02BCCB8A" w14:textId="77777777">
      <w:pPr>
        <w:pStyle w:val="BodyText"/>
        <w:ind w:left="0"/>
      </w:pPr>
    </w:p>
    <w:p w:rsidR="00B60A79" w14:paraId="1FD92D20" w14:textId="77777777">
      <w:pPr>
        <w:pStyle w:val="ListParagraph"/>
        <w:numPr>
          <w:ilvl w:val="1"/>
          <w:numId w:val="1"/>
        </w:numPr>
        <w:tabs>
          <w:tab w:val="left" w:pos="820"/>
        </w:tabs>
        <w:rPr>
          <w:sz w:val="24"/>
        </w:rPr>
      </w:pPr>
      <w:bookmarkStart w:id="7" w:name="6._Less_Frequent_Collection"/>
      <w:bookmarkEnd w:id="7"/>
      <w:r>
        <w:rPr>
          <w:sz w:val="24"/>
          <w:u w:val="single"/>
        </w:rPr>
        <w:t>Less</w:t>
      </w:r>
      <w:r>
        <w:rPr>
          <w:spacing w:val="-2"/>
          <w:sz w:val="24"/>
          <w:u w:val="single"/>
        </w:rPr>
        <w:t xml:space="preserve"> </w:t>
      </w:r>
      <w:r>
        <w:rPr>
          <w:sz w:val="24"/>
          <w:u w:val="single"/>
        </w:rPr>
        <w:t>Frequent</w:t>
      </w:r>
      <w:r>
        <w:rPr>
          <w:spacing w:val="-1"/>
          <w:sz w:val="24"/>
          <w:u w:val="single"/>
        </w:rPr>
        <w:t xml:space="preserve"> </w:t>
      </w:r>
      <w:r>
        <w:rPr>
          <w:spacing w:val="-2"/>
          <w:sz w:val="24"/>
          <w:u w:val="single"/>
        </w:rPr>
        <w:t>Collection</w:t>
      </w:r>
    </w:p>
    <w:p w:rsidR="00B60A79" w14:paraId="69A4DCBF" w14:textId="77777777">
      <w:pPr>
        <w:pStyle w:val="BodyText"/>
        <w:ind w:left="0"/>
      </w:pPr>
    </w:p>
    <w:p w:rsidR="00B60A79" w14:paraId="74B57E19" w14:textId="77777777">
      <w:pPr>
        <w:pStyle w:val="BodyText"/>
      </w:pPr>
      <w:r>
        <w:t>Under</w:t>
      </w:r>
      <w:r>
        <w:rPr>
          <w:spacing w:val="-3"/>
        </w:rPr>
        <w:t xml:space="preserve"> </w:t>
      </w:r>
      <w:r>
        <w:t>the</w:t>
      </w:r>
      <w:r>
        <w:rPr>
          <w:spacing w:val="-2"/>
        </w:rPr>
        <w:t xml:space="preserve"> </w:t>
      </w:r>
      <w:r>
        <w:t>authority</w:t>
      </w:r>
      <w:r>
        <w:rPr>
          <w:spacing w:val="-1"/>
        </w:rPr>
        <w:t xml:space="preserve"> </w:t>
      </w:r>
      <w:r>
        <w:t>of</w:t>
      </w:r>
      <w:r>
        <w:rPr>
          <w:spacing w:val="-1"/>
        </w:rPr>
        <w:t xml:space="preserve"> </w:t>
      </w:r>
      <w:r>
        <w:t>1861(v)(1)(F)</w:t>
      </w:r>
      <w:r>
        <w:rPr>
          <w:spacing w:val="-2"/>
        </w:rPr>
        <w:t xml:space="preserve"> </w:t>
      </w:r>
      <w:r>
        <w:t>of</w:t>
      </w:r>
      <w:r>
        <w:rPr>
          <w:spacing w:val="-1"/>
        </w:rPr>
        <w:t xml:space="preserve"> </w:t>
      </w:r>
      <w:r>
        <w:t>the</w:t>
      </w:r>
      <w:r>
        <w:rPr>
          <w:spacing w:val="-1"/>
        </w:rPr>
        <w:t xml:space="preserve"> </w:t>
      </w:r>
      <w:r>
        <w:t>Act,</w:t>
      </w:r>
      <w:r>
        <w:rPr>
          <w:spacing w:val="-2"/>
        </w:rPr>
        <w:t xml:space="preserve"> </w:t>
      </w:r>
      <w:r>
        <w:t>as</w:t>
      </w:r>
      <w:r>
        <w:rPr>
          <w:spacing w:val="-2"/>
        </w:rPr>
        <w:t xml:space="preserve"> </w:t>
      </w:r>
      <w:r>
        <w:t>defined</w:t>
      </w:r>
      <w:r>
        <w:rPr>
          <w:spacing w:val="-1"/>
        </w:rPr>
        <w:t xml:space="preserve"> </w:t>
      </w:r>
      <w:r>
        <w:t>in</w:t>
      </w:r>
      <w:r>
        <w:rPr>
          <w:spacing w:val="-2"/>
        </w:rPr>
        <w:t xml:space="preserve"> </w:t>
      </w:r>
      <w:r>
        <w:t>regulations</w:t>
      </w:r>
      <w:r>
        <w:rPr>
          <w:spacing w:val="-2"/>
        </w:rPr>
        <w:t xml:space="preserve"> </w:t>
      </w:r>
      <w:r>
        <w:t>at</w:t>
      </w:r>
      <w:r>
        <w:rPr>
          <w:spacing w:val="-1"/>
        </w:rPr>
        <w:t xml:space="preserve"> </w:t>
      </w:r>
      <w:r>
        <w:t>42</w:t>
      </w:r>
      <w:r>
        <w:rPr>
          <w:spacing w:val="-1"/>
        </w:rPr>
        <w:t xml:space="preserve"> </w:t>
      </w:r>
      <w:r>
        <w:rPr>
          <w:spacing w:val="-5"/>
        </w:rPr>
        <w:t>CFR</w:t>
      </w:r>
    </w:p>
    <w:p w:rsidR="00B60A79" w14:paraId="71B388CE" w14:textId="77777777">
      <w:pPr>
        <w:pStyle w:val="BodyText"/>
        <w:ind w:right="166"/>
      </w:pPr>
      <w:r>
        <w:t>413.20 and 413.24, CMS requires that each provider submit the cost report on an annual basis with the reporting period based on the provider’s accounting period, which is generally 12 consecutive calendar months.</w:t>
      </w:r>
      <w:r>
        <w:rPr>
          <w:spacing w:val="80"/>
        </w:rPr>
        <w:t xml:space="preserve"> </w:t>
      </w:r>
      <w:r>
        <w:t>Additionally, under the authority of the regulations</w:t>
      </w:r>
      <w:r>
        <w:rPr>
          <w:spacing w:val="-4"/>
        </w:rPr>
        <w:t xml:space="preserve"> </w:t>
      </w:r>
      <w:r>
        <w:t>at</w:t>
      </w:r>
      <w:r>
        <w:rPr>
          <w:spacing w:val="-3"/>
        </w:rPr>
        <w:t xml:space="preserve"> </w:t>
      </w:r>
      <w:r>
        <w:t>42</w:t>
      </w:r>
      <w:r>
        <w:rPr>
          <w:spacing w:val="-3"/>
        </w:rPr>
        <w:t xml:space="preserve"> </w:t>
      </w:r>
      <w:r>
        <w:t>CFR</w:t>
      </w:r>
      <w:r>
        <w:rPr>
          <w:spacing w:val="-4"/>
        </w:rPr>
        <w:t xml:space="preserve"> </w:t>
      </w:r>
      <w:r>
        <w:t>413.24(f)(5)(</w:t>
      </w:r>
      <w:r>
        <w:t>i</w:t>
      </w:r>
      <w:r>
        <w:t>)(E)(1)</w:t>
      </w:r>
      <w:r>
        <w:rPr>
          <w:spacing w:val="-3"/>
        </w:rPr>
        <w:t xml:space="preserve"> </w:t>
      </w:r>
      <w:r>
        <w:t>and</w:t>
      </w:r>
      <w:r>
        <w:rPr>
          <w:spacing w:val="-3"/>
        </w:rPr>
        <w:t xml:space="preserve"> </w:t>
      </w:r>
      <w:r>
        <w:t>(2),</w:t>
      </w:r>
      <w:r>
        <w:rPr>
          <w:spacing w:val="-3"/>
        </w:rPr>
        <w:t xml:space="preserve"> </w:t>
      </w:r>
      <w:r>
        <w:t>CMS</w:t>
      </w:r>
      <w:r>
        <w:rPr>
          <w:spacing w:val="-4"/>
        </w:rPr>
        <w:t xml:space="preserve"> </w:t>
      </w:r>
      <w:r>
        <w:t>requires</w:t>
      </w:r>
      <w:r>
        <w:rPr>
          <w:spacing w:val="-4"/>
        </w:rPr>
        <w:t xml:space="preserve"> </w:t>
      </w:r>
      <w:r>
        <w:t>that</w:t>
      </w:r>
      <w:r>
        <w:rPr>
          <w:spacing w:val="-4"/>
        </w:rPr>
        <w:t xml:space="preserve"> </w:t>
      </w:r>
      <w:r>
        <w:t>an</w:t>
      </w:r>
      <w:r>
        <w:rPr>
          <w:spacing w:val="-5"/>
        </w:rPr>
        <w:t xml:space="preserve"> </w:t>
      </w:r>
      <w:r>
        <w:t>acceptable</w:t>
      </w:r>
      <w:r>
        <w:rPr>
          <w:spacing w:val="-4"/>
        </w:rPr>
        <w:t xml:space="preserve"> </w:t>
      </w:r>
      <w:r>
        <w:t>cost report submission from a provider claiming costs allocated from a HO/CO include a home office</w:t>
      </w:r>
      <w:r>
        <w:rPr>
          <w:spacing w:val="-1"/>
        </w:rPr>
        <w:t xml:space="preserve"> </w:t>
      </w:r>
      <w:r>
        <w:t>cost statement that corresponds to the amounts allocated from</w:t>
      </w:r>
      <w:r>
        <w:rPr>
          <w:spacing w:val="-1"/>
        </w:rPr>
        <w:t xml:space="preserve"> </w:t>
      </w:r>
      <w:r>
        <w:t>the HO/CO to the provider.</w:t>
      </w:r>
      <w:r>
        <w:rPr>
          <w:spacing w:val="80"/>
          <w:w w:val="150"/>
        </w:rPr>
        <w:t xml:space="preserve"> </w:t>
      </w:r>
      <w:r>
        <w:t>A less frequent collection would impede the annual rate setting process and adversely affect provider payments.</w:t>
      </w:r>
    </w:p>
    <w:p w:rsidR="00B60A79" w14:paraId="0F942D44" w14:textId="77777777">
      <w:pPr>
        <w:pStyle w:val="BodyText"/>
        <w:ind w:left="0"/>
      </w:pPr>
    </w:p>
    <w:p w:rsidR="00B60A79" w14:paraId="429948DE" w14:textId="77777777">
      <w:pPr>
        <w:pStyle w:val="ListParagraph"/>
        <w:numPr>
          <w:ilvl w:val="1"/>
          <w:numId w:val="1"/>
        </w:numPr>
        <w:tabs>
          <w:tab w:val="left" w:pos="820"/>
        </w:tabs>
        <w:rPr>
          <w:sz w:val="24"/>
        </w:rPr>
      </w:pPr>
      <w:bookmarkStart w:id="8" w:name="7._Special_Circumstances"/>
      <w:bookmarkEnd w:id="8"/>
      <w:r>
        <w:rPr>
          <w:sz w:val="24"/>
          <w:u w:val="single"/>
        </w:rPr>
        <w:t>Special</w:t>
      </w:r>
      <w:r>
        <w:rPr>
          <w:spacing w:val="-1"/>
          <w:sz w:val="24"/>
          <w:u w:val="single"/>
        </w:rPr>
        <w:t xml:space="preserve"> </w:t>
      </w:r>
      <w:r>
        <w:rPr>
          <w:spacing w:val="-2"/>
          <w:sz w:val="24"/>
          <w:u w:val="single"/>
        </w:rPr>
        <w:t>Circumstances</w:t>
      </w:r>
    </w:p>
    <w:p w:rsidR="00B60A79" w14:paraId="0D8D4B36" w14:textId="77777777">
      <w:pPr>
        <w:pStyle w:val="BodyText"/>
        <w:ind w:left="0"/>
      </w:pPr>
    </w:p>
    <w:p w:rsidR="00B60A79" w14:paraId="008B12F0" w14:textId="77777777">
      <w:pPr>
        <w:pStyle w:val="BodyText"/>
        <w:spacing w:before="1"/>
        <w:ind w:right="133"/>
      </w:pPr>
      <w:r>
        <w:t>This</w:t>
      </w:r>
      <w:r>
        <w:rPr>
          <w:spacing w:val="-4"/>
        </w:rPr>
        <w:t xml:space="preserve"> </w:t>
      </w:r>
      <w:r>
        <w:t>information</w:t>
      </w:r>
      <w:r>
        <w:rPr>
          <w:spacing w:val="-4"/>
        </w:rPr>
        <w:t xml:space="preserve"> </w:t>
      </w:r>
      <w:r>
        <w:t>collection</w:t>
      </w:r>
      <w:r>
        <w:rPr>
          <w:spacing w:val="-4"/>
        </w:rPr>
        <w:t xml:space="preserve"> </w:t>
      </w:r>
      <w:r>
        <w:t>complies</w:t>
      </w:r>
      <w:r>
        <w:rPr>
          <w:spacing w:val="-4"/>
        </w:rPr>
        <w:t xml:space="preserve"> </w:t>
      </w:r>
      <w:r>
        <w:t>with</w:t>
      </w:r>
      <w:r>
        <w:rPr>
          <w:spacing w:val="-4"/>
        </w:rPr>
        <w:t xml:space="preserve"> </w:t>
      </w:r>
      <w:r>
        <w:t>all</w:t>
      </w:r>
      <w:r>
        <w:rPr>
          <w:spacing w:val="-4"/>
        </w:rPr>
        <w:t xml:space="preserve"> </w:t>
      </w:r>
      <w:r>
        <w:t>general</w:t>
      </w:r>
      <w:r>
        <w:rPr>
          <w:spacing w:val="-5"/>
        </w:rPr>
        <w:t xml:space="preserve"> </w:t>
      </w:r>
      <w:r>
        <w:t>information</w:t>
      </w:r>
      <w:r>
        <w:rPr>
          <w:spacing w:val="-4"/>
        </w:rPr>
        <w:t xml:space="preserve"> </w:t>
      </w:r>
      <w:r>
        <w:t>collection</w:t>
      </w:r>
      <w:r>
        <w:rPr>
          <w:spacing w:val="-4"/>
        </w:rPr>
        <w:t xml:space="preserve"> </w:t>
      </w:r>
      <w:r>
        <w:t>guidelines</w:t>
      </w:r>
      <w:r>
        <w:rPr>
          <w:spacing w:val="-4"/>
        </w:rPr>
        <w:t xml:space="preserve"> </w:t>
      </w:r>
      <w:r>
        <w:t>in 5 CFR 1320.6.</w:t>
      </w:r>
    </w:p>
    <w:p w:rsidR="00B60A79" w14:paraId="72623D21" w14:textId="77777777">
      <w:pPr>
        <w:pStyle w:val="ListParagraph"/>
        <w:numPr>
          <w:ilvl w:val="1"/>
          <w:numId w:val="1"/>
        </w:numPr>
        <w:tabs>
          <w:tab w:val="left" w:pos="820"/>
        </w:tabs>
        <w:spacing w:before="274"/>
        <w:rPr>
          <w:sz w:val="24"/>
        </w:rPr>
      </w:pPr>
      <w:bookmarkStart w:id="9" w:name="8._Federal_Register_Notice"/>
      <w:bookmarkEnd w:id="9"/>
      <w:r>
        <w:rPr>
          <w:sz w:val="24"/>
          <w:u w:val="single"/>
        </w:rPr>
        <w:t>Federal</w:t>
      </w:r>
      <w:r>
        <w:rPr>
          <w:spacing w:val="-3"/>
          <w:sz w:val="24"/>
          <w:u w:val="single"/>
        </w:rPr>
        <w:t xml:space="preserve"> </w:t>
      </w:r>
      <w:r>
        <w:rPr>
          <w:sz w:val="24"/>
          <w:u w:val="single"/>
        </w:rPr>
        <w:t>Register</w:t>
      </w:r>
      <w:r>
        <w:rPr>
          <w:spacing w:val="-2"/>
          <w:sz w:val="24"/>
          <w:u w:val="single"/>
        </w:rPr>
        <w:t xml:space="preserve"> Notice</w:t>
      </w:r>
    </w:p>
    <w:p w:rsidR="00B60A79" w14:paraId="3DD000D1" w14:textId="77777777">
      <w:pPr>
        <w:pStyle w:val="BodyText"/>
        <w:ind w:left="0"/>
      </w:pPr>
    </w:p>
    <w:p w:rsidR="00B60A79" w14:paraId="6FBC319B" w14:textId="3F9A5DEE">
      <w:pPr>
        <w:pStyle w:val="BodyText"/>
        <w:tabs>
          <w:tab w:val="left" w:pos="7911"/>
        </w:tabs>
        <w:rPr>
          <w:bCs/>
          <w:spacing w:val="-10"/>
        </w:rPr>
      </w:pPr>
      <w:r>
        <w:t>The 60-day</w:t>
      </w:r>
      <w:r>
        <w:rPr>
          <w:spacing w:val="-1"/>
        </w:rPr>
        <w:t xml:space="preserve"> </w:t>
      </w:r>
      <w:r>
        <w:t>Federal Register notice (</w:t>
      </w:r>
      <w:r w:rsidRPr="002923F1">
        <w:t>89 FR 50338</w:t>
      </w:r>
      <w:r>
        <w:t xml:space="preserve">) was published on </w:t>
      </w:r>
      <w:r w:rsidRPr="002923F1">
        <w:rPr>
          <w:bCs/>
        </w:rPr>
        <w:t>6/13/2024</w:t>
      </w:r>
      <w:r w:rsidRPr="002923F1">
        <w:rPr>
          <w:bCs/>
          <w:spacing w:val="-10"/>
        </w:rPr>
        <w:t>.</w:t>
      </w:r>
    </w:p>
    <w:p w:rsidR="002923F1" w14:paraId="770A2D37" w14:textId="404F4870">
      <w:pPr>
        <w:pStyle w:val="BodyText"/>
        <w:tabs>
          <w:tab w:val="left" w:pos="7911"/>
        </w:tabs>
        <w:rPr>
          <w:b/>
          <w:spacing w:val="-10"/>
        </w:rPr>
      </w:pPr>
      <w:r>
        <w:rPr>
          <w:bCs/>
          <w:spacing w:val="-10"/>
        </w:rPr>
        <w:t xml:space="preserve">No comments were received during the 60-day comment period. </w:t>
      </w:r>
    </w:p>
    <w:p w:rsidR="002923F1" w14:paraId="46FE36FB" w14:textId="77777777">
      <w:pPr>
        <w:pStyle w:val="BodyText"/>
        <w:tabs>
          <w:tab w:val="left" w:pos="7911"/>
        </w:tabs>
        <w:rPr>
          <w:b/>
          <w:spacing w:val="-10"/>
        </w:rPr>
      </w:pPr>
    </w:p>
    <w:p w:rsidR="002923F1" w14:paraId="2FBCD644" w14:textId="78C1D9CB">
      <w:pPr>
        <w:pStyle w:val="BodyText"/>
        <w:tabs>
          <w:tab w:val="left" w:pos="7911"/>
        </w:tabs>
        <w:rPr>
          <w:b/>
        </w:rPr>
      </w:pPr>
      <w:r>
        <w:t>The 30-day</w:t>
      </w:r>
      <w:r>
        <w:rPr>
          <w:spacing w:val="-1"/>
        </w:rPr>
        <w:t xml:space="preserve"> </w:t>
      </w:r>
      <w:r>
        <w:t xml:space="preserve">Federal Register notice </w:t>
      </w:r>
      <w:r w:rsidR="0061135D">
        <w:t>(</w:t>
      </w:r>
      <w:r w:rsidRPr="0061135D" w:rsidR="0061135D">
        <w:t>89 FR 70191</w:t>
      </w:r>
      <w:r w:rsidR="0061135D">
        <w:t>)</w:t>
      </w:r>
      <w:r>
        <w:t xml:space="preserve"> published on </w:t>
      </w:r>
      <w:r w:rsidRPr="0061135D" w:rsidR="0061135D">
        <w:rPr>
          <w:bCs/>
        </w:rPr>
        <w:t>8/29/2024</w:t>
      </w:r>
      <w:r>
        <w:rPr>
          <w:b/>
          <w:spacing w:val="-10"/>
        </w:rPr>
        <w:t>.</w:t>
      </w:r>
    </w:p>
    <w:p w:rsidR="00B60A79" w14:paraId="21C805CA" w14:textId="77777777">
      <w:pPr>
        <w:pStyle w:val="BodyText"/>
        <w:ind w:left="0"/>
        <w:rPr>
          <w:b/>
        </w:rPr>
      </w:pPr>
    </w:p>
    <w:p w:rsidR="00B60A79" w14:paraId="1192E13D" w14:textId="77777777">
      <w:pPr>
        <w:pStyle w:val="ListParagraph"/>
        <w:numPr>
          <w:ilvl w:val="1"/>
          <w:numId w:val="1"/>
        </w:numPr>
        <w:tabs>
          <w:tab w:val="left" w:pos="820"/>
        </w:tabs>
        <w:rPr>
          <w:sz w:val="24"/>
        </w:rPr>
      </w:pPr>
      <w:bookmarkStart w:id="10" w:name="9._Payment/Gift_to_Respondent"/>
      <w:bookmarkEnd w:id="10"/>
      <w:r>
        <w:rPr>
          <w:sz w:val="24"/>
          <w:u w:val="single"/>
        </w:rPr>
        <w:t>Payment/Gift</w:t>
      </w:r>
      <w:r>
        <w:rPr>
          <w:spacing w:val="-2"/>
          <w:sz w:val="24"/>
          <w:u w:val="single"/>
        </w:rPr>
        <w:t xml:space="preserve"> </w:t>
      </w:r>
      <w:r>
        <w:rPr>
          <w:sz w:val="24"/>
          <w:u w:val="single"/>
        </w:rPr>
        <w:t>to</w:t>
      </w:r>
      <w:r>
        <w:rPr>
          <w:spacing w:val="-2"/>
          <w:sz w:val="24"/>
          <w:u w:val="single"/>
        </w:rPr>
        <w:t xml:space="preserve"> Respondent</w:t>
      </w:r>
    </w:p>
    <w:p w:rsidR="00B60A79" w14:paraId="4AD7A63E" w14:textId="77777777">
      <w:pPr>
        <w:pStyle w:val="BodyText"/>
        <w:ind w:left="0"/>
      </w:pPr>
    </w:p>
    <w:p w:rsidR="00B60A79" w14:paraId="4E11847F" w14:textId="77777777">
      <w:pPr>
        <w:pStyle w:val="BodyText"/>
        <w:ind w:right="351"/>
      </w:pPr>
      <w:r>
        <w:t>CMS makes no payments or gifts to a respondent for completion of this data</w:t>
      </w:r>
      <w:r>
        <w:rPr>
          <w:spacing w:val="80"/>
        </w:rPr>
        <w:t xml:space="preserve"> </w:t>
      </w:r>
      <w:r>
        <w:t>collection.</w:t>
      </w:r>
      <w:r>
        <w:rPr>
          <w:spacing w:val="80"/>
        </w:rPr>
        <w:t xml:space="preserve"> </w:t>
      </w:r>
      <w:r>
        <w:t xml:space="preserve">CMS issues </w:t>
      </w:r>
      <w:r>
        <w:t>claims</w:t>
      </w:r>
      <w:r>
        <w:t xml:space="preserve"> payments to healthcare provider components of the HO/CO</w:t>
      </w:r>
      <w:r>
        <w:rPr>
          <w:spacing w:val="-4"/>
        </w:rPr>
        <w:t xml:space="preserve"> </w:t>
      </w:r>
      <w:r>
        <w:t>for</w:t>
      </w:r>
      <w:r>
        <w:rPr>
          <w:spacing w:val="-3"/>
        </w:rPr>
        <w:t xml:space="preserve"> </w:t>
      </w:r>
      <w:r>
        <w:t>covered</w:t>
      </w:r>
      <w:r>
        <w:rPr>
          <w:spacing w:val="-3"/>
        </w:rPr>
        <w:t xml:space="preserve"> </w:t>
      </w:r>
      <w:r>
        <w:t>services</w:t>
      </w:r>
      <w:r>
        <w:rPr>
          <w:spacing w:val="-3"/>
        </w:rPr>
        <w:t xml:space="preserve"> </w:t>
      </w:r>
      <w:r>
        <w:t>provided</w:t>
      </w:r>
      <w:r>
        <w:rPr>
          <w:spacing w:val="-3"/>
        </w:rPr>
        <w:t xml:space="preserve"> </w:t>
      </w:r>
      <w:r>
        <w:t>to</w:t>
      </w:r>
      <w:r>
        <w:rPr>
          <w:spacing w:val="-3"/>
        </w:rPr>
        <w:t xml:space="preserve"> </w:t>
      </w:r>
      <w:r>
        <w:t>Medicare</w:t>
      </w:r>
      <w:r>
        <w:rPr>
          <w:spacing w:val="-3"/>
        </w:rPr>
        <w:t xml:space="preserve"> </w:t>
      </w:r>
      <w:r>
        <w:t>beneficiaries.</w:t>
      </w:r>
      <w:r>
        <w:rPr>
          <w:spacing w:val="80"/>
        </w:rPr>
        <w:t xml:space="preserve"> </w:t>
      </w:r>
      <w:r>
        <w:t>If</w:t>
      </w:r>
      <w:r>
        <w:rPr>
          <w:spacing w:val="-3"/>
        </w:rPr>
        <w:t xml:space="preserve"> </w:t>
      </w:r>
      <w:r>
        <w:t>the</w:t>
      </w:r>
      <w:r>
        <w:rPr>
          <w:spacing w:val="-3"/>
        </w:rPr>
        <w:t xml:space="preserve"> </w:t>
      </w:r>
      <w:r>
        <w:t>HO/CO</w:t>
      </w:r>
      <w:r>
        <w:rPr>
          <w:spacing w:val="-4"/>
        </w:rPr>
        <w:t xml:space="preserve"> </w:t>
      </w:r>
      <w:r>
        <w:t>fails</w:t>
      </w:r>
      <w:r>
        <w:rPr>
          <w:spacing w:val="-3"/>
        </w:rPr>
        <w:t xml:space="preserve"> </w:t>
      </w:r>
      <w:r>
        <w:t>to</w:t>
      </w:r>
    </w:p>
    <w:p w:rsidR="00B60A79" w14:paraId="1114CC2A" w14:textId="77777777">
      <w:pPr>
        <w:pStyle w:val="BodyText"/>
        <w:spacing w:before="1"/>
        <w:ind w:right="116"/>
      </w:pPr>
      <w:r>
        <w:t>submit</w:t>
      </w:r>
      <w:r>
        <w:rPr>
          <w:spacing w:val="-4"/>
        </w:rPr>
        <w:t xml:space="preserve"> </w:t>
      </w:r>
      <w:r>
        <w:t>the</w:t>
      </w:r>
      <w:r>
        <w:rPr>
          <w:spacing w:val="-3"/>
        </w:rPr>
        <w:t xml:space="preserve"> </w:t>
      </w:r>
      <w:r>
        <w:t>home</w:t>
      </w:r>
      <w:r>
        <w:rPr>
          <w:spacing w:val="-3"/>
        </w:rPr>
        <w:t xml:space="preserve"> </w:t>
      </w:r>
      <w:r>
        <w:t>office</w:t>
      </w:r>
      <w:r>
        <w:rPr>
          <w:spacing w:val="-4"/>
        </w:rPr>
        <w:t xml:space="preserve"> </w:t>
      </w:r>
      <w:r>
        <w:t>cost</w:t>
      </w:r>
      <w:r>
        <w:rPr>
          <w:spacing w:val="-3"/>
        </w:rPr>
        <w:t xml:space="preserve"> </w:t>
      </w:r>
      <w:r>
        <w:t>statement,</w:t>
      </w:r>
      <w:r>
        <w:rPr>
          <w:spacing w:val="-3"/>
        </w:rPr>
        <w:t xml:space="preserve"> </w:t>
      </w:r>
      <w:r>
        <w:t>the</w:t>
      </w:r>
      <w:r>
        <w:rPr>
          <w:spacing w:val="-3"/>
        </w:rPr>
        <w:t xml:space="preserve"> </w:t>
      </w:r>
      <w:r>
        <w:t>contractor</w:t>
      </w:r>
      <w:r>
        <w:rPr>
          <w:spacing w:val="-4"/>
        </w:rPr>
        <w:t xml:space="preserve"> </w:t>
      </w:r>
      <w:r>
        <w:t>may</w:t>
      </w:r>
      <w:r>
        <w:rPr>
          <w:spacing w:val="-3"/>
        </w:rPr>
        <w:t xml:space="preserve"> </w:t>
      </w:r>
      <w:r>
        <w:t>reject</w:t>
      </w:r>
      <w:r>
        <w:rPr>
          <w:spacing w:val="-3"/>
        </w:rPr>
        <w:t xml:space="preserve"> </w:t>
      </w:r>
      <w:r>
        <w:t>any</w:t>
      </w:r>
      <w:r>
        <w:rPr>
          <w:spacing w:val="-3"/>
        </w:rPr>
        <w:t xml:space="preserve"> </w:t>
      </w:r>
      <w:r>
        <w:t>healthcare</w:t>
      </w:r>
      <w:r>
        <w:rPr>
          <w:spacing w:val="-3"/>
        </w:rPr>
        <w:t xml:space="preserve"> </w:t>
      </w:r>
      <w:r>
        <w:t>provider component’s cost report that includes home office/chain costs.</w:t>
      </w:r>
    </w:p>
    <w:p w:rsidR="00B60A79" w14:paraId="65E91A6F" w14:textId="77777777">
      <w:pPr>
        <w:pStyle w:val="ListParagraph"/>
        <w:numPr>
          <w:ilvl w:val="1"/>
          <w:numId w:val="1"/>
        </w:numPr>
        <w:tabs>
          <w:tab w:val="left" w:pos="820"/>
        </w:tabs>
        <w:spacing w:before="276"/>
        <w:rPr>
          <w:sz w:val="24"/>
        </w:rPr>
      </w:pPr>
      <w:bookmarkStart w:id="11" w:name="10._Confidentiality"/>
      <w:bookmarkEnd w:id="11"/>
      <w:r>
        <w:rPr>
          <w:spacing w:val="-2"/>
          <w:sz w:val="24"/>
          <w:u w:val="single"/>
        </w:rPr>
        <w:t>Confidentiality</w:t>
      </w:r>
    </w:p>
    <w:p w:rsidR="00B60A79" w14:paraId="3AA7F07D" w14:textId="77777777">
      <w:pPr>
        <w:pStyle w:val="BodyText"/>
        <w:spacing w:before="276"/>
        <w:ind w:right="186"/>
      </w:pPr>
      <w:r>
        <w:t>Confidentiality</w:t>
      </w:r>
      <w:r>
        <w:rPr>
          <w:spacing w:val="-3"/>
        </w:rPr>
        <w:t xml:space="preserve"> </w:t>
      </w:r>
      <w:r>
        <w:t>is</w:t>
      </w:r>
      <w:r>
        <w:rPr>
          <w:spacing w:val="-3"/>
        </w:rPr>
        <w:t xml:space="preserve"> </w:t>
      </w:r>
      <w:r>
        <w:t>not</w:t>
      </w:r>
      <w:r>
        <w:rPr>
          <w:spacing w:val="-3"/>
        </w:rPr>
        <w:t xml:space="preserve"> </w:t>
      </w:r>
      <w:r>
        <w:t>assured.</w:t>
      </w:r>
      <w:r>
        <w:rPr>
          <w:spacing w:val="80"/>
          <w:w w:val="150"/>
        </w:rPr>
        <w:t xml:space="preserve"> </w:t>
      </w:r>
      <w:r>
        <w:t>Home</w:t>
      </w:r>
      <w:r>
        <w:rPr>
          <w:spacing w:val="-3"/>
        </w:rPr>
        <w:t xml:space="preserve"> </w:t>
      </w:r>
      <w:r>
        <w:t>office</w:t>
      </w:r>
      <w:r>
        <w:rPr>
          <w:spacing w:val="-3"/>
        </w:rPr>
        <w:t xml:space="preserve"> </w:t>
      </w:r>
      <w:r>
        <w:t>cost</w:t>
      </w:r>
      <w:r>
        <w:rPr>
          <w:spacing w:val="-4"/>
        </w:rPr>
        <w:t xml:space="preserve"> </w:t>
      </w:r>
      <w:r>
        <w:t>statements</w:t>
      </w:r>
      <w:r>
        <w:rPr>
          <w:spacing w:val="-5"/>
        </w:rPr>
        <w:t xml:space="preserve"> </w:t>
      </w:r>
      <w:r>
        <w:t>are</w:t>
      </w:r>
      <w:r>
        <w:rPr>
          <w:spacing w:val="-3"/>
        </w:rPr>
        <w:t xml:space="preserve"> </w:t>
      </w:r>
      <w:r>
        <w:t>subject</w:t>
      </w:r>
      <w:r>
        <w:rPr>
          <w:spacing w:val="-4"/>
        </w:rPr>
        <w:t xml:space="preserve"> </w:t>
      </w:r>
      <w:r>
        <w:t>to</w:t>
      </w:r>
      <w:r>
        <w:rPr>
          <w:spacing w:val="-3"/>
        </w:rPr>
        <w:t xml:space="preserve"> </w:t>
      </w:r>
      <w:r>
        <w:t>disclosure under the Freedom of Information Act.</w:t>
      </w:r>
    </w:p>
    <w:p w:rsidR="00B60A79" w14:paraId="57C1AEEB" w14:textId="77777777">
      <w:pPr>
        <w:pStyle w:val="BodyText"/>
        <w:ind w:left="0"/>
      </w:pPr>
    </w:p>
    <w:p w:rsidR="00B60A79" w14:paraId="3C606076" w14:textId="77777777">
      <w:pPr>
        <w:pStyle w:val="ListParagraph"/>
        <w:numPr>
          <w:ilvl w:val="1"/>
          <w:numId w:val="1"/>
        </w:numPr>
        <w:tabs>
          <w:tab w:val="left" w:pos="820"/>
        </w:tabs>
        <w:rPr>
          <w:sz w:val="24"/>
        </w:rPr>
      </w:pPr>
      <w:bookmarkStart w:id="12" w:name="11._Sensitive_Questions"/>
      <w:bookmarkEnd w:id="12"/>
      <w:r>
        <w:rPr>
          <w:sz w:val="24"/>
          <w:u w:val="single"/>
        </w:rPr>
        <w:t>Sensitive</w:t>
      </w:r>
      <w:r>
        <w:rPr>
          <w:spacing w:val="-3"/>
          <w:sz w:val="24"/>
          <w:u w:val="single"/>
        </w:rPr>
        <w:t xml:space="preserve"> </w:t>
      </w:r>
      <w:r>
        <w:rPr>
          <w:spacing w:val="-2"/>
          <w:sz w:val="24"/>
          <w:u w:val="single"/>
        </w:rPr>
        <w:t>Questions</w:t>
      </w:r>
    </w:p>
    <w:p w:rsidR="00B60A79" w14:paraId="586168B4" w14:textId="77777777">
      <w:pPr>
        <w:pStyle w:val="BodyText"/>
        <w:ind w:left="0"/>
      </w:pPr>
    </w:p>
    <w:p w:rsidR="00B60A79" w14:paraId="2BFAB96D" w14:textId="77777777">
      <w:pPr>
        <w:pStyle w:val="BodyText"/>
        <w:rPr>
          <w:spacing w:val="-2"/>
        </w:rPr>
      </w:pPr>
      <w:r>
        <w:t>There</w:t>
      </w:r>
      <w:r>
        <w:rPr>
          <w:spacing w:val="-1"/>
        </w:rPr>
        <w:t xml:space="preserve"> </w:t>
      </w:r>
      <w:r>
        <w:t>are</w:t>
      </w:r>
      <w:r>
        <w:rPr>
          <w:spacing w:val="-1"/>
        </w:rPr>
        <w:t xml:space="preserve"> </w:t>
      </w:r>
      <w:r>
        <w:t>no</w:t>
      </w:r>
      <w:r>
        <w:rPr>
          <w:spacing w:val="-3"/>
        </w:rPr>
        <w:t xml:space="preserve"> </w:t>
      </w:r>
      <w:r>
        <w:t>questions of</w:t>
      </w:r>
      <w:r>
        <w:rPr>
          <w:spacing w:val="-2"/>
        </w:rPr>
        <w:t xml:space="preserve"> </w:t>
      </w:r>
      <w:r>
        <w:t>a</w:t>
      </w:r>
      <w:r>
        <w:rPr>
          <w:spacing w:val="-1"/>
        </w:rPr>
        <w:t xml:space="preserve"> </w:t>
      </w:r>
      <w:r>
        <w:t>sensitive</w:t>
      </w:r>
      <w:r>
        <w:rPr>
          <w:spacing w:val="-1"/>
        </w:rPr>
        <w:t xml:space="preserve"> </w:t>
      </w:r>
      <w:r>
        <w:rPr>
          <w:spacing w:val="-2"/>
        </w:rPr>
        <w:t>nature.</w:t>
      </w:r>
    </w:p>
    <w:p w:rsidR="002923F1" w14:paraId="0D6BED42" w14:textId="77777777">
      <w:pPr>
        <w:pStyle w:val="BodyText"/>
        <w:rPr>
          <w:spacing w:val="-2"/>
        </w:rPr>
      </w:pPr>
    </w:p>
    <w:p w:rsidR="002923F1" w14:paraId="5556BC20" w14:textId="77777777">
      <w:pPr>
        <w:pStyle w:val="BodyText"/>
      </w:pPr>
    </w:p>
    <w:p w:rsidR="00B60A79" w14:paraId="4CA863FD" w14:textId="77777777">
      <w:pPr>
        <w:pStyle w:val="BodyText"/>
        <w:ind w:left="0"/>
      </w:pPr>
    </w:p>
    <w:p w:rsidR="00B60A79" w:rsidRPr="002923F1" w14:paraId="7310AF22" w14:textId="77777777">
      <w:pPr>
        <w:pStyle w:val="ListParagraph"/>
        <w:numPr>
          <w:ilvl w:val="1"/>
          <w:numId w:val="1"/>
        </w:numPr>
        <w:tabs>
          <w:tab w:val="left" w:pos="820"/>
        </w:tabs>
        <w:rPr>
          <w:sz w:val="24"/>
        </w:rPr>
      </w:pPr>
      <w:bookmarkStart w:id="13" w:name="12._Estimate_of_Burden_(Hours_and_Cost)"/>
      <w:bookmarkEnd w:id="13"/>
      <w:r>
        <w:rPr>
          <w:sz w:val="24"/>
          <w:u w:val="single"/>
        </w:rPr>
        <w:t>Estimate</w:t>
      </w:r>
      <w:r>
        <w:rPr>
          <w:spacing w:val="-2"/>
          <w:sz w:val="24"/>
          <w:u w:val="single"/>
        </w:rPr>
        <w:t xml:space="preserve"> </w:t>
      </w:r>
      <w:r>
        <w:rPr>
          <w:sz w:val="24"/>
          <w:u w:val="single"/>
        </w:rPr>
        <w:t>of</w:t>
      </w:r>
      <w:r>
        <w:rPr>
          <w:spacing w:val="-2"/>
          <w:sz w:val="24"/>
          <w:u w:val="single"/>
        </w:rPr>
        <w:t xml:space="preserve"> </w:t>
      </w:r>
      <w:r>
        <w:rPr>
          <w:sz w:val="24"/>
          <w:u w:val="single"/>
        </w:rPr>
        <w:t>Burden</w:t>
      </w:r>
      <w:r>
        <w:rPr>
          <w:spacing w:val="-1"/>
          <w:sz w:val="24"/>
          <w:u w:val="single"/>
        </w:rPr>
        <w:t xml:space="preserve"> </w:t>
      </w:r>
      <w:r>
        <w:rPr>
          <w:sz w:val="24"/>
          <w:u w:val="single"/>
        </w:rPr>
        <w:t>(Hours</w:t>
      </w:r>
      <w:r>
        <w:rPr>
          <w:spacing w:val="-1"/>
          <w:sz w:val="24"/>
          <w:u w:val="single"/>
        </w:rPr>
        <w:t xml:space="preserve"> </w:t>
      </w:r>
      <w:r>
        <w:rPr>
          <w:sz w:val="24"/>
          <w:u w:val="single"/>
        </w:rPr>
        <w:t>and</w:t>
      </w:r>
      <w:r>
        <w:rPr>
          <w:spacing w:val="-1"/>
          <w:sz w:val="24"/>
          <w:u w:val="single"/>
        </w:rPr>
        <w:t xml:space="preserve"> </w:t>
      </w:r>
      <w:r>
        <w:rPr>
          <w:spacing w:val="-4"/>
          <w:sz w:val="24"/>
          <w:u w:val="single"/>
        </w:rPr>
        <w:t>Cost)</w:t>
      </w:r>
    </w:p>
    <w:p w:rsidR="002923F1" w:rsidP="002923F1" w14:paraId="5DF97335" w14:textId="77777777">
      <w:pPr>
        <w:pStyle w:val="ListParagraph"/>
        <w:tabs>
          <w:tab w:val="left" w:pos="820"/>
        </w:tabs>
        <w:ind w:firstLine="0"/>
        <w:rPr>
          <w:sz w:val="24"/>
        </w:rPr>
      </w:pPr>
    </w:p>
    <w:tbl>
      <w:tblPr>
        <w:tblW w:w="0" w:type="auto"/>
        <w:tblInd w:w="825" w:type="dxa"/>
        <w:tblLayout w:type="fixed"/>
        <w:tblCellMar>
          <w:left w:w="0" w:type="dxa"/>
          <w:right w:w="0" w:type="dxa"/>
        </w:tblCellMar>
        <w:tblLook w:val="01E0"/>
      </w:tblPr>
      <w:tblGrid>
        <w:gridCol w:w="6475"/>
        <w:gridCol w:w="1896"/>
      </w:tblGrid>
      <w:tr w14:paraId="6F040924" w14:textId="77777777">
        <w:tblPrEx>
          <w:tblW w:w="0" w:type="auto"/>
          <w:tblInd w:w="825" w:type="dxa"/>
          <w:tblLayout w:type="fixed"/>
          <w:tblCellMar>
            <w:left w:w="0" w:type="dxa"/>
            <w:right w:w="0" w:type="dxa"/>
          </w:tblCellMar>
          <w:tblLook w:val="01E0"/>
        </w:tblPrEx>
        <w:trPr>
          <w:trHeight w:val="557"/>
        </w:trPr>
        <w:tc>
          <w:tcPr>
            <w:tcW w:w="6475" w:type="dxa"/>
            <w:tcBorders>
              <w:top w:val="single" w:sz="4" w:space="0" w:color="000000"/>
              <w:left w:val="single" w:sz="4" w:space="0" w:color="000000"/>
            </w:tcBorders>
          </w:tcPr>
          <w:p w:rsidR="00B60A79" w14:paraId="5874D0A5" w14:textId="77777777">
            <w:pPr>
              <w:pStyle w:val="TableParagraph"/>
              <w:spacing w:before="185"/>
              <w:ind w:left="107"/>
              <w:rPr>
                <w:sz w:val="24"/>
              </w:rPr>
            </w:pPr>
            <w:r>
              <w:rPr>
                <w:sz w:val="24"/>
              </w:rPr>
              <w:t>Number</w:t>
            </w:r>
            <w:r>
              <w:rPr>
                <w:spacing w:val="-1"/>
                <w:sz w:val="24"/>
              </w:rPr>
              <w:t xml:space="preserve"> </w:t>
            </w:r>
            <w:r>
              <w:rPr>
                <w:sz w:val="24"/>
              </w:rPr>
              <w:t>of respondents</w:t>
            </w:r>
            <w:r>
              <w:rPr>
                <w:spacing w:val="-3"/>
                <w:sz w:val="24"/>
              </w:rPr>
              <w:t xml:space="preserve"> </w:t>
            </w:r>
            <w:r>
              <w:rPr>
                <w:sz w:val="24"/>
              </w:rPr>
              <w:t xml:space="preserve">as of </w:t>
            </w:r>
            <w:r>
              <w:rPr>
                <w:spacing w:val="-2"/>
                <w:sz w:val="24"/>
              </w:rPr>
              <w:t>3/21/2024</w:t>
            </w:r>
          </w:p>
        </w:tc>
        <w:tc>
          <w:tcPr>
            <w:tcW w:w="1896" w:type="dxa"/>
            <w:tcBorders>
              <w:top w:val="single" w:sz="4" w:space="0" w:color="000000"/>
              <w:right w:val="single" w:sz="4" w:space="0" w:color="000000"/>
            </w:tcBorders>
          </w:tcPr>
          <w:p w:rsidR="00B60A79" w14:paraId="147531CC" w14:textId="77777777">
            <w:pPr>
              <w:pStyle w:val="TableParagraph"/>
              <w:spacing w:before="185"/>
              <w:ind w:right="97"/>
              <w:jc w:val="right"/>
              <w:rPr>
                <w:sz w:val="24"/>
              </w:rPr>
            </w:pPr>
            <w:r>
              <w:rPr>
                <w:spacing w:val="-2"/>
                <w:sz w:val="24"/>
              </w:rPr>
              <w:t>1,646</w:t>
            </w:r>
          </w:p>
        </w:tc>
      </w:tr>
      <w:tr w14:paraId="50B7D4AA" w14:textId="77777777">
        <w:tblPrEx>
          <w:tblW w:w="0" w:type="auto"/>
          <w:tblInd w:w="825" w:type="dxa"/>
          <w:tblLayout w:type="fixed"/>
          <w:tblCellMar>
            <w:left w:w="0" w:type="dxa"/>
            <w:right w:w="0" w:type="dxa"/>
          </w:tblCellMar>
          <w:tblLook w:val="01E0"/>
        </w:tblPrEx>
        <w:trPr>
          <w:trHeight w:val="643"/>
        </w:trPr>
        <w:tc>
          <w:tcPr>
            <w:tcW w:w="6475" w:type="dxa"/>
            <w:tcBorders>
              <w:left w:val="single" w:sz="4" w:space="0" w:color="000000"/>
            </w:tcBorders>
          </w:tcPr>
          <w:p w:rsidR="00B60A79" w14:paraId="08DFA676" w14:textId="77777777">
            <w:pPr>
              <w:pStyle w:val="TableParagraph"/>
              <w:tabs>
                <w:tab w:val="right" w:pos="5687"/>
              </w:tabs>
              <w:ind w:left="87"/>
              <w:rPr>
                <w:sz w:val="24"/>
              </w:rPr>
            </w:pPr>
            <w:r>
              <w:rPr>
                <w:sz w:val="24"/>
              </w:rPr>
              <w:t>Hours</w:t>
            </w:r>
            <w:r>
              <w:rPr>
                <w:spacing w:val="-3"/>
                <w:sz w:val="24"/>
              </w:rPr>
              <w:t xml:space="preserve"> </w:t>
            </w:r>
            <w:r>
              <w:rPr>
                <w:sz w:val="24"/>
              </w:rPr>
              <w:t>burden</w:t>
            </w:r>
            <w:r>
              <w:rPr>
                <w:spacing w:val="-1"/>
                <w:sz w:val="24"/>
              </w:rPr>
              <w:t xml:space="preserve"> </w:t>
            </w:r>
            <w:r>
              <w:rPr>
                <w:sz w:val="24"/>
              </w:rPr>
              <w:t>per</w:t>
            </w:r>
            <w:r>
              <w:rPr>
                <w:spacing w:val="-1"/>
                <w:sz w:val="24"/>
              </w:rPr>
              <w:t xml:space="preserve"> </w:t>
            </w:r>
            <w:r>
              <w:rPr>
                <w:sz w:val="24"/>
              </w:rPr>
              <w:t>respondent:</w:t>
            </w:r>
            <w:r>
              <w:rPr>
                <w:spacing w:val="53"/>
                <w:sz w:val="24"/>
              </w:rPr>
              <w:t xml:space="preserve"> </w:t>
            </w:r>
            <w:r>
              <w:rPr>
                <w:spacing w:val="-2"/>
                <w:sz w:val="24"/>
              </w:rPr>
              <w:t>Reporting</w:t>
            </w:r>
            <w:r>
              <w:rPr>
                <w:sz w:val="24"/>
              </w:rPr>
              <w:tab/>
            </w:r>
            <w:r>
              <w:rPr>
                <w:spacing w:val="-5"/>
                <w:sz w:val="24"/>
              </w:rPr>
              <w:t>138</w:t>
            </w:r>
          </w:p>
          <w:p w:rsidR="00B60A79" w14:paraId="0701C46D" w14:textId="77777777">
            <w:pPr>
              <w:pStyle w:val="TableParagraph"/>
              <w:tabs>
                <w:tab w:val="right" w:pos="5687"/>
              </w:tabs>
              <w:spacing w:before="0" w:line="261" w:lineRule="exact"/>
              <w:ind w:left="3062"/>
              <w:rPr>
                <w:sz w:val="24"/>
              </w:rPr>
            </w:pPr>
            <w:r>
              <w:rPr>
                <w:spacing w:val="-2"/>
                <w:sz w:val="24"/>
              </w:rPr>
              <w:t>Recordkeeping</w:t>
            </w:r>
            <w:r>
              <w:rPr>
                <w:sz w:val="24"/>
              </w:rPr>
              <w:tab/>
            </w:r>
            <w:r>
              <w:rPr>
                <w:spacing w:val="-5"/>
                <w:sz w:val="24"/>
              </w:rPr>
              <w:t>328</w:t>
            </w:r>
          </w:p>
        </w:tc>
        <w:tc>
          <w:tcPr>
            <w:tcW w:w="1896" w:type="dxa"/>
            <w:tcBorders>
              <w:right w:val="single" w:sz="4" w:space="0" w:color="000000"/>
            </w:tcBorders>
          </w:tcPr>
          <w:p w:rsidR="00B60A79" w14:paraId="69D94EFB" w14:textId="77777777">
            <w:pPr>
              <w:pStyle w:val="TableParagraph"/>
              <w:spacing w:before="0"/>
              <w:rPr>
                <w:sz w:val="24"/>
              </w:rPr>
            </w:pPr>
          </w:p>
        </w:tc>
      </w:tr>
      <w:tr w14:paraId="164AE167" w14:textId="77777777">
        <w:tblPrEx>
          <w:tblW w:w="0" w:type="auto"/>
          <w:tblInd w:w="825" w:type="dxa"/>
          <w:tblLayout w:type="fixed"/>
          <w:tblCellMar>
            <w:left w:w="0" w:type="dxa"/>
            <w:right w:w="0" w:type="dxa"/>
          </w:tblCellMar>
          <w:tblLook w:val="01E0"/>
        </w:tblPrEx>
        <w:trPr>
          <w:trHeight w:val="367"/>
        </w:trPr>
        <w:tc>
          <w:tcPr>
            <w:tcW w:w="6475" w:type="dxa"/>
            <w:tcBorders>
              <w:left w:val="single" w:sz="4" w:space="0" w:color="000000"/>
            </w:tcBorders>
          </w:tcPr>
          <w:p w:rsidR="00B60A79" w14:paraId="376663A9" w14:textId="77777777">
            <w:pPr>
              <w:pStyle w:val="TableParagraph"/>
              <w:spacing w:before="0" w:line="271" w:lineRule="exact"/>
              <w:ind w:left="3062"/>
              <w:rPr>
                <w:sz w:val="24"/>
              </w:rPr>
            </w:pPr>
            <w:r>
              <w:rPr>
                <w:sz w:val="24"/>
              </w:rPr>
              <w:t>Total</w:t>
            </w:r>
            <w:r>
              <w:rPr>
                <w:spacing w:val="-1"/>
                <w:sz w:val="24"/>
              </w:rPr>
              <w:t xml:space="preserve"> </w:t>
            </w:r>
            <w:r>
              <w:rPr>
                <w:sz w:val="24"/>
              </w:rPr>
              <w:t>per</w:t>
            </w:r>
            <w:r>
              <w:rPr>
                <w:spacing w:val="-1"/>
                <w:sz w:val="24"/>
              </w:rPr>
              <w:t xml:space="preserve"> </w:t>
            </w:r>
            <w:r>
              <w:rPr>
                <w:spacing w:val="-2"/>
                <w:sz w:val="24"/>
              </w:rPr>
              <w:t>respondent</w:t>
            </w:r>
          </w:p>
        </w:tc>
        <w:tc>
          <w:tcPr>
            <w:tcW w:w="1896" w:type="dxa"/>
            <w:tcBorders>
              <w:right w:val="single" w:sz="4" w:space="0" w:color="000000"/>
            </w:tcBorders>
          </w:tcPr>
          <w:p w:rsidR="00B60A79" w14:paraId="6E0A256E" w14:textId="77777777">
            <w:pPr>
              <w:pStyle w:val="TableParagraph"/>
              <w:spacing w:before="0" w:line="271" w:lineRule="exact"/>
              <w:ind w:right="97"/>
              <w:jc w:val="right"/>
              <w:rPr>
                <w:sz w:val="24"/>
              </w:rPr>
            </w:pPr>
            <w:r>
              <w:rPr>
                <w:spacing w:val="-5"/>
                <w:sz w:val="24"/>
              </w:rPr>
              <w:t>466</w:t>
            </w:r>
          </w:p>
        </w:tc>
      </w:tr>
      <w:tr w14:paraId="174A515F" w14:textId="77777777">
        <w:tblPrEx>
          <w:tblW w:w="0" w:type="auto"/>
          <w:tblInd w:w="825" w:type="dxa"/>
          <w:tblLayout w:type="fixed"/>
          <w:tblCellMar>
            <w:left w:w="0" w:type="dxa"/>
            <w:right w:w="0" w:type="dxa"/>
          </w:tblCellMar>
          <w:tblLook w:val="01E0"/>
        </w:tblPrEx>
        <w:trPr>
          <w:trHeight w:val="471"/>
        </w:trPr>
        <w:tc>
          <w:tcPr>
            <w:tcW w:w="6475" w:type="dxa"/>
            <w:tcBorders>
              <w:left w:val="single" w:sz="4" w:space="0" w:color="000000"/>
            </w:tcBorders>
          </w:tcPr>
          <w:p w:rsidR="00B60A79" w14:paraId="51B5EA62" w14:textId="77777777">
            <w:pPr>
              <w:pStyle w:val="TableParagraph"/>
              <w:ind w:left="107"/>
              <w:rPr>
                <w:sz w:val="24"/>
              </w:rPr>
            </w:pPr>
            <w:r>
              <w:rPr>
                <w:sz w:val="24"/>
              </w:rPr>
              <w:t>Total</w:t>
            </w:r>
            <w:r>
              <w:rPr>
                <w:spacing w:val="-1"/>
                <w:sz w:val="24"/>
              </w:rPr>
              <w:t xml:space="preserve"> </w:t>
            </w:r>
            <w:r>
              <w:rPr>
                <w:sz w:val="24"/>
              </w:rPr>
              <w:t>hours</w:t>
            </w:r>
            <w:r>
              <w:rPr>
                <w:spacing w:val="-2"/>
                <w:sz w:val="24"/>
              </w:rPr>
              <w:t xml:space="preserve"> </w:t>
            </w:r>
            <w:r>
              <w:rPr>
                <w:sz w:val="24"/>
              </w:rPr>
              <w:t>burden</w:t>
            </w:r>
            <w:r>
              <w:rPr>
                <w:spacing w:val="-1"/>
                <w:sz w:val="24"/>
              </w:rPr>
              <w:t xml:space="preserve"> </w:t>
            </w:r>
            <w:r>
              <w:rPr>
                <w:sz w:val="24"/>
              </w:rPr>
              <w:t>(1,646</w:t>
            </w:r>
            <w:r>
              <w:rPr>
                <w:spacing w:val="-1"/>
                <w:sz w:val="24"/>
              </w:rPr>
              <w:t xml:space="preserve"> </w:t>
            </w:r>
            <w:r>
              <w:rPr>
                <w:sz w:val="24"/>
              </w:rPr>
              <w:t>facilities</w:t>
            </w:r>
            <w:r>
              <w:rPr>
                <w:spacing w:val="-1"/>
                <w:sz w:val="24"/>
              </w:rPr>
              <w:t xml:space="preserve"> </w:t>
            </w:r>
            <w:r>
              <w:rPr>
                <w:sz w:val="24"/>
              </w:rPr>
              <w:t>x</w:t>
            </w:r>
            <w:r>
              <w:rPr>
                <w:spacing w:val="-3"/>
                <w:sz w:val="24"/>
              </w:rPr>
              <w:t xml:space="preserve"> </w:t>
            </w:r>
            <w:r>
              <w:rPr>
                <w:sz w:val="24"/>
              </w:rPr>
              <w:t xml:space="preserve">466 </w:t>
            </w:r>
            <w:r>
              <w:rPr>
                <w:spacing w:val="-2"/>
                <w:sz w:val="24"/>
              </w:rPr>
              <w:t>hours)</w:t>
            </w:r>
          </w:p>
        </w:tc>
        <w:tc>
          <w:tcPr>
            <w:tcW w:w="1896" w:type="dxa"/>
            <w:tcBorders>
              <w:right w:val="single" w:sz="4" w:space="0" w:color="000000"/>
            </w:tcBorders>
          </w:tcPr>
          <w:p w:rsidR="00B60A79" w14:paraId="4AED93C2" w14:textId="77777777">
            <w:pPr>
              <w:pStyle w:val="TableParagraph"/>
              <w:ind w:right="97"/>
              <w:jc w:val="right"/>
              <w:rPr>
                <w:sz w:val="24"/>
              </w:rPr>
            </w:pPr>
            <w:r>
              <w:rPr>
                <w:spacing w:val="-2"/>
                <w:sz w:val="24"/>
              </w:rPr>
              <w:t>767,036</w:t>
            </w:r>
          </w:p>
        </w:tc>
      </w:tr>
      <w:tr w14:paraId="7DBAFEE8" w14:textId="77777777">
        <w:tblPrEx>
          <w:tblW w:w="0" w:type="auto"/>
          <w:tblInd w:w="825" w:type="dxa"/>
          <w:tblLayout w:type="fixed"/>
          <w:tblCellMar>
            <w:left w:w="0" w:type="dxa"/>
            <w:right w:w="0" w:type="dxa"/>
          </w:tblCellMar>
          <w:tblLook w:val="01E0"/>
        </w:tblPrEx>
        <w:trPr>
          <w:trHeight w:val="471"/>
        </w:trPr>
        <w:tc>
          <w:tcPr>
            <w:tcW w:w="6475" w:type="dxa"/>
            <w:tcBorders>
              <w:left w:val="single" w:sz="4" w:space="0" w:color="000000"/>
            </w:tcBorders>
          </w:tcPr>
          <w:p w:rsidR="00B60A79" w14:paraId="19205F76" w14:textId="77777777">
            <w:pPr>
              <w:pStyle w:val="TableParagraph"/>
              <w:spacing w:before="98"/>
              <w:ind w:left="107"/>
              <w:rPr>
                <w:sz w:val="24"/>
              </w:rPr>
            </w:pPr>
            <w:r>
              <w:rPr>
                <w:sz w:val="24"/>
              </w:rPr>
              <w:t>Cost</w:t>
            </w:r>
            <w:r>
              <w:rPr>
                <w:spacing w:val="-1"/>
                <w:sz w:val="24"/>
              </w:rPr>
              <w:t xml:space="preserve"> </w:t>
            </w:r>
            <w:r>
              <w:rPr>
                <w:sz w:val="24"/>
              </w:rPr>
              <w:t>per</w:t>
            </w:r>
            <w:r>
              <w:rPr>
                <w:spacing w:val="-1"/>
                <w:sz w:val="24"/>
              </w:rPr>
              <w:t xml:space="preserve"> </w:t>
            </w:r>
            <w:r>
              <w:rPr>
                <w:spacing w:val="-2"/>
                <w:sz w:val="24"/>
              </w:rPr>
              <w:t>respondent</w:t>
            </w:r>
          </w:p>
        </w:tc>
        <w:tc>
          <w:tcPr>
            <w:tcW w:w="1896" w:type="dxa"/>
            <w:tcBorders>
              <w:right w:val="single" w:sz="4" w:space="0" w:color="000000"/>
            </w:tcBorders>
          </w:tcPr>
          <w:p w:rsidR="00B60A79" w14:paraId="09FB0351" w14:textId="77777777">
            <w:pPr>
              <w:pStyle w:val="TableParagraph"/>
              <w:spacing w:before="98"/>
              <w:ind w:right="97"/>
              <w:jc w:val="right"/>
              <w:rPr>
                <w:sz w:val="24"/>
              </w:rPr>
            </w:pPr>
            <w:r>
              <w:rPr>
                <w:spacing w:val="-2"/>
                <w:sz w:val="24"/>
              </w:rPr>
              <w:t>$27,686.44</w:t>
            </w:r>
          </w:p>
        </w:tc>
      </w:tr>
      <w:tr w14:paraId="2AC35703" w14:textId="77777777">
        <w:tblPrEx>
          <w:tblW w:w="0" w:type="auto"/>
          <w:tblInd w:w="825" w:type="dxa"/>
          <w:tblLayout w:type="fixed"/>
          <w:tblCellMar>
            <w:left w:w="0" w:type="dxa"/>
            <w:right w:w="0" w:type="dxa"/>
          </w:tblCellMar>
          <w:tblLook w:val="01E0"/>
        </w:tblPrEx>
        <w:trPr>
          <w:trHeight w:val="822"/>
        </w:trPr>
        <w:tc>
          <w:tcPr>
            <w:tcW w:w="6475" w:type="dxa"/>
            <w:tcBorders>
              <w:left w:val="single" w:sz="4" w:space="0" w:color="000000"/>
              <w:bottom w:val="single" w:sz="4" w:space="0" w:color="000000"/>
            </w:tcBorders>
          </w:tcPr>
          <w:p w:rsidR="00B60A79" w14:paraId="09D20B3D" w14:textId="77777777">
            <w:pPr>
              <w:pStyle w:val="TableParagraph"/>
              <w:ind w:left="107"/>
              <w:rPr>
                <w:sz w:val="24"/>
              </w:rPr>
            </w:pPr>
            <w:r>
              <w:rPr>
                <w:sz w:val="24"/>
              </w:rPr>
              <w:t>Total</w:t>
            </w:r>
            <w:r>
              <w:rPr>
                <w:spacing w:val="-6"/>
                <w:sz w:val="24"/>
              </w:rPr>
              <w:t xml:space="preserve"> </w:t>
            </w:r>
            <w:r>
              <w:rPr>
                <w:sz w:val="24"/>
              </w:rPr>
              <w:t>annual</w:t>
            </w:r>
            <w:r>
              <w:rPr>
                <w:spacing w:val="-7"/>
                <w:sz w:val="24"/>
              </w:rPr>
              <w:t xml:space="preserve"> </w:t>
            </w:r>
            <w:r>
              <w:rPr>
                <w:sz w:val="24"/>
              </w:rPr>
              <w:t>cost</w:t>
            </w:r>
            <w:r>
              <w:rPr>
                <w:spacing w:val="-6"/>
                <w:sz w:val="24"/>
              </w:rPr>
              <w:t xml:space="preserve"> </w:t>
            </w:r>
            <w:r>
              <w:rPr>
                <w:sz w:val="24"/>
              </w:rPr>
              <w:t>estimate</w:t>
            </w:r>
            <w:r>
              <w:rPr>
                <w:spacing w:val="-6"/>
                <w:sz w:val="24"/>
              </w:rPr>
              <w:t xml:space="preserve"> </w:t>
            </w:r>
            <w:r>
              <w:rPr>
                <w:sz w:val="24"/>
              </w:rPr>
              <w:t>($27,686.44</w:t>
            </w:r>
            <w:r>
              <w:rPr>
                <w:spacing w:val="-6"/>
                <w:sz w:val="24"/>
              </w:rPr>
              <w:t xml:space="preserve"> </w:t>
            </w:r>
            <w:r>
              <w:rPr>
                <w:sz w:val="24"/>
              </w:rPr>
              <w:t>x</w:t>
            </w:r>
            <w:r>
              <w:rPr>
                <w:spacing w:val="-6"/>
                <w:sz w:val="24"/>
              </w:rPr>
              <w:t xml:space="preserve"> </w:t>
            </w:r>
            <w:r>
              <w:rPr>
                <w:sz w:val="24"/>
              </w:rPr>
              <w:t>1,646</w:t>
            </w:r>
            <w:r>
              <w:rPr>
                <w:spacing w:val="-6"/>
                <w:sz w:val="24"/>
              </w:rPr>
              <w:t xml:space="preserve"> </w:t>
            </w:r>
            <w:r>
              <w:rPr>
                <w:sz w:val="24"/>
              </w:rPr>
              <w:t xml:space="preserve">respondents, </w:t>
            </w:r>
            <w:r>
              <w:rPr>
                <w:spacing w:val="-2"/>
                <w:sz w:val="24"/>
              </w:rPr>
              <w:t>rounded)</w:t>
            </w:r>
          </w:p>
        </w:tc>
        <w:tc>
          <w:tcPr>
            <w:tcW w:w="1896" w:type="dxa"/>
            <w:tcBorders>
              <w:bottom w:val="single" w:sz="4" w:space="0" w:color="000000"/>
              <w:right w:val="single" w:sz="4" w:space="0" w:color="000000"/>
            </w:tcBorders>
          </w:tcPr>
          <w:p w:rsidR="00B60A79" w14:paraId="5A05C780" w14:textId="77777777">
            <w:pPr>
              <w:pStyle w:val="TableParagraph"/>
              <w:ind w:right="97"/>
              <w:jc w:val="right"/>
              <w:rPr>
                <w:sz w:val="24"/>
              </w:rPr>
            </w:pPr>
            <w:r>
              <w:rPr>
                <w:spacing w:val="-2"/>
                <w:sz w:val="24"/>
              </w:rPr>
              <w:t>$45,571,880</w:t>
            </w:r>
          </w:p>
        </w:tc>
      </w:tr>
    </w:tbl>
    <w:p w:rsidR="00B60A79" w14:paraId="22EDDBF1" w14:textId="77777777">
      <w:pPr>
        <w:pStyle w:val="BodyText"/>
        <w:spacing w:before="20"/>
        <w:ind w:left="0"/>
      </w:pPr>
    </w:p>
    <w:p w:rsidR="00B60A79" w14:paraId="1A1B7BD4" w14:textId="77777777">
      <w:pPr>
        <w:pStyle w:val="BodyText"/>
        <w:spacing w:line="242" w:lineRule="auto"/>
        <w:ind w:right="186"/>
      </w:pPr>
      <w:r>
        <w:t>Only when the standardized definitions, accounting, statistics and reporting practices defined</w:t>
      </w:r>
      <w:r>
        <w:rPr>
          <w:spacing w:val="-4"/>
        </w:rPr>
        <w:t xml:space="preserve"> </w:t>
      </w:r>
      <w:r>
        <w:t>in</w:t>
      </w:r>
      <w:r>
        <w:rPr>
          <w:spacing w:val="-3"/>
        </w:rPr>
        <w:t xml:space="preserve"> </w:t>
      </w:r>
      <w:r>
        <w:t>42</w:t>
      </w:r>
      <w:r>
        <w:rPr>
          <w:spacing w:val="-3"/>
        </w:rPr>
        <w:t xml:space="preserve"> </w:t>
      </w:r>
      <w:r>
        <w:t>CFR</w:t>
      </w:r>
      <w:r>
        <w:rPr>
          <w:spacing w:val="-3"/>
        </w:rPr>
        <w:t xml:space="preserve"> </w:t>
      </w:r>
      <w:r>
        <w:t>413.20(a)</w:t>
      </w:r>
      <w:r>
        <w:rPr>
          <w:spacing w:val="-3"/>
        </w:rPr>
        <w:t xml:space="preserve"> </w:t>
      </w:r>
      <w:r>
        <w:t>are</w:t>
      </w:r>
      <w:r>
        <w:rPr>
          <w:spacing w:val="-3"/>
        </w:rPr>
        <w:t xml:space="preserve"> </w:t>
      </w:r>
      <w:r>
        <w:t>not</w:t>
      </w:r>
      <w:r>
        <w:rPr>
          <w:spacing w:val="-3"/>
        </w:rPr>
        <w:t xml:space="preserve"> </w:t>
      </w:r>
      <w:r>
        <w:t>already</w:t>
      </w:r>
      <w:r>
        <w:rPr>
          <w:spacing w:val="-3"/>
        </w:rPr>
        <w:t xml:space="preserve"> </w:t>
      </w:r>
      <w:r>
        <w:t>maintained</w:t>
      </w:r>
      <w:r>
        <w:rPr>
          <w:spacing w:val="-3"/>
        </w:rPr>
        <w:t xml:space="preserve"> </w:t>
      </w:r>
      <w:r>
        <w:t>by</w:t>
      </w:r>
      <w:r>
        <w:rPr>
          <w:spacing w:val="-4"/>
        </w:rPr>
        <w:t xml:space="preserve"> </w:t>
      </w:r>
      <w:r>
        <w:t>the</w:t>
      </w:r>
      <w:r>
        <w:rPr>
          <w:spacing w:val="-3"/>
        </w:rPr>
        <w:t xml:space="preserve"> </w:t>
      </w:r>
      <w:r>
        <w:t>provider</w:t>
      </w:r>
      <w:r>
        <w:rPr>
          <w:spacing w:val="-3"/>
        </w:rPr>
        <w:t xml:space="preserve"> </w:t>
      </w:r>
      <w:r>
        <w:t>on</w:t>
      </w:r>
      <w:r>
        <w:rPr>
          <w:spacing w:val="-3"/>
        </w:rPr>
        <w:t xml:space="preserve"> </w:t>
      </w:r>
      <w:r>
        <w:t>a</w:t>
      </w:r>
      <w:r>
        <w:rPr>
          <w:spacing w:val="-3"/>
        </w:rPr>
        <w:t xml:space="preserve"> </w:t>
      </w:r>
      <w:r>
        <w:t>fiscal</w:t>
      </w:r>
      <w:r>
        <w:rPr>
          <w:spacing w:val="-3"/>
        </w:rPr>
        <w:t xml:space="preserve"> </w:t>
      </w:r>
      <w:r>
        <w:t>basis does CMS estimate additional burden for the required recordkeeping and reporting.</w:t>
      </w:r>
    </w:p>
    <w:p w:rsidR="00B60A79" w14:paraId="2B6A2E3D" w14:textId="77777777">
      <w:pPr>
        <w:pStyle w:val="BodyText"/>
        <w:ind w:left="0"/>
      </w:pPr>
    </w:p>
    <w:p w:rsidR="00B60A79" w14:paraId="237C92CF" w14:textId="77777777">
      <w:pPr>
        <w:pStyle w:val="BodyText"/>
        <w:ind w:right="133"/>
      </w:pPr>
      <w:r>
        <w:t>Burden hours for each home office estimate the time required (number of hours) to complete ongoing data gathering and</w:t>
      </w:r>
      <w:r>
        <w:rPr>
          <w:spacing w:val="-2"/>
        </w:rPr>
        <w:t xml:space="preserve"> </w:t>
      </w:r>
      <w:r>
        <w:t>recordkeeping tasks, search existing</w:t>
      </w:r>
      <w:r>
        <w:rPr>
          <w:spacing w:val="-2"/>
        </w:rPr>
        <w:t xml:space="preserve"> </w:t>
      </w:r>
      <w:r>
        <w:t>data resources, review instructions, and complete the Form CMS-287-22.</w:t>
      </w:r>
      <w:r>
        <w:rPr>
          <w:spacing w:val="80"/>
          <w:w w:val="150"/>
        </w:rPr>
        <w:t xml:space="preserve"> </w:t>
      </w:r>
      <w:r>
        <w:t>The System for Tracking Audit and Reimbursement, an internal CMS data system maintained by the Office of Financial Management (OFM), tracks the current number of home offices as 1,646 that submit the Home Office Cost Statement, Form CMS-287-22, annually.</w:t>
      </w:r>
      <w:r>
        <w:rPr>
          <w:spacing w:val="80"/>
        </w:rPr>
        <w:t xml:space="preserve"> </w:t>
      </w:r>
      <w:r>
        <w:t>We estimate an average</w:t>
      </w:r>
      <w:r>
        <w:rPr>
          <w:spacing w:val="-3"/>
        </w:rPr>
        <w:t xml:space="preserve"> </w:t>
      </w:r>
      <w:r>
        <w:t>burden</w:t>
      </w:r>
      <w:r>
        <w:rPr>
          <w:spacing w:val="-3"/>
        </w:rPr>
        <w:t xml:space="preserve"> </w:t>
      </w:r>
      <w:r>
        <w:t>per</w:t>
      </w:r>
      <w:r>
        <w:rPr>
          <w:spacing w:val="-3"/>
        </w:rPr>
        <w:t xml:space="preserve"> </w:t>
      </w:r>
      <w:r>
        <w:t>home</w:t>
      </w:r>
      <w:r>
        <w:rPr>
          <w:spacing w:val="-3"/>
        </w:rPr>
        <w:t xml:space="preserve"> </w:t>
      </w:r>
      <w:r>
        <w:t>office</w:t>
      </w:r>
      <w:r>
        <w:rPr>
          <w:spacing w:val="-3"/>
        </w:rPr>
        <w:t xml:space="preserve"> </w:t>
      </w:r>
      <w:r>
        <w:t>of</w:t>
      </w:r>
      <w:r>
        <w:rPr>
          <w:spacing w:val="-3"/>
        </w:rPr>
        <w:t xml:space="preserve"> </w:t>
      </w:r>
      <w:r>
        <w:t>466</w:t>
      </w:r>
      <w:r>
        <w:rPr>
          <w:spacing w:val="-3"/>
        </w:rPr>
        <w:t xml:space="preserve"> </w:t>
      </w:r>
      <w:r>
        <w:t>hours</w:t>
      </w:r>
      <w:r>
        <w:rPr>
          <w:spacing w:val="-3"/>
        </w:rPr>
        <w:t xml:space="preserve"> </w:t>
      </w:r>
      <w:r>
        <w:t>(328</w:t>
      </w:r>
      <w:r>
        <w:rPr>
          <w:spacing w:val="-3"/>
        </w:rPr>
        <w:t xml:space="preserve"> </w:t>
      </w:r>
      <w:r>
        <w:t>hours</w:t>
      </w:r>
      <w:r>
        <w:rPr>
          <w:spacing w:val="-3"/>
        </w:rPr>
        <w:t xml:space="preserve"> </w:t>
      </w:r>
      <w:r>
        <w:t>for</w:t>
      </w:r>
      <w:r>
        <w:rPr>
          <w:spacing w:val="-4"/>
        </w:rPr>
        <w:t xml:space="preserve"> </w:t>
      </w:r>
      <w:r>
        <w:t>recordkeeping</w:t>
      </w:r>
      <w:r>
        <w:rPr>
          <w:spacing w:val="-3"/>
        </w:rPr>
        <w:t xml:space="preserve"> </w:t>
      </w:r>
      <w:r>
        <w:t>and</w:t>
      </w:r>
      <w:r>
        <w:rPr>
          <w:spacing w:val="-3"/>
        </w:rPr>
        <w:t xml:space="preserve"> </w:t>
      </w:r>
      <w:r>
        <w:t>138</w:t>
      </w:r>
      <w:r>
        <w:rPr>
          <w:spacing w:val="-3"/>
        </w:rPr>
        <w:t xml:space="preserve"> </w:t>
      </w:r>
      <w:r>
        <w:t>hours for reporting).</w:t>
      </w:r>
      <w:r>
        <w:rPr>
          <w:spacing w:val="80"/>
          <w:w w:val="150"/>
        </w:rPr>
        <w:t xml:space="preserve"> </w:t>
      </w:r>
      <w:r>
        <w:t>We recognize the burden hours may vary depending on the HO/CO size and complexity.</w:t>
      </w:r>
      <w:r>
        <w:rPr>
          <w:spacing w:val="80"/>
          <w:w w:val="150"/>
        </w:rPr>
        <w:t xml:space="preserve"> </w:t>
      </w:r>
      <w:r>
        <w:t>We invite public comment on the burden hours as well as the staffing requirements utilized to compile and complete the Medicare cost report.</w:t>
      </w:r>
    </w:p>
    <w:p w:rsidR="00B60A79" w14:paraId="7D18CEF6" w14:textId="77777777">
      <w:pPr>
        <w:pStyle w:val="BodyText"/>
        <w:spacing w:before="1"/>
        <w:ind w:left="0"/>
      </w:pPr>
    </w:p>
    <w:p w:rsidR="00B60A79" w14:paraId="3BC8A350" w14:textId="77777777">
      <w:pPr>
        <w:pStyle w:val="BodyText"/>
        <w:ind w:right="186"/>
      </w:pPr>
      <w:r>
        <w:t>We</w:t>
      </w:r>
      <w:r>
        <w:rPr>
          <w:spacing w:val="-3"/>
        </w:rPr>
        <w:t xml:space="preserve"> </w:t>
      </w:r>
      <w:r>
        <w:t>calculated</w:t>
      </w:r>
      <w:r>
        <w:rPr>
          <w:spacing w:val="-3"/>
        </w:rPr>
        <w:t xml:space="preserve"> </w:t>
      </w:r>
      <w:r>
        <w:t>the</w:t>
      </w:r>
      <w:r>
        <w:rPr>
          <w:spacing w:val="-3"/>
        </w:rPr>
        <w:t xml:space="preserve"> </w:t>
      </w:r>
      <w:r>
        <w:t>annual</w:t>
      </w:r>
      <w:r>
        <w:rPr>
          <w:spacing w:val="-3"/>
        </w:rPr>
        <w:t xml:space="preserve"> </w:t>
      </w:r>
      <w:r>
        <w:t>burden</w:t>
      </w:r>
      <w:r>
        <w:rPr>
          <w:spacing w:val="-3"/>
        </w:rPr>
        <w:t xml:space="preserve"> </w:t>
      </w:r>
      <w:r>
        <w:t>hours</w:t>
      </w:r>
      <w:r>
        <w:rPr>
          <w:spacing w:val="-3"/>
        </w:rPr>
        <w:t xml:space="preserve"> </w:t>
      </w:r>
      <w:r>
        <w:t>as</w:t>
      </w:r>
      <w:r>
        <w:rPr>
          <w:spacing w:val="-3"/>
        </w:rPr>
        <w:t xml:space="preserve"> </w:t>
      </w:r>
      <w:r>
        <w:t>follows:</w:t>
      </w:r>
      <w:r>
        <w:rPr>
          <w:spacing w:val="80"/>
        </w:rPr>
        <w:t xml:space="preserve"> </w:t>
      </w:r>
      <w:r>
        <w:t>1,646</w:t>
      </w:r>
      <w:r>
        <w:rPr>
          <w:spacing w:val="-3"/>
        </w:rPr>
        <w:t xml:space="preserve"> </w:t>
      </w:r>
      <w:r>
        <w:t>HO/COs</w:t>
      </w:r>
      <w:r>
        <w:rPr>
          <w:spacing w:val="-3"/>
        </w:rPr>
        <w:t xml:space="preserve"> </w:t>
      </w:r>
      <w:r>
        <w:t>multiplied</w:t>
      </w:r>
      <w:r>
        <w:rPr>
          <w:spacing w:val="-3"/>
        </w:rPr>
        <w:t xml:space="preserve"> </w:t>
      </w:r>
      <w:r>
        <w:t>by</w:t>
      </w:r>
      <w:r>
        <w:rPr>
          <w:spacing w:val="-3"/>
        </w:rPr>
        <w:t xml:space="preserve"> </w:t>
      </w:r>
      <w:r>
        <w:t>466 hours per HO/CO equals 767,036 annual burden hours.</w:t>
      </w:r>
    </w:p>
    <w:p w:rsidR="00B60A79" w14:paraId="1B2DF5ED" w14:textId="77777777">
      <w:pPr>
        <w:pStyle w:val="BodyText"/>
        <w:ind w:left="0"/>
      </w:pPr>
    </w:p>
    <w:p w:rsidR="00B60A79" w14:paraId="4D4051F9" w14:textId="77777777">
      <w:pPr>
        <w:pStyle w:val="BodyText"/>
        <w:ind w:left="819" w:right="133"/>
      </w:pPr>
      <w:r>
        <w:t>The</w:t>
      </w:r>
      <w:r>
        <w:rPr>
          <w:spacing w:val="-4"/>
        </w:rPr>
        <w:t xml:space="preserve"> </w:t>
      </w:r>
      <w:r>
        <w:t>328</w:t>
      </w:r>
      <w:r>
        <w:rPr>
          <w:spacing w:val="-4"/>
        </w:rPr>
        <w:t xml:space="preserve"> </w:t>
      </w:r>
      <w:r>
        <w:t>hours</w:t>
      </w:r>
      <w:r>
        <w:rPr>
          <w:spacing w:val="-4"/>
        </w:rPr>
        <w:t xml:space="preserve"> </w:t>
      </w:r>
      <w:r>
        <w:t>for</w:t>
      </w:r>
      <w:r>
        <w:rPr>
          <w:spacing w:val="-4"/>
        </w:rPr>
        <w:t xml:space="preserve"> </w:t>
      </w:r>
      <w:r>
        <w:t>recordkeeping</w:t>
      </w:r>
      <w:r>
        <w:rPr>
          <w:spacing w:val="-4"/>
        </w:rPr>
        <w:t xml:space="preserve"> </w:t>
      </w:r>
      <w:r>
        <w:t>include</w:t>
      </w:r>
      <w:r>
        <w:rPr>
          <w:spacing w:val="-4"/>
        </w:rPr>
        <w:t xml:space="preserve"> </w:t>
      </w:r>
      <w:r>
        <w:t>hours</w:t>
      </w:r>
      <w:r>
        <w:rPr>
          <w:spacing w:val="-4"/>
        </w:rPr>
        <w:t xml:space="preserve"> </w:t>
      </w:r>
      <w:r>
        <w:t>for</w:t>
      </w:r>
      <w:r>
        <w:rPr>
          <w:spacing w:val="-4"/>
        </w:rPr>
        <w:t xml:space="preserve"> </w:t>
      </w:r>
      <w:r>
        <w:t>bookkeeping,</w:t>
      </w:r>
      <w:r>
        <w:rPr>
          <w:spacing w:val="-4"/>
        </w:rPr>
        <w:t xml:space="preserve"> </w:t>
      </w:r>
      <w:r>
        <w:t>accounting</w:t>
      </w:r>
      <w:r>
        <w:rPr>
          <w:spacing w:val="-4"/>
        </w:rPr>
        <w:t xml:space="preserve"> </w:t>
      </w:r>
      <w:r>
        <w:t>and</w:t>
      </w:r>
      <w:r>
        <w:rPr>
          <w:spacing w:val="-4"/>
        </w:rPr>
        <w:t xml:space="preserve"> </w:t>
      </w:r>
      <w:r>
        <w:t>auditing clerks; the 138 hours for reporting include accounting and audit professionals’ activities. Based on the most recent Bureau of Labor Statistics (BLS) in its 2022 Occupation Outlook Handbook, the mean hourly wage for Category 43-3031 (</w:t>
      </w:r>
      <w:hyperlink r:id="rId4">
        <w:r>
          <w:rPr>
            <w:color w:val="0000FF"/>
            <w:u w:val="single" w:color="0000FF"/>
          </w:rPr>
          <w:t>https://www.bls.gov/oes/current/oes433031.htm</w:t>
        </w:r>
      </w:hyperlink>
      <w:r>
        <w:t>), for bookkeeping, accounting and auditing clerks, is $23.84.</w:t>
      </w:r>
      <w:r>
        <w:rPr>
          <w:spacing w:val="80"/>
          <w:w w:val="150"/>
        </w:rPr>
        <w:t xml:space="preserve"> </w:t>
      </w:r>
      <w:r>
        <w:t>We added 100% of the mean hourly wage to account for fringe benefits and overhead costs, which calculates to $47.68 ($23.84 + $23.84) and multiplied it by 328 hours to determine the annual recordkeeping costs per HO/CO to be</w:t>
      </w:r>
    </w:p>
    <w:p w:rsidR="00B60A79" w14:paraId="3795A53C" w14:textId="77777777">
      <w:pPr>
        <w:pStyle w:val="BodyText"/>
      </w:pPr>
      <w:r>
        <w:t xml:space="preserve">$15,639.04 ($47.68 x 328 </w:t>
      </w:r>
      <w:r>
        <w:rPr>
          <w:spacing w:val="-2"/>
        </w:rPr>
        <w:t>hours).</w:t>
      </w:r>
    </w:p>
    <w:p w:rsidR="00B60A79" w14:paraId="02F0B83B" w14:textId="77777777">
      <w:pPr>
        <w:pStyle w:val="BodyText"/>
        <w:ind w:left="0"/>
      </w:pPr>
    </w:p>
    <w:p w:rsidR="00B60A79" w14:paraId="67D86335" w14:textId="77777777">
      <w:pPr>
        <w:pStyle w:val="BodyText"/>
      </w:pPr>
      <w:r>
        <w:t>The</w:t>
      </w:r>
      <w:r>
        <w:rPr>
          <w:spacing w:val="-5"/>
        </w:rPr>
        <w:t xml:space="preserve"> </w:t>
      </w:r>
      <w:r>
        <w:t>mean</w:t>
      </w:r>
      <w:r>
        <w:rPr>
          <w:spacing w:val="-5"/>
        </w:rPr>
        <w:t xml:space="preserve"> </w:t>
      </w:r>
      <w:r>
        <w:t>hourly</w:t>
      </w:r>
      <w:r>
        <w:rPr>
          <w:spacing w:val="-5"/>
        </w:rPr>
        <w:t xml:space="preserve"> </w:t>
      </w:r>
      <w:r>
        <w:t>wage</w:t>
      </w:r>
      <w:r>
        <w:rPr>
          <w:spacing w:val="-5"/>
        </w:rPr>
        <w:t xml:space="preserve"> </w:t>
      </w:r>
      <w:r>
        <w:t>for</w:t>
      </w:r>
      <w:r>
        <w:rPr>
          <w:spacing w:val="-5"/>
        </w:rPr>
        <w:t xml:space="preserve"> </w:t>
      </w:r>
      <w:r>
        <w:t>Category</w:t>
      </w:r>
      <w:r>
        <w:rPr>
          <w:spacing w:val="-7"/>
        </w:rPr>
        <w:t xml:space="preserve"> </w:t>
      </w:r>
      <w:r>
        <w:t>13-2011</w:t>
      </w:r>
      <w:r>
        <w:rPr>
          <w:spacing w:val="-5"/>
        </w:rPr>
        <w:t xml:space="preserve"> </w:t>
      </w:r>
      <w:r>
        <w:t>(</w:t>
      </w:r>
      <w:hyperlink r:id="rId5">
        <w:r>
          <w:rPr>
            <w:color w:val="0000FF"/>
            <w:u w:val="single" w:color="0000FF"/>
          </w:rPr>
          <w:t>www.bls.gov/oes/current/oes132011.htm</w:t>
        </w:r>
      </w:hyperlink>
      <w:r>
        <w:t>), for accounting and audit professionals, is $43.65.</w:t>
      </w:r>
      <w:r>
        <w:rPr>
          <w:spacing w:val="80"/>
        </w:rPr>
        <w:t xml:space="preserve"> </w:t>
      </w:r>
      <w:r>
        <w:t>We added 100% of the mean hourly wage to account for fringe and overhead benefits, which calculates to $87.30 ($43.65 +</w:t>
      </w:r>
    </w:p>
    <w:p w:rsidR="00B60A79" w14:paraId="7362D5CC" w14:textId="77777777">
      <w:pPr>
        <w:pStyle w:val="BodyText"/>
        <w:ind w:right="186"/>
      </w:pPr>
      <w:r>
        <w:t>$43.65)</w:t>
      </w:r>
      <w:r>
        <w:rPr>
          <w:spacing w:val="-3"/>
        </w:rPr>
        <w:t xml:space="preserve"> </w:t>
      </w:r>
      <w:r>
        <w:t>and</w:t>
      </w:r>
      <w:r>
        <w:rPr>
          <w:spacing w:val="-5"/>
        </w:rPr>
        <w:t xml:space="preserve"> </w:t>
      </w:r>
      <w:r>
        <w:t>multiplied</w:t>
      </w:r>
      <w:r>
        <w:rPr>
          <w:spacing w:val="-3"/>
        </w:rPr>
        <w:t xml:space="preserve"> </w:t>
      </w:r>
      <w:r>
        <w:t>it</w:t>
      </w:r>
      <w:r>
        <w:rPr>
          <w:spacing w:val="-4"/>
        </w:rPr>
        <w:t xml:space="preserve"> </w:t>
      </w:r>
      <w:r>
        <w:t>by</w:t>
      </w:r>
      <w:r>
        <w:rPr>
          <w:spacing w:val="-3"/>
        </w:rPr>
        <w:t xml:space="preserve"> </w:t>
      </w:r>
      <w:r>
        <w:t>138</w:t>
      </w:r>
      <w:r>
        <w:rPr>
          <w:spacing w:val="-3"/>
        </w:rPr>
        <w:t xml:space="preserve"> </w:t>
      </w:r>
      <w:r>
        <w:t>hours</w:t>
      </w:r>
      <w:r>
        <w:rPr>
          <w:spacing w:val="-3"/>
        </w:rPr>
        <w:t xml:space="preserve"> </w:t>
      </w:r>
      <w:r>
        <w:t>to</w:t>
      </w:r>
      <w:r>
        <w:rPr>
          <w:spacing w:val="-3"/>
        </w:rPr>
        <w:t xml:space="preserve"> </w:t>
      </w:r>
      <w:r>
        <w:t>determine</w:t>
      </w:r>
      <w:r>
        <w:rPr>
          <w:spacing w:val="-3"/>
        </w:rPr>
        <w:t xml:space="preserve"> </w:t>
      </w:r>
      <w:r>
        <w:t>the</w:t>
      </w:r>
      <w:r>
        <w:rPr>
          <w:spacing w:val="-3"/>
        </w:rPr>
        <w:t xml:space="preserve"> </w:t>
      </w:r>
      <w:r>
        <w:t>annual</w:t>
      </w:r>
      <w:r>
        <w:rPr>
          <w:spacing w:val="-3"/>
        </w:rPr>
        <w:t xml:space="preserve"> </w:t>
      </w:r>
      <w:r>
        <w:t>reporting</w:t>
      </w:r>
      <w:r>
        <w:rPr>
          <w:spacing w:val="-5"/>
        </w:rPr>
        <w:t xml:space="preserve"> </w:t>
      </w:r>
      <w:r>
        <w:t>costs</w:t>
      </w:r>
      <w:r>
        <w:rPr>
          <w:spacing w:val="-3"/>
        </w:rPr>
        <w:t xml:space="preserve"> </w:t>
      </w:r>
      <w:r>
        <w:t>per</w:t>
      </w:r>
      <w:r>
        <w:rPr>
          <w:spacing w:val="-3"/>
        </w:rPr>
        <w:t xml:space="preserve"> </w:t>
      </w:r>
      <w:r>
        <w:t>home office to be $12,047.40 ($87.30 x 138 hours).</w:t>
      </w:r>
      <w:r>
        <w:rPr>
          <w:spacing w:val="80"/>
          <w:w w:val="150"/>
        </w:rPr>
        <w:t xml:space="preserve"> </w:t>
      </w:r>
      <w:r>
        <w:t>We calculated the total annual cost per</w:t>
      </w:r>
    </w:p>
    <w:p w:rsidR="00B60A79" w14:paraId="31B0F962" w14:textId="77777777">
      <w:pPr>
        <w:sectPr>
          <w:pgSz w:w="12240" w:h="15840"/>
          <w:pgMar w:top="1700" w:right="1320" w:bottom="280" w:left="1340" w:header="720" w:footer="720" w:gutter="0"/>
          <w:cols w:space="720"/>
        </w:sectPr>
      </w:pPr>
    </w:p>
    <w:p w:rsidR="00B60A79" w14:paraId="6D5BEB42" w14:textId="77777777">
      <w:pPr>
        <w:pStyle w:val="BodyText"/>
        <w:spacing w:before="60"/>
        <w:ind w:left="819"/>
      </w:pPr>
      <w:r>
        <w:t>HO/CO</w:t>
      </w:r>
      <w:r>
        <w:rPr>
          <w:spacing w:val="-4"/>
        </w:rPr>
        <w:t xml:space="preserve"> </w:t>
      </w:r>
      <w:r>
        <w:t>of</w:t>
      </w:r>
      <w:r>
        <w:rPr>
          <w:spacing w:val="-3"/>
        </w:rPr>
        <w:t xml:space="preserve"> </w:t>
      </w:r>
      <w:r>
        <w:t>$27,686.44</w:t>
      </w:r>
      <w:r>
        <w:rPr>
          <w:spacing w:val="-3"/>
        </w:rPr>
        <w:t xml:space="preserve"> </w:t>
      </w:r>
      <w:r>
        <w:t>by</w:t>
      </w:r>
      <w:r>
        <w:rPr>
          <w:spacing w:val="-3"/>
        </w:rPr>
        <w:t xml:space="preserve"> </w:t>
      </w:r>
      <w:r>
        <w:t>adding</w:t>
      </w:r>
      <w:r>
        <w:rPr>
          <w:spacing w:val="-3"/>
        </w:rPr>
        <w:t xml:space="preserve"> </w:t>
      </w:r>
      <w:r>
        <w:t>the</w:t>
      </w:r>
      <w:r>
        <w:rPr>
          <w:spacing w:val="-4"/>
        </w:rPr>
        <w:t xml:space="preserve"> </w:t>
      </w:r>
      <w:r>
        <w:t>recordkeeping</w:t>
      </w:r>
      <w:r>
        <w:rPr>
          <w:spacing w:val="-3"/>
        </w:rPr>
        <w:t xml:space="preserve"> </w:t>
      </w:r>
      <w:r>
        <w:t>costs</w:t>
      </w:r>
      <w:r>
        <w:rPr>
          <w:spacing w:val="-3"/>
        </w:rPr>
        <w:t xml:space="preserve"> </w:t>
      </w:r>
      <w:r>
        <w:t>of</w:t>
      </w:r>
      <w:r>
        <w:rPr>
          <w:spacing w:val="-3"/>
        </w:rPr>
        <w:t xml:space="preserve"> </w:t>
      </w:r>
      <w:r>
        <w:t>$15,639.04</w:t>
      </w:r>
      <w:r>
        <w:rPr>
          <w:spacing w:val="-3"/>
        </w:rPr>
        <w:t xml:space="preserve"> </w:t>
      </w:r>
      <w:r>
        <w:t>plus</w:t>
      </w:r>
      <w:r>
        <w:rPr>
          <w:spacing w:val="-3"/>
        </w:rPr>
        <w:t xml:space="preserve"> </w:t>
      </w:r>
      <w:r>
        <w:t>the</w:t>
      </w:r>
      <w:r>
        <w:rPr>
          <w:spacing w:val="-3"/>
        </w:rPr>
        <w:t xml:space="preserve"> </w:t>
      </w:r>
      <w:r>
        <w:t>reporting costs of $12,047.40.</w:t>
      </w:r>
      <w:r>
        <w:rPr>
          <w:spacing w:val="80"/>
        </w:rPr>
        <w:t xml:space="preserve"> </w:t>
      </w:r>
      <w:r>
        <w:t>We estimated the total annual cost to be $45,571,880 ($27,686.44 times 1,646 home offices, rounded).</w:t>
      </w:r>
    </w:p>
    <w:p w:rsidR="00B60A79" w14:paraId="7A5D27D4" w14:textId="77777777">
      <w:pPr>
        <w:pStyle w:val="BodyText"/>
        <w:ind w:left="0"/>
      </w:pPr>
    </w:p>
    <w:p w:rsidR="00B60A79" w14:paraId="62CDDCBC" w14:textId="77777777">
      <w:pPr>
        <w:pStyle w:val="ListParagraph"/>
        <w:numPr>
          <w:ilvl w:val="1"/>
          <w:numId w:val="1"/>
        </w:numPr>
        <w:tabs>
          <w:tab w:val="left" w:pos="820"/>
        </w:tabs>
        <w:rPr>
          <w:sz w:val="24"/>
        </w:rPr>
      </w:pPr>
      <w:bookmarkStart w:id="14" w:name="13._Capital_Cost"/>
      <w:bookmarkEnd w:id="14"/>
      <w:r>
        <w:rPr>
          <w:sz w:val="24"/>
          <w:u w:val="single"/>
        </w:rPr>
        <w:t>Capital</w:t>
      </w:r>
      <w:r>
        <w:rPr>
          <w:spacing w:val="-3"/>
          <w:sz w:val="24"/>
          <w:u w:val="single"/>
        </w:rPr>
        <w:t xml:space="preserve"> </w:t>
      </w:r>
      <w:r>
        <w:rPr>
          <w:spacing w:val="-4"/>
          <w:sz w:val="24"/>
          <w:u w:val="single"/>
        </w:rPr>
        <w:t>Cost</w:t>
      </w:r>
    </w:p>
    <w:p w:rsidR="00B60A79" w14:paraId="0E9A07B8" w14:textId="77777777">
      <w:pPr>
        <w:pStyle w:val="BodyText"/>
        <w:ind w:left="0"/>
      </w:pPr>
    </w:p>
    <w:p w:rsidR="00B60A79" w14:paraId="4626D524" w14:textId="77777777">
      <w:pPr>
        <w:pStyle w:val="BodyText"/>
      </w:pPr>
      <w:r>
        <w:t>There</w:t>
      </w:r>
      <w:r>
        <w:rPr>
          <w:spacing w:val="-1"/>
        </w:rPr>
        <w:t xml:space="preserve"> </w:t>
      </w:r>
      <w:r>
        <w:t>are</w:t>
      </w:r>
      <w:r>
        <w:rPr>
          <w:spacing w:val="-1"/>
        </w:rPr>
        <w:t xml:space="preserve"> </w:t>
      </w:r>
      <w:r>
        <w:t>no</w:t>
      </w:r>
      <w:r>
        <w:rPr>
          <w:spacing w:val="-3"/>
        </w:rPr>
        <w:t xml:space="preserve"> </w:t>
      </w:r>
      <w:r>
        <w:t xml:space="preserve">capital </w:t>
      </w:r>
      <w:r>
        <w:rPr>
          <w:spacing w:val="-2"/>
        </w:rPr>
        <w:t>costs.</w:t>
      </w:r>
    </w:p>
    <w:p w:rsidR="00B60A79" w14:paraId="5ACBA1DD" w14:textId="77777777">
      <w:pPr>
        <w:pStyle w:val="BodyText"/>
        <w:ind w:left="0"/>
      </w:pPr>
    </w:p>
    <w:p w:rsidR="00B60A79" w14:paraId="510D88AE" w14:textId="77777777">
      <w:pPr>
        <w:pStyle w:val="ListParagraph"/>
        <w:numPr>
          <w:ilvl w:val="1"/>
          <w:numId w:val="1"/>
        </w:numPr>
        <w:tabs>
          <w:tab w:val="left" w:pos="820"/>
        </w:tabs>
        <w:rPr>
          <w:sz w:val="24"/>
        </w:rPr>
      </w:pPr>
      <w:bookmarkStart w:id="15" w:name="14._Cost_to_Federal_Government"/>
      <w:bookmarkEnd w:id="15"/>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Federal</w:t>
      </w:r>
      <w:r>
        <w:rPr>
          <w:spacing w:val="-1"/>
          <w:sz w:val="24"/>
          <w:u w:val="single"/>
        </w:rPr>
        <w:t xml:space="preserve"> </w:t>
      </w:r>
      <w:r>
        <w:rPr>
          <w:spacing w:val="-2"/>
          <w:sz w:val="24"/>
          <w:u w:val="single"/>
        </w:rPr>
        <w:t>Government</w:t>
      </w:r>
    </w:p>
    <w:p w:rsidR="00B60A79" w14:paraId="0F415C8C" w14:textId="77777777">
      <w:pPr>
        <w:pStyle w:val="BodyText"/>
        <w:ind w:left="0"/>
      </w:pPr>
    </w:p>
    <w:p w:rsidR="00B60A79" w14:paraId="59881876" w14:textId="77777777">
      <w:pPr>
        <w:pStyle w:val="BodyText"/>
        <w:ind w:right="186"/>
      </w:pPr>
      <w:r>
        <w:t>Annual</w:t>
      </w:r>
      <w:r>
        <w:rPr>
          <w:spacing w:val="-3"/>
        </w:rPr>
        <w:t xml:space="preserve"> </w:t>
      </w:r>
      <w:r>
        <w:t>Federal</w:t>
      </w:r>
      <w:r>
        <w:rPr>
          <w:spacing w:val="-4"/>
        </w:rPr>
        <w:t xml:space="preserve"> </w:t>
      </w:r>
      <w:r>
        <w:t>costs</w:t>
      </w:r>
      <w:r>
        <w:rPr>
          <w:spacing w:val="-4"/>
        </w:rPr>
        <w:t xml:space="preserve"> </w:t>
      </w:r>
      <w:r>
        <w:t>incurred,</w:t>
      </w:r>
      <w:r>
        <w:rPr>
          <w:spacing w:val="-3"/>
        </w:rPr>
        <w:t xml:space="preserve"> </w:t>
      </w:r>
      <w:r>
        <w:t>based</w:t>
      </w:r>
      <w:r>
        <w:rPr>
          <w:spacing w:val="-3"/>
        </w:rPr>
        <w:t xml:space="preserve"> </w:t>
      </w:r>
      <w:r>
        <w:t>on</w:t>
      </w:r>
      <w:r>
        <w:rPr>
          <w:spacing w:val="-3"/>
        </w:rPr>
        <w:t xml:space="preserve"> </w:t>
      </w:r>
      <w:r>
        <w:t>estimates</w:t>
      </w:r>
      <w:r>
        <w:rPr>
          <w:spacing w:val="-3"/>
        </w:rPr>
        <w:t xml:space="preserve"> </w:t>
      </w:r>
      <w:r>
        <w:t>provided</w:t>
      </w:r>
      <w:r>
        <w:rPr>
          <w:spacing w:val="-5"/>
        </w:rPr>
        <w:t xml:space="preserve"> </w:t>
      </w:r>
      <w:r>
        <w:t>by</w:t>
      </w:r>
      <w:r>
        <w:rPr>
          <w:spacing w:val="-3"/>
        </w:rPr>
        <w:t xml:space="preserve"> </w:t>
      </w:r>
      <w:r>
        <w:t>the</w:t>
      </w:r>
      <w:r>
        <w:rPr>
          <w:spacing w:val="-3"/>
        </w:rPr>
        <w:t xml:space="preserve"> </w:t>
      </w:r>
      <w:r>
        <w:t>OFM,</w:t>
      </w:r>
      <w:r>
        <w:rPr>
          <w:spacing w:val="-3"/>
        </w:rPr>
        <w:t xml:space="preserve"> </w:t>
      </w:r>
      <w:r>
        <w:t>for</w:t>
      </w:r>
      <w:r>
        <w:rPr>
          <w:spacing w:val="-3"/>
        </w:rPr>
        <w:t xml:space="preserve"> </w:t>
      </w:r>
      <w:r>
        <w:t>contractors processing information contained on the forms is estimated at $7,184,790.</w:t>
      </w:r>
    </w:p>
    <w:p w:rsidR="00B60A79" w14:paraId="551F4A25" w14:textId="77777777">
      <w:pPr>
        <w:pStyle w:val="BodyText"/>
        <w:ind w:left="0"/>
      </w:pPr>
    </w:p>
    <w:p w:rsidR="00B60A79" w14:paraId="2C6C6122" w14:textId="77777777">
      <w:pPr>
        <w:pStyle w:val="BodyText"/>
        <w:ind w:right="186"/>
      </w:pPr>
      <w:r>
        <w:t>Burden to the Federal government consists of an estimated 50 hours for the MAC to accept,</w:t>
      </w:r>
      <w:r>
        <w:rPr>
          <w:spacing w:val="-5"/>
        </w:rPr>
        <w:t xml:space="preserve"> </w:t>
      </w:r>
      <w:r>
        <w:t>review,</w:t>
      </w:r>
      <w:r>
        <w:rPr>
          <w:spacing w:val="-3"/>
        </w:rPr>
        <w:t xml:space="preserve"> </w:t>
      </w:r>
      <w:r>
        <w:t>validate,</w:t>
      </w:r>
      <w:r>
        <w:rPr>
          <w:spacing w:val="-5"/>
        </w:rPr>
        <w:t xml:space="preserve"> </w:t>
      </w:r>
      <w:r>
        <w:t>and</w:t>
      </w:r>
      <w:r>
        <w:rPr>
          <w:spacing w:val="-3"/>
        </w:rPr>
        <w:t xml:space="preserve"> </w:t>
      </w:r>
      <w:r>
        <w:t>finalize</w:t>
      </w:r>
      <w:r>
        <w:rPr>
          <w:spacing w:val="-4"/>
        </w:rPr>
        <w:t xml:space="preserve"> </w:t>
      </w:r>
      <w:r>
        <w:t>each</w:t>
      </w:r>
      <w:r>
        <w:rPr>
          <w:spacing w:val="-3"/>
        </w:rPr>
        <w:t xml:space="preserve"> </w:t>
      </w:r>
      <w:r>
        <w:t>home</w:t>
      </w:r>
      <w:r>
        <w:rPr>
          <w:spacing w:val="-3"/>
        </w:rPr>
        <w:t xml:space="preserve"> </w:t>
      </w:r>
      <w:r>
        <w:t>office</w:t>
      </w:r>
      <w:r>
        <w:rPr>
          <w:spacing w:val="-3"/>
        </w:rPr>
        <w:t xml:space="preserve"> </w:t>
      </w:r>
      <w:r>
        <w:t>cost</w:t>
      </w:r>
      <w:r>
        <w:rPr>
          <w:spacing w:val="-3"/>
        </w:rPr>
        <w:t xml:space="preserve"> </w:t>
      </w:r>
      <w:r>
        <w:t>statement.</w:t>
      </w:r>
      <w:r>
        <w:rPr>
          <w:spacing w:val="80"/>
          <w:w w:val="150"/>
        </w:rPr>
        <w:t xml:space="preserve"> </w:t>
      </w:r>
      <w:r>
        <w:t>The</w:t>
      </w:r>
      <w:r>
        <w:rPr>
          <w:spacing w:val="-3"/>
        </w:rPr>
        <w:t xml:space="preserve"> </w:t>
      </w:r>
      <w:r>
        <w:t>total</w:t>
      </w:r>
      <w:r>
        <w:rPr>
          <w:spacing w:val="-3"/>
        </w:rPr>
        <w:t xml:space="preserve"> </w:t>
      </w:r>
      <w:r>
        <w:t>number of home offices required to file the Form CMS-287-22 annually, according to the OFM System Tracking for Audit and Reimbursement, is 1,646.</w:t>
      </w:r>
      <w:r>
        <w:rPr>
          <w:spacing w:val="80"/>
        </w:rPr>
        <w:t xml:space="preserve"> </w:t>
      </w:r>
      <w:r>
        <w:t>We calculated the annual burden hours as follows: 1,646 home offices multiplied by 50 hours per home office equals 82,300 annual burden hours.</w:t>
      </w:r>
    </w:p>
    <w:p w:rsidR="00B60A79" w14:paraId="54D71A36" w14:textId="77777777">
      <w:pPr>
        <w:pStyle w:val="BodyText"/>
        <w:ind w:left="0"/>
      </w:pPr>
    </w:p>
    <w:p w:rsidR="00B60A79" w14:paraId="5B1560AF" w14:textId="77777777">
      <w:pPr>
        <w:pStyle w:val="BodyText"/>
        <w:spacing w:before="1"/>
        <w:ind w:right="133"/>
      </w:pPr>
      <w:r>
        <w:t xml:space="preserve">We estimated the costs to the Federal government using the mean hourly wage for Category 13-2011 </w:t>
      </w:r>
      <w:hyperlink r:id="rId5">
        <w:r>
          <w:t>www.bls.gov/oes/current/oes132011.htm</w:t>
        </w:r>
      </w:hyperlink>
      <w:r>
        <w:t xml:space="preserve"> (accounting and audit professionals)</w:t>
      </w:r>
      <w:r>
        <w:rPr>
          <w:spacing w:val="-2"/>
        </w:rPr>
        <w:t xml:space="preserve"> </w:t>
      </w:r>
      <w:r>
        <w:t>of</w:t>
      </w:r>
      <w:r>
        <w:rPr>
          <w:spacing w:val="-2"/>
        </w:rPr>
        <w:t xml:space="preserve"> </w:t>
      </w:r>
      <w:r>
        <w:t>$43.65.</w:t>
      </w:r>
      <w:r>
        <w:rPr>
          <w:spacing w:val="80"/>
        </w:rPr>
        <w:t xml:space="preserve"> </w:t>
      </w:r>
      <w:r>
        <w:t>We</w:t>
      </w:r>
      <w:r>
        <w:rPr>
          <w:spacing w:val="-2"/>
        </w:rPr>
        <w:t xml:space="preserve"> </w:t>
      </w:r>
      <w:r>
        <w:t>added</w:t>
      </w:r>
      <w:r>
        <w:rPr>
          <w:spacing w:val="-4"/>
        </w:rPr>
        <w:t xml:space="preserve"> </w:t>
      </w:r>
      <w:r>
        <w:t>100%</w:t>
      </w:r>
      <w:r>
        <w:rPr>
          <w:spacing w:val="-2"/>
        </w:rPr>
        <w:t xml:space="preserve"> </w:t>
      </w:r>
      <w:r>
        <w:t>of</w:t>
      </w:r>
      <w:r>
        <w:rPr>
          <w:spacing w:val="-2"/>
        </w:rPr>
        <w:t xml:space="preserve"> </w:t>
      </w:r>
      <w:r>
        <w:t>the</w:t>
      </w:r>
      <w:r>
        <w:rPr>
          <w:spacing w:val="-3"/>
        </w:rPr>
        <w:t xml:space="preserve"> </w:t>
      </w:r>
      <w:r>
        <w:t>mean</w:t>
      </w:r>
      <w:r>
        <w:rPr>
          <w:spacing w:val="-2"/>
        </w:rPr>
        <w:t xml:space="preserve"> </w:t>
      </w:r>
      <w:r>
        <w:t>hourly</w:t>
      </w:r>
      <w:r>
        <w:rPr>
          <w:spacing w:val="-2"/>
        </w:rPr>
        <w:t xml:space="preserve"> </w:t>
      </w:r>
      <w:r>
        <w:t>wage</w:t>
      </w:r>
      <w:r>
        <w:rPr>
          <w:spacing w:val="-2"/>
        </w:rPr>
        <w:t xml:space="preserve"> </w:t>
      </w:r>
      <w:r>
        <w:t>to</w:t>
      </w:r>
      <w:r>
        <w:rPr>
          <w:spacing w:val="-2"/>
        </w:rPr>
        <w:t xml:space="preserve"> </w:t>
      </w:r>
      <w:r>
        <w:t>account</w:t>
      </w:r>
      <w:r>
        <w:rPr>
          <w:spacing w:val="-2"/>
        </w:rPr>
        <w:t xml:space="preserve"> </w:t>
      </w:r>
      <w:r>
        <w:t>for</w:t>
      </w:r>
      <w:r>
        <w:rPr>
          <w:spacing w:val="-3"/>
        </w:rPr>
        <w:t xml:space="preserve"> </w:t>
      </w:r>
      <w:r>
        <w:t>fringe benefits and overhead costs, resulting in an hourly rate of $87.30 ($43.65 plus $43.65).</w:t>
      </w:r>
    </w:p>
    <w:p w:rsidR="00B60A79" w14:paraId="5E2AF5F6" w14:textId="77777777">
      <w:pPr>
        <w:pStyle w:val="BodyText"/>
        <w:ind w:right="186"/>
      </w:pPr>
      <w:r>
        <w:t>We</w:t>
      </w:r>
      <w:r>
        <w:rPr>
          <w:spacing w:val="-3"/>
        </w:rPr>
        <w:t xml:space="preserve"> </w:t>
      </w:r>
      <w:r>
        <w:t>multiplied</w:t>
      </w:r>
      <w:r>
        <w:rPr>
          <w:spacing w:val="-3"/>
        </w:rPr>
        <w:t xml:space="preserve"> </w:t>
      </w:r>
      <w:r>
        <w:t>the</w:t>
      </w:r>
      <w:r>
        <w:rPr>
          <w:spacing w:val="-3"/>
        </w:rPr>
        <w:t xml:space="preserve"> </w:t>
      </w:r>
      <w:r>
        <w:t>hourly</w:t>
      </w:r>
      <w:r>
        <w:rPr>
          <w:spacing w:val="-3"/>
        </w:rPr>
        <w:t xml:space="preserve"> </w:t>
      </w:r>
      <w:r>
        <w:t>rate</w:t>
      </w:r>
      <w:r>
        <w:rPr>
          <w:spacing w:val="-3"/>
        </w:rPr>
        <w:t xml:space="preserve"> </w:t>
      </w:r>
      <w:r>
        <w:t>of</w:t>
      </w:r>
      <w:r>
        <w:rPr>
          <w:spacing w:val="-3"/>
        </w:rPr>
        <w:t xml:space="preserve"> </w:t>
      </w:r>
      <w:r>
        <w:t>$87.30</w:t>
      </w:r>
      <w:r>
        <w:rPr>
          <w:spacing w:val="-3"/>
        </w:rPr>
        <w:t xml:space="preserve"> </w:t>
      </w:r>
      <w:r>
        <w:t>by</w:t>
      </w:r>
      <w:r>
        <w:rPr>
          <w:spacing w:val="-3"/>
        </w:rPr>
        <w:t xml:space="preserve"> </w:t>
      </w:r>
      <w:r>
        <w:t>the</w:t>
      </w:r>
      <w:r>
        <w:rPr>
          <w:spacing w:val="-3"/>
        </w:rPr>
        <w:t xml:space="preserve"> </w:t>
      </w:r>
      <w:r>
        <w:t>82,300</w:t>
      </w:r>
      <w:r>
        <w:rPr>
          <w:spacing w:val="-3"/>
        </w:rPr>
        <w:t xml:space="preserve"> </w:t>
      </w:r>
      <w:r>
        <w:t>annual</w:t>
      </w:r>
      <w:r>
        <w:rPr>
          <w:spacing w:val="-3"/>
        </w:rPr>
        <w:t xml:space="preserve"> </w:t>
      </w:r>
      <w:r>
        <w:t>burden</w:t>
      </w:r>
      <w:r>
        <w:rPr>
          <w:spacing w:val="-3"/>
        </w:rPr>
        <w:t xml:space="preserve"> </w:t>
      </w:r>
      <w:r>
        <w:t>hours</w:t>
      </w:r>
      <w:r>
        <w:rPr>
          <w:spacing w:val="-3"/>
        </w:rPr>
        <w:t xml:space="preserve"> </w:t>
      </w:r>
      <w:r>
        <w:t>to</w:t>
      </w:r>
      <w:r>
        <w:rPr>
          <w:spacing w:val="-3"/>
        </w:rPr>
        <w:t xml:space="preserve"> </w:t>
      </w:r>
      <w:r>
        <w:t>determine the annual costs to the Federal government of $7,184,790.</w:t>
      </w:r>
    </w:p>
    <w:p w:rsidR="00B60A79" w14:paraId="312AB6C9" w14:textId="77777777">
      <w:pPr>
        <w:pStyle w:val="BodyText"/>
        <w:spacing w:before="274"/>
        <w:ind w:left="0"/>
      </w:pPr>
    </w:p>
    <w:p w:rsidR="00B60A79" w14:paraId="4EB2FD62" w14:textId="77777777">
      <w:pPr>
        <w:pStyle w:val="ListParagraph"/>
        <w:numPr>
          <w:ilvl w:val="1"/>
          <w:numId w:val="1"/>
        </w:numPr>
        <w:tabs>
          <w:tab w:val="left" w:pos="820"/>
        </w:tabs>
        <w:rPr>
          <w:sz w:val="24"/>
        </w:rPr>
      </w:pPr>
      <w:bookmarkStart w:id="16" w:name="15._Changes_To_Burden"/>
      <w:bookmarkEnd w:id="16"/>
      <w:r>
        <w:rPr>
          <w:sz w:val="24"/>
          <w:u w:val="single"/>
        </w:rPr>
        <w:t>Changes</w:t>
      </w:r>
      <w:r>
        <w:rPr>
          <w:spacing w:val="-1"/>
          <w:sz w:val="24"/>
          <w:u w:val="single"/>
        </w:rPr>
        <w:t xml:space="preserve"> </w:t>
      </w:r>
      <w:r>
        <w:rPr>
          <w:sz w:val="24"/>
          <w:u w:val="single"/>
        </w:rPr>
        <w:t>To</w:t>
      </w:r>
      <w:r>
        <w:rPr>
          <w:spacing w:val="-1"/>
          <w:sz w:val="24"/>
          <w:u w:val="single"/>
        </w:rPr>
        <w:t xml:space="preserve"> </w:t>
      </w:r>
      <w:r>
        <w:rPr>
          <w:spacing w:val="-2"/>
          <w:sz w:val="24"/>
          <w:u w:val="single"/>
        </w:rPr>
        <w:t>Burden</w:t>
      </w:r>
    </w:p>
    <w:p w:rsidR="00B60A79" w14:paraId="43AF7391" w14:textId="77777777">
      <w:pPr>
        <w:pStyle w:val="BodyText"/>
        <w:ind w:left="0"/>
      </w:pPr>
    </w:p>
    <w:p w:rsidR="00B60A79" w14:paraId="3CF148C9" w14:textId="77777777">
      <w:pPr>
        <w:pStyle w:val="BodyText"/>
        <w:spacing w:before="1"/>
      </w:pPr>
      <w:r>
        <w:t>The</w:t>
      </w:r>
      <w:r>
        <w:rPr>
          <w:spacing w:val="-1"/>
        </w:rPr>
        <w:t xml:space="preserve"> </w:t>
      </w:r>
      <w:r>
        <w:t>changes</w:t>
      </w:r>
      <w:r>
        <w:rPr>
          <w:spacing w:val="-2"/>
        </w:rPr>
        <w:t xml:space="preserve"> </w:t>
      </w:r>
      <w:r>
        <w:t>in</w:t>
      </w:r>
      <w:r>
        <w:rPr>
          <w:spacing w:val="-1"/>
        </w:rPr>
        <w:t xml:space="preserve"> </w:t>
      </w:r>
      <w:r>
        <w:t>burden</w:t>
      </w:r>
      <w:r>
        <w:rPr>
          <w:spacing w:val="-1"/>
        </w:rPr>
        <w:t xml:space="preserve"> </w:t>
      </w:r>
      <w:r>
        <w:t>and</w:t>
      </w:r>
      <w:r>
        <w:rPr>
          <w:spacing w:val="-1"/>
        </w:rPr>
        <w:t xml:space="preserve"> </w:t>
      </w:r>
      <w:r>
        <w:t>cost</w:t>
      </w:r>
      <w:r>
        <w:rPr>
          <w:spacing w:val="-1"/>
        </w:rPr>
        <w:t xml:space="preserve"> </w:t>
      </w:r>
      <w:r>
        <w:t>for</w:t>
      </w:r>
      <w:r>
        <w:rPr>
          <w:spacing w:val="-1"/>
        </w:rPr>
        <w:t xml:space="preserve"> </w:t>
      </w:r>
      <w:r>
        <w:t>the</w:t>
      </w:r>
      <w:r>
        <w:rPr>
          <w:spacing w:val="-1"/>
        </w:rPr>
        <w:t xml:space="preserve"> </w:t>
      </w:r>
      <w:r>
        <w:t>Form</w:t>
      </w:r>
      <w:r>
        <w:rPr>
          <w:spacing w:val="-1"/>
        </w:rPr>
        <w:t xml:space="preserve"> </w:t>
      </w:r>
      <w:r>
        <w:t>CMS-287-22</w:t>
      </w:r>
      <w:r>
        <w:rPr>
          <w:spacing w:val="-3"/>
        </w:rPr>
        <w:t xml:space="preserve"> </w:t>
      </w:r>
      <w:r>
        <w:t xml:space="preserve">result </w:t>
      </w:r>
      <w:r>
        <w:rPr>
          <w:spacing w:val="-2"/>
        </w:rPr>
        <w:t>from:</w:t>
      </w:r>
    </w:p>
    <w:p w:rsidR="00B60A79" w14:paraId="0F8208F6" w14:textId="77777777">
      <w:pPr>
        <w:pStyle w:val="ListParagraph"/>
        <w:numPr>
          <w:ilvl w:val="2"/>
          <w:numId w:val="1"/>
        </w:numPr>
        <w:tabs>
          <w:tab w:val="left" w:pos="1180"/>
        </w:tabs>
        <w:spacing w:before="276"/>
        <w:ind w:right="779"/>
        <w:rPr>
          <w:sz w:val="24"/>
        </w:rPr>
      </w:pPr>
      <w:r>
        <w:rPr>
          <w:sz w:val="24"/>
        </w:rPr>
        <w:t>an</w:t>
      </w:r>
      <w:r>
        <w:rPr>
          <w:spacing w:val="-3"/>
          <w:sz w:val="24"/>
        </w:rPr>
        <w:t xml:space="preserve"> </w:t>
      </w:r>
      <w:r>
        <w:rPr>
          <w:sz w:val="24"/>
        </w:rPr>
        <w:t>increase</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respondents</w:t>
      </w:r>
      <w:r>
        <w:rPr>
          <w:spacing w:val="-3"/>
          <w:sz w:val="24"/>
        </w:rPr>
        <w:t xml:space="preserve"> </w:t>
      </w:r>
      <w:r>
        <w:rPr>
          <w:sz w:val="24"/>
        </w:rPr>
        <w:t>by</w:t>
      </w:r>
      <w:r>
        <w:rPr>
          <w:spacing w:val="-3"/>
          <w:sz w:val="24"/>
        </w:rPr>
        <w:t xml:space="preserve"> </w:t>
      </w:r>
      <w:r>
        <w:rPr>
          <w:sz w:val="24"/>
        </w:rPr>
        <w:t>20</w:t>
      </w:r>
      <w:r>
        <w:rPr>
          <w:spacing w:val="-3"/>
          <w:sz w:val="24"/>
        </w:rPr>
        <w:t xml:space="preserve"> </w:t>
      </w:r>
      <w:r>
        <w:rPr>
          <w:sz w:val="24"/>
        </w:rPr>
        <w:t>(from</w:t>
      </w:r>
      <w:r>
        <w:rPr>
          <w:spacing w:val="-3"/>
          <w:sz w:val="24"/>
        </w:rPr>
        <w:t xml:space="preserve"> </w:t>
      </w:r>
      <w:r>
        <w:rPr>
          <w:sz w:val="24"/>
        </w:rPr>
        <w:t>1,626</w:t>
      </w:r>
      <w:r>
        <w:rPr>
          <w:spacing w:val="-3"/>
          <w:sz w:val="24"/>
        </w:rPr>
        <w:t xml:space="preserve"> </w:t>
      </w:r>
      <w:r>
        <w:rPr>
          <w:sz w:val="24"/>
        </w:rPr>
        <w:t>in</w:t>
      </w:r>
      <w:r>
        <w:rPr>
          <w:spacing w:val="-3"/>
          <w:sz w:val="24"/>
        </w:rPr>
        <w:t xml:space="preserve"> </w:t>
      </w:r>
      <w:r>
        <w:rPr>
          <w:sz w:val="24"/>
        </w:rPr>
        <w:t>2020</w:t>
      </w:r>
      <w:r>
        <w:rPr>
          <w:spacing w:val="-3"/>
          <w:sz w:val="24"/>
        </w:rPr>
        <w:t xml:space="preserve"> </w:t>
      </w:r>
      <w:r>
        <w:rPr>
          <w:sz w:val="24"/>
        </w:rPr>
        <w:t>to</w:t>
      </w:r>
      <w:r>
        <w:rPr>
          <w:spacing w:val="-3"/>
          <w:sz w:val="24"/>
        </w:rPr>
        <w:t xml:space="preserve"> </w:t>
      </w:r>
      <w:r>
        <w:rPr>
          <w:sz w:val="24"/>
        </w:rPr>
        <w:t>1,646</w:t>
      </w:r>
      <w:r>
        <w:rPr>
          <w:spacing w:val="-3"/>
          <w:sz w:val="24"/>
        </w:rPr>
        <w:t xml:space="preserve"> </w:t>
      </w:r>
      <w:r>
        <w:rPr>
          <w:sz w:val="24"/>
        </w:rPr>
        <w:t>in 2024); and</w:t>
      </w:r>
    </w:p>
    <w:p w:rsidR="00B60A79" w14:paraId="0A9E72DA" w14:textId="77777777">
      <w:pPr>
        <w:pStyle w:val="ListParagraph"/>
        <w:numPr>
          <w:ilvl w:val="2"/>
          <w:numId w:val="1"/>
        </w:numPr>
        <w:tabs>
          <w:tab w:val="left" w:pos="1180"/>
        </w:tabs>
        <w:ind w:right="173"/>
        <w:rPr>
          <w:sz w:val="24"/>
        </w:rPr>
      </w:pPr>
      <w:r>
        <w:rPr>
          <w:sz w:val="24"/>
        </w:rPr>
        <w:t>increases in the hourly rates and associated administrative/overhead costs based on data from the BLS 2019 Occupation Outlook Handbook (for categories 43-3031, bookkeeping, accounting and auditing clerks, and 13-2011, accounting and audit professionals)</w:t>
      </w:r>
      <w:r>
        <w:rPr>
          <w:spacing w:val="-4"/>
          <w:sz w:val="24"/>
        </w:rPr>
        <w:t xml:space="preserve"> </w:t>
      </w:r>
      <w:r>
        <w:rPr>
          <w:sz w:val="24"/>
        </w:rPr>
        <w:t>that</w:t>
      </w:r>
      <w:r>
        <w:rPr>
          <w:spacing w:val="-4"/>
          <w:sz w:val="24"/>
        </w:rPr>
        <w:t xml:space="preserve"> </w:t>
      </w:r>
      <w:r>
        <w:rPr>
          <w:sz w:val="24"/>
        </w:rPr>
        <w:t>resulted</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increased</w:t>
      </w:r>
      <w:r>
        <w:rPr>
          <w:spacing w:val="-4"/>
          <w:sz w:val="24"/>
        </w:rPr>
        <w:t xml:space="preserve"> </w:t>
      </w:r>
      <w:r>
        <w:rPr>
          <w:sz w:val="24"/>
        </w:rPr>
        <w:t>cost</w:t>
      </w:r>
      <w:r>
        <w:rPr>
          <w:spacing w:val="-4"/>
          <w:sz w:val="24"/>
        </w:rPr>
        <w:t xml:space="preserve"> </w:t>
      </w:r>
      <w:r>
        <w:rPr>
          <w:sz w:val="24"/>
        </w:rPr>
        <w:t>per</w:t>
      </w:r>
      <w:r>
        <w:rPr>
          <w:spacing w:val="-4"/>
          <w:sz w:val="24"/>
        </w:rPr>
        <w:t xml:space="preserve"> </w:t>
      </w:r>
      <w:r>
        <w:rPr>
          <w:sz w:val="24"/>
        </w:rPr>
        <w:t>provider</w:t>
      </w:r>
      <w:r>
        <w:rPr>
          <w:spacing w:val="-5"/>
          <w:sz w:val="24"/>
        </w:rPr>
        <w:t xml:space="preserve"> </w:t>
      </w:r>
      <w:r>
        <w:rPr>
          <w:sz w:val="24"/>
        </w:rPr>
        <w:t>from</w:t>
      </w:r>
      <w:r>
        <w:rPr>
          <w:spacing w:val="-4"/>
          <w:sz w:val="24"/>
        </w:rPr>
        <w:t xml:space="preserve"> </w:t>
      </w:r>
      <w:r>
        <w:rPr>
          <w:sz w:val="24"/>
        </w:rPr>
        <w:t>$24,097.88</w:t>
      </w:r>
      <w:r>
        <w:rPr>
          <w:spacing w:val="-4"/>
          <w:sz w:val="24"/>
        </w:rPr>
        <w:t xml:space="preserve"> </w:t>
      </w:r>
      <w:r>
        <w:rPr>
          <w:sz w:val="24"/>
        </w:rPr>
        <w:t>in</w:t>
      </w:r>
      <w:r>
        <w:rPr>
          <w:spacing w:val="-4"/>
          <w:sz w:val="24"/>
        </w:rPr>
        <w:t xml:space="preserve"> </w:t>
      </w:r>
      <w:r>
        <w:rPr>
          <w:sz w:val="24"/>
        </w:rPr>
        <w:t>2020 to $27,686.44 in 2024.</w:t>
      </w:r>
    </w:p>
    <w:p w:rsidR="00B60A79" w14:paraId="7BA8D27C" w14:textId="77777777">
      <w:pPr>
        <w:pStyle w:val="BodyText"/>
        <w:ind w:left="0"/>
      </w:pPr>
    </w:p>
    <w:p w:rsidR="00B60A79" w14:paraId="169FCF38" w14:textId="77777777">
      <w:pPr>
        <w:pStyle w:val="ListParagraph"/>
        <w:numPr>
          <w:ilvl w:val="1"/>
          <w:numId w:val="1"/>
        </w:numPr>
        <w:tabs>
          <w:tab w:val="left" w:pos="820"/>
        </w:tabs>
        <w:rPr>
          <w:sz w:val="24"/>
        </w:rPr>
      </w:pPr>
      <w:bookmarkStart w:id="17" w:name="16._Publication_and_Tabulation_Dates"/>
      <w:bookmarkEnd w:id="17"/>
      <w:r>
        <w:rPr>
          <w:sz w:val="24"/>
          <w:u w:val="single"/>
        </w:rPr>
        <w:t>Publication</w:t>
      </w:r>
      <w:r>
        <w:rPr>
          <w:spacing w:val="-4"/>
          <w:sz w:val="24"/>
          <w:u w:val="single"/>
        </w:rPr>
        <w:t xml:space="preserve"> </w:t>
      </w:r>
      <w:r>
        <w:rPr>
          <w:sz w:val="24"/>
          <w:u w:val="single"/>
        </w:rPr>
        <w:t>and</w:t>
      </w:r>
      <w:r>
        <w:rPr>
          <w:spacing w:val="-2"/>
          <w:sz w:val="24"/>
          <w:u w:val="single"/>
        </w:rPr>
        <w:t xml:space="preserve"> </w:t>
      </w:r>
      <w:r>
        <w:rPr>
          <w:sz w:val="24"/>
          <w:u w:val="single"/>
        </w:rPr>
        <w:t>Tabulation</w:t>
      </w:r>
      <w:r>
        <w:rPr>
          <w:spacing w:val="-1"/>
          <w:sz w:val="24"/>
          <w:u w:val="single"/>
        </w:rPr>
        <w:t xml:space="preserve"> </w:t>
      </w:r>
      <w:r>
        <w:rPr>
          <w:spacing w:val="-2"/>
          <w:sz w:val="24"/>
          <w:u w:val="single"/>
        </w:rPr>
        <w:t>Dates</w:t>
      </w:r>
    </w:p>
    <w:p w:rsidR="00B60A79" w14:paraId="0BDD47AD" w14:textId="77777777">
      <w:pPr>
        <w:pStyle w:val="BodyText"/>
        <w:ind w:left="0"/>
      </w:pPr>
    </w:p>
    <w:p w:rsidR="00B60A79" w14:paraId="43137165" w14:textId="77777777">
      <w:pPr>
        <w:pStyle w:val="BodyText"/>
        <w:ind w:right="186"/>
      </w:pPr>
      <w:r>
        <w:t>The</w:t>
      </w:r>
      <w:r>
        <w:rPr>
          <w:spacing w:val="-3"/>
        </w:rPr>
        <w:t xml:space="preserve"> </w:t>
      </w:r>
      <w:r>
        <w:t>data</w:t>
      </w:r>
      <w:r>
        <w:rPr>
          <w:spacing w:val="-3"/>
        </w:rPr>
        <w:t xml:space="preserve"> </w:t>
      </w:r>
      <w:r>
        <w:t>submitted</w:t>
      </w:r>
      <w:r>
        <w:rPr>
          <w:spacing w:val="-3"/>
        </w:rPr>
        <w:t xml:space="preserve"> </w:t>
      </w:r>
      <w:r>
        <w:t>on</w:t>
      </w:r>
      <w:r>
        <w:rPr>
          <w:spacing w:val="-3"/>
        </w:rPr>
        <w:t xml:space="preserve"> </w:t>
      </w:r>
      <w:r>
        <w:t>the</w:t>
      </w:r>
      <w:r>
        <w:rPr>
          <w:spacing w:val="-3"/>
        </w:rPr>
        <w:t xml:space="preserve"> </w:t>
      </w:r>
      <w:r>
        <w:t>cost</w:t>
      </w:r>
      <w:r>
        <w:rPr>
          <w:spacing w:val="-3"/>
        </w:rPr>
        <w:t xml:space="preserve"> </w:t>
      </w:r>
      <w:r>
        <w:t>statement</w:t>
      </w:r>
      <w:r>
        <w:rPr>
          <w:spacing w:val="-4"/>
        </w:rPr>
        <w:t xml:space="preserve"> </w:t>
      </w:r>
      <w:r>
        <w:t>is</w:t>
      </w:r>
      <w:r>
        <w:rPr>
          <w:spacing w:val="-3"/>
        </w:rPr>
        <w:t xml:space="preserve"> </w:t>
      </w:r>
      <w:r>
        <w:t>supporting</w:t>
      </w:r>
      <w:r>
        <w:rPr>
          <w:spacing w:val="-3"/>
        </w:rPr>
        <w:t xml:space="preserve"> </w:t>
      </w:r>
      <w:r>
        <w:t>documentation</w:t>
      </w:r>
      <w:r>
        <w:rPr>
          <w:spacing w:val="-3"/>
        </w:rPr>
        <w:t xml:space="preserve"> </w:t>
      </w:r>
      <w:r>
        <w:t>and</w:t>
      </w:r>
      <w:r>
        <w:rPr>
          <w:spacing w:val="-3"/>
        </w:rPr>
        <w:t xml:space="preserve"> </w:t>
      </w:r>
      <w:r>
        <w:t>not</w:t>
      </w:r>
      <w:r>
        <w:rPr>
          <w:spacing w:val="-3"/>
        </w:rPr>
        <w:t xml:space="preserve"> </w:t>
      </w:r>
      <w:r>
        <w:t>published or tabulated.</w:t>
      </w:r>
      <w:r>
        <w:rPr>
          <w:spacing w:val="80"/>
        </w:rPr>
        <w:t xml:space="preserve"> </w:t>
      </w:r>
      <w:r>
        <w:t>The home office cost statement data is not maintained in the Healthcare Provider Cost Reporting Information System (HCRIS).</w:t>
      </w:r>
    </w:p>
    <w:p w:rsidR="00B60A79" w14:paraId="5BF1F659" w14:textId="77777777">
      <w:pPr>
        <w:pStyle w:val="BodyText"/>
        <w:ind w:left="0"/>
      </w:pPr>
    </w:p>
    <w:p w:rsidR="002923F1" w14:paraId="18AED659" w14:textId="77777777">
      <w:pPr>
        <w:pStyle w:val="BodyText"/>
        <w:ind w:left="0"/>
      </w:pPr>
    </w:p>
    <w:p w:rsidR="002923F1" w14:paraId="721B2C45" w14:textId="77777777">
      <w:pPr>
        <w:pStyle w:val="BodyText"/>
        <w:ind w:left="0"/>
      </w:pPr>
    </w:p>
    <w:p w:rsidR="002923F1" w14:paraId="64952C81" w14:textId="77777777">
      <w:pPr>
        <w:pStyle w:val="BodyText"/>
        <w:ind w:left="0"/>
      </w:pPr>
    </w:p>
    <w:p w:rsidR="002923F1" w14:paraId="2D059905" w14:textId="77777777">
      <w:pPr>
        <w:pStyle w:val="BodyText"/>
        <w:ind w:left="0"/>
      </w:pPr>
    </w:p>
    <w:p w:rsidR="002923F1" w14:paraId="1258408C" w14:textId="77777777">
      <w:pPr>
        <w:pStyle w:val="BodyText"/>
        <w:ind w:left="0"/>
      </w:pPr>
    </w:p>
    <w:p w:rsidR="00B60A79" w14:paraId="6C84992F" w14:textId="77777777">
      <w:pPr>
        <w:pStyle w:val="ListParagraph"/>
        <w:numPr>
          <w:ilvl w:val="1"/>
          <w:numId w:val="1"/>
        </w:numPr>
        <w:tabs>
          <w:tab w:val="left" w:pos="820"/>
        </w:tabs>
        <w:rPr>
          <w:sz w:val="24"/>
        </w:rPr>
      </w:pPr>
      <w:bookmarkStart w:id="18" w:name="17._Expiration_Date"/>
      <w:bookmarkEnd w:id="18"/>
      <w:r>
        <w:rPr>
          <w:sz w:val="24"/>
          <w:u w:val="single"/>
        </w:rPr>
        <w:t>Expiration</w:t>
      </w:r>
      <w:r>
        <w:rPr>
          <w:spacing w:val="-6"/>
          <w:sz w:val="24"/>
          <w:u w:val="single"/>
        </w:rPr>
        <w:t xml:space="preserve"> </w:t>
      </w:r>
      <w:r>
        <w:rPr>
          <w:spacing w:val="-4"/>
          <w:sz w:val="24"/>
          <w:u w:val="single"/>
        </w:rPr>
        <w:t>Date</w:t>
      </w:r>
    </w:p>
    <w:p w:rsidR="002923F1" w14:paraId="47073025" w14:textId="77777777">
      <w:pPr>
        <w:pStyle w:val="BodyText"/>
        <w:spacing w:before="76"/>
        <w:ind w:right="186"/>
      </w:pPr>
    </w:p>
    <w:p w:rsidR="00B60A79" w14:paraId="2821776D" w14:textId="5EB0FDD8">
      <w:pPr>
        <w:pStyle w:val="BodyText"/>
        <w:spacing w:before="76"/>
        <w:ind w:right="186"/>
      </w:pPr>
      <w:r>
        <w:t>CMS</w:t>
      </w:r>
      <w:r>
        <w:rPr>
          <w:spacing w:val="-3"/>
        </w:rPr>
        <w:t xml:space="preserve"> </w:t>
      </w:r>
      <w:r>
        <w:t>displays</w:t>
      </w:r>
      <w:r>
        <w:rPr>
          <w:spacing w:val="-3"/>
        </w:rPr>
        <w:t xml:space="preserve"> </w:t>
      </w:r>
      <w:r>
        <w:t>the</w:t>
      </w:r>
      <w:r>
        <w:rPr>
          <w:spacing w:val="-3"/>
        </w:rPr>
        <w:t xml:space="preserve"> </w:t>
      </w:r>
      <w:r>
        <w:t>expiration</w:t>
      </w:r>
      <w:r>
        <w:rPr>
          <w:spacing w:val="-3"/>
        </w:rPr>
        <w:t xml:space="preserve"> </w:t>
      </w:r>
      <w:r>
        <w:t>date</w:t>
      </w:r>
      <w:r>
        <w:rPr>
          <w:spacing w:val="-3"/>
        </w:rPr>
        <w:t xml:space="preserve"> </w:t>
      </w:r>
      <w:r>
        <w:t>on</w:t>
      </w:r>
      <w:r>
        <w:rPr>
          <w:spacing w:val="-4"/>
        </w:rPr>
        <w:t xml:space="preserve"> </w:t>
      </w:r>
      <w:r>
        <w:t>the</w:t>
      </w:r>
      <w:r>
        <w:rPr>
          <w:spacing w:val="-3"/>
        </w:rPr>
        <w:t xml:space="preserve"> </w:t>
      </w:r>
      <w:r>
        <w:t>first</w:t>
      </w:r>
      <w:r>
        <w:rPr>
          <w:spacing w:val="-3"/>
        </w:rPr>
        <w:t xml:space="preserve"> </w:t>
      </w:r>
      <w:r>
        <w:t>page</w:t>
      </w:r>
      <w:r>
        <w:rPr>
          <w:spacing w:val="-3"/>
        </w:rPr>
        <w:t xml:space="preserve"> </w:t>
      </w:r>
      <w:r>
        <w:t>of</w:t>
      </w:r>
      <w:r>
        <w:rPr>
          <w:spacing w:val="-3"/>
        </w:rPr>
        <w:t xml:space="preserve"> </w:t>
      </w:r>
      <w:r>
        <w:t>the</w:t>
      </w:r>
      <w:r>
        <w:rPr>
          <w:spacing w:val="-3"/>
        </w:rPr>
        <w:t xml:space="preserve"> </w:t>
      </w:r>
      <w:r>
        <w:t>data</w:t>
      </w:r>
      <w:r>
        <w:rPr>
          <w:spacing w:val="-3"/>
        </w:rPr>
        <w:t xml:space="preserve"> </w:t>
      </w:r>
      <w:r>
        <w:t>collection</w:t>
      </w:r>
      <w:r>
        <w:rPr>
          <w:spacing w:val="-4"/>
        </w:rPr>
        <w:t xml:space="preserve"> </w:t>
      </w:r>
      <w:r>
        <w:t>instrument</w:t>
      </w:r>
      <w:r>
        <w:rPr>
          <w:spacing w:val="-3"/>
        </w:rPr>
        <w:t xml:space="preserve"> </w:t>
      </w:r>
      <w:r>
        <w:t>in</w:t>
      </w:r>
      <w:r>
        <w:rPr>
          <w:spacing w:val="-4"/>
        </w:rPr>
        <w:t xml:space="preserve"> </w:t>
      </w:r>
      <w:r>
        <w:t>the upper right corner.</w:t>
      </w:r>
      <w:r>
        <w:rPr>
          <w:spacing w:val="80"/>
          <w:w w:val="150"/>
        </w:rPr>
        <w:t xml:space="preserve"> </w:t>
      </w:r>
      <w:r>
        <w:t>The PRA disclosure statement with expiration date appears in the instructions on page 48-6.</w:t>
      </w:r>
    </w:p>
    <w:p w:rsidR="00B60A79" w14:paraId="26EF5024" w14:textId="77777777">
      <w:pPr>
        <w:pStyle w:val="BodyText"/>
        <w:ind w:left="0"/>
      </w:pPr>
    </w:p>
    <w:p w:rsidR="00B60A79" w14:paraId="45E229C1" w14:textId="77777777">
      <w:pPr>
        <w:pStyle w:val="ListParagraph"/>
        <w:numPr>
          <w:ilvl w:val="1"/>
          <w:numId w:val="1"/>
        </w:numPr>
        <w:tabs>
          <w:tab w:val="left" w:pos="820"/>
        </w:tabs>
        <w:rPr>
          <w:sz w:val="24"/>
        </w:rPr>
      </w:pPr>
      <w:bookmarkStart w:id="19" w:name="18._Certification_Statement"/>
      <w:bookmarkEnd w:id="19"/>
      <w:r>
        <w:rPr>
          <w:sz w:val="24"/>
          <w:u w:val="single"/>
        </w:rPr>
        <w:t>Certification</w:t>
      </w:r>
      <w:r>
        <w:rPr>
          <w:spacing w:val="-5"/>
          <w:sz w:val="24"/>
          <w:u w:val="single"/>
        </w:rPr>
        <w:t xml:space="preserve"> </w:t>
      </w:r>
      <w:r>
        <w:rPr>
          <w:spacing w:val="-2"/>
          <w:sz w:val="24"/>
          <w:u w:val="single"/>
        </w:rPr>
        <w:t>Statement</w:t>
      </w:r>
    </w:p>
    <w:p w:rsidR="00B60A79" w14:paraId="10689F31" w14:textId="77777777">
      <w:pPr>
        <w:pStyle w:val="BodyText"/>
        <w:ind w:left="0"/>
      </w:pPr>
    </w:p>
    <w:p w:rsidR="00B60A79" w14:paraId="18AFD89F" w14:textId="77777777">
      <w:pPr>
        <w:pStyle w:val="BodyText"/>
      </w:pPr>
      <w:r>
        <w:t>There</w:t>
      </w:r>
      <w:r>
        <w:rPr>
          <w:spacing w:val="-1"/>
        </w:rPr>
        <w:t xml:space="preserve"> </w:t>
      </w:r>
      <w:r>
        <w:t>are</w:t>
      </w:r>
      <w:r>
        <w:rPr>
          <w:spacing w:val="-2"/>
        </w:rPr>
        <w:t xml:space="preserve"> </w:t>
      </w:r>
      <w:r>
        <w:t>no</w:t>
      </w:r>
      <w:r>
        <w:rPr>
          <w:spacing w:val="-2"/>
        </w:rPr>
        <w:t xml:space="preserve"> </w:t>
      </w:r>
      <w:r>
        <w:t>exceptions</w:t>
      </w:r>
      <w:r>
        <w:rPr>
          <w:spacing w:val="-1"/>
        </w:rPr>
        <w:t xml:space="preserve"> </w:t>
      </w:r>
      <w:r>
        <w:t>to</w:t>
      </w:r>
      <w:r>
        <w:rPr>
          <w:spacing w:val="-2"/>
        </w:rPr>
        <w:t xml:space="preserve"> </w:t>
      </w:r>
      <w:r>
        <w:t>the</w:t>
      </w:r>
      <w:r>
        <w:rPr>
          <w:spacing w:val="-1"/>
        </w:rPr>
        <w:t xml:space="preserve"> </w:t>
      </w:r>
      <w:r>
        <w:t>certification</w:t>
      </w:r>
      <w:r>
        <w:rPr>
          <w:spacing w:val="-1"/>
        </w:rPr>
        <w:t xml:space="preserve"> </w:t>
      </w:r>
      <w:r>
        <w:rPr>
          <w:spacing w:val="-2"/>
        </w:rPr>
        <w:t>statement.</w:t>
      </w:r>
    </w:p>
    <w:p w:rsidR="00B60A79" w14:paraId="2D15F99F" w14:textId="77777777">
      <w:pPr>
        <w:pStyle w:val="BodyText"/>
        <w:ind w:left="0"/>
      </w:pPr>
    </w:p>
    <w:p w:rsidR="00B60A79" w14:paraId="3F160288" w14:textId="77777777">
      <w:pPr>
        <w:pStyle w:val="Heading1"/>
        <w:numPr>
          <w:ilvl w:val="0"/>
          <w:numId w:val="1"/>
        </w:numPr>
        <w:tabs>
          <w:tab w:val="left" w:pos="459"/>
        </w:tabs>
        <w:ind w:left="459" w:hanging="359"/>
      </w:pPr>
      <w:bookmarkStart w:id="20" w:name="C._STATISTICAL_METHODS"/>
      <w:bookmarkEnd w:id="20"/>
      <w:r>
        <w:rPr>
          <w:u w:val="single"/>
        </w:rPr>
        <w:t>STATISTICAL</w:t>
      </w:r>
      <w:r>
        <w:rPr>
          <w:spacing w:val="-7"/>
          <w:u w:val="single"/>
        </w:rPr>
        <w:t xml:space="preserve"> </w:t>
      </w:r>
      <w:r>
        <w:rPr>
          <w:spacing w:val="-2"/>
          <w:u w:val="single"/>
        </w:rPr>
        <w:t>METHODS</w:t>
      </w:r>
    </w:p>
    <w:p w:rsidR="00B60A79" w14:paraId="4A6BF6F8" w14:textId="77777777">
      <w:pPr>
        <w:pStyle w:val="BodyText"/>
        <w:ind w:left="0"/>
        <w:rPr>
          <w:b/>
        </w:rPr>
      </w:pPr>
    </w:p>
    <w:p w:rsidR="00B60A79" w14:paraId="2AEE6096" w14:textId="77777777">
      <w:pPr>
        <w:pStyle w:val="BodyText"/>
        <w:ind w:left="460"/>
      </w:pPr>
      <w:r>
        <w:t>There</w:t>
      </w:r>
      <w:r>
        <w:rPr>
          <w:spacing w:val="-2"/>
        </w:rPr>
        <w:t xml:space="preserve"> </w:t>
      </w:r>
      <w:r>
        <w:t>are</w:t>
      </w:r>
      <w:r>
        <w:rPr>
          <w:spacing w:val="-1"/>
        </w:rPr>
        <w:t xml:space="preserve"> </w:t>
      </w:r>
      <w:r>
        <w:t>no</w:t>
      </w:r>
      <w:r>
        <w:rPr>
          <w:spacing w:val="-4"/>
        </w:rPr>
        <w:t xml:space="preserve"> </w:t>
      </w:r>
      <w:r>
        <w:t>statistical</w:t>
      </w:r>
      <w:r>
        <w:rPr>
          <w:spacing w:val="-1"/>
        </w:rPr>
        <w:t xml:space="preserve"> </w:t>
      </w:r>
      <w:r>
        <w:t>methods</w:t>
      </w:r>
      <w:r>
        <w:rPr>
          <w:spacing w:val="-1"/>
        </w:rPr>
        <w:t xml:space="preserve"> </w:t>
      </w:r>
      <w:r>
        <w:t>involved</w:t>
      </w:r>
      <w:r>
        <w:rPr>
          <w:spacing w:val="-2"/>
        </w:rPr>
        <w:t xml:space="preserve"> </w:t>
      </w:r>
      <w:r>
        <w:t>in</w:t>
      </w:r>
      <w:r>
        <w:rPr>
          <w:spacing w:val="-1"/>
        </w:rPr>
        <w:t xml:space="preserve"> </w:t>
      </w:r>
      <w:r>
        <w:t>this</w:t>
      </w:r>
      <w:r>
        <w:rPr>
          <w:spacing w:val="-1"/>
        </w:rPr>
        <w:t xml:space="preserve"> </w:t>
      </w:r>
      <w:r>
        <w:rPr>
          <w:spacing w:val="-2"/>
        </w:rPr>
        <w:t>collection.</w:t>
      </w:r>
    </w:p>
    <w:sectPr>
      <w:pgSz w:w="12240" w:h="15840"/>
      <w:pgMar w:top="16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013D7B"/>
    <w:multiLevelType w:val="hybridMultilevel"/>
    <w:tmpl w:val="97F05900"/>
    <w:lvl w:ilvl="0">
      <w:start w:val="1"/>
      <w:numFmt w:val="upperLetter"/>
      <w:lvlText w:val="%1."/>
      <w:lvlJc w:val="left"/>
      <w:pPr>
        <w:ind w:left="46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230" w:hanging="360"/>
      </w:pPr>
      <w:rPr>
        <w:rFonts w:hint="default"/>
        <w:lang w:val="en-US" w:eastAsia="en-US" w:bidi="ar-SA"/>
      </w:rPr>
    </w:lvl>
    <w:lvl w:ilvl="4">
      <w:start w:val="0"/>
      <w:numFmt w:val="bullet"/>
      <w:lvlText w:val="•"/>
      <w:lvlJc w:val="left"/>
      <w:pPr>
        <w:ind w:left="3280" w:hanging="360"/>
      </w:pPr>
      <w:rPr>
        <w:rFonts w:hint="default"/>
        <w:lang w:val="en-US" w:eastAsia="en-US" w:bidi="ar-SA"/>
      </w:rPr>
    </w:lvl>
    <w:lvl w:ilvl="5">
      <w:start w:val="0"/>
      <w:numFmt w:val="bullet"/>
      <w:lvlText w:val="•"/>
      <w:lvlJc w:val="left"/>
      <w:pPr>
        <w:ind w:left="4330" w:hanging="360"/>
      </w:pPr>
      <w:rPr>
        <w:rFonts w:hint="default"/>
        <w:lang w:val="en-US" w:eastAsia="en-US" w:bidi="ar-SA"/>
      </w:rPr>
    </w:lvl>
    <w:lvl w:ilvl="6">
      <w:start w:val="0"/>
      <w:numFmt w:val="bullet"/>
      <w:lvlText w:val="•"/>
      <w:lvlJc w:val="left"/>
      <w:pPr>
        <w:ind w:left="5380" w:hanging="360"/>
      </w:pPr>
      <w:rPr>
        <w:rFonts w:hint="default"/>
        <w:lang w:val="en-US" w:eastAsia="en-US" w:bidi="ar-SA"/>
      </w:rPr>
    </w:lvl>
    <w:lvl w:ilvl="7">
      <w:start w:val="0"/>
      <w:numFmt w:val="bullet"/>
      <w:lvlText w:val="•"/>
      <w:lvlJc w:val="left"/>
      <w:pPr>
        <w:ind w:left="6430" w:hanging="360"/>
      </w:pPr>
      <w:rPr>
        <w:rFonts w:hint="default"/>
        <w:lang w:val="en-US" w:eastAsia="en-US" w:bidi="ar-SA"/>
      </w:rPr>
    </w:lvl>
    <w:lvl w:ilvl="8">
      <w:start w:val="0"/>
      <w:numFmt w:val="bullet"/>
      <w:lvlText w:val="•"/>
      <w:lvlJc w:val="left"/>
      <w:pPr>
        <w:ind w:left="7480" w:hanging="360"/>
      </w:pPr>
      <w:rPr>
        <w:rFonts w:hint="default"/>
        <w:lang w:val="en-US" w:eastAsia="en-US" w:bidi="ar-SA"/>
      </w:rPr>
    </w:lvl>
  </w:abstractNum>
  <w:num w:numId="1" w16cid:durableId="175728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79"/>
    <w:rsid w:val="002923F1"/>
    <w:rsid w:val="0061135D"/>
    <w:rsid w:val="00652B42"/>
    <w:rsid w:val="009A29F3"/>
    <w:rsid w:val="00B60A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F7399F"/>
  <w15:docId w15:val="{8B62E51B-FCC1-4049-BD46-580CEF83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9" w:hanging="35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3031.htm" TargetMode="External" /><Relationship Id="rId5" Type="http://schemas.openxmlformats.org/officeDocument/2006/relationships/hyperlink" Target="http://www.bls.gov/oes/current/oes132011.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1950</Words>
  <Characters>11121</Characters>
  <Application>Microsoft Office Word</Application>
  <DocSecurity>0</DocSecurity>
  <Lines>92</Lines>
  <Paragraphs>26</Paragraphs>
  <ScaleCrop>false</ScaleCrop>
  <Company>CMS</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McKenzie, Stephan (CMS/OSORA)</cp:lastModifiedBy>
  <cp:revision>3</cp:revision>
  <dcterms:created xsi:type="dcterms:W3CDTF">2024-08-28T16:59:00Z</dcterms:created>
  <dcterms:modified xsi:type="dcterms:W3CDTF">2024-08-29T16:50:00Z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Acrobat PDFMaker 23 for Word</vt:lpwstr>
  </property>
  <property fmtid="{D5CDD505-2E9C-101B-9397-08002B2CF9AE}" pid="4" name="LastSaved">
    <vt:filetime>2024-08-28T00:00:00Z</vt:filetime>
  </property>
  <property fmtid="{D5CDD505-2E9C-101B-9397-08002B2CF9AE}" pid="5" name="Producer">
    <vt:lpwstr>Adobe PDF Library 23.8.75</vt:lpwstr>
  </property>
  <property fmtid="{D5CDD505-2E9C-101B-9397-08002B2CF9AE}" pid="6" name="SourceModified">
    <vt:lpwstr>D:20240501203500</vt:lpwstr>
  </property>
  <property fmtid="{D5CDD505-2E9C-101B-9397-08002B2CF9AE}" pid="7" name="_NewReviewCycle">
    <vt:lpwstr/>
  </property>
</Properties>
</file>