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8164F" w:rsidP="00675E5A" w14:paraId="2E81C6C1" w14:textId="77777777">
      <w:pPr>
        <w:widowControl/>
        <w:jc w:val="center"/>
        <w:rPr>
          <w:b/>
          <w:bCs/>
          <w:color w:val="000000"/>
          <w:sz w:val="32"/>
          <w:szCs w:val="32"/>
        </w:rPr>
      </w:pPr>
      <w:r>
        <w:rPr>
          <w:b/>
          <w:bCs/>
          <w:color w:val="000000"/>
          <w:sz w:val="32"/>
          <w:szCs w:val="32"/>
        </w:rPr>
        <w:t>Requests for OMB Review and Approval</w:t>
      </w:r>
      <w:r w:rsidR="00675E5A">
        <w:rPr>
          <w:b/>
          <w:bCs/>
          <w:color w:val="000000"/>
          <w:sz w:val="32"/>
          <w:szCs w:val="32"/>
        </w:rPr>
        <w:t xml:space="preserve"> For</w:t>
      </w:r>
    </w:p>
    <w:p w:rsidR="008B5F1D" w:rsidP="00675E5A" w14:paraId="01F39458" w14:textId="1DBA24C2">
      <w:pPr>
        <w:widowControl/>
        <w:jc w:val="center"/>
        <w:rPr>
          <w:b/>
          <w:bCs/>
          <w:color w:val="000000"/>
          <w:sz w:val="32"/>
          <w:szCs w:val="32"/>
        </w:rPr>
      </w:pPr>
      <w:bookmarkStart w:id="0" w:name="_Hlk102137355"/>
      <w:r>
        <w:rPr>
          <w:b/>
          <w:bCs/>
          <w:color w:val="000000"/>
          <w:sz w:val="32"/>
          <w:szCs w:val="32"/>
        </w:rPr>
        <w:t xml:space="preserve">Office of the </w:t>
      </w:r>
      <w:r w:rsidRPr="008B5F1D">
        <w:rPr>
          <w:b/>
          <w:bCs/>
          <w:color w:val="000000"/>
          <w:sz w:val="32"/>
          <w:szCs w:val="32"/>
        </w:rPr>
        <w:t xml:space="preserve">Assistant Secretary for Technology Policy and Office of the National Coordinator for Health Information Technology </w:t>
      </w:r>
    </w:p>
    <w:p w:rsidR="00675E5A" w:rsidRPr="00675E5A" w:rsidP="00675E5A" w14:paraId="3652EFFB" w14:textId="6A02A151">
      <w:pPr>
        <w:widowControl/>
        <w:jc w:val="center"/>
        <w:rPr>
          <w:b/>
          <w:bCs/>
          <w:color w:val="000000"/>
          <w:sz w:val="32"/>
          <w:szCs w:val="32"/>
        </w:rPr>
      </w:pPr>
      <w:r>
        <w:rPr>
          <w:b/>
          <w:bCs/>
          <w:color w:val="000000"/>
          <w:sz w:val="32"/>
          <w:szCs w:val="32"/>
        </w:rPr>
        <w:t xml:space="preserve">National Survey of </w:t>
      </w:r>
      <w:r>
        <w:rPr>
          <w:b/>
          <w:bCs/>
          <w:color w:val="000000"/>
          <w:sz w:val="32"/>
          <w:szCs w:val="32"/>
        </w:rPr>
        <w:t xml:space="preserve">Health Information </w:t>
      </w:r>
      <w:r>
        <w:rPr>
          <w:b/>
          <w:bCs/>
          <w:color w:val="000000"/>
          <w:sz w:val="32"/>
          <w:szCs w:val="32"/>
        </w:rPr>
        <w:t xml:space="preserve">Exchange </w:t>
      </w:r>
      <w:r>
        <w:rPr>
          <w:b/>
          <w:bCs/>
          <w:color w:val="000000"/>
          <w:sz w:val="32"/>
          <w:szCs w:val="32"/>
        </w:rPr>
        <w:t>Organization</w:t>
      </w:r>
      <w:r w:rsidR="00BD159E">
        <w:rPr>
          <w:b/>
          <w:bCs/>
          <w:color w:val="000000"/>
          <w:sz w:val="32"/>
          <w:szCs w:val="32"/>
        </w:rPr>
        <w:t>s</w:t>
      </w:r>
      <w:r>
        <w:rPr>
          <w:b/>
          <w:bCs/>
          <w:color w:val="000000"/>
          <w:sz w:val="32"/>
          <w:szCs w:val="32"/>
        </w:rPr>
        <w:t xml:space="preserve"> </w:t>
      </w:r>
      <w:bookmarkEnd w:id="0"/>
    </w:p>
    <w:p w:rsidR="0098164F" w14:paraId="26CD4E25" w14:textId="77777777">
      <w:pPr>
        <w:widowControl/>
        <w:rPr>
          <w:color w:val="000000"/>
          <w:sz w:val="24"/>
        </w:rPr>
      </w:pPr>
    </w:p>
    <w:p w:rsidR="0098164F" w14:paraId="2D3BB2BD" w14:textId="77777777">
      <w:pPr>
        <w:widowControl/>
        <w:rPr>
          <w:color w:val="000000"/>
          <w:sz w:val="24"/>
        </w:rPr>
      </w:pPr>
    </w:p>
    <w:p w:rsidR="0098164F" w14:paraId="6644D992" w14:textId="77777777">
      <w:pPr>
        <w:widowControl/>
        <w:rPr>
          <w:color w:val="000000"/>
          <w:sz w:val="24"/>
        </w:rPr>
      </w:pPr>
    </w:p>
    <w:p w:rsidR="0098164F" w14:paraId="7A5B98DE" w14:textId="77777777">
      <w:pPr>
        <w:widowControl/>
        <w:rPr>
          <w:color w:val="000000"/>
          <w:sz w:val="24"/>
        </w:rPr>
      </w:pPr>
    </w:p>
    <w:p w:rsidR="0098164F" w14:paraId="27046CE5" w14:textId="77777777">
      <w:pPr>
        <w:widowControl/>
        <w:rPr>
          <w:color w:val="000000"/>
          <w:sz w:val="24"/>
        </w:rPr>
      </w:pPr>
    </w:p>
    <w:p w:rsidR="00675E5A" w14:paraId="6FD24490" w14:textId="77777777">
      <w:pPr>
        <w:widowControl/>
        <w:rPr>
          <w:color w:val="000000"/>
          <w:sz w:val="24"/>
        </w:rPr>
      </w:pPr>
    </w:p>
    <w:p w:rsidR="00675E5A" w14:paraId="709D2B11" w14:textId="77777777">
      <w:pPr>
        <w:widowControl/>
        <w:rPr>
          <w:color w:val="000000"/>
          <w:sz w:val="24"/>
        </w:rPr>
      </w:pPr>
    </w:p>
    <w:p w:rsidR="00675E5A" w14:paraId="588A1499" w14:textId="77777777">
      <w:pPr>
        <w:widowControl/>
        <w:rPr>
          <w:color w:val="000000"/>
          <w:sz w:val="24"/>
        </w:rPr>
      </w:pPr>
    </w:p>
    <w:p w:rsidR="00675E5A" w14:paraId="4445214D" w14:textId="77777777">
      <w:pPr>
        <w:widowControl/>
        <w:rPr>
          <w:color w:val="000000"/>
          <w:sz w:val="24"/>
        </w:rPr>
      </w:pPr>
    </w:p>
    <w:p w:rsidR="00675E5A" w14:paraId="2B1B5A25" w14:textId="77777777">
      <w:pPr>
        <w:widowControl/>
        <w:rPr>
          <w:color w:val="000000"/>
          <w:sz w:val="24"/>
        </w:rPr>
      </w:pPr>
    </w:p>
    <w:p w:rsidR="00675E5A" w14:paraId="535E08BE" w14:textId="77777777">
      <w:pPr>
        <w:widowControl/>
        <w:rPr>
          <w:color w:val="000000"/>
          <w:sz w:val="24"/>
        </w:rPr>
      </w:pPr>
    </w:p>
    <w:p w:rsidR="00675E5A" w:rsidRPr="00F065C5" w:rsidP="00685997" w14:paraId="59824FEB" w14:textId="77777777">
      <w:pPr>
        <w:widowControl/>
        <w:jc w:val="center"/>
        <w:rPr>
          <w:color w:val="000000"/>
          <w:sz w:val="24"/>
        </w:rPr>
      </w:pPr>
      <w:r w:rsidRPr="00F065C5">
        <w:rPr>
          <w:color w:val="000000"/>
          <w:sz w:val="24"/>
        </w:rPr>
        <w:t>Submitted By:</w:t>
      </w:r>
    </w:p>
    <w:p w:rsidR="00220A52" w:rsidRPr="00F065C5" w:rsidP="00685997" w14:paraId="7740BD9D" w14:textId="75F1CAE3">
      <w:pPr>
        <w:widowControl/>
        <w:jc w:val="center"/>
        <w:rPr>
          <w:color w:val="000000"/>
          <w:sz w:val="24"/>
        </w:rPr>
      </w:pPr>
      <w:r>
        <w:rPr>
          <w:color w:val="000000"/>
          <w:sz w:val="24"/>
        </w:rPr>
        <w:t>Wei Chang</w:t>
      </w:r>
    </w:p>
    <w:p w:rsidR="0027175C" w:rsidP="00685997" w14:paraId="62250103" w14:textId="7EE5681F">
      <w:pPr>
        <w:keepLines/>
        <w:jc w:val="center"/>
        <w:rPr>
          <w:sz w:val="24"/>
        </w:rPr>
      </w:pPr>
      <w:r w:rsidRPr="00450B95">
        <w:rPr>
          <w:sz w:val="24"/>
        </w:rPr>
        <w:t xml:space="preserve">Office of the </w:t>
      </w:r>
      <w:r w:rsidRPr="008B5F1D" w:rsidR="008B5F1D">
        <w:rPr>
          <w:sz w:val="24"/>
        </w:rPr>
        <w:t xml:space="preserve">Assistant Secretary for Technology Policy and </w:t>
      </w:r>
    </w:p>
    <w:p w:rsidR="008B5F1D" w:rsidP="00685997" w14:paraId="3D032127" w14:textId="739CD1AE">
      <w:pPr>
        <w:keepLines/>
        <w:jc w:val="center"/>
        <w:rPr>
          <w:sz w:val="24"/>
        </w:rPr>
      </w:pPr>
      <w:r w:rsidRPr="008B5F1D">
        <w:rPr>
          <w:sz w:val="24"/>
        </w:rPr>
        <w:t xml:space="preserve">Office of the National Coordinator for Health Information Technology </w:t>
      </w:r>
    </w:p>
    <w:p w:rsidR="00220A52" w:rsidRPr="00F065C5" w:rsidP="00685997" w14:paraId="52A0130B" w14:textId="0991E4CC">
      <w:pPr>
        <w:keepLines/>
        <w:jc w:val="center"/>
        <w:rPr>
          <w:sz w:val="24"/>
        </w:rPr>
      </w:pPr>
      <w:r w:rsidRPr="00F065C5">
        <w:rPr>
          <w:sz w:val="24"/>
        </w:rPr>
        <w:t>U.S. Department of Health and Human Services</w:t>
      </w:r>
    </w:p>
    <w:p w:rsidR="00220A52" w:rsidRPr="00F065C5" w:rsidP="00685997" w14:paraId="62076E8D" w14:textId="289ED1E2">
      <w:pPr>
        <w:keepLines/>
        <w:jc w:val="center"/>
        <w:rPr>
          <w:sz w:val="24"/>
        </w:rPr>
      </w:pPr>
      <w:r w:rsidRPr="00F065C5">
        <w:rPr>
          <w:sz w:val="24"/>
        </w:rPr>
        <w:t xml:space="preserve">Email: </w:t>
      </w:r>
      <w:r w:rsidR="001F3763">
        <w:rPr>
          <w:sz w:val="24"/>
        </w:rPr>
        <w:t>wei.chang</w:t>
      </w:r>
      <w:r w:rsidRPr="00F065C5" w:rsidR="00056586">
        <w:rPr>
          <w:sz w:val="24"/>
        </w:rPr>
        <w:t>@</w:t>
      </w:r>
      <w:r w:rsidRPr="00F065C5" w:rsidR="00E424E6">
        <w:rPr>
          <w:sz w:val="24"/>
        </w:rPr>
        <w:t>hhs.gov</w:t>
      </w:r>
    </w:p>
    <w:p w:rsidR="00220A52" w:rsidRPr="0017106E" w:rsidP="00685997" w14:paraId="52290418" w14:textId="70B7EEDE">
      <w:pPr>
        <w:keepLines/>
        <w:jc w:val="center"/>
        <w:rPr>
          <w:sz w:val="24"/>
        </w:rPr>
      </w:pPr>
      <w:r w:rsidRPr="00F065C5">
        <w:rPr>
          <w:sz w:val="24"/>
        </w:rPr>
        <w:t>Phone: 202-</w:t>
      </w:r>
      <w:r w:rsidR="00667382">
        <w:rPr>
          <w:sz w:val="24"/>
        </w:rPr>
        <w:t>706</w:t>
      </w:r>
      <w:r w:rsidRPr="00F065C5" w:rsidR="00056586">
        <w:rPr>
          <w:sz w:val="24"/>
        </w:rPr>
        <w:t>-</w:t>
      </w:r>
      <w:r w:rsidR="00667382">
        <w:rPr>
          <w:sz w:val="24"/>
        </w:rPr>
        <w:t>8913</w:t>
      </w:r>
    </w:p>
    <w:p w:rsidR="0098164F" w:rsidRPr="0017106E" w:rsidP="00685997" w14:paraId="0A8EE3A4" w14:textId="77777777">
      <w:pPr>
        <w:widowControl/>
        <w:rPr>
          <w:color w:val="000000"/>
          <w:sz w:val="24"/>
        </w:rPr>
      </w:pPr>
    </w:p>
    <w:p w:rsidR="0098164F" w:rsidRPr="0017106E" w14:paraId="26BFB2AB" w14:textId="77777777">
      <w:pPr>
        <w:widowControl/>
        <w:rPr>
          <w:color w:val="000000"/>
          <w:sz w:val="24"/>
        </w:rPr>
      </w:pPr>
    </w:p>
    <w:p w:rsidR="00675E5A" w:rsidRPr="0017106E" w14:paraId="2336046B" w14:textId="77777777">
      <w:pPr>
        <w:widowControl/>
        <w:rPr>
          <w:color w:val="000000"/>
          <w:sz w:val="24"/>
        </w:rPr>
      </w:pPr>
    </w:p>
    <w:p w:rsidR="00675E5A" w:rsidRPr="0017106E" w14:paraId="6A543C7C" w14:textId="77777777">
      <w:pPr>
        <w:widowControl/>
        <w:rPr>
          <w:color w:val="000000"/>
          <w:sz w:val="24"/>
        </w:rPr>
      </w:pPr>
    </w:p>
    <w:p w:rsidR="00675E5A" w:rsidRPr="0017106E" w14:paraId="3CA1430E" w14:textId="77777777">
      <w:pPr>
        <w:widowControl/>
        <w:rPr>
          <w:color w:val="000000"/>
          <w:sz w:val="24"/>
        </w:rPr>
      </w:pPr>
    </w:p>
    <w:p w:rsidR="00675E5A" w:rsidP="00675E5A" w14:paraId="11963A0B" w14:textId="66157A99">
      <w:pPr>
        <w:widowControl/>
        <w:jc w:val="center"/>
        <w:rPr>
          <w:color w:val="000000"/>
          <w:sz w:val="24"/>
        </w:rPr>
      </w:pPr>
      <w:r>
        <w:rPr>
          <w:color w:val="000000"/>
          <w:sz w:val="24"/>
        </w:rPr>
        <w:t>August 1</w:t>
      </w:r>
      <w:r w:rsidR="00006E1E">
        <w:rPr>
          <w:color w:val="000000"/>
          <w:sz w:val="24"/>
        </w:rPr>
        <w:t>, 202</w:t>
      </w:r>
      <w:r w:rsidR="0026357F">
        <w:rPr>
          <w:color w:val="000000"/>
          <w:sz w:val="24"/>
        </w:rPr>
        <w:t>4</w:t>
      </w:r>
    </w:p>
    <w:p w:rsidR="00675E5A" w14:paraId="4B3D7630" w14:textId="77777777">
      <w:pPr>
        <w:widowControl/>
        <w:rPr>
          <w:color w:val="000000"/>
          <w:sz w:val="24"/>
        </w:rPr>
      </w:pPr>
    </w:p>
    <w:p w:rsidR="00675E5A" w14:paraId="0FEBE023" w14:textId="77777777">
      <w:pPr>
        <w:widowControl/>
        <w:rPr>
          <w:color w:val="000000"/>
          <w:sz w:val="24"/>
        </w:rPr>
      </w:pPr>
    </w:p>
    <w:p w:rsidR="00675E5A" w14:paraId="67026A3E" w14:textId="77777777">
      <w:pPr>
        <w:widowControl/>
        <w:rPr>
          <w:color w:val="000000"/>
          <w:sz w:val="24"/>
        </w:rPr>
      </w:pPr>
    </w:p>
    <w:p w:rsidR="00675E5A" w14:paraId="62B2A9F5" w14:textId="77777777">
      <w:pPr>
        <w:widowControl/>
        <w:rPr>
          <w:color w:val="000000"/>
          <w:sz w:val="24"/>
        </w:rPr>
      </w:pPr>
    </w:p>
    <w:p w:rsidR="00675E5A" w14:paraId="7B2F093F" w14:textId="77777777">
      <w:pPr>
        <w:widowControl/>
        <w:rPr>
          <w:color w:val="000000"/>
          <w:sz w:val="24"/>
        </w:rPr>
      </w:pPr>
    </w:p>
    <w:p w:rsidR="00675E5A" w14:paraId="5682AFA5" w14:textId="77777777">
      <w:pPr>
        <w:widowControl/>
        <w:rPr>
          <w:color w:val="000000"/>
          <w:sz w:val="24"/>
        </w:rPr>
      </w:pPr>
    </w:p>
    <w:p w:rsidR="00675E5A" w14:paraId="6E992D39" w14:textId="77777777">
      <w:pPr>
        <w:widowControl/>
        <w:rPr>
          <w:color w:val="000000"/>
          <w:sz w:val="24"/>
        </w:rPr>
      </w:pPr>
    </w:p>
    <w:p w:rsidR="00675E5A" w14:paraId="0568CD36" w14:textId="77777777">
      <w:pPr>
        <w:widowControl/>
        <w:rPr>
          <w:color w:val="000000"/>
          <w:sz w:val="24"/>
        </w:rPr>
      </w:pPr>
    </w:p>
    <w:p w:rsidR="00675E5A" w14:paraId="20953A81" w14:textId="77777777">
      <w:pPr>
        <w:widowControl/>
        <w:rPr>
          <w:color w:val="000000"/>
          <w:sz w:val="24"/>
        </w:rPr>
      </w:pPr>
    </w:p>
    <w:p w:rsidR="00675E5A" w14:paraId="17F22EF2" w14:textId="77777777">
      <w:pPr>
        <w:widowControl/>
        <w:rPr>
          <w:color w:val="000000"/>
          <w:sz w:val="24"/>
        </w:rPr>
      </w:pPr>
    </w:p>
    <w:p w:rsidR="00675E5A" w14:paraId="40FFC9B7" w14:textId="77777777">
      <w:pPr>
        <w:widowControl/>
        <w:rPr>
          <w:color w:val="000000"/>
          <w:sz w:val="24"/>
        </w:rPr>
      </w:pPr>
    </w:p>
    <w:p w:rsidR="00675E5A" w14:paraId="2FEA361E" w14:textId="77777777">
      <w:pPr>
        <w:widowControl/>
        <w:rPr>
          <w:color w:val="000000"/>
          <w:sz w:val="24"/>
        </w:rPr>
      </w:pPr>
    </w:p>
    <w:p w:rsidR="00675E5A" w14:paraId="472ADF0F" w14:textId="77777777">
      <w:pPr>
        <w:widowControl/>
        <w:rPr>
          <w:color w:val="000000"/>
          <w:sz w:val="24"/>
        </w:rPr>
      </w:pPr>
    </w:p>
    <w:p w:rsidR="00675E5A" w14:paraId="52BC2B33" w14:textId="77777777">
      <w:pPr>
        <w:widowControl/>
        <w:rPr>
          <w:color w:val="000000"/>
          <w:sz w:val="24"/>
        </w:rPr>
      </w:pPr>
    </w:p>
    <w:p w:rsidR="00675E5A" w14:paraId="17D21AD2" w14:textId="77777777">
      <w:pPr>
        <w:widowControl/>
        <w:rPr>
          <w:color w:val="000000"/>
          <w:sz w:val="24"/>
        </w:rPr>
      </w:pPr>
    </w:p>
    <w:p w:rsidR="006058D7" w14:paraId="1CDE290D" w14:textId="77777777">
      <w:pPr>
        <w:tabs>
          <w:tab w:val="center" w:pos="4680"/>
        </w:tabs>
        <w:jc w:val="center"/>
        <w:rPr>
          <w:b/>
          <w:bCs/>
          <w:sz w:val="32"/>
          <w:szCs w:val="32"/>
        </w:rPr>
      </w:pPr>
    </w:p>
    <w:p w:rsidR="00675E5A" w14:paraId="725BB537" w14:textId="5CCF6EE5">
      <w:pPr>
        <w:tabs>
          <w:tab w:val="center" w:pos="4680"/>
        </w:tabs>
        <w:jc w:val="center"/>
        <w:rPr>
          <w:b/>
          <w:bCs/>
          <w:sz w:val="32"/>
          <w:szCs w:val="32"/>
        </w:rPr>
      </w:pPr>
      <w:r>
        <w:rPr>
          <w:b/>
          <w:bCs/>
          <w:sz w:val="32"/>
          <w:szCs w:val="32"/>
        </w:rPr>
        <w:t xml:space="preserve">Supporting Statement for </w:t>
      </w:r>
    </w:p>
    <w:p w:rsidR="008B5F1D" w:rsidP="00675E5A" w14:paraId="772BAD26" w14:textId="636A237B">
      <w:pPr>
        <w:widowControl/>
        <w:jc w:val="center"/>
        <w:rPr>
          <w:b/>
          <w:bCs/>
          <w:color w:val="000000"/>
          <w:sz w:val="32"/>
          <w:szCs w:val="32"/>
        </w:rPr>
      </w:pPr>
      <w:r>
        <w:rPr>
          <w:b/>
          <w:bCs/>
          <w:color w:val="000000"/>
          <w:sz w:val="32"/>
          <w:szCs w:val="32"/>
        </w:rPr>
        <w:t xml:space="preserve">Office of the </w:t>
      </w:r>
      <w:r w:rsidRPr="008B5F1D">
        <w:rPr>
          <w:b/>
          <w:bCs/>
          <w:color w:val="000000"/>
          <w:sz w:val="32"/>
          <w:szCs w:val="32"/>
        </w:rPr>
        <w:t xml:space="preserve">Assistant Secretary for Technology Policy and Office of the National Coordinator for Health Information Technology </w:t>
      </w:r>
    </w:p>
    <w:p w:rsidR="00675E5A" w:rsidRPr="00675E5A" w:rsidP="00675E5A" w14:paraId="2090979F" w14:textId="124EE173">
      <w:pPr>
        <w:widowControl/>
        <w:jc w:val="center"/>
        <w:rPr>
          <w:b/>
          <w:bCs/>
          <w:color w:val="000000"/>
          <w:sz w:val="32"/>
          <w:szCs w:val="32"/>
        </w:rPr>
      </w:pPr>
      <w:r>
        <w:rPr>
          <w:b/>
          <w:bCs/>
          <w:color w:val="000000"/>
          <w:sz w:val="32"/>
          <w:szCs w:val="32"/>
        </w:rPr>
        <w:t xml:space="preserve">National Survey of </w:t>
      </w:r>
      <w:r>
        <w:rPr>
          <w:b/>
          <w:bCs/>
          <w:color w:val="000000"/>
          <w:sz w:val="32"/>
          <w:szCs w:val="32"/>
        </w:rPr>
        <w:t xml:space="preserve">Health Information </w:t>
      </w:r>
      <w:r>
        <w:rPr>
          <w:b/>
          <w:bCs/>
          <w:color w:val="000000"/>
          <w:sz w:val="32"/>
          <w:szCs w:val="32"/>
        </w:rPr>
        <w:t xml:space="preserve">Exchange </w:t>
      </w:r>
      <w:r>
        <w:rPr>
          <w:b/>
          <w:bCs/>
          <w:color w:val="000000"/>
          <w:sz w:val="32"/>
          <w:szCs w:val="32"/>
        </w:rPr>
        <w:t>Organization</w:t>
      </w:r>
      <w:r w:rsidR="00BD159E">
        <w:rPr>
          <w:b/>
          <w:bCs/>
          <w:color w:val="000000"/>
          <w:sz w:val="32"/>
          <w:szCs w:val="32"/>
        </w:rPr>
        <w:t>s</w:t>
      </w:r>
      <w:r>
        <w:rPr>
          <w:b/>
          <w:bCs/>
          <w:color w:val="000000"/>
          <w:sz w:val="32"/>
          <w:szCs w:val="32"/>
        </w:rPr>
        <w:t xml:space="preserve"> </w:t>
      </w:r>
    </w:p>
    <w:p w:rsidR="00675E5A" w:rsidP="00675E5A" w14:paraId="66155FC3" w14:textId="77777777">
      <w:pPr>
        <w:widowControl/>
        <w:rPr>
          <w:color w:val="000000"/>
          <w:sz w:val="24"/>
        </w:rPr>
      </w:pPr>
    </w:p>
    <w:p w:rsidR="0098164F" w:rsidP="00675E5A" w14:paraId="5D07B419" w14:textId="77777777">
      <w:pPr>
        <w:rPr>
          <w:sz w:val="24"/>
        </w:rPr>
      </w:pPr>
    </w:p>
    <w:p w:rsidR="0098164F" w14:paraId="0B951161" w14:textId="77777777">
      <w:pPr>
        <w:rPr>
          <w:sz w:val="24"/>
        </w:rPr>
      </w:pPr>
    </w:p>
    <w:p w:rsidR="0098164F" w14:paraId="70C87819" w14:textId="77777777">
      <w:pPr>
        <w:rPr>
          <w:b/>
          <w:bCs/>
          <w:sz w:val="24"/>
        </w:rPr>
      </w:pPr>
      <w:r>
        <w:rPr>
          <w:b/>
          <w:bCs/>
          <w:sz w:val="24"/>
        </w:rPr>
        <w:t>A.</w:t>
      </w:r>
      <w:r>
        <w:rPr>
          <w:b/>
          <w:bCs/>
          <w:sz w:val="24"/>
        </w:rPr>
        <w:tab/>
        <w:t>Justification</w:t>
      </w:r>
    </w:p>
    <w:p w:rsidR="0098164F" w14:paraId="55B44A52" w14:textId="77777777">
      <w:pPr>
        <w:rPr>
          <w:sz w:val="24"/>
        </w:rPr>
      </w:pPr>
    </w:p>
    <w:p w:rsidR="0098164F" w14:paraId="009413B8" w14:textId="77777777">
      <w:pPr>
        <w:numPr>
          <w:ilvl w:val="0"/>
          <w:numId w:val="2"/>
        </w:numPr>
        <w:rPr>
          <w:b/>
          <w:sz w:val="24"/>
        </w:rPr>
      </w:pPr>
      <w:r>
        <w:rPr>
          <w:b/>
          <w:sz w:val="24"/>
          <w:u w:val="single"/>
        </w:rPr>
        <w:t>Circumstances Making the Collection of Information Necessary</w:t>
      </w:r>
    </w:p>
    <w:p w:rsidR="00016834" w:rsidP="00016834" w14:paraId="4BC52AD9" w14:textId="03214622">
      <w:pPr>
        <w:ind w:left="720"/>
        <w:rPr>
          <w:sz w:val="24"/>
        </w:rPr>
      </w:pPr>
      <w:r>
        <w:rPr>
          <w:sz w:val="24"/>
        </w:rPr>
        <w:t xml:space="preserve">The Office of the </w:t>
      </w:r>
      <w:r w:rsidRPr="0027175C" w:rsidR="0027175C">
        <w:rPr>
          <w:sz w:val="24"/>
        </w:rPr>
        <w:t xml:space="preserve">Assistant Secretary for Technology Policy and Office of the National Coordinator for Health Information Technology </w:t>
      </w:r>
      <w:r w:rsidR="00514BDA">
        <w:rPr>
          <w:sz w:val="24"/>
        </w:rPr>
        <w:t>(ASTP/ONC)</w:t>
      </w:r>
      <w:r w:rsidRPr="0027175C" w:rsidR="0027175C">
        <w:rPr>
          <w:sz w:val="24"/>
        </w:rPr>
        <w:t xml:space="preserve"> </w:t>
      </w:r>
      <w:r>
        <w:rPr>
          <w:sz w:val="24"/>
        </w:rPr>
        <w:t xml:space="preserve">is seeking the approval for a </w:t>
      </w:r>
      <w:r w:rsidR="00C258E4">
        <w:rPr>
          <w:sz w:val="24"/>
        </w:rPr>
        <w:t>revision</w:t>
      </w:r>
      <w:r w:rsidR="00006E1E">
        <w:rPr>
          <w:sz w:val="24"/>
        </w:rPr>
        <w:t xml:space="preserve"> to </w:t>
      </w:r>
      <w:r>
        <w:rPr>
          <w:sz w:val="24"/>
        </w:rPr>
        <w:t>collection</w:t>
      </w:r>
      <w:r w:rsidR="00C258E4">
        <w:rPr>
          <w:sz w:val="24"/>
        </w:rPr>
        <w:t xml:space="preserve"> of</w:t>
      </w:r>
      <w:r>
        <w:rPr>
          <w:sz w:val="24"/>
        </w:rPr>
        <w:t xml:space="preserve"> the “National Survey of Health Information Exchange Organizations (HIO</w:t>
      </w:r>
      <w:r w:rsidR="006D126D">
        <w:rPr>
          <w:sz w:val="24"/>
        </w:rPr>
        <w:t>s</w:t>
      </w:r>
      <w:r>
        <w:rPr>
          <w:sz w:val="24"/>
        </w:rPr>
        <w:t>)</w:t>
      </w:r>
      <w:r w:rsidR="004C24EB">
        <w:rPr>
          <w:sz w:val="24"/>
        </w:rPr>
        <w:t>”</w:t>
      </w:r>
      <w:r w:rsidR="00006E1E">
        <w:rPr>
          <w:sz w:val="24"/>
        </w:rPr>
        <w:t xml:space="preserve">, </w:t>
      </w:r>
      <w:bookmarkStart w:id="1" w:name="_Hlk168068651"/>
      <w:r w:rsidR="00006E1E">
        <w:rPr>
          <w:sz w:val="24"/>
        </w:rPr>
        <w:t xml:space="preserve">OMB </w:t>
      </w:r>
      <w:r w:rsidR="00893DB7">
        <w:rPr>
          <w:sz w:val="24"/>
        </w:rPr>
        <w:t xml:space="preserve">No. </w:t>
      </w:r>
      <w:r w:rsidRPr="00EE7C2D" w:rsidR="00006E1E">
        <w:rPr>
          <w:sz w:val="24"/>
        </w:rPr>
        <w:t>0955-0019</w:t>
      </w:r>
      <w:r w:rsidR="00893DB7">
        <w:rPr>
          <w:sz w:val="24"/>
        </w:rPr>
        <w:t xml:space="preserve"> Exp </w:t>
      </w:r>
      <w:r w:rsidR="004E4F7F">
        <w:rPr>
          <w:sz w:val="24"/>
        </w:rPr>
        <w:t>11</w:t>
      </w:r>
      <w:r w:rsidR="00893DB7">
        <w:rPr>
          <w:sz w:val="24"/>
        </w:rPr>
        <w:t>/30/202</w:t>
      </w:r>
      <w:r w:rsidR="004E4F7F">
        <w:rPr>
          <w:sz w:val="24"/>
        </w:rPr>
        <w:t>5</w:t>
      </w:r>
      <w:bookmarkEnd w:id="1"/>
      <w:r w:rsidR="00006E1E">
        <w:rPr>
          <w:sz w:val="24"/>
        </w:rPr>
        <w:t>.</w:t>
      </w:r>
    </w:p>
    <w:p w:rsidR="00016834" w:rsidP="00016834" w14:paraId="660998BA" w14:textId="77777777">
      <w:pPr>
        <w:rPr>
          <w:sz w:val="24"/>
        </w:rPr>
      </w:pPr>
    </w:p>
    <w:p w:rsidR="00380874" w:rsidP="00016834" w14:paraId="30A5F93C" w14:textId="5630FD99">
      <w:pPr>
        <w:ind w:left="720"/>
        <w:rPr>
          <w:sz w:val="24"/>
        </w:rPr>
      </w:pPr>
      <w:bookmarkStart w:id="2" w:name="_Hlk102129763"/>
      <w:r w:rsidRPr="00653ABC">
        <w:rPr>
          <w:sz w:val="24"/>
        </w:rPr>
        <w:t xml:space="preserve">Electronic health information exchange (HIE) </w:t>
      </w:r>
      <w:r w:rsidRPr="00653ABC" w:rsidR="00766ECB">
        <w:rPr>
          <w:sz w:val="24"/>
        </w:rPr>
        <w:t>wa</w:t>
      </w:r>
      <w:r w:rsidRPr="00653ABC">
        <w:rPr>
          <w:sz w:val="24"/>
        </w:rPr>
        <w:t xml:space="preserve">s one of three goals specified by Congress in the 2009 Health Information Technology for Economic and Clinical Health (HITECH) Act to ensure that the $30 billion federal investment in </w:t>
      </w:r>
      <w:r w:rsidRPr="00653ABC" w:rsidR="009172A6">
        <w:rPr>
          <w:sz w:val="24"/>
        </w:rPr>
        <w:t xml:space="preserve">certified </w:t>
      </w:r>
      <w:r w:rsidRPr="00653ABC">
        <w:rPr>
          <w:sz w:val="24"/>
        </w:rPr>
        <w:t>electronic health records (EHRs) result</w:t>
      </w:r>
      <w:r w:rsidRPr="00653ABC" w:rsidR="00766ECB">
        <w:rPr>
          <w:sz w:val="24"/>
        </w:rPr>
        <w:t>ed</w:t>
      </w:r>
      <w:r w:rsidRPr="00653ABC">
        <w:rPr>
          <w:sz w:val="24"/>
        </w:rPr>
        <w:t xml:space="preserve"> in higher-quality</w:t>
      </w:r>
      <w:r w:rsidR="00180A3E">
        <w:rPr>
          <w:sz w:val="24"/>
        </w:rPr>
        <w:t xml:space="preserve"> and</w:t>
      </w:r>
      <w:r w:rsidRPr="00653ABC" w:rsidR="00180A3E">
        <w:rPr>
          <w:sz w:val="24"/>
        </w:rPr>
        <w:t xml:space="preserve"> </w:t>
      </w:r>
      <w:r w:rsidRPr="00653ABC">
        <w:rPr>
          <w:sz w:val="24"/>
        </w:rPr>
        <w:t xml:space="preserve">lower-cost care. </w:t>
      </w:r>
      <w:r w:rsidR="005A2B7F">
        <w:rPr>
          <w:sz w:val="24"/>
        </w:rPr>
        <w:t>S</w:t>
      </w:r>
      <w:r w:rsidRPr="00653ABC" w:rsidR="00766ECB">
        <w:rPr>
          <w:sz w:val="24"/>
        </w:rPr>
        <w:t xml:space="preserve">ubsequent </w:t>
      </w:r>
      <w:r w:rsidR="0028501B">
        <w:rPr>
          <w:sz w:val="24"/>
        </w:rPr>
        <w:t xml:space="preserve">legislation </w:t>
      </w:r>
      <w:r w:rsidRPr="00653ABC" w:rsidR="00766ECB">
        <w:rPr>
          <w:sz w:val="24"/>
        </w:rPr>
        <w:t>and regulations</w:t>
      </w:r>
      <w:r w:rsidR="001A7EB4">
        <w:rPr>
          <w:sz w:val="24"/>
        </w:rPr>
        <w:t xml:space="preserve"> </w:t>
      </w:r>
      <w:r w:rsidRPr="004E1BEB" w:rsidR="004E1BEB">
        <w:rPr>
          <w:sz w:val="24"/>
        </w:rPr>
        <w:t>have continued to prioritize the sharing of data electronically across EHRs and other health information systems</w:t>
      </w:r>
      <w:r w:rsidRPr="00653ABC">
        <w:rPr>
          <w:sz w:val="24"/>
        </w:rPr>
        <w:t xml:space="preserve">. </w:t>
      </w:r>
      <w:bookmarkStart w:id="3" w:name="_Hlk102136272"/>
      <w:r w:rsidR="00430004">
        <w:rPr>
          <w:sz w:val="24"/>
        </w:rPr>
        <w:t>Health information exchange</w:t>
      </w:r>
      <w:r w:rsidRPr="00430004" w:rsidR="00430004">
        <w:rPr>
          <w:sz w:val="24"/>
        </w:rPr>
        <w:t xml:space="preserve"> organizations</w:t>
      </w:r>
      <w:r w:rsidR="00095AA4">
        <w:rPr>
          <w:sz w:val="24"/>
        </w:rPr>
        <w:t xml:space="preserve"> (HIOs)</w:t>
      </w:r>
      <w:r w:rsidRPr="00430004" w:rsidR="00430004">
        <w:rPr>
          <w:sz w:val="24"/>
        </w:rPr>
        <w:t xml:space="preserve"> facilitate electronic exchange of health information across disparate providers, labs, pharmacies, public health departments, health plans</w:t>
      </w:r>
      <w:r w:rsidR="00A43B88">
        <w:rPr>
          <w:sz w:val="24"/>
        </w:rPr>
        <w:t>,</w:t>
      </w:r>
      <w:r w:rsidRPr="00430004" w:rsidR="00430004">
        <w:rPr>
          <w:sz w:val="24"/>
        </w:rPr>
        <w:t xml:space="preserve"> and other stakeholders. </w:t>
      </w:r>
      <w:r w:rsidRPr="00653ABC" w:rsidR="00B32A5B">
        <w:rPr>
          <w:sz w:val="24"/>
        </w:rPr>
        <w:t xml:space="preserve">The </w:t>
      </w:r>
      <w:hyperlink r:id="rId9" w:anchor=":~:text=The%20State%20HIE%20Cooperative%20Agreement,both%20within%20and%20across%20states.&amp;text=Coordinate%20with%20Medicaid%20and%20state%20public%20health%20programs%20to%20establish%20an%20integrated%20approach" w:history="1">
        <w:r w:rsidRPr="00653ABC" w:rsidR="00B32A5B">
          <w:rPr>
            <w:rStyle w:val="Hyperlink"/>
            <w:sz w:val="24"/>
          </w:rPr>
          <w:t>State HIE program</w:t>
        </w:r>
      </w:hyperlink>
      <w:r w:rsidR="00521A7C">
        <w:rPr>
          <w:rStyle w:val="Hyperlink"/>
          <w:sz w:val="24"/>
        </w:rPr>
        <w:t>, funded by HITECH,</w:t>
      </w:r>
      <w:r w:rsidRPr="00653ABC" w:rsidR="00B32A5B">
        <w:rPr>
          <w:sz w:val="24"/>
        </w:rPr>
        <w:t xml:space="preserve"> supported states to engage state, regional</w:t>
      </w:r>
      <w:r w:rsidR="00B32A5B">
        <w:rPr>
          <w:sz w:val="24"/>
        </w:rPr>
        <w:t>,</w:t>
      </w:r>
      <w:r w:rsidRPr="00653ABC" w:rsidR="00B32A5B">
        <w:rPr>
          <w:sz w:val="24"/>
        </w:rPr>
        <w:t xml:space="preserve"> and local </w:t>
      </w:r>
      <w:r w:rsidR="001E61B5">
        <w:rPr>
          <w:sz w:val="24"/>
        </w:rPr>
        <w:t xml:space="preserve">HIOs </w:t>
      </w:r>
      <w:r w:rsidRPr="00653ABC" w:rsidR="00B32A5B">
        <w:rPr>
          <w:sz w:val="24"/>
        </w:rPr>
        <w:t xml:space="preserve">to develop governance, policies, technical services, business operations, and financing mechanisms for HIE during the performance period (which ended in 2014). </w:t>
      </w:r>
      <w:hyperlink r:id="rId10" w:history="1">
        <w:r w:rsidRPr="00653ABC" w:rsidR="00D134E1">
          <w:rPr>
            <w:rStyle w:val="Hyperlink"/>
            <w:sz w:val="24"/>
          </w:rPr>
          <w:t>Evaluations of th</w:t>
        </w:r>
        <w:r w:rsidR="00430004">
          <w:rPr>
            <w:rStyle w:val="Hyperlink"/>
            <w:sz w:val="24"/>
          </w:rPr>
          <w:t>e State HIE</w:t>
        </w:r>
        <w:r w:rsidRPr="00653ABC" w:rsidR="00D134E1">
          <w:rPr>
            <w:rStyle w:val="Hyperlink"/>
            <w:sz w:val="24"/>
          </w:rPr>
          <w:t xml:space="preserve"> program</w:t>
        </w:r>
      </w:hyperlink>
      <w:r w:rsidRPr="00653ABC" w:rsidR="00D134E1">
        <w:rPr>
          <w:sz w:val="24"/>
        </w:rPr>
        <w:t xml:space="preserve"> indicated </w:t>
      </w:r>
      <w:r w:rsidRPr="00653ABC" w:rsidR="001608AC">
        <w:rPr>
          <w:sz w:val="24"/>
        </w:rPr>
        <w:t>though progress was made overall</w:t>
      </w:r>
      <w:r w:rsidR="001608AC">
        <w:rPr>
          <w:sz w:val="24"/>
        </w:rPr>
        <w:t xml:space="preserve">, </w:t>
      </w:r>
      <w:r w:rsidRPr="00653ABC" w:rsidR="00D134E1">
        <w:rPr>
          <w:sz w:val="24"/>
        </w:rPr>
        <w:t>variability</w:t>
      </w:r>
      <w:r w:rsidR="008F08AF">
        <w:rPr>
          <w:sz w:val="24"/>
        </w:rPr>
        <w:t xml:space="preserve"> exists</w:t>
      </w:r>
      <w:r w:rsidRPr="00653ABC" w:rsidR="00D134E1">
        <w:rPr>
          <w:sz w:val="24"/>
        </w:rPr>
        <w:t xml:space="preserve"> across states in the abilities of </w:t>
      </w:r>
      <w:r w:rsidRPr="00653ABC" w:rsidR="007338BD">
        <w:rPr>
          <w:sz w:val="24"/>
        </w:rPr>
        <w:t xml:space="preserve">organizations enabling </w:t>
      </w:r>
      <w:r w:rsidRPr="00653ABC" w:rsidR="00D134E1">
        <w:rPr>
          <w:sz w:val="24"/>
        </w:rPr>
        <w:t>HIE</w:t>
      </w:r>
      <w:r w:rsidRPr="00653ABC" w:rsidR="007338BD">
        <w:rPr>
          <w:sz w:val="24"/>
        </w:rPr>
        <w:t xml:space="preserve"> (and in particular</w:t>
      </w:r>
      <w:r w:rsidR="001A4AA6">
        <w:rPr>
          <w:sz w:val="24"/>
        </w:rPr>
        <w:t xml:space="preserve"> </w:t>
      </w:r>
      <w:r w:rsidRPr="00653ABC" w:rsidR="007338BD">
        <w:rPr>
          <w:sz w:val="24"/>
        </w:rPr>
        <w:t>HIOs)</w:t>
      </w:r>
      <w:r w:rsidRPr="00653ABC" w:rsidR="00D134E1">
        <w:rPr>
          <w:sz w:val="24"/>
        </w:rPr>
        <w:t xml:space="preserve"> to support exchange within their respective states</w:t>
      </w:r>
      <w:r w:rsidRPr="00653ABC" w:rsidR="007338BD">
        <w:rPr>
          <w:sz w:val="24"/>
        </w:rPr>
        <w:t>.</w:t>
      </w:r>
    </w:p>
    <w:bookmarkEnd w:id="2"/>
    <w:bookmarkEnd w:id="3"/>
    <w:p w:rsidR="00A70EA3" w:rsidP="00016834" w14:paraId="57BC1C66" w14:textId="4A2D4937">
      <w:pPr>
        <w:ind w:left="720"/>
        <w:rPr>
          <w:sz w:val="24"/>
        </w:rPr>
      </w:pPr>
    </w:p>
    <w:p w:rsidR="00EE7C2D" w:rsidP="0088181C" w14:paraId="67FB14B7" w14:textId="2491B766">
      <w:pPr>
        <w:ind w:left="720"/>
        <w:rPr>
          <w:sz w:val="24"/>
        </w:rPr>
      </w:pPr>
      <w:bookmarkStart w:id="4" w:name="_Hlk102129810"/>
      <w:r>
        <w:rPr>
          <w:sz w:val="24"/>
        </w:rPr>
        <w:t>Since</w:t>
      </w:r>
      <w:r w:rsidRPr="008F040A" w:rsidR="007338BD">
        <w:rPr>
          <w:sz w:val="24"/>
        </w:rPr>
        <w:t xml:space="preserve"> p</w:t>
      </w:r>
      <w:r w:rsidRPr="008F040A" w:rsidR="007338BD">
        <w:rPr>
          <w:sz w:val="24"/>
        </w:rPr>
        <w:t>rior to HITECH, t</w:t>
      </w:r>
      <w:r w:rsidRPr="008F040A" w:rsidR="00A70EA3">
        <w:rPr>
          <w:sz w:val="24"/>
        </w:rPr>
        <w:t xml:space="preserve">here has been substantial </w:t>
      </w:r>
      <w:r w:rsidRPr="008F040A" w:rsidR="007338BD">
        <w:rPr>
          <w:sz w:val="24"/>
        </w:rPr>
        <w:t xml:space="preserve">ongoing assessment of </w:t>
      </w:r>
      <w:r w:rsidRPr="008F040A" w:rsidR="00571B1B">
        <w:rPr>
          <w:sz w:val="24"/>
        </w:rPr>
        <w:t xml:space="preserve">trends in the capabilities of </w:t>
      </w:r>
      <w:r w:rsidR="004D64F7">
        <w:rPr>
          <w:sz w:val="24"/>
        </w:rPr>
        <w:t>HIOs</w:t>
      </w:r>
      <w:r w:rsidRPr="008F040A" w:rsidR="00571B1B">
        <w:rPr>
          <w:sz w:val="24"/>
        </w:rPr>
        <w:t xml:space="preserve"> </w:t>
      </w:r>
      <w:r w:rsidRPr="008F040A" w:rsidR="0088181C">
        <w:rPr>
          <w:sz w:val="24"/>
        </w:rPr>
        <w:t>to support clinical exchange</w:t>
      </w:r>
      <w:r w:rsidR="00925C3E">
        <w:rPr>
          <w:sz w:val="24"/>
        </w:rPr>
        <w:t xml:space="preserve"> through nationwide surveys of HIOs</w:t>
      </w:r>
      <w:r w:rsidRPr="008F040A" w:rsidR="007338BD">
        <w:rPr>
          <w:sz w:val="24"/>
        </w:rPr>
        <w:t xml:space="preserve">. </w:t>
      </w:r>
      <w:bookmarkStart w:id="5" w:name="_Hlk102129840"/>
      <w:bookmarkEnd w:id="4"/>
      <w:r w:rsidRPr="008F040A" w:rsidR="007338BD">
        <w:rPr>
          <w:sz w:val="24"/>
        </w:rPr>
        <w:t>These surveys have</w:t>
      </w:r>
      <w:r w:rsidRPr="008F040A" w:rsidR="00FE3B32">
        <w:rPr>
          <w:sz w:val="24"/>
        </w:rPr>
        <w:t xml:space="preserve"> collected data on organizational structure, financial viability, geographic coverage, </w:t>
      </w:r>
      <w:r w:rsidRPr="008F040A" w:rsidR="007338BD">
        <w:rPr>
          <w:sz w:val="24"/>
        </w:rPr>
        <w:t xml:space="preserve">scope of services, scope of participants, perceptions of information blocking, </w:t>
      </w:r>
      <w:r w:rsidRPr="008F040A" w:rsidR="00FE3B32">
        <w:rPr>
          <w:sz w:val="24"/>
        </w:rPr>
        <w:t xml:space="preserve">and participation in national </w:t>
      </w:r>
      <w:r w:rsidRPr="0023627D" w:rsidR="00FE3B32">
        <w:rPr>
          <w:sz w:val="24"/>
        </w:rPr>
        <w:t xml:space="preserve">networks and </w:t>
      </w:r>
      <w:r w:rsidRPr="00BB3557" w:rsidR="00E36F1A">
        <w:rPr>
          <w:sz w:val="24"/>
        </w:rPr>
        <w:t xml:space="preserve">the </w:t>
      </w:r>
      <w:hyperlink r:id="rId11" w:history="1">
        <w:r w:rsidRPr="00894B46" w:rsidR="00BB3557">
          <w:rPr>
            <w:rStyle w:val="Hyperlink"/>
            <w:sz w:val="24"/>
          </w:rPr>
          <w:t>Trusted Exchange Framework and Common Agreement (TEFCA)</w:t>
        </w:r>
      </w:hyperlink>
      <w:r w:rsidRPr="00894B46" w:rsidR="00FE3B32">
        <w:rPr>
          <w:sz w:val="24"/>
        </w:rPr>
        <w:t>.</w:t>
      </w:r>
      <w:r w:rsidRPr="008F040A" w:rsidR="00FE3B32">
        <w:rPr>
          <w:sz w:val="24"/>
        </w:rPr>
        <w:t xml:space="preserve"> </w:t>
      </w:r>
      <w:r w:rsidRPr="00BC4234" w:rsidR="00FE3B32">
        <w:rPr>
          <w:sz w:val="24"/>
        </w:rPr>
        <w:t xml:space="preserve">Each of these </w:t>
      </w:r>
      <w:r w:rsidR="00DA4854">
        <w:rPr>
          <w:sz w:val="24"/>
        </w:rPr>
        <w:t>topics</w:t>
      </w:r>
      <w:r w:rsidRPr="00BC4234" w:rsidR="00DA4854">
        <w:rPr>
          <w:sz w:val="24"/>
        </w:rPr>
        <w:t xml:space="preserve"> </w:t>
      </w:r>
      <w:r w:rsidRPr="00AA0D3B" w:rsidR="00FE3B32">
        <w:rPr>
          <w:sz w:val="24"/>
        </w:rPr>
        <w:t xml:space="preserve">will be useful to </w:t>
      </w:r>
      <w:r w:rsidRPr="00FB1199" w:rsidR="009045C9">
        <w:rPr>
          <w:sz w:val="24"/>
        </w:rPr>
        <w:t xml:space="preserve">construct a </w:t>
      </w:r>
      <w:r w:rsidRPr="00FB1199" w:rsidR="007338BD">
        <w:rPr>
          <w:sz w:val="24"/>
        </w:rPr>
        <w:t>current and more comprehensive</w:t>
      </w:r>
      <w:r w:rsidRPr="0058727D" w:rsidR="009045C9">
        <w:rPr>
          <w:sz w:val="24"/>
        </w:rPr>
        <w:t xml:space="preserve"> </w:t>
      </w:r>
      <w:r w:rsidR="00DA4854">
        <w:rPr>
          <w:sz w:val="24"/>
        </w:rPr>
        <w:t>understanding</w:t>
      </w:r>
      <w:r w:rsidRPr="0058727D" w:rsidR="00DA4854">
        <w:rPr>
          <w:sz w:val="24"/>
        </w:rPr>
        <w:t xml:space="preserve"> </w:t>
      </w:r>
      <w:r w:rsidRPr="0058727D" w:rsidR="009045C9">
        <w:rPr>
          <w:sz w:val="24"/>
        </w:rPr>
        <w:t xml:space="preserve">of HIOs’ role in </w:t>
      </w:r>
      <w:r w:rsidR="00DA4854">
        <w:rPr>
          <w:sz w:val="24"/>
        </w:rPr>
        <w:t>health information exchange</w:t>
      </w:r>
      <w:r w:rsidRPr="0058727D" w:rsidR="009045C9">
        <w:rPr>
          <w:sz w:val="24"/>
        </w:rPr>
        <w:t>.</w:t>
      </w:r>
      <w:r w:rsidR="009045C9">
        <w:rPr>
          <w:sz w:val="24"/>
        </w:rPr>
        <w:t xml:space="preserve"> </w:t>
      </w:r>
    </w:p>
    <w:p w:rsidR="00EE7C2D" w:rsidP="0088181C" w14:paraId="64E7D0B6" w14:textId="77777777">
      <w:pPr>
        <w:ind w:left="720"/>
        <w:rPr>
          <w:sz w:val="24"/>
        </w:rPr>
      </w:pPr>
    </w:p>
    <w:p w:rsidR="003C4813" w:rsidP="00EE7C2D" w14:paraId="02FE3135" w14:textId="4ACEA9D2">
      <w:pPr>
        <w:ind w:left="720"/>
        <w:rPr>
          <w:sz w:val="24"/>
        </w:rPr>
      </w:pPr>
      <w:r>
        <w:rPr>
          <w:sz w:val="24"/>
        </w:rPr>
        <w:t xml:space="preserve">The most recently conducted survey, in </w:t>
      </w:r>
      <w:r w:rsidR="00244D15">
        <w:rPr>
          <w:sz w:val="24"/>
        </w:rPr>
        <w:t>2023</w:t>
      </w:r>
      <w:r>
        <w:rPr>
          <w:sz w:val="24"/>
        </w:rPr>
        <w:t xml:space="preserve">, </w:t>
      </w:r>
      <w:r w:rsidR="003D702B">
        <w:rPr>
          <w:sz w:val="24"/>
        </w:rPr>
        <w:t xml:space="preserve">was funded by </w:t>
      </w:r>
      <w:r w:rsidR="0027175C">
        <w:rPr>
          <w:sz w:val="24"/>
        </w:rPr>
        <w:t>ASTP/ONC</w:t>
      </w:r>
      <w:r w:rsidRPr="00EE7C2D" w:rsidR="003D702B">
        <w:rPr>
          <w:sz w:val="24"/>
        </w:rPr>
        <w:t xml:space="preserve"> (OMB # </w:t>
      </w:r>
      <w:bookmarkStart w:id="6" w:name="_Hlk110507692"/>
      <w:r w:rsidRPr="00EE7C2D">
        <w:rPr>
          <w:sz w:val="24"/>
        </w:rPr>
        <w:t>0955-0019</w:t>
      </w:r>
      <w:bookmarkEnd w:id="6"/>
      <w:r w:rsidRPr="00EE7C2D" w:rsidR="003D702B">
        <w:rPr>
          <w:sz w:val="24"/>
        </w:rPr>
        <w:t>)</w:t>
      </w:r>
      <w:r w:rsidRPr="00EE7C2D">
        <w:rPr>
          <w:sz w:val="24"/>
        </w:rPr>
        <w:t>.</w:t>
      </w:r>
      <w:bookmarkStart w:id="7" w:name="_Hlk102573001"/>
      <w:bookmarkEnd w:id="5"/>
      <w:r>
        <w:rPr>
          <w:sz w:val="24"/>
        </w:rPr>
        <w:t xml:space="preserve"> The</w:t>
      </w:r>
      <w:r w:rsidRPr="003C4813">
        <w:rPr>
          <w:sz w:val="24"/>
        </w:rPr>
        <w:t xml:space="preserve"> </w:t>
      </w:r>
      <w:r w:rsidR="00244D15">
        <w:rPr>
          <w:sz w:val="24"/>
        </w:rPr>
        <w:t xml:space="preserve">2023 </w:t>
      </w:r>
      <w:r w:rsidRPr="003C4813">
        <w:rPr>
          <w:sz w:val="24"/>
        </w:rPr>
        <w:t xml:space="preserve">national HIO survey </w:t>
      </w:r>
      <w:r>
        <w:rPr>
          <w:sz w:val="24"/>
        </w:rPr>
        <w:t xml:space="preserve">sought </w:t>
      </w:r>
      <w:r w:rsidRPr="003C4813">
        <w:rPr>
          <w:sz w:val="24"/>
        </w:rPr>
        <w:t xml:space="preserve">to assess the existing capabilities and examine the evolution of these organizations. </w:t>
      </w:r>
      <w:r w:rsidR="00EC022C">
        <w:rPr>
          <w:sz w:val="24"/>
        </w:rPr>
        <w:t xml:space="preserve">With the COVID-19 pandemic, </w:t>
      </w:r>
      <w:r w:rsidR="00385552">
        <w:rPr>
          <w:sz w:val="24"/>
        </w:rPr>
        <w:t xml:space="preserve">we updated </w:t>
      </w:r>
      <w:r w:rsidR="00EC022C">
        <w:rPr>
          <w:sz w:val="24"/>
        </w:rPr>
        <w:t>t</w:t>
      </w:r>
      <w:r w:rsidR="00453F60">
        <w:rPr>
          <w:sz w:val="24"/>
        </w:rPr>
        <w:t xml:space="preserve">he most recent round of the survey </w:t>
      </w:r>
      <w:r w:rsidR="00385552">
        <w:rPr>
          <w:sz w:val="24"/>
        </w:rPr>
        <w:t xml:space="preserve">to assess </w:t>
      </w:r>
      <w:r w:rsidR="00453F60">
        <w:rPr>
          <w:sz w:val="24"/>
        </w:rPr>
        <w:t xml:space="preserve">the capabilities of HIOs to support public health data exchange </w:t>
      </w:r>
      <w:r w:rsidR="00EC022C">
        <w:rPr>
          <w:sz w:val="24"/>
        </w:rPr>
        <w:t xml:space="preserve">and public health agencies’ informational needs.  </w:t>
      </w:r>
      <w:r w:rsidR="00CD1B17">
        <w:rPr>
          <w:sz w:val="24"/>
        </w:rPr>
        <w:t>There is a need to continue t</w:t>
      </w:r>
      <w:r w:rsidR="005B39DF">
        <w:rPr>
          <w:sz w:val="24"/>
        </w:rPr>
        <w:t xml:space="preserve">he survey of HIOs to help </w:t>
      </w:r>
      <w:r w:rsidR="0027175C">
        <w:rPr>
          <w:sz w:val="24"/>
        </w:rPr>
        <w:t>ASTP/ONC</w:t>
      </w:r>
      <w:r w:rsidR="005B39DF">
        <w:rPr>
          <w:sz w:val="24"/>
        </w:rPr>
        <w:t xml:space="preserve"> better understand </w:t>
      </w:r>
      <w:r w:rsidR="00710097">
        <w:rPr>
          <w:sz w:val="24"/>
        </w:rPr>
        <w:t xml:space="preserve">ongoing </w:t>
      </w:r>
      <w:r w:rsidR="001E7B75">
        <w:rPr>
          <w:sz w:val="24"/>
        </w:rPr>
        <w:t xml:space="preserve">national health IT priorities such as information blocking, implementation and use of standards, </w:t>
      </w:r>
      <w:r w:rsidR="00075F85">
        <w:rPr>
          <w:sz w:val="24"/>
        </w:rPr>
        <w:t xml:space="preserve">role of HIOs in supporting </w:t>
      </w:r>
      <w:r w:rsidR="00E678EA">
        <w:rPr>
          <w:sz w:val="24"/>
        </w:rPr>
        <w:t>interoperability</w:t>
      </w:r>
      <w:r w:rsidR="00A814DF">
        <w:rPr>
          <w:sz w:val="24"/>
        </w:rPr>
        <w:t xml:space="preserve"> </w:t>
      </w:r>
      <w:r w:rsidR="00075F85">
        <w:rPr>
          <w:sz w:val="24"/>
        </w:rPr>
        <w:t xml:space="preserve">and </w:t>
      </w:r>
      <w:r w:rsidR="00A814DF">
        <w:rPr>
          <w:sz w:val="24"/>
        </w:rPr>
        <w:t xml:space="preserve">their </w:t>
      </w:r>
      <w:r w:rsidR="00075F85">
        <w:rPr>
          <w:sz w:val="24"/>
        </w:rPr>
        <w:t xml:space="preserve">experiences with </w:t>
      </w:r>
      <w:r w:rsidR="00EB3D90">
        <w:rPr>
          <w:sz w:val="24"/>
        </w:rPr>
        <w:t xml:space="preserve">and participation in </w:t>
      </w:r>
      <w:r w:rsidR="00C440A9">
        <w:rPr>
          <w:sz w:val="24"/>
        </w:rPr>
        <w:t>TEFCA.</w:t>
      </w:r>
      <w:r w:rsidR="00075F85">
        <w:rPr>
          <w:sz w:val="24"/>
        </w:rPr>
        <w:t xml:space="preserve"> </w:t>
      </w:r>
      <w:r w:rsidR="00710097">
        <w:rPr>
          <w:sz w:val="24"/>
        </w:rPr>
        <w:t>We also plan to continue to assess</w:t>
      </w:r>
      <w:r w:rsidRPr="003C4813">
        <w:rPr>
          <w:sz w:val="24"/>
        </w:rPr>
        <w:t xml:space="preserve"> the capacity of these organizations to support future public health emergencies. </w:t>
      </w:r>
    </w:p>
    <w:p w:rsidR="00430004" w:rsidP="00EE7C2D" w14:paraId="5E637620" w14:textId="7C8B436D">
      <w:pPr>
        <w:ind w:left="720"/>
        <w:rPr>
          <w:sz w:val="24"/>
        </w:rPr>
      </w:pPr>
    </w:p>
    <w:p w:rsidR="00430004" w:rsidP="00430004" w14:paraId="1D31F065" w14:textId="187D2D52">
      <w:pPr>
        <w:ind w:left="720"/>
        <w:rPr>
          <w:sz w:val="24"/>
        </w:rPr>
      </w:pPr>
      <w:r w:rsidRPr="00430004">
        <w:rPr>
          <w:sz w:val="24"/>
        </w:rPr>
        <w:t xml:space="preserve">We have revised the survey to better understand the role of HIOs in supporting public health </w:t>
      </w:r>
      <w:r w:rsidR="00D72B1D">
        <w:rPr>
          <w:sz w:val="24"/>
        </w:rPr>
        <w:t>data exchange</w:t>
      </w:r>
      <w:r w:rsidRPr="00430004">
        <w:rPr>
          <w:sz w:val="24"/>
        </w:rPr>
        <w:t xml:space="preserve"> and response to pandemic</w:t>
      </w:r>
      <w:r w:rsidR="00453253">
        <w:rPr>
          <w:sz w:val="24"/>
        </w:rPr>
        <w:t>s</w:t>
      </w:r>
      <w:r w:rsidR="00DE63E9">
        <w:rPr>
          <w:sz w:val="24"/>
        </w:rPr>
        <w:t xml:space="preserve">, removing specific questions </w:t>
      </w:r>
      <w:r w:rsidR="00D72B1D">
        <w:rPr>
          <w:sz w:val="24"/>
        </w:rPr>
        <w:t>about the COVID-19 public health emergency, which ended May 2023</w:t>
      </w:r>
      <w:r w:rsidRPr="00430004">
        <w:rPr>
          <w:sz w:val="24"/>
        </w:rPr>
        <w:t xml:space="preserve">. HIOs, given their </w:t>
      </w:r>
      <w:r>
        <w:rPr>
          <w:sz w:val="24"/>
        </w:rPr>
        <w:t xml:space="preserve">unique </w:t>
      </w:r>
      <w:r w:rsidRPr="00430004">
        <w:rPr>
          <w:sz w:val="24"/>
        </w:rPr>
        <w:t xml:space="preserve">role in convening data across stakeholders in their region, may be able to support linking data from disparate sources together to help monitor strategies to prevent and </w:t>
      </w:r>
      <w:r w:rsidR="00140880">
        <w:rPr>
          <w:sz w:val="24"/>
        </w:rPr>
        <w:t>response to</w:t>
      </w:r>
      <w:r w:rsidRPr="00430004">
        <w:rPr>
          <w:sz w:val="24"/>
        </w:rPr>
        <w:t xml:space="preserve"> </w:t>
      </w:r>
      <w:r w:rsidR="00DB15F8">
        <w:rPr>
          <w:sz w:val="24"/>
        </w:rPr>
        <w:t>p</w:t>
      </w:r>
      <w:r w:rsidR="00140880">
        <w:rPr>
          <w:sz w:val="24"/>
        </w:rPr>
        <w:t>ublic health emergencies</w:t>
      </w:r>
      <w:r w:rsidRPr="00430004">
        <w:rPr>
          <w:sz w:val="24"/>
        </w:rPr>
        <w:t>. HI</w:t>
      </w:r>
      <w:r w:rsidR="00140880">
        <w:rPr>
          <w:sz w:val="24"/>
        </w:rPr>
        <w:t>O</w:t>
      </w:r>
      <w:r w:rsidRPr="00430004">
        <w:rPr>
          <w:sz w:val="24"/>
        </w:rPr>
        <w:t>s may also be able to leverage clinical and demographic data they have access to with other data to monitor community/state-level vaccination rates, transmission rates</w:t>
      </w:r>
      <w:r w:rsidR="00001C15">
        <w:rPr>
          <w:sz w:val="24"/>
        </w:rPr>
        <w:t>,</w:t>
      </w:r>
      <w:r w:rsidRPr="00430004">
        <w:rPr>
          <w:sz w:val="24"/>
        </w:rPr>
        <w:t xml:space="preserve"> and breakthrough infection rates among subpopulations (e.g., immunocompromised), along with supporting providers meeting public health reporting requirements via electronic means (rather than paper-based).</w:t>
      </w:r>
    </w:p>
    <w:p w:rsidR="00430004" w:rsidP="00430004" w14:paraId="72D93653" w14:textId="120605E4">
      <w:pPr>
        <w:ind w:left="720"/>
        <w:rPr>
          <w:sz w:val="24"/>
        </w:rPr>
      </w:pPr>
    </w:p>
    <w:p w:rsidR="00430004" w:rsidRPr="003C4813" w:rsidP="00130F03" w14:paraId="05A69BA5" w14:textId="495B79AE">
      <w:pPr>
        <w:ind w:left="720"/>
        <w:rPr>
          <w:sz w:val="24"/>
        </w:rPr>
      </w:pPr>
      <w:r>
        <w:rPr>
          <w:sz w:val="24"/>
        </w:rPr>
        <w:t>T</w:t>
      </w:r>
      <w:r w:rsidRPr="00430004">
        <w:rPr>
          <w:sz w:val="24"/>
        </w:rPr>
        <w:t xml:space="preserve">he newly revised survey will </w:t>
      </w:r>
      <w:r>
        <w:rPr>
          <w:sz w:val="24"/>
        </w:rPr>
        <w:t>also</w:t>
      </w:r>
      <w:r w:rsidRPr="00430004">
        <w:rPr>
          <w:sz w:val="24"/>
        </w:rPr>
        <w:t xml:space="preserve"> provide </w:t>
      </w:r>
      <w:r w:rsidR="00D4670D">
        <w:rPr>
          <w:sz w:val="24"/>
        </w:rPr>
        <w:t xml:space="preserve">new </w:t>
      </w:r>
      <w:r w:rsidRPr="00430004">
        <w:rPr>
          <w:sz w:val="24"/>
        </w:rPr>
        <w:t xml:space="preserve">insights </w:t>
      </w:r>
      <w:r w:rsidR="008D341E">
        <w:rPr>
          <w:sz w:val="24"/>
        </w:rPr>
        <w:t xml:space="preserve">into HIOs’ use of artificial intelligence </w:t>
      </w:r>
      <w:r w:rsidR="006852DC">
        <w:rPr>
          <w:sz w:val="24"/>
        </w:rPr>
        <w:t xml:space="preserve">(AI) </w:t>
      </w:r>
      <w:r w:rsidR="008D341E">
        <w:rPr>
          <w:sz w:val="24"/>
        </w:rPr>
        <w:t xml:space="preserve">and provision of data for </w:t>
      </w:r>
      <w:r w:rsidR="006852DC">
        <w:rPr>
          <w:sz w:val="24"/>
        </w:rPr>
        <w:t xml:space="preserve">the development and training of AI programs, an emerging </w:t>
      </w:r>
      <w:r w:rsidR="00531B89">
        <w:rPr>
          <w:sz w:val="24"/>
        </w:rPr>
        <w:t>health</w:t>
      </w:r>
      <w:r w:rsidR="00F51C75">
        <w:rPr>
          <w:sz w:val="24"/>
        </w:rPr>
        <w:t xml:space="preserve"> </w:t>
      </w:r>
      <w:r w:rsidR="00531B89">
        <w:rPr>
          <w:sz w:val="24"/>
        </w:rPr>
        <w:t xml:space="preserve">care technology topic. New questions will help inform </w:t>
      </w:r>
      <w:r w:rsidR="00233F51">
        <w:rPr>
          <w:sz w:val="24"/>
        </w:rPr>
        <w:t xml:space="preserve">AI governance policies adopted by </w:t>
      </w:r>
      <w:r w:rsidR="0027175C">
        <w:rPr>
          <w:sz w:val="24"/>
        </w:rPr>
        <w:t>ASTP/ONC</w:t>
      </w:r>
      <w:r w:rsidR="004F0DFE">
        <w:rPr>
          <w:sz w:val="24"/>
        </w:rPr>
        <w:t xml:space="preserve"> and </w:t>
      </w:r>
      <w:r w:rsidR="00233F51">
        <w:rPr>
          <w:sz w:val="24"/>
        </w:rPr>
        <w:t>HHS</w:t>
      </w:r>
      <w:r w:rsidR="004F0DFE">
        <w:rPr>
          <w:sz w:val="24"/>
        </w:rPr>
        <w:t xml:space="preserve"> more broadly</w:t>
      </w:r>
      <w:r w:rsidR="00233F51">
        <w:rPr>
          <w:sz w:val="24"/>
        </w:rPr>
        <w:t>.</w:t>
      </w:r>
      <w:r w:rsidR="004F0DFE">
        <w:rPr>
          <w:sz w:val="24"/>
        </w:rPr>
        <w:t xml:space="preserve"> For instance, </w:t>
      </w:r>
      <w:r w:rsidR="0027175C">
        <w:rPr>
          <w:sz w:val="24"/>
        </w:rPr>
        <w:t>ASTP/ONC</w:t>
      </w:r>
      <w:r w:rsidR="004F0DFE">
        <w:rPr>
          <w:sz w:val="24"/>
        </w:rPr>
        <w:t>’s HTI-1 final rule adopts the Decision Support Interventions (DSI) certification criterion to reflect contemporary functionalities and configuration requirements</w:t>
      </w:r>
      <w:r w:rsidR="00FB6D65">
        <w:rPr>
          <w:sz w:val="24"/>
        </w:rPr>
        <w:t xml:space="preserve"> and t</w:t>
      </w:r>
      <w:r w:rsidRPr="00430004" w:rsidR="001A7CA3">
        <w:rPr>
          <w:sz w:val="24"/>
        </w:rPr>
        <w:t>h</w:t>
      </w:r>
      <w:r w:rsidR="001A7CA3">
        <w:rPr>
          <w:sz w:val="24"/>
        </w:rPr>
        <w:t>is</w:t>
      </w:r>
      <w:r w:rsidRPr="00430004" w:rsidR="001A7CA3">
        <w:rPr>
          <w:sz w:val="24"/>
        </w:rPr>
        <w:t xml:space="preserve"> </w:t>
      </w:r>
      <w:r w:rsidRPr="00430004">
        <w:rPr>
          <w:sz w:val="24"/>
        </w:rPr>
        <w:t xml:space="preserve">survey </w:t>
      </w:r>
      <w:r w:rsidR="00767901">
        <w:rPr>
          <w:sz w:val="24"/>
        </w:rPr>
        <w:t xml:space="preserve">has been </w:t>
      </w:r>
      <w:r w:rsidR="008400CE">
        <w:rPr>
          <w:sz w:val="24"/>
        </w:rPr>
        <w:t xml:space="preserve">updated </w:t>
      </w:r>
      <w:r w:rsidR="00767901">
        <w:rPr>
          <w:sz w:val="24"/>
        </w:rPr>
        <w:t>to reflect up to date terminology and policies for health information exchange programs and regulations</w:t>
      </w:r>
      <w:r w:rsidR="007A5C41">
        <w:rPr>
          <w:sz w:val="24"/>
        </w:rPr>
        <w:t>.</w:t>
      </w:r>
      <w:r w:rsidRPr="00430004">
        <w:rPr>
          <w:sz w:val="24"/>
        </w:rPr>
        <w:t xml:space="preserve"> </w:t>
      </w:r>
      <w:r w:rsidR="00CB2309">
        <w:rPr>
          <w:sz w:val="24"/>
        </w:rPr>
        <w:t>I</w:t>
      </w:r>
      <w:r w:rsidR="00862A34">
        <w:rPr>
          <w:sz w:val="24"/>
        </w:rPr>
        <w:t xml:space="preserve">t is important </w:t>
      </w:r>
      <w:r w:rsidR="005320CD">
        <w:rPr>
          <w:sz w:val="24"/>
        </w:rPr>
        <w:t xml:space="preserve">this survey </w:t>
      </w:r>
      <w:r w:rsidRPr="00430004">
        <w:rPr>
          <w:sz w:val="24"/>
        </w:rPr>
        <w:t>comprehensively measure the status of these critical capabilities across HIOs.</w:t>
      </w:r>
    </w:p>
    <w:bookmarkEnd w:id="7"/>
    <w:p w:rsidR="006B1B05" w:rsidP="003C4813" w14:paraId="79DF8E61" w14:textId="77777777">
      <w:pPr>
        <w:ind w:left="720"/>
        <w:rPr>
          <w:sz w:val="24"/>
        </w:rPr>
      </w:pPr>
    </w:p>
    <w:p w:rsidR="00430004" w:rsidP="00430004" w14:paraId="28A97B50" w14:textId="03FD089A">
      <w:pPr>
        <w:ind w:left="720"/>
        <w:rPr>
          <w:sz w:val="24"/>
        </w:rPr>
      </w:pPr>
      <w:r w:rsidRPr="003C4813">
        <w:rPr>
          <w:sz w:val="24"/>
        </w:rPr>
        <w:t xml:space="preserve">There </w:t>
      </w:r>
      <w:r w:rsidR="00FB79DA">
        <w:rPr>
          <w:sz w:val="24"/>
        </w:rPr>
        <w:t>are</w:t>
      </w:r>
      <w:r w:rsidRPr="003C4813">
        <w:rPr>
          <w:sz w:val="24"/>
        </w:rPr>
        <w:t xml:space="preserve"> an array of policy efforts that are primed to leverage the results from the survey. </w:t>
      </w:r>
      <w:r w:rsidR="0027175C">
        <w:rPr>
          <w:sz w:val="24"/>
        </w:rPr>
        <w:t>ASTP/ONC</w:t>
      </w:r>
      <w:r w:rsidR="009F2C44">
        <w:rPr>
          <w:sz w:val="24"/>
        </w:rPr>
        <w:t xml:space="preserve"> and the Centers for Disease Control (CDC) </w:t>
      </w:r>
      <w:r w:rsidR="00C46E2F">
        <w:rPr>
          <w:sz w:val="24"/>
        </w:rPr>
        <w:t>continue to implement recommendations from the</w:t>
      </w:r>
      <w:r w:rsidRPr="003C4813">
        <w:rPr>
          <w:sz w:val="24"/>
        </w:rPr>
        <w:t xml:space="preserve"> Health IT Advisory Committee Public Health Data Systems Task Force</w:t>
      </w:r>
      <w:r w:rsidR="00C46E2F">
        <w:rPr>
          <w:sz w:val="24"/>
        </w:rPr>
        <w:t>, which</w:t>
      </w:r>
      <w:r w:rsidRPr="003C4813">
        <w:rPr>
          <w:sz w:val="24"/>
        </w:rPr>
        <w:t xml:space="preserve"> recommend</w:t>
      </w:r>
      <w:r>
        <w:rPr>
          <w:sz w:val="24"/>
        </w:rPr>
        <w:t>ed</w:t>
      </w:r>
      <w:r w:rsidRPr="003C4813">
        <w:rPr>
          <w:sz w:val="24"/>
        </w:rPr>
        <w:t xml:space="preserve"> key data types to be updated </w:t>
      </w:r>
      <w:r w:rsidR="003B74BD">
        <w:rPr>
          <w:sz w:val="24"/>
        </w:rPr>
        <w:t>using</w:t>
      </w:r>
      <w:r w:rsidRPr="003C4813">
        <w:rPr>
          <w:sz w:val="24"/>
        </w:rPr>
        <w:t xml:space="preserve"> published standards and implementation guides and that the deployment of these</w:t>
      </w:r>
      <w:r w:rsidR="004B7E95">
        <w:rPr>
          <w:sz w:val="24"/>
        </w:rPr>
        <w:t xml:space="preserve"> data types</w:t>
      </w:r>
      <w:r w:rsidRPr="003C4813">
        <w:rPr>
          <w:sz w:val="24"/>
        </w:rPr>
        <w:t xml:space="preserve"> prioritize demographic and social determinants of health. </w:t>
      </w:r>
      <w:r w:rsidR="0027175C">
        <w:rPr>
          <w:sz w:val="24"/>
        </w:rPr>
        <w:t>ASTP/ONC</w:t>
      </w:r>
      <w:r w:rsidR="0082106C">
        <w:rPr>
          <w:sz w:val="24"/>
        </w:rPr>
        <w:t xml:space="preserve"> and CDC also continue to partner on important ways to </w:t>
      </w:r>
      <w:r w:rsidR="00775213">
        <w:rPr>
          <w:sz w:val="24"/>
        </w:rPr>
        <w:t xml:space="preserve">implement public health data modernization and enable greater interoperability of public health data across the care continuum. </w:t>
      </w:r>
      <w:r w:rsidR="006127D4">
        <w:rPr>
          <w:sz w:val="24"/>
        </w:rPr>
        <w:t xml:space="preserve">TEFCA went live and began live exchange in 2023. </w:t>
      </w:r>
      <w:r w:rsidR="008D1ADE">
        <w:rPr>
          <w:sz w:val="24"/>
        </w:rPr>
        <w:t>HIOs are key, potential participants and</w:t>
      </w:r>
      <w:r w:rsidR="005D306D">
        <w:rPr>
          <w:sz w:val="24"/>
        </w:rPr>
        <w:t xml:space="preserve">/or qualified health information networks (QHINs), and </w:t>
      </w:r>
      <w:r w:rsidR="00F13C7F">
        <w:rPr>
          <w:sz w:val="24"/>
        </w:rPr>
        <w:t xml:space="preserve">understanding their plans to participate </w:t>
      </w:r>
      <w:r w:rsidR="00E100C9">
        <w:rPr>
          <w:sz w:val="24"/>
        </w:rPr>
        <w:t xml:space="preserve">in </w:t>
      </w:r>
      <w:r w:rsidR="00F13C7F">
        <w:rPr>
          <w:sz w:val="24"/>
        </w:rPr>
        <w:t>and experiences</w:t>
      </w:r>
      <w:r w:rsidR="00E100C9">
        <w:rPr>
          <w:sz w:val="24"/>
        </w:rPr>
        <w:t xml:space="preserve"> with TEFCA is crucial given </w:t>
      </w:r>
      <w:r w:rsidR="005D306D">
        <w:rPr>
          <w:sz w:val="24"/>
        </w:rPr>
        <w:t xml:space="preserve">their current role in facilitating </w:t>
      </w:r>
      <w:r w:rsidR="00F13C7F">
        <w:rPr>
          <w:sz w:val="24"/>
        </w:rPr>
        <w:t>HIE across the nation</w:t>
      </w:r>
      <w:r w:rsidR="00E100C9">
        <w:rPr>
          <w:sz w:val="24"/>
        </w:rPr>
        <w:t xml:space="preserve">. </w:t>
      </w:r>
      <w:r w:rsidR="00D46555">
        <w:rPr>
          <w:sz w:val="24"/>
        </w:rPr>
        <w:t xml:space="preserve">This survey will be essential to understand the experiences of all </w:t>
      </w:r>
      <w:r w:rsidR="008D584F">
        <w:rPr>
          <w:sz w:val="24"/>
        </w:rPr>
        <w:t>players in nationwide information exchange and how to update the program over time.</w:t>
      </w:r>
      <w:r w:rsidR="001B7CD8">
        <w:rPr>
          <w:sz w:val="24"/>
        </w:rPr>
        <w:t xml:space="preserve"> In </w:t>
      </w:r>
      <w:r w:rsidR="005407BD">
        <w:rPr>
          <w:sz w:val="24"/>
        </w:rPr>
        <w:t>October 2023</w:t>
      </w:r>
      <w:r w:rsidR="00914CC4">
        <w:rPr>
          <w:sz w:val="24"/>
        </w:rPr>
        <w:t xml:space="preserve">, </w:t>
      </w:r>
      <w:r w:rsidR="009A72A4">
        <w:rPr>
          <w:sz w:val="24"/>
        </w:rPr>
        <w:t xml:space="preserve">Executive Order </w:t>
      </w:r>
      <w:r w:rsidR="00F619E9">
        <w:rPr>
          <w:sz w:val="24"/>
        </w:rPr>
        <w:t>13960 “</w:t>
      </w:r>
      <w:r w:rsidRPr="00F619E9" w:rsidR="00F619E9">
        <w:rPr>
          <w:sz w:val="24"/>
        </w:rPr>
        <w:t>Promoting the Use of Trustworthy Artificial Intelligence in the Federal Government</w:t>
      </w:r>
      <w:r w:rsidR="00F619E9">
        <w:rPr>
          <w:sz w:val="24"/>
        </w:rPr>
        <w:t xml:space="preserve">” </w:t>
      </w:r>
      <w:r w:rsidR="00562012">
        <w:rPr>
          <w:sz w:val="24"/>
        </w:rPr>
        <w:t>mandated federal agencies</w:t>
      </w:r>
      <w:r w:rsidR="00896E76">
        <w:rPr>
          <w:sz w:val="24"/>
        </w:rPr>
        <w:t xml:space="preserve"> to prioritize and adopt AI governance policies to both advance the emerging technology as well as to </w:t>
      </w:r>
      <w:r w:rsidR="0047639F">
        <w:rPr>
          <w:sz w:val="24"/>
        </w:rPr>
        <w:t xml:space="preserve">prevent potential harm. </w:t>
      </w:r>
      <w:r w:rsidR="0027175C">
        <w:rPr>
          <w:sz w:val="24"/>
        </w:rPr>
        <w:t>ASTP/ONC</w:t>
      </w:r>
      <w:r w:rsidR="0047639F">
        <w:rPr>
          <w:sz w:val="24"/>
        </w:rPr>
        <w:t xml:space="preserve"> pursues multiple AI policies and projects, and this survey can </w:t>
      </w:r>
      <w:r w:rsidR="00F628A3">
        <w:rPr>
          <w:sz w:val="24"/>
        </w:rPr>
        <w:t>help inform the</w:t>
      </w:r>
      <w:r w:rsidR="00195AB4">
        <w:rPr>
          <w:sz w:val="24"/>
        </w:rPr>
        <w:t xml:space="preserve"> </w:t>
      </w:r>
      <w:r w:rsidR="0027175C">
        <w:rPr>
          <w:sz w:val="24"/>
        </w:rPr>
        <w:t>ASTP/ONC</w:t>
      </w:r>
      <w:r w:rsidR="00195AB4">
        <w:rPr>
          <w:sz w:val="24"/>
        </w:rPr>
        <w:t xml:space="preserve"> about HIOs </w:t>
      </w:r>
      <w:r w:rsidR="00F628A3">
        <w:rPr>
          <w:sz w:val="24"/>
        </w:rPr>
        <w:t xml:space="preserve">AI capabilities </w:t>
      </w:r>
      <w:r w:rsidR="00195AB4">
        <w:rPr>
          <w:sz w:val="24"/>
        </w:rPr>
        <w:t>and use.</w:t>
      </w:r>
      <w:r w:rsidR="00F628A3">
        <w:rPr>
          <w:sz w:val="24"/>
        </w:rPr>
        <w:t xml:space="preserve"> </w:t>
      </w:r>
    </w:p>
    <w:p w:rsidR="00766ECB" w:rsidP="009172A6" w14:paraId="79C9632A" w14:textId="3DEE4A07">
      <w:pPr>
        <w:rPr>
          <w:sz w:val="24"/>
        </w:rPr>
      </w:pPr>
    </w:p>
    <w:p w:rsidR="009172A6" w:rsidP="000F7A0F" w14:paraId="2AD6C9DD" w14:textId="395453D0">
      <w:pPr>
        <w:ind w:left="720"/>
        <w:rPr>
          <w:sz w:val="24"/>
        </w:rPr>
      </w:pPr>
      <w:bookmarkStart w:id="8" w:name="_Hlk102136173"/>
      <w:r w:rsidRPr="00130F03">
        <w:rPr>
          <w:sz w:val="24"/>
        </w:rPr>
        <w:t xml:space="preserve">There are </w:t>
      </w:r>
      <w:r w:rsidR="00D15E56">
        <w:rPr>
          <w:sz w:val="24"/>
        </w:rPr>
        <w:t>five</w:t>
      </w:r>
      <w:r w:rsidRPr="00130F03" w:rsidR="00D15E56">
        <w:rPr>
          <w:sz w:val="24"/>
        </w:rPr>
        <w:t xml:space="preserve"> </w:t>
      </w:r>
      <w:r w:rsidRPr="00130F03">
        <w:rPr>
          <w:sz w:val="24"/>
        </w:rPr>
        <w:t xml:space="preserve">key areas that require broader assessment: </w:t>
      </w:r>
      <w:r w:rsidR="003B1426">
        <w:rPr>
          <w:sz w:val="24"/>
        </w:rPr>
        <w:t>(1) organizational demographics</w:t>
      </w:r>
      <w:r w:rsidR="004E4711">
        <w:rPr>
          <w:sz w:val="24"/>
        </w:rPr>
        <w:t xml:space="preserve">, including services provided; </w:t>
      </w:r>
      <w:r w:rsidR="003B1426">
        <w:rPr>
          <w:sz w:val="24"/>
        </w:rPr>
        <w:t xml:space="preserve"> (2) public health</w:t>
      </w:r>
      <w:r w:rsidR="004E4711">
        <w:rPr>
          <w:sz w:val="24"/>
        </w:rPr>
        <w:t>;</w:t>
      </w:r>
      <w:r w:rsidR="003B1426">
        <w:rPr>
          <w:sz w:val="24"/>
        </w:rPr>
        <w:t xml:space="preserve"> (3) implementation/use of standards</w:t>
      </w:r>
      <w:r w:rsidR="00493DE0">
        <w:rPr>
          <w:sz w:val="24"/>
        </w:rPr>
        <w:t>;</w:t>
      </w:r>
      <w:r w:rsidR="003B1426">
        <w:rPr>
          <w:sz w:val="24"/>
        </w:rPr>
        <w:t xml:space="preserve"> (4) network-to-network connectivity and TEFCA</w:t>
      </w:r>
      <w:r w:rsidR="00493DE0">
        <w:rPr>
          <w:sz w:val="24"/>
        </w:rPr>
        <w:t>;</w:t>
      </w:r>
      <w:r w:rsidR="003B1426">
        <w:rPr>
          <w:sz w:val="24"/>
        </w:rPr>
        <w:t xml:space="preserve"> </w:t>
      </w:r>
      <w:r w:rsidR="00FB1940">
        <w:rPr>
          <w:sz w:val="24"/>
        </w:rPr>
        <w:t xml:space="preserve">and </w:t>
      </w:r>
      <w:r w:rsidR="00D15E56">
        <w:rPr>
          <w:sz w:val="24"/>
        </w:rPr>
        <w:t>(5) information blocking</w:t>
      </w:r>
      <w:r w:rsidRPr="00130F03">
        <w:rPr>
          <w:sz w:val="24"/>
        </w:rPr>
        <w:t>, including technical capabilities offered by HIOs and the challenges they face in supporting electronic health information exchange.</w:t>
      </w:r>
    </w:p>
    <w:p w:rsidR="009172A6" w:rsidP="000F7A0F" w14:paraId="76396D5A" w14:textId="77777777">
      <w:pPr>
        <w:ind w:left="720"/>
        <w:rPr>
          <w:sz w:val="24"/>
        </w:rPr>
      </w:pPr>
    </w:p>
    <w:p w:rsidR="008A782F" w:rsidRPr="00016834" w:rsidP="008A782F" w14:paraId="563E8D07" w14:textId="1289E170">
      <w:pPr>
        <w:ind w:left="720"/>
        <w:rPr>
          <w:sz w:val="24"/>
        </w:rPr>
      </w:pPr>
      <w:r>
        <w:rPr>
          <w:sz w:val="24"/>
        </w:rPr>
        <w:t>Organizational demographics, which include HIOs’</w:t>
      </w:r>
      <w:r>
        <w:rPr>
          <w:sz w:val="24"/>
        </w:rPr>
        <w:t xml:space="preserve"> overall HIO </w:t>
      </w:r>
      <w:r w:rsidRPr="008F040A">
        <w:rPr>
          <w:sz w:val="24"/>
          <w:u w:val="single"/>
        </w:rPr>
        <w:t>capabilities</w:t>
      </w:r>
      <w:r>
        <w:rPr>
          <w:sz w:val="24"/>
          <w:u w:val="single"/>
        </w:rPr>
        <w:t xml:space="preserve">, including services </w:t>
      </w:r>
      <w:r w:rsidR="00B264E9">
        <w:rPr>
          <w:sz w:val="24"/>
          <w:u w:val="single"/>
        </w:rPr>
        <w:t>provided is critical to assess</w:t>
      </w:r>
      <w:r w:rsidRPr="008F040A">
        <w:rPr>
          <w:sz w:val="24"/>
        </w:rPr>
        <w:t>. With many options available for how providers</w:t>
      </w:r>
      <w:r>
        <w:rPr>
          <w:sz w:val="24"/>
        </w:rPr>
        <w:t>, public health agencies, labs, and other key health</w:t>
      </w:r>
      <w:r w:rsidR="00F51C75">
        <w:rPr>
          <w:sz w:val="24"/>
        </w:rPr>
        <w:t xml:space="preserve"> </w:t>
      </w:r>
      <w:r>
        <w:rPr>
          <w:sz w:val="24"/>
        </w:rPr>
        <w:t>care stakeholders can</w:t>
      </w:r>
      <w:r w:rsidRPr="00016834">
        <w:rPr>
          <w:sz w:val="24"/>
        </w:rPr>
        <w:t xml:space="preserve"> engage in HIE, and a growing number of newer approaches scaling rapidly, it is critical to track </w:t>
      </w:r>
      <w:r>
        <w:rPr>
          <w:sz w:val="24"/>
        </w:rPr>
        <w:t xml:space="preserve">how HIOs are positioning themselves. </w:t>
      </w:r>
      <w:r w:rsidRPr="00016834">
        <w:rPr>
          <w:sz w:val="24"/>
        </w:rPr>
        <w:t xml:space="preserve">Thus, collecting the latest data on HIO </w:t>
      </w:r>
      <w:r>
        <w:rPr>
          <w:sz w:val="24"/>
        </w:rPr>
        <w:t>services</w:t>
      </w:r>
      <w:r w:rsidR="00EE0FC5">
        <w:rPr>
          <w:sz w:val="24"/>
        </w:rPr>
        <w:t xml:space="preserve"> including those related to AI</w:t>
      </w:r>
      <w:r>
        <w:rPr>
          <w:sz w:val="24"/>
        </w:rPr>
        <w:t xml:space="preserve">, </w:t>
      </w:r>
      <w:r w:rsidRPr="00016834">
        <w:rPr>
          <w:sz w:val="24"/>
        </w:rPr>
        <w:t xml:space="preserve">sustainability, and related issues such as governance and use cases, </w:t>
      </w:r>
      <w:r>
        <w:rPr>
          <w:sz w:val="24"/>
        </w:rPr>
        <w:t xml:space="preserve">this survey </w:t>
      </w:r>
      <w:r w:rsidRPr="00016834">
        <w:rPr>
          <w:sz w:val="24"/>
        </w:rPr>
        <w:t xml:space="preserve">will provide important insights into the evolution of our national HIE infrastructure. In turn, </w:t>
      </w:r>
      <w:r>
        <w:rPr>
          <w:sz w:val="24"/>
        </w:rPr>
        <w:t>result</w:t>
      </w:r>
      <w:r w:rsidRPr="00016834">
        <w:rPr>
          <w:sz w:val="24"/>
        </w:rPr>
        <w:t>s will reveal gaps that require renewed policy attention. Collecting current data on HIO sustainability will also reveal whether these efforts are continuing the trend that began in 2015 of aligning their value proposition with new models of care delivery and payment. That is, with the rise of alternative HIE approaches (particularly those provided by EHR vendors), HIOs may no longer be able to sustain themselves by only supporting simple HIE transactions that move data across organizations. Instead, they may need to demonstrate added value through functionalities and analytics that support health system transformation efforts (e.g., ADT notifications, PDMP integration and alerting, quality reporting, MIPS</w:t>
      </w:r>
      <w:r>
        <w:rPr>
          <w:sz w:val="24"/>
        </w:rPr>
        <w:t>, etc.</w:t>
      </w:r>
      <w:r w:rsidRPr="00016834">
        <w:rPr>
          <w:sz w:val="24"/>
        </w:rPr>
        <w:t xml:space="preserve">). Understanding the specific approaches to sustainability pursued by HIOs today in the context of delivery system reform efforts will </w:t>
      </w:r>
      <w:r>
        <w:rPr>
          <w:sz w:val="24"/>
        </w:rPr>
        <w:t>demonstrate</w:t>
      </w:r>
      <w:r w:rsidRPr="00016834">
        <w:rPr>
          <w:sz w:val="24"/>
        </w:rPr>
        <w:t xml:space="preserve"> not only to their viability but also the infrastructure to support broader health policy </w:t>
      </w:r>
      <w:r>
        <w:rPr>
          <w:sz w:val="24"/>
        </w:rPr>
        <w:t xml:space="preserve">and public health </w:t>
      </w:r>
      <w:r w:rsidRPr="00016834">
        <w:rPr>
          <w:sz w:val="24"/>
        </w:rPr>
        <w:t>goals.</w:t>
      </w:r>
    </w:p>
    <w:p w:rsidR="008A782F" w:rsidP="000F7A0F" w14:paraId="02E4ED01" w14:textId="77777777">
      <w:pPr>
        <w:ind w:left="720"/>
        <w:rPr>
          <w:sz w:val="24"/>
        </w:rPr>
      </w:pPr>
    </w:p>
    <w:bookmarkEnd w:id="8"/>
    <w:p w:rsidR="00FF2A48" w:rsidP="000F7A0F" w14:paraId="1A87EE69" w14:textId="2CD82F53">
      <w:pPr>
        <w:ind w:left="720"/>
        <w:rPr>
          <w:sz w:val="24"/>
        </w:rPr>
      </w:pPr>
      <w:r>
        <w:rPr>
          <w:sz w:val="24"/>
        </w:rPr>
        <w:t>C</w:t>
      </w:r>
      <w:r>
        <w:rPr>
          <w:sz w:val="24"/>
        </w:rPr>
        <w:t xml:space="preserve">ontinuing to track HIOs’ capabilities to facilitate </w:t>
      </w:r>
      <w:r w:rsidR="000550FE">
        <w:rPr>
          <w:sz w:val="24"/>
        </w:rPr>
        <w:t xml:space="preserve">public health exchange between health care providers and public health agencies is crucial to </w:t>
      </w:r>
      <w:r w:rsidR="002E29A4">
        <w:rPr>
          <w:sz w:val="24"/>
        </w:rPr>
        <w:t xml:space="preserve">inform ongoing public health data modernization and planning and preparation for future public health emergencies. </w:t>
      </w:r>
      <w:r w:rsidR="00F24EBE">
        <w:rPr>
          <w:sz w:val="24"/>
        </w:rPr>
        <w:t xml:space="preserve">In alignment with </w:t>
      </w:r>
      <w:r w:rsidR="00FE38F1">
        <w:rPr>
          <w:sz w:val="24"/>
        </w:rPr>
        <w:t>CDC</w:t>
      </w:r>
      <w:r w:rsidR="00F24EBE">
        <w:rPr>
          <w:sz w:val="24"/>
        </w:rPr>
        <w:t xml:space="preserve">’s </w:t>
      </w:r>
      <w:r w:rsidR="00FE38F1">
        <w:rPr>
          <w:sz w:val="24"/>
        </w:rPr>
        <w:t>Data Modernization Initiative (DMI)</w:t>
      </w:r>
      <w:r w:rsidR="00F24EBE">
        <w:rPr>
          <w:sz w:val="24"/>
        </w:rPr>
        <w:t xml:space="preserve">, </w:t>
      </w:r>
      <w:r w:rsidR="0027175C">
        <w:rPr>
          <w:sz w:val="24"/>
        </w:rPr>
        <w:t>ASTP/ONC</w:t>
      </w:r>
      <w:r w:rsidR="00F24EBE">
        <w:rPr>
          <w:sz w:val="24"/>
        </w:rPr>
        <w:t xml:space="preserve"> </w:t>
      </w:r>
      <w:r w:rsidR="007247EC">
        <w:rPr>
          <w:sz w:val="24"/>
        </w:rPr>
        <w:t>has made substantial investments in the public health IT infrastructure and workforce training (</w:t>
      </w:r>
      <w:r w:rsidR="00A075F5">
        <w:rPr>
          <w:sz w:val="24"/>
        </w:rPr>
        <w:t>e.g. PHIT program).</w:t>
      </w:r>
      <w:r w:rsidR="00F21F98">
        <w:rPr>
          <w:sz w:val="24"/>
        </w:rPr>
        <w:t xml:space="preserve"> </w:t>
      </w:r>
      <w:r w:rsidRPr="00DD70E9" w:rsidR="00DD70E9">
        <w:rPr>
          <w:sz w:val="24"/>
        </w:rPr>
        <w:t>HIOs, given their unique role in convening data across stakeholders in their region, may be able to support linking data from disparate sources together to help monitor the use of strategies to prevent and respon</w:t>
      </w:r>
      <w:r w:rsidR="00426E1F">
        <w:rPr>
          <w:sz w:val="24"/>
        </w:rPr>
        <w:t>d</w:t>
      </w:r>
      <w:r w:rsidRPr="00DD70E9" w:rsidR="00DD70E9">
        <w:rPr>
          <w:sz w:val="24"/>
        </w:rPr>
        <w:t xml:space="preserve"> to</w:t>
      </w:r>
      <w:r w:rsidR="0075012A">
        <w:rPr>
          <w:sz w:val="24"/>
        </w:rPr>
        <w:t xml:space="preserve"> </w:t>
      </w:r>
      <w:r w:rsidRPr="00DD70E9" w:rsidR="00DD70E9">
        <w:rPr>
          <w:sz w:val="24"/>
        </w:rPr>
        <w:t>public health emergencies.</w:t>
      </w:r>
      <w:r w:rsidR="00AE052A">
        <w:rPr>
          <w:sz w:val="24"/>
        </w:rPr>
        <w:t xml:space="preserve"> </w:t>
      </w:r>
      <w:r w:rsidRPr="00DD70E9" w:rsidR="00AE052A">
        <w:rPr>
          <w:sz w:val="24"/>
        </w:rPr>
        <w:t xml:space="preserve">We have revised the survey to better understand the role </w:t>
      </w:r>
      <w:r w:rsidR="00E6127A">
        <w:rPr>
          <w:sz w:val="24"/>
        </w:rPr>
        <w:t xml:space="preserve">and capabilities </w:t>
      </w:r>
      <w:r w:rsidRPr="00DD70E9" w:rsidR="00AE052A">
        <w:rPr>
          <w:sz w:val="24"/>
        </w:rPr>
        <w:t xml:space="preserve">of </w:t>
      </w:r>
      <w:r w:rsidR="00E6127A">
        <w:rPr>
          <w:sz w:val="24"/>
        </w:rPr>
        <w:t xml:space="preserve">HIEs and </w:t>
      </w:r>
      <w:r w:rsidRPr="00DD70E9" w:rsidR="00AE052A">
        <w:rPr>
          <w:sz w:val="24"/>
        </w:rPr>
        <w:t>HIOs in supporting public health data exchange</w:t>
      </w:r>
      <w:r w:rsidR="00AE052A">
        <w:rPr>
          <w:sz w:val="24"/>
        </w:rPr>
        <w:t xml:space="preserve"> </w:t>
      </w:r>
      <w:r w:rsidRPr="00DD70E9" w:rsidR="00AE052A">
        <w:rPr>
          <w:sz w:val="24"/>
        </w:rPr>
        <w:t>reporting and response to pandemics</w:t>
      </w:r>
      <w:r w:rsidR="008B72BD">
        <w:rPr>
          <w:sz w:val="24"/>
        </w:rPr>
        <w:t>.</w:t>
      </w:r>
      <w:r w:rsidRPr="00DD70E9" w:rsidR="00AE052A">
        <w:rPr>
          <w:sz w:val="24"/>
        </w:rPr>
        <w:t xml:space="preserve"> </w:t>
      </w:r>
      <w:r w:rsidRPr="00DD70E9" w:rsidR="00DD70E9">
        <w:rPr>
          <w:sz w:val="24"/>
        </w:rPr>
        <w:t xml:space="preserve"> </w:t>
      </w:r>
    </w:p>
    <w:p w:rsidR="002E29A4" w:rsidP="000F7A0F" w14:paraId="7935498A" w14:textId="77777777">
      <w:pPr>
        <w:ind w:left="720"/>
        <w:rPr>
          <w:sz w:val="24"/>
        </w:rPr>
      </w:pPr>
    </w:p>
    <w:p w:rsidR="00016834" w:rsidP="000F7A0F" w14:paraId="0E38AD4D" w14:textId="14499DBA">
      <w:pPr>
        <w:ind w:left="720"/>
        <w:rPr>
          <w:sz w:val="24"/>
        </w:rPr>
      </w:pPr>
      <w:r>
        <w:rPr>
          <w:sz w:val="24"/>
        </w:rPr>
        <w:t>Measuring the</w:t>
      </w:r>
      <w:r w:rsidRPr="008F040A">
        <w:rPr>
          <w:sz w:val="24"/>
        </w:rPr>
        <w:t xml:space="preserve"> </w:t>
      </w:r>
      <w:r w:rsidR="00785D41">
        <w:rPr>
          <w:sz w:val="24"/>
        </w:rPr>
        <w:t xml:space="preserve">implementation/use of </w:t>
      </w:r>
      <w:r w:rsidRPr="008F040A">
        <w:rPr>
          <w:sz w:val="24"/>
          <w:u w:val="single"/>
        </w:rPr>
        <w:t>standards</w:t>
      </w:r>
      <w:r w:rsidRPr="00016834">
        <w:rPr>
          <w:sz w:val="24"/>
        </w:rPr>
        <w:t xml:space="preserve"> for transporting and codifying health information, ensuring that </w:t>
      </w:r>
      <w:r w:rsidR="002F541C">
        <w:rPr>
          <w:sz w:val="24"/>
        </w:rPr>
        <w:t>HIOs</w:t>
      </w:r>
      <w:r w:rsidRPr="00016834">
        <w:rPr>
          <w:sz w:val="24"/>
        </w:rPr>
        <w:t xml:space="preserve"> adopt and conform to standards is critical to enable the sharing of information across systems and to ensure that information can be easily integrated once received. There are often multiple standards available to accomplish the same HIE use case and, even when the same standard is selected, there is often ambiguity and optionality in the implementation guide that result in poor standards conformance. Unfortunately, when implementing standards, there is little room for flexibility and even one small difference in how a standard is implemented results in failure. It is therefore critical to assess not only which standards are being implemented but the extent to which implementations use the same implementation guide and where there are gaps in conformance. Such assessment is necessary to inform policy and private-sector efforts to promote better coordination among stakeholders on standards selection and conformance. </w:t>
      </w:r>
      <w:r w:rsidR="002F541C">
        <w:rPr>
          <w:sz w:val="24"/>
        </w:rPr>
        <w:t xml:space="preserve">Specifically relevant to </w:t>
      </w:r>
      <w:r w:rsidR="00396C34">
        <w:rPr>
          <w:sz w:val="24"/>
        </w:rPr>
        <w:t>public health emergencies</w:t>
      </w:r>
      <w:r w:rsidR="002F541C">
        <w:rPr>
          <w:sz w:val="24"/>
        </w:rPr>
        <w:t>, it is critical to assess which standards are in use for tracking lab test results</w:t>
      </w:r>
      <w:r w:rsidR="00466FE2">
        <w:rPr>
          <w:sz w:val="24"/>
        </w:rPr>
        <w:t>.</w:t>
      </w:r>
      <w:r w:rsidR="00897EEB">
        <w:rPr>
          <w:sz w:val="24"/>
        </w:rPr>
        <w:t xml:space="preserve"> Standards used to encode laboratory test results can be difficult to implement though ultimately coded results would be helpful to public health reporting and surveillance. Examining the extent to which HIEs have these data encoded and the barriers associated with this process would be informative to </w:t>
      </w:r>
      <w:r w:rsidR="0027175C">
        <w:rPr>
          <w:sz w:val="24"/>
        </w:rPr>
        <w:t>ASTP/ONC</w:t>
      </w:r>
      <w:r w:rsidR="00897EEB">
        <w:rPr>
          <w:sz w:val="24"/>
        </w:rPr>
        <w:t xml:space="preserve">’s efforts related to enabling lab interoperability.  </w:t>
      </w:r>
      <w:r w:rsidR="009D2191">
        <w:rPr>
          <w:sz w:val="24"/>
        </w:rPr>
        <w:t>C</w:t>
      </w:r>
      <w:r w:rsidRPr="00016834" w:rsidR="009D2191">
        <w:rPr>
          <w:sz w:val="24"/>
        </w:rPr>
        <w:t xml:space="preserve">ollecting data on standards from HIOs provides important information on both HIO activities and how HIOs are responding to standards development and implementation approaches by </w:t>
      </w:r>
      <w:r w:rsidR="003D702B">
        <w:rPr>
          <w:sz w:val="24"/>
        </w:rPr>
        <w:t>developers</w:t>
      </w:r>
      <w:r w:rsidRPr="00016834" w:rsidR="009D2191">
        <w:rPr>
          <w:sz w:val="24"/>
        </w:rPr>
        <w:t xml:space="preserve"> </w:t>
      </w:r>
      <w:r w:rsidR="00850D49">
        <w:rPr>
          <w:sz w:val="24"/>
        </w:rPr>
        <w:t xml:space="preserve">of certified health IT </w:t>
      </w:r>
      <w:r w:rsidRPr="00016834" w:rsidR="009D2191">
        <w:rPr>
          <w:sz w:val="24"/>
        </w:rPr>
        <w:t>and other HIE vendors.</w:t>
      </w:r>
      <w:r w:rsidR="009D2191">
        <w:rPr>
          <w:sz w:val="24"/>
        </w:rPr>
        <w:t xml:space="preserve"> </w:t>
      </w:r>
      <w:r w:rsidR="00E8056B">
        <w:rPr>
          <w:sz w:val="24"/>
        </w:rPr>
        <w:t>T</w:t>
      </w:r>
      <w:r w:rsidR="009D2191">
        <w:rPr>
          <w:sz w:val="24"/>
        </w:rPr>
        <w:t>he results from this survey could help inform future standards development</w:t>
      </w:r>
      <w:r w:rsidR="00E8056B">
        <w:rPr>
          <w:sz w:val="24"/>
        </w:rPr>
        <w:t xml:space="preserve"> efforts</w:t>
      </w:r>
      <w:r w:rsidR="009D2191">
        <w:rPr>
          <w:sz w:val="24"/>
        </w:rPr>
        <w:t xml:space="preserve">. </w:t>
      </w:r>
      <w:r w:rsidR="00897EEB">
        <w:rPr>
          <w:sz w:val="24"/>
        </w:rPr>
        <w:t xml:space="preserve"> </w:t>
      </w:r>
    </w:p>
    <w:p w:rsidR="008A782F" w:rsidP="000F7A0F" w14:paraId="67F934F5" w14:textId="77777777">
      <w:pPr>
        <w:ind w:left="720"/>
        <w:rPr>
          <w:sz w:val="24"/>
        </w:rPr>
      </w:pPr>
    </w:p>
    <w:p w:rsidR="008A782F" w:rsidP="008A782F" w14:paraId="014F1577" w14:textId="06BDAB60">
      <w:pPr>
        <w:ind w:left="720"/>
        <w:rPr>
          <w:sz w:val="24"/>
        </w:rPr>
      </w:pPr>
      <w:r>
        <w:rPr>
          <w:sz w:val="24"/>
        </w:rPr>
        <w:t>I</w:t>
      </w:r>
      <w:r>
        <w:rPr>
          <w:sz w:val="24"/>
        </w:rPr>
        <w:t>t is</w:t>
      </w:r>
      <w:r>
        <w:rPr>
          <w:sz w:val="24"/>
        </w:rPr>
        <w:t xml:space="preserve"> also</w:t>
      </w:r>
      <w:r>
        <w:rPr>
          <w:sz w:val="24"/>
        </w:rPr>
        <w:t xml:space="preserve"> important to assess approaches to </w:t>
      </w:r>
      <w:bookmarkStart w:id="9" w:name="_Hlk102131329"/>
      <w:r w:rsidRPr="008F040A">
        <w:rPr>
          <w:sz w:val="24"/>
          <w:u w:val="single"/>
        </w:rPr>
        <w:t>HIE coordination at the federal level</w:t>
      </w:r>
      <w:bookmarkEnd w:id="9"/>
      <w:r>
        <w:rPr>
          <w:sz w:val="24"/>
          <w:u w:val="single"/>
        </w:rPr>
        <w:t>.</w:t>
      </w:r>
      <w:r>
        <w:rPr>
          <w:sz w:val="24"/>
        </w:rPr>
        <w:t xml:space="preserve"> T</w:t>
      </w:r>
      <w:r w:rsidRPr="00016834">
        <w:rPr>
          <w:sz w:val="24"/>
        </w:rPr>
        <w:t xml:space="preserve">he number of HIE networks has grown from just a handful of local HIOs a decade ago to </w:t>
      </w:r>
      <w:r w:rsidR="00831234">
        <w:rPr>
          <w:sz w:val="24"/>
        </w:rPr>
        <w:t>nearly</w:t>
      </w:r>
      <w:r w:rsidRPr="00016834">
        <w:rPr>
          <w:sz w:val="24"/>
        </w:rPr>
        <w:t xml:space="preserve"> </w:t>
      </w:r>
      <w:r>
        <w:rPr>
          <w:sz w:val="24"/>
        </w:rPr>
        <w:t>100</w:t>
      </w:r>
      <w:r w:rsidRPr="00016834">
        <w:rPr>
          <w:sz w:val="24"/>
        </w:rPr>
        <w:t xml:space="preserve"> disparate networks at </w:t>
      </w:r>
      <w:r>
        <w:rPr>
          <w:sz w:val="24"/>
        </w:rPr>
        <w:t xml:space="preserve">the </w:t>
      </w:r>
      <w:r w:rsidRPr="00016834">
        <w:rPr>
          <w:sz w:val="24"/>
        </w:rPr>
        <w:t>local, regional, and national levels</w:t>
      </w:r>
      <w:r>
        <w:rPr>
          <w:sz w:val="24"/>
        </w:rPr>
        <w:t>.</w:t>
      </w:r>
      <w:r w:rsidR="00831234">
        <w:rPr>
          <w:sz w:val="24"/>
        </w:rPr>
        <w:t xml:space="preserve"> </w:t>
      </w:r>
      <w:r>
        <w:rPr>
          <w:sz w:val="24"/>
        </w:rPr>
        <w:t>T</w:t>
      </w:r>
      <w:r w:rsidRPr="00016834">
        <w:rPr>
          <w:sz w:val="24"/>
        </w:rPr>
        <w:t>he result is that health</w:t>
      </w:r>
      <w:r>
        <w:rPr>
          <w:sz w:val="24"/>
        </w:rPr>
        <w:t xml:space="preserve"> </w:t>
      </w:r>
      <w:r w:rsidRPr="00016834">
        <w:rPr>
          <w:sz w:val="24"/>
        </w:rPr>
        <w:t xml:space="preserve">care providers must use a variety of different networks and methods to exchange health information, increasing the complexity and costs of health information exchange. </w:t>
      </w:r>
      <w:r>
        <w:rPr>
          <w:sz w:val="24"/>
        </w:rPr>
        <w:t>Current</w:t>
      </w:r>
      <w:r w:rsidRPr="00016834">
        <w:rPr>
          <w:sz w:val="24"/>
        </w:rPr>
        <w:t xml:space="preserve"> efforts, notably the Trusted Exchange Framework and Common Agreement (TEFCA), seek to better coordinate varied approaches to HIE. The </w:t>
      </w:r>
      <w:hyperlink r:id="rId11" w:history="1">
        <w:r w:rsidRPr="001F58CA">
          <w:rPr>
            <w:rStyle w:val="Hyperlink"/>
            <w:sz w:val="24"/>
          </w:rPr>
          <w:t>goal of TEFCA</w:t>
        </w:r>
      </w:hyperlink>
      <w:r w:rsidRPr="00016834">
        <w:rPr>
          <w:sz w:val="24"/>
        </w:rPr>
        <w:t xml:space="preserve"> is to </w:t>
      </w:r>
      <w:r w:rsidR="0085591F">
        <w:rPr>
          <w:sz w:val="24"/>
        </w:rPr>
        <w:t xml:space="preserve">establish </w:t>
      </w:r>
      <w:r w:rsidR="006604A0">
        <w:rPr>
          <w:sz w:val="24"/>
        </w:rPr>
        <w:t>universal governance for</w:t>
      </w:r>
      <w:r w:rsidRPr="00016834">
        <w:rPr>
          <w:sz w:val="24"/>
        </w:rPr>
        <w:t xml:space="preserve"> nationwide connectivity</w:t>
      </w:r>
      <w:r w:rsidR="006604A0">
        <w:rPr>
          <w:sz w:val="24"/>
        </w:rPr>
        <w:t>, simplify connectivity, and enable individual access to their health information</w:t>
      </w:r>
      <w:r w:rsidRPr="00016834">
        <w:rPr>
          <w:sz w:val="24"/>
        </w:rPr>
        <w:t xml:space="preserve">. Since participation in TEFCA is voluntary, it is critical to assess how HIOs anticipate participating in TEFCA, and their engagement in related activities such as connecting to each other, to gain insight into progress towards nationwide connectivity under TEFCA. </w:t>
      </w:r>
    </w:p>
    <w:p w:rsidR="00016834" w:rsidRPr="00016834" w:rsidP="00831234" w14:paraId="2F5D2343" w14:textId="234D027E">
      <w:pPr>
        <w:rPr>
          <w:sz w:val="24"/>
        </w:rPr>
      </w:pPr>
    </w:p>
    <w:p w:rsidR="00016834" w:rsidRPr="00016834" w:rsidP="00EB5BD6" w14:paraId="231E9556" w14:textId="24611039">
      <w:pPr>
        <w:ind w:left="720"/>
        <w:rPr>
          <w:sz w:val="24"/>
        </w:rPr>
      </w:pPr>
      <w:r>
        <w:rPr>
          <w:sz w:val="24"/>
        </w:rPr>
        <w:t>Finally</w:t>
      </w:r>
      <w:r w:rsidR="002F541C">
        <w:rPr>
          <w:sz w:val="24"/>
        </w:rPr>
        <w:t>, r</w:t>
      </w:r>
      <w:r w:rsidRPr="00016834">
        <w:rPr>
          <w:sz w:val="24"/>
        </w:rPr>
        <w:t xml:space="preserve">ecently </w:t>
      </w:r>
      <w:r w:rsidR="002F541C">
        <w:rPr>
          <w:sz w:val="24"/>
        </w:rPr>
        <w:t xml:space="preserve">implemented </w:t>
      </w:r>
      <w:r w:rsidRPr="00016834">
        <w:rPr>
          <w:sz w:val="24"/>
        </w:rPr>
        <w:t xml:space="preserve">federal regulations </w:t>
      </w:r>
      <w:r w:rsidR="002F541C">
        <w:rPr>
          <w:sz w:val="24"/>
        </w:rPr>
        <w:t>prohibiting</w:t>
      </w:r>
      <w:r w:rsidRPr="00016834">
        <w:rPr>
          <w:sz w:val="24"/>
        </w:rPr>
        <w:t xml:space="preserve"> </w:t>
      </w:r>
      <w:r w:rsidRPr="008F040A">
        <w:rPr>
          <w:sz w:val="24"/>
          <w:u w:val="single"/>
        </w:rPr>
        <w:t>information blocking</w:t>
      </w:r>
      <w:r w:rsidRPr="00016834">
        <w:rPr>
          <w:sz w:val="24"/>
        </w:rPr>
        <w:t xml:space="preserve"> </w:t>
      </w:r>
      <w:r w:rsidR="002F541C">
        <w:rPr>
          <w:sz w:val="24"/>
        </w:rPr>
        <w:t>should result in more</w:t>
      </w:r>
      <w:r w:rsidR="00502E67">
        <w:rPr>
          <w:sz w:val="24"/>
        </w:rPr>
        <w:t xml:space="preserve"> HIE </w:t>
      </w:r>
      <w:r w:rsidR="002F541C">
        <w:rPr>
          <w:sz w:val="24"/>
        </w:rPr>
        <w:t xml:space="preserve">engagement and </w:t>
      </w:r>
      <w:r w:rsidR="00502E67">
        <w:rPr>
          <w:sz w:val="24"/>
        </w:rPr>
        <w:t xml:space="preserve">a </w:t>
      </w:r>
      <w:r w:rsidR="002F541C">
        <w:rPr>
          <w:sz w:val="24"/>
        </w:rPr>
        <w:t>more rapid growth of HIOs. HIOs offer a key source of d</w:t>
      </w:r>
      <w:r w:rsidRPr="00016834">
        <w:rPr>
          <w:sz w:val="24"/>
        </w:rPr>
        <w:t>ata to inform an understanding of</w:t>
      </w:r>
      <w:r w:rsidR="009172A6">
        <w:rPr>
          <w:sz w:val="24"/>
        </w:rPr>
        <w:t xml:space="preserve"> whether </w:t>
      </w:r>
      <w:r w:rsidR="004A7DC9">
        <w:rPr>
          <w:sz w:val="24"/>
        </w:rPr>
        <w:t xml:space="preserve">information blocking </w:t>
      </w:r>
      <w:r w:rsidR="009172A6">
        <w:rPr>
          <w:sz w:val="24"/>
        </w:rPr>
        <w:t>is happening and the extent to which different forms of</w:t>
      </w:r>
      <w:r w:rsidRPr="00016834">
        <w:rPr>
          <w:sz w:val="24"/>
        </w:rPr>
        <w:t xml:space="preserve"> information blocking </w:t>
      </w:r>
      <w:r w:rsidR="009172A6">
        <w:rPr>
          <w:sz w:val="24"/>
        </w:rPr>
        <w:t>may be persisting</w:t>
      </w:r>
      <w:r w:rsidR="002F541C">
        <w:rPr>
          <w:sz w:val="24"/>
        </w:rPr>
        <w:t xml:space="preserve"> among developers </w:t>
      </w:r>
      <w:r w:rsidR="00587844">
        <w:rPr>
          <w:sz w:val="24"/>
        </w:rPr>
        <w:t xml:space="preserve">of certified health IT </w:t>
      </w:r>
      <w:r w:rsidR="002F541C">
        <w:rPr>
          <w:sz w:val="24"/>
        </w:rPr>
        <w:t>and provider organizations</w:t>
      </w:r>
      <w:r w:rsidR="00EB5BD6">
        <w:rPr>
          <w:sz w:val="24"/>
        </w:rPr>
        <w:t>. Information blocking findings from the</w:t>
      </w:r>
      <w:r w:rsidR="00AD2D55">
        <w:rPr>
          <w:sz w:val="24"/>
        </w:rPr>
        <w:t xml:space="preserve"> 2019 HIO survey helped </w:t>
      </w:r>
      <w:r w:rsidR="00EB5BD6">
        <w:rPr>
          <w:sz w:val="24"/>
        </w:rPr>
        <w:t>establish baseline levels prior to enforcement of the new rules. Results showed that o</w:t>
      </w:r>
      <w:r w:rsidR="00AD2D55">
        <w:rPr>
          <w:sz w:val="24"/>
        </w:rPr>
        <w:t>ver half of HI</w:t>
      </w:r>
      <w:r w:rsidR="00EB5BD6">
        <w:rPr>
          <w:sz w:val="24"/>
        </w:rPr>
        <w:t>O</w:t>
      </w:r>
      <w:r w:rsidR="00AD2D55">
        <w:rPr>
          <w:sz w:val="24"/>
        </w:rPr>
        <w:t xml:space="preserve">s reported that </w:t>
      </w:r>
      <w:r w:rsidR="00863B9B">
        <w:rPr>
          <w:sz w:val="24"/>
        </w:rPr>
        <w:t xml:space="preserve">some, most, or all EHR </w:t>
      </w:r>
      <w:r w:rsidR="003D702B">
        <w:rPr>
          <w:sz w:val="24"/>
        </w:rPr>
        <w:t xml:space="preserve">developers </w:t>
      </w:r>
      <w:r w:rsidR="00863B9B">
        <w:rPr>
          <w:sz w:val="24"/>
        </w:rPr>
        <w:t xml:space="preserve">engage in information blocking. </w:t>
      </w:r>
      <w:r w:rsidR="00EB5BD6">
        <w:rPr>
          <w:sz w:val="24"/>
        </w:rPr>
        <w:t>In terms of frequency, t</w:t>
      </w:r>
      <w:r w:rsidR="00863B9B">
        <w:rPr>
          <w:sz w:val="24"/>
        </w:rPr>
        <w:t>he majority of HI</w:t>
      </w:r>
      <w:r w:rsidR="00EB5BD6">
        <w:rPr>
          <w:sz w:val="24"/>
        </w:rPr>
        <w:t>O</w:t>
      </w:r>
      <w:r w:rsidR="00863B9B">
        <w:rPr>
          <w:sz w:val="24"/>
        </w:rPr>
        <w:t>s also indicated that EHR ve</w:t>
      </w:r>
      <w:r w:rsidR="00EB129B">
        <w:rPr>
          <w:sz w:val="24"/>
        </w:rPr>
        <w:t>n</w:t>
      </w:r>
      <w:r w:rsidR="00863B9B">
        <w:rPr>
          <w:sz w:val="24"/>
        </w:rPr>
        <w:t>dors sometimes, often, or routinely engage in information blocking</w:t>
      </w:r>
      <w:r w:rsidR="00EB5BD6">
        <w:rPr>
          <w:sz w:val="24"/>
        </w:rPr>
        <w:t xml:space="preserve">. </w:t>
      </w:r>
      <w:r w:rsidRPr="00EB5BD6" w:rsidR="00EB5BD6">
        <w:rPr>
          <w:sz w:val="24"/>
        </w:rPr>
        <w:t>The most common type of information blocking behavior EHR vendors engaged in was</w:t>
      </w:r>
      <w:r w:rsidR="00EB5BD6">
        <w:rPr>
          <w:sz w:val="24"/>
        </w:rPr>
        <w:t xml:space="preserve"> </w:t>
      </w:r>
      <w:r w:rsidRPr="00EB5BD6" w:rsidR="00EB5BD6">
        <w:rPr>
          <w:sz w:val="24"/>
        </w:rPr>
        <w:t>setting unreasonably high prices, which 42% of HI</w:t>
      </w:r>
      <w:r w:rsidR="00EB5BD6">
        <w:rPr>
          <w:sz w:val="24"/>
        </w:rPr>
        <w:t>O</w:t>
      </w:r>
      <w:r w:rsidRPr="00EB5BD6" w:rsidR="00EB5BD6">
        <w:rPr>
          <w:sz w:val="24"/>
        </w:rPr>
        <w:t>s reported routinely observing.</w:t>
      </w:r>
      <w:r w:rsidR="00EB5BD6">
        <w:rPr>
          <w:sz w:val="24"/>
        </w:rPr>
        <w:t xml:space="preserve"> </w:t>
      </w:r>
      <w:hyperlink r:id="rId12" w:history="1">
        <w:r w:rsidRPr="00EB129B" w:rsidR="00EB129B">
          <w:rPr>
            <w:rStyle w:val="Hyperlink"/>
            <w:sz w:val="24"/>
          </w:rPr>
          <w:t>These findings</w:t>
        </w:r>
      </w:hyperlink>
      <w:r w:rsidR="00EB129B">
        <w:rPr>
          <w:sz w:val="24"/>
        </w:rPr>
        <w:t xml:space="preserve"> on how and when information blocking occurs informed </w:t>
      </w:r>
      <w:r w:rsidR="00770C2F">
        <w:rPr>
          <w:sz w:val="24"/>
        </w:rPr>
        <w:t xml:space="preserve">the </w:t>
      </w:r>
      <w:r w:rsidR="00EB5BD6">
        <w:rPr>
          <w:sz w:val="24"/>
        </w:rPr>
        <w:t>implementation</w:t>
      </w:r>
      <w:r w:rsidR="00EB129B">
        <w:rPr>
          <w:sz w:val="24"/>
        </w:rPr>
        <w:t xml:space="preserve"> of the 21</w:t>
      </w:r>
      <w:r w:rsidRPr="00EB129B" w:rsidR="00EB129B">
        <w:rPr>
          <w:sz w:val="24"/>
          <w:vertAlign w:val="superscript"/>
        </w:rPr>
        <w:t>st</w:t>
      </w:r>
      <w:r w:rsidR="00EB129B">
        <w:rPr>
          <w:sz w:val="24"/>
        </w:rPr>
        <w:t xml:space="preserve"> Century Cures Act and have potential to inform future policy initiatives.</w:t>
      </w:r>
    </w:p>
    <w:p w:rsidR="00016834" w:rsidRPr="00016834" w:rsidP="001F58CA" w14:paraId="72C303F6" w14:textId="77777777">
      <w:pPr>
        <w:rPr>
          <w:sz w:val="24"/>
        </w:rPr>
      </w:pPr>
    </w:p>
    <w:p w:rsidR="009D6F21" w:rsidP="00016834" w14:paraId="7D00B8D1" w14:textId="7411AE89">
      <w:pPr>
        <w:ind w:left="720"/>
      </w:pPr>
      <w:bookmarkStart w:id="10" w:name="_Hlk102131247"/>
      <w:r w:rsidRPr="00BC4234">
        <w:rPr>
          <w:sz w:val="24"/>
        </w:rPr>
        <w:t>The timely collection of national data from our survey will assess current capabilities to support effective electronic information sharing within our health</w:t>
      </w:r>
      <w:r w:rsidR="004221D0">
        <w:rPr>
          <w:sz w:val="24"/>
        </w:rPr>
        <w:t xml:space="preserve"> </w:t>
      </w:r>
      <w:r w:rsidRPr="00BC4234">
        <w:rPr>
          <w:sz w:val="24"/>
        </w:rPr>
        <w:t xml:space="preserve">care system. </w:t>
      </w:r>
      <w:r w:rsidRPr="00EE7C2D" w:rsidR="00D9540C">
        <w:rPr>
          <w:sz w:val="24"/>
        </w:rPr>
        <w:t xml:space="preserve">Further, data collected in other </w:t>
      </w:r>
      <w:r w:rsidR="004221D0">
        <w:rPr>
          <w:sz w:val="24"/>
        </w:rPr>
        <w:t xml:space="preserve">topic </w:t>
      </w:r>
      <w:r w:rsidRPr="00EE7C2D" w:rsidR="00D9540C">
        <w:rPr>
          <w:sz w:val="24"/>
        </w:rPr>
        <w:t>areas, such as on</w:t>
      </w:r>
      <w:r w:rsidR="00136056">
        <w:rPr>
          <w:sz w:val="24"/>
        </w:rPr>
        <w:t xml:space="preserve"> TEFCA</w:t>
      </w:r>
      <w:r w:rsidR="00E400DA">
        <w:rPr>
          <w:sz w:val="24"/>
        </w:rPr>
        <w:t>, public health</w:t>
      </w:r>
      <w:r w:rsidR="00136056">
        <w:rPr>
          <w:sz w:val="24"/>
        </w:rPr>
        <w:t xml:space="preserve"> and</w:t>
      </w:r>
      <w:r w:rsidRPr="00EE7C2D" w:rsidR="00D9540C">
        <w:rPr>
          <w:sz w:val="24"/>
        </w:rPr>
        <w:t xml:space="preserve"> information blocking, </w:t>
      </w:r>
      <w:r w:rsidR="006427F5">
        <w:rPr>
          <w:sz w:val="24"/>
        </w:rPr>
        <w:t>offer the opportunity to</w:t>
      </w:r>
      <w:r w:rsidRPr="00EE7C2D" w:rsidR="00D9540C">
        <w:rPr>
          <w:sz w:val="24"/>
        </w:rPr>
        <w:t xml:space="preserve"> assess</w:t>
      </w:r>
      <w:r w:rsidR="002460E8">
        <w:rPr>
          <w:sz w:val="24"/>
        </w:rPr>
        <w:t xml:space="preserve"> </w:t>
      </w:r>
      <w:r w:rsidRPr="00EE7C2D" w:rsidR="00D9540C">
        <w:rPr>
          <w:sz w:val="24"/>
        </w:rPr>
        <w:t xml:space="preserve">the impact of </w:t>
      </w:r>
      <w:r w:rsidR="006427F5">
        <w:rPr>
          <w:sz w:val="24"/>
        </w:rPr>
        <w:t xml:space="preserve">recent </w:t>
      </w:r>
      <w:r w:rsidRPr="00EE7C2D" w:rsidR="00D9540C">
        <w:rPr>
          <w:sz w:val="24"/>
        </w:rPr>
        <w:t>policies to increase the flow of information across the health</w:t>
      </w:r>
      <w:r w:rsidR="00F51C75">
        <w:rPr>
          <w:sz w:val="24"/>
        </w:rPr>
        <w:t xml:space="preserve"> </w:t>
      </w:r>
      <w:r w:rsidRPr="00EE7C2D" w:rsidR="00D9540C">
        <w:rPr>
          <w:sz w:val="24"/>
        </w:rPr>
        <w:t xml:space="preserve">care system. </w:t>
      </w:r>
      <w:r w:rsidRPr="00422A03" w:rsidR="00D9540C">
        <w:rPr>
          <w:sz w:val="24"/>
        </w:rPr>
        <w:t xml:space="preserve">The HIO survey results will inform potential modifications to the rules and related activities. </w:t>
      </w:r>
    </w:p>
    <w:p w:rsidR="009D6F21" w:rsidRPr="00016834" w:rsidP="00016834" w14:paraId="040502A3" w14:textId="77777777">
      <w:pPr>
        <w:ind w:left="720"/>
        <w:rPr>
          <w:sz w:val="24"/>
        </w:rPr>
      </w:pPr>
    </w:p>
    <w:bookmarkEnd w:id="10"/>
    <w:p w:rsidR="0098164F" w14:paraId="6555F46C" w14:textId="77777777">
      <w:pPr>
        <w:numPr>
          <w:ilvl w:val="0"/>
          <w:numId w:val="2"/>
        </w:numPr>
        <w:rPr>
          <w:b/>
          <w:sz w:val="24"/>
        </w:rPr>
      </w:pPr>
      <w:r>
        <w:rPr>
          <w:b/>
          <w:sz w:val="24"/>
          <w:u w:val="single"/>
        </w:rPr>
        <w:t>Purpose and Use of Information Collection</w:t>
      </w:r>
    </w:p>
    <w:p w:rsidR="00E474C1" w:rsidRPr="00E474C1" w:rsidP="00E474C1" w14:paraId="35C304B0" w14:textId="2644FD70">
      <w:pPr>
        <w:pStyle w:val="MediumGrid1-Accent21"/>
        <w:rPr>
          <w:rFonts w:ascii="Times New Roman" w:hAnsi="Times New Roman"/>
        </w:rPr>
      </w:pPr>
      <w:bookmarkStart w:id="11" w:name="_Hlk102131093"/>
      <w:r w:rsidRPr="00E474C1">
        <w:rPr>
          <w:rFonts w:ascii="Times New Roman" w:hAnsi="Times New Roman"/>
        </w:rPr>
        <w:t>T</w:t>
      </w:r>
      <w:r w:rsidRPr="00E474C1" w:rsidR="00BD159E">
        <w:rPr>
          <w:rFonts w:ascii="Times New Roman" w:hAnsi="Times New Roman"/>
        </w:rPr>
        <w:t xml:space="preserve">he goal of </w:t>
      </w:r>
      <w:r w:rsidRPr="00E474C1" w:rsidR="00220A52">
        <w:rPr>
          <w:rFonts w:ascii="Times New Roman" w:hAnsi="Times New Roman"/>
        </w:rPr>
        <w:t>this</w:t>
      </w:r>
      <w:r w:rsidRPr="00E474C1">
        <w:rPr>
          <w:rFonts w:ascii="Times New Roman" w:hAnsi="Times New Roman"/>
        </w:rPr>
        <w:t xml:space="preserve"> project is to generate</w:t>
      </w:r>
      <w:r w:rsidRPr="00E474C1" w:rsidR="00BD159E">
        <w:rPr>
          <w:rFonts w:ascii="Times New Roman" w:hAnsi="Times New Roman"/>
        </w:rPr>
        <w:t xml:space="preserve"> the most current national statistics and actionable insights </w:t>
      </w:r>
      <w:r w:rsidRPr="00E474C1" w:rsidR="00BD159E">
        <w:rPr>
          <w:rFonts w:ascii="Times New Roman" w:hAnsi="Times New Roman"/>
        </w:rPr>
        <w:t xml:space="preserve">to inform policy </w:t>
      </w:r>
      <w:r w:rsidR="00BA510B">
        <w:rPr>
          <w:rFonts w:ascii="Times New Roman" w:hAnsi="Times New Roman"/>
        </w:rPr>
        <w:t>efforts</w:t>
      </w:r>
      <w:r w:rsidRPr="00E474C1">
        <w:rPr>
          <w:rFonts w:ascii="Times New Roman" w:hAnsi="Times New Roman"/>
        </w:rPr>
        <w:t xml:space="preserve">. </w:t>
      </w:r>
      <w:r w:rsidRPr="00592F67" w:rsidR="00592F67">
        <w:rPr>
          <w:rFonts w:ascii="Times New Roman" w:hAnsi="Times New Roman"/>
        </w:rPr>
        <w:t>The timely collection of national data from our survey will assess current capabilities of HIOs to support effective electronic information sharing within the U.S. health</w:t>
      </w:r>
      <w:r w:rsidR="00F51C75">
        <w:rPr>
          <w:rFonts w:ascii="Times New Roman" w:hAnsi="Times New Roman"/>
        </w:rPr>
        <w:t xml:space="preserve"> </w:t>
      </w:r>
      <w:r w:rsidRPr="00592F67" w:rsidR="00592F67">
        <w:rPr>
          <w:rFonts w:ascii="Times New Roman" w:hAnsi="Times New Roman"/>
        </w:rPr>
        <w:t>care system.</w:t>
      </w:r>
    </w:p>
    <w:bookmarkEnd w:id="11"/>
    <w:p w:rsidR="00E474C1" w:rsidRPr="00E474C1" w:rsidP="00E474C1" w14:paraId="4099BB7C" w14:textId="77777777">
      <w:pPr>
        <w:pStyle w:val="MediumGrid1-Accent21"/>
        <w:rPr>
          <w:rFonts w:ascii="Times New Roman" w:hAnsi="Times New Roman"/>
        </w:rPr>
      </w:pPr>
    </w:p>
    <w:p w:rsidR="00BD159E" w:rsidRPr="00E474C1" w:rsidP="003E4F3D" w14:paraId="2D8EBF35" w14:textId="65D6D9B0">
      <w:pPr>
        <w:ind w:left="720"/>
        <w:rPr>
          <w:sz w:val="24"/>
        </w:rPr>
      </w:pPr>
      <w:r w:rsidRPr="00E474C1">
        <w:rPr>
          <w:sz w:val="24"/>
        </w:rPr>
        <w:t xml:space="preserve">Our survey will accomplish this goal by asking HIOs to report current activities in the following </w:t>
      </w:r>
      <w:r w:rsidR="008133F3">
        <w:rPr>
          <w:sz w:val="24"/>
        </w:rPr>
        <w:t>key areas</w:t>
      </w:r>
      <w:r w:rsidRPr="00E474C1">
        <w:rPr>
          <w:sz w:val="24"/>
        </w:rPr>
        <w:t>:</w:t>
      </w:r>
    </w:p>
    <w:p w:rsidR="00E474C1" w:rsidRPr="00E474C1" w:rsidP="003E4F3D" w14:paraId="41E27242" w14:textId="77777777">
      <w:pPr>
        <w:ind w:left="720"/>
        <w:rPr>
          <w:sz w:val="24"/>
        </w:rPr>
      </w:pPr>
    </w:p>
    <w:p w:rsidR="00F44588" w:rsidRPr="00F44588" w:rsidP="00F44588" w14:paraId="1AC1C7B4" w14:textId="309548CF">
      <w:pPr>
        <w:pStyle w:val="MediumGrid1-Accent21"/>
        <w:numPr>
          <w:ilvl w:val="0"/>
          <w:numId w:val="47"/>
        </w:numPr>
        <w:ind w:left="1440"/>
        <w:rPr>
          <w:rFonts w:ascii="Times New Roman" w:hAnsi="Times New Roman"/>
        </w:rPr>
      </w:pPr>
      <w:r w:rsidRPr="00016834">
        <w:rPr>
          <w:rFonts w:ascii="Times New Roman" w:hAnsi="Times New Roman"/>
        </w:rPr>
        <w:t xml:space="preserve">HIO sustainability and related demographics </w:t>
      </w:r>
      <w:r w:rsidR="004E1A71">
        <w:rPr>
          <w:rFonts w:ascii="Times New Roman" w:hAnsi="Times New Roman"/>
        </w:rPr>
        <w:t>and services</w:t>
      </w:r>
      <w:r w:rsidRPr="00016834">
        <w:rPr>
          <w:rFonts w:ascii="Times New Roman" w:hAnsi="Times New Roman"/>
        </w:rPr>
        <w:t xml:space="preserve"> that capture the role of HIOs in supporting exchange and interoperability </w:t>
      </w:r>
    </w:p>
    <w:p w:rsidR="00FA0839" w:rsidRPr="00E474C1" w:rsidP="00016834" w14:paraId="21E2D317" w14:textId="07E973E8">
      <w:pPr>
        <w:pStyle w:val="MediumGrid1-Accent21"/>
        <w:numPr>
          <w:ilvl w:val="0"/>
          <w:numId w:val="47"/>
        </w:numPr>
        <w:ind w:left="1440"/>
        <w:rPr>
          <w:rFonts w:ascii="Times New Roman" w:hAnsi="Times New Roman"/>
        </w:rPr>
      </w:pPr>
      <w:r w:rsidRPr="00E474C1">
        <w:rPr>
          <w:rFonts w:ascii="Times New Roman" w:hAnsi="Times New Roman"/>
        </w:rPr>
        <w:t>Public health information sharing capabilities</w:t>
      </w:r>
    </w:p>
    <w:p w:rsidR="00016834" w:rsidP="00016834" w14:paraId="584A2447" w14:textId="634A5566">
      <w:pPr>
        <w:pStyle w:val="MediumGrid1-Accent21"/>
        <w:numPr>
          <w:ilvl w:val="0"/>
          <w:numId w:val="47"/>
        </w:numPr>
        <w:ind w:left="1440"/>
        <w:rPr>
          <w:rFonts w:ascii="Times New Roman" w:hAnsi="Times New Roman"/>
        </w:rPr>
      </w:pPr>
      <w:r w:rsidRPr="00E474C1">
        <w:rPr>
          <w:rFonts w:ascii="Times New Roman" w:hAnsi="Times New Roman"/>
        </w:rPr>
        <w:t xml:space="preserve">Implementation of and use of standards to enable </w:t>
      </w:r>
      <w:r w:rsidR="00B3543F">
        <w:rPr>
          <w:rFonts w:ascii="Times New Roman" w:hAnsi="Times New Roman"/>
        </w:rPr>
        <w:t xml:space="preserve">health information </w:t>
      </w:r>
      <w:r w:rsidRPr="00E474C1">
        <w:rPr>
          <w:rFonts w:ascii="Times New Roman" w:hAnsi="Times New Roman"/>
        </w:rPr>
        <w:t>exchange and interoperability</w:t>
      </w:r>
    </w:p>
    <w:p w:rsidR="005C6BA4" w:rsidRPr="005C6BA4" w:rsidP="005C6BA4" w14:paraId="3C0B0B35" w14:textId="5ACEEAD3">
      <w:pPr>
        <w:pStyle w:val="MediumGrid1-Accent21"/>
        <w:numPr>
          <w:ilvl w:val="0"/>
          <w:numId w:val="47"/>
        </w:numPr>
        <w:ind w:left="1440"/>
        <w:rPr>
          <w:rFonts w:ascii="Times New Roman" w:hAnsi="Times New Roman"/>
        </w:rPr>
      </w:pPr>
      <w:r w:rsidRPr="00E474C1">
        <w:rPr>
          <w:rFonts w:ascii="Times New Roman" w:hAnsi="Times New Roman"/>
        </w:rPr>
        <w:t xml:space="preserve">Planned </w:t>
      </w:r>
      <w:r w:rsidR="00A64C4D">
        <w:rPr>
          <w:rFonts w:ascii="Times New Roman" w:hAnsi="Times New Roman"/>
        </w:rPr>
        <w:t xml:space="preserve">and current </w:t>
      </w:r>
      <w:r>
        <w:rPr>
          <w:rFonts w:ascii="Times New Roman" w:hAnsi="Times New Roman"/>
        </w:rPr>
        <w:t xml:space="preserve">participation in </w:t>
      </w:r>
      <w:r w:rsidRPr="00E474C1">
        <w:rPr>
          <w:rFonts w:ascii="Times New Roman" w:hAnsi="Times New Roman"/>
        </w:rPr>
        <w:t>TEFCA and current engagement with inter-HIO and national network connectivity</w:t>
      </w:r>
    </w:p>
    <w:p w:rsidR="00016834" w:rsidRPr="00E474C1" w:rsidP="00016834" w14:paraId="2F5E9155" w14:textId="6FDA653D">
      <w:pPr>
        <w:pStyle w:val="MediumGrid1-Accent21"/>
        <w:numPr>
          <w:ilvl w:val="0"/>
          <w:numId w:val="47"/>
        </w:numPr>
        <w:ind w:left="1440"/>
        <w:rPr>
          <w:rFonts w:ascii="Times New Roman" w:hAnsi="Times New Roman"/>
        </w:rPr>
      </w:pPr>
      <w:r w:rsidRPr="00E474C1">
        <w:rPr>
          <w:rFonts w:ascii="Times New Roman" w:hAnsi="Times New Roman"/>
        </w:rPr>
        <w:t>Information blocking practices undertaken by provider organizations and health IT developers</w:t>
      </w:r>
    </w:p>
    <w:p w:rsidR="00D635E8" w:rsidP="00E474C1" w14:paraId="275EB45B" w14:textId="77777777">
      <w:pPr>
        <w:pStyle w:val="MediumGrid1-Accent21"/>
        <w:ind w:left="0"/>
        <w:rPr>
          <w:rFonts w:ascii="Times New Roman" w:hAnsi="Times New Roman"/>
        </w:rPr>
      </w:pPr>
    </w:p>
    <w:p w:rsidR="0098164F" w:rsidP="00D635E8" w14:paraId="7739E098" w14:textId="3D09294C">
      <w:pPr>
        <w:ind w:left="720"/>
        <w:rPr>
          <w:sz w:val="24"/>
        </w:rPr>
      </w:pPr>
      <w:r w:rsidRPr="00016834">
        <w:rPr>
          <w:sz w:val="24"/>
        </w:rPr>
        <w:t xml:space="preserve">By </w:t>
      </w:r>
      <w:r w:rsidR="005F3076">
        <w:rPr>
          <w:sz w:val="24"/>
        </w:rPr>
        <w:t>updating</w:t>
      </w:r>
      <w:r w:rsidRPr="00016834" w:rsidR="005F3076">
        <w:rPr>
          <w:sz w:val="24"/>
        </w:rPr>
        <w:t xml:space="preserve"> </w:t>
      </w:r>
      <w:r w:rsidR="005F3076">
        <w:rPr>
          <w:sz w:val="24"/>
        </w:rPr>
        <w:t>the</w:t>
      </w:r>
      <w:r w:rsidRPr="00016834">
        <w:rPr>
          <w:sz w:val="24"/>
        </w:rPr>
        <w:t xml:space="preserve"> survey instrument</w:t>
      </w:r>
      <w:r w:rsidR="005F3076">
        <w:rPr>
          <w:sz w:val="24"/>
        </w:rPr>
        <w:t xml:space="preserve"> to</w:t>
      </w:r>
      <w:r w:rsidRPr="00016834">
        <w:rPr>
          <w:sz w:val="24"/>
        </w:rPr>
        <w:t xml:space="preserve"> </w:t>
      </w:r>
      <w:r w:rsidR="00124A80">
        <w:rPr>
          <w:sz w:val="24"/>
        </w:rPr>
        <w:t xml:space="preserve">assess </w:t>
      </w:r>
      <w:r w:rsidRPr="00016834">
        <w:rPr>
          <w:sz w:val="24"/>
        </w:rPr>
        <w:t xml:space="preserve">these </w:t>
      </w:r>
      <w:r w:rsidR="005F3076">
        <w:rPr>
          <w:sz w:val="24"/>
        </w:rPr>
        <w:t>timely</w:t>
      </w:r>
      <w:r w:rsidR="00124A80">
        <w:rPr>
          <w:sz w:val="24"/>
        </w:rPr>
        <w:t xml:space="preserve"> topics</w:t>
      </w:r>
      <w:r w:rsidR="005F3076">
        <w:rPr>
          <w:sz w:val="24"/>
        </w:rPr>
        <w:t xml:space="preserve"> </w:t>
      </w:r>
      <w:r w:rsidRPr="00016834">
        <w:rPr>
          <w:sz w:val="24"/>
        </w:rPr>
        <w:t xml:space="preserve">from a </w:t>
      </w:r>
      <w:r w:rsidR="00124A80">
        <w:rPr>
          <w:sz w:val="24"/>
        </w:rPr>
        <w:t xml:space="preserve">national </w:t>
      </w:r>
      <w:r w:rsidRPr="00016834">
        <w:rPr>
          <w:sz w:val="24"/>
        </w:rPr>
        <w:t xml:space="preserve">census of HIOs, the proposed project fills a critical </w:t>
      </w:r>
      <w:r w:rsidR="00124A80">
        <w:rPr>
          <w:sz w:val="24"/>
        </w:rPr>
        <w:t xml:space="preserve">knowledge </w:t>
      </w:r>
      <w:r w:rsidRPr="00016834">
        <w:rPr>
          <w:sz w:val="24"/>
        </w:rPr>
        <w:t xml:space="preserve">gap and will provide policymakers with actionable results to inform progress towards greater interoperability and </w:t>
      </w:r>
      <w:r w:rsidR="000664C3">
        <w:rPr>
          <w:sz w:val="24"/>
        </w:rPr>
        <w:t xml:space="preserve">health information </w:t>
      </w:r>
      <w:r w:rsidRPr="00016834">
        <w:rPr>
          <w:sz w:val="24"/>
        </w:rPr>
        <w:t>exchange</w:t>
      </w:r>
      <w:r w:rsidR="000664C3">
        <w:rPr>
          <w:sz w:val="24"/>
        </w:rPr>
        <w:t>.</w:t>
      </w:r>
    </w:p>
    <w:p w:rsidR="00D635E8" w14:paraId="3DD0480C" w14:textId="77777777">
      <w:pPr>
        <w:rPr>
          <w:sz w:val="24"/>
        </w:rPr>
      </w:pPr>
    </w:p>
    <w:p w:rsidR="0098164F" w:rsidRPr="00630A4B" w14:paraId="7A68CF06" w14:textId="53F58178">
      <w:pPr>
        <w:numPr>
          <w:ilvl w:val="0"/>
          <w:numId w:val="2"/>
        </w:numPr>
        <w:rPr>
          <w:sz w:val="24"/>
        </w:rPr>
      </w:pPr>
      <w:r>
        <w:rPr>
          <w:b/>
          <w:sz w:val="24"/>
          <w:u w:val="single"/>
        </w:rPr>
        <w:t>Use of Improved Information Technology and Burden Reduction</w:t>
      </w:r>
    </w:p>
    <w:p w:rsidR="002E1E27" w:rsidP="002E1E27" w14:paraId="21DB01C8" w14:textId="71EEE6A7">
      <w:pPr>
        <w:pStyle w:val="BodyText"/>
        <w:ind w:left="720"/>
        <w:rPr>
          <w:sz w:val="24"/>
        </w:rPr>
      </w:pPr>
      <w:r w:rsidRPr="00630A4B">
        <w:rPr>
          <w:sz w:val="24"/>
        </w:rPr>
        <w:t xml:space="preserve">This study will rely on data gathered from </w:t>
      </w:r>
      <w:r>
        <w:rPr>
          <w:sz w:val="24"/>
        </w:rPr>
        <w:t xml:space="preserve">a </w:t>
      </w:r>
      <w:r w:rsidRPr="00630A4B">
        <w:rPr>
          <w:sz w:val="24"/>
        </w:rPr>
        <w:t>self</w:t>
      </w:r>
      <w:r w:rsidR="0073218F">
        <w:rPr>
          <w:sz w:val="24"/>
        </w:rPr>
        <w:t xml:space="preserve">-administered, </w:t>
      </w:r>
      <w:r w:rsidR="00B8624F">
        <w:rPr>
          <w:sz w:val="24"/>
        </w:rPr>
        <w:t>w</w:t>
      </w:r>
      <w:r w:rsidR="0073218F">
        <w:rPr>
          <w:sz w:val="24"/>
        </w:rPr>
        <w:t>eb-based survey</w:t>
      </w:r>
      <w:r w:rsidRPr="00630A4B">
        <w:rPr>
          <w:sz w:val="24"/>
        </w:rPr>
        <w:t xml:space="preserve"> of </w:t>
      </w:r>
      <w:r>
        <w:rPr>
          <w:sz w:val="24"/>
        </w:rPr>
        <w:t>leaders of Healthcare Information</w:t>
      </w:r>
      <w:r w:rsidR="00EB129B">
        <w:rPr>
          <w:sz w:val="24"/>
        </w:rPr>
        <w:t xml:space="preserve"> Exchange</w:t>
      </w:r>
      <w:r>
        <w:rPr>
          <w:sz w:val="24"/>
        </w:rPr>
        <w:t xml:space="preserve"> Organizations</w:t>
      </w:r>
      <w:r w:rsidRPr="00630A4B">
        <w:rPr>
          <w:sz w:val="24"/>
        </w:rPr>
        <w:t xml:space="preserve">. </w:t>
      </w:r>
      <w:r w:rsidR="0073218F">
        <w:rPr>
          <w:sz w:val="24"/>
        </w:rPr>
        <w:t>The survey</w:t>
      </w:r>
      <w:r w:rsidRPr="00630A4B">
        <w:rPr>
          <w:sz w:val="24"/>
        </w:rPr>
        <w:t xml:space="preserve"> will be administered electronically to alleviate burden on the respondents. The </w:t>
      </w:r>
      <w:r w:rsidR="00B8624F">
        <w:rPr>
          <w:sz w:val="24"/>
        </w:rPr>
        <w:t>w</w:t>
      </w:r>
      <w:r w:rsidRPr="00630A4B" w:rsidR="00B8624F">
        <w:rPr>
          <w:sz w:val="24"/>
        </w:rPr>
        <w:t>eb</w:t>
      </w:r>
      <w:r w:rsidRPr="00630A4B">
        <w:rPr>
          <w:sz w:val="24"/>
        </w:rPr>
        <w:t xml:space="preserve">-based survey permits respondents to complete </w:t>
      </w:r>
      <w:r w:rsidR="00F363BC">
        <w:rPr>
          <w:sz w:val="24"/>
        </w:rPr>
        <w:t>the</w:t>
      </w:r>
      <w:r w:rsidRPr="00630A4B" w:rsidR="00F363BC">
        <w:rPr>
          <w:sz w:val="24"/>
        </w:rPr>
        <w:t xml:space="preserve"> </w:t>
      </w:r>
      <w:r w:rsidRPr="00630A4B">
        <w:rPr>
          <w:sz w:val="24"/>
        </w:rPr>
        <w:t xml:space="preserve">instrument at their preferred time. Respondents who begin the survey and are unable to complete it in one </w:t>
      </w:r>
      <w:r w:rsidR="00333E5E">
        <w:rPr>
          <w:sz w:val="24"/>
        </w:rPr>
        <w:t>session</w:t>
      </w:r>
      <w:r w:rsidRPr="00630A4B" w:rsidR="00333E5E">
        <w:rPr>
          <w:sz w:val="24"/>
        </w:rPr>
        <w:t xml:space="preserve"> </w:t>
      </w:r>
      <w:r w:rsidRPr="00630A4B">
        <w:rPr>
          <w:sz w:val="24"/>
        </w:rPr>
        <w:t xml:space="preserve">will be able to save their responses and resume work on the survey at a later time. </w:t>
      </w:r>
    </w:p>
    <w:p w:rsidR="00630A4B" w:rsidRPr="002E1E27" w:rsidP="00630A4B" w14:paraId="69E01F02" w14:textId="7DF9DE8B">
      <w:pPr>
        <w:ind w:left="720"/>
        <w:jc w:val="both"/>
        <w:rPr>
          <w:sz w:val="24"/>
        </w:rPr>
      </w:pPr>
      <w:r>
        <w:rPr>
          <w:sz w:val="24"/>
        </w:rPr>
        <w:t>We will be using the web-based</w:t>
      </w:r>
      <w:r w:rsidRPr="002E1E27" w:rsidR="00991866">
        <w:rPr>
          <w:sz w:val="24"/>
        </w:rPr>
        <w:t xml:space="preserve"> survey tool Qualtrics©. </w:t>
      </w:r>
      <w:r w:rsidR="000C289F">
        <w:rPr>
          <w:sz w:val="24"/>
        </w:rPr>
        <w:t>T</w:t>
      </w:r>
      <w:r w:rsidRPr="002E1E27" w:rsidR="00991866">
        <w:rPr>
          <w:sz w:val="24"/>
        </w:rPr>
        <w:t>his tool</w:t>
      </w:r>
      <w:r w:rsidR="000C289F">
        <w:rPr>
          <w:sz w:val="24"/>
        </w:rPr>
        <w:t xml:space="preserve"> has been used previously</w:t>
      </w:r>
      <w:r w:rsidRPr="002E1E27" w:rsidR="00991866">
        <w:rPr>
          <w:sz w:val="24"/>
        </w:rPr>
        <w:t xml:space="preserve"> for past surveys </w:t>
      </w:r>
      <w:r w:rsidR="000C289F">
        <w:rPr>
          <w:sz w:val="24"/>
        </w:rPr>
        <w:t xml:space="preserve">of HIOs </w:t>
      </w:r>
      <w:r w:rsidRPr="002E1E27" w:rsidR="00991866">
        <w:rPr>
          <w:sz w:val="24"/>
        </w:rPr>
        <w:t xml:space="preserve">and it has strong capabilities to support complex survey design (e.g., branching logic) as well as respondent communication and tracking. </w:t>
      </w:r>
      <w:r w:rsidR="000C289F">
        <w:rPr>
          <w:sz w:val="24"/>
        </w:rPr>
        <w:t xml:space="preserve">The tool will be </w:t>
      </w:r>
      <w:r w:rsidRPr="002E1E27" w:rsidR="00991866">
        <w:rPr>
          <w:sz w:val="24"/>
        </w:rPr>
        <w:t>extensively test</w:t>
      </w:r>
      <w:r w:rsidR="000C289F">
        <w:rPr>
          <w:sz w:val="24"/>
        </w:rPr>
        <w:t>ed</w:t>
      </w:r>
      <w:r w:rsidRPr="002E1E27" w:rsidR="00991866">
        <w:rPr>
          <w:sz w:val="24"/>
        </w:rPr>
        <w:t xml:space="preserve"> to ensure </w:t>
      </w:r>
      <w:r w:rsidR="00534629">
        <w:rPr>
          <w:sz w:val="24"/>
        </w:rPr>
        <w:t xml:space="preserve">the </w:t>
      </w:r>
      <w:r w:rsidRPr="002E1E27" w:rsidR="00991866">
        <w:rPr>
          <w:sz w:val="24"/>
        </w:rPr>
        <w:t>accuracy of branching and skip logic, accuracy of piped text, clarity of question display, and adherence to other survey usability guidelines.</w:t>
      </w:r>
    </w:p>
    <w:p w:rsidR="002E1E27" w:rsidRPr="00630A4B" w:rsidP="00630A4B" w14:paraId="56128942" w14:textId="77777777">
      <w:pPr>
        <w:ind w:left="720"/>
        <w:jc w:val="both"/>
        <w:rPr>
          <w:sz w:val="24"/>
        </w:rPr>
      </w:pPr>
    </w:p>
    <w:p w:rsidR="0098164F" w:rsidP="00E474C1" w14:paraId="50C17479" w14:textId="47A33955">
      <w:pPr>
        <w:pStyle w:val="BodyText"/>
        <w:ind w:left="720"/>
        <w:rPr>
          <w:sz w:val="24"/>
        </w:rPr>
      </w:pPr>
      <w:r>
        <w:rPr>
          <w:sz w:val="24"/>
        </w:rPr>
        <w:t xml:space="preserve">In addition, </w:t>
      </w:r>
      <w:r w:rsidR="00534629">
        <w:rPr>
          <w:sz w:val="24"/>
        </w:rPr>
        <w:t>to</w:t>
      </w:r>
      <w:r>
        <w:rPr>
          <w:sz w:val="24"/>
        </w:rPr>
        <w:t xml:space="preserve"> increase response rate, </w:t>
      </w:r>
      <w:r w:rsidRPr="00630A4B" w:rsidR="00630A4B">
        <w:rPr>
          <w:sz w:val="24"/>
        </w:rPr>
        <w:t>respondent</w:t>
      </w:r>
      <w:r w:rsidR="0073218F">
        <w:rPr>
          <w:sz w:val="24"/>
        </w:rPr>
        <w:t xml:space="preserve">s </w:t>
      </w:r>
      <w:r w:rsidR="000C289F">
        <w:rPr>
          <w:sz w:val="24"/>
        </w:rPr>
        <w:t xml:space="preserve">will also be offered </w:t>
      </w:r>
      <w:r w:rsidR="0073218F">
        <w:rPr>
          <w:sz w:val="24"/>
        </w:rPr>
        <w:t>the option</w:t>
      </w:r>
      <w:r w:rsidRPr="00630A4B" w:rsidR="00630A4B">
        <w:rPr>
          <w:sz w:val="24"/>
        </w:rPr>
        <w:t xml:space="preserve"> to complete the survey via MS Word or over the phone</w:t>
      </w:r>
      <w:r w:rsidR="0073218F">
        <w:rPr>
          <w:sz w:val="24"/>
        </w:rPr>
        <w:t xml:space="preserve"> with a Research Assistant or Project Manager</w:t>
      </w:r>
      <w:r w:rsidRPr="00630A4B" w:rsidR="00630A4B">
        <w:rPr>
          <w:sz w:val="24"/>
        </w:rPr>
        <w:t xml:space="preserve"> if they prefer that to the online platform</w:t>
      </w:r>
      <w:r w:rsidR="0073218F">
        <w:rPr>
          <w:sz w:val="24"/>
        </w:rPr>
        <w:t>.</w:t>
      </w:r>
      <w:r w:rsidRPr="00630A4B" w:rsidR="00630A4B">
        <w:rPr>
          <w:sz w:val="24"/>
        </w:rPr>
        <w:t xml:space="preserve"> </w:t>
      </w:r>
      <w:r w:rsidR="00E424E6">
        <w:rPr>
          <w:sz w:val="24"/>
        </w:rPr>
        <w:br/>
      </w:r>
    </w:p>
    <w:p w:rsidR="0098164F" w:rsidRPr="002A12BC" w:rsidP="002A12BC" w14:paraId="289E1934" w14:textId="77777777">
      <w:pPr>
        <w:numPr>
          <w:ilvl w:val="0"/>
          <w:numId w:val="2"/>
        </w:numPr>
        <w:rPr>
          <w:b/>
          <w:sz w:val="24"/>
        </w:rPr>
      </w:pPr>
      <w:r>
        <w:rPr>
          <w:b/>
          <w:sz w:val="24"/>
          <w:u w:val="single"/>
        </w:rPr>
        <w:t xml:space="preserve">Efforts to </w:t>
      </w:r>
      <w:r>
        <w:rPr>
          <w:b/>
          <w:sz w:val="24"/>
          <w:u w:val="single"/>
        </w:rPr>
        <w:t>Identify Duplication and Use of Similar Information</w:t>
      </w:r>
    </w:p>
    <w:p w:rsidR="00CC080C" w:rsidP="002339D8" w14:paraId="51803312" w14:textId="3AFDC7A0">
      <w:pPr>
        <w:pStyle w:val="BodyText"/>
        <w:ind w:left="720"/>
        <w:rPr>
          <w:sz w:val="24"/>
        </w:rPr>
      </w:pPr>
      <w:r w:rsidRPr="00FB50B3">
        <w:rPr>
          <w:sz w:val="24"/>
        </w:rPr>
        <w:t xml:space="preserve">Dr. Julia Adler-Milstein is a leading researcher and expert on HIOs. She has led numerous national surveys of HIOs over the past two decades. She has published more than 30 peer-reviewed publications from these surveys in leading journals, such as Health Affairs and the Journal of the American Medical Informatics Association. </w:t>
      </w:r>
      <w:r w:rsidRPr="00226E6C" w:rsidR="004A3D06">
        <w:rPr>
          <w:sz w:val="24"/>
        </w:rPr>
        <w:t xml:space="preserve">Dr. Adler-Milstein, with the support of the Robert Wood Johnson Foundation, </w:t>
      </w:r>
      <w:r w:rsidR="004A3D06">
        <w:rPr>
          <w:sz w:val="24"/>
        </w:rPr>
        <w:t xml:space="preserve">has </w:t>
      </w:r>
      <w:r w:rsidRPr="00226E6C" w:rsidR="004A3D06">
        <w:rPr>
          <w:sz w:val="24"/>
        </w:rPr>
        <w:t xml:space="preserve">conducted a survey of HIO leaders bi-annually, and published key findings in a series of publications in Health Affairs. The Robert Wood Johnson Foundation no longer funds the bi-annual survey. Separately, in 2015, Dr. Adler-Milstein conducted a survey consisting of 60 leaders of HIOs regarding information blocking practices. This survey was independently funded with some consultation provided by </w:t>
      </w:r>
      <w:r w:rsidR="0027175C">
        <w:rPr>
          <w:sz w:val="24"/>
        </w:rPr>
        <w:t>ASTP/ONC</w:t>
      </w:r>
      <w:r w:rsidRPr="00226E6C" w:rsidR="004A3D06">
        <w:rPr>
          <w:sz w:val="24"/>
        </w:rPr>
        <w:t xml:space="preserve"> staff. </w:t>
      </w:r>
      <w:r w:rsidRPr="00FB50B3">
        <w:rPr>
          <w:sz w:val="24"/>
        </w:rPr>
        <w:t xml:space="preserve">Most recently, with support from </w:t>
      </w:r>
      <w:r w:rsidR="0027175C">
        <w:rPr>
          <w:sz w:val="24"/>
        </w:rPr>
        <w:t>ASTP/ONC</w:t>
      </w:r>
      <w:r w:rsidRPr="00FB50B3">
        <w:rPr>
          <w:sz w:val="24"/>
        </w:rPr>
        <w:t>, Dr. Adler-Milstein conducted a national survey of HIOs in 2019 and 2023.</w:t>
      </w:r>
      <w:r w:rsidR="002339D8">
        <w:rPr>
          <w:sz w:val="24"/>
        </w:rPr>
        <w:t xml:space="preserve"> </w:t>
      </w:r>
      <w:r w:rsidR="00BA39DA">
        <w:rPr>
          <w:sz w:val="24"/>
        </w:rPr>
        <w:t>Papers that describe these r</w:t>
      </w:r>
      <w:r w:rsidR="00847E64">
        <w:rPr>
          <w:sz w:val="24"/>
        </w:rPr>
        <w:t xml:space="preserve">esults were published in </w:t>
      </w:r>
      <w:r w:rsidR="00E474C1">
        <w:rPr>
          <w:sz w:val="24"/>
        </w:rPr>
        <w:t>the Journal of the American Medical Informatics Association</w:t>
      </w:r>
      <w:r w:rsidR="00847E64">
        <w:rPr>
          <w:sz w:val="24"/>
        </w:rPr>
        <w:t xml:space="preserve"> (</w:t>
      </w:r>
      <w:hyperlink r:id="rId12" w:history="1">
        <w:r w:rsidRPr="00EB129B" w:rsidR="00847E64">
          <w:rPr>
            <w:rStyle w:val="Hyperlink"/>
            <w:sz w:val="24"/>
          </w:rPr>
          <w:t>April 2021</w:t>
        </w:r>
      </w:hyperlink>
      <w:r w:rsidR="00847E64">
        <w:rPr>
          <w:sz w:val="24"/>
        </w:rPr>
        <w:t>) and in Health Affairs (</w:t>
      </w:r>
      <w:hyperlink r:id="rId13" w:history="1">
        <w:r w:rsidRPr="00EB129B" w:rsidR="00E474C1">
          <w:rPr>
            <w:rStyle w:val="Hyperlink"/>
            <w:sz w:val="24"/>
          </w:rPr>
          <w:t>May 2021</w:t>
        </w:r>
      </w:hyperlink>
      <w:r w:rsidR="00847E64">
        <w:rPr>
          <w:sz w:val="24"/>
        </w:rPr>
        <w:t>)</w:t>
      </w:r>
      <w:r w:rsidRPr="00226E6C" w:rsidR="00226E6C">
        <w:rPr>
          <w:sz w:val="24"/>
        </w:rPr>
        <w:t>.</w:t>
      </w:r>
      <w:r w:rsidR="00EB129B">
        <w:rPr>
          <w:sz w:val="24"/>
        </w:rPr>
        <w:t xml:space="preserve"> </w:t>
      </w:r>
      <w:r w:rsidR="00226E6C">
        <w:rPr>
          <w:sz w:val="24"/>
        </w:rPr>
        <w:br/>
      </w:r>
      <w:r w:rsidR="00226E6C">
        <w:rPr>
          <w:sz w:val="24"/>
        </w:rPr>
        <w:br/>
      </w:r>
      <w:r w:rsidRPr="00226E6C" w:rsidR="00226E6C">
        <w:rPr>
          <w:sz w:val="24"/>
        </w:rPr>
        <w:t xml:space="preserve">In addition </w:t>
      </w:r>
      <w:r w:rsidR="00E474C1">
        <w:rPr>
          <w:sz w:val="24"/>
        </w:rPr>
        <w:t xml:space="preserve">to </w:t>
      </w:r>
      <w:r w:rsidRPr="00226E6C" w:rsidR="00226E6C">
        <w:rPr>
          <w:sz w:val="24"/>
        </w:rPr>
        <w:t xml:space="preserve">these </w:t>
      </w:r>
      <w:r w:rsidR="00E474C1">
        <w:rPr>
          <w:sz w:val="24"/>
        </w:rPr>
        <w:t>survey</w:t>
      </w:r>
      <w:r w:rsidRPr="00226E6C" w:rsidR="00226E6C">
        <w:rPr>
          <w:sz w:val="24"/>
        </w:rPr>
        <w:t xml:space="preserve"> efforts, </w:t>
      </w:r>
      <w:r w:rsidR="006812BA">
        <w:rPr>
          <w:sz w:val="24"/>
        </w:rPr>
        <w:t xml:space="preserve">Civitas Networks for Health (CIVITAS) (formally known as </w:t>
      </w:r>
      <w:r w:rsidRPr="00226E6C" w:rsidR="00226E6C">
        <w:rPr>
          <w:sz w:val="24"/>
        </w:rPr>
        <w:t>Strategic Health Information Exchange</w:t>
      </w:r>
      <w:r w:rsidR="00226E6C">
        <w:rPr>
          <w:sz w:val="24"/>
        </w:rPr>
        <w:t xml:space="preserve"> </w:t>
      </w:r>
      <w:r w:rsidRPr="00226E6C" w:rsidR="00226E6C">
        <w:rPr>
          <w:sz w:val="24"/>
        </w:rPr>
        <w:t>Collaborative (SHIEC)</w:t>
      </w:r>
      <w:r w:rsidR="006812BA">
        <w:rPr>
          <w:sz w:val="24"/>
        </w:rPr>
        <w:t>)</w:t>
      </w:r>
      <w:r w:rsidR="00B56441">
        <w:rPr>
          <w:sz w:val="24"/>
        </w:rPr>
        <w:t xml:space="preserve"> </w:t>
      </w:r>
      <w:r w:rsidRPr="00226E6C" w:rsidR="00226E6C">
        <w:rPr>
          <w:sz w:val="24"/>
        </w:rPr>
        <w:t xml:space="preserve">has conducted </w:t>
      </w:r>
      <w:r w:rsidR="00E474C1">
        <w:rPr>
          <w:sz w:val="24"/>
        </w:rPr>
        <w:t>an annual</w:t>
      </w:r>
      <w:r w:rsidRPr="00226E6C" w:rsidR="00226E6C">
        <w:rPr>
          <w:sz w:val="24"/>
        </w:rPr>
        <w:t xml:space="preserve"> survey of its membership</w:t>
      </w:r>
      <w:r w:rsidR="00E474C1">
        <w:rPr>
          <w:sz w:val="24"/>
        </w:rPr>
        <w:t xml:space="preserve"> that includes more than 70 HIOs</w:t>
      </w:r>
      <w:r w:rsidRPr="00226E6C" w:rsidR="00226E6C">
        <w:rPr>
          <w:sz w:val="24"/>
        </w:rPr>
        <w:t xml:space="preserve">. </w:t>
      </w:r>
      <w:r w:rsidR="006812BA">
        <w:rPr>
          <w:sz w:val="24"/>
        </w:rPr>
        <w:t>CIVITAS</w:t>
      </w:r>
      <w:r w:rsidRPr="00226E6C" w:rsidR="00226E6C">
        <w:rPr>
          <w:sz w:val="24"/>
        </w:rPr>
        <w:t xml:space="preserve"> presented the</w:t>
      </w:r>
      <w:r w:rsidR="00C76C53">
        <w:rPr>
          <w:sz w:val="24"/>
        </w:rPr>
        <w:t>ir</w:t>
      </w:r>
      <w:r w:rsidRPr="00226E6C" w:rsidR="00226E6C">
        <w:rPr>
          <w:sz w:val="24"/>
        </w:rPr>
        <w:t xml:space="preserve"> </w:t>
      </w:r>
      <w:r w:rsidR="00C76C53">
        <w:rPr>
          <w:sz w:val="24"/>
        </w:rPr>
        <w:t>2019 survey</w:t>
      </w:r>
      <w:r w:rsidRPr="00226E6C" w:rsidR="00226E6C">
        <w:rPr>
          <w:sz w:val="24"/>
        </w:rPr>
        <w:t xml:space="preserve"> results at the 2020 </w:t>
      </w:r>
      <w:r w:rsidR="0027175C">
        <w:rPr>
          <w:sz w:val="24"/>
        </w:rPr>
        <w:t>ASTP/ONC</w:t>
      </w:r>
      <w:r w:rsidRPr="00226E6C" w:rsidR="00226E6C">
        <w:rPr>
          <w:sz w:val="24"/>
        </w:rPr>
        <w:t xml:space="preserve"> annual meeting</w:t>
      </w:r>
      <w:r>
        <w:rPr>
          <w:sz w:val="24"/>
        </w:rPr>
        <w:t>.</w:t>
      </w:r>
    </w:p>
    <w:p w:rsidR="00CC080C" w:rsidP="00184AF7" w14:paraId="71A6E193" w14:textId="77777777">
      <w:pPr>
        <w:pStyle w:val="BodyText"/>
        <w:spacing w:after="0"/>
        <w:ind w:left="720"/>
        <w:rPr>
          <w:sz w:val="24"/>
        </w:rPr>
      </w:pPr>
    </w:p>
    <w:p w:rsidR="00926A26" w:rsidRPr="00E93781" w:rsidP="00184AF7" w14:paraId="5439B229" w14:textId="78C89DC2">
      <w:pPr>
        <w:pStyle w:val="BodyText"/>
        <w:spacing w:after="0"/>
        <w:ind w:left="720"/>
        <w:rPr>
          <w:sz w:val="24"/>
        </w:rPr>
      </w:pPr>
      <w:r>
        <w:rPr>
          <w:sz w:val="24"/>
        </w:rPr>
        <w:t>CIVITAS</w:t>
      </w:r>
      <w:r w:rsidRPr="00226E6C" w:rsidR="00226E6C">
        <w:rPr>
          <w:sz w:val="24"/>
        </w:rPr>
        <w:t xml:space="preserve"> and </w:t>
      </w:r>
      <w:r w:rsidR="0027175C">
        <w:rPr>
          <w:sz w:val="24"/>
        </w:rPr>
        <w:t>ASTP/ONC</w:t>
      </w:r>
      <w:r w:rsidRPr="00226E6C" w:rsidR="00226E6C">
        <w:rPr>
          <w:sz w:val="24"/>
        </w:rPr>
        <w:t xml:space="preserve"> </w:t>
      </w:r>
      <w:r w:rsidRPr="00226E6C" w:rsidR="00AC6E81">
        <w:rPr>
          <w:sz w:val="24"/>
        </w:rPr>
        <w:t>collaborate</w:t>
      </w:r>
      <w:r w:rsidR="007F7F18">
        <w:rPr>
          <w:sz w:val="24"/>
        </w:rPr>
        <w:t>d</w:t>
      </w:r>
      <w:r w:rsidRPr="00226E6C" w:rsidR="00226E6C">
        <w:rPr>
          <w:sz w:val="24"/>
        </w:rPr>
        <w:t xml:space="preserve"> on </w:t>
      </w:r>
      <w:r w:rsidR="007F7F18">
        <w:rPr>
          <w:sz w:val="24"/>
        </w:rPr>
        <w:t xml:space="preserve">the 2023 survey and </w:t>
      </w:r>
      <w:r w:rsidR="00C76C53">
        <w:rPr>
          <w:sz w:val="24"/>
        </w:rPr>
        <w:t xml:space="preserve">agreed to </w:t>
      </w:r>
      <w:r w:rsidRPr="00226E6C" w:rsidR="00AC6E81">
        <w:rPr>
          <w:sz w:val="24"/>
        </w:rPr>
        <w:t>collaborate</w:t>
      </w:r>
      <w:r w:rsidRPr="00226E6C" w:rsidR="00226E6C">
        <w:rPr>
          <w:sz w:val="24"/>
        </w:rPr>
        <w:t xml:space="preserve"> on </w:t>
      </w:r>
      <w:r w:rsidR="007F7F18">
        <w:rPr>
          <w:sz w:val="24"/>
        </w:rPr>
        <w:t xml:space="preserve">future </w:t>
      </w:r>
      <w:r w:rsidR="00E474C1">
        <w:rPr>
          <w:sz w:val="24"/>
        </w:rPr>
        <w:t>proposed</w:t>
      </w:r>
      <w:r w:rsidRPr="00226E6C" w:rsidR="00226E6C">
        <w:rPr>
          <w:sz w:val="24"/>
        </w:rPr>
        <w:t xml:space="preserve"> survey</w:t>
      </w:r>
      <w:r w:rsidR="007F7F18">
        <w:rPr>
          <w:sz w:val="24"/>
        </w:rPr>
        <w:t>s</w:t>
      </w:r>
      <w:r w:rsidRPr="00226E6C" w:rsidR="00226E6C">
        <w:rPr>
          <w:sz w:val="24"/>
        </w:rPr>
        <w:t xml:space="preserve"> to reduce </w:t>
      </w:r>
      <w:r w:rsidRPr="00226E6C" w:rsidR="00AC6E81">
        <w:rPr>
          <w:sz w:val="24"/>
        </w:rPr>
        <w:t>duplication and</w:t>
      </w:r>
      <w:r w:rsidRPr="00226E6C" w:rsidR="00226E6C">
        <w:rPr>
          <w:sz w:val="24"/>
        </w:rPr>
        <w:t xml:space="preserve"> build on </w:t>
      </w:r>
      <w:r w:rsidRPr="00226E6C" w:rsidR="00AC6E81">
        <w:rPr>
          <w:sz w:val="24"/>
        </w:rPr>
        <w:t>each other’s</w:t>
      </w:r>
      <w:r w:rsidRPr="00226E6C" w:rsidR="00226E6C">
        <w:rPr>
          <w:sz w:val="24"/>
        </w:rPr>
        <w:t xml:space="preserve"> separate efforts to produce a comprehensive measurement </w:t>
      </w:r>
      <w:r w:rsidR="00E474C1">
        <w:rPr>
          <w:sz w:val="24"/>
        </w:rPr>
        <w:t>strategy</w:t>
      </w:r>
      <w:r w:rsidRPr="00226E6C" w:rsidR="00226E6C">
        <w:rPr>
          <w:sz w:val="24"/>
        </w:rPr>
        <w:t>.</w:t>
      </w:r>
      <w:r w:rsidR="00E474C1">
        <w:rPr>
          <w:sz w:val="24"/>
        </w:rPr>
        <w:t xml:space="preserve"> </w:t>
      </w:r>
      <w:r>
        <w:rPr>
          <w:sz w:val="24"/>
        </w:rPr>
        <w:t>CIVITAS</w:t>
      </w:r>
      <w:r w:rsidR="00E474C1">
        <w:rPr>
          <w:sz w:val="24"/>
        </w:rPr>
        <w:t xml:space="preserve"> </w:t>
      </w:r>
      <w:r w:rsidR="002C490A">
        <w:rPr>
          <w:sz w:val="24"/>
        </w:rPr>
        <w:t xml:space="preserve">did </w:t>
      </w:r>
      <w:r w:rsidR="00E474C1">
        <w:rPr>
          <w:sz w:val="24"/>
        </w:rPr>
        <w:t xml:space="preserve">not separately conduct their annual survey in </w:t>
      </w:r>
      <w:r w:rsidR="002C490A">
        <w:rPr>
          <w:sz w:val="24"/>
        </w:rPr>
        <w:t>2023</w:t>
      </w:r>
      <w:r w:rsidR="00E474C1">
        <w:rPr>
          <w:sz w:val="24"/>
        </w:rPr>
        <w:t xml:space="preserve">. </w:t>
      </w:r>
      <w:r w:rsidRPr="00226E6C" w:rsidR="00226E6C">
        <w:rPr>
          <w:sz w:val="24"/>
        </w:rPr>
        <w:t xml:space="preserve"> </w:t>
      </w:r>
      <w:r w:rsidR="00226E6C">
        <w:rPr>
          <w:sz w:val="24"/>
        </w:rPr>
        <w:br/>
      </w:r>
      <w:r w:rsidR="00226E6C">
        <w:rPr>
          <w:sz w:val="24"/>
        </w:rPr>
        <w:br/>
      </w:r>
      <w:r w:rsidR="0027175C">
        <w:rPr>
          <w:sz w:val="24"/>
        </w:rPr>
        <w:t>ASTP/ONC</w:t>
      </w:r>
      <w:r w:rsidRPr="00226E6C" w:rsidR="00226E6C">
        <w:rPr>
          <w:sz w:val="24"/>
        </w:rPr>
        <w:t xml:space="preserve"> considers it critical to continue supporting the HIO survey to examine how HIOs </w:t>
      </w:r>
      <w:r w:rsidR="00DC3092">
        <w:rPr>
          <w:sz w:val="24"/>
        </w:rPr>
        <w:t xml:space="preserve">have </w:t>
      </w:r>
      <w:r w:rsidRPr="00226E6C" w:rsidR="00226E6C">
        <w:rPr>
          <w:sz w:val="24"/>
        </w:rPr>
        <w:t>evolve</w:t>
      </w:r>
      <w:r w:rsidR="00DC3092">
        <w:rPr>
          <w:sz w:val="24"/>
        </w:rPr>
        <w:t>d</w:t>
      </w:r>
      <w:r w:rsidRPr="00226E6C" w:rsidR="00226E6C">
        <w:rPr>
          <w:sz w:val="24"/>
        </w:rPr>
        <w:t xml:space="preserve"> and the role they play in enabling interoperability and the success of various policy initiatives</w:t>
      </w:r>
      <w:r w:rsidR="00475EB1">
        <w:rPr>
          <w:sz w:val="24"/>
        </w:rPr>
        <w:t>. This information will be key to informing</w:t>
      </w:r>
      <w:r w:rsidR="00E474C1">
        <w:rPr>
          <w:sz w:val="24"/>
        </w:rPr>
        <w:t xml:space="preserve"> policy strategies to advance </w:t>
      </w:r>
      <w:r w:rsidR="00DC3092">
        <w:rPr>
          <w:sz w:val="24"/>
        </w:rPr>
        <w:t>the exchange of health information and support public health efforts</w:t>
      </w:r>
      <w:r w:rsidR="00475EB1">
        <w:rPr>
          <w:sz w:val="24"/>
        </w:rPr>
        <w:t xml:space="preserve"> going forward</w:t>
      </w:r>
      <w:r w:rsidRPr="00226E6C" w:rsidR="00226E6C">
        <w:rPr>
          <w:sz w:val="24"/>
        </w:rPr>
        <w:t xml:space="preserve">. Furthermore, repeating elements of the </w:t>
      </w:r>
      <w:r w:rsidRPr="00226E6C" w:rsidR="0087060B">
        <w:rPr>
          <w:sz w:val="24"/>
        </w:rPr>
        <w:t>20</w:t>
      </w:r>
      <w:r w:rsidR="0087060B">
        <w:rPr>
          <w:sz w:val="24"/>
        </w:rPr>
        <w:t>23</w:t>
      </w:r>
      <w:r w:rsidRPr="00226E6C" w:rsidR="0087060B">
        <w:rPr>
          <w:sz w:val="24"/>
        </w:rPr>
        <w:t xml:space="preserve"> </w:t>
      </w:r>
      <w:r w:rsidRPr="00226E6C" w:rsidR="00226E6C">
        <w:rPr>
          <w:sz w:val="24"/>
        </w:rPr>
        <w:t>survey can provide insights into the implementation of the TEFCA and information blocking rule, as well as the evolution of standards</w:t>
      </w:r>
      <w:r w:rsidR="00E12D97">
        <w:rPr>
          <w:sz w:val="24"/>
        </w:rPr>
        <w:t xml:space="preserve"> and public health exchange</w:t>
      </w:r>
      <w:r w:rsidRPr="00226E6C" w:rsidR="00226E6C">
        <w:rPr>
          <w:sz w:val="24"/>
        </w:rPr>
        <w:t xml:space="preserve">.  </w:t>
      </w:r>
      <w:r w:rsidR="00E424E6">
        <w:rPr>
          <w:sz w:val="24"/>
        </w:rPr>
        <w:br/>
      </w:r>
    </w:p>
    <w:p w:rsidR="0098164F" w:rsidRPr="002A12BC" w:rsidP="002A12BC" w14:paraId="4474B9AB" w14:textId="77777777">
      <w:pPr>
        <w:numPr>
          <w:ilvl w:val="0"/>
          <w:numId w:val="2"/>
        </w:numPr>
        <w:rPr>
          <w:color w:val="000000"/>
          <w:sz w:val="24"/>
        </w:rPr>
      </w:pPr>
      <w:r>
        <w:rPr>
          <w:b/>
          <w:sz w:val="24"/>
          <w:u w:val="single"/>
        </w:rPr>
        <w:t>Impact on Small Businesses or Other Small Entities</w:t>
      </w:r>
    </w:p>
    <w:p w:rsidR="00E93781" w:rsidP="000007BF" w14:paraId="206D4FC6" w14:textId="5A75404A">
      <w:pPr>
        <w:ind w:left="720"/>
        <w:rPr>
          <w:color w:val="000000"/>
          <w:sz w:val="24"/>
        </w:rPr>
      </w:pPr>
      <w:r>
        <w:rPr>
          <w:color w:val="000000"/>
          <w:sz w:val="24"/>
        </w:rPr>
        <w:t xml:space="preserve">Health information exchange organizations vary in size; it is possible that some may be considered small businesses. The survey is </w:t>
      </w:r>
      <w:r w:rsidR="00570347">
        <w:rPr>
          <w:color w:val="000000"/>
          <w:sz w:val="24"/>
        </w:rPr>
        <w:t>voluntary,</w:t>
      </w:r>
      <w:r>
        <w:rPr>
          <w:color w:val="000000"/>
          <w:sz w:val="24"/>
        </w:rPr>
        <w:t xml:space="preserve"> and the information </w:t>
      </w:r>
      <w:r w:rsidR="00063BAF">
        <w:rPr>
          <w:color w:val="000000"/>
          <w:sz w:val="24"/>
        </w:rPr>
        <w:t>being requested or required has been held to the absolute minimum required for the intended use of the data.</w:t>
      </w:r>
      <w:r>
        <w:rPr>
          <w:color w:val="000000"/>
          <w:sz w:val="24"/>
        </w:rPr>
        <w:t xml:space="preserve"> </w:t>
      </w:r>
    </w:p>
    <w:p w:rsidR="00D72C5B" w14:paraId="1C9A351A" w14:textId="77777777">
      <w:pPr>
        <w:ind w:left="360"/>
        <w:rPr>
          <w:sz w:val="24"/>
        </w:rPr>
      </w:pPr>
    </w:p>
    <w:p w:rsidR="006B3E5D" w:rsidRPr="002A12BC" w:rsidP="002A12BC" w14:paraId="62F3D593" w14:textId="346477E2">
      <w:pPr>
        <w:numPr>
          <w:ilvl w:val="0"/>
          <w:numId w:val="2"/>
        </w:numPr>
        <w:rPr>
          <w:b/>
          <w:sz w:val="24"/>
        </w:rPr>
      </w:pPr>
      <w:r>
        <w:rPr>
          <w:b/>
          <w:sz w:val="24"/>
          <w:u w:val="single"/>
        </w:rPr>
        <w:t xml:space="preserve">Consequences of </w:t>
      </w:r>
      <w:r w:rsidR="00DA328E">
        <w:rPr>
          <w:b/>
          <w:sz w:val="24"/>
          <w:u w:val="single"/>
        </w:rPr>
        <w:t>N</w:t>
      </w:r>
      <w:r w:rsidR="00CC080C">
        <w:rPr>
          <w:b/>
          <w:sz w:val="24"/>
          <w:u w:val="single"/>
        </w:rPr>
        <w:t xml:space="preserve">ot </w:t>
      </w:r>
      <w:r>
        <w:rPr>
          <w:b/>
          <w:sz w:val="24"/>
          <w:u w:val="single"/>
        </w:rPr>
        <w:t xml:space="preserve">Collecting the Information </w:t>
      </w:r>
    </w:p>
    <w:p w:rsidR="006B3E5D" w:rsidRPr="00604224" w:rsidP="002A12BC" w14:paraId="3F554BE8" w14:textId="6AFD6626">
      <w:pPr>
        <w:ind w:left="720"/>
        <w:rPr>
          <w:sz w:val="24"/>
        </w:rPr>
      </w:pPr>
      <w:r w:rsidRPr="00604224">
        <w:rPr>
          <w:sz w:val="24"/>
        </w:rPr>
        <w:t>The survey of HIO leaders has occurred</w:t>
      </w:r>
      <w:r>
        <w:rPr>
          <w:sz w:val="24"/>
        </w:rPr>
        <w:t xml:space="preserve"> almost</w:t>
      </w:r>
      <w:r w:rsidRPr="00604224">
        <w:rPr>
          <w:sz w:val="24"/>
        </w:rPr>
        <w:t xml:space="preserve"> bi-annually </w:t>
      </w:r>
      <w:r w:rsidR="00F83CFF">
        <w:rPr>
          <w:sz w:val="24"/>
        </w:rPr>
        <w:t xml:space="preserve">since 2005 with the most recent survey conducted in </w:t>
      </w:r>
      <w:r w:rsidR="00427CC4">
        <w:rPr>
          <w:sz w:val="24"/>
        </w:rPr>
        <w:t>2023</w:t>
      </w:r>
      <w:r w:rsidR="00F83CFF">
        <w:rPr>
          <w:sz w:val="24"/>
        </w:rPr>
        <w:t xml:space="preserve">. </w:t>
      </w:r>
      <w:r w:rsidR="00926A26">
        <w:rPr>
          <w:sz w:val="24"/>
        </w:rPr>
        <w:t>D</w:t>
      </w:r>
      <w:r w:rsidR="00F83CFF">
        <w:rPr>
          <w:sz w:val="24"/>
        </w:rPr>
        <w:t xml:space="preserve">ata collection </w:t>
      </w:r>
      <w:r w:rsidR="00926A26">
        <w:rPr>
          <w:sz w:val="24"/>
        </w:rPr>
        <w:t xml:space="preserve">will occur </w:t>
      </w:r>
      <w:r w:rsidR="00F83CFF">
        <w:rPr>
          <w:sz w:val="24"/>
        </w:rPr>
        <w:t xml:space="preserve">once </w:t>
      </w:r>
      <w:r w:rsidR="00057E3F">
        <w:rPr>
          <w:sz w:val="24"/>
        </w:rPr>
        <w:t xml:space="preserve">every two years beginning late </w:t>
      </w:r>
      <w:r w:rsidR="002503A0">
        <w:rPr>
          <w:sz w:val="24"/>
        </w:rPr>
        <w:t>2024/early 2025</w:t>
      </w:r>
      <w:r w:rsidR="00057E3F">
        <w:rPr>
          <w:sz w:val="24"/>
        </w:rPr>
        <w:t>.</w:t>
      </w:r>
    </w:p>
    <w:p w:rsidR="0098164F" w:rsidP="002A12BC" w14:paraId="464DE583" w14:textId="77777777">
      <w:pPr>
        <w:ind w:left="720"/>
        <w:rPr>
          <w:b/>
          <w:sz w:val="24"/>
        </w:rPr>
      </w:pPr>
    </w:p>
    <w:p w:rsidR="00926A26" w:rsidP="002A12BC" w14:paraId="356AB173" w14:textId="07612080">
      <w:pPr>
        <w:ind w:left="720"/>
        <w:rPr>
          <w:b/>
          <w:sz w:val="24"/>
        </w:rPr>
      </w:pPr>
      <w:r>
        <w:rPr>
          <w:sz w:val="24"/>
        </w:rPr>
        <w:t>If info</w:t>
      </w:r>
      <w:r w:rsidR="00E424E6">
        <w:rPr>
          <w:sz w:val="24"/>
        </w:rPr>
        <w:t xml:space="preserve">rmation is not collected in </w:t>
      </w:r>
      <w:r w:rsidR="00CE6D17">
        <w:rPr>
          <w:sz w:val="24"/>
        </w:rPr>
        <w:t>2024</w:t>
      </w:r>
      <w:r>
        <w:rPr>
          <w:sz w:val="24"/>
        </w:rPr>
        <w:t xml:space="preserve">, </w:t>
      </w:r>
      <w:r w:rsidR="0027175C">
        <w:rPr>
          <w:sz w:val="24"/>
        </w:rPr>
        <w:t>ASTP/ONC</w:t>
      </w:r>
      <w:r>
        <w:rPr>
          <w:sz w:val="24"/>
        </w:rPr>
        <w:t xml:space="preserve"> will </w:t>
      </w:r>
      <w:r w:rsidR="006469E6">
        <w:rPr>
          <w:sz w:val="24"/>
        </w:rPr>
        <w:t>lack the</w:t>
      </w:r>
      <w:r>
        <w:rPr>
          <w:sz w:val="24"/>
        </w:rPr>
        <w:t xml:space="preserve"> needed information to understand</w:t>
      </w:r>
      <w:r w:rsidR="006469E6">
        <w:rPr>
          <w:sz w:val="24"/>
        </w:rPr>
        <w:t xml:space="preserve"> the </w:t>
      </w:r>
      <w:r w:rsidR="00F70C04">
        <w:rPr>
          <w:sz w:val="24"/>
        </w:rPr>
        <w:t xml:space="preserve">current </w:t>
      </w:r>
      <w:r w:rsidR="006469E6">
        <w:rPr>
          <w:sz w:val="24"/>
        </w:rPr>
        <w:t xml:space="preserve">state of </w:t>
      </w:r>
      <w:r w:rsidR="00F70C04">
        <w:rPr>
          <w:sz w:val="24"/>
        </w:rPr>
        <w:t xml:space="preserve">HIOs </w:t>
      </w:r>
      <w:r w:rsidR="006469E6">
        <w:rPr>
          <w:sz w:val="24"/>
        </w:rPr>
        <w:t xml:space="preserve">to </w:t>
      </w:r>
      <w:r w:rsidRPr="006469E6" w:rsidR="006469E6">
        <w:rPr>
          <w:sz w:val="24"/>
        </w:rPr>
        <w:t xml:space="preserve">support public health preparedness, limiting </w:t>
      </w:r>
      <w:r w:rsidR="00CE6D17">
        <w:rPr>
          <w:sz w:val="24"/>
        </w:rPr>
        <w:t>our</w:t>
      </w:r>
      <w:r w:rsidRPr="006469E6" w:rsidR="00CE6D17">
        <w:rPr>
          <w:sz w:val="24"/>
        </w:rPr>
        <w:t xml:space="preserve"> </w:t>
      </w:r>
      <w:r w:rsidRPr="006469E6" w:rsidR="006469E6">
        <w:rPr>
          <w:sz w:val="24"/>
        </w:rPr>
        <w:t xml:space="preserve">ability to tailor investments in public health data infrastructure in the near-term that could impact our ability to improve information exchange to support public health. </w:t>
      </w:r>
      <w:r w:rsidR="00E609FA">
        <w:rPr>
          <w:sz w:val="24"/>
        </w:rPr>
        <w:t>I</w:t>
      </w:r>
      <w:r w:rsidR="00F70C04">
        <w:rPr>
          <w:sz w:val="24"/>
        </w:rPr>
        <w:t>nformation</w:t>
      </w:r>
      <w:r w:rsidR="00E609FA">
        <w:rPr>
          <w:sz w:val="24"/>
        </w:rPr>
        <w:t xml:space="preserve"> that will be gathered in this survey</w:t>
      </w:r>
      <w:r w:rsidR="00F70C04">
        <w:rPr>
          <w:sz w:val="24"/>
        </w:rPr>
        <w:t xml:space="preserve"> is critical </w:t>
      </w:r>
      <w:r w:rsidRPr="007A17BA" w:rsidR="007A17BA">
        <w:rPr>
          <w:sz w:val="24"/>
        </w:rPr>
        <w:t xml:space="preserve">to construct a current and comprehensive picture of HIOs’ role in facilitating exchange and ensuring rapid access to important health care data and information when it matters most, including vital data to address public health emergencies. </w:t>
      </w:r>
      <w:r w:rsidR="00F70C04">
        <w:rPr>
          <w:sz w:val="24"/>
        </w:rPr>
        <w:t xml:space="preserve">Broader </w:t>
      </w:r>
      <w:r w:rsidR="0027175C">
        <w:rPr>
          <w:sz w:val="24"/>
        </w:rPr>
        <w:t>ASTP/ONC</w:t>
      </w:r>
      <w:r w:rsidR="00F70C04">
        <w:rPr>
          <w:sz w:val="24"/>
        </w:rPr>
        <w:t xml:space="preserve"> efforts, particularly around TEFCA</w:t>
      </w:r>
      <w:r w:rsidR="00A34362">
        <w:rPr>
          <w:sz w:val="24"/>
        </w:rPr>
        <w:t xml:space="preserve">, </w:t>
      </w:r>
      <w:r w:rsidR="00973C6A">
        <w:rPr>
          <w:sz w:val="24"/>
        </w:rPr>
        <w:t>information blocking</w:t>
      </w:r>
      <w:r w:rsidR="00A34362">
        <w:rPr>
          <w:sz w:val="24"/>
        </w:rPr>
        <w:t>, and AI governance</w:t>
      </w:r>
      <w:r w:rsidR="00F70C04">
        <w:rPr>
          <w:sz w:val="24"/>
        </w:rPr>
        <w:t>, also require timely data on t</w:t>
      </w:r>
      <w:r>
        <w:rPr>
          <w:sz w:val="24"/>
        </w:rPr>
        <w:t xml:space="preserve">he current state of HIOs. </w:t>
      </w:r>
      <w:r w:rsidR="003D702B">
        <w:rPr>
          <w:sz w:val="24"/>
        </w:rPr>
        <w:t xml:space="preserve">Additionally, this information is critical to guide </w:t>
      </w:r>
      <w:r w:rsidR="0027175C">
        <w:rPr>
          <w:sz w:val="24"/>
        </w:rPr>
        <w:t>ASTP/ONC</w:t>
      </w:r>
      <w:r w:rsidR="003D702B">
        <w:rPr>
          <w:sz w:val="24"/>
        </w:rPr>
        <w:t xml:space="preserve">’s efforts to support CDC’s </w:t>
      </w:r>
      <w:r w:rsidR="00F95304">
        <w:rPr>
          <w:sz w:val="24"/>
        </w:rPr>
        <w:t>D</w:t>
      </w:r>
      <w:r w:rsidR="00B55411">
        <w:rPr>
          <w:sz w:val="24"/>
        </w:rPr>
        <w:t xml:space="preserve">ata </w:t>
      </w:r>
      <w:r w:rsidR="00F95304">
        <w:rPr>
          <w:sz w:val="24"/>
        </w:rPr>
        <w:t>M</w:t>
      </w:r>
      <w:r w:rsidR="003D702B">
        <w:rPr>
          <w:sz w:val="24"/>
        </w:rPr>
        <w:t xml:space="preserve">odernization </w:t>
      </w:r>
      <w:r w:rsidR="00F95304">
        <w:rPr>
          <w:sz w:val="24"/>
        </w:rPr>
        <w:t>Initiative</w:t>
      </w:r>
      <w:r w:rsidR="003D702B">
        <w:rPr>
          <w:sz w:val="24"/>
        </w:rPr>
        <w:t xml:space="preserve">.  </w:t>
      </w:r>
    </w:p>
    <w:p w:rsidR="00926A26" w:rsidP="00F95304" w14:paraId="3062DBEB" w14:textId="77777777">
      <w:pPr>
        <w:rPr>
          <w:b/>
          <w:sz w:val="24"/>
        </w:rPr>
      </w:pPr>
    </w:p>
    <w:p w:rsidR="00253615" w:rsidRPr="000C289F" w:rsidP="000C289F" w14:paraId="5B9B8755" w14:textId="77777777">
      <w:pPr>
        <w:numPr>
          <w:ilvl w:val="0"/>
          <w:numId w:val="2"/>
        </w:numPr>
        <w:rPr>
          <w:b/>
          <w:sz w:val="24"/>
        </w:rPr>
      </w:pPr>
      <w:r>
        <w:rPr>
          <w:b/>
          <w:sz w:val="24"/>
          <w:u w:val="single"/>
        </w:rPr>
        <w:t>Special Circumstances Relating to the Guidelines of 5 CFR 1320.5</w:t>
      </w:r>
    </w:p>
    <w:p w:rsidR="00253615" w:rsidRPr="00F95304" w:rsidP="00F95304" w14:paraId="3B45E193" w14:textId="4098848D">
      <w:pPr>
        <w:pStyle w:val="BodyText"/>
        <w:ind w:left="720"/>
        <w:rPr>
          <w:sz w:val="24"/>
        </w:rPr>
      </w:pPr>
      <w:r w:rsidRPr="00253615">
        <w:rPr>
          <w:sz w:val="24"/>
        </w:rPr>
        <w:t>This data collection request is fully consistent with t</w:t>
      </w:r>
      <w:r w:rsidR="00063BAF">
        <w:rPr>
          <w:sz w:val="24"/>
        </w:rPr>
        <w:t>he guidelines</w:t>
      </w:r>
      <w:r w:rsidRPr="00253615">
        <w:rPr>
          <w:sz w:val="24"/>
        </w:rPr>
        <w:t>. There are no special circumstances required for the collection of information in this data collection.</w:t>
      </w:r>
    </w:p>
    <w:p w:rsidR="0098164F" w14:paraId="02EB896A" w14:textId="77777777">
      <w:pPr>
        <w:ind w:left="360"/>
        <w:rPr>
          <w:sz w:val="24"/>
        </w:rPr>
      </w:pPr>
    </w:p>
    <w:p w:rsidR="0098164F" w14:paraId="21036626" w14:textId="77777777">
      <w:pPr>
        <w:numPr>
          <w:ilvl w:val="0"/>
          <w:numId w:val="2"/>
        </w:numPr>
        <w:rPr>
          <w:b/>
          <w:sz w:val="24"/>
        </w:rPr>
      </w:pPr>
      <w:r>
        <w:rPr>
          <w:b/>
          <w:iCs/>
          <w:sz w:val="24"/>
          <w:u w:val="single"/>
        </w:rPr>
        <w:t>Comments in Response to the Federal Register</w:t>
      </w:r>
      <w:r>
        <w:rPr>
          <w:b/>
          <w:sz w:val="24"/>
          <w:u w:val="single"/>
        </w:rPr>
        <w:t xml:space="preserve"> Notice/Outside Consultation</w:t>
      </w:r>
    </w:p>
    <w:p w:rsidR="00536B9C" w:rsidP="002A12BC" w14:paraId="5AE32105" w14:textId="3FCFDD57">
      <w:pPr>
        <w:widowControl/>
        <w:autoSpaceDE/>
        <w:autoSpaceDN/>
        <w:adjustRightInd/>
        <w:spacing w:after="240"/>
        <w:ind w:left="720"/>
        <w:rPr>
          <w:color w:val="000000"/>
          <w:sz w:val="24"/>
        </w:rPr>
      </w:pPr>
      <w:r w:rsidRPr="3D0B1533">
        <w:rPr>
          <w:color w:val="000000" w:themeColor="text1"/>
          <w:sz w:val="24"/>
        </w:rPr>
        <w:t xml:space="preserve">The </w:t>
      </w:r>
      <w:r w:rsidR="00F61CF5">
        <w:rPr>
          <w:color w:val="000000" w:themeColor="text1"/>
          <w:sz w:val="24"/>
        </w:rPr>
        <w:t xml:space="preserve">60-day FRN </w:t>
      </w:r>
      <w:r w:rsidRPr="3D0B1533">
        <w:rPr>
          <w:color w:val="000000" w:themeColor="text1"/>
          <w:sz w:val="24"/>
        </w:rPr>
        <w:t xml:space="preserve">soliciting public comment on this survey data collection, required in 5 CFR 1320.8(d), was published in the Federal Register on </w:t>
      </w:r>
      <w:r w:rsidRPr="3D0B1533" w:rsidR="0052749C">
        <w:rPr>
          <w:color w:val="000000" w:themeColor="text1"/>
          <w:sz w:val="24"/>
        </w:rPr>
        <w:t>December 19, 2023</w:t>
      </w:r>
      <w:r w:rsidRPr="3D0B1533">
        <w:rPr>
          <w:color w:val="000000" w:themeColor="text1"/>
          <w:sz w:val="24"/>
        </w:rPr>
        <w:t xml:space="preserve">, at </w:t>
      </w:r>
      <w:r w:rsidRPr="3D0B1533" w:rsidR="00CA653B">
        <w:rPr>
          <w:color w:val="000000" w:themeColor="text1"/>
          <w:sz w:val="24"/>
        </w:rPr>
        <w:t>88 FR 87788</w:t>
      </w:r>
      <w:r w:rsidRPr="3D0B1533">
        <w:rPr>
          <w:color w:val="000000" w:themeColor="text1"/>
          <w:sz w:val="24"/>
        </w:rPr>
        <w:t>. There were no comments received from the public.</w:t>
      </w:r>
    </w:p>
    <w:p w:rsidR="00B97D36" w:rsidRPr="000C289F" w:rsidP="00B97D36" w14:paraId="4F995F9C" w14:textId="77777777">
      <w:pPr>
        <w:numPr>
          <w:ilvl w:val="0"/>
          <w:numId w:val="2"/>
        </w:numPr>
        <w:rPr>
          <w:b/>
          <w:sz w:val="24"/>
        </w:rPr>
      </w:pPr>
      <w:r>
        <w:rPr>
          <w:b/>
          <w:sz w:val="24"/>
          <w:u w:val="single"/>
        </w:rPr>
        <w:t>Explanation of any Payment/Gift to Respondents</w:t>
      </w:r>
    </w:p>
    <w:p w:rsidR="000118EE" w:rsidP="00E84159" w14:paraId="770FB09F" w14:textId="78BB64B1">
      <w:pPr>
        <w:pStyle w:val="BodyText"/>
        <w:ind w:left="720"/>
        <w:rPr>
          <w:sz w:val="24"/>
        </w:rPr>
      </w:pPr>
      <w:r w:rsidRPr="00630A4B">
        <w:rPr>
          <w:sz w:val="24"/>
        </w:rPr>
        <w:t xml:space="preserve">As with prior years, </w:t>
      </w:r>
      <w:r w:rsidR="000C289F">
        <w:rPr>
          <w:sz w:val="24"/>
        </w:rPr>
        <w:t>respondents will be offered</w:t>
      </w:r>
      <w:r w:rsidRPr="00630A4B">
        <w:rPr>
          <w:sz w:val="24"/>
        </w:rPr>
        <w:t xml:space="preserve"> a small incentive ($</w:t>
      </w:r>
      <w:r w:rsidR="008E496C">
        <w:rPr>
          <w:sz w:val="24"/>
        </w:rPr>
        <w:t>15</w:t>
      </w:r>
      <w:r w:rsidRPr="00630A4B">
        <w:rPr>
          <w:sz w:val="24"/>
        </w:rPr>
        <w:t xml:space="preserve">) for completing the screening questions that enable us to determine whether they are operational, planning, or defunct and a larger incentive </w:t>
      </w:r>
      <w:r w:rsidRPr="0095170F">
        <w:rPr>
          <w:sz w:val="24"/>
        </w:rPr>
        <w:t>($</w:t>
      </w:r>
      <w:r w:rsidR="008E496C">
        <w:rPr>
          <w:sz w:val="24"/>
        </w:rPr>
        <w:t>10</w:t>
      </w:r>
      <w:r w:rsidRPr="0095170F">
        <w:rPr>
          <w:sz w:val="24"/>
        </w:rPr>
        <w:t>0)</w:t>
      </w:r>
      <w:r w:rsidRPr="00630A4B">
        <w:rPr>
          <w:sz w:val="24"/>
        </w:rPr>
        <w:t xml:space="preserve"> for completing the entire survey if they are eligible (i.e., not defunct). </w:t>
      </w:r>
      <w:r w:rsidR="00C22574">
        <w:rPr>
          <w:sz w:val="24"/>
        </w:rPr>
        <w:t>We have found with previous surveys that financial incentives help improve response rate.</w:t>
      </w:r>
    </w:p>
    <w:p w:rsidR="00E84159" w:rsidRPr="00630A4B" w:rsidP="00E84159" w14:paraId="39C90864" w14:textId="77777777">
      <w:pPr>
        <w:pStyle w:val="BodyText"/>
        <w:ind w:left="720"/>
        <w:rPr>
          <w:sz w:val="24"/>
        </w:rPr>
      </w:pPr>
    </w:p>
    <w:p w:rsidR="0098164F" w14:paraId="737BCC33" w14:textId="77777777">
      <w:pPr>
        <w:numPr>
          <w:ilvl w:val="0"/>
          <w:numId w:val="2"/>
        </w:numPr>
        <w:rPr>
          <w:b/>
          <w:sz w:val="24"/>
        </w:rPr>
      </w:pPr>
      <w:r>
        <w:rPr>
          <w:b/>
          <w:sz w:val="24"/>
          <w:u w:val="single"/>
        </w:rPr>
        <w:t>Assurance of Confidentiality Provided to Respondents</w:t>
      </w:r>
    </w:p>
    <w:p w:rsidR="00926A26" w:rsidP="00926A26" w14:paraId="6F55C406" w14:textId="12E97028">
      <w:pPr>
        <w:ind w:left="720"/>
        <w:rPr>
          <w:sz w:val="24"/>
        </w:rPr>
      </w:pPr>
      <w:r w:rsidRPr="00F35225">
        <w:rPr>
          <w:sz w:val="24"/>
        </w:rPr>
        <w:t xml:space="preserve">We will not make ANY </w:t>
      </w:r>
      <w:r w:rsidR="005066F9">
        <w:rPr>
          <w:sz w:val="24"/>
        </w:rPr>
        <w:t xml:space="preserve">individual </w:t>
      </w:r>
      <w:r w:rsidRPr="00F35225">
        <w:rPr>
          <w:sz w:val="24"/>
        </w:rPr>
        <w:t xml:space="preserve">responses to questions publicly available or attribute responses to any specific organization. These data will only be presented in aggregate and </w:t>
      </w:r>
      <w:r w:rsidR="00351D7D">
        <w:rPr>
          <w:sz w:val="24"/>
        </w:rPr>
        <w:t>may</w:t>
      </w:r>
      <w:r w:rsidRPr="00F35225" w:rsidR="00351D7D">
        <w:rPr>
          <w:sz w:val="24"/>
        </w:rPr>
        <w:t xml:space="preserve"> </w:t>
      </w:r>
      <w:r w:rsidRPr="00F35225">
        <w:rPr>
          <w:sz w:val="24"/>
        </w:rPr>
        <w:t>be published in a peer-reviewed journal</w:t>
      </w:r>
      <w:r w:rsidR="00351D7D">
        <w:rPr>
          <w:sz w:val="24"/>
        </w:rPr>
        <w:t>s</w:t>
      </w:r>
      <w:r w:rsidRPr="00F35225">
        <w:rPr>
          <w:sz w:val="24"/>
        </w:rPr>
        <w:t xml:space="preserve"> and</w:t>
      </w:r>
      <w:r>
        <w:rPr>
          <w:sz w:val="24"/>
        </w:rPr>
        <w:t xml:space="preserve"> shared on the</w:t>
      </w:r>
      <w:r w:rsidRPr="00F35225">
        <w:rPr>
          <w:sz w:val="24"/>
        </w:rPr>
        <w:t xml:space="preserve"> </w:t>
      </w:r>
      <w:r w:rsidR="0027175C">
        <w:rPr>
          <w:sz w:val="24"/>
        </w:rPr>
        <w:t>ASTP/ONC</w:t>
      </w:r>
      <w:r>
        <w:rPr>
          <w:sz w:val="24"/>
        </w:rPr>
        <w:t xml:space="preserve"> website</w:t>
      </w:r>
      <w:r w:rsidRPr="00F35225">
        <w:rPr>
          <w:sz w:val="24"/>
        </w:rPr>
        <w:t>.</w:t>
      </w:r>
    </w:p>
    <w:p w:rsidR="00926A26" w:rsidP="00926A26" w14:paraId="484E11FD" w14:textId="77777777">
      <w:pPr>
        <w:ind w:left="720"/>
        <w:rPr>
          <w:sz w:val="24"/>
        </w:rPr>
      </w:pPr>
    </w:p>
    <w:p w:rsidR="000C289F" w:rsidP="00752D79" w14:paraId="761501D4" w14:textId="61DCED84">
      <w:pPr>
        <w:ind w:left="720"/>
        <w:rPr>
          <w:sz w:val="24"/>
        </w:rPr>
      </w:pPr>
      <w:r w:rsidRPr="007F232F">
        <w:rPr>
          <w:sz w:val="24"/>
        </w:rPr>
        <w:t xml:space="preserve">The information for this study is being collected by the </w:t>
      </w:r>
      <w:r w:rsidRPr="006F6E6F" w:rsidR="006F6E6F">
        <w:rPr>
          <w:sz w:val="24"/>
        </w:rPr>
        <w:t>Division of Clinical Informatics &amp; Digital Transformation</w:t>
      </w:r>
      <w:r w:rsidR="009904A7">
        <w:rPr>
          <w:sz w:val="24"/>
        </w:rPr>
        <w:t xml:space="preserve">, Department of Medicine, </w:t>
      </w:r>
      <w:r w:rsidRPr="007F232F" w:rsidR="009904A7">
        <w:rPr>
          <w:sz w:val="24"/>
        </w:rPr>
        <w:t>U</w:t>
      </w:r>
      <w:r w:rsidR="009904A7">
        <w:rPr>
          <w:sz w:val="24"/>
        </w:rPr>
        <w:t>niversity of California, San Francisco (UCSF)</w:t>
      </w:r>
      <w:r w:rsidRPr="007F232F">
        <w:rPr>
          <w:sz w:val="24"/>
        </w:rPr>
        <w:t xml:space="preserve">, on behalf of </w:t>
      </w:r>
      <w:r w:rsidR="0027175C">
        <w:rPr>
          <w:sz w:val="24"/>
        </w:rPr>
        <w:t>ASTP/ONC</w:t>
      </w:r>
      <w:r w:rsidR="00E474C1">
        <w:rPr>
          <w:sz w:val="24"/>
        </w:rPr>
        <w:t xml:space="preserve"> and in partnership with </w:t>
      </w:r>
      <w:r w:rsidR="006812BA">
        <w:rPr>
          <w:sz w:val="24"/>
        </w:rPr>
        <w:t>CIVITAS</w:t>
      </w:r>
      <w:r w:rsidRPr="007F232F">
        <w:rPr>
          <w:sz w:val="24"/>
        </w:rPr>
        <w:t xml:space="preserve">. </w:t>
      </w:r>
      <w:r w:rsidR="00752D79">
        <w:rPr>
          <w:sz w:val="24"/>
        </w:rPr>
        <w:t xml:space="preserve">Based on </w:t>
      </w:r>
      <w:r w:rsidR="00615302">
        <w:rPr>
          <w:sz w:val="24"/>
        </w:rPr>
        <w:t xml:space="preserve">the </w:t>
      </w:r>
      <w:r>
        <w:rPr>
          <w:sz w:val="24"/>
        </w:rPr>
        <w:t>UCSF</w:t>
      </w:r>
      <w:r w:rsidR="00752D79">
        <w:rPr>
          <w:sz w:val="24"/>
        </w:rPr>
        <w:t xml:space="preserve">’s Human Research Protection Program Institutional Review Board (IRB) review, an exempt certification </w:t>
      </w:r>
      <w:r>
        <w:rPr>
          <w:sz w:val="24"/>
        </w:rPr>
        <w:t xml:space="preserve">was granted </w:t>
      </w:r>
      <w:r w:rsidR="00752D79">
        <w:rPr>
          <w:sz w:val="24"/>
        </w:rPr>
        <w:t>for this study</w:t>
      </w:r>
      <w:r w:rsidR="00F53BBC">
        <w:rPr>
          <w:sz w:val="24"/>
        </w:rPr>
        <w:t xml:space="preserve"> (#</w:t>
      </w:r>
      <w:r w:rsidRPr="00F53BBC" w:rsidR="00F53BBC">
        <w:rPr>
          <w:sz w:val="24"/>
        </w:rPr>
        <w:t>23-39652</w:t>
      </w:r>
      <w:r w:rsidR="00F53BBC">
        <w:rPr>
          <w:sz w:val="24"/>
        </w:rPr>
        <w:t>)</w:t>
      </w:r>
      <w:r w:rsidR="00752D79">
        <w:rPr>
          <w:sz w:val="24"/>
        </w:rPr>
        <w:t xml:space="preserve">. </w:t>
      </w:r>
    </w:p>
    <w:p w:rsidR="00F35225" w:rsidP="00351D7D" w14:paraId="17F9A2D9" w14:textId="77777777">
      <w:pPr>
        <w:rPr>
          <w:sz w:val="24"/>
        </w:rPr>
      </w:pPr>
    </w:p>
    <w:p w:rsidR="0098164F" w:rsidRPr="00B97D36" w14:paraId="5EE91D52" w14:textId="77777777">
      <w:pPr>
        <w:numPr>
          <w:ilvl w:val="0"/>
          <w:numId w:val="2"/>
        </w:numPr>
        <w:rPr>
          <w:b/>
          <w:sz w:val="24"/>
        </w:rPr>
      </w:pPr>
      <w:r>
        <w:rPr>
          <w:b/>
          <w:sz w:val="24"/>
          <w:u w:val="single"/>
        </w:rPr>
        <w:t>Justification for Sensitive Questions</w:t>
      </w:r>
    </w:p>
    <w:p w:rsidR="00B97D36" w:rsidRPr="00B97D36" w:rsidP="002A12BC" w14:paraId="3016BF5D" w14:textId="77777777">
      <w:pPr>
        <w:pStyle w:val="BodyText"/>
        <w:ind w:left="720"/>
        <w:rPr>
          <w:sz w:val="24"/>
        </w:rPr>
      </w:pPr>
      <w:r w:rsidRPr="00B97D36">
        <w:rPr>
          <w:sz w:val="24"/>
        </w:rPr>
        <w:t xml:space="preserve">No questions of a sensitive nature are asked in this data collection. </w:t>
      </w:r>
    </w:p>
    <w:p w:rsidR="0098164F" w:rsidP="00063BAF" w14:paraId="73B80DD3" w14:textId="4DDAC5E4">
      <w:pPr>
        <w:rPr>
          <w:sz w:val="24"/>
        </w:rPr>
      </w:pPr>
    </w:p>
    <w:p w:rsidR="0098164F" w:rsidRPr="00B94C24" w14:paraId="76F75CF2" w14:textId="77777777">
      <w:pPr>
        <w:numPr>
          <w:ilvl w:val="0"/>
          <w:numId w:val="2"/>
        </w:numPr>
        <w:rPr>
          <w:sz w:val="24"/>
        </w:rPr>
      </w:pPr>
      <w:r>
        <w:rPr>
          <w:b/>
          <w:sz w:val="24"/>
          <w:u w:val="single"/>
        </w:rPr>
        <w:t xml:space="preserve">Estimates of Annualized Hour and Cost Burden  </w:t>
      </w:r>
    </w:p>
    <w:p w:rsidR="00DB0F4A" w:rsidP="007C79A6" w14:paraId="6448E7CC" w14:textId="727FA194">
      <w:pPr>
        <w:ind w:left="720"/>
        <w:rPr>
          <w:sz w:val="24"/>
        </w:rPr>
      </w:pPr>
      <w:r w:rsidRPr="00E424E6">
        <w:rPr>
          <w:sz w:val="24"/>
        </w:rPr>
        <w:t xml:space="preserve">We will target sending the survey to </w:t>
      </w:r>
      <w:r w:rsidR="00137227">
        <w:rPr>
          <w:sz w:val="24"/>
        </w:rPr>
        <w:t>approximately 1</w:t>
      </w:r>
      <w:r w:rsidR="006A5606">
        <w:rPr>
          <w:sz w:val="24"/>
        </w:rPr>
        <w:t>00</w:t>
      </w:r>
      <w:r w:rsidR="00137227">
        <w:rPr>
          <w:sz w:val="24"/>
        </w:rPr>
        <w:t xml:space="preserve"> </w:t>
      </w:r>
      <w:r w:rsidRPr="00E424E6">
        <w:rPr>
          <w:sz w:val="24"/>
        </w:rPr>
        <w:t xml:space="preserve">key senior respondents from </w:t>
      </w:r>
      <w:r w:rsidR="00A86060">
        <w:rPr>
          <w:sz w:val="24"/>
        </w:rPr>
        <w:t>HIOs</w:t>
      </w:r>
      <w:r w:rsidRPr="00E424E6">
        <w:rPr>
          <w:sz w:val="24"/>
        </w:rPr>
        <w:t xml:space="preserve"> such as </w:t>
      </w:r>
      <w:r w:rsidR="007745E2">
        <w:rPr>
          <w:sz w:val="24"/>
        </w:rPr>
        <w:t>e</w:t>
      </w:r>
      <w:r w:rsidRPr="00E424E6">
        <w:rPr>
          <w:sz w:val="24"/>
        </w:rPr>
        <w:t xml:space="preserve">xecutive </w:t>
      </w:r>
      <w:r w:rsidR="007745E2">
        <w:rPr>
          <w:sz w:val="24"/>
        </w:rPr>
        <w:t>d</w:t>
      </w:r>
      <w:r w:rsidRPr="00E424E6">
        <w:rPr>
          <w:sz w:val="24"/>
        </w:rPr>
        <w:t>irectors who will be knowledge</w:t>
      </w:r>
      <w:r w:rsidR="00A24747">
        <w:rPr>
          <w:sz w:val="24"/>
        </w:rPr>
        <w:t xml:space="preserve">able </w:t>
      </w:r>
      <w:r w:rsidRPr="00E424E6">
        <w:rPr>
          <w:sz w:val="24"/>
        </w:rPr>
        <w:t>about the topic areas covered in the survey.</w:t>
      </w:r>
      <w:r w:rsidR="00137227">
        <w:rPr>
          <w:sz w:val="24"/>
        </w:rPr>
        <w:t xml:space="preserve"> We assume an 85% response rate of </w:t>
      </w:r>
      <w:r w:rsidRPr="00E6321D" w:rsidR="00137227">
        <w:rPr>
          <w:sz w:val="24"/>
        </w:rPr>
        <w:t>10</w:t>
      </w:r>
      <w:r w:rsidRPr="00E6321D" w:rsidR="000D563E">
        <w:rPr>
          <w:sz w:val="24"/>
        </w:rPr>
        <w:t>0</w:t>
      </w:r>
      <w:r w:rsidR="00137227">
        <w:rPr>
          <w:sz w:val="24"/>
        </w:rPr>
        <w:t xml:space="preserve"> </w:t>
      </w:r>
      <w:r w:rsidR="00192D06">
        <w:rPr>
          <w:sz w:val="24"/>
        </w:rPr>
        <w:t>respondents.</w:t>
      </w:r>
      <w:r w:rsidRPr="00E424E6" w:rsidR="00192D06">
        <w:rPr>
          <w:sz w:val="24"/>
        </w:rPr>
        <w:t xml:space="preserve"> The</w:t>
      </w:r>
      <w:r w:rsidRPr="00E424E6">
        <w:rPr>
          <w:sz w:val="24"/>
        </w:rPr>
        <w:t xml:space="preserve"> survey was pre-tested with </w:t>
      </w:r>
      <w:r w:rsidR="00B070C6">
        <w:rPr>
          <w:sz w:val="24"/>
        </w:rPr>
        <w:t xml:space="preserve">a total of </w:t>
      </w:r>
      <w:r w:rsidR="00960955">
        <w:rPr>
          <w:sz w:val="24"/>
        </w:rPr>
        <w:t>five</w:t>
      </w:r>
      <w:r w:rsidRPr="00E424E6" w:rsidR="00960955">
        <w:rPr>
          <w:sz w:val="24"/>
        </w:rPr>
        <w:t xml:space="preserve"> </w:t>
      </w:r>
      <w:r w:rsidRPr="00E424E6">
        <w:rPr>
          <w:sz w:val="24"/>
        </w:rPr>
        <w:t>separate respondents</w:t>
      </w:r>
      <w:r w:rsidR="005611A5">
        <w:rPr>
          <w:sz w:val="24"/>
        </w:rPr>
        <w:t xml:space="preserve">, </w:t>
      </w:r>
      <w:r w:rsidRPr="00E424E6">
        <w:rPr>
          <w:sz w:val="24"/>
        </w:rPr>
        <w:t xml:space="preserve">from which we derived the </w:t>
      </w:r>
      <w:r w:rsidRPr="005611A5" w:rsidR="00C6692B">
        <w:rPr>
          <w:sz w:val="24"/>
        </w:rPr>
        <w:t>45</w:t>
      </w:r>
      <w:r w:rsidRPr="005611A5">
        <w:rPr>
          <w:sz w:val="24"/>
        </w:rPr>
        <w:t>-minute</w:t>
      </w:r>
      <w:r w:rsidRPr="00E424E6">
        <w:rPr>
          <w:sz w:val="24"/>
        </w:rPr>
        <w:t xml:space="preserve"> burden per respondent burden estimate.</w:t>
      </w:r>
      <w:r w:rsidR="00137227">
        <w:rPr>
          <w:sz w:val="24"/>
        </w:rPr>
        <w:t xml:space="preserve"> </w:t>
      </w:r>
    </w:p>
    <w:p w:rsidR="00F35225" w14:paraId="69C814D3" w14:textId="77777777">
      <w:pPr>
        <w:ind w:left="1800"/>
        <w:rPr>
          <w:sz w:val="24"/>
        </w:rPr>
      </w:pPr>
    </w:p>
    <w:p w:rsidR="0098164F" w:rsidP="00B94C24" w14:paraId="3BD3CBB4" w14:textId="203202DF">
      <w:pPr>
        <w:widowControl/>
        <w:ind w:left="810"/>
        <w:rPr>
          <w:sz w:val="24"/>
        </w:rPr>
      </w:pPr>
      <w:r>
        <w:rPr>
          <w:sz w:val="24"/>
        </w:rPr>
        <w:t>Exhibit 1</w:t>
      </w:r>
      <w:r w:rsidRPr="00B21500">
        <w:rPr>
          <w:bCs/>
          <w:sz w:val="24"/>
        </w:rPr>
        <w:t>.</w:t>
      </w:r>
      <w:r w:rsidR="00B21500">
        <w:rPr>
          <w:sz w:val="24"/>
        </w:rPr>
        <w:t xml:space="preserve"> </w:t>
      </w:r>
      <w:r>
        <w:rPr>
          <w:b/>
          <w:sz w:val="24"/>
        </w:rPr>
        <w:t>Estimated Annualized Burden Hours</w:t>
      </w:r>
    </w:p>
    <w:tbl>
      <w:tblPr>
        <w:tblW w:w="8012" w:type="dxa"/>
        <w:tblInd w:w="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30"/>
        <w:gridCol w:w="896"/>
        <w:gridCol w:w="1523"/>
        <w:gridCol w:w="1430"/>
        <w:gridCol w:w="1177"/>
        <w:gridCol w:w="1556"/>
      </w:tblGrid>
      <w:tr w14:paraId="6B62F268" w14:textId="77777777" w:rsidTr="00DB0F4A">
        <w:tblPrEx>
          <w:tblW w:w="8012" w:type="dxa"/>
          <w:tblInd w:w="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786"/>
        </w:trPr>
        <w:tc>
          <w:tcPr>
            <w:tcW w:w="1430" w:type="dxa"/>
            <w:shd w:val="clear" w:color="auto" w:fill="auto"/>
          </w:tcPr>
          <w:p w:rsidR="00DB0F4A" w:rsidRPr="0098164F" w:rsidP="00B94C24" w14:paraId="473A8531" w14:textId="77777777">
            <w:pPr>
              <w:widowControl/>
              <w:rPr>
                <w:b/>
                <w:bCs/>
                <w:sz w:val="24"/>
              </w:rPr>
            </w:pPr>
            <w:r w:rsidRPr="0098164F">
              <w:rPr>
                <w:b/>
                <w:bCs/>
                <w:sz w:val="24"/>
              </w:rPr>
              <w:t>Type of</w:t>
            </w:r>
          </w:p>
          <w:p w:rsidR="00DB0F4A" w:rsidRPr="0098164F" w:rsidP="00B94C24" w14:paraId="2B14899C" w14:textId="77777777">
            <w:pPr>
              <w:widowControl/>
              <w:rPr>
                <w:b/>
                <w:bCs/>
                <w:sz w:val="24"/>
              </w:rPr>
            </w:pPr>
            <w:r w:rsidRPr="0098164F">
              <w:rPr>
                <w:b/>
                <w:bCs/>
                <w:sz w:val="24"/>
              </w:rPr>
              <w:t>Respondent</w:t>
            </w:r>
          </w:p>
          <w:p w:rsidR="00DB0F4A" w:rsidRPr="0098164F" w:rsidP="00B94C24" w14:paraId="4DEFF339" w14:textId="77777777">
            <w:pPr>
              <w:widowControl/>
              <w:rPr>
                <w:b/>
                <w:bCs/>
                <w:sz w:val="24"/>
              </w:rPr>
            </w:pPr>
          </w:p>
        </w:tc>
        <w:tc>
          <w:tcPr>
            <w:tcW w:w="896" w:type="dxa"/>
            <w:shd w:val="clear" w:color="auto" w:fill="auto"/>
          </w:tcPr>
          <w:p w:rsidR="00DB0F4A" w:rsidRPr="0098164F" w:rsidP="00B94C24" w14:paraId="0952AB7A" w14:textId="77777777">
            <w:pPr>
              <w:widowControl/>
              <w:rPr>
                <w:b/>
                <w:bCs/>
                <w:sz w:val="24"/>
              </w:rPr>
            </w:pPr>
            <w:r w:rsidRPr="0098164F">
              <w:rPr>
                <w:b/>
                <w:bCs/>
                <w:sz w:val="24"/>
              </w:rPr>
              <w:t>Form</w:t>
            </w:r>
          </w:p>
          <w:p w:rsidR="00DB0F4A" w:rsidRPr="0098164F" w:rsidP="00B94C24" w14:paraId="43890BA9" w14:textId="77777777">
            <w:pPr>
              <w:widowControl/>
              <w:rPr>
                <w:b/>
                <w:bCs/>
                <w:sz w:val="24"/>
              </w:rPr>
            </w:pPr>
            <w:r w:rsidRPr="0098164F">
              <w:rPr>
                <w:b/>
                <w:bCs/>
                <w:sz w:val="24"/>
              </w:rPr>
              <w:t>Name</w:t>
            </w:r>
          </w:p>
          <w:p w:rsidR="00DB0F4A" w:rsidRPr="0098164F" w:rsidP="00B94C24" w14:paraId="7B912FE7" w14:textId="77777777">
            <w:pPr>
              <w:widowControl/>
              <w:rPr>
                <w:b/>
                <w:bCs/>
                <w:sz w:val="24"/>
              </w:rPr>
            </w:pPr>
          </w:p>
        </w:tc>
        <w:tc>
          <w:tcPr>
            <w:tcW w:w="1523" w:type="dxa"/>
            <w:shd w:val="clear" w:color="auto" w:fill="auto"/>
          </w:tcPr>
          <w:p w:rsidR="00DB0F4A" w:rsidRPr="0098164F" w:rsidP="00B94C24" w14:paraId="0BE7A523" w14:textId="77777777">
            <w:pPr>
              <w:widowControl/>
              <w:rPr>
                <w:b/>
                <w:bCs/>
                <w:sz w:val="24"/>
              </w:rPr>
            </w:pPr>
            <w:r w:rsidRPr="0098164F">
              <w:rPr>
                <w:b/>
                <w:bCs/>
                <w:sz w:val="24"/>
              </w:rPr>
              <w:t>No. of</w:t>
            </w:r>
          </w:p>
          <w:p w:rsidR="00DB0F4A" w:rsidRPr="0098164F" w:rsidP="00B94C24" w14:paraId="50B6D8B3" w14:textId="77777777">
            <w:pPr>
              <w:widowControl/>
              <w:rPr>
                <w:b/>
                <w:bCs/>
                <w:sz w:val="24"/>
              </w:rPr>
            </w:pPr>
            <w:r w:rsidRPr="0098164F">
              <w:rPr>
                <w:b/>
                <w:bCs/>
                <w:sz w:val="24"/>
              </w:rPr>
              <w:t>Respondents</w:t>
            </w:r>
          </w:p>
        </w:tc>
        <w:tc>
          <w:tcPr>
            <w:tcW w:w="1430" w:type="dxa"/>
            <w:shd w:val="clear" w:color="auto" w:fill="auto"/>
          </w:tcPr>
          <w:p w:rsidR="00DB0F4A" w:rsidRPr="0098164F" w:rsidP="00B94C24" w14:paraId="11A43295" w14:textId="3D27E400">
            <w:pPr>
              <w:widowControl/>
              <w:rPr>
                <w:b/>
                <w:bCs/>
                <w:sz w:val="24"/>
              </w:rPr>
            </w:pPr>
            <w:r w:rsidRPr="0098164F">
              <w:rPr>
                <w:b/>
                <w:bCs/>
                <w:sz w:val="24"/>
              </w:rPr>
              <w:t>No.</w:t>
            </w:r>
            <w:r>
              <w:rPr>
                <w:b/>
                <w:bCs/>
                <w:sz w:val="24"/>
              </w:rPr>
              <w:t xml:space="preserve"> of</w:t>
            </w:r>
          </w:p>
          <w:p w:rsidR="00DB0F4A" w:rsidRPr="0098164F" w:rsidP="000E490D" w14:paraId="633532A7" w14:textId="77777777">
            <w:pPr>
              <w:widowControl/>
              <w:rPr>
                <w:b/>
                <w:bCs/>
                <w:sz w:val="24"/>
              </w:rPr>
            </w:pPr>
            <w:r w:rsidRPr="0098164F">
              <w:rPr>
                <w:b/>
                <w:bCs/>
                <w:sz w:val="24"/>
              </w:rPr>
              <w:t>Responses</w:t>
            </w:r>
            <w:r>
              <w:rPr>
                <w:b/>
                <w:bCs/>
                <w:sz w:val="24"/>
              </w:rPr>
              <w:t xml:space="preserve"> </w:t>
            </w:r>
            <w:r w:rsidRPr="0098164F">
              <w:rPr>
                <w:b/>
                <w:bCs/>
                <w:sz w:val="24"/>
              </w:rPr>
              <w:t>per</w:t>
            </w:r>
            <w:r>
              <w:rPr>
                <w:b/>
                <w:bCs/>
                <w:sz w:val="24"/>
              </w:rPr>
              <w:t xml:space="preserve"> </w:t>
            </w:r>
            <w:r w:rsidRPr="0098164F">
              <w:rPr>
                <w:b/>
                <w:bCs/>
                <w:sz w:val="24"/>
              </w:rPr>
              <w:t>Respondent</w:t>
            </w:r>
          </w:p>
        </w:tc>
        <w:tc>
          <w:tcPr>
            <w:tcW w:w="1177" w:type="dxa"/>
            <w:shd w:val="clear" w:color="auto" w:fill="auto"/>
          </w:tcPr>
          <w:p w:rsidR="00DB0F4A" w:rsidRPr="0098164F" w:rsidP="00B94C24" w14:paraId="0AE5172C" w14:textId="77777777">
            <w:pPr>
              <w:widowControl/>
              <w:rPr>
                <w:b/>
                <w:bCs/>
                <w:sz w:val="24"/>
              </w:rPr>
            </w:pPr>
            <w:r w:rsidRPr="0098164F">
              <w:rPr>
                <w:b/>
                <w:bCs/>
                <w:sz w:val="24"/>
              </w:rPr>
              <w:t>Average</w:t>
            </w:r>
            <w:r>
              <w:rPr>
                <w:b/>
                <w:bCs/>
                <w:sz w:val="24"/>
              </w:rPr>
              <w:t xml:space="preserve"> </w:t>
            </w:r>
            <w:r w:rsidRPr="0098164F">
              <w:rPr>
                <w:b/>
                <w:bCs/>
                <w:sz w:val="24"/>
              </w:rPr>
              <w:t>Burden per</w:t>
            </w:r>
          </w:p>
          <w:p w:rsidR="00DB0F4A" w:rsidRPr="0098164F" w:rsidP="00E424E6" w14:paraId="11B6B90C" w14:textId="77777777">
            <w:pPr>
              <w:widowControl/>
              <w:rPr>
                <w:b/>
                <w:bCs/>
                <w:sz w:val="24"/>
              </w:rPr>
            </w:pPr>
            <w:r w:rsidRPr="0098164F">
              <w:rPr>
                <w:b/>
                <w:bCs/>
                <w:sz w:val="24"/>
              </w:rPr>
              <w:t>Response</w:t>
            </w:r>
            <w:r>
              <w:rPr>
                <w:b/>
                <w:bCs/>
                <w:sz w:val="24"/>
              </w:rPr>
              <w:t xml:space="preserve"> </w:t>
            </w:r>
            <w:r w:rsidRPr="0098164F">
              <w:rPr>
                <w:b/>
                <w:bCs/>
                <w:sz w:val="24"/>
              </w:rPr>
              <w:t>(in hours)</w:t>
            </w:r>
          </w:p>
        </w:tc>
        <w:tc>
          <w:tcPr>
            <w:tcW w:w="1556" w:type="dxa"/>
            <w:shd w:val="clear" w:color="auto" w:fill="auto"/>
          </w:tcPr>
          <w:p w:rsidR="00DB0F4A" w:rsidRPr="0098164F" w:rsidP="00B94C24" w14:paraId="29E5AE78" w14:textId="77777777">
            <w:pPr>
              <w:widowControl/>
              <w:rPr>
                <w:b/>
                <w:bCs/>
                <w:sz w:val="24"/>
              </w:rPr>
            </w:pPr>
            <w:r w:rsidRPr="0098164F">
              <w:rPr>
                <w:b/>
                <w:bCs/>
                <w:sz w:val="24"/>
              </w:rPr>
              <w:t>Total Burden Hours</w:t>
            </w:r>
          </w:p>
        </w:tc>
      </w:tr>
      <w:tr w14:paraId="49A3C232" w14:textId="77777777" w:rsidTr="00DB0F4A">
        <w:tblPrEx>
          <w:tblW w:w="8012" w:type="dxa"/>
          <w:tblInd w:w="957" w:type="dxa"/>
          <w:tblLook w:val="01E0"/>
        </w:tblPrEx>
        <w:trPr>
          <w:trHeight w:val="524"/>
        </w:trPr>
        <w:tc>
          <w:tcPr>
            <w:tcW w:w="1430" w:type="dxa"/>
            <w:shd w:val="clear" w:color="auto" w:fill="auto"/>
          </w:tcPr>
          <w:p w:rsidR="00DB0F4A" w:rsidRPr="00B94C24" w:rsidP="00B94C24" w14:paraId="4DFA5E31" w14:textId="77777777">
            <w:pPr>
              <w:widowControl/>
              <w:rPr>
                <w:bCs/>
                <w:sz w:val="24"/>
              </w:rPr>
            </w:pPr>
            <w:r w:rsidRPr="00B94C24">
              <w:rPr>
                <w:bCs/>
                <w:sz w:val="24"/>
              </w:rPr>
              <w:t xml:space="preserve">Executive Director </w:t>
            </w:r>
          </w:p>
        </w:tc>
        <w:tc>
          <w:tcPr>
            <w:tcW w:w="896" w:type="dxa"/>
            <w:shd w:val="clear" w:color="auto" w:fill="auto"/>
          </w:tcPr>
          <w:p w:rsidR="00DB0F4A" w:rsidRPr="0098164F" w:rsidP="00B94C24" w14:paraId="18FC528C" w14:textId="77777777">
            <w:pPr>
              <w:widowControl/>
              <w:rPr>
                <w:b/>
                <w:bCs/>
                <w:sz w:val="24"/>
              </w:rPr>
            </w:pPr>
            <w:r>
              <w:rPr>
                <w:sz w:val="24"/>
              </w:rPr>
              <w:t>HIO Survey</w:t>
            </w:r>
          </w:p>
        </w:tc>
        <w:tc>
          <w:tcPr>
            <w:tcW w:w="1523" w:type="dxa"/>
            <w:shd w:val="clear" w:color="auto" w:fill="auto"/>
          </w:tcPr>
          <w:p w:rsidR="00DB0F4A" w:rsidRPr="00DB0F4A" w:rsidP="00B94C24" w14:paraId="22F7890C" w14:textId="6DC892FF">
            <w:pPr>
              <w:widowControl/>
              <w:rPr>
                <w:sz w:val="24"/>
              </w:rPr>
            </w:pPr>
            <w:r w:rsidRPr="00100272">
              <w:rPr>
                <w:sz w:val="24"/>
              </w:rPr>
              <w:t>10</w:t>
            </w:r>
            <w:r w:rsidRPr="00100272" w:rsidR="001B02E6">
              <w:rPr>
                <w:sz w:val="24"/>
              </w:rPr>
              <w:t>0</w:t>
            </w:r>
          </w:p>
        </w:tc>
        <w:tc>
          <w:tcPr>
            <w:tcW w:w="1430" w:type="dxa"/>
            <w:shd w:val="clear" w:color="auto" w:fill="auto"/>
          </w:tcPr>
          <w:p w:rsidR="00DB0F4A" w:rsidRPr="00DB0F4A" w:rsidP="00B94C24" w14:paraId="0D515014" w14:textId="6977B100">
            <w:pPr>
              <w:widowControl/>
              <w:rPr>
                <w:sz w:val="24"/>
              </w:rPr>
            </w:pPr>
            <w:r w:rsidRPr="00DB0F4A">
              <w:rPr>
                <w:sz w:val="24"/>
              </w:rPr>
              <w:t>1</w:t>
            </w:r>
          </w:p>
        </w:tc>
        <w:tc>
          <w:tcPr>
            <w:tcW w:w="1177" w:type="dxa"/>
            <w:shd w:val="clear" w:color="auto" w:fill="auto"/>
          </w:tcPr>
          <w:p w:rsidR="00DB0F4A" w:rsidRPr="00DB0F4A" w:rsidP="00B94C24" w14:paraId="0379C405" w14:textId="62A5BA3A">
            <w:pPr>
              <w:widowControl/>
              <w:rPr>
                <w:sz w:val="24"/>
              </w:rPr>
            </w:pPr>
            <w:r w:rsidRPr="00DB0F4A">
              <w:rPr>
                <w:sz w:val="24"/>
              </w:rPr>
              <w:t>45/60</w:t>
            </w:r>
          </w:p>
        </w:tc>
        <w:tc>
          <w:tcPr>
            <w:tcW w:w="1556" w:type="dxa"/>
            <w:shd w:val="clear" w:color="auto" w:fill="auto"/>
          </w:tcPr>
          <w:p w:rsidR="00DB0F4A" w:rsidRPr="00DB0F4A" w:rsidP="00B94C24" w14:paraId="7161A27E" w14:textId="35A3C5F4">
            <w:pPr>
              <w:widowControl/>
              <w:rPr>
                <w:sz w:val="24"/>
              </w:rPr>
            </w:pPr>
            <w:r w:rsidRPr="00DB0F4A">
              <w:rPr>
                <w:sz w:val="24"/>
              </w:rPr>
              <w:t>7</w:t>
            </w:r>
            <w:r w:rsidR="00E14702">
              <w:rPr>
                <w:sz w:val="24"/>
              </w:rPr>
              <w:t>5</w:t>
            </w:r>
          </w:p>
        </w:tc>
      </w:tr>
      <w:tr w14:paraId="41EBA00B" w14:textId="77777777" w:rsidTr="00DB0F4A">
        <w:tblPrEx>
          <w:tblW w:w="8012" w:type="dxa"/>
          <w:tblInd w:w="957" w:type="dxa"/>
          <w:tblLook w:val="01E0"/>
        </w:tblPrEx>
        <w:trPr>
          <w:trHeight w:val="250"/>
        </w:trPr>
        <w:tc>
          <w:tcPr>
            <w:tcW w:w="1430" w:type="dxa"/>
            <w:shd w:val="clear" w:color="auto" w:fill="auto"/>
          </w:tcPr>
          <w:p w:rsidR="00DB0F4A" w:rsidRPr="0098164F" w:rsidP="00B94C24" w14:paraId="2A5DCCE9" w14:textId="77777777">
            <w:pPr>
              <w:widowControl/>
              <w:rPr>
                <w:b/>
                <w:bCs/>
                <w:sz w:val="24"/>
              </w:rPr>
            </w:pPr>
            <w:r w:rsidRPr="0098164F">
              <w:rPr>
                <w:b/>
                <w:bCs/>
                <w:sz w:val="24"/>
              </w:rPr>
              <w:t>Total</w:t>
            </w:r>
          </w:p>
        </w:tc>
        <w:tc>
          <w:tcPr>
            <w:tcW w:w="896" w:type="dxa"/>
            <w:shd w:val="clear" w:color="auto" w:fill="auto"/>
          </w:tcPr>
          <w:p w:rsidR="00DB0F4A" w:rsidRPr="0098164F" w:rsidP="00B94C24" w14:paraId="6B8ACAD4" w14:textId="77777777">
            <w:pPr>
              <w:widowControl/>
              <w:rPr>
                <w:sz w:val="24"/>
              </w:rPr>
            </w:pPr>
          </w:p>
        </w:tc>
        <w:tc>
          <w:tcPr>
            <w:tcW w:w="1523" w:type="dxa"/>
            <w:shd w:val="clear" w:color="auto" w:fill="auto"/>
          </w:tcPr>
          <w:p w:rsidR="00DB0F4A" w:rsidRPr="00DB0F4A" w:rsidP="00B94C24" w14:paraId="46940C18" w14:textId="77777777">
            <w:pPr>
              <w:widowControl/>
              <w:rPr>
                <w:sz w:val="24"/>
              </w:rPr>
            </w:pPr>
          </w:p>
        </w:tc>
        <w:tc>
          <w:tcPr>
            <w:tcW w:w="1430" w:type="dxa"/>
            <w:shd w:val="clear" w:color="auto" w:fill="auto"/>
          </w:tcPr>
          <w:p w:rsidR="00DB0F4A" w:rsidRPr="004C24EB" w:rsidP="00B94C24" w14:paraId="38A0CFE8" w14:textId="1755227F">
            <w:pPr>
              <w:widowControl/>
              <w:rPr>
                <w:sz w:val="24"/>
              </w:rPr>
            </w:pPr>
          </w:p>
        </w:tc>
        <w:tc>
          <w:tcPr>
            <w:tcW w:w="1177" w:type="dxa"/>
            <w:shd w:val="clear" w:color="auto" w:fill="auto"/>
          </w:tcPr>
          <w:p w:rsidR="00DB0F4A" w:rsidRPr="004C24EB" w:rsidP="00B94C24" w14:paraId="0C54D34C" w14:textId="77777777">
            <w:pPr>
              <w:widowControl/>
              <w:rPr>
                <w:sz w:val="24"/>
              </w:rPr>
            </w:pPr>
          </w:p>
        </w:tc>
        <w:tc>
          <w:tcPr>
            <w:tcW w:w="1556" w:type="dxa"/>
            <w:shd w:val="clear" w:color="auto" w:fill="auto"/>
          </w:tcPr>
          <w:p w:rsidR="00DB0F4A" w:rsidRPr="00DB0F4A" w:rsidP="00E424E6" w14:paraId="2D3AC02F" w14:textId="2E68EFA0">
            <w:pPr>
              <w:widowControl/>
              <w:rPr>
                <w:sz w:val="24"/>
              </w:rPr>
            </w:pPr>
            <w:r w:rsidRPr="00DB0F4A">
              <w:rPr>
                <w:sz w:val="24"/>
              </w:rPr>
              <w:t>7</w:t>
            </w:r>
            <w:r w:rsidR="00477D2D">
              <w:rPr>
                <w:sz w:val="24"/>
              </w:rPr>
              <w:t>5</w:t>
            </w:r>
            <w:r w:rsidRPr="00DB0F4A">
              <w:rPr>
                <w:sz w:val="24"/>
              </w:rPr>
              <w:t xml:space="preserve"> </w:t>
            </w:r>
          </w:p>
        </w:tc>
      </w:tr>
    </w:tbl>
    <w:p w:rsidR="00E424E6" w:rsidP="00B94C24" w14:paraId="07679F17" w14:textId="77777777">
      <w:pPr>
        <w:widowControl/>
        <w:tabs>
          <w:tab w:val="left" w:pos="2430"/>
        </w:tabs>
        <w:ind w:left="810"/>
        <w:rPr>
          <w:sz w:val="24"/>
        </w:rPr>
      </w:pPr>
    </w:p>
    <w:p w:rsidR="0098164F" w:rsidP="00B94C24" w14:paraId="2D4EE7B5" w14:textId="7390DA56">
      <w:pPr>
        <w:widowControl/>
        <w:tabs>
          <w:tab w:val="left" w:pos="2430"/>
        </w:tabs>
        <w:ind w:left="810"/>
        <w:rPr>
          <w:b/>
          <w:sz w:val="24"/>
        </w:rPr>
      </w:pPr>
      <w:r>
        <w:rPr>
          <w:sz w:val="24"/>
        </w:rPr>
        <w:t xml:space="preserve">Exhibit 2. </w:t>
      </w:r>
      <w:r>
        <w:rPr>
          <w:b/>
          <w:sz w:val="24"/>
        </w:rPr>
        <w:t>Estimated Annualized Burden Costs</w:t>
      </w:r>
    </w:p>
    <w:tbl>
      <w:tblPr>
        <w:tblW w:w="9291"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91"/>
        <w:gridCol w:w="2070"/>
        <w:gridCol w:w="1530"/>
        <w:gridCol w:w="2700"/>
      </w:tblGrid>
      <w:tr w14:paraId="32A78FA1" w14:textId="77777777" w:rsidTr="000E490D">
        <w:tblPrEx>
          <w:tblW w:w="9291"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991" w:type="dxa"/>
            <w:shd w:val="clear" w:color="auto" w:fill="auto"/>
          </w:tcPr>
          <w:p w:rsidR="0098164F" w:rsidRPr="0098164F" w:rsidP="00B94C24" w14:paraId="471BE6FE" w14:textId="77777777">
            <w:pPr>
              <w:widowControl/>
              <w:rPr>
                <w:b/>
                <w:bCs/>
                <w:sz w:val="24"/>
              </w:rPr>
            </w:pPr>
            <w:r w:rsidRPr="0098164F">
              <w:rPr>
                <w:b/>
                <w:bCs/>
                <w:sz w:val="24"/>
              </w:rPr>
              <w:t>Type of</w:t>
            </w:r>
          </w:p>
          <w:p w:rsidR="0098164F" w:rsidRPr="0098164F" w:rsidP="00B94C24" w14:paraId="147968C1" w14:textId="77777777">
            <w:pPr>
              <w:widowControl/>
              <w:rPr>
                <w:sz w:val="24"/>
              </w:rPr>
            </w:pPr>
            <w:r w:rsidRPr="0098164F">
              <w:rPr>
                <w:b/>
                <w:bCs/>
                <w:sz w:val="24"/>
              </w:rPr>
              <w:t>Respondent</w:t>
            </w:r>
          </w:p>
          <w:p w:rsidR="0098164F" w:rsidRPr="0098164F" w:rsidP="00B94C24" w14:paraId="10B47CB9" w14:textId="77777777">
            <w:pPr>
              <w:widowControl/>
              <w:rPr>
                <w:b/>
                <w:bCs/>
                <w:sz w:val="24"/>
              </w:rPr>
            </w:pPr>
          </w:p>
        </w:tc>
        <w:tc>
          <w:tcPr>
            <w:tcW w:w="2070" w:type="dxa"/>
            <w:shd w:val="clear" w:color="auto" w:fill="auto"/>
          </w:tcPr>
          <w:p w:rsidR="0098164F" w:rsidRPr="0098164F" w:rsidP="00B94C24" w14:paraId="7721790E" w14:textId="77777777">
            <w:pPr>
              <w:widowControl/>
              <w:rPr>
                <w:b/>
                <w:bCs/>
                <w:sz w:val="24"/>
              </w:rPr>
            </w:pPr>
            <w:r w:rsidRPr="0098164F">
              <w:rPr>
                <w:b/>
                <w:bCs/>
                <w:sz w:val="24"/>
              </w:rPr>
              <w:t>Total Burden</w:t>
            </w:r>
          </w:p>
          <w:p w:rsidR="0098164F" w:rsidRPr="0098164F" w:rsidP="00B94C24" w14:paraId="5A2E0299" w14:textId="77777777">
            <w:pPr>
              <w:widowControl/>
              <w:rPr>
                <w:sz w:val="24"/>
              </w:rPr>
            </w:pPr>
            <w:r w:rsidRPr="0098164F">
              <w:rPr>
                <w:b/>
                <w:bCs/>
                <w:sz w:val="24"/>
              </w:rPr>
              <w:t>Hours</w:t>
            </w:r>
          </w:p>
          <w:p w:rsidR="0098164F" w:rsidRPr="0098164F" w:rsidP="00B94C24" w14:paraId="322692CE" w14:textId="77777777">
            <w:pPr>
              <w:widowControl/>
              <w:rPr>
                <w:b/>
                <w:bCs/>
                <w:sz w:val="24"/>
              </w:rPr>
            </w:pPr>
          </w:p>
        </w:tc>
        <w:tc>
          <w:tcPr>
            <w:tcW w:w="1530" w:type="dxa"/>
            <w:shd w:val="clear" w:color="auto" w:fill="auto"/>
          </w:tcPr>
          <w:p w:rsidR="0098164F" w:rsidRPr="0098164F" w:rsidP="00B94C24" w14:paraId="0CDABFE8" w14:textId="77777777">
            <w:pPr>
              <w:widowControl/>
              <w:rPr>
                <w:b/>
                <w:bCs/>
                <w:sz w:val="24"/>
              </w:rPr>
            </w:pPr>
            <w:r w:rsidRPr="0098164F">
              <w:rPr>
                <w:b/>
                <w:bCs/>
                <w:sz w:val="24"/>
              </w:rPr>
              <w:t>Hourly</w:t>
            </w:r>
          </w:p>
          <w:p w:rsidR="0098164F" w:rsidRPr="0098164F" w:rsidP="00B94C24" w14:paraId="3F00DD4E" w14:textId="77777777">
            <w:pPr>
              <w:widowControl/>
              <w:rPr>
                <w:sz w:val="24"/>
              </w:rPr>
            </w:pPr>
            <w:r w:rsidRPr="0098164F">
              <w:rPr>
                <w:b/>
                <w:bCs/>
                <w:sz w:val="24"/>
              </w:rPr>
              <w:t>Wage Rate</w:t>
            </w:r>
          </w:p>
          <w:p w:rsidR="0098164F" w:rsidRPr="0098164F" w:rsidP="00B94C24" w14:paraId="1F36D1C1" w14:textId="77777777">
            <w:pPr>
              <w:widowControl/>
              <w:rPr>
                <w:b/>
                <w:bCs/>
                <w:sz w:val="24"/>
              </w:rPr>
            </w:pPr>
          </w:p>
        </w:tc>
        <w:tc>
          <w:tcPr>
            <w:tcW w:w="2700" w:type="dxa"/>
            <w:shd w:val="clear" w:color="auto" w:fill="auto"/>
          </w:tcPr>
          <w:p w:rsidR="0098164F" w:rsidRPr="0098164F" w:rsidP="00B94C24" w14:paraId="1519997B" w14:textId="77777777">
            <w:pPr>
              <w:widowControl/>
              <w:rPr>
                <w:sz w:val="24"/>
              </w:rPr>
            </w:pPr>
            <w:r w:rsidRPr="0098164F">
              <w:rPr>
                <w:b/>
                <w:bCs/>
                <w:sz w:val="24"/>
              </w:rPr>
              <w:t>Total Respondent Costs</w:t>
            </w:r>
          </w:p>
          <w:p w:rsidR="0098164F" w:rsidRPr="0098164F" w:rsidP="00B94C24" w14:paraId="1221B849" w14:textId="77777777">
            <w:pPr>
              <w:widowControl/>
              <w:rPr>
                <w:b/>
                <w:bCs/>
                <w:sz w:val="24"/>
              </w:rPr>
            </w:pPr>
          </w:p>
        </w:tc>
      </w:tr>
      <w:tr w14:paraId="60737D91" w14:textId="77777777" w:rsidTr="000E490D">
        <w:tblPrEx>
          <w:tblW w:w="9291" w:type="dxa"/>
          <w:tblInd w:w="918" w:type="dxa"/>
          <w:tblLook w:val="01E0"/>
        </w:tblPrEx>
        <w:tc>
          <w:tcPr>
            <w:tcW w:w="2991" w:type="dxa"/>
            <w:shd w:val="clear" w:color="auto" w:fill="auto"/>
          </w:tcPr>
          <w:p w:rsidR="0098164F" w:rsidRPr="0098164F" w:rsidP="00B94C24" w14:paraId="613DD56C" w14:textId="77777777">
            <w:pPr>
              <w:rPr>
                <w:sz w:val="24"/>
              </w:rPr>
            </w:pPr>
            <w:r>
              <w:rPr>
                <w:sz w:val="24"/>
              </w:rPr>
              <w:t>Executive Director</w:t>
            </w:r>
            <w:r w:rsidRPr="0098164F">
              <w:rPr>
                <w:sz w:val="24"/>
              </w:rPr>
              <w:t xml:space="preserve"> </w:t>
            </w:r>
          </w:p>
        </w:tc>
        <w:tc>
          <w:tcPr>
            <w:tcW w:w="2070" w:type="dxa"/>
            <w:shd w:val="clear" w:color="auto" w:fill="auto"/>
          </w:tcPr>
          <w:p w:rsidR="0098164F" w:rsidRPr="00DB0F4A" w:rsidP="00B94C24" w14:paraId="1C318A72" w14:textId="40B99752">
            <w:pPr>
              <w:rPr>
                <w:sz w:val="24"/>
              </w:rPr>
            </w:pPr>
            <w:r w:rsidRPr="00DB0F4A">
              <w:rPr>
                <w:sz w:val="24"/>
              </w:rPr>
              <w:t>7</w:t>
            </w:r>
            <w:r w:rsidR="00680462">
              <w:rPr>
                <w:sz w:val="24"/>
              </w:rPr>
              <w:t>5</w:t>
            </w:r>
          </w:p>
        </w:tc>
        <w:tc>
          <w:tcPr>
            <w:tcW w:w="1530" w:type="dxa"/>
            <w:shd w:val="clear" w:color="auto" w:fill="auto"/>
          </w:tcPr>
          <w:p w:rsidR="0098164F" w:rsidRPr="00DB0F4A" w:rsidP="00B94C24" w14:paraId="3398F4B5" w14:textId="6FEA992C">
            <w:pPr>
              <w:jc w:val="right"/>
              <w:rPr>
                <w:sz w:val="24"/>
              </w:rPr>
            </w:pPr>
            <w:r w:rsidRPr="00DB0F4A">
              <w:rPr>
                <w:sz w:val="24"/>
              </w:rPr>
              <w:t xml:space="preserve"> $</w:t>
            </w:r>
            <w:r w:rsidR="00435E05">
              <w:rPr>
                <w:sz w:val="24"/>
              </w:rPr>
              <w:t>124.47</w:t>
            </w:r>
            <w:r w:rsidRPr="00DB0F4A">
              <w:rPr>
                <w:sz w:val="24"/>
              </w:rPr>
              <w:t xml:space="preserve"> </w:t>
            </w:r>
          </w:p>
        </w:tc>
        <w:tc>
          <w:tcPr>
            <w:tcW w:w="2700" w:type="dxa"/>
            <w:shd w:val="clear" w:color="auto" w:fill="auto"/>
          </w:tcPr>
          <w:p w:rsidR="0098164F" w:rsidRPr="00DB0F4A" w:rsidP="00B94C24" w14:paraId="0DF08D90" w14:textId="5D5F0FD3">
            <w:pPr>
              <w:jc w:val="right"/>
              <w:rPr>
                <w:sz w:val="24"/>
              </w:rPr>
            </w:pPr>
            <w:r w:rsidRPr="00DB0F4A">
              <w:rPr>
                <w:sz w:val="24"/>
              </w:rPr>
              <w:t xml:space="preserve"> </w:t>
            </w:r>
            <w:r w:rsidRPr="00DB0F4A" w:rsidR="006E63BB">
              <w:rPr>
                <w:sz w:val="24"/>
              </w:rPr>
              <w:t>$</w:t>
            </w:r>
            <w:r w:rsidR="004326D7">
              <w:rPr>
                <w:sz w:val="24"/>
              </w:rPr>
              <w:t>9335</w:t>
            </w:r>
            <w:r w:rsidRPr="00DB0F4A" w:rsidR="006E63BB">
              <w:rPr>
                <w:sz w:val="24"/>
              </w:rPr>
              <w:t>.</w:t>
            </w:r>
            <w:r w:rsidR="004326D7">
              <w:rPr>
                <w:sz w:val="24"/>
              </w:rPr>
              <w:t>25</w:t>
            </w:r>
          </w:p>
        </w:tc>
      </w:tr>
      <w:tr w14:paraId="24FD4B0A" w14:textId="77777777" w:rsidTr="000E490D">
        <w:tblPrEx>
          <w:tblW w:w="9291" w:type="dxa"/>
          <w:tblInd w:w="918" w:type="dxa"/>
          <w:tblLook w:val="01E0"/>
        </w:tblPrEx>
        <w:trPr>
          <w:trHeight w:val="440"/>
        </w:trPr>
        <w:tc>
          <w:tcPr>
            <w:tcW w:w="2991" w:type="dxa"/>
            <w:shd w:val="clear" w:color="auto" w:fill="auto"/>
          </w:tcPr>
          <w:p w:rsidR="0098164F" w:rsidRPr="00B94C24" w:rsidP="00B94C24" w14:paraId="49A4FC9E" w14:textId="77777777">
            <w:pPr>
              <w:widowControl/>
              <w:rPr>
                <w:b/>
                <w:sz w:val="24"/>
              </w:rPr>
            </w:pPr>
            <w:r w:rsidRPr="00B94C24">
              <w:rPr>
                <w:b/>
                <w:sz w:val="24"/>
              </w:rPr>
              <w:t>Total</w:t>
            </w:r>
          </w:p>
        </w:tc>
        <w:tc>
          <w:tcPr>
            <w:tcW w:w="2070" w:type="dxa"/>
            <w:shd w:val="clear" w:color="auto" w:fill="auto"/>
          </w:tcPr>
          <w:p w:rsidR="0098164F" w:rsidRPr="00DB0F4A" w:rsidP="00B94C24" w14:paraId="597C042D" w14:textId="77777777">
            <w:pPr>
              <w:widowControl/>
              <w:rPr>
                <w:b/>
                <w:sz w:val="24"/>
              </w:rPr>
            </w:pPr>
          </w:p>
        </w:tc>
        <w:tc>
          <w:tcPr>
            <w:tcW w:w="1530" w:type="dxa"/>
            <w:shd w:val="clear" w:color="auto" w:fill="auto"/>
          </w:tcPr>
          <w:p w:rsidR="0098164F" w:rsidRPr="00DB0F4A" w:rsidP="00B94C24" w14:paraId="05B916D5" w14:textId="77777777">
            <w:pPr>
              <w:widowControl/>
              <w:jc w:val="right"/>
              <w:rPr>
                <w:b/>
                <w:sz w:val="24"/>
              </w:rPr>
            </w:pPr>
          </w:p>
        </w:tc>
        <w:tc>
          <w:tcPr>
            <w:tcW w:w="2700" w:type="dxa"/>
            <w:shd w:val="clear" w:color="auto" w:fill="auto"/>
          </w:tcPr>
          <w:p w:rsidR="0098164F" w:rsidRPr="00DB0F4A" w:rsidP="00B94C24" w14:paraId="28AD8CBF" w14:textId="61B4E7BC">
            <w:pPr>
              <w:widowControl/>
              <w:jc w:val="right"/>
              <w:rPr>
                <w:b/>
                <w:sz w:val="24"/>
              </w:rPr>
            </w:pPr>
            <w:r w:rsidRPr="00DB0F4A">
              <w:rPr>
                <w:b/>
                <w:sz w:val="24"/>
              </w:rPr>
              <w:t>$</w:t>
            </w:r>
            <w:r w:rsidR="00FF7542">
              <w:rPr>
                <w:b/>
                <w:sz w:val="24"/>
              </w:rPr>
              <w:t>9335</w:t>
            </w:r>
            <w:r w:rsidRPr="00DB0F4A" w:rsidR="006E63BB">
              <w:rPr>
                <w:b/>
                <w:sz w:val="24"/>
              </w:rPr>
              <w:t>.</w:t>
            </w:r>
            <w:r w:rsidR="00FF7542">
              <w:rPr>
                <w:b/>
                <w:sz w:val="24"/>
              </w:rPr>
              <w:t>25</w:t>
            </w:r>
            <w:r>
              <w:rPr>
                <w:sz w:val="24"/>
                <w:vertAlign w:val="superscript"/>
              </w:rPr>
              <w:footnoteReference w:id="3"/>
            </w:r>
          </w:p>
        </w:tc>
      </w:tr>
    </w:tbl>
    <w:p w:rsidR="0098164F" w14:paraId="24347555" w14:textId="77777777">
      <w:pPr>
        <w:pStyle w:val="BodyTextIndent"/>
        <w:ind w:left="1080"/>
        <w:rPr>
          <w:rFonts w:ascii="Times New Roman" w:hAnsi="Times New Roman"/>
        </w:rPr>
      </w:pPr>
    </w:p>
    <w:p w:rsidR="0098164F" w14:paraId="0B860849" w14:textId="77777777">
      <w:pPr>
        <w:ind w:left="360"/>
        <w:rPr>
          <w:sz w:val="24"/>
        </w:rPr>
      </w:pPr>
    </w:p>
    <w:p w:rsidR="0098164F" w:rsidRPr="004C10E1" w14:paraId="2FF89A28" w14:textId="77777777">
      <w:pPr>
        <w:numPr>
          <w:ilvl w:val="0"/>
          <w:numId w:val="2"/>
        </w:numPr>
        <w:rPr>
          <w:b/>
          <w:sz w:val="24"/>
        </w:rPr>
      </w:pPr>
      <w:r>
        <w:rPr>
          <w:b/>
          <w:sz w:val="24"/>
          <w:u w:val="single"/>
        </w:rPr>
        <w:t>Estimates of other Total Annual Cost Burden to Respondents or Recordkeepers/Capital Costs</w:t>
      </w:r>
    </w:p>
    <w:p w:rsidR="004C10E1" w:rsidRPr="00EB5BD6" w:rsidP="00EB5BD6" w14:paraId="5792E86C" w14:textId="601AFDF1">
      <w:pPr>
        <w:pStyle w:val="BodyText"/>
        <w:ind w:left="720"/>
      </w:pPr>
      <w:r w:rsidRPr="004C10E1">
        <w:rPr>
          <w:sz w:val="24"/>
        </w:rPr>
        <w:t xml:space="preserve">There are no annualized capital/startup or ongoing operation and maintenance costs involved in collecting the information. </w:t>
      </w:r>
    </w:p>
    <w:p w:rsidR="0098164F" w14:paraId="39EB660E" w14:textId="77777777">
      <w:pPr>
        <w:ind w:left="360"/>
        <w:rPr>
          <w:sz w:val="24"/>
        </w:rPr>
      </w:pPr>
    </w:p>
    <w:p w:rsidR="0098164F" w:rsidRPr="004C10E1" w14:paraId="16B6F35E" w14:textId="77777777">
      <w:pPr>
        <w:numPr>
          <w:ilvl w:val="0"/>
          <w:numId w:val="2"/>
        </w:numPr>
        <w:rPr>
          <w:b/>
          <w:sz w:val="24"/>
        </w:rPr>
      </w:pPr>
      <w:r>
        <w:rPr>
          <w:b/>
          <w:sz w:val="24"/>
          <w:u w:val="single"/>
        </w:rPr>
        <w:t>Annualized Cost to Federal Government</w:t>
      </w:r>
    </w:p>
    <w:p w:rsidR="004C10E1" w:rsidRPr="0009096A" w:rsidP="0009096A" w14:paraId="273CE77E" w14:textId="42348438">
      <w:pPr>
        <w:pStyle w:val="BodyText"/>
        <w:ind w:left="720"/>
        <w:rPr>
          <w:i/>
          <w:sz w:val="24"/>
        </w:rPr>
      </w:pPr>
      <w:r w:rsidRPr="004C10E1">
        <w:rPr>
          <w:sz w:val="24"/>
        </w:rPr>
        <w:t xml:space="preserve">The estimated cost to the Federal Government for </w:t>
      </w:r>
      <w:r>
        <w:rPr>
          <w:sz w:val="24"/>
        </w:rPr>
        <w:t xml:space="preserve">the </w:t>
      </w:r>
      <w:r w:rsidRPr="00CA6D06" w:rsidR="00CA6D06">
        <w:rPr>
          <w:i/>
          <w:sz w:val="24"/>
        </w:rPr>
        <w:t>2024 Health Information Organization (HIO) Survey and Civitas Member Survey</w:t>
      </w:r>
      <w:r w:rsidRPr="00CA6D06" w:rsidR="00CA6D06">
        <w:rPr>
          <w:i/>
          <w:sz w:val="24"/>
        </w:rPr>
        <w:t xml:space="preserve"> </w:t>
      </w:r>
      <w:r w:rsidRPr="004C10E1">
        <w:rPr>
          <w:sz w:val="24"/>
        </w:rPr>
        <w:t xml:space="preserve">data collection activities is </w:t>
      </w:r>
      <w:r w:rsidRPr="008E2147" w:rsidR="008E2147">
        <w:rPr>
          <w:sz w:val="24"/>
        </w:rPr>
        <w:t>$</w:t>
      </w:r>
      <w:r w:rsidRPr="008E2147" w:rsidR="00761491">
        <w:rPr>
          <w:sz w:val="24"/>
        </w:rPr>
        <w:t>2</w:t>
      </w:r>
      <w:r w:rsidR="00456E60">
        <w:rPr>
          <w:sz w:val="24"/>
        </w:rPr>
        <w:t>79</w:t>
      </w:r>
      <w:r w:rsidRPr="008E2147" w:rsidR="00761491">
        <w:rPr>
          <w:sz w:val="24"/>
        </w:rPr>
        <w:t>,</w:t>
      </w:r>
      <w:r w:rsidR="00456E60">
        <w:rPr>
          <w:sz w:val="24"/>
        </w:rPr>
        <w:t>295</w:t>
      </w:r>
      <w:r w:rsidRPr="008E2147" w:rsidR="00761491">
        <w:rPr>
          <w:sz w:val="24"/>
        </w:rPr>
        <w:t xml:space="preserve">.00 </w:t>
      </w:r>
      <w:r w:rsidR="00761491">
        <w:rPr>
          <w:sz w:val="24"/>
        </w:rPr>
        <w:t>over</w:t>
      </w:r>
      <w:r w:rsidR="00B21FBA">
        <w:rPr>
          <w:sz w:val="24"/>
        </w:rPr>
        <w:t xml:space="preserve"> 2 years or </w:t>
      </w:r>
      <w:r w:rsidRPr="008E2147" w:rsidR="008E2147">
        <w:rPr>
          <w:sz w:val="24"/>
        </w:rPr>
        <w:t>$1</w:t>
      </w:r>
      <w:r w:rsidR="00456E60">
        <w:rPr>
          <w:sz w:val="24"/>
        </w:rPr>
        <w:t>39</w:t>
      </w:r>
      <w:r w:rsidRPr="008E2147" w:rsidR="008E2147">
        <w:rPr>
          <w:sz w:val="24"/>
        </w:rPr>
        <w:t>,</w:t>
      </w:r>
      <w:r w:rsidR="008D6152">
        <w:rPr>
          <w:sz w:val="24"/>
        </w:rPr>
        <w:t>64</w:t>
      </w:r>
      <w:r w:rsidR="009662C7">
        <w:rPr>
          <w:sz w:val="24"/>
        </w:rPr>
        <w:t>7</w:t>
      </w:r>
      <w:r w:rsidRPr="008E2147" w:rsidR="008E2147">
        <w:rPr>
          <w:sz w:val="24"/>
        </w:rPr>
        <w:t>.</w:t>
      </w:r>
      <w:r w:rsidR="009662C7">
        <w:rPr>
          <w:sz w:val="24"/>
        </w:rPr>
        <w:t>5</w:t>
      </w:r>
      <w:r w:rsidRPr="008E2147" w:rsidR="008E2147">
        <w:rPr>
          <w:sz w:val="24"/>
        </w:rPr>
        <w:t>0</w:t>
      </w:r>
      <w:r w:rsidR="00B21FBA">
        <w:rPr>
          <w:sz w:val="24"/>
        </w:rPr>
        <w:t xml:space="preserve"> annually. </w:t>
      </w:r>
      <w:r>
        <w:rPr>
          <w:sz w:val="24"/>
        </w:rPr>
        <w:t xml:space="preserve">The </w:t>
      </w:r>
      <w:r w:rsidR="008E2147">
        <w:rPr>
          <w:sz w:val="24"/>
        </w:rPr>
        <w:t xml:space="preserve">contractual </w:t>
      </w:r>
      <w:r>
        <w:rPr>
          <w:sz w:val="24"/>
        </w:rPr>
        <w:t>cost</w:t>
      </w:r>
      <w:r w:rsidR="008E2147">
        <w:rPr>
          <w:sz w:val="24"/>
        </w:rPr>
        <w:t>s</w:t>
      </w:r>
      <w:r>
        <w:rPr>
          <w:sz w:val="24"/>
        </w:rPr>
        <w:t xml:space="preserve"> to the University of California</w:t>
      </w:r>
      <w:r w:rsidR="000670AC">
        <w:rPr>
          <w:sz w:val="24"/>
        </w:rPr>
        <w:t>,</w:t>
      </w:r>
      <w:r>
        <w:rPr>
          <w:sz w:val="24"/>
        </w:rPr>
        <w:t xml:space="preserve"> San Francisco (UCSF)</w:t>
      </w:r>
      <w:r w:rsidRPr="004C10E1">
        <w:rPr>
          <w:sz w:val="24"/>
        </w:rPr>
        <w:t>, for data collection activities associated with this submission</w:t>
      </w:r>
      <w:r w:rsidR="00B21FBA">
        <w:rPr>
          <w:sz w:val="24"/>
        </w:rPr>
        <w:t xml:space="preserve"> is </w:t>
      </w:r>
      <w:r w:rsidRPr="004C10E1" w:rsidR="00B21FBA">
        <w:rPr>
          <w:sz w:val="24"/>
        </w:rPr>
        <w:t>$</w:t>
      </w:r>
      <w:r w:rsidR="004D4D0D">
        <w:rPr>
          <w:sz w:val="24"/>
        </w:rPr>
        <w:t>225</w:t>
      </w:r>
      <w:r w:rsidR="00BB10C3">
        <w:rPr>
          <w:sz w:val="24"/>
        </w:rPr>
        <w:t>,</w:t>
      </w:r>
      <w:r w:rsidR="002C5B19">
        <w:rPr>
          <w:sz w:val="24"/>
        </w:rPr>
        <w:t>395.00</w:t>
      </w:r>
      <w:r w:rsidRPr="00CC29FF" w:rsidR="00CC29FF">
        <w:rPr>
          <w:sz w:val="24"/>
        </w:rPr>
        <w:t xml:space="preserve"> </w:t>
      </w:r>
      <w:r w:rsidR="00B21FBA">
        <w:rPr>
          <w:sz w:val="24"/>
        </w:rPr>
        <w:t xml:space="preserve">over </w:t>
      </w:r>
      <w:r w:rsidR="002C5B19">
        <w:rPr>
          <w:sz w:val="24"/>
        </w:rPr>
        <w:t>two</w:t>
      </w:r>
      <w:r w:rsidR="00B21FBA">
        <w:rPr>
          <w:sz w:val="24"/>
        </w:rPr>
        <w:t xml:space="preserve"> years or $</w:t>
      </w:r>
      <w:r w:rsidR="00920609">
        <w:rPr>
          <w:sz w:val="24"/>
        </w:rPr>
        <w:t>112</w:t>
      </w:r>
      <w:r w:rsidR="0021791B">
        <w:rPr>
          <w:sz w:val="24"/>
        </w:rPr>
        <w:t>,</w:t>
      </w:r>
      <w:r w:rsidR="00920609">
        <w:rPr>
          <w:sz w:val="24"/>
        </w:rPr>
        <w:t>69</w:t>
      </w:r>
      <w:r w:rsidR="008D57FC">
        <w:rPr>
          <w:sz w:val="24"/>
        </w:rPr>
        <w:t>7</w:t>
      </w:r>
      <w:r w:rsidR="00920609">
        <w:rPr>
          <w:sz w:val="24"/>
        </w:rPr>
        <w:t>.</w:t>
      </w:r>
      <w:r w:rsidR="008D57FC">
        <w:rPr>
          <w:sz w:val="24"/>
        </w:rPr>
        <w:t>5</w:t>
      </w:r>
      <w:r w:rsidR="00C23D64">
        <w:rPr>
          <w:sz w:val="24"/>
        </w:rPr>
        <w:t>0</w:t>
      </w:r>
      <w:r w:rsidRPr="00CC29FF" w:rsidR="00CC29FF">
        <w:rPr>
          <w:sz w:val="24"/>
        </w:rPr>
        <w:t xml:space="preserve"> </w:t>
      </w:r>
      <w:r w:rsidR="00B21FBA">
        <w:rPr>
          <w:sz w:val="24"/>
        </w:rPr>
        <w:t>annually</w:t>
      </w:r>
      <w:r w:rsidRPr="004C10E1" w:rsidR="00B21FBA">
        <w:rPr>
          <w:sz w:val="24"/>
        </w:rPr>
        <w:t>.</w:t>
      </w:r>
      <w:r w:rsidR="00B21FBA">
        <w:rPr>
          <w:sz w:val="24"/>
        </w:rPr>
        <w:t xml:space="preserve"> The cost of federal employees providing oversight and some analysis is </w:t>
      </w:r>
      <w:r w:rsidRPr="00B04474" w:rsidR="00B04474">
        <w:rPr>
          <w:sz w:val="24"/>
        </w:rPr>
        <w:t>$</w:t>
      </w:r>
      <w:r w:rsidR="008F304A">
        <w:rPr>
          <w:sz w:val="24"/>
        </w:rPr>
        <w:t>53</w:t>
      </w:r>
      <w:r w:rsidRPr="00B04474" w:rsidR="00B04474">
        <w:rPr>
          <w:sz w:val="24"/>
        </w:rPr>
        <w:t>,</w:t>
      </w:r>
      <w:r w:rsidR="00BB10C3">
        <w:rPr>
          <w:sz w:val="24"/>
        </w:rPr>
        <w:t>900</w:t>
      </w:r>
      <w:r w:rsidRPr="00B04474" w:rsidR="00B04474">
        <w:rPr>
          <w:sz w:val="24"/>
        </w:rPr>
        <w:t>.00</w:t>
      </w:r>
      <w:r w:rsidR="00B04474">
        <w:rPr>
          <w:sz w:val="24"/>
        </w:rPr>
        <w:t xml:space="preserve"> </w:t>
      </w:r>
      <w:r w:rsidR="00B21FBA">
        <w:rPr>
          <w:sz w:val="24"/>
        </w:rPr>
        <w:t xml:space="preserve">over 2 years or </w:t>
      </w:r>
      <w:r w:rsidRPr="00E074B6" w:rsidR="00E074B6">
        <w:rPr>
          <w:sz w:val="24"/>
        </w:rPr>
        <w:t>$2</w:t>
      </w:r>
      <w:r w:rsidR="008F304A">
        <w:rPr>
          <w:sz w:val="24"/>
        </w:rPr>
        <w:t>6</w:t>
      </w:r>
      <w:r w:rsidRPr="00E074B6" w:rsidR="00E074B6">
        <w:rPr>
          <w:sz w:val="24"/>
        </w:rPr>
        <w:t>,</w:t>
      </w:r>
      <w:r w:rsidR="008F304A">
        <w:rPr>
          <w:sz w:val="24"/>
        </w:rPr>
        <w:t>950</w:t>
      </w:r>
      <w:r w:rsidRPr="00E074B6" w:rsidR="00E074B6">
        <w:rPr>
          <w:sz w:val="24"/>
        </w:rPr>
        <w:t>.00</w:t>
      </w:r>
      <w:r w:rsidR="00E074B6">
        <w:rPr>
          <w:sz w:val="24"/>
        </w:rPr>
        <w:t xml:space="preserve"> </w:t>
      </w:r>
      <w:r w:rsidR="00B21FBA">
        <w:rPr>
          <w:sz w:val="24"/>
        </w:rPr>
        <w:t xml:space="preserve">annually. </w:t>
      </w:r>
    </w:p>
    <w:p w:rsidR="0098164F" w14:paraId="668986B1" w14:textId="77777777">
      <w:pPr>
        <w:ind w:left="720"/>
        <w:rPr>
          <w:sz w:val="24"/>
        </w:rPr>
      </w:pPr>
    </w:p>
    <w:p w:rsidR="0098164F" w14:paraId="45011DCD" w14:textId="77777777">
      <w:pPr>
        <w:numPr>
          <w:ilvl w:val="0"/>
          <w:numId w:val="2"/>
        </w:numPr>
        <w:rPr>
          <w:b/>
          <w:sz w:val="24"/>
        </w:rPr>
      </w:pPr>
      <w:r>
        <w:rPr>
          <w:b/>
          <w:sz w:val="24"/>
          <w:u w:val="single"/>
        </w:rPr>
        <w:t>Explanation for Program Changes or Adjustments</w:t>
      </w:r>
    </w:p>
    <w:p w:rsidR="007B363C" w:rsidRPr="004C10E1" w:rsidP="00F532BD" w14:paraId="610CB2FB" w14:textId="04579382">
      <w:pPr>
        <w:pStyle w:val="BodyText"/>
        <w:spacing w:after="0"/>
        <w:ind w:left="720"/>
        <w:contextualSpacing/>
        <w:rPr>
          <w:sz w:val="24"/>
        </w:rPr>
      </w:pPr>
      <w:r>
        <w:rPr>
          <w:sz w:val="24"/>
        </w:rPr>
        <w:t>This a</w:t>
      </w:r>
      <w:r w:rsidR="00205255">
        <w:rPr>
          <w:sz w:val="24"/>
        </w:rPr>
        <w:t xml:space="preserve"> revision</w:t>
      </w:r>
      <w:r>
        <w:rPr>
          <w:sz w:val="24"/>
        </w:rPr>
        <w:t xml:space="preserve"> to </w:t>
      </w:r>
      <w:r w:rsidR="00AB3853">
        <w:rPr>
          <w:sz w:val="24"/>
        </w:rPr>
        <w:t xml:space="preserve">OMB </w:t>
      </w:r>
      <w:r w:rsidR="00DB0F4A">
        <w:rPr>
          <w:sz w:val="24"/>
        </w:rPr>
        <w:t xml:space="preserve">No. </w:t>
      </w:r>
      <w:r w:rsidRPr="00EE7C2D" w:rsidR="005B2D1B">
        <w:rPr>
          <w:sz w:val="24"/>
        </w:rPr>
        <w:t>0955-0019</w:t>
      </w:r>
      <w:r w:rsidR="005B2D1B">
        <w:rPr>
          <w:sz w:val="24"/>
        </w:rPr>
        <w:t xml:space="preserve"> Exp 11/30/2025</w:t>
      </w:r>
      <w:r w:rsidR="00AB3853">
        <w:rPr>
          <w:sz w:val="24"/>
        </w:rPr>
        <w:t>.</w:t>
      </w:r>
      <w:r w:rsidR="00893DB7">
        <w:rPr>
          <w:sz w:val="24"/>
        </w:rPr>
        <w:t xml:space="preserve"> </w:t>
      </w:r>
      <w:r w:rsidRPr="007B363C">
        <w:rPr>
          <w:sz w:val="24"/>
        </w:rPr>
        <w:t>We have updated the number of respondents based on the most recent available estimates, which reflect</w:t>
      </w:r>
      <w:r w:rsidR="00F532BD">
        <w:rPr>
          <w:sz w:val="24"/>
        </w:rPr>
        <w:t>s</w:t>
      </w:r>
      <w:r w:rsidRPr="007B363C">
        <w:rPr>
          <w:sz w:val="24"/>
        </w:rPr>
        <w:t xml:space="preserve"> the consolidation of HIOs over time. </w:t>
      </w:r>
      <w:r w:rsidR="008A3589">
        <w:rPr>
          <w:sz w:val="24"/>
        </w:rPr>
        <w:t xml:space="preserve">The survey instrument has been updated </w:t>
      </w:r>
      <w:r w:rsidR="00B949BA">
        <w:rPr>
          <w:sz w:val="24"/>
        </w:rPr>
        <w:t xml:space="preserve">but </w:t>
      </w:r>
      <w:r w:rsidR="007979D6">
        <w:rPr>
          <w:sz w:val="24"/>
        </w:rPr>
        <w:t>require</w:t>
      </w:r>
      <w:r w:rsidR="000311BC">
        <w:rPr>
          <w:sz w:val="24"/>
        </w:rPr>
        <w:t>s similar response time as</w:t>
      </w:r>
      <w:r w:rsidR="007979D6">
        <w:rPr>
          <w:sz w:val="24"/>
        </w:rPr>
        <w:t xml:space="preserve"> the previous instrument</w:t>
      </w:r>
      <w:r w:rsidRPr="007B363C">
        <w:rPr>
          <w:sz w:val="24"/>
        </w:rPr>
        <w:t>.</w:t>
      </w:r>
    </w:p>
    <w:p w:rsidR="0098164F" w:rsidP="00063BAF" w14:paraId="1371AE4B" w14:textId="0CFE4017">
      <w:pPr>
        <w:rPr>
          <w:sz w:val="24"/>
        </w:rPr>
      </w:pPr>
    </w:p>
    <w:p w:rsidR="00A271C6" w:rsidRPr="00F90E30" w:rsidP="00F90E30" w14:paraId="0B381CAF" w14:textId="0849E427">
      <w:pPr>
        <w:numPr>
          <w:ilvl w:val="0"/>
          <w:numId w:val="2"/>
        </w:numPr>
        <w:rPr>
          <w:b/>
          <w:sz w:val="24"/>
        </w:rPr>
      </w:pPr>
      <w:r>
        <w:rPr>
          <w:b/>
          <w:sz w:val="24"/>
          <w:u w:val="single"/>
        </w:rPr>
        <w:t>Plans for Tabulation and Publication and Project Time</w:t>
      </w:r>
      <w:r w:rsidR="00783415">
        <w:rPr>
          <w:b/>
          <w:sz w:val="24"/>
          <w:u w:val="single"/>
        </w:rPr>
        <w:t>line</w:t>
      </w:r>
    </w:p>
    <w:p w:rsidR="00F418CC" w:rsidRPr="00F418CC" w:rsidP="00F418CC" w14:paraId="02B12A36" w14:textId="0AF9A62F">
      <w:pPr>
        <w:pStyle w:val="p1"/>
        <w:ind w:left="720"/>
        <w:rPr>
          <w:sz w:val="24"/>
          <w:szCs w:val="24"/>
        </w:rPr>
      </w:pPr>
      <w:r>
        <w:rPr>
          <w:sz w:val="24"/>
          <w:szCs w:val="24"/>
        </w:rPr>
        <w:t>ASTP/ONC</w:t>
      </w:r>
      <w:r w:rsidR="007176C1">
        <w:rPr>
          <w:sz w:val="24"/>
          <w:szCs w:val="24"/>
        </w:rPr>
        <w:t xml:space="preserve"> and UCSF will jointly</w:t>
      </w:r>
      <w:r w:rsidRPr="00F418CC">
        <w:rPr>
          <w:sz w:val="24"/>
          <w:szCs w:val="24"/>
        </w:rPr>
        <w:t xml:space="preserve"> conduct three types of analyses </w:t>
      </w:r>
      <w:r w:rsidR="00783415">
        <w:rPr>
          <w:sz w:val="24"/>
          <w:szCs w:val="24"/>
        </w:rPr>
        <w:t>based on</w:t>
      </w:r>
      <w:r w:rsidRPr="00F418CC">
        <w:rPr>
          <w:sz w:val="24"/>
          <w:szCs w:val="24"/>
        </w:rPr>
        <w:t xml:space="preserve"> </w:t>
      </w:r>
      <w:r w:rsidR="00783415">
        <w:rPr>
          <w:sz w:val="24"/>
          <w:szCs w:val="24"/>
        </w:rPr>
        <w:t>the</w:t>
      </w:r>
      <w:r w:rsidRPr="00F418CC" w:rsidR="00783415">
        <w:rPr>
          <w:sz w:val="24"/>
          <w:szCs w:val="24"/>
        </w:rPr>
        <w:t xml:space="preserve"> </w:t>
      </w:r>
      <w:r w:rsidRPr="00F418CC">
        <w:rPr>
          <w:sz w:val="24"/>
          <w:szCs w:val="24"/>
        </w:rPr>
        <w:t>survey results. First, we will describe response rate and assess longitudinal trends in the number of HIOs in the U.S. Since 200</w:t>
      </w:r>
      <w:r w:rsidR="0003211B">
        <w:rPr>
          <w:sz w:val="24"/>
          <w:szCs w:val="24"/>
        </w:rPr>
        <w:t>6</w:t>
      </w:r>
      <w:r w:rsidRPr="00F418CC">
        <w:rPr>
          <w:sz w:val="24"/>
          <w:szCs w:val="24"/>
        </w:rPr>
        <w:t xml:space="preserve"> we have tracked the number of operational, planning, and defunct efforts. These analyses will enable us to assess whether the number of HIOs has continued to decline since its peak in 2011 or is leveling off at a stable level. </w:t>
      </w:r>
    </w:p>
    <w:p w:rsidR="00F418CC" w:rsidRPr="00F418CC" w:rsidP="00F418CC" w14:paraId="61AD1BC7" w14:textId="77777777">
      <w:pPr>
        <w:pStyle w:val="p1"/>
        <w:ind w:left="720"/>
        <w:rPr>
          <w:sz w:val="24"/>
          <w:szCs w:val="24"/>
        </w:rPr>
      </w:pPr>
    </w:p>
    <w:p w:rsidR="00F418CC" w:rsidRPr="00F418CC" w:rsidP="00F418CC" w14:paraId="490F8A0B" w14:textId="274FDA6C">
      <w:pPr>
        <w:pStyle w:val="p1"/>
        <w:ind w:left="720"/>
        <w:rPr>
          <w:sz w:val="24"/>
          <w:szCs w:val="24"/>
        </w:rPr>
      </w:pPr>
      <w:r w:rsidRPr="00F418CC">
        <w:rPr>
          <w:sz w:val="24"/>
          <w:szCs w:val="24"/>
        </w:rPr>
        <w:t xml:space="preserve">Second, we will conduct descriptive analyses that provide national estimates on survey items. These have traditionally comprised </w:t>
      </w:r>
      <w:r w:rsidRPr="00F418CC" w:rsidR="00C11D4E">
        <w:rPr>
          <w:sz w:val="24"/>
          <w:szCs w:val="24"/>
        </w:rPr>
        <w:t>most of</w:t>
      </w:r>
      <w:r w:rsidRPr="00F418CC">
        <w:rPr>
          <w:sz w:val="24"/>
          <w:szCs w:val="24"/>
        </w:rPr>
        <w:t xml:space="preserve"> our results and they describe U.S. HIO characteristics. This includes general demographics – such as the number and types of participants engaged, the types of data exchanged, the HIE services supported, and geographic coverage – as well as specific measures in the </w:t>
      </w:r>
      <w:r w:rsidR="00E66FEB">
        <w:rPr>
          <w:sz w:val="24"/>
          <w:szCs w:val="24"/>
        </w:rPr>
        <w:t>key areas</w:t>
      </w:r>
      <w:r w:rsidRPr="00F418CC" w:rsidR="00E66FEB">
        <w:rPr>
          <w:sz w:val="24"/>
          <w:szCs w:val="24"/>
        </w:rPr>
        <w:t xml:space="preserve"> </w:t>
      </w:r>
      <w:r w:rsidRPr="00F418CC">
        <w:rPr>
          <w:sz w:val="24"/>
          <w:szCs w:val="24"/>
        </w:rPr>
        <w:t xml:space="preserve">of interest. For example, </w:t>
      </w:r>
      <w:r w:rsidR="00E474C1">
        <w:rPr>
          <w:sz w:val="24"/>
          <w:szCs w:val="24"/>
        </w:rPr>
        <w:t xml:space="preserve">in the public health capabilities </w:t>
      </w:r>
      <w:r w:rsidR="008133F3">
        <w:rPr>
          <w:sz w:val="24"/>
          <w:szCs w:val="24"/>
        </w:rPr>
        <w:t>area</w:t>
      </w:r>
      <w:r w:rsidR="00E474C1">
        <w:rPr>
          <w:sz w:val="24"/>
          <w:szCs w:val="24"/>
        </w:rPr>
        <w:t>, we will calculate the proportion of HIOs that are supporting state public health agencies in vari</w:t>
      </w:r>
      <w:r w:rsidR="00EB3915">
        <w:rPr>
          <w:sz w:val="24"/>
          <w:szCs w:val="24"/>
        </w:rPr>
        <w:t>ous</w:t>
      </w:r>
      <w:r w:rsidR="00E474C1">
        <w:rPr>
          <w:sz w:val="24"/>
          <w:szCs w:val="24"/>
        </w:rPr>
        <w:t xml:space="preserve"> ways (e.g., test result reporting, immunization tracking and reporting</w:t>
      </w:r>
      <w:r w:rsidR="00DB2906">
        <w:rPr>
          <w:sz w:val="24"/>
          <w:szCs w:val="24"/>
        </w:rPr>
        <w:t>, etc.</w:t>
      </w:r>
      <w:r w:rsidR="00E474C1">
        <w:rPr>
          <w:sz w:val="24"/>
          <w:szCs w:val="24"/>
        </w:rPr>
        <w:t>).  I</w:t>
      </w:r>
      <w:r w:rsidRPr="00F418CC">
        <w:rPr>
          <w:sz w:val="24"/>
          <w:szCs w:val="24"/>
        </w:rPr>
        <w:t xml:space="preserve">n the standards </w:t>
      </w:r>
      <w:r w:rsidR="008133F3">
        <w:rPr>
          <w:sz w:val="24"/>
          <w:szCs w:val="24"/>
        </w:rPr>
        <w:t>area</w:t>
      </w:r>
      <w:r w:rsidRPr="00F418CC">
        <w:rPr>
          <w:sz w:val="24"/>
          <w:szCs w:val="24"/>
        </w:rPr>
        <w:t xml:space="preserve">, we will calculate the prevalence of adoption of each standard and </w:t>
      </w:r>
      <w:r w:rsidR="00DB2906">
        <w:rPr>
          <w:sz w:val="24"/>
          <w:szCs w:val="24"/>
        </w:rPr>
        <w:t xml:space="preserve">the </w:t>
      </w:r>
      <w:r w:rsidRPr="00F418CC">
        <w:rPr>
          <w:sz w:val="24"/>
          <w:szCs w:val="24"/>
        </w:rPr>
        <w:t xml:space="preserve">associated implementation guide – overall as well as by specific characteristics such as geography or HIO type. In the information blocking </w:t>
      </w:r>
      <w:r w:rsidR="008133F3">
        <w:rPr>
          <w:sz w:val="24"/>
          <w:szCs w:val="24"/>
        </w:rPr>
        <w:t>area</w:t>
      </w:r>
      <w:r w:rsidRPr="00F418CC">
        <w:rPr>
          <w:sz w:val="24"/>
          <w:szCs w:val="24"/>
        </w:rPr>
        <w:t xml:space="preserve">, we will calculate the proportion of respondents who indicated that information blocking was routine, occasional, and rare as well as, for each form of information blocking, the proportion of respondents who indicated it occurred “routinely/often”, “sometimes”, and “rarely/never”. In the sustainability </w:t>
      </w:r>
      <w:r w:rsidR="008133F3">
        <w:rPr>
          <w:sz w:val="24"/>
          <w:szCs w:val="24"/>
        </w:rPr>
        <w:t>area</w:t>
      </w:r>
      <w:r w:rsidRPr="00F418CC">
        <w:rPr>
          <w:sz w:val="24"/>
          <w:szCs w:val="24"/>
        </w:rPr>
        <w:t>, we will calculate the overall proportion of HIOs that are financially sustainable (using our previous definition of revenue from participants that is equal to or greater than operating costs) and then examine other measures of sustainability, such as the proportion of respondents reporting different barriers to progress, engaged in different governance models, supporting different models of payment and delivery reform efforts.</w:t>
      </w:r>
    </w:p>
    <w:p w:rsidR="00F418CC" w:rsidRPr="00F418CC" w:rsidP="00F418CC" w14:paraId="742FB64A" w14:textId="77777777">
      <w:pPr>
        <w:pStyle w:val="p1"/>
        <w:ind w:left="720"/>
        <w:rPr>
          <w:sz w:val="24"/>
          <w:szCs w:val="24"/>
        </w:rPr>
      </w:pPr>
    </w:p>
    <w:p w:rsidR="007176C1" w:rsidP="00F418CC" w14:paraId="62EE694A" w14:textId="439CC480">
      <w:pPr>
        <w:pStyle w:val="p1"/>
        <w:ind w:left="720"/>
        <w:rPr>
          <w:sz w:val="24"/>
          <w:szCs w:val="24"/>
        </w:rPr>
      </w:pPr>
      <w:r w:rsidRPr="00F418CC">
        <w:rPr>
          <w:sz w:val="24"/>
          <w:szCs w:val="24"/>
        </w:rPr>
        <w:t xml:space="preserve">Finally, we will conduct more advanced bivariate regression analyses that </w:t>
      </w:r>
      <w:r w:rsidR="001F2AD6">
        <w:rPr>
          <w:sz w:val="24"/>
          <w:szCs w:val="24"/>
        </w:rPr>
        <w:t xml:space="preserve">will </w:t>
      </w:r>
      <w:r w:rsidRPr="00F418CC">
        <w:rPr>
          <w:sz w:val="24"/>
          <w:szCs w:val="24"/>
        </w:rPr>
        <w:t xml:space="preserve">identify factors associated with key measures of “success” or “sophistication”. These may </w:t>
      </w:r>
      <w:r w:rsidRPr="00F418CC" w:rsidR="00DA328E">
        <w:rPr>
          <w:sz w:val="24"/>
          <w:szCs w:val="24"/>
        </w:rPr>
        <w:t>include</w:t>
      </w:r>
      <w:r w:rsidRPr="00F418CC">
        <w:rPr>
          <w:sz w:val="24"/>
          <w:szCs w:val="24"/>
        </w:rPr>
        <w:t xml:space="preserve"> </w:t>
      </w:r>
      <w:r>
        <w:rPr>
          <w:sz w:val="24"/>
          <w:szCs w:val="24"/>
        </w:rPr>
        <w:t xml:space="preserve">support for public health reporting, </w:t>
      </w:r>
      <w:r w:rsidRPr="00F418CC">
        <w:rPr>
          <w:sz w:val="24"/>
          <w:szCs w:val="24"/>
        </w:rPr>
        <w:t>use of particular standards, reporting of infrequent information blocking, achievement of financial sustainability, and support for value-based payment.</w:t>
      </w:r>
      <w:r w:rsidR="00581865">
        <w:rPr>
          <w:sz w:val="24"/>
          <w:szCs w:val="24"/>
        </w:rPr>
        <w:t xml:space="preserve"> </w:t>
      </w:r>
      <w:r w:rsidRPr="00F418CC">
        <w:rPr>
          <w:sz w:val="24"/>
          <w:szCs w:val="24"/>
        </w:rPr>
        <w:t xml:space="preserve">Predictors will include various HIO and contextual demographics. </w:t>
      </w:r>
    </w:p>
    <w:p w:rsidR="007176C1" w:rsidP="00F418CC" w14:paraId="0C073FA7" w14:textId="77777777">
      <w:pPr>
        <w:pStyle w:val="p1"/>
        <w:ind w:left="720"/>
        <w:rPr>
          <w:sz w:val="24"/>
          <w:szCs w:val="24"/>
        </w:rPr>
      </w:pPr>
    </w:p>
    <w:p w:rsidR="00F418CC" w:rsidRPr="00F418CC" w:rsidP="00F418CC" w14:paraId="65711D1B" w14:textId="28B41C25">
      <w:pPr>
        <w:pStyle w:val="p1"/>
        <w:ind w:left="720"/>
        <w:rPr>
          <w:sz w:val="24"/>
          <w:szCs w:val="24"/>
        </w:rPr>
      </w:pPr>
      <w:r>
        <w:rPr>
          <w:sz w:val="24"/>
          <w:szCs w:val="24"/>
        </w:rPr>
        <w:t xml:space="preserve">Peer-reviewed papers were published in the Journal of Medical Informatics Association and Health Affairs using the 2019 HIO survey results on two key topics: </w:t>
      </w:r>
      <w:hyperlink r:id="rId14" w:history="1">
        <w:r w:rsidRPr="007176C1">
          <w:rPr>
            <w:rStyle w:val="Hyperlink"/>
            <w:sz w:val="24"/>
            <w:szCs w:val="24"/>
          </w:rPr>
          <w:t>information blocking practices</w:t>
        </w:r>
      </w:hyperlink>
      <w:r>
        <w:rPr>
          <w:sz w:val="24"/>
          <w:szCs w:val="24"/>
        </w:rPr>
        <w:t xml:space="preserve"> associated with electronic exchange of health information and the current state of HIOs and </w:t>
      </w:r>
      <w:hyperlink r:id="rId15" w:history="1">
        <w:r w:rsidRPr="00745F23">
          <w:rPr>
            <w:rStyle w:val="Hyperlink"/>
            <w:sz w:val="24"/>
            <w:szCs w:val="24"/>
          </w:rPr>
          <w:t xml:space="preserve">their </w:t>
        </w:r>
        <w:r w:rsidRPr="00745F23" w:rsidR="00745F23">
          <w:rPr>
            <w:rStyle w:val="Hyperlink"/>
            <w:sz w:val="24"/>
            <w:szCs w:val="24"/>
          </w:rPr>
          <w:t>role in supporting exchange</w:t>
        </w:r>
      </w:hyperlink>
      <w:r w:rsidR="00745F23">
        <w:rPr>
          <w:sz w:val="24"/>
          <w:szCs w:val="24"/>
        </w:rPr>
        <w:t xml:space="preserve">, including factors associated with planning to participate in TEFCA, a major </w:t>
      </w:r>
      <w:r w:rsidR="0027175C">
        <w:rPr>
          <w:sz w:val="24"/>
          <w:szCs w:val="24"/>
        </w:rPr>
        <w:t>ASTP/ONC</w:t>
      </w:r>
      <w:r w:rsidR="00745F23">
        <w:rPr>
          <w:sz w:val="24"/>
          <w:szCs w:val="24"/>
        </w:rPr>
        <w:t xml:space="preserve"> initiative</w:t>
      </w:r>
      <w:r>
        <w:rPr>
          <w:sz w:val="24"/>
          <w:szCs w:val="24"/>
        </w:rPr>
        <w:t xml:space="preserve">. </w:t>
      </w:r>
      <w:r w:rsidR="00745F23">
        <w:rPr>
          <w:sz w:val="24"/>
          <w:szCs w:val="24"/>
        </w:rPr>
        <w:t xml:space="preserve">These findings were also presented at conferences such as Academy Health and AMIA, and a </w:t>
      </w:r>
      <w:hyperlink r:id="rId16" w:history="1">
        <w:r w:rsidRPr="00745F23" w:rsidR="00745F23">
          <w:rPr>
            <w:rStyle w:val="Hyperlink"/>
            <w:sz w:val="24"/>
            <w:szCs w:val="24"/>
          </w:rPr>
          <w:t>blogpost</w:t>
        </w:r>
      </w:hyperlink>
      <w:r w:rsidR="00745F23">
        <w:rPr>
          <w:sz w:val="24"/>
          <w:szCs w:val="24"/>
        </w:rPr>
        <w:t xml:space="preserve"> was published as well to widely disseminate findings.  Given that the </w:t>
      </w:r>
      <w:r w:rsidRPr="00F418CC">
        <w:rPr>
          <w:sz w:val="24"/>
          <w:szCs w:val="24"/>
        </w:rPr>
        <w:t>national HIO maturity</w:t>
      </w:r>
      <w:r w:rsidR="00847E64">
        <w:rPr>
          <w:sz w:val="24"/>
          <w:szCs w:val="24"/>
        </w:rPr>
        <w:t xml:space="preserve"> </w:t>
      </w:r>
      <w:r w:rsidR="00745F23">
        <w:rPr>
          <w:sz w:val="24"/>
          <w:szCs w:val="24"/>
        </w:rPr>
        <w:t xml:space="preserve">has increased </w:t>
      </w:r>
      <w:r w:rsidR="00847E64">
        <w:rPr>
          <w:sz w:val="24"/>
          <w:szCs w:val="24"/>
        </w:rPr>
        <w:t xml:space="preserve">and TEFCA </w:t>
      </w:r>
      <w:r w:rsidR="00745F23">
        <w:rPr>
          <w:sz w:val="24"/>
          <w:szCs w:val="24"/>
        </w:rPr>
        <w:t>is now live and operational, analyses can further shed light on how information blocking practices</w:t>
      </w:r>
      <w:r w:rsidR="00933A97">
        <w:rPr>
          <w:sz w:val="24"/>
          <w:szCs w:val="24"/>
        </w:rPr>
        <w:t>,</w:t>
      </w:r>
      <w:r w:rsidR="009F5548">
        <w:rPr>
          <w:sz w:val="24"/>
          <w:szCs w:val="24"/>
        </w:rPr>
        <w:t xml:space="preserve"> </w:t>
      </w:r>
      <w:r w:rsidR="00745F23">
        <w:rPr>
          <w:sz w:val="24"/>
          <w:szCs w:val="24"/>
        </w:rPr>
        <w:t>support for exchange</w:t>
      </w:r>
      <w:r w:rsidR="00933A97">
        <w:rPr>
          <w:sz w:val="24"/>
          <w:szCs w:val="24"/>
        </w:rPr>
        <w:t>,</w:t>
      </w:r>
      <w:r w:rsidR="00745F23">
        <w:rPr>
          <w:sz w:val="24"/>
          <w:szCs w:val="24"/>
        </w:rPr>
        <w:t xml:space="preserve"> and TEFCA have evolved. </w:t>
      </w:r>
      <w:r w:rsidRPr="00F418CC">
        <w:rPr>
          <w:sz w:val="24"/>
          <w:szCs w:val="24"/>
        </w:rPr>
        <w:t xml:space="preserve"> </w:t>
      </w:r>
      <w:r w:rsidR="00847E64">
        <w:rPr>
          <w:sz w:val="24"/>
          <w:szCs w:val="24"/>
        </w:rPr>
        <w:t xml:space="preserve">We will also be able to examine </w:t>
      </w:r>
      <w:r w:rsidR="00745F23">
        <w:rPr>
          <w:sz w:val="24"/>
          <w:szCs w:val="24"/>
        </w:rPr>
        <w:t xml:space="preserve">factors associated with greater support for </w:t>
      </w:r>
      <w:r w:rsidR="00847E64">
        <w:rPr>
          <w:sz w:val="24"/>
          <w:szCs w:val="24"/>
        </w:rPr>
        <w:t xml:space="preserve">public health reporting capabilities. </w:t>
      </w:r>
    </w:p>
    <w:p w:rsidR="00F418CC" w:rsidRPr="00F418CC" w:rsidP="00F418CC" w14:paraId="3F768820" w14:textId="77777777">
      <w:pPr>
        <w:pStyle w:val="p1"/>
        <w:ind w:left="720"/>
        <w:rPr>
          <w:sz w:val="24"/>
          <w:szCs w:val="24"/>
        </w:rPr>
      </w:pPr>
    </w:p>
    <w:p w:rsidR="002E1E27" w:rsidP="00F418CC" w14:paraId="4150FC02" w14:textId="7A790FC0">
      <w:pPr>
        <w:pStyle w:val="p1"/>
        <w:ind w:left="720"/>
        <w:rPr>
          <w:sz w:val="24"/>
          <w:szCs w:val="24"/>
        </w:rPr>
      </w:pPr>
      <w:r w:rsidRPr="00F418CC">
        <w:rPr>
          <w:sz w:val="24"/>
          <w:szCs w:val="24"/>
        </w:rPr>
        <w:t xml:space="preserve">We will </w:t>
      </w:r>
      <w:r w:rsidR="00745F23">
        <w:rPr>
          <w:sz w:val="24"/>
          <w:szCs w:val="24"/>
        </w:rPr>
        <w:t xml:space="preserve">conduct preliminary analyses and solicit input internally within </w:t>
      </w:r>
      <w:r w:rsidR="0027175C">
        <w:rPr>
          <w:sz w:val="24"/>
          <w:szCs w:val="24"/>
        </w:rPr>
        <w:t>ASTP/ONC</w:t>
      </w:r>
      <w:r w:rsidR="00933A97">
        <w:rPr>
          <w:sz w:val="24"/>
          <w:szCs w:val="24"/>
        </w:rPr>
        <w:t>,</w:t>
      </w:r>
      <w:r w:rsidR="009F5548">
        <w:rPr>
          <w:sz w:val="24"/>
          <w:szCs w:val="24"/>
        </w:rPr>
        <w:t xml:space="preserve"> </w:t>
      </w:r>
      <w:r w:rsidR="00745F23">
        <w:rPr>
          <w:sz w:val="24"/>
          <w:szCs w:val="24"/>
        </w:rPr>
        <w:t>federal partners (such as CDC)</w:t>
      </w:r>
      <w:r w:rsidR="00933A97">
        <w:rPr>
          <w:sz w:val="24"/>
          <w:szCs w:val="24"/>
        </w:rPr>
        <w:t>,</w:t>
      </w:r>
      <w:r w:rsidR="00745F23">
        <w:rPr>
          <w:sz w:val="24"/>
          <w:szCs w:val="24"/>
        </w:rPr>
        <w:t xml:space="preserve"> and </w:t>
      </w:r>
      <w:r w:rsidR="006812BA">
        <w:rPr>
          <w:sz w:val="24"/>
          <w:szCs w:val="24"/>
        </w:rPr>
        <w:t xml:space="preserve">CIVITAS </w:t>
      </w:r>
      <w:r w:rsidRPr="00F418CC">
        <w:rPr>
          <w:sz w:val="24"/>
          <w:szCs w:val="24"/>
        </w:rPr>
        <w:t xml:space="preserve">to ensure that they reflect the </w:t>
      </w:r>
      <w:r w:rsidR="00933A97">
        <w:rPr>
          <w:sz w:val="24"/>
          <w:szCs w:val="24"/>
        </w:rPr>
        <w:t>expertise</w:t>
      </w:r>
      <w:r w:rsidRPr="00F418CC">
        <w:rPr>
          <w:sz w:val="24"/>
          <w:szCs w:val="24"/>
        </w:rPr>
        <w:t xml:space="preserve"> from these organizations. </w:t>
      </w:r>
      <w:r w:rsidR="00745F23">
        <w:rPr>
          <w:sz w:val="24"/>
          <w:szCs w:val="24"/>
        </w:rPr>
        <w:t>T</w:t>
      </w:r>
      <w:r w:rsidRPr="00F418CC">
        <w:rPr>
          <w:sz w:val="24"/>
          <w:szCs w:val="24"/>
        </w:rPr>
        <w:t xml:space="preserve">he results </w:t>
      </w:r>
      <w:r w:rsidR="00745F23">
        <w:rPr>
          <w:sz w:val="24"/>
          <w:szCs w:val="24"/>
        </w:rPr>
        <w:t>will be published, similar to the 2019 findings</w:t>
      </w:r>
      <w:r w:rsidR="00933A97">
        <w:rPr>
          <w:sz w:val="24"/>
          <w:szCs w:val="24"/>
        </w:rPr>
        <w:t>,</w:t>
      </w:r>
      <w:r w:rsidR="00745F23">
        <w:rPr>
          <w:sz w:val="24"/>
          <w:szCs w:val="24"/>
        </w:rPr>
        <w:t xml:space="preserve"> in peer-reviewed </w:t>
      </w:r>
      <w:r w:rsidRPr="00F418CC">
        <w:rPr>
          <w:sz w:val="24"/>
          <w:szCs w:val="24"/>
        </w:rPr>
        <w:t>publications or other public documents</w:t>
      </w:r>
      <w:r w:rsidR="00745F23">
        <w:rPr>
          <w:sz w:val="24"/>
          <w:szCs w:val="24"/>
        </w:rPr>
        <w:t>, shared via conferences and through blog posts to ensure they are widely disseminated</w:t>
      </w:r>
      <w:r w:rsidRPr="00F418CC">
        <w:rPr>
          <w:sz w:val="24"/>
          <w:szCs w:val="24"/>
        </w:rPr>
        <w:t xml:space="preserve">.  </w:t>
      </w:r>
    </w:p>
    <w:p w:rsidR="00F418CC" w:rsidP="00F418CC" w14:paraId="5AE09E09" w14:textId="77777777">
      <w:pPr>
        <w:pStyle w:val="p1"/>
        <w:ind w:left="720"/>
        <w:rPr>
          <w:rStyle w:val="apple-converted-space"/>
          <w:sz w:val="24"/>
          <w:szCs w:val="24"/>
        </w:rPr>
      </w:pPr>
    </w:p>
    <w:p w:rsidR="00683B8E" w:rsidRPr="001E7511" w:rsidP="002A12BC" w14:paraId="761B99C8" w14:textId="55661FA1">
      <w:pPr>
        <w:pStyle w:val="p1"/>
        <w:ind w:left="720"/>
        <w:rPr>
          <w:sz w:val="24"/>
          <w:szCs w:val="24"/>
        </w:rPr>
      </w:pPr>
      <w:r w:rsidRPr="001E7511">
        <w:rPr>
          <w:rStyle w:val="apple-converted-space"/>
          <w:sz w:val="24"/>
          <w:szCs w:val="24"/>
        </w:rPr>
        <w:t xml:space="preserve">The project timeline is </w:t>
      </w:r>
      <w:r w:rsidR="000240F5">
        <w:rPr>
          <w:rStyle w:val="apple-converted-space"/>
          <w:sz w:val="24"/>
          <w:szCs w:val="24"/>
        </w:rPr>
        <w:t>two</w:t>
      </w:r>
      <w:r w:rsidRPr="001E7511" w:rsidR="00C6123E">
        <w:rPr>
          <w:rStyle w:val="apple-converted-space"/>
          <w:sz w:val="24"/>
          <w:szCs w:val="24"/>
        </w:rPr>
        <w:t xml:space="preserve"> </w:t>
      </w:r>
      <w:r w:rsidRPr="001E7511">
        <w:rPr>
          <w:rStyle w:val="apple-converted-space"/>
          <w:sz w:val="24"/>
          <w:szCs w:val="24"/>
        </w:rPr>
        <w:t xml:space="preserve">years, starting in </w:t>
      </w:r>
      <w:r w:rsidR="00793D89">
        <w:rPr>
          <w:rStyle w:val="apple-converted-space"/>
          <w:sz w:val="24"/>
          <w:szCs w:val="24"/>
        </w:rPr>
        <w:t>August</w:t>
      </w:r>
      <w:r w:rsidRPr="001E7511" w:rsidR="00793D89">
        <w:rPr>
          <w:rStyle w:val="apple-converted-space"/>
          <w:sz w:val="24"/>
          <w:szCs w:val="24"/>
        </w:rPr>
        <w:t xml:space="preserve"> </w:t>
      </w:r>
      <w:r w:rsidRPr="001E7511" w:rsidR="00525964">
        <w:rPr>
          <w:rStyle w:val="apple-converted-space"/>
          <w:sz w:val="24"/>
          <w:szCs w:val="24"/>
        </w:rPr>
        <w:t>of</w:t>
      </w:r>
      <w:r w:rsidRPr="001E7511">
        <w:rPr>
          <w:rStyle w:val="apple-converted-space"/>
          <w:sz w:val="24"/>
          <w:szCs w:val="24"/>
        </w:rPr>
        <w:t xml:space="preserve"> </w:t>
      </w:r>
      <w:r w:rsidRPr="001E7511" w:rsidR="00525964">
        <w:rPr>
          <w:rStyle w:val="apple-converted-space"/>
          <w:sz w:val="24"/>
          <w:szCs w:val="24"/>
        </w:rPr>
        <w:t>202</w:t>
      </w:r>
      <w:r w:rsidR="00793D89">
        <w:rPr>
          <w:rStyle w:val="apple-converted-space"/>
          <w:sz w:val="24"/>
          <w:szCs w:val="24"/>
        </w:rPr>
        <w:t>3</w:t>
      </w:r>
      <w:r w:rsidRPr="001E7511" w:rsidR="00525964">
        <w:rPr>
          <w:rStyle w:val="apple-converted-space"/>
          <w:sz w:val="24"/>
          <w:szCs w:val="24"/>
        </w:rPr>
        <w:t xml:space="preserve"> </w:t>
      </w:r>
      <w:r w:rsidRPr="001E7511">
        <w:rPr>
          <w:rStyle w:val="apple-converted-space"/>
          <w:sz w:val="24"/>
          <w:szCs w:val="24"/>
        </w:rPr>
        <w:t>and ending</w:t>
      </w:r>
      <w:r w:rsidRPr="001E7511" w:rsidR="00525964">
        <w:rPr>
          <w:rStyle w:val="apple-converted-space"/>
          <w:sz w:val="24"/>
          <w:szCs w:val="24"/>
        </w:rPr>
        <w:t xml:space="preserve"> in</w:t>
      </w:r>
      <w:r w:rsidRPr="001E7511">
        <w:rPr>
          <w:rStyle w:val="apple-converted-space"/>
          <w:sz w:val="24"/>
          <w:szCs w:val="24"/>
        </w:rPr>
        <w:t xml:space="preserve"> </w:t>
      </w:r>
      <w:r w:rsidRPr="001E7511" w:rsidR="005F43E8">
        <w:rPr>
          <w:rStyle w:val="apple-converted-space"/>
          <w:sz w:val="24"/>
          <w:szCs w:val="24"/>
        </w:rPr>
        <w:t>August</w:t>
      </w:r>
      <w:r w:rsidRPr="001E7511">
        <w:rPr>
          <w:rStyle w:val="apple-converted-space"/>
          <w:sz w:val="24"/>
          <w:szCs w:val="24"/>
        </w:rPr>
        <w:t xml:space="preserve"> </w:t>
      </w:r>
      <w:r w:rsidRPr="001E7511" w:rsidR="00525964">
        <w:rPr>
          <w:rStyle w:val="apple-converted-space"/>
          <w:sz w:val="24"/>
          <w:szCs w:val="24"/>
        </w:rPr>
        <w:t xml:space="preserve">of </w:t>
      </w:r>
      <w:r w:rsidRPr="001E7511" w:rsidR="00C6123E">
        <w:rPr>
          <w:rStyle w:val="apple-converted-space"/>
          <w:sz w:val="24"/>
          <w:szCs w:val="24"/>
        </w:rPr>
        <w:t>202</w:t>
      </w:r>
      <w:r w:rsidR="00793D89">
        <w:rPr>
          <w:rStyle w:val="apple-converted-space"/>
          <w:sz w:val="24"/>
          <w:szCs w:val="24"/>
        </w:rPr>
        <w:t>5</w:t>
      </w:r>
      <w:r w:rsidRPr="001E7511">
        <w:rPr>
          <w:rStyle w:val="apple-converted-space"/>
          <w:sz w:val="24"/>
          <w:szCs w:val="24"/>
        </w:rPr>
        <w:t xml:space="preserve">. Data collection will occur over </w:t>
      </w:r>
      <w:r w:rsidR="000240F5">
        <w:rPr>
          <w:rStyle w:val="apple-converted-space"/>
          <w:sz w:val="24"/>
          <w:szCs w:val="24"/>
        </w:rPr>
        <w:t>three</w:t>
      </w:r>
      <w:r w:rsidRPr="001E7511" w:rsidR="000240F5">
        <w:rPr>
          <w:rStyle w:val="apple-converted-space"/>
          <w:sz w:val="24"/>
          <w:szCs w:val="24"/>
        </w:rPr>
        <w:t xml:space="preserve"> </w:t>
      </w:r>
      <w:r w:rsidRPr="001E7511">
        <w:rPr>
          <w:rStyle w:val="apple-converted-space"/>
          <w:sz w:val="24"/>
          <w:szCs w:val="24"/>
        </w:rPr>
        <w:t>months</w:t>
      </w:r>
      <w:r w:rsidRPr="001E7511" w:rsidR="001B04D8">
        <w:rPr>
          <w:rStyle w:val="apple-converted-space"/>
          <w:sz w:val="24"/>
          <w:szCs w:val="24"/>
        </w:rPr>
        <w:t xml:space="preserve"> and is scheduled to begin </w:t>
      </w:r>
      <w:r w:rsidRPr="001E7511" w:rsidR="00DA328E">
        <w:rPr>
          <w:rStyle w:val="apple-converted-space"/>
          <w:sz w:val="24"/>
          <w:szCs w:val="24"/>
        </w:rPr>
        <w:t>immediately</w:t>
      </w:r>
      <w:r w:rsidRPr="001E7511" w:rsidR="001B04D8">
        <w:rPr>
          <w:rStyle w:val="apple-converted-space"/>
          <w:sz w:val="24"/>
          <w:szCs w:val="24"/>
        </w:rPr>
        <w:t xml:space="preserve"> upon receiving OMB approval</w:t>
      </w:r>
      <w:r w:rsidRPr="001E7511">
        <w:rPr>
          <w:rStyle w:val="apple-converted-space"/>
          <w:sz w:val="24"/>
          <w:szCs w:val="24"/>
        </w:rPr>
        <w:t>.</w:t>
      </w:r>
      <w:r w:rsidRPr="001E7511">
        <w:rPr>
          <w:sz w:val="24"/>
          <w:szCs w:val="24"/>
        </w:rPr>
        <w:t xml:space="preserve"> </w:t>
      </w:r>
    </w:p>
    <w:p w:rsidR="0098164F" w:rsidP="009F5548" w14:paraId="19E728F4" w14:textId="77777777">
      <w:pPr>
        <w:rPr>
          <w:sz w:val="24"/>
        </w:rPr>
      </w:pPr>
    </w:p>
    <w:p w:rsidR="0098164F" w14:paraId="541ACAD7" w14:textId="77777777">
      <w:pPr>
        <w:numPr>
          <w:ilvl w:val="0"/>
          <w:numId w:val="2"/>
        </w:numPr>
        <w:rPr>
          <w:b/>
          <w:sz w:val="24"/>
        </w:rPr>
      </w:pPr>
      <w:r>
        <w:rPr>
          <w:b/>
          <w:sz w:val="24"/>
          <w:u w:val="single"/>
        </w:rPr>
        <w:t>Reason(s) Display of OMB Expiration Date is Inappropriate</w:t>
      </w:r>
    </w:p>
    <w:p w:rsidR="0098164F" w:rsidP="009F5548" w14:paraId="3545EE4A" w14:textId="77BCE318">
      <w:pPr>
        <w:pStyle w:val="BodyText"/>
        <w:ind w:left="720"/>
        <w:rPr>
          <w:sz w:val="24"/>
        </w:rPr>
      </w:pPr>
      <w:r w:rsidRPr="004C10E1">
        <w:rPr>
          <w:sz w:val="24"/>
        </w:rPr>
        <w:t>All data collection materials will display the OMB expiration date.</w:t>
      </w:r>
    </w:p>
    <w:p w:rsidR="00926A26" w:rsidP="00063BAF" w14:paraId="56D354BD" w14:textId="77777777">
      <w:pPr>
        <w:rPr>
          <w:sz w:val="24"/>
        </w:rPr>
      </w:pPr>
    </w:p>
    <w:p w:rsidR="0098164F" w14:paraId="0466B7EC" w14:textId="77777777">
      <w:pPr>
        <w:numPr>
          <w:ilvl w:val="0"/>
          <w:numId w:val="2"/>
        </w:numPr>
        <w:rPr>
          <w:b/>
          <w:sz w:val="24"/>
        </w:rPr>
      </w:pPr>
      <w:r>
        <w:rPr>
          <w:b/>
          <w:sz w:val="24"/>
          <w:u w:val="single"/>
        </w:rPr>
        <w:t>Exceptions to Certification for Paperwork Reduction Act Submissions</w:t>
      </w:r>
    </w:p>
    <w:p w:rsidR="004C10E1" w:rsidP="002A12BC" w14:paraId="73AA835E" w14:textId="77777777">
      <w:pPr>
        <w:pStyle w:val="BodyTextIndent"/>
        <w:rPr>
          <w:rFonts w:ascii="Times New Roman" w:hAnsi="Times New Roman"/>
        </w:rPr>
      </w:pPr>
      <w:r>
        <w:rPr>
          <w:rFonts w:ascii="Times New Roman" w:hAnsi="Times New Roman"/>
        </w:rPr>
        <w:t>There are no exceptions to the certification.</w:t>
      </w:r>
    </w:p>
    <w:p w:rsidR="007F232F" w:rsidP="007F232F" w14:paraId="6F7E948C" w14:textId="77777777">
      <w:pPr>
        <w:tabs>
          <w:tab w:val="left" w:pos="1080"/>
        </w:tabs>
        <w:ind w:left="1080"/>
        <w:rPr>
          <w:b/>
          <w:bCs/>
          <w:sz w:val="24"/>
          <w:u w:val="single"/>
        </w:rPr>
      </w:pPr>
    </w:p>
    <w:sectPr w:rsidSect="00206228">
      <w:footerReference w:type="even" r:id="rId17"/>
      <w:footerReference w:type="default" r:id="rId18"/>
      <w:endnotePr>
        <w:numFmt w:val="decimal"/>
      </w:endnotePr>
      <w:type w:val="continuous"/>
      <w:pgSz w:w="12240" w:h="15840"/>
      <w:pgMar w:top="1440" w:right="1440" w:bottom="1440" w:left="1440" w:header="1440" w:footer="1440" w:gutter="0"/>
      <w:pgNumType w:fmt="numberInDash"/>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1B05" w:rsidP="00632173" w14:paraId="674A1E3A" w14:textId="77777777">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B1B05" w14:paraId="2176870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1B05" w14:paraId="6B2A3E8F" w14:textId="77777777">
    <w:pPr>
      <w:spacing w:line="240" w:lineRule="exact"/>
    </w:pPr>
  </w:p>
  <w:p w:rsidR="006B1B05" w:rsidP="00206228" w14:paraId="4EAEE3F7" w14:textId="77777777">
    <w:pPr>
      <w:framePr w:wrap="none" w:vAnchor="text" w:hAnchor="margin" w:xAlign="center" w:y="1"/>
      <w:jc w:val="center"/>
      <w:rPr>
        <w:sz w:val="24"/>
      </w:rPr>
    </w:pPr>
    <w:r>
      <w:rPr>
        <w:sz w:val="24"/>
      </w:rPr>
      <w:fldChar w:fldCharType="begin"/>
    </w:r>
    <w:r>
      <w:rPr>
        <w:sz w:val="24"/>
      </w:rPr>
      <w:instrText xml:space="preserve">PAGE </w:instrText>
    </w:r>
    <w:r>
      <w:rPr>
        <w:sz w:val="24"/>
      </w:rPr>
      <w:fldChar w:fldCharType="separate"/>
    </w:r>
    <w:r>
      <w:rPr>
        <w:noProof/>
        <w:sz w:val="24"/>
      </w:rPr>
      <w:t>- 11 -</w:t>
    </w:r>
    <w:r>
      <w:rPr>
        <w:sz w:val="24"/>
      </w:rPr>
      <w:fldChar w:fldCharType="end"/>
    </w:r>
  </w:p>
  <w:p w:rsidR="006B1B05" w14:paraId="266C69DA" w14:textId="77777777">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A17D9" w14:paraId="0A11B7AA" w14:textId="77777777">
      <w:r>
        <w:separator/>
      </w:r>
    </w:p>
  </w:footnote>
  <w:footnote w:type="continuationSeparator" w:id="1">
    <w:p w:rsidR="008A17D9" w14:paraId="288EACFF" w14:textId="77777777">
      <w:r>
        <w:continuationSeparator/>
      </w:r>
    </w:p>
  </w:footnote>
  <w:footnote w:type="continuationNotice" w:id="2">
    <w:p w:rsidR="008A17D9" w14:paraId="0DF3C533" w14:textId="77777777"/>
  </w:footnote>
  <w:footnote w:id="3">
    <w:p w:rsidR="00AB3853" w:rsidRPr="00893DB7" w14:paraId="38AE8985" w14:textId="2A42A345">
      <w:pPr>
        <w:pStyle w:val="FootnoteText"/>
        <w:rPr>
          <w:sz w:val="20"/>
          <w:szCs w:val="20"/>
        </w:rPr>
      </w:pPr>
      <w:r w:rsidRPr="0009096A">
        <w:rPr>
          <w:rStyle w:val="FootnoteReference"/>
          <w:sz w:val="20"/>
          <w:szCs w:val="20"/>
          <w:vertAlign w:val="superscript"/>
        </w:rPr>
        <w:footnoteRef/>
      </w:r>
      <w:r w:rsidRPr="0009096A">
        <w:rPr>
          <w:rFonts w:eastAsia="Calibri"/>
          <w:sz w:val="20"/>
          <w:szCs w:val="20"/>
        </w:rPr>
        <w:t xml:space="preserve">Based on US Bureau of Labor Statistics </w:t>
      </w:r>
      <w:r w:rsidR="005509E0">
        <w:rPr>
          <w:rFonts w:eastAsia="Calibri"/>
          <w:sz w:val="20"/>
          <w:szCs w:val="20"/>
        </w:rPr>
        <w:t>mean</w:t>
      </w:r>
      <w:r w:rsidRPr="0009096A">
        <w:rPr>
          <w:rFonts w:eastAsia="Calibri"/>
          <w:sz w:val="20"/>
          <w:szCs w:val="20"/>
        </w:rPr>
        <w:t xml:space="preserve"> hourly wage for Chief Executives</w:t>
      </w:r>
      <w:r w:rsidR="0009096A">
        <w:rPr>
          <w:rFonts w:eastAsia="Calibri"/>
          <w:sz w:val="20"/>
          <w:szCs w:val="20"/>
        </w:rPr>
        <w:t xml:space="preserve"> </w:t>
      </w:r>
      <w:r w:rsidRPr="0009096A">
        <w:rPr>
          <w:rFonts w:eastAsia="Calibri"/>
          <w:sz w:val="20"/>
          <w:szCs w:val="20"/>
        </w:rPr>
        <w:t>(</w:t>
      </w:r>
      <w:r w:rsidRPr="0009096A">
        <w:rPr>
          <w:sz w:val="20"/>
          <w:szCs w:val="20"/>
        </w:rPr>
        <w:t>https://www.bls.gov/oes/current/oes111011.htm)</w:t>
      </w:r>
      <w:r w:rsidRPr="0009096A">
        <w:rPr>
          <w:rFonts w:eastAsia="Calibri"/>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770D87"/>
    <w:multiLevelType w:val="hybridMultilevel"/>
    <w:tmpl w:val="3224EF2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045F4DB8"/>
    <w:multiLevelType w:val="hybridMultilevel"/>
    <w:tmpl w:val="7EBEB4E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
    <w:nsid w:val="059F4EED"/>
    <w:multiLevelType w:val="hybridMultilevel"/>
    <w:tmpl w:val="527246EC"/>
    <w:lvl w:ilvl="0">
      <w:start w:val="1"/>
      <w:numFmt w:val="decimal"/>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
    <w:nsid w:val="08BA0572"/>
    <w:multiLevelType w:val="hybridMultilevel"/>
    <w:tmpl w:val="211EF9C2"/>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4">
    <w:nsid w:val="0A342DE4"/>
    <w:multiLevelType w:val="hybridMultilevel"/>
    <w:tmpl w:val="58D44392"/>
    <w:lvl w:ilvl="0">
      <w:start w:val="1"/>
      <w:numFmt w:val="bullet"/>
      <w:lvlText w:val=""/>
      <w:lvlJc w:val="left"/>
      <w:pPr>
        <w:tabs>
          <w:tab w:val="num" w:pos="2070"/>
        </w:tabs>
        <w:ind w:left="207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5">
    <w:nsid w:val="0ACC676D"/>
    <w:multiLevelType w:val="hybridMultilevel"/>
    <w:tmpl w:val="19925D90"/>
    <w:lvl w:ilvl="0">
      <w:start w:val="1"/>
      <w:numFmt w:val="upperLetter"/>
      <w:lvlText w:val="%1."/>
      <w:lvlJc w:val="left"/>
      <w:pPr>
        <w:tabs>
          <w:tab w:val="num" w:pos="2880"/>
        </w:tabs>
        <w:ind w:left="2880" w:hanging="360"/>
      </w:pPr>
    </w:lvl>
    <w:lvl w:ilvl="1" w:tentative="1">
      <w:start w:val="1"/>
      <w:numFmt w:val="lowerLetter"/>
      <w:lvlText w:val="%2."/>
      <w:lvlJc w:val="left"/>
      <w:pPr>
        <w:tabs>
          <w:tab w:val="num" w:pos="3600"/>
        </w:tabs>
        <w:ind w:left="3600" w:hanging="360"/>
      </w:pPr>
    </w:lvl>
    <w:lvl w:ilvl="2" w:tentative="1">
      <w:start w:val="1"/>
      <w:numFmt w:val="lowerRoman"/>
      <w:lvlText w:val="%3."/>
      <w:lvlJc w:val="right"/>
      <w:pPr>
        <w:tabs>
          <w:tab w:val="num" w:pos="4320"/>
        </w:tabs>
        <w:ind w:left="4320" w:hanging="180"/>
      </w:pPr>
    </w:lvl>
    <w:lvl w:ilvl="3" w:tentative="1">
      <w:start w:val="1"/>
      <w:numFmt w:val="decimal"/>
      <w:lvlText w:val="%4."/>
      <w:lvlJc w:val="left"/>
      <w:pPr>
        <w:tabs>
          <w:tab w:val="num" w:pos="5040"/>
        </w:tabs>
        <w:ind w:left="5040" w:hanging="360"/>
      </w:pPr>
    </w:lvl>
    <w:lvl w:ilvl="4" w:tentative="1">
      <w:start w:val="1"/>
      <w:numFmt w:val="lowerLetter"/>
      <w:lvlText w:val="%5."/>
      <w:lvlJc w:val="left"/>
      <w:pPr>
        <w:tabs>
          <w:tab w:val="num" w:pos="5760"/>
        </w:tabs>
        <w:ind w:left="5760" w:hanging="360"/>
      </w:pPr>
    </w:lvl>
    <w:lvl w:ilvl="5" w:tentative="1">
      <w:start w:val="1"/>
      <w:numFmt w:val="lowerRoman"/>
      <w:lvlText w:val="%6."/>
      <w:lvlJc w:val="right"/>
      <w:pPr>
        <w:tabs>
          <w:tab w:val="num" w:pos="6480"/>
        </w:tabs>
        <w:ind w:left="6480" w:hanging="180"/>
      </w:pPr>
    </w:lvl>
    <w:lvl w:ilvl="6" w:tentative="1">
      <w:start w:val="1"/>
      <w:numFmt w:val="decimal"/>
      <w:lvlText w:val="%7."/>
      <w:lvlJc w:val="left"/>
      <w:pPr>
        <w:tabs>
          <w:tab w:val="num" w:pos="7200"/>
        </w:tabs>
        <w:ind w:left="7200" w:hanging="360"/>
      </w:pPr>
    </w:lvl>
    <w:lvl w:ilvl="7" w:tentative="1">
      <w:start w:val="1"/>
      <w:numFmt w:val="lowerLetter"/>
      <w:lvlText w:val="%8."/>
      <w:lvlJc w:val="left"/>
      <w:pPr>
        <w:tabs>
          <w:tab w:val="num" w:pos="7920"/>
        </w:tabs>
        <w:ind w:left="7920" w:hanging="360"/>
      </w:pPr>
    </w:lvl>
    <w:lvl w:ilvl="8" w:tentative="1">
      <w:start w:val="1"/>
      <w:numFmt w:val="lowerRoman"/>
      <w:lvlText w:val="%9."/>
      <w:lvlJc w:val="right"/>
      <w:pPr>
        <w:tabs>
          <w:tab w:val="num" w:pos="8640"/>
        </w:tabs>
        <w:ind w:left="8640" w:hanging="180"/>
      </w:pPr>
    </w:lvl>
  </w:abstractNum>
  <w:abstractNum w:abstractNumId="6">
    <w:nsid w:val="0F7F210B"/>
    <w:multiLevelType w:val="hybridMultilevel"/>
    <w:tmpl w:val="97F6408C"/>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7">
    <w:nsid w:val="0FBC5793"/>
    <w:multiLevelType w:val="hybridMultilevel"/>
    <w:tmpl w:val="CB66BD20"/>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8">
    <w:nsid w:val="16F1537B"/>
    <w:multiLevelType w:val="hybridMultilevel"/>
    <w:tmpl w:val="E03AB28A"/>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9">
    <w:nsid w:val="18FA5DC3"/>
    <w:multiLevelType w:val="multilevel"/>
    <w:tmpl w:val="9E325A6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nsid w:val="1A124824"/>
    <w:multiLevelType w:val="hybridMultilevel"/>
    <w:tmpl w:val="AA7E308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1">
    <w:nsid w:val="1F66495E"/>
    <w:multiLevelType w:val="hybridMultilevel"/>
    <w:tmpl w:val="4F86193A"/>
    <w:lvl w:ilvl="0">
      <w:start w:val="1"/>
      <w:numFmt w:val="bullet"/>
      <w:lvlText w:val=""/>
      <w:lvlJc w:val="left"/>
      <w:pPr>
        <w:tabs>
          <w:tab w:val="num" w:pos="2160"/>
        </w:tabs>
        <w:ind w:left="2160" w:hanging="360"/>
      </w:pPr>
      <w:rPr>
        <w:rFonts w:ascii="Symbol" w:hAnsi="Symbol" w:hint="default"/>
      </w:rPr>
    </w:lvl>
    <w:lvl w:ilvl="1">
      <w:start w:val="1"/>
      <w:numFmt w:val="upperLetter"/>
      <w:lvlText w:val="%2."/>
      <w:lvlJc w:val="left"/>
      <w:pPr>
        <w:tabs>
          <w:tab w:val="num" w:pos="2880"/>
        </w:tabs>
        <w:ind w:left="2880" w:hanging="360"/>
      </w:pPr>
      <w:rPr>
        <w:rFonts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2">
    <w:nsid w:val="210619A5"/>
    <w:multiLevelType w:val="hybridMultilevel"/>
    <w:tmpl w:val="E6945466"/>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3">
    <w:nsid w:val="29FC522A"/>
    <w:multiLevelType w:val="hybridMultilevel"/>
    <w:tmpl w:val="DC2AD4B0"/>
    <w:lvl w:ilvl="0">
      <w:start w:val="1"/>
      <w:numFmt w:val="upperLetter"/>
      <w:lvlText w:val="%1."/>
      <w:lvlJc w:val="left"/>
      <w:pPr>
        <w:tabs>
          <w:tab w:val="num" w:pos="2880"/>
        </w:tabs>
        <w:ind w:left="2880" w:hanging="360"/>
      </w:pPr>
    </w:lvl>
    <w:lvl w:ilvl="1" w:tentative="1">
      <w:start w:val="1"/>
      <w:numFmt w:val="lowerLetter"/>
      <w:lvlText w:val="%2."/>
      <w:lvlJc w:val="left"/>
      <w:pPr>
        <w:tabs>
          <w:tab w:val="num" w:pos="3600"/>
        </w:tabs>
        <w:ind w:left="3600" w:hanging="360"/>
      </w:pPr>
    </w:lvl>
    <w:lvl w:ilvl="2" w:tentative="1">
      <w:start w:val="1"/>
      <w:numFmt w:val="lowerRoman"/>
      <w:lvlText w:val="%3."/>
      <w:lvlJc w:val="right"/>
      <w:pPr>
        <w:tabs>
          <w:tab w:val="num" w:pos="4320"/>
        </w:tabs>
        <w:ind w:left="4320" w:hanging="180"/>
      </w:pPr>
    </w:lvl>
    <w:lvl w:ilvl="3" w:tentative="1">
      <w:start w:val="1"/>
      <w:numFmt w:val="decimal"/>
      <w:lvlText w:val="%4."/>
      <w:lvlJc w:val="left"/>
      <w:pPr>
        <w:tabs>
          <w:tab w:val="num" w:pos="5040"/>
        </w:tabs>
        <w:ind w:left="5040" w:hanging="360"/>
      </w:pPr>
    </w:lvl>
    <w:lvl w:ilvl="4" w:tentative="1">
      <w:start w:val="1"/>
      <w:numFmt w:val="lowerLetter"/>
      <w:lvlText w:val="%5."/>
      <w:lvlJc w:val="left"/>
      <w:pPr>
        <w:tabs>
          <w:tab w:val="num" w:pos="5760"/>
        </w:tabs>
        <w:ind w:left="5760" w:hanging="360"/>
      </w:pPr>
    </w:lvl>
    <w:lvl w:ilvl="5" w:tentative="1">
      <w:start w:val="1"/>
      <w:numFmt w:val="lowerRoman"/>
      <w:lvlText w:val="%6."/>
      <w:lvlJc w:val="right"/>
      <w:pPr>
        <w:tabs>
          <w:tab w:val="num" w:pos="6480"/>
        </w:tabs>
        <w:ind w:left="6480" w:hanging="180"/>
      </w:pPr>
    </w:lvl>
    <w:lvl w:ilvl="6" w:tentative="1">
      <w:start w:val="1"/>
      <w:numFmt w:val="decimal"/>
      <w:lvlText w:val="%7."/>
      <w:lvlJc w:val="left"/>
      <w:pPr>
        <w:tabs>
          <w:tab w:val="num" w:pos="7200"/>
        </w:tabs>
        <w:ind w:left="7200" w:hanging="360"/>
      </w:pPr>
    </w:lvl>
    <w:lvl w:ilvl="7" w:tentative="1">
      <w:start w:val="1"/>
      <w:numFmt w:val="lowerLetter"/>
      <w:lvlText w:val="%8."/>
      <w:lvlJc w:val="left"/>
      <w:pPr>
        <w:tabs>
          <w:tab w:val="num" w:pos="7920"/>
        </w:tabs>
        <w:ind w:left="7920" w:hanging="360"/>
      </w:pPr>
    </w:lvl>
    <w:lvl w:ilvl="8" w:tentative="1">
      <w:start w:val="1"/>
      <w:numFmt w:val="lowerRoman"/>
      <w:lvlText w:val="%9."/>
      <w:lvlJc w:val="right"/>
      <w:pPr>
        <w:tabs>
          <w:tab w:val="num" w:pos="8640"/>
        </w:tabs>
        <w:ind w:left="8640" w:hanging="180"/>
      </w:pPr>
    </w:lvl>
  </w:abstractNum>
  <w:abstractNum w:abstractNumId="14">
    <w:nsid w:val="2B7570F2"/>
    <w:multiLevelType w:val="multilevel"/>
    <w:tmpl w:val="78A00D7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nsid w:val="2C5F6556"/>
    <w:multiLevelType w:val="hybridMultilevel"/>
    <w:tmpl w:val="E4BA5D6C"/>
    <w:lvl w:ilvl="0">
      <w:start w:val="1"/>
      <w:numFmt w:val="decimal"/>
      <w:lvlText w:val="%1."/>
      <w:lvlJc w:val="left"/>
      <w:pPr>
        <w:ind w:left="1350" w:hanging="360"/>
      </w:pPr>
      <w:rPr>
        <w:rFonts w:hint="default"/>
      </w:rPr>
    </w:lvl>
    <w:lvl w:ilvl="1" w:tentative="1">
      <w:start w:val="1"/>
      <w:numFmt w:val="lowerLetter"/>
      <w:lvlText w:val="%2."/>
      <w:lvlJc w:val="left"/>
      <w:pPr>
        <w:ind w:left="2070" w:hanging="360"/>
      </w:pPr>
    </w:lvl>
    <w:lvl w:ilvl="2" w:tentative="1">
      <w:start w:val="1"/>
      <w:numFmt w:val="lowerRoman"/>
      <w:lvlText w:val="%3."/>
      <w:lvlJc w:val="right"/>
      <w:pPr>
        <w:ind w:left="2790" w:hanging="180"/>
      </w:pPr>
    </w:lvl>
    <w:lvl w:ilvl="3" w:tentative="1">
      <w:start w:val="1"/>
      <w:numFmt w:val="decimal"/>
      <w:lvlText w:val="%4."/>
      <w:lvlJc w:val="left"/>
      <w:pPr>
        <w:ind w:left="3510" w:hanging="360"/>
      </w:pPr>
    </w:lvl>
    <w:lvl w:ilvl="4" w:tentative="1">
      <w:start w:val="1"/>
      <w:numFmt w:val="lowerLetter"/>
      <w:lvlText w:val="%5."/>
      <w:lvlJc w:val="left"/>
      <w:pPr>
        <w:ind w:left="4230" w:hanging="360"/>
      </w:pPr>
    </w:lvl>
    <w:lvl w:ilvl="5" w:tentative="1">
      <w:start w:val="1"/>
      <w:numFmt w:val="lowerRoman"/>
      <w:lvlText w:val="%6."/>
      <w:lvlJc w:val="right"/>
      <w:pPr>
        <w:ind w:left="4950" w:hanging="180"/>
      </w:pPr>
    </w:lvl>
    <w:lvl w:ilvl="6" w:tentative="1">
      <w:start w:val="1"/>
      <w:numFmt w:val="decimal"/>
      <w:lvlText w:val="%7."/>
      <w:lvlJc w:val="left"/>
      <w:pPr>
        <w:ind w:left="5670" w:hanging="360"/>
      </w:pPr>
    </w:lvl>
    <w:lvl w:ilvl="7" w:tentative="1">
      <w:start w:val="1"/>
      <w:numFmt w:val="lowerLetter"/>
      <w:lvlText w:val="%8."/>
      <w:lvlJc w:val="left"/>
      <w:pPr>
        <w:ind w:left="6390" w:hanging="360"/>
      </w:pPr>
    </w:lvl>
    <w:lvl w:ilvl="8" w:tentative="1">
      <w:start w:val="1"/>
      <w:numFmt w:val="lowerRoman"/>
      <w:lvlText w:val="%9."/>
      <w:lvlJc w:val="right"/>
      <w:pPr>
        <w:ind w:left="7110" w:hanging="180"/>
      </w:pPr>
    </w:lvl>
  </w:abstractNum>
  <w:abstractNum w:abstractNumId="16">
    <w:nsid w:val="359021E7"/>
    <w:multiLevelType w:val="hybridMultilevel"/>
    <w:tmpl w:val="CB889AC4"/>
    <w:lvl w:ilvl="0">
      <w:start w:val="1"/>
      <w:numFmt w:val="bullet"/>
      <w:lvlText w:val=""/>
      <w:lvlJc w:val="left"/>
      <w:pPr>
        <w:tabs>
          <w:tab w:val="num" w:pos="1728"/>
        </w:tabs>
        <w:ind w:left="1728" w:hanging="360"/>
      </w:pPr>
      <w:rPr>
        <w:rFonts w:ascii="Symbol" w:hAnsi="Symbol" w:hint="default"/>
      </w:rPr>
    </w:lvl>
    <w:lvl w:ilvl="1" w:tentative="1">
      <w:start w:val="1"/>
      <w:numFmt w:val="bullet"/>
      <w:lvlText w:val="o"/>
      <w:lvlJc w:val="left"/>
      <w:pPr>
        <w:tabs>
          <w:tab w:val="num" w:pos="2448"/>
        </w:tabs>
        <w:ind w:left="2448" w:hanging="360"/>
      </w:pPr>
      <w:rPr>
        <w:rFonts w:ascii="Courier New" w:hAnsi="Courier New" w:cs="Courier New" w:hint="default"/>
      </w:rPr>
    </w:lvl>
    <w:lvl w:ilvl="2" w:tentative="1">
      <w:start w:val="1"/>
      <w:numFmt w:val="bullet"/>
      <w:lvlText w:val=""/>
      <w:lvlJc w:val="left"/>
      <w:pPr>
        <w:tabs>
          <w:tab w:val="num" w:pos="3168"/>
        </w:tabs>
        <w:ind w:left="3168" w:hanging="360"/>
      </w:pPr>
      <w:rPr>
        <w:rFonts w:ascii="Wingdings" w:hAnsi="Wingdings" w:hint="default"/>
      </w:rPr>
    </w:lvl>
    <w:lvl w:ilvl="3" w:tentative="1">
      <w:start w:val="1"/>
      <w:numFmt w:val="bullet"/>
      <w:lvlText w:val=""/>
      <w:lvlJc w:val="left"/>
      <w:pPr>
        <w:tabs>
          <w:tab w:val="num" w:pos="3888"/>
        </w:tabs>
        <w:ind w:left="3888" w:hanging="360"/>
      </w:pPr>
      <w:rPr>
        <w:rFonts w:ascii="Symbol" w:hAnsi="Symbol" w:hint="default"/>
      </w:rPr>
    </w:lvl>
    <w:lvl w:ilvl="4" w:tentative="1">
      <w:start w:val="1"/>
      <w:numFmt w:val="bullet"/>
      <w:lvlText w:val="o"/>
      <w:lvlJc w:val="left"/>
      <w:pPr>
        <w:tabs>
          <w:tab w:val="num" w:pos="4608"/>
        </w:tabs>
        <w:ind w:left="4608" w:hanging="360"/>
      </w:pPr>
      <w:rPr>
        <w:rFonts w:ascii="Courier New" w:hAnsi="Courier New" w:cs="Courier New" w:hint="default"/>
      </w:rPr>
    </w:lvl>
    <w:lvl w:ilvl="5" w:tentative="1">
      <w:start w:val="1"/>
      <w:numFmt w:val="bullet"/>
      <w:lvlText w:val=""/>
      <w:lvlJc w:val="left"/>
      <w:pPr>
        <w:tabs>
          <w:tab w:val="num" w:pos="5328"/>
        </w:tabs>
        <w:ind w:left="5328" w:hanging="360"/>
      </w:pPr>
      <w:rPr>
        <w:rFonts w:ascii="Wingdings" w:hAnsi="Wingdings" w:hint="default"/>
      </w:rPr>
    </w:lvl>
    <w:lvl w:ilvl="6" w:tentative="1">
      <w:start w:val="1"/>
      <w:numFmt w:val="bullet"/>
      <w:lvlText w:val=""/>
      <w:lvlJc w:val="left"/>
      <w:pPr>
        <w:tabs>
          <w:tab w:val="num" w:pos="6048"/>
        </w:tabs>
        <w:ind w:left="6048" w:hanging="360"/>
      </w:pPr>
      <w:rPr>
        <w:rFonts w:ascii="Symbol" w:hAnsi="Symbol" w:hint="default"/>
      </w:rPr>
    </w:lvl>
    <w:lvl w:ilvl="7" w:tentative="1">
      <w:start w:val="1"/>
      <w:numFmt w:val="bullet"/>
      <w:lvlText w:val="o"/>
      <w:lvlJc w:val="left"/>
      <w:pPr>
        <w:tabs>
          <w:tab w:val="num" w:pos="6768"/>
        </w:tabs>
        <w:ind w:left="6768" w:hanging="360"/>
      </w:pPr>
      <w:rPr>
        <w:rFonts w:ascii="Courier New" w:hAnsi="Courier New" w:cs="Courier New" w:hint="default"/>
      </w:rPr>
    </w:lvl>
    <w:lvl w:ilvl="8" w:tentative="1">
      <w:start w:val="1"/>
      <w:numFmt w:val="bullet"/>
      <w:lvlText w:val=""/>
      <w:lvlJc w:val="left"/>
      <w:pPr>
        <w:tabs>
          <w:tab w:val="num" w:pos="7488"/>
        </w:tabs>
        <w:ind w:left="7488" w:hanging="360"/>
      </w:pPr>
      <w:rPr>
        <w:rFonts w:ascii="Wingdings" w:hAnsi="Wingdings" w:hint="default"/>
      </w:rPr>
    </w:lvl>
  </w:abstractNum>
  <w:abstractNum w:abstractNumId="17">
    <w:nsid w:val="387F1E26"/>
    <w:multiLevelType w:val="hybridMultilevel"/>
    <w:tmpl w:val="9FD06988"/>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8">
    <w:nsid w:val="3ACC71D8"/>
    <w:multiLevelType w:val="hybridMultilevel"/>
    <w:tmpl w:val="720CB386"/>
    <w:lvl w:ilvl="0">
      <w:start w:val="1"/>
      <w:numFmt w:val="bullet"/>
      <w:lvlText w:val=""/>
      <w:lvlJc w:val="left"/>
      <w:pPr>
        <w:tabs>
          <w:tab w:val="num" w:pos="2340"/>
        </w:tabs>
        <w:ind w:left="2340" w:hanging="360"/>
      </w:pPr>
      <w:rPr>
        <w:rFonts w:ascii="Symbol" w:hAnsi="Symbol" w:hint="default"/>
      </w:r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19">
    <w:nsid w:val="40F41527"/>
    <w:multiLevelType w:val="hybridMultilevel"/>
    <w:tmpl w:val="5C5EDD18"/>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20">
    <w:nsid w:val="42CA0CF3"/>
    <w:multiLevelType w:val="hybridMultilevel"/>
    <w:tmpl w:val="DC4AB2F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1">
    <w:nsid w:val="43CD5E17"/>
    <w:multiLevelType w:val="hybridMultilevel"/>
    <w:tmpl w:val="BE9E67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4A1D7109"/>
    <w:multiLevelType w:val="hybridMultilevel"/>
    <w:tmpl w:val="22162BC6"/>
    <w:lvl w:ilvl="0">
      <w:start w:val="1"/>
      <w:numFmt w:val="decimal"/>
      <w:lvlText w:val="%1."/>
      <w:lvlJc w:val="left"/>
      <w:pPr>
        <w:tabs>
          <w:tab w:val="num" w:pos="1080"/>
        </w:tabs>
        <w:ind w:left="108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2"/>
      <w:numFmt w:val="upp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4AFF5AE7"/>
    <w:multiLevelType w:val="hybridMultilevel"/>
    <w:tmpl w:val="52B8D90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4B0E2065"/>
    <w:multiLevelType w:val="hybridMultilevel"/>
    <w:tmpl w:val="FDFAF3D2"/>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5">
    <w:nsid w:val="4DDE1051"/>
    <w:multiLevelType w:val="hybridMultilevel"/>
    <w:tmpl w:val="36AE2F40"/>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6">
    <w:nsid w:val="53E41430"/>
    <w:multiLevelType w:val="hybridMultilevel"/>
    <w:tmpl w:val="57AA6CBE"/>
    <w:lvl w:ilvl="0">
      <w:start w:val="1"/>
      <w:numFmt w:val="bullet"/>
      <w:lvlText w:val=""/>
      <w:lvlJc w:val="left"/>
      <w:pPr>
        <w:tabs>
          <w:tab w:val="num" w:pos="2175"/>
        </w:tabs>
        <w:ind w:left="2175" w:hanging="360"/>
      </w:pPr>
      <w:rPr>
        <w:rFonts w:ascii="Symbol" w:hAnsi="Symbol" w:hint="default"/>
      </w:rPr>
    </w:lvl>
    <w:lvl w:ilvl="1" w:tentative="1">
      <w:start w:val="1"/>
      <w:numFmt w:val="bullet"/>
      <w:lvlText w:val="o"/>
      <w:lvlJc w:val="left"/>
      <w:pPr>
        <w:tabs>
          <w:tab w:val="num" w:pos="2895"/>
        </w:tabs>
        <w:ind w:left="2895" w:hanging="360"/>
      </w:pPr>
      <w:rPr>
        <w:rFonts w:ascii="Courier New" w:hAnsi="Courier New" w:cs="Courier New" w:hint="default"/>
      </w:rPr>
    </w:lvl>
    <w:lvl w:ilvl="2" w:tentative="1">
      <w:start w:val="1"/>
      <w:numFmt w:val="bullet"/>
      <w:lvlText w:val=""/>
      <w:lvlJc w:val="left"/>
      <w:pPr>
        <w:tabs>
          <w:tab w:val="num" w:pos="3615"/>
        </w:tabs>
        <w:ind w:left="3615" w:hanging="360"/>
      </w:pPr>
      <w:rPr>
        <w:rFonts w:ascii="Wingdings" w:hAnsi="Wingdings" w:hint="default"/>
      </w:rPr>
    </w:lvl>
    <w:lvl w:ilvl="3" w:tentative="1">
      <w:start w:val="1"/>
      <w:numFmt w:val="bullet"/>
      <w:lvlText w:val=""/>
      <w:lvlJc w:val="left"/>
      <w:pPr>
        <w:tabs>
          <w:tab w:val="num" w:pos="4335"/>
        </w:tabs>
        <w:ind w:left="4335" w:hanging="360"/>
      </w:pPr>
      <w:rPr>
        <w:rFonts w:ascii="Symbol" w:hAnsi="Symbol" w:hint="default"/>
      </w:rPr>
    </w:lvl>
    <w:lvl w:ilvl="4" w:tentative="1">
      <w:start w:val="1"/>
      <w:numFmt w:val="bullet"/>
      <w:lvlText w:val="o"/>
      <w:lvlJc w:val="left"/>
      <w:pPr>
        <w:tabs>
          <w:tab w:val="num" w:pos="5055"/>
        </w:tabs>
        <w:ind w:left="5055" w:hanging="360"/>
      </w:pPr>
      <w:rPr>
        <w:rFonts w:ascii="Courier New" w:hAnsi="Courier New" w:cs="Courier New" w:hint="default"/>
      </w:rPr>
    </w:lvl>
    <w:lvl w:ilvl="5" w:tentative="1">
      <w:start w:val="1"/>
      <w:numFmt w:val="bullet"/>
      <w:lvlText w:val=""/>
      <w:lvlJc w:val="left"/>
      <w:pPr>
        <w:tabs>
          <w:tab w:val="num" w:pos="5775"/>
        </w:tabs>
        <w:ind w:left="5775" w:hanging="360"/>
      </w:pPr>
      <w:rPr>
        <w:rFonts w:ascii="Wingdings" w:hAnsi="Wingdings" w:hint="default"/>
      </w:rPr>
    </w:lvl>
    <w:lvl w:ilvl="6" w:tentative="1">
      <w:start w:val="1"/>
      <w:numFmt w:val="bullet"/>
      <w:lvlText w:val=""/>
      <w:lvlJc w:val="left"/>
      <w:pPr>
        <w:tabs>
          <w:tab w:val="num" w:pos="6495"/>
        </w:tabs>
        <w:ind w:left="6495" w:hanging="360"/>
      </w:pPr>
      <w:rPr>
        <w:rFonts w:ascii="Symbol" w:hAnsi="Symbol" w:hint="default"/>
      </w:rPr>
    </w:lvl>
    <w:lvl w:ilvl="7" w:tentative="1">
      <w:start w:val="1"/>
      <w:numFmt w:val="bullet"/>
      <w:lvlText w:val="o"/>
      <w:lvlJc w:val="left"/>
      <w:pPr>
        <w:tabs>
          <w:tab w:val="num" w:pos="7215"/>
        </w:tabs>
        <w:ind w:left="7215" w:hanging="360"/>
      </w:pPr>
      <w:rPr>
        <w:rFonts w:ascii="Courier New" w:hAnsi="Courier New" w:cs="Courier New" w:hint="default"/>
      </w:rPr>
    </w:lvl>
    <w:lvl w:ilvl="8" w:tentative="1">
      <w:start w:val="1"/>
      <w:numFmt w:val="bullet"/>
      <w:lvlText w:val=""/>
      <w:lvlJc w:val="left"/>
      <w:pPr>
        <w:tabs>
          <w:tab w:val="num" w:pos="7935"/>
        </w:tabs>
        <w:ind w:left="7935" w:hanging="360"/>
      </w:pPr>
      <w:rPr>
        <w:rFonts w:ascii="Wingdings" w:hAnsi="Wingdings" w:hint="default"/>
      </w:rPr>
    </w:lvl>
  </w:abstractNum>
  <w:abstractNum w:abstractNumId="27">
    <w:nsid w:val="58905D7B"/>
    <w:multiLevelType w:val="hybridMultilevel"/>
    <w:tmpl w:val="91D8761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93D36C3"/>
    <w:multiLevelType w:val="hybridMultilevel"/>
    <w:tmpl w:val="8B4C7956"/>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9">
    <w:nsid w:val="5AA94C4C"/>
    <w:multiLevelType w:val="hybridMultilevel"/>
    <w:tmpl w:val="876CCAAA"/>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30">
    <w:nsid w:val="5B3250AA"/>
    <w:multiLevelType w:val="hybridMultilevel"/>
    <w:tmpl w:val="BD9A3BB6"/>
    <w:lvl w:ilvl="0">
      <w:start w:val="1"/>
      <w:numFmt w:val="upperLetter"/>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31">
    <w:nsid w:val="5B8B2A2F"/>
    <w:multiLevelType w:val="hybridMultilevel"/>
    <w:tmpl w:val="FD184AD2"/>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2">
    <w:nsid w:val="5BEF26B9"/>
    <w:multiLevelType w:val="hybridMultilevel"/>
    <w:tmpl w:val="22162BC6"/>
    <w:lvl w:ilvl="0">
      <w:start w:val="1"/>
      <w:numFmt w:val="decimal"/>
      <w:lvlText w:val="%1."/>
      <w:lvlJc w:val="left"/>
      <w:pPr>
        <w:tabs>
          <w:tab w:val="num" w:pos="1080"/>
        </w:tabs>
        <w:ind w:left="108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2"/>
      <w:numFmt w:val="upp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5F0C15D3"/>
    <w:multiLevelType w:val="hybridMultilevel"/>
    <w:tmpl w:val="CEF2BD4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4">
    <w:nsid w:val="5F70268D"/>
    <w:multiLevelType w:val="hybridMultilevel"/>
    <w:tmpl w:val="8B0CC90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5">
    <w:nsid w:val="62146669"/>
    <w:multiLevelType w:val="multilevel"/>
    <w:tmpl w:val="24BA5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2343938"/>
    <w:multiLevelType w:val="hybridMultilevel"/>
    <w:tmpl w:val="B486FCA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7">
    <w:nsid w:val="6714352E"/>
    <w:multiLevelType w:val="hybridMultilevel"/>
    <w:tmpl w:val="E3EEDFFE"/>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38">
    <w:nsid w:val="6980224A"/>
    <w:multiLevelType w:val="multilevel"/>
    <w:tmpl w:val="FB4297CE"/>
    <w:lvl w:ilvl="0">
      <w:start w:val="1"/>
      <w:numFmt w:val="upperRoman"/>
      <w:lvlText w:val="%1."/>
      <w:lvlJc w:val="right"/>
      <w:pPr>
        <w:tabs>
          <w:tab w:val="num" w:pos="2160"/>
        </w:tabs>
        <w:ind w:left="2160" w:hanging="18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39">
    <w:nsid w:val="6F4B510B"/>
    <w:multiLevelType w:val="hybridMultilevel"/>
    <w:tmpl w:val="D2D866B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0">
    <w:nsid w:val="6F863754"/>
    <w:multiLevelType w:val="hybridMultilevel"/>
    <w:tmpl w:val="4E2426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3D15CE9"/>
    <w:multiLevelType w:val="hybridMultilevel"/>
    <w:tmpl w:val="4FB4019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2">
    <w:nsid w:val="73ED210F"/>
    <w:multiLevelType w:val="hybridMultilevel"/>
    <w:tmpl w:val="CD48D50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3">
    <w:nsid w:val="75836233"/>
    <w:multiLevelType w:val="multilevel"/>
    <w:tmpl w:val="168C582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4">
    <w:nsid w:val="78EC4C9C"/>
    <w:multiLevelType w:val="hybridMultilevel"/>
    <w:tmpl w:val="B16E3654"/>
    <w:lvl w:ilvl="0">
      <w:start w:val="2"/>
      <w:numFmt w:val="upperLetter"/>
      <w:lvlText w:val="%1."/>
      <w:lvlJc w:val="left"/>
      <w:pPr>
        <w:tabs>
          <w:tab w:val="num" w:pos="360"/>
        </w:tabs>
        <w:ind w:left="360" w:hanging="360"/>
      </w:pPr>
      <w:rPr>
        <w:rFonts w:cs="Times New Roman" w:hint="default"/>
      </w:rPr>
    </w:lvl>
    <w:lvl w:ilvl="1" w:tentative="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45">
    <w:nsid w:val="798A00CB"/>
    <w:multiLevelType w:val="hybridMultilevel"/>
    <w:tmpl w:val="1A28C5F4"/>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46">
    <w:nsid w:val="79B974A1"/>
    <w:multiLevelType w:val="hybridMultilevel"/>
    <w:tmpl w:val="BE96FD58"/>
    <w:lvl w:ilvl="0">
      <w:start w:val="1"/>
      <w:numFmt w:val="bullet"/>
      <w:lvlText w:val=""/>
      <w:lvlJc w:val="left"/>
      <w:pPr>
        <w:tabs>
          <w:tab w:val="num" w:pos="2160"/>
        </w:tabs>
        <w:ind w:left="2160" w:hanging="360"/>
      </w:pPr>
      <w:rPr>
        <w:rFonts w:ascii="Symbol" w:hAnsi="Symbol" w:hint="default"/>
      </w:rPr>
    </w:lvl>
    <w:lvl w:ilvl="1">
      <w:start w:val="1"/>
      <w:numFmt w:val="decimal"/>
      <w:lvlText w:val="%2."/>
      <w:lvlJc w:val="left"/>
      <w:pPr>
        <w:tabs>
          <w:tab w:val="num" w:pos="2880"/>
        </w:tabs>
        <w:ind w:left="2880" w:hanging="360"/>
      </w:pPr>
      <w:rPr>
        <w:rFonts w:hint="default"/>
        <w:b w:val="0"/>
      </w:rPr>
    </w:lvl>
    <w:lvl w:ilvl="2">
      <w:start w:val="1"/>
      <w:numFmt w:val="bullet"/>
      <w:lvlText w:val=""/>
      <w:lvlJc w:val="left"/>
      <w:pPr>
        <w:tabs>
          <w:tab w:val="num" w:pos="3600"/>
        </w:tabs>
        <w:ind w:left="3600" w:hanging="360"/>
      </w:pPr>
      <w:rPr>
        <w:rFonts w:ascii="Symbol" w:hAnsi="Symbol"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7">
    <w:nsid w:val="7E7D45FB"/>
    <w:multiLevelType w:val="hybridMultilevel"/>
    <w:tmpl w:val="FB4297CE"/>
    <w:lvl w:ilvl="0">
      <w:start w:val="1"/>
      <w:numFmt w:val="upperRoman"/>
      <w:lvlText w:val="%1."/>
      <w:lvlJc w:val="right"/>
      <w:pPr>
        <w:tabs>
          <w:tab w:val="num" w:pos="2160"/>
        </w:tabs>
        <w:ind w:left="2160" w:hanging="180"/>
      </w:p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48">
    <w:nsid w:val="7EBC3CE5"/>
    <w:multiLevelType w:val="hybridMultilevel"/>
    <w:tmpl w:val="D8E2E83A"/>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num w:numId="1" w16cid:durableId="722213992">
    <w:abstractNumId w:val="48"/>
  </w:num>
  <w:num w:numId="2" w16cid:durableId="1344699644">
    <w:abstractNumId w:val="22"/>
  </w:num>
  <w:num w:numId="3" w16cid:durableId="1150900888">
    <w:abstractNumId w:val="14"/>
  </w:num>
  <w:num w:numId="4" w16cid:durableId="1839274611">
    <w:abstractNumId w:val="43"/>
  </w:num>
  <w:num w:numId="5" w16cid:durableId="382020801">
    <w:abstractNumId w:val="47"/>
  </w:num>
  <w:num w:numId="6" w16cid:durableId="1319115380">
    <w:abstractNumId w:val="9"/>
  </w:num>
  <w:num w:numId="7" w16cid:durableId="514537151">
    <w:abstractNumId w:val="38"/>
  </w:num>
  <w:num w:numId="8" w16cid:durableId="283587059">
    <w:abstractNumId w:val="18"/>
  </w:num>
  <w:num w:numId="9" w16cid:durableId="82384694">
    <w:abstractNumId w:val="26"/>
  </w:num>
  <w:num w:numId="10" w16cid:durableId="327175400">
    <w:abstractNumId w:val="20"/>
  </w:num>
  <w:num w:numId="11" w16cid:durableId="800153597">
    <w:abstractNumId w:val="8"/>
  </w:num>
  <w:num w:numId="12" w16cid:durableId="1617979968">
    <w:abstractNumId w:val="25"/>
  </w:num>
  <w:num w:numId="13" w16cid:durableId="1534610895">
    <w:abstractNumId w:val="21"/>
  </w:num>
  <w:num w:numId="14" w16cid:durableId="1182014126">
    <w:abstractNumId w:val="23"/>
  </w:num>
  <w:num w:numId="15" w16cid:durableId="1568224640">
    <w:abstractNumId w:val="7"/>
  </w:num>
  <w:num w:numId="16" w16cid:durableId="1719429201">
    <w:abstractNumId w:val="0"/>
  </w:num>
  <w:num w:numId="17" w16cid:durableId="290283670">
    <w:abstractNumId w:val="1"/>
  </w:num>
  <w:num w:numId="18" w16cid:durableId="1990817504">
    <w:abstractNumId w:val="16"/>
  </w:num>
  <w:num w:numId="19" w16cid:durableId="1703288261">
    <w:abstractNumId w:val="37"/>
  </w:num>
  <w:num w:numId="20" w16cid:durableId="1653176228">
    <w:abstractNumId w:val="34"/>
  </w:num>
  <w:num w:numId="21" w16cid:durableId="112722852">
    <w:abstractNumId w:val="19"/>
  </w:num>
  <w:num w:numId="22" w16cid:durableId="2015448705">
    <w:abstractNumId w:val="42"/>
  </w:num>
  <w:num w:numId="23" w16cid:durableId="1891112776">
    <w:abstractNumId w:val="31"/>
  </w:num>
  <w:num w:numId="24" w16cid:durableId="1398282815">
    <w:abstractNumId w:val="33"/>
  </w:num>
  <w:num w:numId="25" w16cid:durableId="609748902">
    <w:abstractNumId w:val="46"/>
  </w:num>
  <w:num w:numId="26" w16cid:durableId="1897741147">
    <w:abstractNumId w:val="41"/>
  </w:num>
  <w:num w:numId="27" w16cid:durableId="842748135">
    <w:abstractNumId w:val="4"/>
  </w:num>
  <w:num w:numId="28" w16cid:durableId="215162835">
    <w:abstractNumId w:val="17"/>
  </w:num>
  <w:num w:numId="29" w16cid:durableId="2124886327">
    <w:abstractNumId w:val="45"/>
  </w:num>
  <w:num w:numId="30" w16cid:durableId="172425484">
    <w:abstractNumId w:val="39"/>
  </w:num>
  <w:num w:numId="31" w16cid:durableId="642151330">
    <w:abstractNumId w:val="36"/>
  </w:num>
  <w:num w:numId="32" w16cid:durableId="829828187">
    <w:abstractNumId w:val="10"/>
  </w:num>
  <w:num w:numId="33" w16cid:durableId="193350754">
    <w:abstractNumId w:val="3"/>
  </w:num>
  <w:num w:numId="34" w16cid:durableId="973102810">
    <w:abstractNumId w:val="28"/>
  </w:num>
  <w:num w:numId="35" w16cid:durableId="2051298873">
    <w:abstractNumId w:val="12"/>
  </w:num>
  <w:num w:numId="36" w16cid:durableId="297415645">
    <w:abstractNumId w:val="11"/>
  </w:num>
  <w:num w:numId="37" w16cid:durableId="1268460805">
    <w:abstractNumId w:val="13"/>
  </w:num>
  <w:num w:numId="38" w16cid:durableId="2102483667">
    <w:abstractNumId w:val="5"/>
  </w:num>
  <w:num w:numId="39" w16cid:durableId="1939751773">
    <w:abstractNumId w:val="30"/>
  </w:num>
  <w:num w:numId="40" w16cid:durableId="1976987714">
    <w:abstractNumId w:val="6"/>
  </w:num>
  <w:num w:numId="41" w16cid:durableId="676809396">
    <w:abstractNumId w:val="29"/>
  </w:num>
  <w:num w:numId="42" w16cid:durableId="541938557">
    <w:abstractNumId w:val="24"/>
  </w:num>
  <w:num w:numId="43" w16cid:durableId="2126388301">
    <w:abstractNumId w:val="40"/>
  </w:num>
  <w:num w:numId="44" w16cid:durableId="1438909333">
    <w:abstractNumId w:val="44"/>
  </w:num>
  <w:num w:numId="45" w16cid:durableId="1872456678">
    <w:abstractNumId w:val="32"/>
  </w:num>
  <w:num w:numId="46" w16cid:durableId="600139058">
    <w:abstractNumId w:val="2"/>
  </w:num>
  <w:num w:numId="47" w16cid:durableId="348455657">
    <w:abstractNumId w:val="15"/>
  </w:num>
  <w:num w:numId="48" w16cid:durableId="318651228">
    <w:abstractNumId w:val="27"/>
  </w:num>
  <w:num w:numId="49" w16cid:durableId="207824324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 w:id="2"/>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1C4"/>
    <w:rsid w:val="000007BF"/>
    <w:rsid w:val="00001C15"/>
    <w:rsid w:val="000027B5"/>
    <w:rsid w:val="00006E1E"/>
    <w:rsid w:val="00007BF5"/>
    <w:rsid w:val="000118EE"/>
    <w:rsid w:val="000161B5"/>
    <w:rsid w:val="00016834"/>
    <w:rsid w:val="000240F5"/>
    <w:rsid w:val="00025475"/>
    <w:rsid w:val="00030663"/>
    <w:rsid w:val="000311BC"/>
    <w:rsid w:val="0003211B"/>
    <w:rsid w:val="00033EDA"/>
    <w:rsid w:val="000402BE"/>
    <w:rsid w:val="000407FB"/>
    <w:rsid w:val="00042C53"/>
    <w:rsid w:val="000432E8"/>
    <w:rsid w:val="00044054"/>
    <w:rsid w:val="00045CAB"/>
    <w:rsid w:val="000550FE"/>
    <w:rsid w:val="00056586"/>
    <w:rsid w:val="00057066"/>
    <w:rsid w:val="00057E3F"/>
    <w:rsid w:val="00062111"/>
    <w:rsid w:val="00063BAF"/>
    <w:rsid w:val="00063E27"/>
    <w:rsid w:val="000664C3"/>
    <w:rsid w:val="000670AC"/>
    <w:rsid w:val="00070F66"/>
    <w:rsid w:val="00073253"/>
    <w:rsid w:val="00075F85"/>
    <w:rsid w:val="00083005"/>
    <w:rsid w:val="0009096A"/>
    <w:rsid w:val="00095AA4"/>
    <w:rsid w:val="000A0203"/>
    <w:rsid w:val="000A5F08"/>
    <w:rsid w:val="000B3B1C"/>
    <w:rsid w:val="000B4155"/>
    <w:rsid w:val="000B5101"/>
    <w:rsid w:val="000C289F"/>
    <w:rsid w:val="000D1D3F"/>
    <w:rsid w:val="000D3ACA"/>
    <w:rsid w:val="000D54AC"/>
    <w:rsid w:val="000D563E"/>
    <w:rsid w:val="000D79DA"/>
    <w:rsid w:val="000E1D88"/>
    <w:rsid w:val="000E2155"/>
    <w:rsid w:val="000E4587"/>
    <w:rsid w:val="000E490D"/>
    <w:rsid w:val="000E600D"/>
    <w:rsid w:val="000F137A"/>
    <w:rsid w:val="000F28E6"/>
    <w:rsid w:val="000F7A0F"/>
    <w:rsid w:val="00100272"/>
    <w:rsid w:val="0010713D"/>
    <w:rsid w:val="00116D36"/>
    <w:rsid w:val="00117328"/>
    <w:rsid w:val="00124A80"/>
    <w:rsid w:val="00124AE9"/>
    <w:rsid w:val="00130429"/>
    <w:rsid w:val="00130F03"/>
    <w:rsid w:val="00134BF9"/>
    <w:rsid w:val="00136056"/>
    <w:rsid w:val="001361E5"/>
    <w:rsid w:val="00137227"/>
    <w:rsid w:val="00137CDB"/>
    <w:rsid w:val="00140880"/>
    <w:rsid w:val="001414E1"/>
    <w:rsid w:val="0014561A"/>
    <w:rsid w:val="00147326"/>
    <w:rsid w:val="00150DF5"/>
    <w:rsid w:val="00157342"/>
    <w:rsid w:val="001608AC"/>
    <w:rsid w:val="00162804"/>
    <w:rsid w:val="00164F9E"/>
    <w:rsid w:val="00165BCB"/>
    <w:rsid w:val="00170190"/>
    <w:rsid w:val="0017106E"/>
    <w:rsid w:val="00173963"/>
    <w:rsid w:val="001803C1"/>
    <w:rsid w:val="00180A3E"/>
    <w:rsid w:val="00182890"/>
    <w:rsid w:val="00184AF7"/>
    <w:rsid w:val="00192D06"/>
    <w:rsid w:val="00193652"/>
    <w:rsid w:val="00194675"/>
    <w:rsid w:val="00195AB4"/>
    <w:rsid w:val="001A0571"/>
    <w:rsid w:val="001A0D24"/>
    <w:rsid w:val="001A3837"/>
    <w:rsid w:val="001A399F"/>
    <w:rsid w:val="001A4AA6"/>
    <w:rsid w:val="001A7CA3"/>
    <w:rsid w:val="001A7EB4"/>
    <w:rsid w:val="001B02E6"/>
    <w:rsid w:val="001B04D8"/>
    <w:rsid w:val="001B06AE"/>
    <w:rsid w:val="001B7CD8"/>
    <w:rsid w:val="001C26DC"/>
    <w:rsid w:val="001C30D2"/>
    <w:rsid w:val="001D2972"/>
    <w:rsid w:val="001D4E8C"/>
    <w:rsid w:val="001D7B89"/>
    <w:rsid w:val="001E3777"/>
    <w:rsid w:val="001E61B5"/>
    <w:rsid w:val="001E7511"/>
    <w:rsid w:val="001E7B75"/>
    <w:rsid w:val="001F20A9"/>
    <w:rsid w:val="001F2AD6"/>
    <w:rsid w:val="001F3763"/>
    <w:rsid w:val="001F3A0B"/>
    <w:rsid w:val="001F58CA"/>
    <w:rsid w:val="001F6839"/>
    <w:rsid w:val="00204F24"/>
    <w:rsid w:val="00205255"/>
    <w:rsid w:val="00206228"/>
    <w:rsid w:val="00216070"/>
    <w:rsid w:val="0021791B"/>
    <w:rsid w:val="00220A52"/>
    <w:rsid w:val="00224931"/>
    <w:rsid w:val="00224C4C"/>
    <w:rsid w:val="00226E6C"/>
    <w:rsid w:val="002339D8"/>
    <w:rsid w:val="00233F51"/>
    <w:rsid w:val="0023627D"/>
    <w:rsid w:val="00236AC1"/>
    <w:rsid w:val="00237564"/>
    <w:rsid w:val="00244554"/>
    <w:rsid w:val="00244D15"/>
    <w:rsid w:val="002460E8"/>
    <w:rsid w:val="002503A0"/>
    <w:rsid w:val="00253615"/>
    <w:rsid w:val="00262CA7"/>
    <w:rsid w:val="0026357F"/>
    <w:rsid w:val="0027175C"/>
    <w:rsid w:val="00271CC0"/>
    <w:rsid w:val="002735A3"/>
    <w:rsid w:val="00284E46"/>
    <w:rsid w:val="0028501B"/>
    <w:rsid w:val="00292DC2"/>
    <w:rsid w:val="002A12BC"/>
    <w:rsid w:val="002A6BD7"/>
    <w:rsid w:val="002C40A6"/>
    <w:rsid w:val="002C490A"/>
    <w:rsid w:val="002C5B19"/>
    <w:rsid w:val="002D44BF"/>
    <w:rsid w:val="002D689D"/>
    <w:rsid w:val="002D711B"/>
    <w:rsid w:val="002E1E27"/>
    <w:rsid w:val="002E29A4"/>
    <w:rsid w:val="002E7B23"/>
    <w:rsid w:val="002F0BEB"/>
    <w:rsid w:val="002F541C"/>
    <w:rsid w:val="0030159D"/>
    <w:rsid w:val="00302C91"/>
    <w:rsid w:val="003051FA"/>
    <w:rsid w:val="00305F9D"/>
    <w:rsid w:val="003154BA"/>
    <w:rsid w:val="00321DF3"/>
    <w:rsid w:val="0032617C"/>
    <w:rsid w:val="00326280"/>
    <w:rsid w:val="00333E4D"/>
    <w:rsid w:val="00333E5E"/>
    <w:rsid w:val="00336763"/>
    <w:rsid w:val="0033765B"/>
    <w:rsid w:val="00337BA1"/>
    <w:rsid w:val="0034363E"/>
    <w:rsid w:val="00345DA0"/>
    <w:rsid w:val="00351466"/>
    <w:rsid w:val="00351D7D"/>
    <w:rsid w:val="00351DA5"/>
    <w:rsid w:val="00353857"/>
    <w:rsid w:val="00355A4E"/>
    <w:rsid w:val="0036636E"/>
    <w:rsid w:val="0037345B"/>
    <w:rsid w:val="00375246"/>
    <w:rsid w:val="00375404"/>
    <w:rsid w:val="0037781B"/>
    <w:rsid w:val="00380874"/>
    <w:rsid w:val="003835EA"/>
    <w:rsid w:val="003845B9"/>
    <w:rsid w:val="00385552"/>
    <w:rsid w:val="00386E20"/>
    <w:rsid w:val="00390D18"/>
    <w:rsid w:val="00394FF9"/>
    <w:rsid w:val="00396C34"/>
    <w:rsid w:val="003A2545"/>
    <w:rsid w:val="003B0C22"/>
    <w:rsid w:val="003B1426"/>
    <w:rsid w:val="003B1A1C"/>
    <w:rsid w:val="003B74BD"/>
    <w:rsid w:val="003C4813"/>
    <w:rsid w:val="003C6748"/>
    <w:rsid w:val="003C74E1"/>
    <w:rsid w:val="003C76CB"/>
    <w:rsid w:val="003D1B2A"/>
    <w:rsid w:val="003D47EF"/>
    <w:rsid w:val="003D4C0D"/>
    <w:rsid w:val="003D702B"/>
    <w:rsid w:val="003E0301"/>
    <w:rsid w:val="003E1EBD"/>
    <w:rsid w:val="003E4F3D"/>
    <w:rsid w:val="003E516D"/>
    <w:rsid w:val="003E6A76"/>
    <w:rsid w:val="003F2542"/>
    <w:rsid w:val="003F46EA"/>
    <w:rsid w:val="003F5A82"/>
    <w:rsid w:val="00400D84"/>
    <w:rsid w:val="00404245"/>
    <w:rsid w:val="004054F5"/>
    <w:rsid w:val="0041290D"/>
    <w:rsid w:val="004167FB"/>
    <w:rsid w:val="004221D0"/>
    <w:rsid w:val="00422A03"/>
    <w:rsid w:val="0042603F"/>
    <w:rsid w:val="00426E1F"/>
    <w:rsid w:val="00427CC4"/>
    <w:rsid w:val="00430004"/>
    <w:rsid w:val="004326D7"/>
    <w:rsid w:val="00432EE3"/>
    <w:rsid w:val="00435E05"/>
    <w:rsid w:val="0044077A"/>
    <w:rsid w:val="00441355"/>
    <w:rsid w:val="00445740"/>
    <w:rsid w:val="00450B95"/>
    <w:rsid w:val="00453253"/>
    <w:rsid w:val="00453F60"/>
    <w:rsid w:val="00454E5D"/>
    <w:rsid w:val="00456E60"/>
    <w:rsid w:val="00461E18"/>
    <w:rsid w:val="00464861"/>
    <w:rsid w:val="00466FE2"/>
    <w:rsid w:val="00467EE0"/>
    <w:rsid w:val="004716C5"/>
    <w:rsid w:val="00475917"/>
    <w:rsid w:val="00475EB1"/>
    <w:rsid w:val="0047639F"/>
    <w:rsid w:val="00477D2D"/>
    <w:rsid w:val="00485D26"/>
    <w:rsid w:val="00493626"/>
    <w:rsid w:val="00493CAC"/>
    <w:rsid w:val="00493DE0"/>
    <w:rsid w:val="004969E1"/>
    <w:rsid w:val="00496EAC"/>
    <w:rsid w:val="004A066F"/>
    <w:rsid w:val="004A3D06"/>
    <w:rsid w:val="004A7DC9"/>
    <w:rsid w:val="004B064E"/>
    <w:rsid w:val="004B2356"/>
    <w:rsid w:val="004B4553"/>
    <w:rsid w:val="004B690D"/>
    <w:rsid w:val="004B792A"/>
    <w:rsid w:val="004B7D8C"/>
    <w:rsid w:val="004B7E95"/>
    <w:rsid w:val="004C10E1"/>
    <w:rsid w:val="004C13A8"/>
    <w:rsid w:val="004C24EB"/>
    <w:rsid w:val="004C27BF"/>
    <w:rsid w:val="004C4239"/>
    <w:rsid w:val="004C45E5"/>
    <w:rsid w:val="004C6C76"/>
    <w:rsid w:val="004D4D0D"/>
    <w:rsid w:val="004D64F7"/>
    <w:rsid w:val="004E1A71"/>
    <w:rsid w:val="004E1BEB"/>
    <w:rsid w:val="004E2374"/>
    <w:rsid w:val="004E26AA"/>
    <w:rsid w:val="004E4711"/>
    <w:rsid w:val="004E4F7F"/>
    <w:rsid w:val="004E5156"/>
    <w:rsid w:val="004F0DFE"/>
    <w:rsid w:val="004F20D8"/>
    <w:rsid w:val="004F3F72"/>
    <w:rsid w:val="00502E67"/>
    <w:rsid w:val="005066F9"/>
    <w:rsid w:val="00510405"/>
    <w:rsid w:val="00511145"/>
    <w:rsid w:val="00511318"/>
    <w:rsid w:val="00512205"/>
    <w:rsid w:val="00513710"/>
    <w:rsid w:val="00514BDA"/>
    <w:rsid w:val="005178BE"/>
    <w:rsid w:val="00520A3D"/>
    <w:rsid w:val="005218A8"/>
    <w:rsid w:val="00521A7C"/>
    <w:rsid w:val="00522C33"/>
    <w:rsid w:val="00525964"/>
    <w:rsid w:val="0052749C"/>
    <w:rsid w:val="0052793E"/>
    <w:rsid w:val="0053046F"/>
    <w:rsid w:val="00531B89"/>
    <w:rsid w:val="005320CD"/>
    <w:rsid w:val="00534629"/>
    <w:rsid w:val="00534696"/>
    <w:rsid w:val="00536B9C"/>
    <w:rsid w:val="005407BD"/>
    <w:rsid w:val="00541EC1"/>
    <w:rsid w:val="005509E0"/>
    <w:rsid w:val="00555A8E"/>
    <w:rsid w:val="005611A5"/>
    <w:rsid w:val="00562012"/>
    <w:rsid w:val="00570347"/>
    <w:rsid w:val="00571B1B"/>
    <w:rsid w:val="005747B6"/>
    <w:rsid w:val="00574FE0"/>
    <w:rsid w:val="005751A6"/>
    <w:rsid w:val="005755B7"/>
    <w:rsid w:val="00581865"/>
    <w:rsid w:val="0058727D"/>
    <w:rsid w:val="00587844"/>
    <w:rsid w:val="00592F67"/>
    <w:rsid w:val="00592FF5"/>
    <w:rsid w:val="00593C9C"/>
    <w:rsid w:val="00594F59"/>
    <w:rsid w:val="005A2097"/>
    <w:rsid w:val="005A2B7F"/>
    <w:rsid w:val="005A3C35"/>
    <w:rsid w:val="005B2648"/>
    <w:rsid w:val="005B2D1B"/>
    <w:rsid w:val="005B39DF"/>
    <w:rsid w:val="005C68B2"/>
    <w:rsid w:val="005C6910"/>
    <w:rsid w:val="005C6BA4"/>
    <w:rsid w:val="005C737F"/>
    <w:rsid w:val="005D1849"/>
    <w:rsid w:val="005D306D"/>
    <w:rsid w:val="005D3C3D"/>
    <w:rsid w:val="005E22C7"/>
    <w:rsid w:val="005F106C"/>
    <w:rsid w:val="005F3076"/>
    <w:rsid w:val="005F43E8"/>
    <w:rsid w:val="005F4CB9"/>
    <w:rsid w:val="005F777D"/>
    <w:rsid w:val="00604224"/>
    <w:rsid w:val="006058D7"/>
    <w:rsid w:val="006114FA"/>
    <w:rsid w:val="006127D4"/>
    <w:rsid w:val="006131C1"/>
    <w:rsid w:val="00614E1E"/>
    <w:rsid w:val="00615302"/>
    <w:rsid w:val="0061720B"/>
    <w:rsid w:val="00621A3A"/>
    <w:rsid w:val="0062544C"/>
    <w:rsid w:val="00625A0F"/>
    <w:rsid w:val="00630A4B"/>
    <w:rsid w:val="00630AB0"/>
    <w:rsid w:val="00632173"/>
    <w:rsid w:val="00637A83"/>
    <w:rsid w:val="00641CD6"/>
    <w:rsid w:val="006427F5"/>
    <w:rsid w:val="006469E6"/>
    <w:rsid w:val="00647811"/>
    <w:rsid w:val="00651A2E"/>
    <w:rsid w:val="00652FB3"/>
    <w:rsid w:val="006538B4"/>
    <w:rsid w:val="00653ABC"/>
    <w:rsid w:val="00656E24"/>
    <w:rsid w:val="006604A0"/>
    <w:rsid w:val="00663EFD"/>
    <w:rsid w:val="00665013"/>
    <w:rsid w:val="00667382"/>
    <w:rsid w:val="006752C2"/>
    <w:rsid w:val="00675E5A"/>
    <w:rsid w:val="006775A1"/>
    <w:rsid w:val="006803FB"/>
    <w:rsid w:val="00680462"/>
    <w:rsid w:val="006811C4"/>
    <w:rsid w:val="006812BA"/>
    <w:rsid w:val="00683B8E"/>
    <w:rsid w:val="00684397"/>
    <w:rsid w:val="006852DC"/>
    <w:rsid w:val="00685997"/>
    <w:rsid w:val="00686FD5"/>
    <w:rsid w:val="00692B21"/>
    <w:rsid w:val="006A4598"/>
    <w:rsid w:val="006A4D95"/>
    <w:rsid w:val="006A5606"/>
    <w:rsid w:val="006B1B05"/>
    <w:rsid w:val="006B28A6"/>
    <w:rsid w:val="006B2CB6"/>
    <w:rsid w:val="006B314F"/>
    <w:rsid w:val="006B3E5D"/>
    <w:rsid w:val="006B64F4"/>
    <w:rsid w:val="006B6D62"/>
    <w:rsid w:val="006C2F35"/>
    <w:rsid w:val="006C341D"/>
    <w:rsid w:val="006C61BA"/>
    <w:rsid w:val="006D126D"/>
    <w:rsid w:val="006D1919"/>
    <w:rsid w:val="006D3459"/>
    <w:rsid w:val="006D442F"/>
    <w:rsid w:val="006D7242"/>
    <w:rsid w:val="006E63BB"/>
    <w:rsid w:val="006F013C"/>
    <w:rsid w:val="006F0C26"/>
    <w:rsid w:val="006F456F"/>
    <w:rsid w:val="006F641A"/>
    <w:rsid w:val="006F6E6F"/>
    <w:rsid w:val="00706CE6"/>
    <w:rsid w:val="00710097"/>
    <w:rsid w:val="007176C1"/>
    <w:rsid w:val="007244D9"/>
    <w:rsid w:val="007247EC"/>
    <w:rsid w:val="007257E6"/>
    <w:rsid w:val="00726338"/>
    <w:rsid w:val="0073218F"/>
    <w:rsid w:val="00732CB4"/>
    <w:rsid w:val="007338BD"/>
    <w:rsid w:val="007346B5"/>
    <w:rsid w:val="007378EC"/>
    <w:rsid w:val="00742743"/>
    <w:rsid w:val="00745F23"/>
    <w:rsid w:val="007475C4"/>
    <w:rsid w:val="0075012A"/>
    <w:rsid w:val="00752D79"/>
    <w:rsid w:val="00754C8C"/>
    <w:rsid w:val="00760BA8"/>
    <w:rsid w:val="00760D1F"/>
    <w:rsid w:val="00761491"/>
    <w:rsid w:val="00766ECB"/>
    <w:rsid w:val="00767901"/>
    <w:rsid w:val="00770C2F"/>
    <w:rsid w:val="0077375B"/>
    <w:rsid w:val="007745E2"/>
    <w:rsid w:val="00775213"/>
    <w:rsid w:val="00783415"/>
    <w:rsid w:val="00783825"/>
    <w:rsid w:val="00785D41"/>
    <w:rsid w:val="00791338"/>
    <w:rsid w:val="00792E81"/>
    <w:rsid w:val="00793D89"/>
    <w:rsid w:val="007979D6"/>
    <w:rsid w:val="007A0F52"/>
    <w:rsid w:val="007A17BA"/>
    <w:rsid w:val="007A2AC9"/>
    <w:rsid w:val="007A3A29"/>
    <w:rsid w:val="007A5C41"/>
    <w:rsid w:val="007A5FA1"/>
    <w:rsid w:val="007B1779"/>
    <w:rsid w:val="007B23E7"/>
    <w:rsid w:val="007B363C"/>
    <w:rsid w:val="007C79A6"/>
    <w:rsid w:val="007D0B7F"/>
    <w:rsid w:val="007D33DC"/>
    <w:rsid w:val="007E4C35"/>
    <w:rsid w:val="007F232F"/>
    <w:rsid w:val="007F7F18"/>
    <w:rsid w:val="0080049C"/>
    <w:rsid w:val="00801AD8"/>
    <w:rsid w:val="00801F93"/>
    <w:rsid w:val="008133F3"/>
    <w:rsid w:val="00815910"/>
    <w:rsid w:val="00816F9E"/>
    <w:rsid w:val="0082106C"/>
    <w:rsid w:val="00821D2F"/>
    <w:rsid w:val="00830529"/>
    <w:rsid w:val="00831166"/>
    <w:rsid w:val="00831234"/>
    <w:rsid w:val="00831AB1"/>
    <w:rsid w:val="00832C1D"/>
    <w:rsid w:val="00835CCA"/>
    <w:rsid w:val="0083680F"/>
    <w:rsid w:val="00836BF9"/>
    <w:rsid w:val="008400CE"/>
    <w:rsid w:val="008419BE"/>
    <w:rsid w:val="00842151"/>
    <w:rsid w:val="00843527"/>
    <w:rsid w:val="00845848"/>
    <w:rsid w:val="00847E64"/>
    <w:rsid w:val="00850D49"/>
    <w:rsid w:val="00851CC6"/>
    <w:rsid w:val="0085591F"/>
    <w:rsid w:val="00862A34"/>
    <w:rsid w:val="00863B9B"/>
    <w:rsid w:val="00867D2C"/>
    <w:rsid w:val="0087060B"/>
    <w:rsid w:val="00871231"/>
    <w:rsid w:val="00871DD9"/>
    <w:rsid w:val="0088181C"/>
    <w:rsid w:val="00893DB7"/>
    <w:rsid w:val="00894B46"/>
    <w:rsid w:val="00895ACB"/>
    <w:rsid w:val="008963E1"/>
    <w:rsid w:val="00896E76"/>
    <w:rsid w:val="00897EEB"/>
    <w:rsid w:val="008A17D9"/>
    <w:rsid w:val="008A2FEE"/>
    <w:rsid w:val="008A3589"/>
    <w:rsid w:val="008A782F"/>
    <w:rsid w:val="008A7CB1"/>
    <w:rsid w:val="008B1291"/>
    <w:rsid w:val="008B1938"/>
    <w:rsid w:val="008B5F1D"/>
    <w:rsid w:val="008B72BD"/>
    <w:rsid w:val="008C4A03"/>
    <w:rsid w:val="008C4AA2"/>
    <w:rsid w:val="008C6C62"/>
    <w:rsid w:val="008D1ADE"/>
    <w:rsid w:val="008D341E"/>
    <w:rsid w:val="008D45BE"/>
    <w:rsid w:val="008D57FC"/>
    <w:rsid w:val="008D584F"/>
    <w:rsid w:val="008D6152"/>
    <w:rsid w:val="008D7A36"/>
    <w:rsid w:val="008D7C4D"/>
    <w:rsid w:val="008E2147"/>
    <w:rsid w:val="008E23F8"/>
    <w:rsid w:val="008E2747"/>
    <w:rsid w:val="008E496C"/>
    <w:rsid w:val="008F040A"/>
    <w:rsid w:val="008F08AF"/>
    <w:rsid w:val="008F290F"/>
    <w:rsid w:val="008F304A"/>
    <w:rsid w:val="008F7BA7"/>
    <w:rsid w:val="00902195"/>
    <w:rsid w:val="009028C2"/>
    <w:rsid w:val="00903302"/>
    <w:rsid w:val="009045C9"/>
    <w:rsid w:val="00904D5B"/>
    <w:rsid w:val="00913300"/>
    <w:rsid w:val="00914CC4"/>
    <w:rsid w:val="00916918"/>
    <w:rsid w:val="009172A6"/>
    <w:rsid w:val="00920159"/>
    <w:rsid w:val="00920609"/>
    <w:rsid w:val="00920E72"/>
    <w:rsid w:val="0092107F"/>
    <w:rsid w:val="00921442"/>
    <w:rsid w:val="0092338A"/>
    <w:rsid w:val="00925C3E"/>
    <w:rsid w:val="00926A26"/>
    <w:rsid w:val="00927039"/>
    <w:rsid w:val="00933A97"/>
    <w:rsid w:val="00937193"/>
    <w:rsid w:val="009435B2"/>
    <w:rsid w:val="009453F3"/>
    <w:rsid w:val="009463E5"/>
    <w:rsid w:val="00950D4F"/>
    <w:rsid w:val="0095170F"/>
    <w:rsid w:val="00960494"/>
    <w:rsid w:val="00960955"/>
    <w:rsid w:val="009610D3"/>
    <w:rsid w:val="00965BD4"/>
    <w:rsid w:val="00966017"/>
    <w:rsid w:val="009662C7"/>
    <w:rsid w:val="009669FC"/>
    <w:rsid w:val="00967608"/>
    <w:rsid w:val="00970659"/>
    <w:rsid w:val="00970E1A"/>
    <w:rsid w:val="00972940"/>
    <w:rsid w:val="00973C6A"/>
    <w:rsid w:val="0098164F"/>
    <w:rsid w:val="00983D45"/>
    <w:rsid w:val="009870B3"/>
    <w:rsid w:val="009904A7"/>
    <w:rsid w:val="00991866"/>
    <w:rsid w:val="0099242B"/>
    <w:rsid w:val="009A0611"/>
    <w:rsid w:val="009A25AC"/>
    <w:rsid w:val="009A2A09"/>
    <w:rsid w:val="009A415D"/>
    <w:rsid w:val="009A72A4"/>
    <w:rsid w:val="009B0A01"/>
    <w:rsid w:val="009B3C62"/>
    <w:rsid w:val="009C05CE"/>
    <w:rsid w:val="009C0A86"/>
    <w:rsid w:val="009D2191"/>
    <w:rsid w:val="009D2529"/>
    <w:rsid w:val="009D6F21"/>
    <w:rsid w:val="009E0BD7"/>
    <w:rsid w:val="009E1488"/>
    <w:rsid w:val="009E413B"/>
    <w:rsid w:val="009E4D6E"/>
    <w:rsid w:val="009F20DA"/>
    <w:rsid w:val="009F2AED"/>
    <w:rsid w:val="009F2C44"/>
    <w:rsid w:val="009F3618"/>
    <w:rsid w:val="009F5548"/>
    <w:rsid w:val="00A00E2F"/>
    <w:rsid w:val="00A075F5"/>
    <w:rsid w:val="00A1121C"/>
    <w:rsid w:val="00A23E53"/>
    <w:rsid w:val="00A24747"/>
    <w:rsid w:val="00A271C6"/>
    <w:rsid w:val="00A30546"/>
    <w:rsid w:val="00A316C2"/>
    <w:rsid w:val="00A3209F"/>
    <w:rsid w:val="00A34362"/>
    <w:rsid w:val="00A35C91"/>
    <w:rsid w:val="00A37E42"/>
    <w:rsid w:val="00A43B88"/>
    <w:rsid w:val="00A50DF1"/>
    <w:rsid w:val="00A53494"/>
    <w:rsid w:val="00A536BB"/>
    <w:rsid w:val="00A5500A"/>
    <w:rsid w:val="00A60004"/>
    <w:rsid w:val="00A61EB6"/>
    <w:rsid w:val="00A62D83"/>
    <w:rsid w:val="00A641C9"/>
    <w:rsid w:val="00A64C4D"/>
    <w:rsid w:val="00A669C2"/>
    <w:rsid w:val="00A70EA3"/>
    <w:rsid w:val="00A715D2"/>
    <w:rsid w:val="00A7342C"/>
    <w:rsid w:val="00A74FB3"/>
    <w:rsid w:val="00A814DF"/>
    <w:rsid w:val="00A819E4"/>
    <w:rsid w:val="00A84C62"/>
    <w:rsid w:val="00A86060"/>
    <w:rsid w:val="00A971DB"/>
    <w:rsid w:val="00A97A2C"/>
    <w:rsid w:val="00AA0D3B"/>
    <w:rsid w:val="00AA64A4"/>
    <w:rsid w:val="00AB3853"/>
    <w:rsid w:val="00AB6378"/>
    <w:rsid w:val="00AC03B0"/>
    <w:rsid w:val="00AC6E81"/>
    <w:rsid w:val="00AD05C5"/>
    <w:rsid w:val="00AD13F4"/>
    <w:rsid w:val="00AD2D55"/>
    <w:rsid w:val="00AE0439"/>
    <w:rsid w:val="00AE052A"/>
    <w:rsid w:val="00AE5836"/>
    <w:rsid w:val="00B0100C"/>
    <w:rsid w:val="00B04326"/>
    <w:rsid w:val="00B04474"/>
    <w:rsid w:val="00B070C6"/>
    <w:rsid w:val="00B11145"/>
    <w:rsid w:val="00B14045"/>
    <w:rsid w:val="00B17A8E"/>
    <w:rsid w:val="00B21500"/>
    <w:rsid w:val="00B21FBA"/>
    <w:rsid w:val="00B22EEA"/>
    <w:rsid w:val="00B264E9"/>
    <w:rsid w:val="00B32A5B"/>
    <w:rsid w:val="00B3543F"/>
    <w:rsid w:val="00B427BE"/>
    <w:rsid w:val="00B43114"/>
    <w:rsid w:val="00B50330"/>
    <w:rsid w:val="00B526BD"/>
    <w:rsid w:val="00B54138"/>
    <w:rsid w:val="00B55411"/>
    <w:rsid w:val="00B56441"/>
    <w:rsid w:val="00B57280"/>
    <w:rsid w:val="00B62A79"/>
    <w:rsid w:val="00B64312"/>
    <w:rsid w:val="00B644BE"/>
    <w:rsid w:val="00B64AE9"/>
    <w:rsid w:val="00B77B40"/>
    <w:rsid w:val="00B850D6"/>
    <w:rsid w:val="00B85DF9"/>
    <w:rsid w:val="00B8624F"/>
    <w:rsid w:val="00B9129D"/>
    <w:rsid w:val="00B93319"/>
    <w:rsid w:val="00B949BA"/>
    <w:rsid w:val="00B94C24"/>
    <w:rsid w:val="00B950F6"/>
    <w:rsid w:val="00B97D36"/>
    <w:rsid w:val="00BA362A"/>
    <w:rsid w:val="00BA39DA"/>
    <w:rsid w:val="00BA510B"/>
    <w:rsid w:val="00BB10C3"/>
    <w:rsid w:val="00BB3557"/>
    <w:rsid w:val="00BB35B6"/>
    <w:rsid w:val="00BB3FCE"/>
    <w:rsid w:val="00BB584F"/>
    <w:rsid w:val="00BB6934"/>
    <w:rsid w:val="00BC01B6"/>
    <w:rsid w:val="00BC33F2"/>
    <w:rsid w:val="00BC4234"/>
    <w:rsid w:val="00BD159E"/>
    <w:rsid w:val="00BF09F2"/>
    <w:rsid w:val="00C00FB7"/>
    <w:rsid w:val="00C11D4E"/>
    <w:rsid w:val="00C12172"/>
    <w:rsid w:val="00C155BD"/>
    <w:rsid w:val="00C15DF2"/>
    <w:rsid w:val="00C208F0"/>
    <w:rsid w:val="00C22574"/>
    <w:rsid w:val="00C23D64"/>
    <w:rsid w:val="00C258E4"/>
    <w:rsid w:val="00C365D6"/>
    <w:rsid w:val="00C40CC7"/>
    <w:rsid w:val="00C41A8F"/>
    <w:rsid w:val="00C440A9"/>
    <w:rsid w:val="00C449EF"/>
    <w:rsid w:val="00C44BA8"/>
    <w:rsid w:val="00C4568D"/>
    <w:rsid w:val="00C46E2F"/>
    <w:rsid w:val="00C51B60"/>
    <w:rsid w:val="00C538ED"/>
    <w:rsid w:val="00C6123E"/>
    <w:rsid w:val="00C64753"/>
    <w:rsid w:val="00C649A4"/>
    <w:rsid w:val="00C651B4"/>
    <w:rsid w:val="00C6692B"/>
    <w:rsid w:val="00C673E2"/>
    <w:rsid w:val="00C75A87"/>
    <w:rsid w:val="00C76C53"/>
    <w:rsid w:val="00C84253"/>
    <w:rsid w:val="00C901CA"/>
    <w:rsid w:val="00C9692A"/>
    <w:rsid w:val="00C97CDF"/>
    <w:rsid w:val="00CA60C2"/>
    <w:rsid w:val="00CA653B"/>
    <w:rsid w:val="00CA6D06"/>
    <w:rsid w:val="00CA7B63"/>
    <w:rsid w:val="00CB0896"/>
    <w:rsid w:val="00CB0AA2"/>
    <w:rsid w:val="00CB2309"/>
    <w:rsid w:val="00CB5BC8"/>
    <w:rsid w:val="00CC080C"/>
    <w:rsid w:val="00CC0CC5"/>
    <w:rsid w:val="00CC29FF"/>
    <w:rsid w:val="00CD1B17"/>
    <w:rsid w:val="00CD603C"/>
    <w:rsid w:val="00CE363F"/>
    <w:rsid w:val="00CE50BB"/>
    <w:rsid w:val="00CE6D17"/>
    <w:rsid w:val="00CF18BC"/>
    <w:rsid w:val="00CF3CDE"/>
    <w:rsid w:val="00CF47D6"/>
    <w:rsid w:val="00CF5EC2"/>
    <w:rsid w:val="00D00441"/>
    <w:rsid w:val="00D0436E"/>
    <w:rsid w:val="00D134E1"/>
    <w:rsid w:val="00D14D1D"/>
    <w:rsid w:val="00D15E56"/>
    <w:rsid w:val="00D1776A"/>
    <w:rsid w:val="00D202F3"/>
    <w:rsid w:val="00D24953"/>
    <w:rsid w:val="00D26A08"/>
    <w:rsid w:val="00D277F5"/>
    <w:rsid w:val="00D46555"/>
    <w:rsid w:val="00D4670D"/>
    <w:rsid w:val="00D53196"/>
    <w:rsid w:val="00D54474"/>
    <w:rsid w:val="00D55E1F"/>
    <w:rsid w:val="00D635E8"/>
    <w:rsid w:val="00D72B1D"/>
    <w:rsid w:val="00D72C5B"/>
    <w:rsid w:val="00D77AC8"/>
    <w:rsid w:val="00D801F9"/>
    <w:rsid w:val="00D82E01"/>
    <w:rsid w:val="00D84EBC"/>
    <w:rsid w:val="00D945A2"/>
    <w:rsid w:val="00D9540C"/>
    <w:rsid w:val="00D95D32"/>
    <w:rsid w:val="00D9671A"/>
    <w:rsid w:val="00DA328E"/>
    <w:rsid w:val="00DA4854"/>
    <w:rsid w:val="00DB0F4A"/>
    <w:rsid w:val="00DB15F8"/>
    <w:rsid w:val="00DB2906"/>
    <w:rsid w:val="00DC3092"/>
    <w:rsid w:val="00DC61E2"/>
    <w:rsid w:val="00DD1387"/>
    <w:rsid w:val="00DD18AC"/>
    <w:rsid w:val="00DD53EE"/>
    <w:rsid w:val="00DD70E9"/>
    <w:rsid w:val="00DD7FD2"/>
    <w:rsid w:val="00DE000A"/>
    <w:rsid w:val="00DE0765"/>
    <w:rsid w:val="00DE63E9"/>
    <w:rsid w:val="00DF027B"/>
    <w:rsid w:val="00DF1C5A"/>
    <w:rsid w:val="00DF5686"/>
    <w:rsid w:val="00E00B36"/>
    <w:rsid w:val="00E074B6"/>
    <w:rsid w:val="00E100C9"/>
    <w:rsid w:val="00E10728"/>
    <w:rsid w:val="00E110DF"/>
    <w:rsid w:val="00E11FFE"/>
    <w:rsid w:val="00E12D97"/>
    <w:rsid w:val="00E14702"/>
    <w:rsid w:val="00E14B37"/>
    <w:rsid w:val="00E151B5"/>
    <w:rsid w:val="00E3002D"/>
    <w:rsid w:val="00E34F02"/>
    <w:rsid w:val="00E3564C"/>
    <w:rsid w:val="00E356B1"/>
    <w:rsid w:val="00E36F1A"/>
    <w:rsid w:val="00E400DA"/>
    <w:rsid w:val="00E424E6"/>
    <w:rsid w:val="00E474C1"/>
    <w:rsid w:val="00E52DFF"/>
    <w:rsid w:val="00E5431D"/>
    <w:rsid w:val="00E609FA"/>
    <w:rsid w:val="00E6127A"/>
    <w:rsid w:val="00E613BC"/>
    <w:rsid w:val="00E622AC"/>
    <w:rsid w:val="00E6321D"/>
    <w:rsid w:val="00E66FEB"/>
    <w:rsid w:val="00E678EA"/>
    <w:rsid w:val="00E72D95"/>
    <w:rsid w:val="00E73DBA"/>
    <w:rsid w:val="00E74056"/>
    <w:rsid w:val="00E8056B"/>
    <w:rsid w:val="00E80BAA"/>
    <w:rsid w:val="00E84159"/>
    <w:rsid w:val="00E93781"/>
    <w:rsid w:val="00E97464"/>
    <w:rsid w:val="00EA10B6"/>
    <w:rsid w:val="00EA3E42"/>
    <w:rsid w:val="00EA438C"/>
    <w:rsid w:val="00EA55EF"/>
    <w:rsid w:val="00EB129B"/>
    <w:rsid w:val="00EB3915"/>
    <w:rsid w:val="00EB3A14"/>
    <w:rsid w:val="00EB3D90"/>
    <w:rsid w:val="00EB48E1"/>
    <w:rsid w:val="00EB5BD6"/>
    <w:rsid w:val="00EC022C"/>
    <w:rsid w:val="00EC0840"/>
    <w:rsid w:val="00EC283C"/>
    <w:rsid w:val="00ED598D"/>
    <w:rsid w:val="00EE0FC5"/>
    <w:rsid w:val="00EE197A"/>
    <w:rsid w:val="00EE1C5B"/>
    <w:rsid w:val="00EE7C2D"/>
    <w:rsid w:val="00F020BC"/>
    <w:rsid w:val="00F058D0"/>
    <w:rsid w:val="00F065C5"/>
    <w:rsid w:val="00F06CD4"/>
    <w:rsid w:val="00F113F1"/>
    <w:rsid w:val="00F13C7F"/>
    <w:rsid w:val="00F156EE"/>
    <w:rsid w:val="00F165DA"/>
    <w:rsid w:val="00F20518"/>
    <w:rsid w:val="00F21F98"/>
    <w:rsid w:val="00F24EBE"/>
    <w:rsid w:val="00F26E8C"/>
    <w:rsid w:val="00F27B36"/>
    <w:rsid w:val="00F35225"/>
    <w:rsid w:val="00F363BC"/>
    <w:rsid w:val="00F418CC"/>
    <w:rsid w:val="00F41DF6"/>
    <w:rsid w:val="00F44588"/>
    <w:rsid w:val="00F44EB8"/>
    <w:rsid w:val="00F4571E"/>
    <w:rsid w:val="00F51C75"/>
    <w:rsid w:val="00F5274A"/>
    <w:rsid w:val="00F532BD"/>
    <w:rsid w:val="00F5363E"/>
    <w:rsid w:val="00F53BBC"/>
    <w:rsid w:val="00F54BD5"/>
    <w:rsid w:val="00F57085"/>
    <w:rsid w:val="00F6108C"/>
    <w:rsid w:val="00F619E9"/>
    <w:rsid w:val="00F61CF5"/>
    <w:rsid w:val="00F628A3"/>
    <w:rsid w:val="00F70C04"/>
    <w:rsid w:val="00F736F0"/>
    <w:rsid w:val="00F73C89"/>
    <w:rsid w:val="00F7534C"/>
    <w:rsid w:val="00F8274A"/>
    <w:rsid w:val="00F83CFF"/>
    <w:rsid w:val="00F90E30"/>
    <w:rsid w:val="00F95304"/>
    <w:rsid w:val="00F95935"/>
    <w:rsid w:val="00FA041D"/>
    <w:rsid w:val="00FA0839"/>
    <w:rsid w:val="00FA159F"/>
    <w:rsid w:val="00FA49F3"/>
    <w:rsid w:val="00FA5FBB"/>
    <w:rsid w:val="00FB0FEC"/>
    <w:rsid w:val="00FB1199"/>
    <w:rsid w:val="00FB1940"/>
    <w:rsid w:val="00FB2CD1"/>
    <w:rsid w:val="00FB50B3"/>
    <w:rsid w:val="00FB54AC"/>
    <w:rsid w:val="00FB5D57"/>
    <w:rsid w:val="00FB6D65"/>
    <w:rsid w:val="00FB79DA"/>
    <w:rsid w:val="00FC0E9E"/>
    <w:rsid w:val="00FC5E25"/>
    <w:rsid w:val="00FC7212"/>
    <w:rsid w:val="00FC7769"/>
    <w:rsid w:val="00FD178A"/>
    <w:rsid w:val="00FD464E"/>
    <w:rsid w:val="00FD6097"/>
    <w:rsid w:val="00FE38F1"/>
    <w:rsid w:val="00FE3B32"/>
    <w:rsid w:val="00FE6733"/>
    <w:rsid w:val="00FF05CD"/>
    <w:rsid w:val="00FF2A48"/>
    <w:rsid w:val="00FF2E49"/>
    <w:rsid w:val="00FF7542"/>
    <w:rsid w:val="127BAE64"/>
    <w:rsid w:val="266ED7FE"/>
    <w:rsid w:val="3D0B1533"/>
    <w:rsid w:val="4FD9484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4ECFB9F"/>
  <w15:chartTrackingRefBased/>
  <w15:docId w15:val="{31941C9C-FC1D-42A6-B80A-D053E9B58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outlineLvl w:val="0"/>
    </w:pPr>
    <w:rPr>
      <w:b/>
      <w:bCs/>
      <w:sz w:val="24"/>
    </w:rPr>
  </w:style>
  <w:style w:type="paragraph" w:styleId="Heading2">
    <w:name w:val="heading 2"/>
    <w:basedOn w:val="Normal"/>
    <w:next w:val="Normal"/>
    <w:link w:val="Heading2Char"/>
    <w:qFormat/>
    <w:rsid w:val="00F73C89"/>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ind w:left="720"/>
    </w:pPr>
    <w:rPr>
      <w:rFonts w:ascii="Baskerville Old Face" w:hAnsi="Baskerville Old Face"/>
      <w:sz w:val="24"/>
    </w:rPr>
  </w:style>
  <w:style w:type="table" w:styleId="TableGrid">
    <w:name w:val="Table Grid"/>
    <w:basedOn w:val="TableNormal"/>
    <w:uiPriority w:val="5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75E5A"/>
    <w:rPr>
      <w:color w:val="0563C1"/>
      <w:u w:val="single"/>
    </w:rPr>
  </w:style>
  <w:style w:type="paragraph" w:customStyle="1" w:styleId="MediumGrid1-Accent21">
    <w:name w:val="Medium Grid 1 - Accent 21"/>
    <w:basedOn w:val="Normal"/>
    <w:uiPriority w:val="34"/>
    <w:qFormat/>
    <w:rsid w:val="00BD159E"/>
    <w:pPr>
      <w:widowControl/>
      <w:autoSpaceDE/>
      <w:autoSpaceDN/>
      <w:adjustRightInd/>
      <w:ind w:left="720"/>
      <w:contextualSpacing/>
    </w:pPr>
    <w:rPr>
      <w:rFonts w:ascii="Cambria" w:eastAsia="MS Mincho" w:hAnsi="Cambria"/>
      <w:sz w:val="24"/>
    </w:rPr>
  </w:style>
  <w:style w:type="paragraph" w:styleId="BodyText">
    <w:name w:val="Body Text"/>
    <w:basedOn w:val="Normal"/>
    <w:link w:val="BodyTextChar"/>
    <w:rsid w:val="00630A4B"/>
    <w:pPr>
      <w:spacing w:after="120"/>
    </w:pPr>
  </w:style>
  <w:style w:type="character" w:customStyle="1" w:styleId="BodyTextChar">
    <w:name w:val="Body Text Char"/>
    <w:link w:val="BodyText"/>
    <w:rsid w:val="00630A4B"/>
    <w:rPr>
      <w:szCs w:val="24"/>
    </w:rPr>
  </w:style>
  <w:style w:type="paragraph" w:styleId="Header">
    <w:name w:val="header"/>
    <w:basedOn w:val="Normal"/>
    <w:link w:val="HeaderChar"/>
    <w:uiPriority w:val="99"/>
    <w:unhideWhenUsed/>
    <w:rsid w:val="00630A4B"/>
    <w:pPr>
      <w:widowControl/>
      <w:tabs>
        <w:tab w:val="center" w:pos="4680"/>
        <w:tab w:val="right" w:pos="9360"/>
      </w:tabs>
      <w:autoSpaceDE/>
      <w:autoSpaceDN/>
      <w:adjustRightInd/>
    </w:pPr>
    <w:rPr>
      <w:rFonts w:ascii="Calibri" w:eastAsia="Calibri" w:hAnsi="Calibri"/>
      <w:sz w:val="24"/>
    </w:rPr>
  </w:style>
  <w:style w:type="character" w:customStyle="1" w:styleId="HeaderChar">
    <w:name w:val="Header Char"/>
    <w:link w:val="Header"/>
    <w:uiPriority w:val="99"/>
    <w:rsid w:val="00630A4B"/>
    <w:rPr>
      <w:rFonts w:ascii="Calibri" w:eastAsia="Calibri" w:hAnsi="Calibri"/>
      <w:sz w:val="24"/>
      <w:szCs w:val="24"/>
    </w:rPr>
  </w:style>
  <w:style w:type="paragraph" w:customStyle="1" w:styleId="p1">
    <w:name w:val="p1"/>
    <w:basedOn w:val="Normal"/>
    <w:rsid w:val="00173963"/>
    <w:pPr>
      <w:widowControl/>
      <w:autoSpaceDE/>
      <w:autoSpaceDN/>
      <w:adjustRightInd/>
    </w:pPr>
    <w:rPr>
      <w:sz w:val="17"/>
      <w:szCs w:val="17"/>
    </w:rPr>
  </w:style>
  <w:style w:type="character" w:customStyle="1" w:styleId="apple-converted-space">
    <w:name w:val="apple-converted-space"/>
    <w:rsid w:val="00173963"/>
  </w:style>
  <w:style w:type="paragraph" w:customStyle="1" w:styleId="P1-StandPara">
    <w:name w:val="P1-Stand Para"/>
    <w:uiPriority w:val="99"/>
    <w:rsid w:val="00B97D36"/>
    <w:pPr>
      <w:spacing w:line="360" w:lineRule="atLeast"/>
      <w:ind w:firstLine="1152"/>
      <w:jc w:val="both"/>
    </w:pPr>
    <w:rPr>
      <w:sz w:val="22"/>
    </w:rPr>
  </w:style>
  <w:style w:type="character" w:styleId="CommentReference">
    <w:name w:val="annotation reference"/>
    <w:rsid w:val="004716C5"/>
    <w:rPr>
      <w:sz w:val="18"/>
      <w:szCs w:val="18"/>
    </w:rPr>
  </w:style>
  <w:style w:type="paragraph" w:styleId="CommentText">
    <w:name w:val="annotation text"/>
    <w:basedOn w:val="Normal"/>
    <w:link w:val="CommentTextChar"/>
    <w:rsid w:val="004716C5"/>
    <w:rPr>
      <w:sz w:val="24"/>
    </w:rPr>
  </w:style>
  <w:style w:type="character" w:customStyle="1" w:styleId="CommentTextChar">
    <w:name w:val="Comment Text Char"/>
    <w:link w:val="CommentText"/>
    <w:rsid w:val="004716C5"/>
    <w:rPr>
      <w:sz w:val="24"/>
      <w:szCs w:val="24"/>
    </w:rPr>
  </w:style>
  <w:style w:type="paragraph" w:styleId="CommentSubject">
    <w:name w:val="annotation subject"/>
    <w:basedOn w:val="CommentText"/>
    <w:next w:val="CommentText"/>
    <w:link w:val="CommentSubjectChar"/>
    <w:rsid w:val="004716C5"/>
    <w:rPr>
      <w:b/>
      <w:bCs/>
      <w:sz w:val="20"/>
      <w:szCs w:val="20"/>
    </w:rPr>
  </w:style>
  <w:style w:type="character" w:customStyle="1" w:styleId="CommentSubjectChar">
    <w:name w:val="Comment Subject Char"/>
    <w:link w:val="CommentSubject"/>
    <w:rsid w:val="004716C5"/>
    <w:rPr>
      <w:b/>
      <w:bCs/>
      <w:sz w:val="24"/>
      <w:szCs w:val="24"/>
    </w:rPr>
  </w:style>
  <w:style w:type="paragraph" w:styleId="BalloonText">
    <w:name w:val="Balloon Text"/>
    <w:basedOn w:val="Normal"/>
    <w:link w:val="BalloonTextChar"/>
    <w:rsid w:val="004716C5"/>
    <w:rPr>
      <w:sz w:val="18"/>
      <w:szCs w:val="18"/>
    </w:rPr>
  </w:style>
  <w:style w:type="character" w:customStyle="1" w:styleId="BalloonTextChar">
    <w:name w:val="Balloon Text Char"/>
    <w:link w:val="BalloonText"/>
    <w:rsid w:val="004716C5"/>
    <w:rPr>
      <w:sz w:val="18"/>
      <w:szCs w:val="18"/>
    </w:rPr>
  </w:style>
  <w:style w:type="character" w:styleId="FollowedHyperlink">
    <w:name w:val="FollowedHyperlink"/>
    <w:rsid w:val="002E1E27"/>
    <w:rPr>
      <w:color w:val="954F72"/>
      <w:u w:val="single"/>
    </w:rPr>
  </w:style>
  <w:style w:type="character" w:customStyle="1" w:styleId="Heading2Char">
    <w:name w:val="Heading 2 Char"/>
    <w:link w:val="Heading2"/>
    <w:semiHidden/>
    <w:rsid w:val="00F73C89"/>
    <w:rPr>
      <w:rFonts w:ascii="Calibri Light" w:eastAsia="Times New Roman" w:hAnsi="Calibri Light" w:cs="Times New Roman"/>
      <w:b/>
      <w:bCs/>
      <w:i/>
      <w:iCs/>
      <w:sz w:val="28"/>
      <w:szCs w:val="28"/>
    </w:rPr>
  </w:style>
  <w:style w:type="paragraph" w:customStyle="1" w:styleId="TableSubheadBlack">
    <w:name w:val="Table Subhead Black"/>
    <w:rsid w:val="007F232F"/>
    <w:pPr>
      <w:keepNext/>
      <w:spacing w:before="60" w:after="40"/>
      <w:jc w:val="center"/>
    </w:pPr>
    <w:rPr>
      <w:rFonts w:ascii="Arial" w:hAnsi="Arial"/>
      <w:b/>
      <w:color w:val="000000"/>
      <w:sz w:val="18"/>
    </w:rPr>
  </w:style>
  <w:style w:type="paragraph" w:customStyle="1" w:styleId="TableTextLeft">
    <w:name w:val="Table Text Left"/>
    <w:rsid w:val="007F232F"/>
    <w:pPr>
      <w:spacing w:before="40" w:after="40"/>
    </w:pPr>
    <w:rPr>
      <w:rFonts w:ascii="Arial" w:hAnsi="Arial"/>
      <w:sz w:val="18"/>
      <w:szCs w:val="22"/>
    </w:rPr>
  </w:style>
  <w:style w:type="paragraph" w:styleId="Footer">
    <w:name w:val="footer"/>
    <w:basedOn w:val="Normal"/>
    <w:link w:val="FooterChar"/>
    <w:rsid w:val="00206228"/>
    <w:pPr>
      <w:tabs>
        <w:tab w:val="center" w:pos="4680"/>
        <w:tab w:val="right" w:pos="9360"/>
      </w:tabs>
    </w:pPr>
  </w:style>
  <w:style w:type="character" w:customStyle="1" w:styleId="FooterChar">
    <w:name w:val="Footer Char"/>
    <w:link w:val="Footer"/>
    <w:rsid w:val="00206228"/>
    <w:rPr>
      <w:szCs w:val="24"/>
    </w:rPr>
  </w:style>
  <w:style w:type="character" w:styleId="PageNumber">
    <w:name w:val="page number"/>
    <w:rsid w:val="00206228"/>
  </w:style>
  <w:style w:type="paragraph" w:styleId="FootnoteText">
    <w:name w:val="footnote text"/>
    <w:basedOn w:val="Normal"/>
    <w:link w:val="FootnoteTextChar"/>
    <w:rsid w:val="00FA49F3"/>
    <w:rPr>
      <w:sz w:val="24"/>
    </w:rPr>
  </w:style>
  <w:style w:type="character" w:customStyle="1" w:styleId="FootnoteTextChar">
    <w:name w:val="Footnote Text Char"/>
    <w:link w:val="FootnoteText"/>
    <w:rsid w:val="00FA49F3"/>
    <w:rPr>
      <w:sz w:val="24"/>
      <w:szCs w:val="24"/>
    </w:rPr>
  </w:style>
  <w:style w:type="paragraph" w:customStyle="1" w:styleId="ColorfulShading-Accent11">
    <w:name w:val="Colorful Shading - Accent 11"/>
    <w:hidden/>
    <w:uiPriority w:val="71"/>
    <w:rsid w:val="008A2FEE"/>
    <w:rPr>
      <w:szCs w:val="24"/>
    </w:rPr>
  </w:style>
  <w:style w:type="character" w:styleId="UnresolvedMention">
    <w:name w:val="Unresolved Mention"/>
    <w:uiPriority w:val="99"/>
    <w:semiHidden/>
    <w:unhideWhenUsed/>
    <w:rsid w:val="001361E5"/>
    <w:rPr>
      <w:color w:val="605E5C"/>
      <w:shd w:val="clear" w:color="auto" w:fill="E1DFDD"/>
    </w:rPr>
  </w:style>
  <w:style w:type="paragraph" w:styleId="Revision">
    <w:name w:val="Revision"/>
    <w:hidden/>
    <w:uiPriority w:val="62"/>
    <w:rsid w:val="00686FD5"/>
    <w:rPr>
      <w:szCs w:val="24"/>
    </w:rPr>
  </w:style>
  <w:style w:type="paragraph" w:customStyle="1" w:styleId="Default">
    <w:name w:val="Default"/>
    <w:rsid w:val="0058727D"/>
    <w:pPr>
      <w:autoSpaceDE w:val="0"/>
      <w:autoSpaceDN w:val="0"/>
      <w:adjustRightInd w:val="0"/>
    </w:pPr>
    <w:rPr>
      <w:rFonts w:ascii="Arial" w:hAnsi="Arial" w:eastAsiaTheme="minorHAnsi" w:cs="Arial"/>
      <w:color w:val="000000"/>
      <w:sz w:val="24"/>
      <w:szCs w:val="24"/>
    </w:rPr>
  </w:style>
  <w:style w:type="paragraph" w:styleId="EndnoteText">
    <w:name w:val="endnote text"/>
    <w:basedOn w:val="Normal"/>
    <w:link w:val="EndnoteTextChar"/>
    <w:rsid w:val="00AB3853"/>
    <w:rPr>
      <w:szCs w:val="20"/>
    </w:rPr>
  </w:style>
  <w:style w:type="character" w:customStyle="1" w:styleId="EndnoteTextChar">
    <w:name w:val="Endnote Text Char"/>
    <w:basedOn w:val="DefaultParagraphFont"/>
    <w:link w:val="EndnoteText"/>
    <w:rsid w:val="00AB3853"/>
  </w:style>
  <w:style w:type="character" w:styleId="EndnoteReference">
    <w:name w:val="endnote reference"/>
    <w:basedOn w:val="DefaultParagraphFont"/>
    <w:rsid w:val="00AB3853"/>
    <w:rPr>
      <w:vertAlign w:val="superscript"/>
    </w:rPr>
  </w:style>
  <w:style w:type="character" w:styleId="Mention">
    <w:name w:val="Mention"/>
    <w:basedOn w:val="DefaultParagraphFont"/>
    <w:uiPriority w:val="99"/>
    <w:unhideWhenUsed/>
    <w:rsid w:val="00760BA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healthit.gov/sites/default/files/reports/finalsummativereportmarch_2016.pdf" TargetMode="External" /><Relationship Id="rId11" Type="http://schemas.openxmlformats.org/officeDocument/2006/relationships/hyperlink" Target="https://www.healthit.gov/topic/interoperability/policy/trusted-exchange-framework-and-common-agreement-tefca" TargetMode="External" /><Relationship Id="rId12" Type="http://schemas.openxmlformats.org/officeDocument/2006/relationships/hyperlink" Target="https://watermark.silverchair.com/ocaa323.pdf?token=AQECAHi208BE49Ooan9kkhW_Ercy7Dm3ZL_9Cf3qfKAc485ysgAAAt8wggLbBgkqhkiG9w0BBwagggLMMIICyAIBADCCAsEGCSqGSIb3DQEHATAeBglghkgBZQMEAS4wEQQMCX9YTdqVZ01HXcSUAgEQgIICkvSJzXs_dAdCjVOPrfq6eyIcVY-Pejf6hlLL21wZqswNlJe0S4uUkPZ0v_OwjlZ_CsyQkllC_Yoqm8CtgbGNp1g_K-oRbq4DfydEm7QBYw24GPgCz-v5WTvwqPSYGSqAgOfLbEoyywnod3FhdCevs6BHqYmUlr0prVqz32eE9SdniHiv-HN8TZimL2jns4r3_5fJZr4DIf9IZ-pk2-J92LvNpdXd8iHzaBmKGqXTJLCoxauj59l7EKNJyjqtT2pVzMilNcFz8MRHIaiwk5IbtvOB0qymGMLQu98M9Z18cXLbZGYBcDytKjK3fuVL5Qnsq_KBrvgKIpTCt2dbPNGiME8eS8iCa4T8chdyrsns7WGuZM_mU914UDm-7_HkxuUjdY1QEIF0zaer_7NpQDzvBF7YT1pHsCF3pQ4AFh-NnuBodQWq14TvUsT9Zmv3ecQ_FLpoZV9THhU2UFKGmr8pE7vzxTKnVe8NbHRZgA7L8MvDW8SE4QFmXvZtFA1QJxlIZvuLYdleuwqIHSxAIybl7JrHKwxYsOwT_Rxq2ZUk8YBmh0Ir2qIQVob-hKmsc2QTWFT_xYq36CikeaLzc-7gBs9MR4OcQTpuuWVa8tVEs6vXJcwQ3fxV37Stk51cnU41-Mj763-VneTIJP_UDiZ_Jk-8Hvc_rIz26m9pZeQKDTJkzn0LyGWDJ-89OKUcSGzQDPv5RvvvogPRsgr4Nt3AtC5fuESaC1haexOFtEGb9Fp7WX3GSBmWBdhwQ4BBm1WZRPSNLKXwcmUOnDfe0z9_G8POUsDphYzbHujXbOGOyxo4q8C5E8EhkW2ltysrtaKN0-avH-mfZHlBgx_9LeCpK_fh61_IOQvWGPIRu30MUZpZ2W0" TargetMode="External" /><Relationship Id="rId13" Type="http://schemas.openxmlformats.org/officeDocument/2006/relationships/hyperlink" Target="https://www.healthaffairs.org/doi/pdf/10.1377/hlthaff.2020.01497" TargetMode="External" /><Relationship Id="rId14" Type="http://schemas.openxmlformats.org/officeDocument/2006/relationships/hyperlink" Target="https://www.ncbi.nlm.nih.gov/pmc/articles/PMC7973451/" TargetMode="External" /><Relationship Id="rId15" Type="http://schemas.openxmlformats.org/officeDocument/2006/relationships/hyperlink" Target="https://www.healthaffairs.org/doi/abs/10.1377/hlthaff.2020.01497" TargetMode="External" /><Relationship Id="rId16" Type="http://schemas.openxmlformats.org/officeDocument/2006/relationships/hyperlink" Target="https://www.healthit.gov/buzz-blog/author/jordan" TargetMode="External" /><Relationship Id="rId17" Type="http://schemas.openxmlformats.org/officeDocument/2006/relationships/footer" Target="footer1.xml" /><Relationship Id="rId18" Type="http://schemas.openxmlformats.org/officeDocument/2006/relationships/footer" Target="footer2.xml" /><Relationship Id="rId19" Type="http://schemas.openxmlformats.org/officeDocument/2006/relationships/theme" Target="theme/theme1.xml" /><Relationship Id="rId2" Type="http://schemas.openxmlformats.org/officeDocument/2006/relationships/settings" Target="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healthit.gov/topic/onc-hitech-programs/state-health-information-exchang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a7e1651-3ea7-4b9a-8f34-2c98bb20b73c">
      <Terms xmlns="http://schemas.microsoft.com/office/infopath/2007/PartnerControls"/>
    </lcf76f155ced4ddcb4097134ff3c332f>
    <TaxCatchAll xmlns="c7f76adb-85d5-447a-b690-6df47ddd855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5643846A05B84ABF722AB3BBC462CE" ma:contentTypeVersion="16" ma:contentTypeDescription="Create a new document." ma:contentTypeScope="" ma:versionID="b8a759d53e7ddbb84376dd569eb2918c">
  <xsd:schema xmlns:xsd="http://www.w3.org/2001/XMLSchema" xmlns:xs="http://www.w3.org/2001/XMLSchema" xmlns:p="http://schemas.microsoft.com/office/2006/metadata/properties" xmlns:ns2="ea7e1651-3ea7-4b9a-8f34-2c98bb20b73c" xmlns:ns3="c7f76adb-85d5-447a-b690-6df47ddd8555" targetNamespace="http://schemas.microsoft.com/office/2006/metadata/properties" ma:root="true" ma:fieldsID="c1660d963dc35320a98f99201289a847" ns2:_="" ns3:_="">
    <xsd:import namespace="ea7e1651-3ea7-4b9a-8f34-2c98bb20b73c"/>
    <xsd:import namespace="c7f76adb-85d5-447a-b690-6df47ddd855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e1651-3ea7-4b9a-8f34-2c98bb20b7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f76adb-85d5-447a-b690-6df47ddd855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8c576be-a477-4722-b1ea-341e37a60a2a}" ma:internalName="TaxCatchAll" ma:showField="CatchAllData" ma:web="c7f76adb-85d5-447a-b690-6df47ddd85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115A01B-08F9-445C-9721-600701B22FCE}">
  <ds:schemaRefs>
    <ds:schemaRef ds:uri="http://schemas.microsoft.com/sharepoint/v3/contenttype/forms"/>
  </ds:schemaRefs>
</ds:datastoreItem>
</file>

<file path=customXml/itemProps2.xml><?xml version="1.0" encoding="utf-8"?>
<ds:datastoreItem xmlns:ds="http://schemas.openxmlformats.org/officeDocument/2006/customXml" ds:itemID="{5586CD2D-498B-4D2F-B15B-67E3A3F35250}">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c7f76adb-85d5-447a-b690-6df47ddd8555"/>
    <ds:schemaRef ds:uri="ea7e1651-3ea7-4b9a-8f34-2c98bb20b73c"/>
    <ds:schemaRef ds:uri="http://purl.org/dc/elements/1.1/"/>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83614531-7FED-48AE-9980-BAC6C7A8B4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e1651-3ea7-4b9a-8f34-2c98bb20b73c"/>
    <ds:schemaRef ds:uri="c7f76adb-85d5-447a-b690-6df47ddd85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15B543-FB87-5A49-BD45-BB6423ABA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11</Pages>
  <Words>4198</Words>
  <Characters>27565</Characters>
  <Application>Microsoft Office Word</Application>
  <DocSecurity>0</DocSecurity>
  <Lines>229</Lines>
  <Paragraphs>63</Paragraphs>
  <ScaleCrop>false</ScaleCrop>
  <HeadingPairs>
    <vt:vector size="2" baseType="variant">
      <vt:variant>
        <vt:lpstr>Title</vt:lpstr>
      </vt:variant>
      <vt:variant>
        <vt:i4>1</vt:i4>
      </vt:variant>
    </vt:vector>
  </HeadingPairs>
  <TitlesOfParts>
    <vt:vector size="1" baseType="lpstr">
      <vt:lpstr>How to Write and Submit</vt:lpstr>
    </vt:vector>
  </TitlesOfParts>
  <Company>CMS</Company>
  <LinksUpToDate>false</LinksUpToDate>
  <CharactersWithSpaces>31700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Write and Submit</dc:title>
  <dc:creator>CMS</dc:creator>
  <cp:lastModifiedBy>Chang, Wei (OS/ONC)</cp:lastModifiedBy>
  <cp:revision>14</cp:revision>
  <cp:lastPrinted>2018-10-03T13:33:00Z</cp:lastPrinted>
  <dcterms:created xsi:type="dcterms:W3CDTF">2024-07-29T19:16:00Z</dcterms:created>
  <dcterms:modified xsi:type="dcterms:W3CDTF">2024-08-01T14:33:00Z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0x0101002E5643846A05B84ABF722AB3BBC462CE</vt:lpwstr>
  </property>
  <property fmtid="{D5CDD505-2E9C-101B-9397-08002B2CF9AE}" pid="3" name="FileId">
    <vt:lpwstr>1588277</vt:lpwstr>
  </property>
  <property fmtid="{D5CDD505-2E9C-101B-9397-08002B2CF9AE}" pid="4" name="InsertAsFootnote">
    <vt:lpwstr>False</vt:lpwstr>
  </property>
  <property fmtid="{D5CDD505-2E9C-101B-9397-08002B2CF9AE}" pid="5" name="MediaServiceImageTags">
    <vt:lpwstr/>
  </property>
  <property fmtid="{D5CDD505-2E9C-101B-9397-08002B2CF9AE}" pid="6" name="ProjectId">
    <vt:lpwstr>-1</vt:lpwstr>
  </property>
  <property fmtid="{D5CDD505-2E9C-101B-9397-08002B2CF9AE}" pid="7" name="StyleId">
    <vt:lpwstr>http://www.zotero.org/styles/vancouver</vt:lpwstr>
  </property>
</Properties>
</file>