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5D82" w:rsidRPr="00BC7F42" w:rsidP="007F5269" w14:paraId="2E3E9338"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007F5269">
        <w:rPr>
          <w:rFonts w:ascii="Times New Roman" w:hAnsi="Times New Roman" w:cs="Times New Roman"/>
        </w:rPr>
        <w:t>Form SSA-6233</w:t>
      </w:r>
    </w:p>
    <w:p w:rsidR="00146275" w:rsidP="00F107B7" w14:paraId="31A29676" w14:textId="77777777">
      <w:pPr>
        <w:jc w:val="center"/>
        <w:rPr>
          <w:rFonts w:ascii="Times New Roman" w:hAnsi="Times New Roman"/>
          <w:b/>
        </w:rPr>
      </w:pPr>
      <w:r>
        <w:rPr>
          <w:rFonts w:ascii="Times New Roman" w:hAnsi="Times New Roman"/>
          <w:b/>
        </w:rPr>
        <w:t>Representative Payee Report of Benefits and Dedicated Account</w:t>
      </w:r>
    </w:p>
    <w:p w:rsidR="007F5269" w:rsidRPr="007F5269" w:rsidP="00F107B7" w14:paraId="4572F729" w14:textId="77777777">
      <w:pPr>
        <w:jc w:val="center"/>
        <w:rPr>
          <w:rFonts w:ascii="Times New Roman" w:hAnsi="Times New Roman"/>
          <w:b/>
        </w:rPr>
      </w:pPr>
      <w:r>
        <w:rPr>
          <w:rFonts w:ascii="Times New Roman" w:hAnsi="Times New Roman"/>
          <w:b/>
        </w:rPr>
        <w:t>20 CFR 416.546, 416.635, 416.640, 416.665</w:t>
      </w:r>
    </w:p>
    <w:p w:rsidR="00A45D82" w:rsidRPr="00BC7F42" w:rsidP="00A45D82" w14:paraId="6680AA42"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7F5269">
        <w:rPr>
          <w:rFonts w:ascii="Times New Roman" w:hAnsi="Times New Roman" w:cs="Times New Roman"/>
        </w:rPr>
        <w:t>0576</w:t>
      </w:r>
    </w:p>
    <w:p w:rsidR="00A45D82" w:rsidRPr="00BC7F42" w:rsidP="00A45D82" w14:paraId="71109DB6" w14:textId="77777777">
      <w:pPr>
        <w:pStyle w:val="Header"/>
        <w:tabs>
          <w:tab w:val="clear" w:pos="4320"/>
          <w:tab w:val="clear" w:pos="8640"/>
        </w:tabs>
        <w:rPr>
          <w:rFonts w:ascii="Times New Roman" w:hAnsi="Times New Roman"/>
        </w:rPr>
      </w:pPr>
    </w:p>
    <w:p w:rsidR="00A45D82" w:rsidRPr="002321B0" w:rsidP="009A5800" w14:paraId="257F3300" w14:textId="77777777">
      <w:pPr>
        <w:ind w:left="720" w:hanging="540"/>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P="00A45D82" w14:paraId="1BD43F6C" w14:textId="77777777">
      <w:pPr>
        <w:pStyle w:val="Header"/>
        <w:tabs>
          <w:tab w:val="clear" w:pos="4320"/>
          <w:tab w:val="clear" w:pos="8640"/>
        </w:tabs>
        <w:rPr>
          <w:rFonts w:ascii="Times New Roman" w:hAnsi="Times New Roman"/>
        </w:rPr>
      </w:pPr>
    </w:p>
    <w:p w:rsidR="002321B0" w:rsidRPr="009A5800" w:rsidP="009A5800" w14:paraId="3891E375" w14:textId="77777777">
      <w:pPr>
        <w:numPr>
          <w:ilvl w:val="0"/>
          <w:numId w:val="34"/>
        </w:numPr>
        <w:tabs>
          <w:tab w:val="clear" w:pos="720"/>
          <w:tab w:val="num" w:pos="1440"/>
        </w:tabs>
        <w:ind w:left="1440"/>
        <w:rPr>
          <w:rFonts w:ascii="Times New Roman" w:hAnsi="Times New Roman"/>
          <w:b/>
        </w:rPr>
      </w:pPr>
      <w:r w:rsidRPr="009A5800">
        <w:rPr>
          <w:rFonts w:ascii="Times New Roman" w:hAnsi="Times New Roman"/>
          <w:b/>
        </w:rPr>
        <w:t>Introduction/</w:t>
      </w:r>
      <w:r w:rsidRPr="009A5800" w:rsidR="00A45D82">
        <w:rPr>
          <w:rFonts w:ascii="Times New Roman" w:hAnsi="Times New Roman"/>
          <w:b/>
        </w:rPr>
        <w:t>Authoring Laws and Regulations</w:t>
      </w:r>
    </w:p>
    <w:p w:rsidR="00DE2B73" w:rsidP="00DE2B73" w14:paraId="18085D32" w14:textId="02D22EAF">
      <w:pPr>
        <w:tabs>
          <w:tab w:val="num" w:pos="1440"/>
        </w:tabs>
        <w:ind w:left="1440"/>
        <w:rPr>
          <w:rFonts w:ascii="Times New Roman" w:eastAsia="SimSun" w:hAnsi="Times New Roman"/>
          <w:snapToGrid/>
          <w:lang w:eastAsia="zh-CN"/>
        </w:rPr>
      </w:pPr>
      <w:r w:rsidRPr="00035255">
        <w:rPr>
          <w:rFonts w:ascii="Times New Roman" w:eastAsia="SimSun" w:hAnsi="Times New Roman"/>
          <w:snapToGrid/>
          <w:lang w:eastAsia="zh-CN"/>
        </w:rPr>
        <w:t xml:space="preserve">Section </w:t>
      </w:r>
      <w:r w:rsidRPr="002069F4">
        <w:rPr>
          <w:rFonts w:ascii="Times New Roman" w:eastAsia="SimSun" w:hAnsi="Times New Roman"/>
          <w:i/>
          <w:iCs/>
          <w:snapToGrid/>
          <w:lang w:eastAsia="zh-CN"/>
        </w:rPr>
        <w:t>1631(a)</w:t>
      </w:r>
      <w:r w:rsidRPr="00035255">
        <w:rPr>
          <w:rFonts w:ascii="Times New Roman" w:eastAsia="SimSun" w:hAnsi="Times New Roman"/>
          <w:snapToGrid/>
          <w:lang w:eastAsia="zh-CN"/>
        </w:rPr>
        <w:t xml:space="preserve"> of the </w:t>
      </w:r>
      <w:r w:rsidRPr="002069F4">
        <w:rPr>
          <w:rFonts w:ascii="Times New Roman" w:eastAsia="SimSun" w:hAnsi="Times New Roman"/>
          <w:i/>
          <w:iCs/>
          <w:snapToGrid/>
          <w:lang w:eastAsia="zh-CN"/>
        </w:rPr>
        <w:t>Social Security Act (Act)</w:t>
      </w:r>
      <w:r w:rsidRPr="00035255">
        <w:rPr>
          <w:rFonts w:ascii="Times New Roman" w:eastAsia="SimSun" w:hAnsi="Times New Roman"/>
          <w:snapToGrid/>
          <w:lang w:eastAsia="zh-CN"/>
        </w:rPr>
        <w:t xml:space="preserve"> and Sections </w:t>
      </w:r>
      <w:r w:rsidRPr="002069F4">
        <w:rPr>
          <w:rFonts w:ascii="Times New Roman" w:eastAsia="SimSun" w:hAnsi="Times New Roman"/>
          <w:i/>
          <w:iCs/>
          <w:snapToGrid/>
          <w:lang w:eastAsia="zh-CN"/>
        </w:rPr>
        <w:t>20 CFR 4</w:t>
      </w:r>
      <w:r w:rsidRPr="002069F4">
        <w:rPr>
          <w:rFonts w:ascii="Times New Roman" w:eastAsia="SimSun" w:hAnsi="Times New Roman"/>
          <w:i/>
          <w:iCs/>
          <w:snapToGrid/>
          <w:lang w:eastAsia="zh-CN"/>
        </w:rPr>
        <w:t>16</w:t>
      </w:r>
      <w:r w:rsidRPr="002069F4">
        <w:rPr>
          <w:rFonts w:ascii="Times New Roman" w:eastAsia="SimSun" w:hAnsi="Times New Roman"/>
          <w:i/>
          <w:iCs/>
          <w:snapToGrid/>
          <w:lang w:eastAsia="zh-CN"/>
        </w:rPr>
        <w:t>.635</w:t>
      </w:r>
      <w:r>
        <w:rPr>
          <w:rFonts w:ascii="Times New Roman" w:eastAsia="SimSun" w:hAnsi="Times New Roman"/>
          <w:snapToGrid/>
          <w:lang w:eastAsia="zh-CN"/>
        </w:rPr>
        <w:t xml:space="preserve"> </w:t>
      </w:r>
      <w:r w:rsidRPr="00035255">
        <w:rPr>
          <w:rFonts w:ascii="Times New Roman" w:eastAsia="SimSun" w:hAnsi="Times New Roman"/>
          <w:snapToGrid/>
          <w:lang w:eastAsia="zh-CN"/>
        </w:rPr>
        <w:t xml:space="preserve">and </w:t>
      </w:r>
      <w:r w:rsidRPr="002069F4">
        <w:rPr>
          <w:rFonts w:ascii="Times New Roman" w:eastAsia="SimSun" w:hAnsi="Times New Roman"/>
          <w:i/>
          <w:iCs/>
          <w:snapToGrid/>
          <w:lang w:eastAsia="zh-CN"/>
        </w:rPr>
        <w:t>416.665</w:t>
      </w:r>
      <w:r w:rsidRPr="00035255">
        <w:rPr>
          <w:rFonts w:ascii="Times New Roman" w:eastAsia="SimSun" w:hAnsi="Times New Roman"/>
          <w:snapToGrid/>
          <w:lang w:eastAsia="zh-CN"/>
        </w:rPr>
        <w:t xml:space="preserve"> of the </w:t>
      </w:r>
      <w:r w:rsidRPr="002069F4">
        <w:rPr>
          <w:rFonts w:ascii="Times New Roman" w:eastAsia="SimSun" w:hAnsi="Times New Roman"/>
          <w:i/>
          <w:iCs/>
          <w:snapToGrid/>
          <w:lang w:eastAsia="zh-CN"/>
        </w:rPr>
        <w:t>Code of Federal Regulations</w:t>
      </w:r>
      <w:r w:rsidRPr="00035255">
        <w:rPr>
          <w:rFonts w:ascii="Times New Roman" w:eastAsia="SimSun" w:hAnsi="Times New Roman"/>
          <w:snapToGrid/>
          <w:lang w:eastAsia="zh-CN"/>
        </w:rPr>
        <w:t xml:space="preserve"> state that</w:t>
      </w:r>
      <w:r>
        <w:rPr>
          <w:rFonts w:ascii="Times New Roman" w:eastAsia="SimSun" w:hAnsi="Times New Roman"/>
          <w:snapToGrid/>
          <w:lang w:eastAsia="zh-CN"/>
        </w:rPr>
        <w:t xml:space="preserve"> the Social Security Administration (SSA)</w:t>
      </w:r>
      <w:r w:rsidRPr="00035255">
        <w:rPr>
          <w:rFonts w:ascii="Times New Roman" w:eastAsia="SimSun" w:hAnsi="Times New Roman"/>
          <w:snapToGrid/>
          <w:lang w:eastAsia="zh-CN"/>
        </w:rPr>
        <w:t xml:space="preserve"> can designate a representative pay</w:t>
      </w:r>
      <w:r>
        <w:rPr>
          <w:rFonts w:ascii="Times New Roman" w:eastAsia="SimSun" w:hAnsi="Times New Roman"/>
          <w:snapToGrid/>
          <w:lang w:eastAsia="zh-CN"/>
        </w:rPr>
        <w:t xml:space="preserve">ee (payee) </w:t>
      </w:r>
      <w:r w:rsidRPr="00035255">
        <w:rPr>
          <w:rFonts w:ascii="Times New Roman" w:eastAsia="SimSun" w:hAnsi="Times New Roman"/>
          <w:snapToGrid/>
          <w:lang w:eastAsia="zh-CN"/>
        </w:rPr>
        <w:t xml:space="preserve">to </w:t>
      </w:r>
      <w:r>
        <w:rPr>
          <w:rFonts w:ascii="Times New Roman" w:eastAsia="SimSun" w:hAnsi="Times New Roman"/>
          <w:snapToGrid/>
          <w:lang w:eastAsia="zh-CN"/>
        </w:rPr>
        <w:t>receive payment</w:t>
      </w:r>
      <w:r w:rsidRPr="00035255">
        <w:rPr>
          <w:rFonts w:ascii="Times New Roman" w:eastAsia="SimSun" w:hAnsi="Times New Roman"/>
          <w:snapToGrid/>
          <w:lang w:eastAsia="zh-CN"/>
        </w:rPr>
        <w:t xml:space="preserve"> on behalf of beneficiaries when </w:t>
      </w:r>
      <w:r>
        <w:rPr>
          <w:rFonts w:ascii="Times New Roman" w:eastAsia="SimSun" w:hAnsi="Times New Roman"/>
          <w:snapToGrid/>
          <w:lang w:eastAsia="zh-CN"/>
        </w:rPr>
        <w:t>SSA</w:t>
      </w:r>
      <w:r w:rsidRPr="00035255">
        <w:rPr>
          <w:rFonts w:ascii="Times New Roman" w:eastAsia="SimSun" w:hAnsi="Times New Roman"/>
          <w:snapToGrid/>
          <w:lang w:eastAsia="zh-CN"/>
        </w:rPr>
        <w:t xml:space="preserve"> determines it is not in beneficiaries’ best interest to receive their benefit payments </w:t>
      </w:r>
      <w:r w:rsidRPr="00035255" w:rsidR="00D00FA1">
        <w:rPr>
          <w:rFonts w:ascii="Times New Roman" w:eastAsia="SimSun" w:hAnsi="Times New Roman"/>
          <w:snapToGrid/>
          <w:lang w:eastAsia="zh-CN"/>
        </w:rPr>
        <w:t>directly.</w:t>
      </w:r>
      <w:r w:rsidR="00D00FA1">
        <w:rPr>
          <w:rFonts w:ascii="Times New Roman" w:eastAsia="SimSun" w:hAnsi="Times New Roman"/>
          <w:snapToGrid/>
          <w:lang w:eastAsia="zh-CN"/>
        </w:rPr>
        <w:t xml:space="preserve"> Section</w:t>
      </w:r>
      <w:r>
        <w:rPr>
          <w:rFonts w:ascii="Times New Roman" w:eastAsia="SimSun" w:hAnsi="Times New Roman"/>
          <w:snapToGrid/>
          <w:lang w:eastAsia="zh-CN"/>
        </w:rPr>
        <w:t xml:space="preserve"> </w:t>
      </w:r>
      <w:r w:rsidRPr="002069F4">
        <w:rPr>
          <w:rFonts w:ascii="Times New Roman" w:eastAsia="SimSun" w:hAnsi="Times New Roman"/>
          <w:i/>
          <w:iCs/>
          <w:snapToGrid/>
          <w:lang w:eastAsia="zh-CN"/>
        </w:rPr>
        <w:t>1631(a)(2)(C)</w:t>
      </w:r>
      <w:r>
        <w:rPr>
          <w:rFonts w:ascii="Times New Roman" w:eastAsia="SimSun" w:hAnsi="Times New Roman"/>
          <w:snapToGrid/>
          <w:lang w:eastAsia="zh-CN"/>
        </w:rPr>
        <w:t xml:space="preserve"> and </w:t>
      </w:r>
      <w:r w:rsidRPr="002069F4">
        <w:rPr>
          <w:rFonts w:ascii="Times New Roman" w:eastAsia="SimSun" w:hAnsi="Times New Roman"/>
          <w:i/>
          <w:iCs/>
          <w:snapToGrid/>
          <w:lang w:eastAsia="zh-CN"/>
        </w:rPr>
        <w:t>20 CFR 416.665</w:t>
      </w:r>
      <w:r>
        <w:rPr>
          <w:rFonts w:ascii="Times New Roman" w:eastAsia="SimSun" w:hAnsi="Times New Roman"/>
          <w:snapToGrid/>
          <w:lang w:eastAsia="zh-CN"/>
        </w:rPr>
        <w:t xml:space="preserve"> require certain payees to account annually for how they spent and saved the benefits on the beneficiary’s behalf.</w:t>
      </w:r>
    </w:p>
    <w:p w:rsidR="00035255" w:rsidP="00D00FA1" w14:paraId="5CA0584F" w14:textId="0E52B502">
      <w:pPr>
        <w:tabs>
          <w:tab w:val="num" w:pos="1440"/>
        </w:tabs>
        <w:rPr>
          <w:rFonts w:ascii="Times New Roman" w:eastAsia="SimSun" w:hAnsi="Times New Roman"/>
          <w:snapToGrid/>
          <w:lang w:eastAsia="zh-CN"/>
        </w:rPr>
      </w:pPr>
    </w:p>
    <w:p w:rsidR="006013A3" w:rsidRPr="00772FFF" w:rsidP="009A5800" w14:paraId="4FCFD572" w14:textId="0F151C98">
      <w:pPr>
        <w:tabs>
          <w:tab w:val="num" w:pos="1440"/>
        </w:tabs>
        <w:ind w:left="1440"/>
        <w:rPr>
          <w:rFonts w:ascii="Times New Roman" w:eastAsia="SimSun" w:hAnsi="Times New Roman"/>
          <w:snapToGrid/>
          <w:lang w:eastAsia="zh-CN"/>
        </w:rPr>
      </w:pPr>
      <w:r>
        <w:rPr>
          <w:rFonts w:ascii="Times New Roman" w:eastAsia="SimSun" w:hAnsi="Times New Roman"/>
          <w:snapToGrid/>
          <w:lang w:eastAsia="zh-CN"/>
        </w:rPr>
        <w:t xml:space="preserve">Additionally, </w:t>
      </w:r>
      <w:r w:rsidRPr="00DE2B73" w:rsidR="00772FFF">
        <w:rPr>
          <w:rFonts w:ascii="Times New Roman" w:eastAsia="SimSun" w:hAnsi="Times New Roman"/>
          <w:snapToGrid/>
          <w:lang w:eastAsia="zh-CN"/>
        </w:rPr>
        <w:t xml:space="preserve">Section </w:t>
      </w:r>
      <w:r w:rsidRPr="002069F4" w:rsidR="00772FFF">
        <w:rPr>
          <w:rFonts w:ascii="Times New Roman" w:eastAsia="SimSun" w:hAnsi="Times New Roman"/>
          <w:i/>
          <w:iCs/>
          <w:snapToGrid/>
          <w:lang w:eastAsia="zh-CN"/>
        </w:rPr>
        <w:t>1631(a)</w:t>
      </w:r>
      <w:r w:rsidRPr="00DE2B73" w:rsidR="00772FFF">
        <w:rPr>
          <w:rFonts w:ascii="Times New Roman" w:eastAsia="SimSun" w:hAnsi="Times New Roman"/>
          <w:snapToGrid/>
          <w:lang w:eastAsia="zh-CN"/>
        </w:rPr>
        <w:t xml:space="preserve"> of the </w:t>
      </w:r>
      <w:r w:rsidRPr="00D00FA1">
        <w:rPr>
          <w:rFonts w:ascii="Times New Roman" w:eastAsia="SimSun" w:hAnsi="Times New Roman"/>
          <w:snapToGrid/>
          <w:lang w:eastAsia="zh-CN"/>
        </w:rPr>
        <w:t>Act</w:t>
      </w:r>
      <w:r w:rsidRPr="00DE2B73" w:rsidR="00945B8F">
        <w:rPr>
          <w:rFonts w:ascii="Times New Roman" w:eastAsia="SimSun" w:hAnsi="Times New Roman"/>
          <w:snapToGrid/>
          <w:lang w:eastAsia="zh-CN"/>
        </w:rPr>
        <w:t>,</w:t>
      </w:r>
      <w:r w:rsidRPr="00772FFF" w:rsidR="00772FFF">
        <w:rPr>
          <w:rFonts w:ascii="Times New Roman" w:eastAsia="SimSun" w:hAnsi="Times New Roman"/>
          <w:i/>
          <w:snapToGrid/>
          <w:lang w:eastAsia="zh-CN"/>
        </w:rPr>
        <w:t xml:space="preserve"> </w:t>
      </w:r>
      <w:r w:rsidRPr="00772FFF" w:rsidR="00772FFF">
        <w:rPr>
          <w:rFonts w:ascii="Times New Roman" w:eastAsia="SimSun" w:hAnsi="Times New Roman"/>
          <w:snapToGrid/>
          <w:lang w:eastAsia="zh-CN"/>
        </w:rPr>
        <w:t xml:space="preserve">and Sections </w:t>
      </w:r>
      <w:r w:rsidRPr="00772FFF" w:rsidR="00772FFF">
        <w:rPr>
          <w:rFonts w:ascii="Times New Roman" w:eastAsia="SimSun" w:hAnsi="Times New Roman"/>
          <w:i/>
          <w:snapToGrid/>
          <w:lang w:eastAsia="zh-CN"/>
        </w:rPr>
        <w:t xml:space="preserve">20 CFR 416.546, 416.640, 416.635 </w:t>
      </w:r>
      <w:r w:rsidRPr="00772FFF" w:rsidR="00772FFF">
        <w:rPr>
          <w:rFonts w:ascii="Times New Roman" w:eastAsia="SimSun" w:hAnsi="Times New Roman"/>
          <w:snapToGrid/>
          <w:lang w:eastAsia="zh-CN"/>
        </w:rPr>
        <w:t>and</w:t>
      </w:r>
      <w:r w:rsidRPr="00772FFF" w:rsidR="00772FFF">
        <w:rPr>
          <w:rFonts w:ascii="Times New Roman" w:eastAsia="SimSun" w:hAnsi="Times New Roman"/>
          <w:i/>
          <w:snapToGrid/>
          <w:lang w:eastAsia="zh-CN"/>
        </w:rPr>
        <w:t xml:space="preserve"> 416.665</w:t>
      </w:r>
      <w:r w:rsidRPr="00772FFF" w:rsidR="00772FFF">
        <w:rPr>
          <w:rFonts w:ascii="Times New Roman" w:eastAsia="SimSun" w:hAnsi="Times New Roman"/>
          <w:snapToGrid/>
          <w:lang w:eastAsia="zh-CN"/>
        </w:rPr>
        <w:t xml:space="preserve"> of the </w:t>
      </w:r>
      <w:r w:rsidRPr="00772FFF" w:rsidR="00772FFF">
        <w:rPr>
          <w:rFonts w:ascii="Times New Roman" w:eastAsia="SimSun" w:hAnsi="Times New Roman"/>
          <w:i/>
          <w:snapToGrid/>
          <w:lang w:eastAsia="zh-CN"/>
        </w:rPr>
        <w:t>Code of Federal Regulations</w:t>
      </w:r>
      <w:r w:rsidR="00945B8F">
        <w:rPr>
          <w:rFonts w:ascii="Times New Roman" w:eastAsia="SimSun" w:hAnsi="Times New Roman"/>
          <w:snapToGrid/>
          <w:lang w:eastAsia="zh-CN"/>
        </w:rPr>
        <w:t>,</w:t>
      </w:r>
      <w:r w:rsidRPr="00772FFF" w:rsidR="00772FFF">
        <w:rPr>
          <w:rFonts w:ascii="Times New Roman" w:eastAsia="SimSun" w:hAnsi="Times New Roman"/>
          <w:snapToGrid/>
          <w:lang w:eastAsia="zh-CN"/>
        </w:rPr>
        <w:t xml:space="preserve"> require </w:t>
      </w:r>
      <w:r>
        <w:rPr>
          <w:rFonts w:ascii="Times New Roman" w:eastAsia="SimSun" w:hAnsi="Times New Roman"/>
          <w:snapToGrid/>
          <w:lang w:eastAsia="zh-CN"/>
        </w:rPr>
        <w:t>payees</w:t>
      </w:r>
      <w:r w:rsidR="00DC19E2">
        <w:rPr>
          <w:rFonts w:ascii="Times New Roman" w:eastAsia="SimSun" w:hAnsi="Times New Roman"/>
          <w:snapToGrid/>
          <w:lang w:eastAsia="zh-CN"/>
        </w:rPr>
        <w:t xml:space="preserve"> </w:t>
      </w:r>
      <w:r w:rsidRPr="00772FFF" w:rsidR="00772FFF">
        <w:rPr>
          <w:rFonts w:ascii="Times New Roman" w:eastAsia="SimSun" w:hAnsi="Times New Roman"/>
          <w:snapToGrid/>
          <w:lang w:eastAsia="zh-CN"/>
        </w:rPr>
        <w:t>to establish and maintain a separate (i.e., “dedicated”) account in a financial institute when a blind or disabled child under age 18 is eligible for certain past-due Supplemental Security Income (SSI) monthly payments</w:t>
      </w:r>
      <w:r w:rsidR="007763FF">
        <w:rPr>
          <w:rFonts w:ascii="Times New Roman" w:eastAsia="SimSun" w:hAnsi="Times New Roman"/>
          <w:snapToGrid/>
          <w:lang w:eastAsia="zh-CN"/>
        </w:rPr>
        <w:t>,</w:t>
      </w:r>
      <w:r w:rsidRPr="00772FFF" w:rsidR="00772FFF">
        <w:rPr>
          <w:rFonts w:ascii="Times New Roman" w:eastAsia="SimSun" w:hAnsi="Times New Roman"/>
          <w:snapToGrid/>
          <w:lang w:eastAsia="zh-CN"/>
        </w:rPr>
        <w:t xml:space="preserve"> on or after August 23, 1996.  </w:t>
      </w:r>
      <w:r w:rsidR="00945B8F">
        <w:rPr>
          <w:rFonts w:ascii="Times New Roman" w:eastAsia="SimSun" w:hAnsi="Times New Roman"/>
          <w:snapToGrid/>
          <w:lang w:eastAsia="zh-CN"/>
        </w:rPr>
        <w:t>Per the regulations, t</w:t>
      </w:r>
      <w:r w:rsidRPr="00772FFF" w:rsidR="00772FFF">
        <w:rPr>
          <w:rFonts w:ascii="Times New Roman" w:eastAsia="SimSun" w:hAnsi="Times New Roman"/>
          <w:snapToGrid/>
          <w:lang w:eastAsia="zh-CN"/>
        </w:rPr>
        <w:t>he payee deposit</w:t>
      </w:r>
      <w:r w:rsidR="000B1533">
        <w:rPr>
          <w:rFonts w:ascii="Times New Roman" w:eastAsia="SimSun" w:hAnsi="Times New Roman"/>
          <w:snapToGrid/>
          <w:lang w:eastAsia="zh-CN"/>
        </w:rPr>
        <w:t>s</w:t>
      </w:r>
      <w:r w:rsidRPr="00772FFF" w:rsidR="00772FFF">
        <w:rPr>
          <w:rFonts w:ascii="Times New Roman" w:eastAsia="SimSun" w:hAnsi="Times New Roman"/>
          <w:snapToGrid/>
          <w:lang w:eastAsia="zh-CN"/>
        </w:rPr>
        <w:t xml:space="preserve"> certain subsequent past-due benefits and underpayments into the dedicated account.  </w:t>
      </w:r>
      <w:r w:rsidR="000B1533">
        <w:rPr>
          <w:rFonts w:ascii="Times New Roman" w:eastAsia="SimSun" w:hAnsi="Times New Roman"/>
          <w:snapToGrid/>
          <w:lang w:eastAsia="zh-CN"/>
        </w:rPr>
        <w:t xml:space="preserve">The </w:t>
      </w:r>
      <w:r w:rsidRPr="002069F4" w:rsidR="000B1533">
        <w:rPr>
          <w:rFonts w:ascii="Times New Roman" w:eastAsia="SimSun" w:hAnsi="Times New Roman"/>
          <w:i/>
          <w:iCs/>
          <w:snapToGrid/>
          <w:lang w:eastAsia="zh-CN"/>
        </w:rPr>
        <w:t>Act</w:t>
      </w:r>
      <w:r w:rsidR="000B1533">
        <w:rPr>
          <w:rFonts w:ascii="Times New Roman" w:eastAsia="SimSun" w:hAnsi="Times New Roman"/>
          <w:snapToGrid/>
          <w:lang w:eastAsia="zh-CN"/>
        </w:rPr>
        <w:t xml:space="preserve"> and our regulations</w:t>
      </w:r>
      <w:r w:rsidRPr="00772FFF" w:rsidR="000B1533">
        <w:rPr>
          <w:rFonts w:ascii="Times New Roman" w:eastAsia="SimSun" w:hAnsi="Times New Roman"/>
          <w:snapToGrid/>
          <w:lang w:eastAsia="zh-CN"/>
        </w:rPr>
        <w:t xml:space="preserve"> </w:t>
      </w:r>
      <w:r w:rsidRPr="00772FFF" w:rsidR="00772FFF">
        <w:rPr>
          <w:rFonts w:ascii="Times New Roman" w:eastAsia="SimSun" w:hAnsi="Times New Roman"/>
          <w:snapToGrid/>
          <w:lang w:eastAsia="zh-CN"/>
        </w:rPr>
        <w:t xml:space="preserve">restrict the funds from the account to specific purchases.  SSA </w:t>
      </w:r>
      <w:r w:rsidR="00DC19E2">
        <w:rPr>
          <w:rFonts w:ascii="Times New Roman" w:eastAsia="SimSun" w:hAnsi="Times New Roman"/>
          <w:snapToGrid/>
          <w:lang w:eastAsia="zh-CN"/>
        </w:rPr>
        <w:t>requires payees</w:t>
      </w:r>
      <w:r w:rsidRPr="00772FFF" w:rsidR="00772FFF">
        <w:rPr>
          <w:rFonts w:ascii="Times New Roman" w:eastAsia="SimSun" w:hAnsi="Times New Roman"/>
          <w:snapToGrid/>
          <w:lang w:eastAsia="zh-CN"/>
        </w:rPr>
        <w:t xml:space="preserve"> with</w:t>
      </w:r>
      <w:r w:rsidR="001874CC">
        <w:rPr>
          <w:rFonts w:ascii="Times New Roman" w:eastAsia="SimSun" w:hAnsi="Times New Roman"/>
          <w:snapToGrid/>
          <w:lang w:eastAsia="zh-CN"/>
        </w:rPr>
        <w:t xml:space="preserve"> dedicated accounts to </w:t>
      </w:r>
      <w:r w:rsidRPr="00772FFF" w:rsidR="00772FFF">
        <w:rPr>
          <w:rFonts w:ascii="Times New Roman" w:eastAsia="SimSun" w:hAnsi="Times New Roman"/>
          <w:snapToGrid/>
          <w:lang w:eastAsia="zh-CN"/>
        </w:rPr>
        <w:t xml:space="preserve">report the activity of funds in the account </w:t>
      </w:r>
      <w:r w:rsidR="001874CC">
        <w:rPr>
          <w:rFonts w:ascii="Times New Roman" w:eastAsia="SimSun" w:hAnsi="Times New Roman"/>
          <w:snapToGrid/>
          <w:lang w:eastAsia="zh-CN"/>
        </w:rPr>
        <w:t>annually</w:t>
      </w:r>
      <w:r w:rsidR="007763FF">
        <w:rPr>
          <w:rFonts w:ascii="Times New Roman" w:eastAsia="SimSun" w:hAnsi="Times New Roman"/>
          <w:snapToGrid/>
          <w:lang w:eastAsia="zh-CN"/>
        </w:rPr>
        <w:t>,</w:t>
      </w:r>
      <w:r w:rsidR="001874CC">
        <w:rPr>
          <w:rFonts w:ascii="Times New Roman" w:eastAsia="SimSun" w:hAnsi="Times New Roman"/>
          <w:snapToGrid/>
          <w:lang w:eastAsia="zh-CN"/>
        </w:rPr>
        <w:t xml:space="preserve"> </w:t>
      </w:r>
      <w:r w:rsidR="00646827">
        <w:rPr>
          <w:rFonts w:ascii="Times New Roman" w:eastAsia="SimSun" w:hAnsi="Times New Roman"/>
          <w:snapToGrid/>
          <w:lang w:eastAsia="zh-CN"/>
        </w:rPr>
        <w:t>using form SSA-6233,</w:t>
      </w:r>
      <w:r w:rsidR="002069F4">
        <w:rPr>
          <w:rFonts w:ascii="Times New Roman" w:eastAsia="SimSun" w:hAnsi="Times New Roman"/>
          <w:snapToGrid/>
          <w:lang w:eastAsia="zh-CN"/>
        </w:rPr>
        <w:t xml:space="preserve"> </w:t>
      </w:r>
      <w:r w:rsidRPr="002069F4" w:rsidR="002069F4">
        <w:rPr>
          <w:rFonts w:ascii="Times New Roman" w:hAnsi="Times New Roman"/>
          <w:bCs/>
        </w:rPr>
        <w:t>Representative Payee Report of Benefits and Dedicated Account,</w:t>
      </w:r>
      <w:r w:rsidR="00646827">
        <w:rPr>
          <w:rFonts w:ascii="Times New Roman" w:eastAsia="SimSun" w:hAnsi="Times New Roman"/>
          <w:snapToGrid/>
          <w:lang w:eastAsia="zh-CN"/>
        </w:rPr>
        <w:t xml:space="preserve"> </w:t>
      </w:r>
      <w:r w:rsidRPr="00772FFF" w:rsidR="00772FFF">
        <w:rPr>
          <w:rFonts w:ascii="Times New Roman" w:eastAsia="SimSun" w:hAnsi="Times New Roman"/>
          <w:snapToGrid/>
          <w:lang w:eastAsia="zh-CN"/>
        </w:rPr>
        <w:t xml:space="preserve">to ensure deposits and expenditures comply with the law.  This reporting requirement remains in effect </w:t>
      </w:r>
      <w:r w:rsidRPr="00772FFF" w:rsidR="00126027">
        <w:rPr>
          <w:rFonts w:ascii="Times New Roman" w:eastAsia="SimSun" w:hAnsi="Times New Roman"/>
          <w:snapToGrid/>
          <w:lang w:eastAsia="zh-CN"/>
        </w:rPr>
        <w:t>either until</w:t>
      </w:r>
      <w:r w:rsidR="001874CC">
        <w:rPr>
          <w:rFonts w:ascii="Times New Roman" w:eastAsia="SimSun" w:hAnsi="Times New Roman"/>
          <w:snapToGrid/>
          <w:lang w:eastAsia="zh-CN"/>
        </w:rPr>
        <w:t xml:space="preserve"> the </w:t>
      </w:r>
      <w:r w:rsidR="00B17D77">
        <w:rPr>
          <w:rFonts w:ascii="Times New Roman" w:eastAsia="SimSun" w:hAnsi="Times New Roman"/>
          <w:snapToGrid/>
          <w:lang w:eastAsia="zh-CN"/>
        </w:rPr>
        <w:t xml:space="preserve">payee </w:t>
      </w:r>
      <w:r w:rsidR="001874CC">
        <w:rPr>
          <w:rFonts w:ascii="Times New Roman" w:eastAsia="SimSun" w:hAnsi="Times New Roman"/>
          <w:snapToGrid/>
          <w:lang w:eastAsia="zh-CN"/>
        </w:rPr>
        <w:t xml:space="preserve">depletes </w:t>
      </w:r>
      <w:r w:rsidRPr="00772FFF" w:rsidR="00772FFF">
        <w:rPr>
          <w:rFonts w:ascii="Times New Roman" w:eastAsia="SimSun" w:hAnsi="Times New Roman"/>
          <w:snapToGrid/>
          <w:lang w:eastAsia="zh-CN"/>
        </w:rPr>
        <w:t>the account, or until</w:t>
      </w:r>
      <w:r w:rsidR="00126027">
        <w:rPr>
          <w:rFonts w:ascii="Times New Roman" w:eastAsia="SimSun" w:hAnsi="Times New Roman"/>
          <w:snapToGrid/>
          <w:lang w:eastAsia="zh-CN"/>
        </w:rPr>
        <w:t xml:space="preserve"> SSA terminates eligibility for SSI payments</w:t>
      </w:r>
      <w:r w:rsidRPr="00772FFF" w:rsidR="00772FFF">
        <w:rPr>
          <w:rFonts w:ascii="Times New Roman" w:eastAsia="SimSun" w:hAnsi="Times New Roman"/>
          <w:snapToGrid/>
          <w:lang w:eastAsia="zh-CN"/>
        </w:rPr>
        <w:t>.</w:t>
      </w:r>
    </w:p>
    <w:p w:rsidR="00F57AD9" w:rsidRPr="00F57AD9" w:rsidP="009A5800" w14:paraId="733C5D5D" w14:textId="77777777">
      <w:pPr>
        <w:tabs>
          <w:tab w:val="num" w:pos="1440"/>
        </w:tabs>
        <w:ind w:left="1440"/>
        <w:rPr>
          <w:rFonts w:ascii="Times New Roman" w:hAnsi="Times New Roman"/>
        </w:rPr>
      </w:pPr>
    </w:p>
    <w:p w:rsidR="002E18CF" w:rsidRPr="009A5800" w:rsidP="009A5800" w14:paraId="6DD6A8A7" w14:textId="77777777">
      <w:pPr>
        <w:numPr>
          <w:ilvl w:val="0"/>
          <w:numId w:val="20"/>
        </w:numPr>
        <w:tabs>
          <w:tab w:val="clear" w:pos="720"/>
          <w:tab w:val="num" w:pos="1440"/>
        </w:tabs>
        <w:ind w:left="1440"/>
        <w:rPr>
          <w:rFonts w:ascii="Times New Roman" w:hAnsi="Times New Roman"/>
          <w:b/>
        </w:rPr>
      </w:pPr>
      <w:r w:rsidRPr="009A5800">
        <w:rPr>
          <w:rFonts w:ascii="Times New Roman" w:hAnsi="Times New Roman"/>
          <w:b/>
        </w:rPr>
        <w:t xml:space="preserve">Description of Collection </w:t>
      </w:r>
    </w:p>
    <w:p w:rsidR="00406453" w:rsidP="00406453" w14:paraId="484894E7" w14:textId="66B129D8">
      <w:pPr>
        <w:pStyle w:val="ListParagraph"/>
        <w:tabs>
          <w:tab w:val="num" w:pos="1440"/>
        </w:tabs>
        <w:autoSpaceDE w:val="0"/>
        <w:autoSpaceDN w:val="0"/>
        <w:adjustRightInd w:val="0"/>
        <w:ind w:left="1440"/>
        <w:rPr>
          <w:rFonts w:ascii="Times New Roman" w:hAnsi="Times New Roman"/>
        </w:rPr>
      </w:pPr>
      <w:r>
        <w:rPr>
          <w:rFonts w:ascii="Times New Roman" w:hAnsi="Times New Roman"/>
        </w:rPr>
        <w:t xml:space="preserve">The </w:t>
      </w:r>
      <w:r w:rsidRPr="002069F4">
        <w:rPr>
          <w:rFonts w:ascii="Times New Roman" w:hAnsi="Times New Roman"/>
          <w:i/>
          <w:iCs/>
        </w:rPr>
        <w:t>Act</w:t>
      </w:r>
      <w:r>
        <w:rPr>
          <w:rFonts w:ascii="Times New Roman" w:hAnsi="Times New Roman"/>
        </w:rPr>
        <w:t xml:space="preserve"> requires that certain payees provide us with the following information annually:</w:t>
      </w:r>
      <w:r>
        <w:t xml:space="preserve"> </w:t>
      </w:r>
      <w:r w:rsidRPr="00406453">
        <w:rPr>
          <w:rFonts w:ascii="Times New Roman" w:hAnsi="Times New Roman"/>
        </w:rPr>
        <w:t xml:space="preserve">(1) </w:t>
      </w:r>
      <w:r w:rsidR="002069F4">
        <w:rPr>
          <w:rFonts w:ascii="Times New Roman" w:hAnsi="Times New Roman"/>
        </w:rPr>
        <w:t>w</w:t>
      </w:r>
      <w:r w:rsidRPr="00406453">
        <w:rPr>
          <w:rFonts w:ascii="Times New Roman" w:hAnsi="Times New Roman"/>
        </w:rPr>
        <w:t xml:space="preserve">here </w:t>
      </w:r>
      <w:r>
        <w:rPr>
          <w:rFonts w:ascii="Times New Roman" w:hAnsi="Times New Roman"/>
        </w:rPr>
        <w:t>the beneficiary</w:t>
      </w:r>
      <w:r w:rsidRPr="00406453">
        <w:rPr>
          <w:rFonts w:ascii="Times New Roman" w:hAnsi="Times New Roman"/>
        </w:rPr>
        <w:t xml:space="preserve"> lived during the accounting period;</w:t>
      </w:r>
      <w:r>
        <w:rPr>
          <w:rFonts w:ascii="Times New Roman" w:hAnsi="Times New Roman"/>
        </w:rPr>
        <w:t xml:space="preserve"> </w:t>
      </w:r>
      <w:r w:rsidRPr="00406453">
        <w:rPr>
          <w:rFonts w:ascii="Times New Roman" w:hAnsi="Times New Roman"/>
        </w:rPr>
        <w:t xml:space="preserve">(2) </w:t>
      </w:r>
      <w:r w:rsidR="002069F4">
        <w:rPr>
          <w:rFonts w:ascii="Times New Roman" w:hAnsi="Times New Roman"/>
        </w:rPr>
        <w:t>w</w:t>
      </w:r>
      <w:r w:rsidRPr="00406453">
        <w:rPr>
          <w:rFonts w:ascii="Times New Roman" w:hAnsi="Times New Roman"/>
        </w:rPr>
        <w:t>ho made the decisions on how benefits were spent or saved</w:t>
      </w:r>
      <w:r w:rsidR="009D015F">
        <w:rPr>
          <w:rFonts w:ascii="Times New Roman" w:hAnsi="Times New Roman"/>
        </w:rPr>
        <w:t xml:space="preserve"> during that period</w:t>
      </w:r>
      <w:r w:rsidRPr="00406453">
        <w:rPr>
          <w:rFonts w:ascii="Times New Roman" w:hAnsi="Times New Roman"/>
        </w:rPr>
        <w:t>;</w:t>
      </w:r>
      <w:r>
        <w:rPr>
          <w:rFonts w:ascii="Times New Roman" w:hAnsi="Times New Roman"/>
        </w:rPr>
        <w:t xml:space="preserve"> </w:t>
      </w:r>
      <w:r w:rsidRPr="00406453">
        <w:rPr>
          <w:rFonts w:ascii="Times New Roman" w:hAnsi="Times New Roman"/>
        </w:rPr>
        <w:t xml:space="preserve">(3) </w:t>
      </w:r>
      <w:r w:rsidR="002069F4">
        <w:rPr>
          <w:rFonts w:ascii="Times New Roman" w:hAnsi="Times New Roman"/>
        </w:rPr>
        <w:t>h</w:t>
      </w:r>
      <w:r w:rsidRPr="00406453">
        <w:rPr>
          <w:rFonts w:ascii="Times New Roman" w:hAnsi="Times New Roman"/>
        </w:rPr>
        <w:t xml:space="preserve">ow </w:t>
      </w:r>
      <w:r w:rsidR="009D015F">
        <w:rPr>
          <w:rFonts w:ascii="Times New Roman" w:hAnsi="Times New Roman"/>
        </w:rPr>
        <w:t xml:space="preserve">the payee or beneficiary used the </w:t>
      </w:r>
      <w:r w:rsidRPr="00406453">
        <w:rPr>
          <w:rFonts w:ascii="Times New Roman" w:hAnsi="Times New Roman"/>
        </w:rPr>
        <w:t>benefit payments</w:t>
      </w:r>
      <w:r w:rsidR="009D015F">
        <w:rPr>
          <w:rFonts w:ascii="Times New Roman" w:hAnsi="Times New Roman"/>
        </w:rPr>
        <w:t>;</w:t>
      </w:r>
      <w:r w:rsidRPr="00406453">
        <w:rPr>
          <w:rFonts w:ascii="Times New Roman" w:hAnsi="Times New Roman"/>
        </w:rPr>
        <w:t xml:space="preserve"> and</w:t>
      </w:r>
      <w:r>
        <w:rPr>
          <w:rFonts w:ascii="Times New Roman" w:hAnsi="Times New Roman"/>
        </w:rPr>
        <w:t xml:space="preserve"> </w:t>
      </w:r>
      <w:r w:rsidRPr="00406453">
        <w:rPr>
          <w:rFonts w:ascii="Times New Roman" w:hAnsi="Times New Roman"/>
        </w:rPr>
        <w:t xml:space="preserve">(4) </w:t>
      </w:r>
      <w:r w:rsidR="002069F4">
        <w:rPr>
          <w:rFonts w:ascii="Times New Roman" w:hAnsi="Times New Roman"/>
        </w:rPr>
        <w:t>h</w:t>
      </w:r>
      <w:r w:rsidRPr="00406453">
        <w:rPr>
          <w:rFonts w:ascii="Times New Roman" w:hAnsi="Times New Roman"/>
        </w:rPr>
        <w:t xml:space="preserve">ow much of </w:t>
      </w:r>
      <w:r>
        <w:rPr>
          <w:rFonts w:ascii="Times New Roman" w:hAnsi="Times New Roman"/>
        </w:rPr>
        <w:t>the</w:t>
      </w:r>
      <w:r w:rsidRPr="00406453">
        <w:rPr>
          <w:rFonts w:ascii="Times New Roman" w:hAnsi="Times New Roman"/>
        </w:rPr>
        <w:t xml:space="preserve"> benefit payments were saved and how the savings were invested.</w:t>
      </w:r>
    </w:p>
    <w:p w:rsidR="00406453" w:rsidP="009A5800" w14:paraId="4D38E838" w14:textId="77777777">
      <w:pPr>
        <w:pStyle w:val="ListParagraph"/>
        <w:tabs>
          <w:tab w:val="num" w:pos="1440"/>
        </w:tabs>
        <w:autoSpaceDE w:val="0"/>
        <w:autoSpaceDN w:val="0"/>
        <w:adjustRightInd w:val="0"/>
        <w:ind w:left="1440"/>
        <w:rPr>
          <w:rFonts w:ascii="Times New Roman" w:hAnsi="Times New Roman"/>
        </w:rPr>
      </w:pPr>
    </w:p>
    <w:p w:rsidR="00035255" w:rsidP="009A5800" w14:paraId="1E713565" w14:textId="016586FB">
      <w:pPr>
        <w:pStyle w:val="ListParagraph"/>
        <w:tabs>
          <w:tab w:val="num" w:pos="1440"/>
        </w:tabs>
        <w:autoSpaceDE w:val="0"/>
        <w:autoSpaceDN w:val="0"/>
        <w:adjustRightInd w:val="0"/>
        <w:ind w:left="1440"/>
        <w:rPr>
          <w:rFonts w:ascii="Times New Roman" w:hAnsi="Times New Roman"/>
        </w:rPr>
      </w:pPr>
      <w:r>
        <w:rPr>
          <w:rFonts w:ascii="Times New Roman" w:hAnsi="Times New Roman"/>
        </w:rPr>
        <w:t xml:space="preserve">The </w:t>
      </w:r>
      <w:r w:rsidRPr="002069F4">
        <w:rPr>
          <w:rFonts w:ascii="Times New Roman" w:hAnsi="Times New Roman"/>
          <w:i/>
          <w:iCs/>
        </w:rPr>
        <w:t xml:space="preserve">Act </w:t>
      </w:r>
      <w:r w:rsidR="00406453">
        <w:rPr>
          <w:rFonts w:ascii="Times New Roman" w:hAnsi="Times New Roman"/>
        </w:rPr>
        <w:t xml:space="preserve">also </w:t>
      </w:r>
      <w:r>
        <w:rPr>
          <w:rFonts w:ascii="Times New Roman" w:hAnsi="Times New Roman"/>
        </w:rPr>
        <w:t>requires that, e</w:t>
      </w:r>
      <w:r w:rsidRPr="00035255">
        <w:rPr>
          <w:rFonts w:ascii="Times New Roman" w:hAnsi="Times New Roman"/>
        </w:rPr>
        <w:t>ffective August 1996, after any Interim Assistance (IA) reimbursement payment or direct payment of representative fees, any payment that exceeds six times the Federal Benefit Rate (FBR) plus any Optional State Supplement (OSS) that is issued to the payee of an eligible individual under age 18 must be paid into a dedicated account at a financial institution.</w:t>
      </w:r>
      <w:r>
        <w:rPr>
          <w:rFonts w:ascii="Times New Roman" w:hAnsi="Times New Roman"/>
        </w:rPr>
        <w:t xml:space="preserve"> </w:t>
      </w:r>
      <w:r w:rsidR="002069F4">
        <w:rPr>
          <w:rFonts w:ascii="Times New Roman" w:hAnsi="Times New Roman"/>
        </w:rPr>
        <w:t xml:space="preserve"> </w:t>
      </w:r>
      <w:r>
        <w:rPr>
          <w:rFonts w:ascii="Times New Roman" w:hAnsi="Times New Roman"/>
        </w:rPr>
        <w:t xml:space="preserve">SSA requires the payee to manage the dedicated account in accordance with our rules, including using the funds for permitted expenditures and reporting on the use of funds. </w:t>
      </w:r>
      <w:r w:rsidR="009D015F">
        <w:rPr>
          <w:rFonts w:ascii="Times New Roman" w:hAnsi="Times New Roman"/>
        </w:rPr>
        <w:t xml:space="preserve"> </w:t>
      </w:r>
      <w:r>
        <w:rPr>
          <w:rFonts w:ascii="Times New Roman" w:hAnsi="Times New Roman"/>
        </w:rPr>
        <w:t xml:space="preserve">When </w:t>
      </w:r>
      <w:r w:rsidR="009D015F">
        <w:rPr>
          <w:rFonts w:ascii="Times New Roman" w:hAnsi="Times New Roman"/>
        </w:rPr>
        <w:t xml:space="preserve">SSA requires </w:t>
      </w:r>
      <w:r>
        <w:rPr>
          <w:rFonts w:ascii="Times New Roman" w:hAnsi="Times New Roman"/>
        </w:rPr>
        <w:t xml:space="preserve">a dedicated account, </w:t>
      </w:r>
      <w:r w:rsidR="009D015F">
        <w:rPr>
          <w:rFonts w:ascii="Times New Roman" w:hAnsi="Times New Roman"/>
        </w:rPr>
        <w:t>we</w:t>
      </w:r>
      <w:r>
        <w:rPr>
          <w:rFonts w:ascii="Times New Roman" w:hAnsi="Times New Roman"/>
        </w:rPr>
        <w:t xml:space="preserve"> notif</w:t>
      </w:r>
      <w:r w:rsidR="009D015F">
        <w:rPr>
          <w:rFonts w:ascii="Times New Roman" w:hAnsi="Times New Roman"/>
        </w:rPr>
        <w:t>y</w:t>
      </w:r>
      <w:r>
        <w:rPr>
          <w:rFonts w:ascii="Times New Roman" w:hAnsi="Times New Roman"/>
        </w:rPr>
        <w:t xml:space="preserve"> the payee</w:t>
      </w:r>
      <w:r w:rsidR="009D015F">
        <w:rPr>
          <w:rFonts w:ascii="Times New Roman" w:hAnsi="Times New Roman"/>
        </w:rPr>
        <w:t xml:space="preserve"> through a mailed notice</w:t>
      </w:r>
      <w:r>
        <w:rPr>
          <w:rFonts w:ascii="Times New Roman" w:hAnsi="Times New Roman"/>
        </w:rPr>
        <w:t xml:space="preserve"> to inform them of the need to open a dedicated account and of the </w:t>
      </w:r>
      <w:r>
        <w:rPr>
          <w:rFonts w:ascii="Times New Roman" w:hAnsi="Times New Roman"/>
        </w:rPr>
        <w:t xml:space="preserve">rules for managing a dedicated account. </w:t>
      </w:r>
      <w:r w:rsidR="009D015F">
        <w:rPr>
          <w:rFonts w:ascii="Times New Roman" w:hAnsi="Times New Roman"/>
        </w:rPr>
        <w:t xml:space="preserve"> </w:t>
      </w:r>
      <w:r>
        <w:rPr>
          <w:rFonts w:ascii="Times New Roman" w:hAnsi="Times New Roman"/>
        </w:rPr>
        <w:t xml:space="preserve">After establishing the account, the payee reads and signs </w:t>
      </w:r>
      <w:r w:rsidR="004D7591">
        <w:rPr>
          <w:rFonts w:ascii="Times New Roman" w:hAnsi="Times New Roman"/>
        </w:rPr>
        <w:t>an acknowledgement</w:t>
      </w:r>
      <w:r>
        <w:rPr>
          <w:rFonts w:ascii="Times New Roman" w:hAnsi="Times New Roman"/>
        </w:rPr>
        <w:t xml:space="preserve"> that they understand the dedicated account rules prior to SSA releasing funds into the account.</w:t>
      </w:r>
    </w:p>
    <w:p w:rsidR="00035255" w:rsidP="009A5800" w14:paraId="6E32AA0A" w14:textId="77777777">
      <w:pPr>
        <w:pStyle w:val="ListParagraph"/>
        <w:tabs>
          <w:tab w:val="num" w:pos="1440"/>
        </w:tabs>
        <w:autoSpaceDE w:val="0"/>
        <w:autoSpaceDN w:val="0"/>
        <w:adjustRightInd w:val="0"/>
        <w:ind w:left="1440"/>
        <w:rPr>
          <w:rFonts w:ascii="Times New Roman" w:hAnsi="Times New Roman"/>
        </w:rPr>
      </w:pPr>
    </w:p>
    <w:p w:rsidR="00406453" w:rsidP="009A5800" w14:paraId="6218AF28" w14:textId="672E44C5">
      <w:pPr>
        <w:pStyle w:val="ListParagraph"/>
        <w:tabs>
          <w:tab w:val="num" w:pos="1440"/>
        </w:tabs>
        <w:autoSpaceDE w:val="0"/>
        <w:autoSpaceDN w:val="0"/>
        <w:adjustRightInd w:val="0"/>
        <w:ind w:left="1440"/>
        <w:rPr>
          <w:rFonts w:ascii="Times New Roman" w:hAnsi="Times New Roman"/>
        </w:rPr>
      </w:pPr>
      <w:r>
        <w:rPr>
          <w:rFonts w:ascii="Times New Roman" w:hAnsi="Times New Roman"/>
        </w:rPr>
        <w:t xml:space="preserve">To implement both of these requirements, </w:t>
      </w:r>
      <w:r w:rsidRPr="00126027" w:rsidR="00126027">
        <w:rPr>
          <w:rFonts w:ascii="Times New Roman" w:hAnsi="Times New Roman"/>
        </w:rPr>
        <w:t xml:space="preserve">SSA requires </w:t>
      </w:r>
      <w:r w:rsidR="00DA1E7D">
        <w:rPr>
          <w:rFonts w:ascii="Times New Roman" w:hAnsi="Times New Roman"/>
        </w:rPr>
        <w:t>payees</w:t>
      </w:r>
      <w:r w:rsidRPr="00126027" w:rsidR="00DA1E7D">
        <w:rPr>
          <w:rFonts w:ascii="Times New Roman" w:hAnsi="Times New Roman"/>
        </w:rPr>
        <w:t xml:space="preserve"> </w:t>
      </w:r>
      <w:r w:rsidRPr="00126027" w:rsidR="00126027">
        <w:rPr>
          <w:rFonts w:ascii="Times New Roman" w:hAnsi="Times New Roman"/>
        </w:rPr>
        <w:t xml:space="preserve">to submit a written report accounting for the use of </w:t>
      </w:r>
      <w:r>
        <w:rPr>
          <w:rFonts w:ascii="Times New Roman" w:hAnsi="Times New Roman"/>
        </w:rPr>
        <w:t>monthly</w:t>
      </w:r>
      <w:r w:rsidRPr="00126027" w:rsidR="00126027">
        <w:rPr>
          <w:rFonts w:ascii="Times New Roman" w:hAnsi="Times New Roman"/>
        </w:rPr>
        <w:t xml:space="preserve"> Social Security or Supplemental Security Income (SSI) </w:t>
      </w:r>
      <w:r>
        <w:rPr>
          <w:rFonts w:ascii="Times New Roman" w:hAnsi="Times New Roman"/>
        </w:rPr>
        <w:t xml:space="preserve">payments and funds paid into </w:t>
      </w:r>
      <w:r w:rsidRPr="00126027" w:rsidR="00126027">
        <w:rPr>
          <w:rFonts w:ascii="Times New Roman" w:hAnsi="Times New Roman"/>
        </w:rPr>
        <w:t xml:space="preserve">a dedicated account.  SSA uses Form SSA-6233 to: </w:t>
      </w:r>
      <w:r w:rsidR="004D7591">
        <w:rPr>
          <w:rFonts w:ascii="Times New Roman" w:hAnsi="Times New Roman"/>
        </w:rPr>
        <w:t xml:space="preserve"> </w:t>
      </w:r>
      <w:r w:rsidRPr="00126027" w:rsidR="00126027">
        <w:rPr>
          <w:rFonts w:ascii="Times New Roman" w:hAnsi="Times New Roman"/>
        </w:rPr>
        <w:t xml:space="preserve">(1) </w:t>
      </w:r>
      <w:r w:rsidR="004D7591">
        <w:rPr>
          <w:rFonts w:ascii="Times New Roman" w:hAnsi="Times New Roman"/>
        </w:rPr>
        <w:t>e</w:t>
      </w:r>
      <w:r w:rsidRPr="00126027" w:rsidR="00126027">
        <w:rPr>
          <w:rFonts w:ascii="Times New Roman" w:hAnsi="Times New Roman"/>
        </w:rPr>
        <w:t xml:space="preserve">nsure the </w:t>
      </w:r>
      <w:r w:rsidR="00DA1E7D">
        <w:rPr>
          <w:rFonts w:ascii="Times New Roman" w:hAnsi="Times New Roman"/>
        </w:rPr>
        <w:t>payee</w:t>
      </w:r>
      <w:r w:rsidRPr="00126027" w:rsidR="00DA1E7D">
        <w:rPr>
          <w:rFonts w:ascii="Times New Roman" w:hAnsi="Times New Roman"/>
        </w:rPr>
        <w:t xml:space="preserve"> </w:t>
      </w:r>
      <w:r w:rsidRPr="00126027" w:rsidR="00126027">
        <w:rPr>
          <w:rFonts w:ascii="Times New Roman" w:hAnsi="Times New Roman"/>
        </w:rPr>
        <w:t>use</w:t>
      </w:r>
      <w:r w:rsidR="00DA1E7D">
        <w:rPr>
          <w:rFonts w:ascii="Times New Roman" w:hAnsi="Times New Roman"/>
        </w:rPr>
        <w:t>s</w:t>
      </w:r>
      <w:r w:rsidRPr="00126027" w:rsidR="00126027">
        <w:rPr>
          <w:rFonts w:ascii="Times New Roman" w:hAnsi="Times New Roman"/>
        </w:rPr>
        <w:t xml:space="preserve"> </w:t>
      </w:r>
      <w:r>
        <w:rPr>
          <w:rFonts w:ascii="Times New Roman" w:hAnsi="Times New Roman"/>
        </w:rPr>
        <w:t>monthly</w:t>
      </w:r>
      <w:r w:rsidRPr="00126027">
        <w:rPr>
          <w:rFonts w:ascii="Times New Roman" w:hAnsi="Times New Roman"/>
        </w:rPr>
        <w:t xml:space="preserve"> </w:t>
      </w:r>
      <w:r w:rsidRPr="00126027" w:rsidR="00126027">
        <w:rPr>
          <w:rFonts w:ascii="Times New Roman" w:hAnsi="Times New Roman"/>
        </w:rPr>
        <w:t>payments for the recipient’s current needs</w:t>
      </w:r>
      <w:r>
        <w:rPr>
          <w:rFonts w:ascii="Times New Roman" w:hAnsi="Times New Roman"/>
        </w:rPr>
        <w:t xml:space="preserve"> and properly conserves the remainder</w:t>
      </w:r>
      <w:r w:rsidRPr="00126027" w:rsidR="00126027">
        <w:rPr>
          <w:rFonts w:ascii="Times New Roman" w:hAnsi="Times New Roman"/>
        </w:rPr>
        <w:t xml:space="preserve">; and (2) confirm funds </w:t>
      </w:r>
      <w:r>
        <w:rPr>
          <w:rFonts w:ascii="Times New Roman" w:hAnsi="Times New Roman"/>
        </w:rPr>
        <w:t>paid into</w:t>
      </w:r>
      <w:r w:rsidRPr="00126027">
        <w:rPr>
          <w:rFonts w:ascii="Times New Roman" w:hAnsi="Times New Roman"/>
        </w:rPr>
        <w:t xml:space="preserve"> </w:t>
      </w:r>
      <w:r w:rsidRPr="00126027" w:rsidR="00126027">
        <w:rPr>
          <w:rFonts w:ascii="Times New Roman" w:hAnsi="Times New Roman"/>
        </w:rPr>
        <w:t>the dedicated account rema</w:t>
      </w:r>
      <w:r w:rsidR="00717673">
        <w:rPr>
          <w:rFonts w:ascii="Times New Roman" w:hAnsi="Times New Roman"/>
        </w:rPr>
        <w:t xml:space="preserve">in </w:t>
      </w:r>
      <w:r>
        <w:rPr>
          <w:rFonts w:ascii="Times New Roman" w:hAnsi="Times New Roman"/>
        </w:rPr>
        <w:t xml:space="preserve">are spent and saved </w:t>
      </w:r>
      <w:r w:rsidR="00717673">
        <w:rPr>
          <w:rFonts w:ascii="Times New Roman" w:hAnsi="Times New Roman"/>
        </w:rPr>
        <w:t xml:space="preserve">in compliance with the law. </w:t>
      </w:r>
    </w:p>
    <w:p w:rsidR="00406453" w:rsidP="009A5800" w14:paraId="3AC7EF1F" w14:textId="77777777">
      <w:pPr>
        <w:pStyle w:val="ListParagraph"/>
        <w:tabs>
          <w:tab w:val="num" w:pos="1440"/>
        </w:tabs>
        <w:autoSpaceDE w:val="0"/>
        <w:autoSpaceDN w:val="0"/>
        <w:adjustRightInd w:val="0"/>
        <w:ind w:left="1440"/>
        <w:rPr>
          <w:rFonts w:ascii="Times New Roman" w:hAnsi="Times New Roman"/>
        </w:rPr>
      </w:pPr>
    </w:p>
    <w:p w:rsidR="00772FFF" w:rsidP="009A5800" w14:paraId="5F10EFD9" w14:textId="5B5E3EFA">
      <w:pPr>
        <w:pStyle w:val="ListParagraph"/>
        <w:tabs>
          <w:tab w:val="num" w:pos="1440"/>
        </w:tabs>
        <w:autoSpaceDE w:val="0"/>
        <w:autoSpaceDN w:val="0"/>
        <w:adjustRightInd w:val="0"/>
        <w:ind w:left="1440"/>
        <w:rPr>
          <w:rFonts w:ascii="Times New Roman" w:hAnsi="Times New Roman"/>
          <w:snapToGrid/>
          <w:szCs w:val="20"/>
        </w:rPr>
      </w:pPr>
      <w:r>
        <w:rPr>
          <w:rFonts w:ascii="Times New Roman" w:hAnsi="Times New Roman"/>
        </w:rPr>
        <w:t xml:space="preserve">Respondents learn of the requirement to establish a dedicated account via Agency mailers. </w:t>
      </w:r>
      <w:r w:rsidR="00497D4B">
        <w:rPr>
          <w:rFonts w:ascii="Times New Roman" w:hAnsi="Times New Roman"/>
        </w:rPr>
        <w:t xml:space="preserve"> </w:t>
      </w:r>
      <w:r w:rsidR="00DA1E7D">
        <w:rPr>
          <w:rFonts w:ascii="Times New Roman" w:hAnsi="Times New Roman"/>
          <w:snapToGrid/>
          <w:szCs w:val="20"/>
        </w:rPr>
        <w:t>Payees</w:t>
      </w:r>
      <w:r w:rsidRPr="00717673" w:rsidR="008B0174">
        <w:rPr>
          <w:rFonts w:ascii="Times New Roman" w:hAnsi="Times New Roman"/>
          <w:snapToGrid/>
          <w:szCs w:val="20"/>
        </w:rPr>
        <w:t xml:space="preserve"> with dedicated accounts must report annually on the activity of funds in the account to ensure deposits and expenditures comply with the law.</w:t>
      </w:r>
      <w:r w:rsidR="00AB4A93">
        <w:rPr>
          <w:rFonts w:ascii="Times New Roman" w:hAnsi="Times New Roman"/>
          <w:snapToGrid/>
          <w:szCs w:val="20"/>
        </w:rPr>
        <w:t xml:space="preserve"> </w:t>
      </w:r>
      <w:r w:rsidR="00497D4B">
        <w:rPr>
          <w:rFonts w:ascii="Times New Roman" w:hAnsi="Times New Roman"/>
          <w:snapToGrid/>
          <w:szCs w:val="20"/>
        </w:rPr>
        <w:t>SSA instructs p</w:t>
      </w:r>
      <w:r w:rsidR="00AB4A93">
        <w:rPr>
          <w:rFonts w:ascii="Times New Roman" w:hAnsi="Times New Roman"/>
          <w:snapToGrid/>
          <w:szCs w:val="20"/>
        </w:rPr>
        <w:t xml:space="preserve">ayees who are exempt from the annual accounting requirement per </w:t>
      </w:r>
      <w:r w:rsidRPr="00497D4B" w:rsidR="00AB4A93">
        <w:rPr>
          <w:rFonts w:ascii="Times New Roman" w:hAnsi="Times New Roman"/>
          <w:i/>
          <w:iCs/>
          <w:snapToGrid/>
          <w:szCs w:val="20"/>
        </w:rPr>
        <w:t>20 CFR 416.665</w:t>
      </w:r>
      <w:r w:rsidR="00AB4A93">
        <w:rPr>
          <w:rFonts w:ascii="Times New Roman" w:hAnsi="Times New Roman"/>
          <w:snapToGrid/>
          <w:szCs w:val="20"/>
        </w:rPr>
        <w:t xml:space="preserve"> to complete only the portion of the form related to dedicated accounts; they are exempt from completing the portion of the form related to monthly benefit payments.</w:t>
      </w:r>
      <w:r w:rsidR="005459D1">
        <w:rPr>
          <w:rFonts w:ascii="Times New Roman" w:hAnsi="Times New Roman"/>
          <w:snapToGrid/>
          <w:szCs w:val="20"/>
        </w:rPr>
        <w:t xml:space="preserve"> </w:t>
      </w:r>
      <w:r w:rsidR="00497D4B">
        <w:rPr>
          <w:rFonts w:ascii="Times New Roman" w:hAnsi="Times New Roman"/>
          <w:snapToGrid/>
          <w:szCs w:val="20"/>
        </w:rPr>
        <w:t xml:space="preserve"> </w:t>
      </w:r>
      <w:r w:rsidR="005459D1">
        <w:rPr>
          <w:rFonts w:ascii="Times New Roman" w:hAnsi="Times New Roman"/>
          <w:snapToGrid/>
          <w:szCs w:val="20"/>
        </w:rPr>
        <w:t>Although we mail a paper form of the SSA-6233 to the payee, t</w:t>
      </w:r>
      <w:r w:rsidRPr="005459D1" w:rsidR="005459D1">
        <w:rPr>
          <w:rFonts w:ascii="Times New Roman" w:hAnsi="Times New Roman"/>
          <w:snapToGrid/>
          <w:szCs w:val="20"/>
        </w:rPr>
        <w:t xml:space="preserve">he </w:t>
      </w:r>
      <w:r w:rsidR="00497D4B">
        <w:rPr>
          <w:rFonts w:ascii="Times New Roman" w:hAnsi="Times New Roman"/>
          <w:snapToGrid/>
          <w:szCs w:val="20"/>
        </w:rPr>
        <w:t xml:space="preserve">respondent can also complete the </w:t>
      </w:r>
      <w:r w:rsidRPr="005459D1" w:rsidR="005459D1">
        <w:rPr>
          <w:rFonts w:ascii="Times New Roman" w:hAnsi="Times New Roman"/>
          <w:snapToGrid/>
          <w:szCs w:val="20"/>
        </w:rPr>
        <w:t xml:space="preserve">report through telephone contact </w:t>
      </w:r>
      <w:r w:rsidR="00497D4B">
        <w:rPr>
          <w:rFonts w:ascii="Times New Roman" w:hAnsi="Times New Roman"/>
          <w:snapToGrid/>
          <w:szCs w:val="20"/>
        </w:rPr>
        <w:t>after which an SSA technician mail the report</w:t>
      </w:r>
      <w:r w:rsidRPr="005459D1" w:rsidR="005459D1">
        <w:rPr>
          <w:rFonts w:ascii="Times New Roman" w:hAnsi="Times New Roman"/>
          <w:snapToGrid/>
          <w:szCs w:val="20"/>
        </w:rPr>
        <w:t xml:space="preserve"> to the payee for signature, or</w:t>
      </w:r>
      <w:r w:rsidR="005459D1">
        <w:rPr>
          <w:rFonts w:ascii="Times New Roman" w:hAnsi="Times New Roman"/>
          <w:snapToGrid/>
          <w:szCs w:val="20"/>
        </w:rPr>
        <w:t xml:space="preserve"> during</w:t>
      </w:r>
      <w:r w:rsidRPr="005459D1" w:rsidR="005459D1">
        <w:rPr>
          <w:rFonts w:ascii="Times New Roman" w:hAnsi="Times New Roman"/>
          <w:snapToGrid/>
          <w:szCs w:val="20"/>
        </w:rPr>
        <w:t xml:space="preserve"> a face-to-face interview</w:t>
      </w:r>
      <w:r w:rsidR="00497D4B">
        <w:rPr>
          <w:rFonts w:ascii="Times New Roman" w:hAnsi="Times New Roman"/>
          <w:snapToGrid/>
          <w:szCs w:val="20"/>
        </w:rPr>
        <w:t xml:space="preserve"> in a field office</w:t>
      </w:r>
      <w:r w:rsidR="005459D1">
        <w:rPr>
          <w:rFonts w:ascii="Times New Roman" w:hAnsi="Times New Roman"/>
          <w:snapToGrid/>
          <w:szCs w:val="20"/>
        </w:rPr>
        <w:t>.</w:t>
      </w:r>
    </w:p>
    <w:p w:rsidR="006D23DB" w:rsidP="009A5800" w14:paraId="58454F07" w14:textId="77777777">
      <w:pPr>
        <w:pStyle w:val="ListParagraph"/>
        <w:tabs>
          <w:tab w:val="num" w:pos="1440"/>
        </w:tabs>
        <w:autoSpaceDE w:val="0"/>
        <w:autoSpaceDN w:val="0"/>
        <w:adjustRightInd w:val="0"/>
        <w:ind w:left="1440"/>
        <w:rPr>
          <w:rFonts w:ascii="Times New Roman" w:hAnsi="Times New Roman"/>
          <w:snapToGrid/>
          <w:szCs w:val="20"/>
        </w:rPr>
      </w:pPr>
    </w:p>
    <w:p w:rsidR="0062762E" w:rsidP="0062762E" w14:paraId="562ECB16" w14:textId="77777777">
      <w:pPr>
        <w:pStyle w:val="ListParagraph"/>
        <w:ind w:left="1440"/>
        <w:rPr>
          <w:rFonts w:ascii="Times New Roman" w:hAnsi="Times New Roman"/>
          <w:snapToGrid/>
          <w:color w:val="000000"/>
        </w:rPr>
      </w:pPr>
      <w:r>
        <w:rPr>
          <w:rFonts w:ascii="Times New Roman" w:hAnsi="Times New Roman"/>
          <w:color w:val="000000"/>
        </w:rPr>
        <w:t>We identified the following psychological costs based on the requirements for this information collection:</w:t>
      </w:r>
    </w:p>
    <w:p w:rsidR="0062762E" w:rsidP="009A5800" w14:paraId="77BBDE70" w14:textId="77777777">
      <w:pPr>
        <w:pStyle w:val="ListParagraph"/>
        <w:tabs>
          <w:tab w:val="num" w:pos="1440"/>
        </w:tabs>
        <w:autoSpaceDE w:val="0"/>
        <w:autoSpaceDN w:val="0"/>
        <w:adjustRightInd w:val="0"/>
        <w:ind w:left="1440"/>
        <w:rPr>
          <w:rFonts w:ascii="Times New Roman" w:hAnsi="Times New Roman"/>
          <w:snapToGrid/>
          <w:szCs w:val="20"/>
        </w:rPr>
      </w:pPr>
    </w:p>
    <w:p w:rsidR="006D23DB" w:rsidRPr="008D5701" w:rsidP="006D23DB" w14:paraId="6A33E30A" w14:textId="7FC09274">
      <w:pPr>
        <w:widowControl/>
        <w:numPr>
          <w:ilvl w:val="0"/>
          <w:numId w:val="49"/>
        </w:numPr>
        <w:ind w:left="1980" w:hanging="270"/>
        <w:rPr>
          <w:rFonts w:ascii="Times New Roman" w:hAnsi="Times New Roman"/>
        </w:rPr>
      </w:pPr>
      <w:r w:rsidRPr="008D5701">
        <w:rPr>
          <w:rFonts w:ascii="Times New Roman" w:hAnsi="Times New Roman"/>
          <w:b/>
          <w:bCs/>
          <w:u w:val="single"/>
        </w:rPr>
        <w:t>Psychological Cost</w:t>
      </w:r>
      <w:r w:rsidRPr="008D5701">
        <w:rPr>
          <w:rFonts w:ascii="Times New Roman" w:hAnsi="Times New Roman"/>
        </w:rPr>
        <w:t xml:space="preserve">:  </w:t>
      </w:r>
    </w:p>
    <w:p w:rsidR="006D23DB" w:rsidP="00F04A7C" w14:paraId="1FD6B882" w14:textId="6D759B15">
      <w:pPr>
        <w:widowControl/>
        <w:numPr>
          <w:ilvl w:val="1"/>
          <w:numId w:val="49"/>
        </w:numPr>
        <w:ind w:left="2430" w:hanging="270"/>
        <w:rPr>
          <w:rFonts w:ascii="Times New Roman" w:hAnsi="Times New Roman"/>
        </w:rPr>
      </w:pPr>
      <w:r w:rsidRPr="006D23DB">
        <w:rPr>
          <w:rFonts w:ascii="Times New Roman" w:hAnsi="Times New Roman"/>
          <w:b/>
          <w:bCs/>
        </w:rPr>
        <w:t>Requirement for the Program:</w:t>
      </w:r>
      <w:r w:rsidRPr="006D23DB">
        <w:rPr>
          <w:rFonts w:ascii="Times New Roman" w:hAnsi="Times New Roman"/>
        </w:rPr>
        <w:t xml:space="preserve">  The SSA-6233 requires respondents with dedicated accounts to report annually on the activity of funds in the account to ensure deposits and expenditures comply with the law. </w:t>
      </w:r>
      <w:r w:rsidR="0062762E">
        <w:rPr>
          <w:rFonts w:ascii="Times New Roman" w:hAnsi="Times New Roman"/>
        </w:rPr>
        <w:t xml:space="preserve">This requires payee </w:t>
      </w:r>
      <w:r>
        <w:rPr>
          <w:rFonts w:ascii="Times New Roman" w:hAnsi="Times New Roman"/>
        </w:rPr>
        <w:t>to</w:t>
      </w:r>
      <w:r w:rsidRPr="006D23DB">
        <w:rPr>
          <w:rFonts w:ascii="Times New Roman" w:hAnsi="Times New Roman"/>
        </w:rPr>
        <w:t xml:space="preserve"> explain how or why “other items and services”</w:t>
      </w:r>
      <w:r w:rsidR="00B629B0">
        <w:rPr>
          <w:rFonts w:ascii="Times New Roman" w:hAnsi="Times New Roman"/>
        </w:rPr>
        <w:t xml:space="preserve"> that are not for medical treatment, education, or job skills training</w:t>
      </w:r>
      <w:r w:rsidRPr="006D23DB">
        <w:rPr>
          <w:rFonts w:ascii="Times New Roman" w:hAnsi="Times New Roman"/>
        </w:rPr>
        <w:t xml:space="preserve"> relate to the child’s impairment</w:t>
      </w:r>
      <w:r w:rsidR="003A5A3C">
        <w:rPr>
          <w:rFonts w:ascii="Times New Roman" w:hAnsi="Times New Roman"/>
        </w:rPr>
        <w:t xml:space="preserve">. </w:t>
      </w:r>
    </w:p>
    <w:p w:rsidR="005737BD" w:rsidRPr="006D23DB" w:rsidP="005737BD" w14:paraId="6ADD237C" w14:textId="77777777">
      <w:pPr>
        <w:widowControl/>
        <w:ind w:left="2430"/>
        <w:rPr>
          <w:rFonts w:ascii="Times New Roman" w:hAnsi="Times New Roman"/>
        </w:rPr>
      </w:pPr>
    </w:p>
    <w:p w:rsidR="00B629B0" w14:paraId="732414F8" w14:textId="77777777">
      <w:pPr>
        <w:widowControl/>
        <w:numPr>
          <w:ilvl w:val="1"/>
          <w:numId w:val="49"/>
        </w:numPr>
        <w:ind w:left="2430" w:hanging="270"/>
        <w:rPr>
          <w:rFonts w:ascii="Times New Roman" w:hAnsi="Times New Roman"/>
        </w:rPr>
      </w:pPr>
      <w:r w:rsidRPr="00FD4027">
        <w:rPr>
          <w:rFonts w:ascii="Times New Roman" w:hAnsi="Times New Roman"/>
          <w:b/>
          <w:bCs/>
        </w:rPr>
        <w:t xml:space="preserve">Psychological Cost:  </w:t>
      </w:r>
      <w:r w:rsidRPr="00FD4027">
        <w:rPr>
          <w:rFonts w:ascii="Times New Roman" w:hAnsi="Times New Roman"/>
        </w:rPr>
        <w:t>T</w:t>
      </w:r>
      <w:r w:rsidRPr="00D00FA1">
        <w:rPr>
          <w:rFonts w:ascii="Times New Roman" w:hAnsi="Times New Roman"/>
        </w:rPr>
        <w:t>he respondent may perceive these questions as unduly invasive</w:t>
      </w:r>
      <w:r w:rsidR="00BA5EFF">
        <w:rPr>
          <w:rFonts w:ascii="Times New Roman" w:hAnsi="Times New Roman"/>
        </w:rPr>
        <w:t xml:space="preserve"> and time consuming</w:t>
      </w:r>
      <w:r w:rsidRPr="00D00FA1">
        <w:rPr>
          <w:rFonts w:ascii="Times New Roman" w:hAnsi="Times New Roman"/>
        </w:rPr>
        <w:t>, and these factors can lead to individuals choosing to delay or abandon completing this form</w:t>
      </w:r>
      <w:r w:rsidR="00BA5EFF">
        <w:rPr>
          <w:rFonts w:ascii="Times New Roman" w:hAnsi="Times New Roman"/>
        </w:rPr>
        <w:t xml:space="preserve"> when first received</w:t>
      </w:r>
      <w:r w:rsidRPr="00D00FA1">
        <w:rPr>
          <w:rFonts w:ascii="Times New Roman" w:hAnsi="Times New Roman"/>
        </w:rPr>
        <w:t>.</w:t>
      </w:r>
      <w:r w:rsidRPr="00D00FA1" w:rsidR="003562F8">
        <w:rPr>
          <w:rFonts w:ascii="Times New Roman" w:hAnsi="Times New Roman"/>
        </w:rPr>
        <w:t xml:space="preserve"> </w:t>
      </w:r>
    </w:p>
    <w:p w:rsidR="00057C29" w:rsidP="00D00FA1" w14:paraId="119563E4" w14:textId="77777777">
      <w:pPr>
        <w:widowControl/>
        <w:ind w:left="1440"/>
        <w:rPr>
          <w:rFonts w:ascii="Times New Roman" w:hAnsi="Times New Roman"/>
        </w:rPr>
      </w:pPr>
    </w:p>
    <w:p w:rsidR="006D23DB" w:rsidP="00D00FA1" w14:paraId="662A5BE1" w14:textId="6ECEE5D4">
      <w:pPr>
        <w:widowControl/>
        <w:ind w:left="1440"/>
        <w:rPr>
          <w:rFonts w:ascii="Times New Roman" w:hAnsi="Times New Roman"/>
        </w:rPr>
      </w:pPr>
      <w:r w:rsidRPr="00D00FA1">
        <w:rPr>
          <w:rFonts w:ascii="Times New Roman" w:hAnsi="Times New Roman"/>
        </w:rPr>
        <w:t xml:space="preserve">While we understand that we request significant amounts of information from the respondents, SSA explains, in the form instructions, that payees are legally required to account for how they used and saved benefits on behalf of the beneficiary. </w:t>
      </w:r>
      <w:r w:rsidR="005737BD">
        <w:rPr>
          <w:rFonts w:ascii="Times New Roman" w:hAnsi="Times New Roman"/>
        </w:rPr>
        <w:t xml:space="preserve"> </w:t>
      </w:r>
      <w:r w:rsidR="00497D4B">
        <w:rPr>
          <w:rFonts w:ascii="Times New Roman" w:hAnsi="Times New Roman"/>
        </w:rPr>
        <w:t>In addition, p</w:t>
      </w:r>
      <w:r w:rsidR="00B629B0">
        <w:rPr>
          <w:rFonts w:ascii="Times New Roman" w:hAnsi="Times New Roman"/>
        </w:rPr>
        <w:t xml:space="preserve">ayees sign </w:t>
      </w:r>
      <w:r w:rsidR="005737BD">
        <w:rPr>
          <w:rFonts w:ascii="Times New Roman" w:hAnsi="Times New Roman"/>
        </w:rPr>
        <w:t>an agreement</w:t>
      </w:r>
      <w:r w:rsidR="00B629B0">
        <w:rPr>
          <w:rFonts w:ascii="Times New Roman" w:hAnsi="Times New Roman"/>
        </w:rPr>
        <w:t xml:space="preserve"> to comply with these requirements prior to receiving the beneficiary’s funds.</w:t>
      </w:r>
      <w:r w:rsidR="00497D4B">
        <w:rPr>
          <w:rFonts w:ascii="Times New Roman" w:hAnsi="Times New Roman"/>
        </w:rPr>
        <w:t xml:space="preserve">  </w:t>
      </w:r>
      <w:r w:rsidR="004B077A">
        <w:rPr>
          <w:rFonts w:ascii="Times New Roman" w:hAnsi="Times New Roman"/>
        </w:rPr>
        <w:t xml:space="preserve">We have taken the </w:t>
      </w:r>
      <w:r w:rsidRPr="004B077A" w:rsidR="004B077A">
        <w:rPr>
          <w:rFonts w:ascii="Times New Roman" w:hAnsi="Times New Roman"/>
        </w:rPr>
        <w:t>psychological cost into account when calculating our burden in #12 below.</w:t>
      </w:r>
    </w:p>
    <w:p w:rsidR="005737BD" w:rsidP="00D00FA1" w14:paraId="4887407A" w14:textId="77777777">
      <w:pPr>
        <w:widowControl/>
        <w:ind w:left="1440"/>
        <w:rPr>
          <w:rFonts w:ascii="Times New Roman" w:hAnsi="Times New Roman"/>
        </w:rPr>
      </w:pPr>
    </w:p>
    <w:p w:rsidR="005737BD" w:rsidRPr="00D00FA1" w:rsidP="00D00FA1" w14:paraId="205B5685" w14:textId="4DB8C513">
      <w:pPr>
        <w:widowControl/>
        <w:ind w:left="1440"/>
        <w:rPr>
          <w:rFonts w:ascii="Times New Roman" w:hAnsi="Times New Roman"/>
        </w:rPr>
      </w:pPr>
      <w:r w:rsidRPr="00126027">
        <w:rPr>
          <w:rFonts w:ascii="Times New Roman" w:hAnsi="Times New Roman"/>
        </w:rPr>
        <w:t xml:space="preserve">Respondents are </w:t>
      </w:r>
      <w:r>
        <w:rPr>
          <w:rFonts w:ascii="Times New Roman" w:hAnsi="Times New Roman"/>
        </w:rPr>
        <w:t>payees</w:t>
      </w:r>
      <w:r w:rsidRPr="00126027">
        <w:rPr>
          <w:rFonts w:ascii="Times New Roman" w:hAnsi="Times New Roman"/>
        </w:rPr>
        <w:t xml:space="preserve"> for SSI recipients</w:t>
      </w:r>
      <w:r>
        <w:rPr>
          <w:rFonts w:ascii="Times New Roman" w:hAnsi="Times New Roman"/>
        </w:rPr>
        <w:t xml:space="preserve"> and concurrent beneficiaries who receive both SSI and Social Security benefits.</w:t>
      </w:r>
    </w:p>
    <w:p w:rsidR="00A45D82" w:rsidRPr="00BC7F42" w:rsidP="009A5800" w14:paraId="27CE484D" w14:textId="77777777">
      <w:pPr>
        <w:tabs>
          <w:tab w:val="num" w:pos="1440"/>
        </w:tabs>
        <w:ind w:left="1440"/>
        <w:rPr>
          <w:rFonts w:ascii="Times New Roman" w:hAnsi="Times New Roman"/>
        </w:rPr>
      </w:pPr>
    </w:p>
    <w:p w:rsidR="0036696D" w:rsidRPr="009A5800" w:rsidP="009A5800" w14:paraId="2FB87E1A" w14:textId="77777777">
      <w:pPr>
        <w:numPr>
          <w:ilvl w:val="0"/>
          <w:numId w:val="20"/>
        </w:numPr>
        <w:tabs>
          <w:tab w:val="clear" w:pos="720"/>
          <w:tab w:val="num" w:pos="1440"/>
        </w:tabs>
        <w:ind w:left="1440"/>
        <w:rPr>
          <w:rFonts w:ascii="Times New Roman" w:hAnsi="Times New Roman"/>
          <w:b/>
        </w:rPr>
      </w:pPr>
      <w:r w:rsidRPr="009A5800">
        <w:rPr>
          <w:rFonts w:ascii="Times New Roman" w:hAnsi="Times New Roman"/>
          <w:b/>
        </w:rPr>
        <w:t>Use of Information Technology to Collect the Information</w:t>
      </w:r>
    </w:p>
    <w:p w:rsidR="00772FFF" w:rsidRPr="00772FFF" w:rsidP="009A5800" w14:paraId="53CA73E6" w14:textId="3E3CA5F0">
      <w:pPr>
        <w:tabs>
          <w:tab w:val="num" w:pos="1440"/>
        </w:tabs>
        <w:ind w:left="1440"/>
        <w:rPr>
          <w:rFonts w:ascii="Times New Roman" w:eastAsia="SimSun" w:hAnsi="Times New Roman"/>
          <w:snapToGrid/>
          <w:lang w:eastAsia="zh-CN"/>
        </w:rPr>
      </w:pPr>
      <w:r>
        <w:rPr>
          <w:rFonts w:ascii="Times New Roman" w:eastAsia="SimSun" w:hAnsi="Times New Roman"/>
          <w:snapToGrid/>
          <w:lang w:eastAsia="zh-CN"/>
        </w:rPr>
        <w:t>This form is available as a print-only PDF on SSA’s</w:t>
      </w:r>
      <w:r w:rsidR="009D015F">
        <w:rPr>
          <w:rFonts w:ascii="Times New Roman" w:eastAsia="SimSun" w:hAnsi="Times New Roman"/>
          <w:snapToGrid/>
          <w:lang w:eastAsia="zh-CN"/>
        </w:rPr>
        <w:t xml:space="preserve"> </w:t>
      </w:r>
      <w:r w:rsidR="00AB4A93">
        <w:rPr>
          <w:rFonts w:ascii="Times New Roman" w:eastAsia="SimSun" w:hAnsi="Times New Roman"/>
          <w:snapToGrid/>
          <w:lang w:eastAsia="zh-CN"/>
        </w:rPr>
        <w:t>Intranet site</w:t>
      </w:r>
      <w:r>
        <w:rPr>
          <w:rFonts w:ascii="Times New Roman" w:eastAsia="SimSun" w:hAnsi="Times New Roman"/>
          <w:snapToGrid/>
          <w:lang w:eastAsia="zh-CN"/>
        </w:rPr>
        <w:t xml:space="preserve">. </w:t>
      </w:r>
      <w:r w:rsidR="00497D4B">
        <w:rPr>
          <w:rFonts w:ascii="Times New Roman" w:eastAsia="SimSun" w:hAnsi="Times New Roman"/>
          <w:snapToGrid/>
          <w:lang w:eastAsia="zh-CN"/>
        </w:rPr>
        <w:t xml:space="preserve"> </w:t>
      </w:r>
      <w:r w:rsidR="00AB4A93">
        <w:rPr>
          <w:rFonts w:ascii="Times New Roman" w:eastAsia="SimSun" w:hAnsi="Times New Roman"/>
          <w:snapToGrid/>
          <w:lang w:eastAsia="zh-CN"/>
        </w:rPr>
        <w:t>SSA technicians print and mail the form to payees with instructions for completing and returning the form.</w:t>
      </w:r>
      <w:r w:rsidR="00497D4B">
        <w:rPr>
          <w:rFonts w:ascii="Times New Roman" w:eastAsia="SimSun" w:hAnsi="Times New Roman"/>
          <w:snapToGrid/>
          <w:lang w:eastAsia="zh-CN"/>
        </w:rPr>
        <w:t xml:space="preserve"> </w:t>
      </w:r>
      <w:r w:rsidR="00AB4A93">
        <w:rPr>
          <w:rFonts w:ascii="Times New Roman" w:eastAsia="SimSun" w:hAnsi="Times New Roman"/>
          <w:snapToGrid/>
          <w:lang w:eastAsia="zh-CN"/>
        </w:rPr>
        <w:t xml:space="preserve"> </w:t>
      </w:r>
      <w:r w:rsidR="00497D4B">
        <w:rPr>
          <w:rFonts w:ascii="Times New Roman" w:eastAsia="SimSun" w:hAnsi="Times New Roman"/>
          <w:snapToGrid/>
          <w:lang w:eastAsia="zh-CN"/>
        </w:rPr>
        <w:t>SSA technicians can also</w:t>
      </w:r>
      <w:r>
        <w:rPr>
          <w:rFonts w:ascii="Times New Roman" w:eastAsia="SimSun" w:hAnsi="Times New Roman"/>
          <w:snapToGrid/>
          <w:lang w:eastAsia="zh-CN"/>
        </w:rPr>
        <w:t xml:space="preserve"> input</w:t>
      </w:r>
      <w:r w:rsidR="00497D4B">
        <w:rPr>
          <w:rFonts w:ascii="Times New Roman" w:eastAsia="SimSun" w:hAnsi="Times New Roman"/>
          <w:snapToGrid/>
          <w:lang w:eastAsia="zh-CN"/>
        </w:rPr>
        <w:t xml:space="preserve"> the information into SSA systems</w:t>
      </w:r>
      <w:r>
        <w:rPr>
          <w:rFonts w:ascii="Times New Roman" w:eastAsia="SimSun" w:hAnsi="Times New Roman"/>
          <w:snapToGrid/>
          <w:lang w:eastAsia="zh-CN"/>
        </w:rPr>
        <w:t xml:space="preserve"> via an in-office interview; however, field office employees must input the information manually. </w:t>
      </w:r>
      <w:r w:rsidR="00497D4B">
        <w:rPr>
          <w:rFonts w:ascii="Times New Roman" w:eastAsia="SimSun" w:hAnsi="Times New Roman"/>
          <w:snapToGrid/>
          <w:lang w:eastAsia="zh-CN"/>
        </w:rPr>
        <w:t xml:space="preserve"> </w:t>
      </w:r>
      <w:r w:rsidRPr="00772FFF">
        <w:rPr>
          <w:rFonts w:ascii="Times New Roman" w:eastAsia="SimSun" w:hAnsi="Times New Roman"/>
          <w:snapToGrid/>
          <w:lang w:eastAsia="zh-CN"/>
        </w:rPr>
        <w:t>SSA did not create an electronic version of Form SSA</w:t>
      </w:r>
      <w:r w:rsidR="00497D4B">
        <w:rPr>
          <w:rFonts w:ascii="Times New Roman" w:eastAsia="SimSun" w:hAnsi="Times New Roman"/>
          <w:snapToGrid/>
          <w:lang w:eastAsia="zh-CN"/>
        </w:rPr>
        <w:noBreakHyphen/>
      </w:r>
      <w:r w:rsidRPr="00772FFF">
        <w:rPr>
          <w:rFonts w:ascii="Times New Roman" w:eastAsia="SimSun" w:hAnsi="Times New Roman"/>
          <w:snapToGrid/>
          <w:lang w:eastAsia="zh-CN"/>
        </w:rPr>
        <w:t xml:space="preserve">6233 under the agency’s Government Paperwork Elimination Act (GPEA) plan because </w:t>
      </w:r>
      <w:r w:rsidR="00154BEA">
        <w:rPr>
          <w:rFonts w:ascii="Times New Roman" w:eastAsia="SimSun" w:hAnsi="Times New Roman"/>
          <w:snapToGrid/>
          <w:lang w:eastAsia="zh-CN"/>
        </w:rPr>
        <w:t>historically fewer than</w:t>
      </w:r>
      <w:r w:rsidRPr="00772FFF">
        <w:rPr>
          <w:rFonts w:ascii="Times New Roman" w:eastAsia="SimSun" w:hAnsi="Times New Roman"/>
          <w:snapToGrid/>
          <w:lang w:eastAsia="zh-CN"/>
        </w:rPr>
        <w:t xml:space="preserve"> </w:t>
      </w:r>
      <w:r w:rsidR="00154BEA">
        <w:rPr>
          <w:rFonts w:ascii="Times New Roman" w:eastAsia="SimSun" w:hAnsi="Times New Roman"/>
          <w:snapToGrid/>
          <w:lang w:eastAsia="zh-CN"/>
        </w:rPr>
        <w:t>5</w:t>
      </w:r>
      <w:r w:rsidRPr="00772FFF">
        <w:rPr>
          <w:rFonts w:ascii="Times New Roman" w:eastAsia="SimSun" w:hAnsi="Times New Roman"/>
          <w:snapToGrid/>
          <w:lang w:eastAsia="zh-CN"/>
        </w:rPr>
        <w:t>0,000 respondents complete the form</w:t>
      </w:r>
      <w:r w:rsidR="007763FF">
        <w:rPr>
          <w:rFonts w:ascii="Times New Roman" w:eastAsia="SimSun" w:hAnsi="Times New Roman"/>
          <w:snapToGrid/>
          <w:lang w:eastAsia="zh-CN"/>
        </w:rPr>
        <w:t xml:space="preserve"> annually</w:t>
      </w:r>
      <w:r w:rsidR="00717673">
        <w:rPr>
          <w:rFonts w:ascii="Times New Roman" w:eastAsia="SimSun" w:hAnsi="Times New Roman"/>
          <w:snapToGrid/>
          <w:lang w:eastAsia="zh-CN"/>
        </w:rPr>
        <w:t>.</w:t>
      </w:r>
      <w:r w:rsidR="00497D4B">
        <w:rPr>
          <w:rFonts w:ascii="Times New Roman" w:eastAsia="SimSun" w:hAnsi="Times New Roman"/>
          <w:snapToGrid/>
          <w:lang w:eastAsia="zh-CN"/>
        </w:rPr>
        <w:t xml:space="preserve"> </w:t>
      </w:r>
      <w:r w:rsidR="00717673">
        <w:rPr>
          <w:rFonts w:ascii="Times New Roman" w:eastAsia="SimSun" w:hAnsi="Times New Roman"/>
          <w:snapToGrid/>
          <w:lang w:eastAsia="zh-CN"/>
        </w:rPr>
        <w:t xml:space="preserve"> </w:t>
      </w:r>
      <w:r w:rsidR="009D015F">
        <w:rPr>
          <w:rFonts w:ascii="Times New Roman" w:eastAsia="SimSun" w:hAnsi="Times New Roman"/>
          <w:snapToGrid/>
          <w:lang w:eastAsia="zh-CN"/>
        </w:rPr>
        <w:t>Alt</w:t>
      </w:r>
      <w:r w:rsidR="00154BEA">
        <w:rPr>
          <w:rFonts w:ascii="Times New Roman" w:eastAsia="SimSun" w:hAnsi="Times New Roman"/>
          <w:snapToGrid/>
          <w:lang w:eastAsia="zh-CN"/>
        </w:rPr>
        <w:t>hough the current number of respondents exceeds 50,000, we expect this figure to decrease in the future as case processing times decrease.</w:t>
      </w:r>
      <w:r w:rsidR="00497D4B">
        <w:rPr>
          <w:rFonts w:ascii="Times New Roman" w:eastAsia="SimSun" w:hAnsi="Times New Roman"/>
          <w:snapToGrid/>
          <w:lang w:eastAsia="zh-CN"/>
        </w:rPr>
        <w:t xml:space="preserve">  In addition, while we are looking into alternate means for respondents to submit this information collection, we have not, </w:t>
      </w:r>
      <w:r w:rsidR="009D015F">
        <w:rPr>
          <w:rFonts w:ascii="Times New Roman" w:eastAsia="SimSun" w:hAnsi="Times New Roman"/>
          <w:snapToGrid/>
          <w:lang w:eastAsia="zh-CN"/>
        </w:rPr>
        <w:t>yet</w:t>
      </w:r>
      <w:r w:rsidR="00497D4B">
        <w:rPr>
          <w:rFonts w:ascii="Times New Roman" w:eastAsia="SimSun" w:hAnsi="Times New Roman"/>
          <w:snapToGrid/>
          <w:lang w:eastAsia="zh-CN"/>
        </w:rPr>
        <w:t xml:space="preserve"> conducted a risk assessment on the form (which we require prior to creating a submittable PDF version, or a full Internet application modality), as we consider this a lower use form.  Once we have conducted the risk assessments on higher use forms, we will reconsider assessing this form for an electronic submission option.</w:t>
      </w:r>
    </w:p>
    <w:p w:rsidR="00814772" w:rsidRPr="00814772" w:rsidP="009A5800" w14:paraId="18CD3133" w14:textId="77777777">
      <w:pPr>
        <w:tabs>
          <w:tab w:val="num" w:pos="1440"/>
        </w:tabs>
        <w:ind w:left="1440"/>
        <w:rPr>
          <w:rFonts w:ascii="Times New Roman" w:hAnsi="Times New Roman"/>
          <w:i/>
        </w:rPr>
      </w:pPr>
      <w:r>
        <w:rPr>
          <w:rFonts w:ascii="Times New Roman" w:hAnsi="Times New Roman"/>
        </w:rPr>
        <w:t xml:space="preserve"> </w:t>
      </w:r>
    </w:p>
    <w:p w:rsidR="000C1D18" w:rsidRPr="009A5800" w:rsidP="009A5800" w14:paraId="12E5218F" w14:textId="77777777">
      <w:pPr>
        <w:numPr>
          <w:ilvl w:val="0"/>
          <w:numId w:val="20"/>
        </w:numPr>
        <w:tabs>
          <w:tab w:val="clear" w:pos="720"/>
          <w:tab w:val="num" w:pos="1440"/>
        </w:tabs>
        <w:ind w:left="1440"/>
        <w:rPr>
          <w:rFonts w:ascii="Times New Roman" w:hAnsi="Times New Roman"/>
          <w:b/>
        </w:rPr>
      </w:pPr>
      <w:r w:rsidRPr="009A5800">
        <w:rPr>
          <w:rFonts w:ascii="Times New Roman" w:hAnsi="Times New Roman"/>
          <w:b/>
        </w:rPr>
        <w:t xml:space="preserve">Why </w:t>
      </w:r>
      <w:r w:rsidRPr="009A5800">
        <w:rPr>
          <w:rFonts w:ascii="Times New Roman" w:hAnsi="Times New Roman"/>
          <w:b/>
        </w:rPr>
        <w:t>We Cannot Use Duplicate Information</w:t>
      </w:r>
    </w:p>
    <w:p w:rsidR="00772FFF" w:rsidRPr="00772FFF" w:rsidP="009A5800" w14:paraId="7B452EFB" w14:textId="77777777">
      <w:pPr>
        <w:pStyle w:val="ListParagraph"/>
        <w:tabs>
          <w:tab w:val="num" w:pos="1440"/>
        </w:tabs>
        <w:ind w:left="1440"/>
        <w:rPr>
          <w:rFonts w:ascii="Times New Roman" w:eastAsia="SimSun" w:hAnsi="Times New Roman"/>
          <w:snapToGrid/>
          <w:lang w:eastAsia="zh-CN"/>
        </w:rPr>
      </w:pPr>
      <w:r w:rsidRPr="00126027">
        <w:rPr>
          <w:rFonts w:ascii="Times New Roman" w:hAnsi="Times New Roman"/>
        </w:rPr>
        <w:t>The nature of the information we collect and the manner in which we collect it precludes duplication.  SSA does not use another collection instrument to obtain similar data</w:t>
      </w:r>
      <w:r w:rsidR="00E06CCA">
        <w:rPr>
          <w:rFonts w:ascii="Times New Roman" w:eastAsia="SimSun" w:hAnsi="Times New Roman"/>
          <w:snapToGrid/>
          <w:lang w:eastAsia="zh-CN"/>
        </w:rPr>
        <w:t>.</w:t>
      </w:r>
    </w:p>
    <w:p w:rsidR="00A45D82" w:rsidRPr="00BC7F42" w:rsidP="009A5800" w14:paraId="282850B1" w14:textId="77777777">
      <w:pPr>
        <w:pStyle w:val="Header"/>
        <w:tabs>
          <w:tab w:val="num" w:pos="1440"/>
          <w:tab w:val="clear" w:pos="4320"/>
          <w:tab w:val="clear" w:pos="8640"/>
        </w:tabs>
        <w:ind w:left="1440"/>
        <w:rPr>
          <w:rFonts w:ascii="Times New Roman" w:hAnsi="Times New Roman"/>
        </w:rPr>
      </w:pPr>
    </w:p>
    <w:p w:rsidR="00077E0E" w:rsidRPr="009A5800" w:rsidP="009A5800" w14:paraId="2DAC535E" w14:textId="77777777">
      <w:pPr>
        <w:numPr>
          <w:ilvl w:val="0"/>
          <w:numId w:val="28"/>
        </w:numPr>
        <w:tabs>
          <w:tab w:val="clear" w:pos="360"/>
          <w:tab w:val="num" w:pos="1440"/>
        </w:tabs>
        <w:ind w:left="1440" w:hanging="720"/>
        <w:rPr>
          <w:rFonts w:ascii="Times New Roman" w:hAnsi="Times New Roman"/>
          <w:b/>
        </w:rPr>
      </w:pPr>
      <w:r w:rsidRPr="009A5800">
        <w:rPr>
          <w:rFonts w:ascii="Times New Roman" w:hAnsi="Times New Roman"/>
          <w:b/>
        </w:rPr>
        <w:t>Minimizing Burden on Small Respondents</w:t>
      </w:r>
    </w:p>
    <w:p w:rsidR="00077E0E" w:rsidRPr="00D51947" w:rsidP="009A5800" w14:paraId="47071869" w14:textId="34A44E37">
      <w:pPr>
        <w:tabs>
          <w:tab w:val="num" w:pos="1440"/>
        </w:tabs>
        <w:ind w:left="1440"/>
        <w:rPr>
          <w:rFonts w:ascii="Times New Roman" w:eastAsia="SimSun" w:hAnsi="Times New Roman"/>
          <w:snapToGrid/>
          <w:lang w:eastAsia="zh-CN"/>
        </w:rPr>
      </w:pPr>
      <w:r w:rsidRPr="00D51947">
        <w:rPr>
          <w:rFonts w:ascii="Times New Roman" w:eastAsia="SimSun" w:hAnsi="Times New Roman"/>
          <w:snapToGrid/>
          <w:lang w:eastAsia="zh-CN"/>
        </w:rPr>
        <w:t xml:space="preserve">This collection does affect small businesses or other small entities.  However, if we did not impose the </w:t>
      </w:r>
      <w:r w:rsidRPr="00D51947" w:rsidR="009D015F">
        <w:rPr>
          <w:rFonts w:ascii="Times New Roman" w:eastAsia="SimSun" w:hAnsi="Times New Roman"/>
          <w:snapToGrid/>
          <w:lang w:eastAsia="zh-CN"/>
        </w:rPr>
        <w:t>burden,</w:t>
      </w:r>
      <w:r w:rsidRPr="00D51947">
        <w:rPr>
          <w:rFonts w:ascii="Times New Roman" w:eastAsia="SimSun" w:hAnsi="Times New Roman"/>
          <w:snapToGrid/>
          <w:lang w:eastAsia="zh-CN"/>
        </w:rPr>
        <w:t xml:space="preserve"> we would be unable to obtain annual representative payee reporting from those small businesses or entities, which serve as payees fo</w:t>
      </w:r>
      <w:r w:rsidR="00584EA2">
        <w:rPr>
          <w:rFonts w:ascii="Times New Roman" w:eastAsia="SimSun" w:hAnsi="Times New Roman"/>
          <w:snapToGrid/>
          <w:lang w:eastAsia="zh-CN"/>
        </w:rPr>
        <w:t>r Social Security recipients.  Since this</w:t>
      </w:r>
      <w:r w:rsidRPr="00D51947">
        <w:rPr>
          <w:rFonts w:ascii="Times New Roman" w:eastAsia="SimSun" w:hAnsi="Times New Roman"/>
          <w:snapToGrid/>
          <w:lang w:eastAsia="zh-CN"/>
        </w:rPr>
        <w:t xml:space="preserve"> collection of information </w:t>
      </w:r>
      <w:r w:rsidR="00584EA2">
        <w:rPr>
          <w:rFonts w:ascii="Times New Roman" w:eastAsia="SimSun" w:hAnsi="Times New Roman"/>
          <w:snapToGrid/>
          <w:lang w:eastAsia="zh-CN"/>
        </w:rPr>
        <w:t xml:space="preserve">can affect </w:t>
      </w:r>
      <w:r w:rsidRPr="00D51947">
        <w:rPr>
          <w:rFonts w:ascii="Times New Roman" w:eastAsia="SimSun" w:hAnsi="Times New Roman"/>
          <w:snapToGrid/>
          <w:lang w:eastAsia="zh-CN"/>
        </w:rPr>
        <w:t>small businesses serving as representative p</w:t>
      </w:r>
      <w:r w:rsidR="00584EA2">
        <w:rPr>
          <w:rFonts w:ascii="Times New Roman" w:eastAsia="SimSun" w:hAnsi="Times New Roman"/>
          <w:snapToGrid/>
          <w:lang w:eastAsia="zh-CN"/>
        </w:rPr>
        <w:t>ayees, w</w:t>
      </w:r>
      <w:r w:rsidRPr="00D51947">
        <w:rPr>
          <w:rFonts w:ascii="Times New Roman" w:eastAsia="SimSun" w:hAnsi="Times New Roman"/>
          <w:snapToGrid/>
          <w:lang w:eastAsia="zh-CN"/>
        </w:rPr>
        <w:t xml:space="preserve">e minimized the burden by incorporating YES </w:t>
      </w:r>
      <w:r>
        <w:rPr>
          <w:rFonts w:ascii="Times New Roman" w:eastAsia="SimSun" w:hAnsi="Times New Roman"/>
          <w:snapToGrid/>
          <w:lang w:eastAsia="zh-CN"/>
        </w:rPr>
        <w:t>and NO responses where feasible</w:t>
      </w:r>
      <w:r>
        <w:rPr>
          <w:rFonts w:ascii="Times New Roman" w:hAnsi="Times New Roman"/>
        </w:rPr>
        <w:t>.</w:t>
      </w:r>
    </w:p>
    <w:p w:rsidR="00E75DB0" w:rsidRPr="00077E0E" w:rsidP="009A5800" w14:paraId="7640571F" w14:textId="77777777">
      <w:pPr>
        <w:tabs>
          <w:tab w:val="num" w:pos="1440"/>
        </w:tabs>
        <w:ind w:left="1440"/>
        <w:rPr>
          <w:rFonts w:ascii="Times New Roman" w:hAnsi="Times New Roman"/>
          <w:b/>
          <w:u w:val="single"/>
        </w:rPr>
      </w:pPr>
    </w:p>
    <w:p w:rsidR="00D51947" w:rsidRPr="00D51947" w:rsidP="009A5800" w14:paraId="1D5B3E72" w14:textId="77777777">
      <w:pPr>
        <w:tabs>
          <w:tab w:val="num" w:pos="1440"/>
        </w:tabs>
        <w:ind w:left="1440" w:hanging="720"/>
        <w:rPr>
          <w:rFonts w:ascii="Times New Roman" w:hAnsi="Times New Roman"/>
        </w:rPr>
      </w:pPr>
      <w:r w:rsidRPr="009A5800">
        <w:rPr>
          <w:rFonts w:ascii="Times New Roman" w:hAnsi="Times New Roman"/>
          <w:b/>
        </w:rPr>
        <w:t>6.</w:t>
      </w:r>
      <w:r w:rsidRPr="009A5800">
        <w:rPr>
          <w:rFonts w:ascii="Times New Roman" w:hAnsi="Times New Roman"/>
          <w:b/>
        </w:rPr>
        <w:tab/>
      </w:r>
      <w:r w:rsidRPr="009A5800" w:rsidR="00A45D82">
        <w:rPr>
          <w:rFonts w:ascii="Times New Roman" w:hAnsi="Times New Roman"/>
          <w:b/>
        </w:rPr>
        <w:t>Consequence of Not Collecting Information or Collecting it Less</w:t>
      </w:r>
      <w:r w:rsidRPr="00BC7F42" w:rsidR="00A45D82">
        <w:rPr>
          <w:rFonts w:ascii="Times New Roman" w:hAnsi="Times New Roman"/>
          <w:b/>
        </w:rPr>
        <w:t xml:space="preserve"> Frequently </w:t>
      </w:r>
      <w:r>
        <w:rPr>
          <w:rFonts w:ascii="Times New Roman" w:hAnsi="Times New Roman"/>
        </w:rPr>
        <w:t xml:space="preserve">If </w:t>
      </w:r>
      <w:r w:rsidRPr="00D51947">
        <w:rPr>
          <w:rFonts w:ascii="Times New Roman" w:hAnsi="Times New Roman"/>
        </w:rPr>
        <w:t>we did not use Form SSA-6233</w:t>
      </w:r>
      <w:r w:rsidR="00085B9D">
        <w:rPr>
          <w:rFonts w:ascii="Times New Roman" w:hAnsi="Times New Roman"/>
        </w:rPr>
        <w:t>,</w:t>
      </w:r>
      <w:r w:rsidRPr="00D51947">
        <w:rPr>
          <w:rFonts w:ascii="Times New Roman" w:hAnsi="Times New Roman"/>
        </w:rPr>
        <w:t xml:space="preserve"> we would have no way of knowing if </w:t>
      </w:r>
      <w:r w:rsidR="00945B8F">
        <w:rPr>
          <w:rFonts w:ascii="Times New Roman" w:hAnsi="Times New Roman"/>
        </w:rPr>
        <w:t xml:space="preserve">the payee knowingly made </w:t>
      </w:r>
      <w:r w:rsidRPr="00D51947">
        <w:rPr>
          <w:rFonts w:ascii="Times New Roman" w:hAnsi="Times New Roman"/>
        </w:rPr>
        <w:t>any unauthorized expenditures</w:t>
      </w:r>
      <w:r w:rsidR="00945B8F">
        <w:rPr>
          <w:rFonts w:ascii="Times New Roman" w:hAnsi="Times New Roman"/>
        </w:rPr>
        <w:t>, c</w:t>
      </w:r>
      <w:r w:rsidR="00584EA2">
        <w:rPr>
          <w:rFonts w:ascii="Times New Roman" w:hAnsi="Times New Roman"/>
        </w:rPr>
        <w:t>onstituting a</w:t>
      </w:r>
      <w:r w:rsidRPr="00D51947">
        <w:rPr>
          <w:rFonts w:ascii="Times New Roman" w:hAnsi="Times New Roman"/>
        </w:rPr>
        <w:t xml:space="preserve"> “misapplication” of funds</w:t>
      </w:r>
      <w:r w:rsidR="00584EA2">
        <w:rPr>
          <w:rFonts w:ascii="Times New Roman" w:hAnsi="Times New Roman"/>
        </w:rPr>
        <w:t>,</w:t>
      </w:r>
      <w:r w:rsidRPr="00D51947">
        <w:rPr>
          <w:rFonts w:ascii="Times New Roman" w:hAnsi="Times New Roman"/>
        </w:rPr>
        <w:t xml:space="preserve"> and </w:t>
      </w:r>
      <w:r w:rsidR="00584EA2">
        <w:rPr>
          <w:rFonts w:ascii="Times New Roman" w:hAnsi="Times New Roman"/>
        </w:rPr>
        <w:t xml:space="preserve">we would not know </w:t>
      </w:r>
      <w:r w:rsidRPr="00D51947">
        <w:rPr>
          <w:rFonts w:ascii="Times New Roman" w:hAnsi="Times New Roman"/>
        </w:rPr>
        <w:t xml:space="preserve">if they </w:t>
      </w:r>
      <w:r w:rsidRPr="00D51947">
        <w:rPr>
          <w:rFonts w:ascii="Times New Roman" w:hAnsi="Times New Roman"/>
        </w:rPr>
        <w:t>are</w:t>
      </w:r>
      <w:r w:rsidRPr="00D51947">
        <w:rPr>
          <w:rFonts w:ascii="Times New Roman" w:hAnsi="Times New Roman"/>
        </w:rPr>
        <w:t xml:space="preserve"> recoverable from the payee on a dollar-for-dollar basis.  Because we collect this information annually</w:t>
      </w:r>
      <w:r w:rsidR="00584EA2">
        <w:rPr>
          <w:rFonts w:ascii="Times New Roman" w:hAnsi="Times New Roman"/>
        </w:rPr>
        <w:t xml:space="preserve"> to avoid fraud and unauthorized expenditures</w:t>
      </w:r>
      <w:r w:rsidRPr="00D51947">
        <w:rPr>
          <w:rFonts w:ascii="Times New Roman" w:hAnsi="Times New Roman"/>
        </w:rPr>
        <w:t>, we cannot collect it less frequently.</w:t>
      </w:r>
      <w:r w:rsidR="00126027">
        <w:rPr>
          <w:rFonts w:ascii="Times New Roman" w:hAnsi="Times New Roman"/>
        </w:rPr>
        <w:t xml:space="preserve">  </w:t>
      </w:r>
      <w:r w:rsidRPr="00D51947">
        <w:rPr>
          <w:rFonts w:ascii="Times New Roman" w:hAnsi="Times New Roman"/>
        </w:rPr>
        <w:t xml:space="preserve">There are no technical or legal obstacles that prevent burden reduction. </w:t>
      </w:r>
    </w:p>
    <w:p w:rsidR="00A45D82" w:rsidRPr="00BC7F42" w:rsidP="009A5800" w14:paraId="50774A65" w14:textId="77777777">
      <w:pPr>
        <w:tabs>
          <w:tab w:val="num" w:pos="1440"/>
        </w:tabs>
        <w:ind w:left="1440"/>
        <w:rPr>
          <w:rFonts w:ascii="Times New Roman" w:hAnsi="Times New Roman"/>
        </w:rPr>
      </w:pPr>
    </w:p>
    <w:p w:rsidR="00127980" w:rsidRPr="009A5800" w:rsidP="009A5800" w14:paraId="0B6DDA43" w14:textId="77777777">
      <w:pPr>
        <w:tabs>
          <w:tab w:val="num" w:pos="1440"/>
        </w:tabs>
        <w:ind w:left="1440" w:hanging="720"/>
        <w:rPr>
          <w:rFonts w:ascii="Times New Roman" w:hAnsi="Times New Roman"/>
          <w:b/>
        </w:rPr>
      </w:pPr>
      <w:r w:rsidRPr="009A5800">
        <w:rPr>
          <w:rFonts w:ascii="Times New Roman" w:hAnsi="Times New Roman"/>
          <w:b/>
        </w:rPr>
        <w:t>7.</w:t>
      </w:r>
      <w:r w:rsidRPr="009A5800">
        <w:rPr>
          <w:rFonts w:ascii="Times New Roman" w:hAnsi="Times New Roman"/>
          <w:b/>
        </w:rPr>
        <w:tab/>
        <w:t xml:space="preserve">Special Circumstances </w:t>
      </w:r>
    </w:p>
    <w:p w:rsidR="00A45D82" w:rsidP="00497D4B" w14:paraId="0E2D19E4" w14:textId="575954CF">
      <w:pPr>
        <w:pStyle w:val="BodyText2"/>
        <w:tabs>
          <w:tab w:val="clear" w:pos="-1440"/>
          <w:tab w:val="clear" w:pos="-720"/>
          <w:tab w:val="clear" w:pos="0"/>
          <w:tab w:val="clear" w:pos="720"/>
          <w:tab w:val="num" w:pos="810"/>
          <w:tab w:val="num"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Pr>
          <w:rFonts w:ascii="Times New Roman" w:hAnsi="Times New Roman"/>
          <w:b w:val="0"/>
          <w:i w:val="0"/>
        </w:rPr>
        <w:t>There</w:t>
      </w:r>
      <w:r w:rsidRPr="00DF6192">
        <w:rPr>
          <w:rFonts w:ascii="Times New Roman" w:hAnsi="Times New Roman"/>
          <w:b w:val="0"/>
          <w:i w:val="0"/>
        </w:rPr>
        <w:t xml:space="preserve"> are no special circumstances that would cause SSA to conduct this information collection in a manner inconsistent with </w:t>
      </w:r>
      <w:r w:rsidRPr="00126027">
        <w:rPr>
          <w:rFonts w:ascii="Times New Roman" w:hAnsi="Times New Roman"/>
          <w:b w:val="0"/>
        </w:rPr>
        <w:t>5 CFR 1320.5</w:t>
      </w:r>
      <w:r w:rsidRPr="00DF6192">
        <w:rPr>
          <w:rFonts w:ascii="Times New Roman" w:hAnsi="Times New Roman"/>
          <w:b w:val="0"/>
          <w:i w:val="0"/>
        </w:rPr>
        <w:t>.</w:t>
      </w:r>
    </w:p>
    <w:p w:rsidR="009D015F" w:rsidRPr="00BC7F42" w:rsidP="00497D4B" w14:paraId="64A687B0" w14:textId="77777777">
      <w:pPr>
        <w:pStyle w:val="BodyText2"/>
        <w:tabs>
          <w:tab w:val="clear" w:pos="-1440"/>
          <w:tab w:val="clear" w:pos="-720"/>
          <w:tab w:val="clear" w:pos="0"/>
          <w:tab w:val="clear" w:pos="720"/>
          <w:tab w:val="num" w:pos="810"/>
          <w:tab w:val="num"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p>
    <w:p w:rsidR="00126027" w:rsidRPr="00126027" w:rsidP="009A5800" w14:paraId="7346F8B2" w14:textId="77777777">
      <w:pPr>
        <w:numPr>
          <w:ilvl w:val="0"/>
          <w:numId w:val="14"/>
        </w:numPr>
        <w:tabs>
          <w:tab w:val="clear" w:pos="720"/>
          <w:tab w:val="num" w:pos="1440"/>
        </w:tabs>
        <w:ind w:left="1440"/>
        <w:rPr>
          <w:rFonts w:ascii="Times New Roman" w:eastAsia="SimSun" w:hAnsi="Times New Roman"/>
          <w:snapToGrid/>
          <w:lang w:eastAsia="zh-CN"/>
        </w:rPr>
      </w:pPr>
      <w:r w:rsidRPr="009A5800">
        <w:rPr>
          <w:rFonts w:ascii="Times New Roman" w:hAnsi="Times New Roman"/>
          <w:b/>
        </w:rPr>
        <w:t>Solicitation of Public Comment and Other Consultations with the</w:t>
      </w:r>
      <w:r w:rsidRPr="00BC7F42">
        <w:rPr>
          <w:rFonts w:ascii="Times New Roman" w:hAnsi="Times New Roman"/>
          <w:b/>
        </w:rPr>
        <w:t xml:space="preserve"> Public </w:t>
      </w:r>
    </w:p>
    <w:p w:rsidR="001C6D3A" w:rsidRPr="00497D4B" w:rsidP="00085B9D" w14:paraId="4B29F365" w14:textId="246C4F1B">
      <w:pPr>
        <w:pStyle w:val="ListParagraph"/>
        <w:tabs>
          <w:tab w:val="num" w:pos="810"/>
          <w:tab w:val="num" w:pos="1440"/>
        </w:tabs>
        <w:ind w:left="1440"/>
        <w:rPr>
          <w:rFonts w:ascii="Times New Roman" w:eastAsia="SimSun" w:hAnsi="Times New Roman"/>
          <w:snapToGrid/>
          <w:lang w:eastAsia="zh-CN"/>
        </w:rPr>
      </w:pPr>
      <w:r w:rsidRPr="00497D4B">
        <w:rPr>
          <w:rFonts w:ascii="Times New Roman" w:hAnsi="Times New Roman"/>
          <w:color w:val="000000" w:themeColor="text1"/>
        </w:rPr>
        <w:t xml:space="preserve">The 60-day advance Federal Register Notice published on September 12, 2024, at 89 FR 74351, and we received no public comments.  The 30-day FRN published on </w:t>
      </w:r>
      <w:r>
        <w:rPr>
          <w:rFonts w:ascii="Times New Roman" w:hAnsi="Times New Roman"/>
          <w:color w:val="000000" w:themeColor="text1"/>
        </w:rPr>
        <w:t>November</w:t>
      </w:r>
      <w:r w:rsidRPr="00497D4B">
        <w:rPr>
          <w:rFonts w:ascii="Times New Roman" w:hAnsi="Times New Roman"/>
          <w:color w:val="000000" w:themeColor="text1"/>
        </w:rPr>
        <w:t xml:space="preserve"> 6, 2024, at 89 FR </w:t>
      </w:r>
      <w:r>
        <w:rPr>
          <w:rFonts w:ascii="Times New Roman" w:hAnsi="Times New Roman"/>
          <w:color w:val="000000" w:themeColor="text1"/>
        </w:rPr>
        <w:t>88105</w:t>
      </w:r>
      <w:r w:rsidRPr="00497D4B">
        <w:rPr>
          <w:rFonts w:ascii="Times New Roman" w:hAnsi="Times New Roman"/>
          <w:color w:val="000000" w:themeColor="text1"/>
        </w:rPr>
        <w:t>.  If we receive any comments in response to this Notice, we will forward them to OMB</w:t>
      </w:r>
      <w:r w:rsidRPr="00497D4B" w:rsidR="00312A52">
        <w:rPr>
          <w:rFonts w:ascii="Times New Roman" w:eastAsia="SimSun" w:hAnsi="Times New Roman"/>
          <w:snapToGrid/>
          <w:lang w:eastAsia="zh-CN"/>
        </w:rPr>
        <w:t>.</w:t>
      </w:r>
    </w:p>
    <w:p w:rsidR="00A45D82" w:rsidRPr="00BC7F42" w:rsidP="009A5800" w14:paraId="236B3A77" w14:textId="77777777">
      <w:pPr>
        <w:tabs>
          <w:tab w:val="num" w:pos="1440"/>
        </w:tabs>
        <w:ind w:left="1440"/>
        <w:rPr>
          <w:rFonts w:ascii="Times New Roman" w:hAnsi="Times New Roman"/>
        </w:rPr>
      </w:pPr>
    </w:p>
    <w:p w:rsidR="00640A26" w:rsidRPr="009A5800" w:rsidP="009A5800" w14:paraId="63AEB9BA" w14:textId="77777777">
      <w:pPr>
        <w:numPr>
          <w:ilvl w:val="0"/>
          <w:numId w:val="14"/>
        </w:numPr>
        <w:tabs>
          <w:tab w:val="clear" w:pos="720"/>
          <w:tab w:val="num" w:pos="1440"/>
        </w:tabs>
        <w:ind w:left="1440"/>
        <w:rPr>
          <w:rFonts w:ascii="Times New Roman" w:hAnsi="Times New Roman"/>
          <w:b/>
        </w:rPr>
      </w:pPr>
      <w:r w:rsidRPr="009A5800">
        <w:rPr>
          <w:rFonts w:ascii="Times New Roman" w:hAnsi="Times New Roman"/>
          <w:b/>
        </w:rPr>
        <w:t>Payment or Gifts to Respondents</w:t>
      </w:r>
    </w:p>
    <w:p w:rsidR="00312A52" w:rsidRPr="00312A52" w:rsidP="009A5800" w14:paraId="4117EDE3" w14:textId="77777777">
      <w:pPr>
        <w:tabs>
          <w:tab w:val="num" w:pos="1440"/>
        </w:tabs>
        <w:ind w:left="1440"/>
        <w:rPr>
          <w:rFonts w:ascii="Times New Roman" w:eastAsia="SimSun" w:hAnsi="Times New Roman"/>
          <w:snapToGrid/>
          <w:lang w:eastAsia="zh-CN"/>
        </w:rPr>
      </w:pPr>
      <w:r w:rsidRPr="00312A52">
        <w:rPr>
          <w:rFonts w:ascii="Times New Roman" w:eastAsia="SimSun" w:hAnsi="Times New Roman"/>
          <w:snapToGrid/>
          <w:lang w:eastAsia="zh-CN"/>
        </w:rPr>
        <w:t>SSA does not provide payments or gifts to the respondents.</w:t>
      </w:r>
    </w:p>
    <w:p w:rsidR="00A45D82" w:rsidRPr="00BC7F42" w:rsidP="009A5800" w14:paraId="4E0DE4B9" w14:textId="77777777">
      <w:pPr>
        <w:tabs>
          <w:tab w:val="num" w:pos="1440"/>
        </w:tabs>
        <w:ind w:left="1440"/>
        <w:rPr>
          <w:rFonts w:ascii="Times New Roman" w:hAnsi="Times New Roman"/>
        </w:rPr>
      </w:pPr>
    </w:p>
    <w:p w:rsidR="00795BAB" w:rsidRPr="009A5800" w:rsidP="009A5800" w14:paraId="060C5D16" w14:textId="77777777">
      <w:pPr>
        <w:numPr>
          <w:ilvl w:val="0"/>
          <w:numId w:val="14"/>
        </w:numPr>
        <w:tabs>
          <w:tab w:val="clear" w:pos="720"/>
          <w:tab w:val="num" w:pos="1440"/>
        </w:tabs>
        <w:ind w:left="1440"/>
        <w:rPr>
          <w:rFonts w:ascii="Times New Roman" w:hAnsi="Times New Roman"/>
          <w:b/>
        </w:rPr>
      </w:pPr>
      <w:r w:rsidRPr="009A5800">
        <w:rPr>
          <w:rFonts w:ascii="Times New Roman" w:hAnsi="Times New Roman"/>
          <w:b/>
        </w:rPr>
        <w:t>Assurances of Confidentiality</w:t>
      </w:r>
    </w:p>
    <w:p w:rsidR="00C97964" w:rsidRPr="00C97964" w:rsidP="009A5800" w14:paraId="235BBA3C" w14:textId="77777777">
      <w:pPr>
        <w:tabs>
          <w:tab w:val="num" w:pos="1440"/>
        </w:tabs>
        <w:ind w:left="1440"/>
        <w:rPr>
          <w:rFonts w:ascii="Times New Roman" w:eastAsia="SimSun" w:hAnsi="Times New Roman"/>
          <w:snapToGrid/>
          <w:lang w:eastAsia="zh-CN"/>
        </w:rPr>
      </w:pPr>
      <w:r w:rsidRPr="001C0AB4">
        <w:rPr>
          <w:rFonts w:ascii="Times New Roman" w:hAnsi="Times New Roman"/>
          <w:snapToGrid/>
          <w:lang w:eastAsia="zh-CN"/>
        </w:rPr>
        <w:t xml:space="preserve">SSA protects and holds confidential the information it collects in accordance with </w:t>
      </w:r>
      <w:r w:rsidRPr="001C0AB4">
        <w:rPr>
          <w:rFonts w:ascii="Times New Roman" w:hAnsi="Times New Roman"/>
          <w:i/>
          <w:snapToGrid/>
          <w:lang w:eastAsia="zh-CN"/>
        </w:rPr>
        <w:t>42 U.S.C. 1306, 20 CFR 401</w:t>
      </w:r>
      <w:r w:rsidRPr="001C0AB4">
        <w:rPr>
          <w:rFonts w:ascii="Times New Roman" w:hAnsi="Times New Roman"/>
          <w:snapToGrid/>
          <w:lang w:eastAsia="zh-CN"/>
        </w:rPr>
        <w:t xml:space="preserve"> and </w:t>
      </w:r>
      <w:r w:rsidRPr="001C0AB4">
        <w:rPr>
          <w:rFonts w:ascii="Times New Roman" w:hAnsi="Times New Roman"/>
          <w:i/>
          <w:snapToGrid/>
          <w:lang w:eastAsia="zh-CN"/>
        </w:rPr>
        <w:t>402, 5 U.S.C. 552</w:t>
      </w:r>
      <w:r w:rsidRPr="001C0AB4">
        <w:rPr>
          <w:rFonts w:ascii="Times New Roman" w:hAnsi="Times New Roman"/>
          <w:snapToGrid/>
          <w:lang w:eastAsia="zh-CN"/>
        </w:rPr>
        <w:t xml:space="preserve"> (Freedom of Information Act), </w:t>
      </w:r>
      <w:r w:rsidRPr="001C0AB4">
        <w:rPr>
          <w:rFonts w:ascii="Times New Roman" w:hAnsi="Times New Roman"/>
          <w:i/>
          <w:snapToGrid/>
          <w:lang w:eastAsia="zh-CN"/>
        </w:rPr>
        <w:t>5 U.S.C. 552a</w:t>
      </w:r>
      <w:r w:rsidRPr="001C0AB4">
        <w:rPr>
          <w:rFonts w:ascii="Times New Roman" w:hAnsi="Times New Roman"/>
          <w:snapToGrid/>
          <w:lang w:eastAsia="zh-CN"/>
        </w:rPr>
        <w:t xml:space="preserve"> (Privacy Act of 1974), and OMB Circular No. A-130</w:t>
      </w:r>
      <w:r w:rsidRPr="00C97964">
        <w:rPr>
          <w:rFonts w:ascii="Times New Roman" w:eastAsia="SimSun" w:hAnsi="Times New Roman"/>
          <w:snapToGrid/>
          <w:color w:val="0000FF"/>
          <w:lang w:eastAsia="zh-CN"/>
        </w:rPr>
        <w:t>.</w:t>
      </w:r>
    </w:p>
    <w:p w:rsidR="00A45D82" w:rsidRPr="00BC7F42" w:rsidP="009A5800" w14:paraId="11044DD7" w14:textId="77777777">
      <w:pPr>
        <w:tabs>
          <w:tab w:val="num" w:pos="1440"/>
        </w:tabs>
        <w:ind w:left="1440"/>
        <w:rPr>
          <w:rFonts w:ascii="Times New Roman" w:hAnsi="Times New Roman"/>
        </w:rPr>
      </w:pPr>
    </w:p>
    <w:p w:rsidR="00D0011E" w:rsidRPr="009A5800" w:rsidP="009A5800" w14:paraId="6D2AF3DD" w14:textId="77777777">
      <w:pPr>
        <w:numPr>
          <w:ilvl w:val="0"/>
          <w:numId w:val="14"/>
        </w:numPr>
        <w:tabs>
          <w:tab w:val="clear" w:pos="720"/>
          <w:tab w:val="num" w:pos="1440"/>
        </w:tabs>
        <w:ind w:left="1440"/>
        <w:rPr>
          <w:rFonts w:ascii="Times New Roman" w:hAnsi="Times New Roman"/>
          <w:b/>
        </w:rPr>
      </w:pPr>
      <w:r w:rsidRPr="009A5800">
        <w:rPr>
          <w:rFonts w:ascii="Times New Roman" w:hAnsi="Times New Roman"/>
          <w:b/>
        </w:rPr>
        <w:t>Justification for Sensitive Questions</w:t>
      </w:r>
    </w:p>
    <w:p w:rsidR="00C97964" w:rsidRPr="00C97964" w:rsidP="009A5800" w14:paraId="23DA5F6C" w14:textId="77777777">
      <w:pPr>
        <w:tabs>
          <w:tab w:val="num" w:pos="1440"/>
        </w:tabs>
        <w:ind w:left="1440"/>
        <w:rPr>
          <w:rFonts w:ascii="Times New Roman" w:eastAsia="SimSun" w:hAnsi="Times New Roman"/>
          <w:snapToGrid/>
          <w:lang w:eastAsia="zh-CN"/>
        </w:rPr>
      </w:pPr>
      <w:r w:rsidRPr="00C97964">
        <w:rPr>
          <w:rFonts w:ascii="Times New Roman" w:eastAsia="SimSun" w:hAnsi="Times New Roman"/>
          <w:snapToGrid/>
          <w:lang w:eastAsia="zh-CN"/>
        </w:rPr>
        <w:t>Th</w:t>
      </w:r>
      <w:r w:rsidR="001C0AB4">
        <w:rPr>
          <w:rFonts w:ascii="Times New Roman" w:eastAsia="SimSun" w:hAnsi="Times New Roman"/>
          <w:snapToGrid/>
          <w:lang w:eastAsia="zh-CN"/>
        </w:rPr>
        <w:t>e</w:t>
      </w:r>
      <w:r w:rsidRPr="00C97964">
        <w:rPr>
          <w:rFonts w:ascii="Times New Roman" w:eastAsia="SimSun" w:hAnsi="Times New Roman"/>
          <w:snapToGrid/>
          <w:lang w:eastAsia="zh-CN"/>
        </w:rPr>
        <w:t xml:space="preserve"> information collection does not contain any questions of a sensitive nature.</w:t>
      </w:r>
    </w:p>
    <w:p w:rsidR="00A45D82" w:rsidRPr="00BC7F42" w:rsidP="009A5800" w14:paraId="0B8B68B6" w14:textId="77777777">
      <w:pPr>
        <w:tabs>
          <w:tab w:val="num" w:pos="1440"/>
        </w:tabs>
        <w:ind w:left="1440"/>
        <w:rPr>
          <w:rFonts w:ascii="Times New Roman" w:hAnsi="Times New Roman"/>
        </w:rPr>
      </w:pPr>
    </w:p>
    <w:p w:rsidR="00AD28C7" w:rsidRPr="00DC19E2" w:rsidP="00245CEC" w14:paraId="0CAFAB79" w14:textId="027FB7BA">
      <w:pPr>
        <w:widowControl/>
        <w:numPr>
          <w:ilvl w:val="0"/>
          <w:numId w:val="14"/>
        </w:numPr>
        <w:tabs>
          <w:tab w:val="clear" w:pos="720"/>
          <w:tab w:val="num" w:pos="1440"/>
        </w:tabs>
        <w:ind w:left="1440"/>
        <w:rPr>
          <w:rFonts w:ascii="Times New Roman" w:eastAsia="SimSun" w:hAnsi="Times New Roman"/>
          <w:snapToGrid/>
          <w:lang w:eastAsia="zh-CN"/>
        </w:rPr>
      </w:pPr>
      <w:r w:rsidRPr="00DC19E2">
        <w:rPr>
          <w:rFonts w:ascii="Times New Roman" w:hAnsi="Times New Roman"/>
          <w:b/>
        </w:rPr>
        <w:t>Estimates of Public Reporting Burden</w:t>
      </w:r>
    </w:p>
    <w:tbl>
      <w:tblPr>
        <w:tblpPr w:leftFromText="180" w:rightFromText="180" w:vertAnchor="text" w:horzAnchor="page" w:tblpX="229" w:tblpY="326"/>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1571"/>
        <w:gridCol w:w="1310"/>
        <w:gridCol w:w="1190"/>
        <w:gridCol w:w="1256"/>
        <w:gridCol w:w="1498"/>
        <w:gridCol w:w="1617"/>
        <w:gridCol w:w="1656"/>
      </w:tblGrid>
      <w:tr w14:paraId="6A8B6115" w14:textId="77777777" w:rsidTr="00B56DF3">
        <w:tblPrEx>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417" w:type="dxa"/>
          </w:tcPr>
          <w:p w:rsidR="00B56DF3" w:rsidRPr="00D678F8" w:rsidP="00B56DF3" w14:paraId="478469B9" w14:textId="77777777">
            <w:pPr>
              <w:rPr>
                <w:rFonts w:ascii="Times New Roman" w:hAnsi="Times New Roman"/>
                <w:b/>
              </w:rPr>
            </w:pPr>
            <w:r>
              <w:rPr>
                <w:rFonts w:ascii="Times New Roman" w:hAnsi="Times New Roman"/>
                <w:b/>
              </w:rPr>
              <w:t>Modality of Completion</w:t>
            </w:r>
          </w:p>
        </w:tc>
        <w:tc>
          <w:tcPr>
            <w:tcW w:w="1587" w:type="dxa"/>
          </w:tcPr>
          <w:p w:rsidR="00B56DF3" w:rsidRPr="00D678F8" w:rsidP="00B56DF3" w14:paraId="3DD8AD42" w14:textId="77777777">
            <w:pPr>
              <w:rPr>
                <w:rFonts w:ascii="Times New Roman" w:hAnsi="Times New Roman"/>
                <w:b/>
              </w:rPr>
            </w:pPr>
            <w:r w:rsidRPr="00D678F8">
              <w:rPr>
                <w:rFonts w:ascii="Times New Roman" w:hAnsi="Times New Roman"/>
                <w:b/>
              </w:rPr>
              <w:t>Number of Respondents</w:t>
            </w:r>
          </w:p>
        </w:tc>
        <w:tc>
          <w:tcPr>
            <w:tcW w:w="1310" w:type="dxa"/>
          </w:tcPr>
          <w:p w:rsidR="00B56DF3" w:rsidRPr="00D678F8" w:rsidP="00B56DF3" w14:paraId="3C7B88A8" w14:textId="77777777">
            <w:pPr>
              <w:rPr>
                <w:rFonts w:ascii="Times New Roman" w:hAnsi="Times New Roman"/>
                <w:b/>
              </w:rPr>
            </w:pPr>
            <w:r>
              <w:rPr>
                <w:rFonts w:ascii="Times New Roman" w:hAnsi="Times New Roman"/>
                <w:b/>
              </w:rPr>
              <w:t>Frequency of Response</w:t>
            </w:r>
          </w:p>
        </w:tc>
        <w:tc>
          <w:tcPr>
            <w:tcW w:w="1190" w:type="dxa"/>
          </w:tcPr>
          <w:p w:rsidR="00B56DF3" w:rsidRPr="00D678F8" w:rsidP="00B56DF3" w14:paraId="6A365A0A" w14:textId="77777777">
            <w:pPr>
              <w:rPr>
                <w:rFonts w:ascii="Times New Roman" w:hAnsi="Times New Roman"/>
                <w:b/>
              </w:rPr>
            </w:pPr>
            <w:r>
              <w:rPr>
                <w:rFonts w:ascii="Times New Roman" w:hAnsi="Times New Roman"/>
                <w:b/>
              </w:rPr>
              <w:t>Average Burden per Response</w:t>
            </w:r>
            <w:r w:rsidRPr="00D678F8">
              <w:rPr>
                <w:rFonts w:ascii="Times New Roman" w:hAnsi="Times New Roman"/>
                <w:b/>
              </w:rPr>
              <w:t xml:space="preserve"> (minutes)</w:t>
            </w:r>
          </w:p>
        </w:tc>
        <w:tc>
          <w:tcPr>
            <w:tcW w:w="1256" w:type="dxa"/>
          </w:tcPr>
          <w:p w:rsidR="00B56DF3" w:rsidRPr="00D678F8" w:rsidP="00B56DF3" w14:paraId="422916A3" w14:textId="77777777">
            <w:pPr>
              <w:rPr>
                <w:rFonts w:ascii="Times New Roman" w:hAnsi="Times New Roman"/>
                <w:b/>
              </w:rPr>
            </w:pPr>
            <w:r>
              <w:rPr>
                <w:rFonts w:ascii="Times New Roman" w:hAnsi="Times New Roman"/>
                <w:b/>
              </w:rPr>
              <w:t xml:space="preserve">Estimated Total Annual </w:t>
            </w:r>
            <w:r w:rsidRPr="00D678F8">
              <w:rPr>
                <w:rFonts w:ascii="Times New Roman" w:hAnsi="Times New Roman"/>
                <w:b/>
              </w:rPr>
              <w:t>Burden (hours)</w:t>
            </w:r>
          </w:p>
        </w:tc>
        <w:tc>
          <w:tcPr>
            <w:tcW w:w="1533" w:type="dxa"/>
          </w:tcPr>
          <w:p w:rsidR="00B56DF3" w:rsidP="00B56DF3" w14:paraId="3D563F5C" w14:textId="77777777">
            <w:pPr>
              <w:rPr>
                <w:rFonts w:ascii="Times New Roman" w:hAnsi="Times New Roman"/>
                <w:b/>
              </w:rPr>
            </w:pPr>
            <w:r>
              <w:rPr>
                <w:rFonts w:ascii="Times New Roman" w:hAnsi="Times New Roman"/>
                <w:b/>
              </w:rPr>
              <w:t>Average Theoretical Hourly Cost Amount (dollars)*</w:t>
            </w:r>
          </w:p>
        </w:tc>
        <w:tc>
          <w:tcPr>
            <w:tcW w:w="1712" w:type="dxa"/>
          </w:tcPr>
          <w:p w:rsidR="00B56DF3" w:rsidP="00B56DF3" w14:paraId="30C98596" w14:textId="77777777">
            <w:pPr>
              <w:autoSpaceDE w:val="0"/>
              <w:autoSpaceDN w:val="0"/>
              <w:rPr>
                <w:rFonts w:ascii="Times New Roman" w:hAnsi="Times New Roman"/>
                <w:snapToGrid/>
                <w:sz w:val="22"/>
                <w:szCs w:val="22"/>
                <w:lang w:eastAsia="ar-SA"/>
              </w:rPr>
            </w:pPr>
            <w:bookmarkStart w:id="0" w:name="_Hlk168580746"/>
            <w:r>
              <w:rPr>
                <w:rFonts w:ascii="Times New Roman" w:hAnsi="Times New Roman"/>
                <w:lang w:eastAsia="ar-SA"/>
              </w:rPr>
              <w:t xml:space="preserve">Average Wait Time in Field Office or for Teleservice Centers </w:t>
            </w:r>
          </w:p>
          <w:p w:rsidR="00B56DF3" w:rsidP="00B56DF3" w14:paraId="3E16AB2D" w14:textId="77777777">
            <w:pPr>
              <w:rPr>
                <w:rFonts w:ascii="Times New Roman" w:hAnsi="Times New Roman"/>
                <w:b/>
              </w:rPr>
            </w:pPr>
            <w:r>
              <w:rPr>
                <w:rFonts w:ascii="Times New Roman" w:hAnsi="Times New Roman"/>
                <w:lang w:val="x-none" w:eastAsia="zh-CN"/>
              </w:rPr>
              <w:t>(minutes) **</w:t>
            </w:r>
            <w:bookmarkEnd w:id="0"/>
          </w:p>
        </w:tc>
        <w:tc>
          <w:tcPr>
            <w:tcW w:w="1510" w:type="dxa"/>
          </w:tcPr>
          <w:p w:rsidR="00B56DF3" w:rsidP="00B56DF3" w14:paraId="06B1B578" w14:textId="3208464A">
            <w:pPr>
              <w:rPr>
                <w:rFonts w:ascii="Times New Roman" w:hAnsi="Times New Roman"/>
                <w:b/>
              </w:rPr>
            </w:pPr>
            <w:r>
              <w:rPr>
                <w:rFonts w:ascii="Times New Roman" w:hAnsi="Times New Roman"/>
                <w:b/>
              </w:rPr>
              <w:t>Total Annual Opportunity Cost (dollars)*</w:t>
            </w:r>
            <w:r w:rsidR="00AD1A73">
              <w:rPr>
                <w:rFonts w:ascii="Times New Roman" w:hAnsi="Times New Roman"/>
                <w:b/>
              </w:rPr>
              <w:t>*</w:t>
            </w:r>
            <w:r>
              <w:rPr>
                <w:rFonts w:ascii="Times New Roman" w:hAnsi="Times New Roman"/>
                <w:b/>
              </w:rPr>
              <w:t>*</w:t>
            </w:r>
          </w:p>
        </w:tc>
      </w:tr>
      <w:tr w14:paraId="5AA166B9" w14:textId="77777777" w:rsidTr="00B56DF3">
        <w:tblPrEx>
          <w:tblW w:w="11515" w:type="dxa"/>
          <w:tblLook w:val="01E0"/>
        </w:tblPrEx>
        <w:tc>
          <w:tcPr>
            <w:tcW w:w="1417" w:type="dxa"/>
          </w:tcPr>
          <w:p w:rsidR="00B56DF3" w:rsidRPr="00D678F8" w:rsidP="00B56DF3" w14:paraId="00184E15" w14:textId="77777777">
            <w:pPr>
              <w:rPr>
                <w:rFonts w:ascii="Times New Roman" w:hAnsi="Times New Roman"/>
              </w:rPr>
            </w:pPr>
            <w:r>
              <w:rPr>
                <w:rFonts w:ascii="Times New Roman" w:hAnsi="Times New Roman"/>
              </w:rPr>
              <w:t>SSA-6233</w:t>
            </w:r>
          </w:p>
        </w:tc>
        <w:tc>
          <w:tcPr>
            <w:tcW w:w="1587" w:type="dxa"/>
          </w:tcPr>
          <w:p w:rsidR="00B56DF3" w:rsidRPr="00D678F8" w:rsidP="00B56DF3" w14:paraId="3F781AE0" w14:textId="77777777">
            <w:pPr>
              <w:rPr>
                <w:rFonts w:ascii="Times New Roman" w:hAnsi="Times New Roman"/>
              </w:rPr>
            </w:pPr>
            <w:r>
              <w:rPr>
                <w:rFonts w:ascii="Times New Roman" w:hAnsi="Times New Roman"/>
              </w:rPr>
              <w:t>68,000</w:t>
            </w:r>
          </w:p>
        </w:tc>
        <w:tc>
          <w:tcPr>
            <w:tcW w:w="1310" w:type="dxa"/>
          </w:tcPr>
          <w:p w:rsidR="00B56DF3" w:rsidRPr="00D678F8" w:rsidP="00B56DF3" w14:paraId="7DABD365" w14:textId="77777777">
            <w:pPr>
              <w:rPr>
                <w:rFonts w:ascii="Times New Roman" w:hAnsi="Times New Roman"/>
              </w:rPr>
            </w:pPr>
            <w:r>
              <w:rPr>
                <w:rFonts w:ascii="Times New Roman" w:hAnsi="Times New Roman"/>
              </w:rPr>
              <w:t>1</w:t>
            </w:r>
          </w:p>
        </w:tc>
        <w:tc>
          <w:tcPr>
            <w:tcW w:w="1190" w:type="dxa"/>
          </w:tcPr>
          <w:p w:rsidR="00B56DF3" w:rsidRPr="00D678F8" w:rsidP="00B56DF3" w14:paraId="43D9D73B" w14:textId="77777777">
            <w:pPr>
              <w:rPr>
                <w:rFonts w:ascii="Times New Roman" w:hAnsi="Times New Roman"/>
              </w:rPr>
            </w:pPr>
            <w:r>
              <w:rPr>
                <w:rFonts w:ascii="Times New Roman" w:hAnsi="Times New Roman"/>
              </w:rPr>
              <w:t>15</w:t>
            </w:r>
          </w:p>
        </w:tc>
        <w:tc>
          <w:tcPr>
            <w:tcW w:w="1256" w:type="dxa"/>
          </w:tcPr>
          <w:p w:rsidR="00B56DF3" w:rsidRPr="00D678F8" w:rsidP="00B56DF3" w14:paraId="1722D0EC" w14:textId="77777777">
            <w:pPr>
              <w:rPr>
                <w:rFonts w:ascii="Times New Roman" w:hAnsi="Times New Roman"/>
              </w:rPr>
            </w:pPr>
            <w:r>
              <w:rPr>
                <w:rFonts w:ascii="Times New Roman" w:hAnsi="Times New Roman"/>
              </w:rPr>
              <w:t>17,000</w:t>
            </w:r>
          </w:p>
        </w:tc>
        <w:tc>
          <w:tcPr>
            <w:tcW w:w="1533" w:type="dxa"/>
          </w:tcPr>
          <w:p w:rsidR="00B56DF3" w:rsidRPr="00D678F8" w:rsidP="00B56DF3" w14:paraId="2DB5A316" w14:textId="77777777">
            <w:pPr>
              <w:jc w:val="right"/>
              <w:rPr>
                <w:rFonts w:ascii="Times New Roman" w:hAnsi="Times New Roman"/>
              </w:rPr>
            </w:pPr>
            <w:r>
              <w:rPr>
                <w:rFonts w:ascii="Times New Roman" w:hAnsi="Times New Roman"/>
              </w:rPr>
              <w:t>$31.48*</w:t>
            </w:r>
          </w:p>
        </w:tc>
        <w:tc>
          <w:tcPr>
            <w:tcW w:w="1712" w:type="dxa"/>
          </w:tcPr>
          <w:p w:rsidR="00B56DF3" w:rsidP="00B56DF3" w14:paraId="2C3E430F" w14:textId="77777777">
            <w:pPr>
              <w:jc w:val="right"/>
              <w:rPr>
                <w:rFonts w:ascii="Times New Roman" w:hAnsi="Times New Roman"/>
              </w:rPr>
            </w:pPr>
            <w:r>
              <w:rPr>
                <w:rFonts w:ascii="Times New Roman" w:hAnsi="Times New Roman"/>
                <w:lang w:val="x-none" w:eastAsia="ar-SA"/>
              </w:rPr>
              <w:t>21**</w:t>
            </w:r>
          </w:p>
        </w:tc>
        <w:tc>
          <w:tcPr>
            <w:tcW w:w="1510" w:type="dxa"/>
          </w:tcPr>
          <w:p w:rsidR="00B56DF3" w:rsidRPr="00D678F8" w:rsidP="00B56DF3" w14:paraId="6B9F5589" w14:textId="57D8C4F1">
            <w:pPr>
              <w:jc w:val="right"/>
              <w:rPr>
                <w:rFonts w:ascii="Times New Roman" w:hAnsi="Times New Roman"/>
              </w:rPr>
            </w:pPr>
            <w:r>
              <w:rPr>
                <w:rFonts w:ascii="Times New Roman" w:hAnsi="Times New Roman"/>
              </w:rPr>
              <w:t>$</w:t>
            </w:r>
            <w:r w:rsidR="00AD1A73">
              <w:rPr>
                <w:rFonts w:ascii="Times New Roman" w:hAnsi="Times New Roman"/>
              </w:rPr>
              <w:t>1,284,384</w:t>
            </w:r>
            <w:r>
              <w:rPr>
                <w:rFonts w:ascii="Times New Roman" w:hAnsi="Times New Roman"/>
              </w:rPr>
              <w:t>*</w:t>
            </w:r>
            <w:r w:rsidR="00AD1A73">
              <w:rPr>
                <w:rFonts w:ascii="Times New Roman" w:hAnsi="Times New Roman"/>
              </w:rPr>
              <w:t>*</w:t>
            </w:r>
            <w:r>
              <w:rPr>
                <w:rFonts w:ascii="Times New Roman" w:hAnsi="Times New Roman"/>
              </w:rPr>
              <w:t>*</w:t>
            </w:r>
          </w:p>
        </w:tc>
      </w:tr>
    </w:tbl>
    <w:p w:rsidR="00AD28C7" w:rsidP="009A5800" w14:paraId="75D6E27D" w14:textId="4FBBBBE9">
      <w:pPr>
        <w:widowControl/>
        <w:ind w:left="1440"/>
        <w:rPr>
          <w:rFonts w:ascii="Times New Roman" w:eastAsia="SimSun" w:hAnsi="Times New Roman"/>
          <w:snapToGrid/>
          <w:lang w:eastAsia="zh-CN"/>
        </w:rPr>
      </w:pPr>
    </w:p>
    <w:p w:rsidR="00AD28C7" w:rsidP="0096783A" w14:paraId="62F83CD9" w14:textId="4E772FF7">
      <w:pPr>
        <w:autoSpaceDE w:val="0"/>
        <w:autoSpaceDN w:val="0"/>
        <w:ind w:left="1440"/>
        <w:rPr>
          <w:rFonts w:ascii="Times New Roman" w:hAnsi="Times New Roman"/>
        </w:rPr>
      </w:pPr>
      <w:r>
        <w:rPr>
          <w:rFonts w:ascii="Times New Roman" w:hAnsi="Times New Roman"/>
        </w:rPr>
        <w:t>*</w:t>
      </w:r>
      <w:r>
        <w:rPr>
          <w:rFonts w:ascii="Times New Roman" w:hAnsi="Times New Roman"/>
        </w:rPr>
        <w:t xml:space="preserve">We based this figure on </w:t>
      </w:r>
      <w:r w:rsidR="00AD1A73">
        <w:rPr>
          <w:rFonts w:ascii="Times New Roman" w:hAnsi="Times New Roman"/>
        </w:rPr>
        <w:t>average U.S. worker’s hourly wages,</w:t>
      </w:r>
      <w:r w:rsidRPr="00AD1A73">
        <w:rPr>
          <w:rFonts w:ascii="Times New Roman" w:hAnsi="Times New Roman"/>
        </w:rPr>
        <w:t xml:space="preserve"> </w:t>
      </w:r>
      <w:r w:rsidRPr="00AD1A73" w:rsidR="00AD1A73">
        <w:rPr>
          <w:rFonts w:ascii="Times New Roman" w:hAnsi="Times New Roman"/>
        </w:rPr>
        <w:t>as reported by Bureau of Labor Statistics data (</w:t>
      </w:r>
      <w:hyperlink r:id="rId5" w:history="1">
        <w:r w:rsidRPr="00AD1A73" w:rsidR="00AD1A73">
          <w:rPr>
            <w:rStyle w:val="Hyperlink"/>
            <w:rFonts w:ascii="Times New Roman" w:hAnsi="Times New Roman"/>
          </w:rPr>
          <w:t>https://www.bls.gov/oes/current/oes_nat.htm</w:t>
        </w:r>
      </w:hyperlink>
      <w:r w:rsidRPr="00AD1A73" w:rsidR="00AD1A73">
        <w:rPr>
          <w:rFonts w:ascii="Times New Roman" w:hAnsi="Times New Roman"/>
        </w:rPr>
        <w:t>)</w:t>
      </w:r>
      <w:r w:rsidRPr="00AD1A73">
        <w:rPr>
          <w:rFonts w:ascii="Times New Roman" w:hAnsi="Times New Roman"/>
        </w:rPr>
        <w:t>.</w:t>
      </w:r>
    </w:p>
    <w:p w:rsidR="00AD1A73" w:rsidP="0096783A" w14:paraId="0F3D8CBB" w14:textId="77777777">
      <w:pPr>
        <w:autoSpaceDE w:val="0"/>
        <w:autoSpaceDN w:val="0"/>
        <w:ind w:left="1440"/>
        <w:rPr>
          <w:rFonts w:ascii="Times New Roman" w:hAnsi="Times New Roman"/>
        </w:rPr>
      </w:pPr>
    </w:p>
    <w:p w:rsidR="00AD1A73" w:rsidP="0096783A" w14:paraId="5E7A40EC" w14:textId="4D627A61">
      <w:pPr>
        <w:autoSpaceDE w:val="0"/>
        <w:autoSpaceDN w:val="0"/>
        <w:ind w:left="1440"/>
        <w:rPr>
          <w:rFonts w:ascii="Times New Roman" w:hAnsi="Times New Roman"/>
        </w:rPr>
      </w:pPr>
      <w:r>
        <w:rPr>
          <w:rFonts w:ascii="Times New Roman" w:hAnsi="Times New Roman"/>
        </w:rPr>
        <w:t>**We based this figure on averaging both the average FY 2024 wait times for field offices (24 minutes) and teleservice centers (19 minutes), based on SSA’s current management information data.</w:t>
      </w:r>
    </w:p>
    <w:p w:rsidR="0096783A" w:rsidP="00717673" w14:paraId="7A4992C7" w14:textId="77777777">
      <w:pPr>
        <w:autoSpaceDE w:val="0"/>
        <w:autoSpaceDN w:val="0"/>
        <w:ind w:left="1440"/>
        <w:rPr>
          <w:rFonts w:ascii="Times New Roman" w:hAnsi="Times New Roman"/>
        </w:rPr>
      </w:pPr>
    </w:p>
    <w:p w:rsidR="00DD644F" w:rsidP="0096783A" w14:paraId="78235963" w14:textId="55FDCB68">
      <w:pPr>
        <w:autoSpaceDE w:val="0"/>
        <w:autoSpaceDN w:val="0"/>
        <w:ind w:left="1440"/>
        <w:rPr>
          <w:rFonts w:ascii="Times New Roman" w:hAnsi="Times New Roman"/>
        </w:rPr>
      </w:pPr>
      <w:r>
        <w:rPr>
          <w:rFonts w:ascii="Times New Roman" w:hAnsi="Times New Roman"/>
        </w:rPr>
        <w:t>*</w:t>
      </w:r>
      <w:r w:rsidR="00AD1A73">
        <w:rPr>
          <w:rFonts w:ascii="Times New Roman" w:hAnsi="Times New Roman"/>
        </w:rPr>
        <w:t>*</w:t>
      </w:r>
      <w:r>
        <w:rPr>
          <w:rFonts w:ascii="Times New Roman" w:hAnsi="Times New Roman"/>
        </w:rPr>
        <w:t>*</w:t>
      </w:r>
      <w:r w:rsidRPr="002F4DA7">
        <w:rPr>
          <w:rFonts w:ascii="Times New Roman" w:hAnsi="Times New Roman"/>
        </w:rPr>
        <w:t xml:space="preserve"> </w:t>
      </w:r>
      <w:r>
        <w:rPr>
          <w:rFonts w:ascii="Times New Roman" w:hAnsi="Times New Roman"/>
        </w:rPr>
        <w:t xml:space="preserve">This figure does not represent actual costs that SSA is imposing on recipients of Social Security payments to complete this application; rather, these are theoretical opportunity costs for the additional time respondents will spend to complete the application. </w:t>
      </w:r>
      <w:r w:rsidRPr="00CD1567">
        <w:rPr>
          <w:rFonts w:ascii="Times New Roman" w:hAnsi="Times New Roman"/>
          <w:b/>
          <w:u w:val="single"/>
        </w:rPr>
        <w:t>There is no actual charge to respondents to complete the application</w:t>
      </w:r>
      <w:r w:rsidRPr="001F396F">
        <w:rPr>
          <w:rFonts w:ascii="Times New Roman" w:hAnsi="Times New Roman"/>
        </w:rPr>
        <w:t>.</w:t>
      </w:r>
    </w:p>
    <w:p w:rsidR="00DC19E2" w:rsidP="00DD644F" w14:paraId="44E097FC" w14:textId="77777777">
      <w:pPr>
        <w:ind w:left="1440"/>
        <w:rPr>
          <w:rFonts w:ascii="Times New Roman" w:hAnsi="Times New Roman"/>
        </w:rPr>
      </w:pPr>
    </w:p>
    <w:p w:rsidR="00A10249" w:rsidP="00A10249" w14:paraId="2F00F314" w14:textId="77777777">
      <w:pPr>
        <w:ind w:left="1440"/>
      </w:pPr>
      <w:r>
        <w:rPr>
          <w:rFonts w:ascii="Times New Roman" w:hAnsi="Times New Roman"/>
        </w:rPr>
        <w:t>We calculated the following Learning Cost time burden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p>
    <w:p w:rsidR="00A10249" w:rsidP="00DD644F" w14:paraId="0A5AB631" w14:textId="77777777">
      <w:pPr>
        <w:ind w:left="1440"/>
        <w:rPr>
          <w:rFonts w:ascii="Times New Roman" w:hAnsi="Times New Roman"/>
        </w:rPr>
      </w:pPr>
    </w:p>
    <w:tbl>
      <w:tblPr>
        <w:tblW w:w="7663"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2"/>
        <w:gridCol w:w="1361"/>
        <w:gridCol w:w="1532"/>
        <w:gridCol w:w="1609"/>
        <w:gridCol w:w="1609"/>
      </w:tblGrid>
      <w:tr w14:paraId="649D3A7E" w14:textId="77777777" w:rsidTr="00136710">
        <w:tblPrEx>
          <w:tblW w:w="7663"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552" w:type="dxa"/>
            <w:shd w:val="clear" w:color="auto" w:fill="auto"/>
          </w:tcPr>
          <w:p w:rsidR="00A10249" w:rsidRPr="0016591F" w:rsidP="00136710" w14:paraId="25B579D1" w14:textId="77777777">
            <w:pPr>
              <w:rPr>
                <w:rFonts w:ascii="Times New Roman" w:hAnsi="Times New Roman"/>
                <w:b/>
              </w:rPr>
            </w:pPr>
            <w:r>
              <w:rPr>
                <w:rFonts w:ascii="Times New Roman" w:hAnsi="Times New Roman"/>
                <w:b/>
              </w:rPr>
              <w:t>Total Number of Respondents</w:t>
            </w:r>
            <w:r w:rsidRPr="0016591F">
              <w:rPr>
                <w:rFonts w:ascii="Times New Roman" w:hAnsi="Times New Roman"/>
                <w:b/>
              </w:rPr>
              <w:t xml:space="preserve"> </w:t>
            </w:r>
          </w:p>
        </w:tc>
        <w:tc>
          <w:tcPr>
            <w:tcW w:w="1361" w:type="dxa"/>
            <w:shd w:val="clear" w:color="auto" w:fill="auto"/>
          </w:tcPr>
          <w:p w:rsidR="00A10249" w:rsidRPr="0016591F" w:rsidP="00136710" w14:paraId="3E0F044B" w14:textId="77777777">
            <w:pPr>
              <w:rPr>
                <w:rFonts w:ascii="Times New Roman" w:hAnsi="Times New Roman"/>
                <w:b/>
              </w:rPr>
            </w:pPr>
            <w:r w:rsidRPr="0016591F">
              <w:rPr>
                <w:rFonts w:ascii="Times New Roman" w:hAnsi="Times New Roman"/>
                <w:b/>
              </w:rPr>
              <w:t>Frequency of</w:t>
            </w:r>
            <w:r>
              <w:rPr>
                <w:rFonts w:ascii="Times New Roman" w:hAnsi="Times New Roman"/>
                <w:b/>
              </w:rPr>
              <w:t xml:space="preserve"> </w:t>
            </w:r>
            <w:r w:rsidRPr="0016591F">
              <w:rPr>
                <w:rFonts w:ascii="Times New Roman" w:hAnsi="Times New Roman"/>
                <w:b/>
              </w:rPr>
              <w:t>Response</w:t>
            </w:r>
          </w:p>
        </w:tc>
        <w:tc>
          <w:tcPr>
            <w:tcW w:w="1532" w:type="dxa"/>
            <w:shd w:val="clear" w:color="auto" w:fill="auto"/>
          </w:tcPr>
          <w:p w:rsidR="00A10249" w:rsidRPr="0016591F" w:rsidP="00136710" w14:paraId="61248204" w14:textId="77777777">
            <w:pPr>
              <w:rPr>
                <w:rFonts w:ascii="Times New Roman" w:hAnsi="Times New Roman"/>
                <w:b/>
              </w:rPr>
            </w:pPr>
            <w:r>
              <w:rPr>
                <w:rFonts w:ascii="Times New Roman" w:hAnsi="Times New Roman"/>
                <w:b/>
              </w:rPr>
              <w:t>Estimate Learning Cost (minutes)</w:t>
            </w:r>
          </w:p>
        </w:tc>
        <w:tc>
          <w:tcPr>
            <w:tcW w:w="1609" w:type="dxa"/>
          </w:tcPr>
          <w:p w:rsidR="00A10249" w:rsidP="00136710" w14:paraId="509CCC50" w14:textId="77777777">
            <w:pPr>
              <w:rPr>
                <w:rFonts w:ascii="Times New Roman" w:hAnsi="Times New Roman"/>
                <w:b/>
              </w:rPr>
            </w:pPr>
            <w:r>
              <w:rPr>
                <w:rFonts w:ascii="Times New Roman" w:hAnsi="Times New Roman"/>
                <w:b/>
              </w:rPr>
              <w:t xml:space="preserve">Estimated Total Annual </w:t>
            </w:r>
            <w:r w:rsidRPr="00D678F8">
              <w:rPr>
                <w:rFonts w:ascii="Times New Roman" w:hAnsi="Times New Roman"/>
                <w:b/>
              </w:rPr>
              <w:t>Burden (hours)</w:t>
            </w:r>
          </w:p>
        </w:tc>
        <w:tc>
          <w:tcPr>
            <w:tcW w:w="1609" w:type="dxa"/>
            <w:shd w:val="clear" w:color="auto" w:fill="auto"/>
          </w:tcPr>
          <w:p w:rsidR="00A10249" w:rsidRPr="0016591F" w:rsidP="00136710" w14:paraId="2A56F261" w14:textId="77777777">
            <w:pPr>
              <w:rPr>
                <w:rFonts w:ascii="Times New Roman" w:hAnsi="Times New Roman"/>
                <w:b/>
              </w:rPr>
            </w:pPr>
            <w:r w:rsidRPr="0016591F">
              <w:rPr>
                <w:rFonts w:ascii="Times New Roman" w:hAnsi="Times New Roman"/>
                <w:b/>
              </w:rPr>
              <w:t xml:space="preserve">Total Annual </w:t>
            </w:r>
            <w:r>
              <w:rPr>
                <w:rFonts w:ascii="Times New Roman" w:hAnsi="Times New Roman"/>
                <w:b/>
              </w:rPr>
              <w:t xml:space="preserve">Learning Cost </w:t>
            </w:r>
            <w:r w:rsidRPr="0016591F">
              <w:rPr>
                <w:rFonts w:ascii="Times New Roman" w:hAnsi="Times New Roman"/>
                <w:b/>
              </w:rPr>
              <w:t>(dollars)**</w:t>
            </w:r>
          </w:p>
        </w:tc>
      </w:tr>
      <w:tr w14:paraId="1065F919" w14:textId="77777777" w:rsidTr="00136710">
        <w:tblPrEx>
          <w:tblW w:w="7663" w:type="dxa"/>
          <w:tblInd w:w="788" w:type="dxa"/>
          <w:tblLook w:val="04A0"/>
        </w:tblPrEx>
        <w:trPr>
          <w:trHeight w:val="306"/>
        </w:trPr>
        <w:tc>
          <w:tcPr>
            <w:tcW w:w="1552" w:type="dxa"/>
            <w:shd w:val="clear" w:color="auto" w:fill="auto"/>
          </w:tcPr>
          <w:p w:rsidR="00A10249" w:rsidRPr="0016591F" w:rsidP="00136710" w14:paraId="7ED9EA02" w14:textId="3C90608E">
            <w:pPr>
              <w:rPr>
                <w:rFonts w:ascii="Times New Roman" w:hAnsi="Times New Roman"/>
              </w:rPr>
            </w:pPr>
            <w:r>
              <w:rPr>
                <w:rFonts w:ascii="Times New Roman" w:hAnsi="Times New Roman"/>
              </w:rPr>
              <w:t>68,000</w:t>
            </w:r>
          </w:p>
        </w:tc>
        <w:tc>
          <w:tcPr>
            <w:tcW w:w="1361" w:type="dxa"/>
            <w:shd w:val="clear" w:color="auto" w:fill="auto"/>
          </w:tcPr>
          <w:p w:rsidR="00A10249" w:rsidRPr="0016591F" w:rsidP="00136710" w14:paraId="08F340B2" w14:textId="77777777">
            <w:pPr>
              <w:jc w:val="right"/>
              <w:rPr>
                <w:rFonts w:ascii="Times New Roman" w:hAnsi="Times New Roman"/>
              </w:rPr>
            </w:pPr>
            <w:r>
              <w:rPr>
                <w:rFonts w:ascii="Times New Roman" w:hAnsi="Times New Roman"/>
              </w:rPr>
              <w:t>1</w:t>
            </w:r>
          </w:p>
        </w:tc>
        <w:tc>
          <w:tcPr>
            <w:tcW w:w="1532" w:type="dxa"/>
            <w:shd w:val="clear" w:color="auto" w:fill="auto"/>
          </w:tcPr>
          <w:p w:rsidR="00A10249" w:rsidRPr="0016591F" w:rsidP="00136710" w14:paraId="7705AAC7" w14:textId="1DE93956">
            <w:pPr>
              <w:jc w:val="right"/>
              <w:rPr>
                <w:rFonts w:ascii="Times New Roman" w:hAnsi="Times New Roman"/>
              </w:rPr>
            </w:pPr>
            <w:r>
              <w:rPr>
                <w:rFonts w:ascii="Times New Roman" w:hAnsi="Times New Roman"/>
              </w:rPr>
              <w:t>10</w:t>
            </w:r>
          </w:p>
        </w:tc>
        <w:tc>
          <w:tcPr>
            <w:tcW w:w="1609" w:type="dxa"/>
          </w:tcPr>
          <w:p w:rsidR="00A10249" w:rsidP="00136710" w14:paraId="2F758463" w14:textId="499DE62B">
            <w:pPr>
              <w:jc w:val="right"/>
              <w:rPr>
                <w:rFonts w:ascii="Times New Roman" w:hAnsi="Times New Roman"/>
              </w:rPr>
            </w:pPr>
            <w:r>
              <w:rPr>
                <w:rFonts w:ascii="Times New Roman" w:hAnsi="Times New Roman"/>
              </w:rPr>
              <w:t>11,333</w:t>
            </w:r>
          </w:p>
        </w:tc>
        <w:tc>
          <w:tcPr>
            <w:tcW w:w="1609" w:type="dxa"/>
            <w:shd w:val="clear" w:color="auto" w:fill="auto"/>
          </w:tcPr>
          <w:p w:rsidR="00A10249" w:rsidRPr="0016591F" w:rsidP="00136710" w14:paraId="4A64999D" w14:textId="18B6F605">
            <w:pPr>
              <w:jc w:val="right"/>
              <w:rPr>
                <w:rFonts w:ascii="Times New Roman" w:hAnsi="Times New Roman"/>
              </w:rPr>
            </w:pPr>
            <w:r w:rsidRPr="0016591F">
              <w:rPr>
                <w:rFonts w:ascii="Times New Roman" w:hAnsi="Times New Roman"/>
              </w:rPr>
              <w:t>$</w:t>
            </w:r>
            <w:r w:rsidR="00AD1A73">
              <w:rPr>
                <w:rFonts w:ascii="Times New Roman" w:hAnsi="Times New Roman"/>
              </w:rPr>
              <w:t>356,763</w:t>
            </w:r>
            <w:r w:rsidRPr="0016591F">
              <w:rPr>
                <w:rFonts w:ascii="Times New Roman" w:hAnsi="Times New Roman"/>
              </w:rPr>
              <w:t>**</w:t>
            </w:r>
            <w:r>
              <w:rPr>
                <w:rFonts w:ascii="Times New Roman" w:hAnsi="Times New Roman"/>
              </w:rPr>
              <w:t>**</w:t>
            </w:r>
          </w:p>
        </w:tc>
      </w:tr>
    </w:tbl>
    <w:p w:rsidR="00A10249" w:rsidP="00A10249" w14:paraId="62FD2A14" w14:textId="77777777">
      <w:pPr>
        <w:ind w:left="1440"/>
        <w:rPr>
          <w:rFonts w:ascii="Times New Roman" w:hAnsi="Times New Roman"/>
        </w:rPr>
      </w:pPr>
      <w:r>
        <w:rPr>
          <w:rFonts w:ascii="Times New Roman" w:hAnsi="Times New Roman"/>
        </w:rPr>
        <w:t>*****We based this dollar amount on the Average Theoretical Hourly Cost Amount in dollars shown on the burden chart above.</w:t>
      </w:r>
    </w:p>
    <w:p w:rsidR="00A10249" w:rsidP="00DD644F" w14:paraId="02C772C2" w14:textId="77777777">
      <w:pPr>
        <w:ind w:left="1440"/>
        <w:rPr>
          <w:rFonts w:ascii="Times New Roman" w:hAnsi="Times New Roman"/>
        </w:rPr>
      </w:pPr>
    </w:p>
    <w:p w:rsidR="00A10249" w:rsidP="00A10249" w14:paraId="6FF612B5" w14:textId="77777777">
      <w:pPr>
        <w:ind w:left="1440"/>
        <w:rPr>
          <w:rFonts w:ascii="Times New Roman" w:hAnsi="Times New Roman"/>
        </w:rPr>
      </w:pPr>
      <w:r>
        <w:rPr>
          <w:rFonts w:ascii="Times New Roman" w:hAnsi="Times New Roman"/>
        </w:rPr>
        <w:t>NOTE:  We included the total opportunity cost estimate from this chart in our calculations when showing the total time and opportunity cost estimates in the paragraph below.</w:t>
      </w:r>
    </w:p>
    <w:p w:rsidR="00A10249" w:rsidP="00AD1A73" w14:paraId="30A4B491" w14:textId="77777777">
      <w:pPr>
        <w:rPr>
          <w:rFonts w:ascii="Times New Roman" w:hAnsi="Times New Roman"/>
        </w:rPr>
      </w:pPr>
    </w:p>
    <w:p w:rsidR="003B15EC" w:rsidRPr="00AD1A73" w:rsidP="001A5CCE" w14:paraId="7F0AF3C7" w14:textId="05EFC705">
      <w:pPr>
        <w:ind w:left="1440"/>
        <w:rPr>
          <w:rFonts w:ascii="Times New Roman" w:hAnsi="Times New Roman"/>
        </w:rPr>
      </w:pPr>
      <w:r w:rsidRPr="00AD1A73">
        <w:rPr>
          <w:rFonts w:ascii="Times New Roman" w:hAnsi="Times New Roman"/>
          <w:noProof/>
        </w:rPr>
        <w:t xml:space="preserve">We base our burden estimates on current management information data, which includes data from actual interviews, as well as from years of conducting this information collection.  Per our management information data, we believe that </w:t>
      </w:r>
      <w:r>
        <w:rPr>
          <w:rFonts w:ascii="Times New Roman" w:hAnsi="Times New Roman"/>
          <w:b/>
          <w:bCs/>
          <w:noProof/>
        </w:rPr>
        <w:t>15</w:t>
      </w:r>
      <w:r w:rsidRPr="00AD1A73">
        <w:rPr>
          <w:rFonts w:ascii="Times New Roman" w:hAnsi="Times New Roman"/>
          <w:noProof/>
        </w:rPr>
        <w:t xml:space="preserve"> minutes accurately shows the average burden per response for </w:t>
      </w:r>
      <w:r w:rsidRPr="00AD1A73">
        <w:rPr>
          <w:rFonts w:ascii="Times New Roman" w:hAnsi="Times New Roman"/>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AD1A73">
        <w:rPr>
          <w:rFonts w:ascii="Times New Roman" w:hAnsi="Times New Roman"/>
          <w:noProof/>
        </w:rPr>
        <w:t>.  Based on our current management information data, the current burden information we provided is accurate</w:t>
      </w:r>
      <w:r w:rsidRPr="00AD1A73">
        <w:rPr>
          <w:rFonts w:ascii="Times New Roman" w:hAnsi="Times New Roman"/>
        </w:rPr>
        <w:t xml:space="preserve">.  The total burden for this ICR is </w:t>
      </w:r>
      <w:r>
        <w:rPr>
          <w:rFonts w:ascii="Times New Roman" w:hAnsi="Times New Roman"/>
          <w:b/>
        </w:rPr>
        <w:t>17,000</w:t>
      </w:r>
      <w:r w:rsidRPr="00AD1A73">
        <w:rPr>
          <w:rFonts w:ascii="Times New Roman" w:hAnsi="Times New Roman"/>
        </w:rPr>
        <w:t xml:space="preserve"> burden hours (reflecting SSA management information data), which results in an associated theoretical (not actual) opportunity cost financial burden of </w:t>
      </w:r>
      <w:r w:rsidRPr="00AD1A73">
        <w:rPr>
          <w:rFonts w:ascii="Times New Roman" w:hAnsi="Times New Roman"/>
          <w:b/>
        </w:rPr>
        <w:t>$</w:t>
      </w:r>
      <w:r>
        <w:rPr>
          <w:rFonts w:ascii="Times New Roman" w:hAnsi="Times New Roman"/>
          <w:b/>
        </w:rPr>
        <w:t>1,641,147</w:t>
      </w:r>
      <w:r w:rsidRPr="00AD1A73">
        <w:rPr>
          <w:rFonts w:ascii="Times New Roman" w:hAnsi="Times New Roman"/>
        </w:rPr>
        <w:t>.  SSA does not charge respondents to complete our applications</w:t>
      </w:r>
      <w:r w:rsidRPr="00AD1A73" w:rsidR="00DD644F">
        <w:rPr>
          <w:rFonts w:ascii="Times New Roman" w:hAnsi="Times New Roman"/>
        </w:rPr>
        <w:t>.</w:t>
      </w:r>
    </w:p>
    <w:p w:rsidR="001C0AB4" w:rsidRPr="00C97964" w:rsidP="009A5800" w14:paraId="6237239C" w14:textId="77777777">
      <w:pPr>
        <w:ind w:left="1440"/>
        <w:rPr>
          <w:rFonts w:ascii="Times New Roman" w:hAnsi="Times New Roman"/>
        </w:rPr>
      </w:pPr>
    </w:p>
    <w:p w:rsidR="00A45D82" w:rsidRPr="00BC7F42" w:rsidP="009A5800" w14:paraId="785E146D" w14:textId="77777777">
      <w:pPr>
        <w:tabs>
          <w:tab w:val="num" w:pos="1440"/>
        </w:tabs>
        <w:ind w:left="144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A45D82" w:rsidRPr="00C97964" w:rsidP="009A5800" w14:paraId="4C4283FF" w14:textId="77777777">
      <w:pPr>
        <w:widowControl/>
        <w:ind w:left="1440"/>
        <w:rPr>
          <w:rFonts w:ascii="Times New Roman" w:eastAsia="SimSun" w:hAnsi="Times New Roman"/>
          <w:snapToGrid/>
          <w:lang w:eastAsia="zh-CN"/>
        </w:rPr>
      </w:pPr>
      <w:r w:rsidRPr="00C97964">
        <w:rPr>
          <w:rFonts w:ascii="Times New Roman" w:eastAsia="SimSun" w:hAnsi="Times New Roman"/>
          <w:snapToGrid/>
          <w:lang w:eastAsia="zh-CN"/>
        </w:rPr>
        <w:t>This collection does not impose a known cost burden on the respondents.</w:t>
      </w:r>
      <w:r w:rsidRPr="00BC7F42">
        <w:rPr>
          <w:rFonts w:ascii="Times New Roman" w:hAnsi="Times New Roman"/>
          <w:i/>
        </w:rPr>
        <w:t xml:space="preserve"> </w:t>
      </w:r>
    </w:p>
    <w:p w:rsidR="00A45D82" w:rsidRPr="00BC7F42" w:rsidP="009A5800" w14:paraId="2ECEA4C8" w14:textId="77777777">
      <w:pPr>
        <w:ind w:left="1440"/>
        <w:rPr>
          <w:rFonts w:ascii="Times New Roman" w:hAnsi="Times New Roman"/>
        </w:rPr>
      </w:pPr>
    </w:p>
    <w:p w:rsidR="00121032" w:rsidRPr="00AD1A73" w:rsidP="009A5800" w14:paraId="489449A6" w14:textId="77777777">
      <w:pPr>
        <w:numPr>
          <w:ilvl w:val="0"/>
          <w:numId w:val="27"/>
        </w:numPr>
        <w:tabs>
          <w:tab w:val="clear" w:pos="360"/>
          <w:tab w:val="num" w:pos="1440"/>
        </w:tabs>
        <w:ind w:left="1440" w:hanging="720"/>
        <w:rPr>
          <w:rFonts w:ascii="Times New Roman" w:hAnsi="Times New Roman"/>
        </w:rPr>
      </w:pPr>
      <w:r w:rsidRPr="00BC7F42">
        <w:rPr>
          <w:rFonts w:ascii="Times New Roman" w:hAnsi="Times New Roman"/>
          <w:b/>
        </w:rPr>
        <w:t xml:space="preserve">Annual Cost </w:t>
      </w:r>
      <w:r w:rsidRPr="00BC7F42">
        <w:rPr>
          <w:rFonts w:ascii="Times New Roman" w:hAnsi="Times New Roman"/>
          <w:b/>
        </w:rPr>
        <w:t>To</w:t>
      </w:r>
      <w:r w:rsidRPr="00BC7F42">
        <w:rPr>
          <w:rFonts w:ascii="Times New Roman" w:hAnsi="Times New Roman"/>
          <w:b/>
        </w:rPr>
        <w:t xml:space="preserve"> Federal Government</w:t>
      </w:r>
    </w:p>
    <w:p w:rsidR="00AD1A73" w:rsidRPr="00121032" w:rsidP="00AD1A73" w14:paraId="058558E5" w14:textId="65DF4F1F">
      <w:pPr>
        <w:ind w:left="1440"/>
        <w:rPr>
          <w:rFonts w:ascii="Times New Roman" w:hAnsi="Times New Roman"/>
        </w:rPr>
      </w:pPr>
      <w:r w:rsidRPr="0047588F">
        <w:rPr>
          <w:rFonts w:ascii="Times New Roman" w:hAnsi="Times New Roman"/>
          <w:color w:val="000000"/>
        </w:rPr>
        <w:t>The annual cost to the Federal Government is approximately $</w:t>
      </w:r>
      <w:r>
        <w:rPr>
          <w:rFonts w:ascii="Times New Roman" w:hAnsi="Times New Roman"/>
          <w:b/>
          <w:bCs/>
          <w:color w:val="000000"/>
        </w:rPr>
        <w:t>488,515</w:t>
      </w:r>
      <w:r w:rsidRPr="0047588F">
        <w:rPr>
          <w:rFonts w:ascii="Times New Roman" w:hAnsi="Times New Roman"/>
          <w:color w:val="000000"/>
        </w:rPr>
        <w:t>.  This estimate accounts for costs from the following areas:</w:t>
      </w:r>
    </w:p>
    <w:p w:rsidR="00A45D82" w:rsidP="009A5800" w14:paraId="7DE089AE" w14:textId="563A52DF">
      <w:pPr>
        <w:ind w:left="1440"/>
        <w:rPr>
          <w:rFonts w:ascii="Times New Roman" w:eastAsia="SimSun" w:hAnsi="Times New Roman"/>
          <w:snapToGrid/>
          <w:lang w:eastAsia="zh-CN"/>
        </w:rPr>
      </w:pPr>
    </w:p>
    <w:tbl>
      <w:tblPr>
        <w:tblStyle w:val="TableGrid"/>
        <w:tblW w:w="9350" w:type="dxa"/>
        <w:tblInd w:w="799" w:type="dxa"/>
        <w:tblLook w:val="04A0"/>
      </w:tblPr>
      <w:tblGrid>
        <w:gridCol w:w="3116"/>
        <w:gridCol w:w="3117"/>
        <w:gridCol w:w="3117"/>
      </w:tblGrid>
      <w:tr w14:paraId="7390DE7B" w14:textId="77777777" w:rsidTr="00FD6C52">
        <w:tblPrEx>
          <w:tblW w:w="9350" w:type="dxa"/>
          <w:tblInd w:w="799" w:type="dxa"/>
          <w:tblLook w:val="04A0"/>
        </w:tblPrEx>
        <w:tc>
          <w:tcPr>
            <w:tcW w:w="3116" w:type="dxa"/>
          </w:tcPr>
          <w:p w:rsidR="000C107E" w:rsidP="00FD6C52" w14:paraId="77FAC05A" w14:textId="77777777">
            <w:pPr>
              <w:pStyle w:val="ListParagraph"/>
              <w:ind w:left="0"/>
              <w:rPr>
                <w:rFonts w:ascii="Times New Roman" w:hAnsi="Times New Roman"/>
                <w:b/>
                <w:bCs/>
                <w:color w:val="000000"/>
              </w:rPr>
            </w:pPr>
            <w:r>
              <w:rPr>
                <w:rFonts w:ascii="Times New Roman" w:hAnsi="Times New Roman"/>
                <w:b/>
                <w:bCs/>
                <w:color w:val="000000"/>
              </w:rPr>
              <w:t>Description of Cost Factor</w:t>
            </w:r>
          </w:p>
        </w:tc>
        <w:tc>
          <w:tcPr>
            <w:tcW w:w="3117" w:type="dxa"/>
          </w:tcPr>
          <w:p w:rsidR="000C107E" w:rsidP="00FD6C52" w14:paraId="69B22358" w14:textId="77777777">
            <w:pPr>
              <w:pStyle w:val="ListParagraph"/>
              <w:ind w:left="0"/>
              <w:rPr>
                <w:rFonts w:ascii="Times New Roman" w:hAnsi="Times New Roman"/>
                <w:b/>
                <w:bCs/>
                <w:color w:val="000000"/>
              </w:rPr>
            </w:pPr>
            <w:r>
              <w:rPr>
                <w:rFonts w:ascii="Times New Roman" w:hAnsi="Times New Roman"/>
                <w:b/>
                <w:bCs/>
                <w:color w:val="000000"/>
              </w:rPr>
              <w:t>Methodology for Estimating Cost</w:t>
            </w:r>
          </w:p>
        </w:tc>
        <w:tc>
          <w:tcPr>
            <w:tcW w:w="3117" w:type="dxa"/>
          </w:tcPr>
          <w:p w:rsidR="000C107E" w:rsidP="00FD6C52" w14:paraId="7202E179" w14:textId="77777777">
            <w:pPr>
              <w:pStyle w:val="ListParagraph"/>
              <w:ind w:left="0"/>
              <w:rPr>
                <w:rFonts w:ascii="Times New Roman" w:hAnsi="Times New Roman"/>
                <w:b/>
                <w:bCs/>
                <w:color w:val="000000"/>
              </w:rPr>
            </w:pPr>
            <w:r>
              <w:rPr>
                <w:rFonts w:ascii="Times New Roman" w:hAnsi="Times New Roman"/>
                <w:b/>
                <w:bCs/>
                <w:color w:val="000000"/>
              </w:rPr>
              <w:t>Cost in Dollars*</w:t>
            </w:r>
          </w:p>
        </w:tc>
      </w:tr>
      <w:tr w14:paraId="4E3B764C" w14:textId="77777777" w:rsidTr="00FD6C52">
        <w:tblPrEx>
          <w:tblW w:w="9350" w:type="dxa"/>
          <w:tblInd w:w="799" w:type="dxa"/>
          <w:tblLook w:val="04A0"/>
        </w:tblPrEx>
        <w:tc>
          <w:tcPr>
            <w:tcW w:w="3116" w:type="dxa"/>
          </w:tcPr>
          <w:p w:rsidR="000C107E" w:rsidP="00FD6C52" w14:paraId="17B41AE2" w14:textId="77777777">
            <w:pPr>
              <w:pStyle w:val="ListParagraph"/>
              <w:ind w:left="0"/>
              <w:rPr>
                <w:rFonts w:ascii="Times New Roman" w:hAnsi="Times New Roman"/>
                <w:color w:val="000000"/>
              </w:rPr>
            </w:pPr>
            <w:r>
              <w:rPr>
                <w:rFonts w:ascii="Times New Roman" w:hAnsi="Times New Roman"/>
                <w:color w:val="000000"/>
              </w:rPr>
              <w:t>Designing and Printing the Form</w:t>
            </w:r>
          </w:p>
        </w:tc>
        <w:tc>
          <w:tcPr>
            <w:tcW w:w="3117" w:type="dxa"/>
          </w:tcPr>
          <w:p w:rsidR="000C107E" w:rsidP="00FD6C52" w14:paraId="73780FDD" w14:textId="77777777">
            <w:pPr>
              <w:pStyle w:val="ListParagraph"/>
              <w:ind w:left="0"/>
              <w:rPr>
                <w:rFonts w:ascii="Times New Roman" w:hAnsi="Times New Roman"/>
                <w:color w:val="000000"/>
              </w:rPr>
            </w:pPr>
            <w:r>
              <w:rPr>
                <w:rFonts w:ascii="Times New Roman" w:hAnsi="Times New Roman"/>
                <w:color w:val="000000"/>
              </w:rPr>
              <w:t>Design Cost + Printing Cost</w:t>
            </w:r>
          </w:p>
        </w:tc>
        <w:tc>
          <w:tcPr>
            <w:tcW w:w="3117" w:type="dxa"/>
          </w:tcPr>
          <w:p w:rsidR="000C107E" w:rsidP="00AD1A73" w14:paraId="6005813A" w14:textId="2668F6EA">
            <w:pPr>
              <w:pStyle w:val="ListParagraph"/>
              <w:ind w:left="0"/>
              <w:jc w:val="right"/>
              <w:rPr>
                <w:rFonts w:ascii="Times New Roman" w:hAnsi="Times New Roman"/>
                <w:color w:val="000000"/>
              </w:rPr>
            </w:pPr>
            <w:r>
              <w:rPr>
                <w:rFonts w:ascii="Times New Roman" w:hAnsi="Times New Roman"/>
                <w:color w:val="000000"/>
              </w:rPr>
              <w:t>$315</w:t>
            </w:r>
          </w:p>
        </w:tc>
      </w:tr>
      <w:tr w14:paraId="27E469C5" w14:textId="77777777" w:rsidTr="00FD6C52">
        <w:tblPrEx>
          <w:tblW w:w="9350" w:type="dxa"/>
          <w:tblInd w:w="799" w:type="dxa"/>
          <w:tblLook w:val="04A0"/>
        </w:tblPrEx>
        <w:tc>
          <w:tcPr>
            <w:tcW w:w="3116" w:type="dxa"/>
          </w:tcPr>
          <w:p w:rsidR="000C107E" w:rsidP="00FD6C52" w14:paraId="5A360E7C" w14:textId="77777777">
            <w:pPr>
              <w:pStyle w:val="ListParagraph"/>
              <w:ind w:left="0"/>
              <w:rPr>
                <w:rFonts w:ascii="Times New Roman" w:hAnsi="Times New Roman"/>
                <w:color w:val="000000"/>
              </w:rPr>
            </w:pPr>
            <w:r>
              <w:rPr>
                <w:rFonts w:ascii="Times New Roman" w:hAnsi="Times New Roman"/>
                <w:color w:val="000000"/>
              </w:rPr>
              <w:t>Distributing, Shipping, and Material Costs for the Form</w:t>
            </w:r>
          </w:p>
        </w:tc>
        <w:tc>
          <w:tcPr>
            <w:tcW w:w="3117" w:type="dxa"/>
          </w:tcPr>
          <w:p w:rsidR="000C107E" w:rsidP="00FD6C52" w14:paraId="66D692D2" w14:textId="77777777">
            <w:pPr>
              <w:pStyle w:val="ListParagraph"/>
              <w:ind w:left="0"/>
              <w:rPr>
                <w:rFonts w:ascii="Times New Roman" w:hAnsi="Times New Roman"/>
                <w:color w:val="000000"/>
              </w:rPr>
            </w:pPr>
            <w:r>
              <w:rPr>
                <w:rFonts w:ascii="Times New Roman" w:hAnsi="Times New Roman"/>
                <w:color w:val="000000"/>
              </w:rPr>
              <w:t>Distribution + Shipping + Material Cost</w:t>
            </w:r>
          </w:p>
        </w:tc>
        <w:tc>
          <w:tcPr>
            <w:tcW w:w="3117" w:type="dxa"/>
          </w:tcPr>
          <w:p w:rsidR="000C107E" w:rsidP="00AD1A73" w14:paraId="50CB7215" w14:textId="0015A693">
            <w:pPr>
              <w:pStyle w:val="ListParagraph"/>
              <w:ind w:left="0"/>
              <w:jc w:val="right"/>
              <w:rPr>
                <w:rFonts w:ascii="Times New Roman" w:hAnsi="Times New Roman"/>
                <w:color w:val="000000"/>
              </w:rPr>
            </w:pPr>
            <w:r>
              <w:rPr>
                <w:rFonts w:ascii="Times New Roman" w:hAnsi="Times New Roman"/>
                <w:color w:val="000000"/>
              </w:rPr>
              <w:t>$</w:t>
            </w:r>
            <w:r w:rsidR="000D1789">
              <w:rPr>
                <w:rFonts w:ascii="Times New Roman" w:hAnsi="Times New Roman"/>
                <w:color w:val="000000"/>
              </w:rPr>
              <w:t>70</w:t>
            </w:r>
            <w:r>
              <w:rPr>
                <w:rFonts w:ascii="Times New Roman" w:hAnsi="Times New Roman"/>
                <w:color w:val="000000"/>
              </w:rPr>
              <w:t>,000</w:t>
            </w:r>
          </w:p>
        </w:tc>
      </w:tr>
      <w:tr w14:paraId="5DC11AA4" w14:textId="77777777" w:rsidTr="00FD6C52">
        <w:tblPrEx>
          <w:tblW w:w="9350" w:type="dxa"/>
          <w:tblInd w:w="799" w:type="dxa"/>
          <w:tblLook w:val="04A0"/>
        </w:tblPrEx>
        <w:tc>
          <w:tcPr>
            <w:tcW w:w="3116" w:type="dxa"/>
          </w:tcPr>
          <w:p w:rsidR="000C107E" w:rsidP="00FD6C52" w14:paraId="00BA71C1" w14:textId="77777777">
            <w:pPr>
              <w:pStyle w:val="ListParagraph"/>
              <w:ind w:left="0"/>
              <w:rPr>
                <w:rFonts w:ascii="Times New Roman" w:hAnsi="Times New Roman"/>
                <w:color w:val="000000"/>
              </w:rPr>
            </w:pPr>
            <w:r>
              <w:rPr>
                <w:rFonts w:ascii="Times New Roman" w:hAnsi="Times New Roman"/>
                <w:color w:val="000000"/>
              </w:rPr>
              <w:t>SSA Employee (e.g., field office, 800 number, DDS staff) Information Collection and Processing Time</w:t>
            </w:r>
          </w:p>
        </w:tc>
        <w:tc>
          <w:tcPr>
            <w:tcW w:w="3117" w:type="dxa"/>
          </w:tcPr>
          <w:p w:rsidR="000C107E" w:rsidP="00FD6C52" w14:paraId="0BAA9BA9" w14:textId="77777777">
            <w:pPr>
              <w:pStyle w:val="ListParagraph"/>
              <w:ind w:left="0"/>
              <w:rPr>
                <w:rFonts w:ascii="Times New Roman" w:hAnsi="Times New Roman"/>
                <w:color w:val="000000"/>
              </w:rPr>
            </w:pPr>
            <w:r>
              <w:rPr>
                <w:rFonts w:ascii="Times New Roman" w:hAnsi="Times New Roman"/>
                <w:color w:val="000000"/>
              </w:rPr>
              <w:t>GS-9 employee x # of responses x processing time</w:t>
            </w:r>
          </w:p>
        </w:tc>
        <w:tc>
          <w:tcPr>
            <w:tcW w:w="3117" w:type="dxa"/>
          </w:tcPr>
          <w:p w:rsidR="000C107E" w:rsidP="00AD1A73" w14:paraId="2B224BC2" w14:textId="7A01E2B0">
            <w:pPr>
              <w:pStyle w:val="ListParagraph"/>
              <w:ind w:left="0"/>
              <w:jc w:val="right"/>
              <w:rPr>
                <w:rFonts w:ascii="Times New Roman" w:hAnsi="Times New Roman"/>
                <w:color w:val="000000"/>
              </w:rPr>
            </w:pPr>
            <w:r>
              <w:rPr>
                <w:rFonts w:ascii="Times New Roman" w:hAnsi="Times New Roman"/>
                <w:color w:val="000000"/>
              </w:rPr>
              <w:t>$</w:t>
            </w:r>
            <w:r w:rsidR="000D1789">
              <w:rPr>
                <w:rFonts w:ascii="Times New Roman" w:hAnsi="Times New Roman"/>
                <w:color w:val="000000"/>
              </w:rPr>
              <w:t>418,20</w:t>
            </w:r>
            <w:r>
              <w:rPr>
                <w:rFonts w:ascii="Times New Roman" w:hAnsi="Times New Roman"/>
                <w:color w:val="000000"/>
              </w:rPr>
              <w:t>0</w:t>
            </w:r>
          </w:p>
        </w:tc>
      </w:tr>
      <w:tr w14:paraId="1427DE48" w14:textId="77777777" w:rsidTr="00FD6C52">
        <w:tblPrEx>
          <w:tblW w:w="9350" w:type="dxa"/>
          <w:tblInd w:w="799" w:type="dxa"/>
          <w:tblLook w:val="04A0"/>
        </w:tblPrEx>
        <w:tc>
          <w:tcPr>
            <w:tcW w:w="3116" w:type="dxa"/>
          </w:tcPr>
          <w:p w:rsidR="000C107E" w:rsidP="00FD6C52" w14:paraId="542800DF" w14:textId="77777777">
            <w:pPr>
              <w:pStyle w:val="ListParagraph"/>
              <w:ind w:left="0"/>
              <w:rPr>
                <w:rFonts w:ascii="Times New Roman" w:hAnsi="Times New Roman"/>
                <w:color w:val="000000"/>
              </w:rPr>
            </w:pPr>
            <w:r>
              <w:rPr>
                <w:rFonts w:ascii="Times New Roman" w:hAnsi="Times New Roman"/>
                <w:color w:val="000000"/>
              </w:rPr>
              <w:t>Full-Time Equivalent Costs</w:t>
            </w:r>
          </w:p>
        </w:tc>
        <w:tc>
          <w:tcPr>
            <w:tcW w:w="3117" w:type="dxa"/>
          </w:tcPr>
          <w:p w:rsidR="000C107E" w:rsidP="00FD6C52" w14:paraId="1DB653C4" w14:textId="77777777">
            <w:pPr>
              <w:pStyle w:val="ListParagraph"/>
              <w:ind w:left="0"/>
              <w:rPr>
                <w:rFonts w:ascii="Times New Roman" w:hAnsi="Times New Roman"/>
                <w:color w:val="000000"/>
              </w:rPr>
            </w:pPr>
            <w:r>
              <w:rPr>
                <w:rFonts w:ascii="Times New Roman" w:hAnsi="Times New Roman"/>
                <w:color w:val="000000"/>
              </w:rPr>
              <w:t xml:space="preserve">Out of pocket costs + Other expenses for providing this </w:t>
            </w:r>
            <w:r>
              <w:rPr>
                <w:rFonts w:ascii="Times New Roman" w:hAnsi="Times New Roman"/>
                <w:color w:val="000000"/>
              </w:rPr>
              <w:t>service</w:t>
            </w:r>
          </w:p>
        </w:tc>
        <w:tc>
          <w:tcPr>
            <w:tcW w:w="3117" w:type="dxa"/>
          </w:tcPr>
          <w:p w:rsidR="000C107E" w:rsidP="00AD1A73" w14:paraId="76B83721" w14:textId="33D2F2AE">
            <w:pPr>
              <w:pStyle w:val="ListParagraph"/>
              <w:ind w:left="0"/>
              <w:jc w:val="right"/>
              <w:rPr>
                <w:rFonts w:ascii="Times New Roman" w:hAnsi="Times New Roman"/>
                <w:color w:val="000000"/>
              </w:rPr>
            </w:pPr>
            <w:r>
              <w:rPr>
                <w:rFonts w:ascii="Times New Roman" w:hAnsi="Times New Roman"/>
                <w:color w:val="000000"/>
              </w:rPr>
              <w:t>$0</w:t>
            </w:r>
            <w:r w:rsidR="00AD1A73">
              <w:rPr>
                <w:rFonts w:ascii="Times New Roman" w:hAnsi="Times New Roman"/>
                <w:color w:val="000000"/>
              </w:rPr>
              <w:t>*</w:t>
            </w:r>
          </w:p>
        </w:tc>
      </w:tr>
      <w:tr w14:paraId="54F44045" w14:textId="77777777" w:rsidTr="00FD6C52">
        <w:tblPrEx>
          <w:tblW w:w="9350" w:type="dxa"/>
          <w:tblInd w:w="799" w:type="dxa"/>
          <w:tblLook w:val="04A0"/>
        </w:tblPrEx>
        <w:tc>
          <w:tcPr>
            <w:tcW w:w="3116" w:type="dxa"/>
          </w:tcPr>
          <w:p w:rsidR="000C107E" w:rsidP="00FD6C52" w14:paraId="58873C35" w14:textId="77777777">
            <w:pPr>
              <w:pStyle w:val="ListParagraph"/>
              <w:ind w:left="0"/>
              <w:rPr>
                <w:rFonts w:ascii="Times New Roman" w:hAnsi="Times New Roman"/>
                <w:color w:val="000000"/>
              </w:rPr>
            </w:pPr>
            <w:r>
              <w:rPr>
                <w:rFonts w:ascii="Times New Roman" w:hAnsi="Times New Roman"/>
                <w:color w:val="000000"/>
              </w:rPr>
              <w:t>Systems Development, Updating, and Maintenance</w:t>
            </w:r>
          </w:p>
        </w:tc>
        <w:tc>
          <w:tcPr>
            <w:tcW w:w="3117" w:type="dxa"/>
          </w:tcPr>
          <w:p w:rsidR="000C107E" w:rsidP="00FD6C52" w14:paraId="571DA51A" w14:textId="77777777">
            <w:pPr>
              <w:pStyle w:val="ListParagraph"/>
              <w:ind w:left="0"/>
              <w:rPr>
                <w:rFonts w:ascii="Times New Roman" w:hAnsi="Times New Roman"/>
                <w:color w:val="000000"/>
              </w:rPr>
            </w:pPr>
            <w:r>
              <w:rPr>
                <w:rFonts w:ascii="Times New Roman" w:hAnsi="Times New Roman"/>
                <w:color w:val="000000"/>
              </w:rPr>
              <w:t>GS-9 employee x man hours for development, updating, maintenance</w:t>
            </w:r>
          </w:p>
        </w:tc>
        <w:tc>
          <w:tcPr>
            <w:tcW w:w="3117" w:type="dxa"/>
          </w:tcPr>
          <w:p w:rsidR="000C107E" w:rsidP="00AD1A73" w14:paraId="2753CD35" w14:textId="1CEFBA83">
            <w:pPr>
              <w:pStyle w:val="ListParagraph"/>
              <w:ind w:left="0"/>
              <w:jc w:val="right"/>
              <w:rPr>
                <w:rFonts w:ascii="Times New Roman" w:hAnsi="Times New Roman"/>
                <w:color w:val="000000"/>
              </w:rPr>
            </w:pPr>
            <w:r>
              <w:rPr>
                <w:rFonts w:ascii="Times New Roman" w:hAnsi="Times New Roman"/>
                <w:color w:val="000000"/>
              </w:rPr>
              <w:t>$0</w:t>
            </w:r>
            <w:r w:rsidR="00AD1A73">
              <w:rPr>
                <w:rFonts w:ascii="Times New Roman" w:hAnsi="Times New Roman"/>
                <w:color w:val="000000"/>
              </w:rPr>
              <w:t>*</w:t>
            </w:r>
          </w:p>
        </w:tc>
      </w:tr>
      <w:tr w14:paraId="401AA679" w14:textId="77777777" w:rsidTr="00FD6C52">
        <w:tblPrEx>
          <w:tblW w:w="9350" w:type="dxa"/>
          <w:tblInd w:w="799" w:type="dxa"/>
          <w:tblLook w:val="04A0"/>
        </w:tblPrEx>
        <w:tc>
          <w:tcPr>
            <w:tcW w:w="3116" w:type="dxa"/>
          </w:tcPr>
          <w:p w:rsidR="000C107E" w:rsidP="00FD6C52" w14:paraId="395284FD" w14:textId="77777777">
            <w:pPr>
              <w:pStyle w:val="ListParagraph"/>
              <w:ind w:left="0"/>
              <w:rPr>
                <w:rFonts w:ascii="Times New Roman" w:hAnsi="Times New Roman"/>
                <w:color w:val="000000"/>
              </w:rPr>
            </w:pPr>
            <w:r>
              <w:rPr>
                <w:rFonts w:ascii="Times New Roman" w:hAnsi="Times New Roman"/>
                <w:color w:val="000000"/>
              </w:rPr>
              <w:t>Quantifiable IT Costs</w:t>
            </w:r>
          </w:p>
        </w:tc>
        <w:tc>
          <w:tcPr>
            <w:tcW w:w="3117" w:type="dxa"/>
          </w:tcPr>
          <w:p w:rsidR="000C107E" w:rsidP="00FD6C52" w14:paraId="2DC4A34C" w14:textId="77777777">
            <w:pPr>
              <w:pStyle w:val="ListParagraph"/>
              <w:ind w:left="0"/>
              <w:rPr>
                <w:rFonts w:ascii="Times New Roman" w:hAnsi="Times New Roman"/>
                <w:color w:val="000000"/>
              </w:rPr>
            </w:pPr>
            <w:r>
              <w:rPr>
                <w:rFonts w:ascii="Times New Roman" w:hAnsi="Times New Roman"/>
                <w:color w:val="000000"/>
              </w:rPr>
              <w:t>Any additional IT costs</w:t>
            </w:r>
          </w:p>
        </w:tc>
        <w:tc>
          <w:tcPr>
            <w:tcW w:w="3117" w:type="dxa"/>
          </w:tcPr>
          <w:p w:rsidR="000C107E" w:rsidP="00AD1A73" w14:paraId="6BB955BA" w14:textId="54A01919">
            <w:pPr>
              <w:pStyle w:val="ListParagraph"/>
              <w:ind w:left="0"/>
              <w:jc w:val="right"/>
              <w:rPr>
                <w:rFonts w:ascii="Times New Roman" w:hAnsi="Times New Roman"/>
                <w:color w:val="000000"/>
              </w:rPr>
            </w:pPr>
            <w:r>
              <w:rPr>
                <w:rFonts w:ascii="Times New Roman" w:hAnsi="Times New Roman"/>
                <w:color w:val="000000"/>
              </w:rPr>
              <w:t>$0</w:t>
            </w:r>
            <w:r w:rsidR="00AD1A73">
              <w:rPr>
                <w:rFonts w:ascii="Times New Roman" w:hAnsi="Times New Roman"/>
                <w:color w:val="000000"/>
              </w:rPr>
              <w:t>*</w:t>
            </w:r>
          </w:p>
        </w:tc>
      </w:tr>
      <w:tr w14:paraId="68FBFDE8" w14:textId="77777777" w:rsidTr="00FD6C52">
        <w:tblPrEx>
          <w:tblW w:w="9350" w:type="dxa"/>
          <w:tblInd w:w="799" w:type="dxa"/>
          <w:tblLook w:val="04A0"/>
        </w:tblPrEx>
        <w:tc>
          <w:tcPr>
            <w:tcW w:w="3116" w:type="dxa"/>
          </w:tcPr>
          <w:p w:rsidR="000C107E" w:rsidP="00FD6C52" w14:paraId="64101826" w14:textId="77777777">
            <w:pPr>
              <w:pStyle w:val="ListParagraph"/>
              <w:ind w:left="0"/>
              <w:rPr>
                <w:rFonts w:ascii="Times New Roman" w:hAnsi="Times New Roman"/>
                <w:b/>
                <w:bCs/>
                <w:color w:val="000000"/>
              </w:rPr>
            </w:pPr>
            <w:r>
              <w:rPr>
                <w:rFonts w:ascii="Times New Roman" w:hAnsi="Times New Roman"/>
                <w:b/>
                <w:bCs/>
                <w:color w:val="000000"/>
              </w:rPr>
              <w:t>Total</w:t>
            </w:r>
          </w:p>
        </w:tc>
        <w:tc>
          <w:tcPr>
            <w:tcW w:w="3117" w:type="dxa"/>
          </w:tcPr>
          <w:p w:rsidR="000C107E" w:rsidP="00FD6C52" w14:paraId="587B455E" w14:textId="77777777">
            <w:pPr>
              <w:pStyle w:val="ListParagraph"/>
              <w:ind w:left="0"/>
              <w:rPr>
                <w:rFonts w:ascii="Times New Roman" w:hAnsi="Times New Roman"/>
                <w:b/>
                <w:bCs/>
                <w:color w:val="000000"/>
              </w:rPr>
            </w:pPr>
          </w:p>
        </w:tc>
        <w:tc>
          <w:tcPr>
            <w:tcW w:w="3117" w:type="dxa"/>
          </w:tcPr>
          <w:p w:rsidR="000C107E" w:rsidP="00AD1A73" w14:paraId="0C20FFA4" w14:textId="6EF49E72">
            <w:pPr>
              <w:pStyle w:val="ListParagraph"/>
              <w:ind w:left="0"/>
              <w:jc w:val="right"/>
              <w:rPr>
                <w:rFonts w:ascii="Times New Roman" w:hAnsi="Times New Roman"/>
                <w:b/>
                <w:bCs/>
                <w:color w:val="000000"/>
              </w:rPr>
            </w:pPr>
            <w:r>
              <w:rPr>
                <w:rFonts w:ascii="Times New Roman" w:hAnsi="Times New Roman"/>
                <w:b/>
                <w:bCs/>
                <w:color w:val="000000"/>
              </w:rPr>
              <w:t>$</w:t>
            </w:r>
            <w:r w:rsidR="000D1789">
              <w:rPr>
                <w:rFonts w:ascii="Times New Roman" w:hAnsi="Times New Roman"/>
                <w:b/>
                <w:bCs/>
                <w:color w:val="000000"/>
              </w:rPr>
              <w:t>488,515</w:t>
            </w:r>
          </w:p>
        </w:tc>
      </w:tr>
    </w:tbl>
    <w:p w:rsidR="00AD1A73" w:rsidP="00AD1A73" w14:paraId="6DC4DE3D" w14:textId="77777777">
      <w:pPr>
        <w:ind w:left="1620" w:hanging="180"/>
        <w:rPr>
          <w:rFonts w:ascii="Times New Roman" w:hAnsi="Times New Roman"/>
          <w:color w:val="000000"/>
        </w:rPr>
      </w:pPr>
      <w:r>
        <w:rPr>
          <w:rFonts w:ascii="Times New Roman" w:hAnsi="Times New Roman"/>
          <w:color w:val="000000"/>
        </w:rPr>
        <w:t>* We have inserted a $0 amount for cost factors that do not apply to this collection.</w:t>
      </w:r>
    </w:p>
    <w:p w:rsidR="00AD1A73" w:rsidP="00AD1A73" w14:paraId="348EC0D9" w14:textId="77777777">
      <w:pPr>
        <w:rPr>
          <w:rFonts w:ascii="Times New Roman" w:hAnsi="Times New Roman"/>
          <w:color w:val="000000"/>
        </w:rPr>
      </w:pPr>
    </w:p>
    <w:p w:rsidR="00706238" w:rsidP="00AD1A73" w14:paraId="168A16DF" w14:textId="045A2105">
      <w:pPr>
        <w:ind w:left="1440"/>
        <w:rPr>
          <w:rFonts w:ascii="Times New Roman" w:hAnsi="Times New Roman"/>
          <w:color w:val="000000"/>
        </w:rPr>
      </w:pPr>
      <w:r>
        <w:rPr>
          <w:rFonts w:ascii="Times New Roman" w:hAnsi="Times New Roman"/>
          <w:color w:val="000000"/>
        </w:rPr>
        <w:t>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AD1A73" w:rsidRPr="00AD1A73" w:rsidP="00AD1A73" w14:paraId="03FC8A1A" w14:textId="77777777">
      <w:pPr>
        <w:ind w:left="1440"/>
        <w:rPr>
          <w:rFonts w:ascii="Times New Roman" w:hAnsi="Times New Roman"/>
          <w:iCs/>
        </w:rPr>
      </w:pPr>
    </w:p>
    <w:p w:rsidR="000B1980" w:rsidP="009A5800" w14:paraId="2A0ED604" w14:textId="77777777">
      <w:pPr>
        <w:tabs>
          <w:tab w:val="num" w:pos="1440"/>
        </w:tabs>
        <w:ind w:left="1440" w:hanging="720"/>
        <w:rPr>
          <w:i/>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r w:rsidR="00063A05">
        <w:rPr>
          <w:rFonts w:ascii="Times New Roman" w:hAnsi="Times New Roman"/>
        </w:rPr>
        <w:tab/>
      </w:r>
    </w:p>
    <w:p w:rsidR="000B1980" w:rsidRPr="006C50DD" w:rsidP="009A5800" w14:paraId="16353065" w14:textId="37F876E3">
      <w:pPr>
        <w:pStyle w:val="NoSpacing"/>
        <w:ind w:left="1440"/>
        <w:rPr>
          <w:iCs/>
        </w:rPr>
      </w:pPr>
      <w:r w:rsidRPr="006C50DD">
        <w:rPr>
          <w:iCs/>
        </w:rPr>
        <w:t>There are no changes to the public reporting burden</w:t>
      </w:r>
      <w:r w:rsidRPr="006C50DD">
        <w:rPr>
          <w:iCs/>
        </w:rPr>
        <w:t>.</w:t>
      </w:r>
    </w:p>
    <w:p w:rsidR="00B400F8" w:rsidP="009A5800" w14:paraId="19EF9809" w14:textId="77777777">
      <w:pPr>
        <w:pStyle w:val="NoSpacing"/>
        <w:ind w:left="1440"/>
      </w:pPr>
    </w:p>
    <w:p w:rsidR="00B400F8" w:rsidRPr="000B1980" w:rsidP="009A5800" w14:paraId="31C3329F" w14:textId="4933CE69">
      <w:pPr>
        <w:pStyle w:val="NoSpacing"/>
        <w:ind w:left="1440"/>
      </w:pPr>
      <w:r>
        <w:rPr>
          <w:color w:val="000000"/>
        </w:rPr>
        <w:t xml:space="preserve">* Note: The total burden reflected in ROCIS is </w:t>
      </w:r>
      <w:r w:rsidR="006C50DD">
        <w:rPr>
          <w:b/>
          <w:bCs/>
          <w:color w:val="000000"/>
        </w:rPr>
        <w:t>5213</w:t>
      </w:r>
      <w:r>
        <w:rPr>
          <w:color w:val="000000"/>
        </w:rPr>
        <w:t xml:space="preserve">, while the burden cited in #12 of the Supporting Statement is </w:t>
      </w:r>
      <w:r>
        <w:rPr>
          <w:b/>
          <w:bCs/>
          <w:color w:val="000000"/>
        </w:rPr>
        <w:t>17,000</w:t>
      </w:r>
      <w:r>
        <w:rPr>
          <w:color w:val="000000"/>
        </w:rPr>
        <w:t>.  This discrepancy is because the ROCIS burden reflects the following components:  field office waiting time + learning costs.  In contrast, the chart in #12 of the Supporting Statement reflects actual burden.</w:t>
      </w:r>
    </w:p>
    <w:p w:rsidR="000B1980" w:rsidRPr="00C97964" w:rsidP="009A5800" w14:paraId="118E5D79" w14:textId="77777777">
      <w:pPr>
        <w:ind w:left="1440"/>
        <w:rPr>
          <w:rFonts w:ascii="Times New Roman" w:eastAsia="SimSun" w:hAnsi="Times New Roman"/>
          <w:snapToGrid/>
          <w:lang w:eastAsia="zh-CN"/>
        </w:rPr>
      </w:pPr>
    </w:p>
    <w:p w:rsidR="00063A05" w:rsidP="009A5800" w14:paraId="1DA4A913" w14:textId="77777777">
      <w:pPr>
        <w:tabs>
          <w:tab w:val="num" w:pos="1440"/>
        </w:tabs>
        <w:ind w:left="144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2B23AF" w:rsidRPr="002B23AF" w:rsidP="009A5800" w14:paraId="50F707A2" w14:textId="77777777">
      <w:pPr>
        <w:widowControl/>
        <w:ind w:left="1440"/>
        <w:rPr>
          <w:rFonts w:ascii="Times New Roman" w:eastAsia="SimSun" w:hAnsi="Times New Roman"/>
          <w:b/>
          <w:snapToGrid/>
          <w:lang w:eastAsia="zh-CN"/>
        </w:rPr>
      </w:pPr>
      <w:r w:rsidRPr="002B23AF">
        <w:rPr>
          <w:rFonts w:ascii="Times New Roman" w:eastAsia="SimSun" w:hAnsi="Times New Roman"/>
          <w:snapToGrid/>
          <w:lang w:eastAsia="zh-CN"/>
        </w:rPr>
        <w:t>SSA will not publish the results of the information collection.</w:t>
      </w:r>
    </w:p>
    <w:p w:rsidR="00A45D82" w:rsidRPr="00BC7F42" w:rsidP="009A5800" w14:paraId="2FECA180" w14:textId="77777777">
      <w:pPr>
        <w:pStyle w:val="Header"/>
        <w:tabs>
          <w:tab w:val="clear" w:pos="4320"/>
          <w:tab w:val="clear" w:pos="8640"/>
        </w:tabs>
        <w:ind w:left="1440"/>
        <w:rPr>
          <w:rFonts w:ascii="Times New Roman" w:hAnsi="Times New Roman"/>
        </w:rPr>
      </w:pPr>
    </w:p>
    <w:p w:rsidR="003B30B4" w:rsidP="009A5800" w14:paraId="23FC8890" w14:textId="77777777">
      <w:pPr>
        <w:tabs>
          <w:tab w:val="num" w:pos="1440"/>
        </w:tabs>
        <w:ind w:left="1440" w:hanging="720"/>
        <w:rPr>
          <w:rFonts w:ascii="Times New Roman" w:hAnsi="Times New Roman"/>
        </w:rPr>
      </w:pPr>
      <w:r w:rsidRPr="003B30B4">
        <w:rPr>
          <w:rFonts w:ascii="Times New Roman" w:hAnsi="Times New Roman"/>
          <w:b/>
        </w:rPr>
        <w:t>17.</w:t>
      </w:r>
      <w:r w:rsidRPr="00BC7F42">
        <w:rPr>
          <w:rFonts w:ascii="Times New Roman" w:hAnsi="Times New Roman"/>
        </w:rPr>
        <w:tab/>
      </w:r>
      <w:r>
        <w:rPr>
          <w:rFonts w:ascii="Times New Roman" w:hAnsi="Times New Roman"/>
          <w:b/>
        </w:rPr>
        <w:t>Displaying the OMB Approval Expiration Date</w:t>
      </w:r>
    </w:p>
    <w:p w:rsidR="003B30B4" w:rsidRPr="00DB056B" w:rsidP="009A5800" w14:paraId="2A0FC6B8" w14:textId="77777777">
      <w:pPr>
        <w:widowControl/>
        <w:ind w:left="1440"/>
        <w:rPr>
          <w:rFonts w:ascii="Times New Roman" w:eastAsia="SimSun" w:hAnsi="Times New Roman"/>
          <w:snapToGrid/>
          <w:lang w:eastAsia="zh-CN"/>
        </w:rPr>
      </w:pPr>
      <w:r w:rsidRPr="00DB056B">
        <w:rPr>
          <w:rFonts w:ascii="Times New Roman" w:eastAsia="SimSun" w:hAnsi="Times New Roman"/>
          <w:bCs/>
          <w:iCs/>
          <w:snapToGrid/>
          <w:lang w:eastAsia="zh-CN"/>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A45D82" w:rsidRPr="00BC7F42" w:rsidP="009A5800" w14:paraId="3A47427B"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p>
    <w:p w:rsidR="003B30B4" w:rsidP="009A5800" w14:paraId="5ACE4704" w14:textId="77777777">
      <w:pPr>
        <w:numPr>
          <w:ilvl w:val="0"/>
          <w:numId w:val="43"/>
        </w:numPr>
        <w:tabs>
          <w:tab w:val="clear" w:pos="720"/>
          <w:tab w:val="num" w:pos="1440"/>
        </w:tabs>
        <w:ind w:left="1440"/>
        <w:rPr>
          <w:rFonts w:ascii="Times New Roman" w:hAnsi="Times New Roman"/>
          <w:b/>
        </w:rPr>
      </w:pPr>
      <w:r w:rsidRPr="00BC7F42">
        <w:rPr>
          <w:rFonts w:ascii="Times New Roman" w:hAnsi="Times New Roman"/>
          <w:b/>
        </w:rPr>
        <w:t>Exceptions to Certification Statement</w:t>
      </w:r>
    </w:p>
    <w:p w:rsidR="00353D9D" w:rsidRPr="00353D9D" w:rsidP="009A5800" w14:paraId="36875898" w14:textId="77777777">
      <w:pPr>
        <w:widowControl/>
        <w:ind w:left="1440"/>
        <w:rPr>
          <w:rFonts w:ascii="Times New Roman" w:eastAsia="SimSun" w:hAnsi="Times New Roman"/>
          <w:snapToGrid/>
          <w:lang w:eastAsia="zh-CN"/>
        </w:rPr>
      </w:pPr>
      <w:r w:rsidRPr="00353D9D">
        <w:rPr>
          <w:rFonts w:ascii="Times New Roman" w:eastAsia="SimSun" w:hAnsi="Times New Roman"/>
          <w:snapToGrid/>
          <w:lang w:eastAsia="zh-CN"/>
        </w:rPr>
        <w:t xml:space="preserve">SSA is not requesting an exception to the certification requirements at </w:t>
      </w:r>
      <w:r w:rsidRPr="00584EA2">
        <w:rPr>
          <w:rFonts w:ascii="Times New Roman" w:eastAsia="SimSun" w:hAnsi="Times New Roman"/>
          <w:i/>
          <w:snapToGrid/>
          <w:lang w:eastAsia="zh-CN"/>
        </w:rPr>
        <w:t xml:space="preserve">5 CFR 1320.9 </w:t>
      </w:r>
      <w:r w:rsidRPr="00353D9D">
        <w:rPr>
          <w:rFonts w:ascii="Times New Roman" w:eastAsia="SimSun" w:hAnsi="Times New Roman"/>
          <w:snapToGrid/>
          <w:lang w:eastAsia="zh-CN"/>
        </w:rPr>
        <w:t xml:space="preserve">and related provisions at </w:t>
      </w:r>
      <w:r w:rsidRPr="00584EA2">
        <w:rPr>
          <w:rFonts w:ascii="Times New Roman" w:eastAsia="SimSun" w:hAnsi="Times New Roman"/>
          <w:i/>
          <w:snapToGrid/>
          <w:lang w:eastAsia="zh-CN"/>
        </w:rPr>
        <w:t>5 CFR 1320.8(b)(3)</w:t>
      </w:r>
      <w:r w:rsidRPr="00353D9D">
        <w:rPr>
          <w:rFonts w:ascii="Times New Roman" w:eastAsia="SimSun" w:hAnsi="Times New Roman"/>
          <w:snapToGrid/>
          <w:lang w:eastAsia="zh-CN"/>
        </w:rPr>
        <w:t>.</w:t>
      </w:r>
    </w:p>
    <w:p w:rsidR="00A45D82" w:rsidRPr="00BC7F42" w:rsidP="00A45D82" w14:paraId="015E8787" w14:textId="77777777">
      <w:pPr>
        <w:rPr>
          <w:rFonts w:ascii="Times New Roman" w:hAnsi="Times New Roman"/>
        </w:rPr>
      </w:pPr>
    </w:p>
    <w:p w:rsidR="00A45D82" w:rsidP="009A5800" w14:paraId="22820463" w14:textId="77777777">
      <w:pPr>
        <w:ind w:left="720" w:hanging="540"/>
        <w:rPr>
          <w:rFonts w:ascii="Times New Roman" w:hAnsi="Times New Roman"/>
          <w:b/>
          <w:u w:val="single"/>
        </w:rPr>
      </w:pPr>
      <w:r w:rsidRPr="0041131C">
        <w:rPr>
          <w:rFonts w:ascii="Times New Roman" w:hAnsi="Times New Roman"/>
          <w:b/>
        </w:rPr>
        <w:t xml:space="preserve">B. </w:t>
      </w:r>
      <w:r w:rsidR="0009094A">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4A3A2F" w:rsidP="00A45D82" w14:paraId="70EF023C" w14:textId="77777777">
      <w:pPr>
        <w:rPr>
          <w:rFonts w:ascii="Times New Roman" w:hAnsi="Times New Roman"/>
          <w:b/>
          <w:u w:val="single"/>
        </w:rPr>
      </w:pPr>
    </w:p>
    <w:p w:rsidR="00A45D82" w:rsidRPr="0009094A" w:rsidP="009A5800" w14:paraId="1C35ACF3" w14:textId="77777777">
      <w:pPr>
        <w:widowControl/>
        <w:ind w:left="1440"/>
        <w:rPr>
          <w:rFonts w:ascii="Times New Roman" w:eastAsia="SimSun" w:hAnsi="Times New Roman"/>
          <w:snapToGrid/>
          <w:lang w:eastAsia="zh-CN"/>
        </w:rPr>
      </w:pPr>
      <w:r w:rsidRPr="00353D9D">
        <w:rPr>
          <w:rFonts w:ascii="Times New Roman" w:eastAsia="SimSun" w:hAnsi="Times New Roman"/>
          <w:snapToGrid/>
          <w:lang w:eastAsia="zh-CN"/>
        </w:rPr>
        <w:t>SSA does not use statistical methods for this information collection.</w:t>
      </w:r>
    </w:p>
    <w:sectPr w:rsidSect="009A5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4631A7"/>
    <w:multiLevelType w:val="hybridMultilevel"/>
    <w:tmpl w:val="517ECA56"/>
    <w:lvl w:ilvl="0">
      <w:start w:val="1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602A3E"/>
    <w:multiLevelType w:val="hybridMultilevel"/>
    <w:tmpl w:val="AB964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F45D34"/>
    <w:multiLevelType w:val="hybridMultilevel"/>
    <w:tmpl w:val="A0CC2F1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0E7633"/>
    <w:multiLevelType w:val="hybridMultilevel"/>
    <w:tmpl w:val="3F28754C"/>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4B1E30"/>
    <w:multiLevelType w:val="hybridMultilevel"/>
    <w:tmpl w:val="929E5D74"/>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3">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7">
    <w:nsid w:val="330C0BA9"/>
    <w:multiLevelType w:val="hybridMultilevel"/>
    <w:tmpl w:val="0F9ACA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7421940"/>
    <w:multiLevelType w:val="hybridMultilevel"/>
    <w:tmpl w:val="BE568B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40C33D13"/>
    <w:multiLevelType w:val="hybridMultilevel"/>
    <w:tmpl w:val="6D9438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41837325"/>
    <w:multiLevelType w:val="hybridMultilevel"/>
    <w:tmpl w:val="63F67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43985EE9"/>
    <w:multiLevelType w:val="hybridMultilevel"/>
    <w:tmpl w:val="B1628A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46DB132C"/>
    <w:multiLevelType w:val="hybridMultilevel"/>
    <w:tmpl w:val="439E855C"/>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7">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785F9C"/>
    <w:multiLevelType w:val="hybridMultilevel"/>
    <w:tmpl w:val="3A08A6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D101D77"/>
    <w:multiLevelType w:val="hybridMultilevel"/>
    <w:tmpl w:val="21E6E07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2">
    <w:nsid w:val="5DA832D9"/>
    <w:multiLevelType w:val="hybridMultilevel"/>
    <w:tmpl w:val="F2E49E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4">
    <w:nsid w:val="616F329C"/>
    <w:multiLevelType w:val="hybridMultilevel"/>
    <w:tmpl w:val="C80287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6">
    <w:nsid w:val="63C9722E"/>
    <w:multiLevelType w:val="hybridMultilevel"/>
    <w:tmpl w:val="427013D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67CE2404"/>
    <w:multiLevelType w:val="hybridMultilevel"/>
    <w:tmpl w:val="EDA45C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735608D6"/>
    <w:multiLevelType w:val="hybridMultilevel"/>
    <w:tmpl w:val="501826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3">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6E50D95"/>
    <w:multiLevelType w:val="hybridMultilevel"/>
    <w:tmpl w:val="9BD6E22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5">
    <w:nsid w:val="76EF0A82"/>
    <w:multiLevelType w:val="hybridMultilevel"/>
    <w:tmpl w:val="7F3EE3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6">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7">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48">
    <w:nsid w:val="7B802170"/>
    <w:multiLevelType w:val="hybridMultilevel"/>
    <w:tmpl w:val="02DE369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16cid:durableId="1851675588">
    <w:abstractNumId w:val="14"/>
  </w:num>
  <w:num w:numId="2" w16cid:durableId="738332307">
    <w:abstractNumId w:val="27"/>
  </w:num>
  <w:num w:numId="3" w16cid:durableId="574246612">
    <w:abstractNumId w:val="3"/>
  </w:num>
  <w:num w:numId="4" w16cid:durableId="1961841596">
    <w:abstractNumId w:val="19"/>
  </w:num>
  <w:num w:numId="5" w16cid:durableId="1848249594">
    <w:abstractNumId w:val="43"/>
  </w:num>
  <w:num w:numId="6" w16cid:durableId="1055855569">
    <w:abstractNumId w:val="7"/>
  </w:num>
  <w:num w:numId="7" w16cid:durableId="854341582">
    <w:abstractNumId w:val="29"/>
  </w:num>
  <w:num w:numId="8" w16cid:durableId="238953636">
    <w:abstractNumId w:val="35"/>
  </w:num>
  <w:num w:numId="9" w16cid:durableId="2027826676">
    <w:abstractNumId w:val="41"/>
  </w:num>
  <w:num w:numId="10" w16cid:durableId="321004562">
    <w:abstractNumId w:val="4"/>
  </w:num>
  <w:num w:numId="11" w16cid:durableId="772017745">
    <w:abstractNumId w:val="2"/>
  </w:num>
  <w:num w:numId="12" w16cid:durableId="545682839">
    <w:abstractNumId w:val="15"/>
  </w:num>
  <w:num w:numId="13" w16cid:durableId="640772522">
    <w:abstractNumId w:val="20"/>
  </w:num>
  <w:num w:numId="14" w16cid:durableId="1262567142">
    <w:abstractNumId w:val="47"/>
  </w:num>
  <w:num w:numId="15" w16cid:durableId="467406852">
    <w:abstractNumId w:val="10"/>
  </w:num>
  <w:num w:numId="16" w16cid:durableId="261574778">
    <w:abstractNumId w:val="13"/>
  </w:num>
  <w:num w:numId="17" w16cid:durableId="24841486">
    <w:abstractNumId w:val="33"/>
  </w:num>
  <w:num w:numId="18" w16cid:durableId="1839074771">
    <w:abstractNumId w:val="6"/>
  </w:num>
  <w:num w:numId="19" w16cid:durableId="1930888243">
    <w:abstractNumId w:val="5"/>
  </w:num>
  <w:num w:numId="20" w16cid:durableId="734936810">
    <w:abstractNumId w:val="46"/>
  </w:num>
  <w:num w:numId="21" w16cid:durableId="2105220809">
    <w:abstractNumId w:val="16"/>
  </w:num>
  <w:num w:numId="22" w16cid:durableId="1181239632">
    <w:abstractNumId w:val="0"/>
    <w:lvlOverride w:ilvl="0">
      <w:lvl w:ilvl="0">
        <w:start w:val="0"/>
        <w:numFmt w:val="bullet"/>
        <w:lvlText w:val=""/>
        <w:legacy w:legacy="1" w:legacySpace="0" w:legacyIndent="360"/>
        <w:lvlJc w:val="left"/>
        <w:rPr>
          <w:rFonts w:ascii="Symbol" w:hAnsi="Symbol" w:hint="default"/>
        </w:rPr>
      </w:lvl>
    </w:lvlOverride>
  </w:num>
  <w:num w:numId="23" w16cid:durableId="496844800">
    <w:abstractNumId w:val="40"/>
  </w:num>
  <w:num w:numId="24" w16cid:durableId="458256279">
    <w:abstractNumId w:val="38"/>
  </w:num>
  <w:num w:numId="25" w16cid:durableId="695817263">
    <w:abstractNumId w:val="24"/>
  </w:num>
  <w:num w:numId="26" w16cid:durableId="659651478">
    <w:abstractNumId w:val="21"/>
  </w:num>
  <w:num w:numId="27" w16cid:durableId="1524896975">
    <w:abstractNumId w:val="42"/>
  </w:num>
  <w:num w:numId="28" w16cid:durableId="1709572098">
    <w:abstractNumId w:val="31"/>
  </w:num>
  <w:num w:numId="29" w16cid:durableId="1988314406">
    <w:abstractNumId w:val="28"/>
  </w:num>
  <w:num w:numId="30" w16cid:durableId="1402560381">
    <w:abstractNumId w:val="39"/>
  </w:num>
  <w:num w:numId="31" w16cid:durableId="1688944402">
    <w:abstractNumId w:val="37"/>
  </w:num>
  <w:num w:numId="32" w16cid:durableId="1892382215">
    <w:abstractNumId w:val="12"/>
  </w:num>
  <w:num w:numId="33" w16cid:durableId="1793471699">
    <w:abstractNumId w:val="26"/>
  </w:num>
  <w:num w:numId="34" w16cid:durableId="988165730">
    <w:abstractNumId w:val="34"/>
  </w:num>
  <w:num w:numId="35" w16cid:durableId="482701270">
    <w:abstractNumId w:val="48"/>
  </w:num>
  <w:num w:numId="36" w16cid:durableId="2109807451">
    <w:abstractNumId w:val="44"/>
  </w:num>
  <w:num w:numId="37" w16cid:durableId="2060979411">
    <w:abstractNumId w:val="18"/>
  </w:num>
  <w:num w:numId="38" w16cid:durableId="332416973">
    <w:abstractNumId w:val="36"/>
  </w:num>
  <w:num w:numId="39" w16cid:durableId="1972128656">
    <w:abstractNumId w:val="9"/>
  </w:num>
  <w:num w:numId="40" w16cid:durableId="2050373245">
    <w:abstractNumId w:val="30"/>
  </w:num>
  <w:num w:numId="41" w16cid:durableId="87583894">
    <w:abstractNumId w:val="23"/>
  </w:num>
  <w:num w:numId="42" w16cid:durableId="1120612527">
    <w:abstractNumId w:val="8"/>
  </w:num>
  <w:num w:numId="43" w16cid:durableId="938803337">
    <w:abstractNumId w:val="1"/>
  </w:num>
  <w:num w:numId="44" w16cid:durableId="597443775">
    <w:abstractNumId w:val="11"/>
  </w:num>
  <w:num w:numId="45" w16cid:durableId="1190991648">
    <w:abstractNumId w:val="45"/>
  </w:num>
  <w:num w:numId="46" w16cid:durableId="38238916">
    <w:abstractNumId w:val="25"/>
  </w:num>
  <w:num w:numId="47" w16cid:durableId="1229075665">
    <w:abstractNumId w:val="32"/>
  </w:num>
  <w:num w:numId="48" w16cid:durableId="1444226674">
    <w:abstractNumId w:val="17"/>
  </w:num>
  <w:num w:numId="49" w16cid:durableId="3516915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82"/>
    <w:rsid w:val="000222A7"/>
    <w:rsid w:val="00025216"/>
    <w:rsid w:val="00025D75"/>
    <w:rsid w:val="0002677F"/>
    <w:rsid w:val="00035255"/>
    <w:rsid w:val="0005280A"/>
    <w:rsid w:val="00057C29"/>
    <w:rsid w:val="00063A05"/>
    <w:rsid w:val="0006715D"/>
    <w:rsid w:val="0007189E"/>
    <w:rsid w:val="00077720"/>
    <w:rsid w:val="00077E0E"/>
    <w:rsid w:val="00085B9D"/>
    <w:rsid w:val="00086E84"/>
    <w:rsid w:val="0009094A"/>
    <w:rsid w:val="000958AA"/>
    <w:rsid w:val="000A6AE3"/>
    <w:rsid w:val="000B1533"/>
    <w:rsid w:val="000B1980"/>
    <w:rsid w:val="000B2B68"/>
    <w:rsid w:val="000B3B12"/>
    <w:rsid w:val="000C107E"/>
    <w:rsid w:val="000C151C"/>
    <w:rsid w:val="000C1D18"/>
    <w:rsid w:val="000C5DF5"/>
    <w:rsid w:val="000D1789"/>
    <w:rsid w:val="000D5F5C"/>
    <w:rsid w:val="000E467E"/>
    <w:rsid w:val="00111264"/>
    <w:rsid w:val="00121032"/>
    <w:rsid w:val="00122EE2"/>
    <w:rsid w:val="00126027"/>
    <w:rsid w:val="00127980"/>
    <w:rsid w:val="00133BA8"/>
    <w:rsid w:val="00134FA1"/>
    <w:rsid w:val="00136710"/>
    <w:rsid w:val="00146275"/>
    <w:rsid w:val="00154BEA"/>
    <w:rsid w:val="0015576E"/>
    <w:rsid w:val="001560FC"/>
    <w:rsid w:val="0016591F"/>
    <w:rsid w:val="001874CC"/>
    <w:rsid w:val="00192897"/>
    <w:rsid w:val="001A3317"/>
    <w:rsid w:val="001A5CCE"/>
    <w:rsid w:val="001A65F9"/>
    <w:rsid w:val="001B4541"/>
    <w:rsid w:val="001B7CF4"/>
    <w:rsid w:val="001C0AB4"/>
    <w:rsid w:val="001C6D3A"/>
    <w:rsid w:val="001D0B21"/>
    <w:rsid w:val="001D35E5"/>
    <w:rsid w:val="001D4A33"/>
    <w:rsid w:val="001E1076"/>
    <w:rsid w:val="001E4316"/>
    <w:rsid w:val="001F396F"/>
    <w:rsid w:val="00202C06"/>
    <w:rsid w:val="002069F4"/>
    <w:rsid w:val="00206ACB"/>
    <w:rsid w:val="002321B0"/>
    <w:rsid w:val="00245CEC"/>
    <w:rsid w:val="00246836"/>
    <w:rsid w:val="0025563E"/>
    <w:rsid w:val="0026052B"/>
    <w:rsid w:val="00276AAF"/>
    <w:rsid w:val="002801F8"/>
    <w:rsid w:val="002A4C30"/>
    <w:rsid w:val="002B0820"/>
    <w:rsid w:val="002B23AF"/>
    <w:rsid w:val="002B5578"/>
    <w:rsid w:val="002C4429"/>
    <w:rsid w:val="002D3660"/>
    <w:rsid w:val="002E18CF"/>
    <w:rsid w:val="002E335E"/>
    <w:rsid w:val="002F1C11"/>
    <w:rsid w:val="002F4DA7"/>
    <w:rsid w:val="00302545"/>
    <w:rsid w:val="00312A52"/>
    <w:rsid w:val="003176E1"/>
    <w:rsid w:val="00331821"/>
    <w:rsid w:val="00333D3D"/>
    <w:rsid w:val="003465DC"/>
    <w:rsid w:val="003469CA"/>
    <w:rsid w:val="00353D9D"/>
    <w:rsid w:val="003562F8"/>
    <w:rsid w:val="00356CE6"/>
    <w:rsid w:val="0036696D"/>
    <w:rsid w:val="0038050B"/>
    <w:rsid w:val="003A5A3C"/>
    <w:rsid w:val="003A5D82"/>
    <w:rsid w:val="003B15EC"/>
    <w:rsid w:val="003B30B4"/>
    <w:rsid w:val="003C10BD"/>
    <w:rsid w:val="003E145C"/>
    <w:rsid w:val="00405548"/>
    <w:rsid w:val="00406453"/>
    <w:rsid w:val="0041131C"/>
    <w:rsid w:val="004317CB"/>
    <w:rsid w:val="00447910"/>
    <w:rsid w:val="00447EE9"/>
    <w:rsid w:val="0045065A"/>
    <w:rsid w:val="004509AD"/>
    <w:rsid w:val="00475350"/>
    <w:rsid w:val="0047588F"/>
    <w:rsid w:val="00481B44"/>
    <w:rsid w:val="00484662"/>
    <w:rsid w:val="004915B5"/>
    <w:rsid w:val="00497D4B"/>
    <w:rsid w:val="004A1FFA"/>
    <w:rsid w:val="004A3A2F"/>
    <w:rsid w:val="004B077A"/>
    <w:rsid w:val="004B7AC1"/>
    <w:rsid w:val="004D7591"/>
    <w:rsid w:val="004E146D"/>
    <w:rsid w:val="0050197F"/>
    <w:rsid w:val="005040EC"/>
    <w:rsid w:val="00506486"/>
    <w:rsid w:val="005459D1"/>
    <w:rsid w:val="0055329C"/>
    <w:rsid w:val="0056163C"/>
    <w:rsid w:val="005721D4"/>
    <w:rsid w:val="005737BD"/>
    <w:rsid w:val="00584EA2"/>
    <w:rsid w:val="00593A36"/>
    <w:rsid w:val="00594CB3"/>
    <w:rsid w:val="005A1198"/>
    <w:rsid w:val="005B15E5"/>
    <w:rsid w:val="005C2C39"/>
    <w:rsid w:val="005D06AF"/>
    <w:rsid w:val="005D4107"/>
    <w:rsid w:val="005E4E45"/>
    <w:rsid w:val="005F208A"/>
    <w:rsid w:val="006002DD"/>
    <w:rsid w:val="006013A3"/>
    <w:rsid w:val="006160ED"/>
    <w:rsid w:val="00626C22"/>
    <w:rsid w:val="0062762E"/>
    <w:rsid w:val="00631F1B"/>
    <w:rsid w:val="0063304D"/>
    <w:rsid w:val="00637AF5"/>
    <w:rsid w:val="00640A26"/>
    <w:rsid w:val="00646827"/>
    <w:rsid w:val="00654D96"/>
    <w:rsid w:val="00663881"/>
    <w:rsid w:val="00664553"/>
    <w:rsid w:val="006806E1"/>
    <w:rsid w:val="0069667B"/>
    <w:rsid w:val="006B173F"/>
    <w:rsid w:val="006B17EF"/>
    <w:rsid w:val="006B297F"/>
    <w:rsid w:val="006C1054"/>
    <w:rsid w:val="006C50DD"/>
    <w:rsid w:val="006C7B2A"/>
    <w:rsid w:val="006D23DB"/>
    <w:rsid w:val="006D5AA9"/>
    <w:rsid w:val="006F00D1"/>
    <w:rsid w:val="006F123B"/>
    <w:rsid w:val="006F2B8B"/>
    <w:rsid w:val="006F4D0F"/>
    <w:rsid w:val="0070479A"/>
    <w:rsid w:val="00706238"/>
    <w:rsid w:val="00712F1B"/>
    <w:rsid w:val="0071437B"/>
    <w:rsid w:val="00717673"/>
    <w:rsid w:val="007245C9"/>
    <w:rsid w:val="007256B3"/>
    <w:rsid w:val="00742B56"/>
    <w:rsid w:val="00745462"/>
    <w:rsid w:val="007456E8"/>
    <w:rsid w:val="00772750"/>
    <w:rsid w:val="00772FFF"/>
    <w:rsid w:val="00775C8A"/>
    <w:rsid w:val="007763FF"/>
    <w:rsid w:val="00786BCA"/>
    <w:rsid w:val="00795BAB"/>
    <w:rsid w:val="007A08D1"/>
    <w:rsid w:val="007A2DEE"/>
    <w:rsid w:val="007B007C"/>
    <w:rsid w:val="007C0AD0"/>
    <w:rsid w:val="007D061D"/>
    <w:rsid w:val="007D22EB"/>
    <w:rsid w:val="007E17BD"/>
    <w:rsid w:val="007F5269"/>
    <w:rsid w:val="007F7502"/>
    <w:rsid w:val="008068FA"/>
    <w:rsid w:val="00806984"/>
    <w:rsid w:val="00810485"/>
    <w:rsid w:val="00814772"/>
    <w:rsid w:val="00824D72"/>
    <w:rsid w:val="00825B97"/>
    <w:rsid w:val="0084775D"/>
    <w:rsid w:val="0086463A"/>
    <w:rsid w:val="008754ED"/>
    <w:rsid w:val="00891CA8"/>
    <w:rsid w:val="00892E12"/>
    <w:rsid w:val="008A17C5"/>
    <w:rsid w:val="008B0174"/>
    <w:rsid w:val="008B6774"/>
    <w:rsid w:val="008D158E"/>
    <w:rsid w:val="008D5701"/>
    <w:rsid w:val="008E3A3A"/>
    <w:rsid w:val="00906892"/>
    <w:rsid w:val="009252AB"/>
    <w:rsid w:val="00945B8F"/>
    <w:rsid w:val="00951258"/>
    <w:rsid w:val="00952C5B"/>
    <w:rsid w:val="00955EC4"/>
    <w:rsid w:val="0096783A"/>
    <w:rsid w:val="009748B6"/>
    <w:rsid w:val="00975DD8"/>
    <w:rsid w:val="00981D92"/>
    <w:rsid w:val="00986482"/>
    <w:rsid w:val="009947FC"/>
    <w:rsid w:val="009A0B16"/>
    <w:rsid w:val="009A5800"/>
    <w:rsid w:val="009B4B6D"/>
    <w:rsid w:val="009D015F"/>
    <w:rsid w:val="009E3C50"/>
    <w:rsid w:val="009F23D6"/>
    <w:rsid w:val="009F7BB3"/>
    <w:rsid w:val="00A10249"/>
    <w:rsid w:val="00A337E4"/>
    <w:rsid w:val="00A33C65"/>
    <w:rsid w:val="00A34222"/>
    <w:rsid w:val="00A45D82"/>
    <w:rsid w:val="00A651A7"/>
    <w:rsid w:val="00A67D76"/>
    <w:rsid w:val="00A706B8"/>
    <w:rsid w:val="00A84BAF"/>
    <w:rsid w:val="00A97211"/>
    <w:rsid w:val="00AA06A4"/>
    <w:rsid w:val="00AA0858"/>
    <w:rsid w:val="00AA0C27"/>
    <w:rsid w:val="00AA45BA"/>
    <w:rsid w:val="00AB0CA7"/>
    <w:rsid w:val="00AB4A93"/>
    <w:rsid w:val="00AB5CEB"/>
    <w:rsid w:val="00AC2328"/>
    <w:rsid w:val="00AC39FD"/>
    <w:rsid w:val="00AD0977"/>
    <w:rsid w:val="00AD1A73"/>
    <w:rsid w:val="00AD28C7"/>
    <w:rsid w:val="00AE0527"/>
    <w:rsid w:val="00AF2980"/>
    <w:rsid w:val="00AF3BEA"/>
    <w:rsid w:val="00B007C5"/>
    <w:rsid w:val="00B01D57"/>
    <w:rsid w:val="00B17D77"/>
    <w:rsid w:val="00B20B17"/>
    <w:rsid w:val="00B400F8"/>
    <w:rsid w:val="00B56DF3"/>
    <w:rsid w:val="00B629B0"/>
    <w:rsid w:val="00B741F6"/>
    <w:rsid w:val="00B8781F"/>
    <w:rsid w:val="00B92550"/>
    <w:rsid w:val="00BA1653"/>
    <w:rsid w:val="00BA401A"/>
    <w:rsid w:val="00BA5EFF"/>
    <w:rsid w:val="00BC5531"/>
    <w:rsid w:val="00BC6112"/>
    <w:rsid w:val="00BC7F42"/>
    <w:rsid w:val="00BF026F"/>
    <w:rsid w:val="00BF7EA9"/>
    <w:rsid w:val="00C0290B"/>
    <w:rsid w:val="00C22097"/>
    <w:rsid w:val="00C25FDC"/>
    <w:rsid w:val="00C34A91"/>
    <w:rsid w:val="00C377BC"/>
    <w:rsid w:val="00C5104E"/>
    <w:rsid w:val="00C60E61"/>
    <w:rsid w:val="00C63821"/>
    <w:rsid w:val="00C67C8A"/>
    <w:rsid w:val="00C67F83"/>
    <w:rsid w:val="00C71955"/>
    <w:rsid w:val="00C941E2"/>
    <w:rsid w:val="00C97964"/>
    <w:rsid w:val="00CA0B15"/>
    <w:rsid w:val="00CA5F75"/>
    <w:rsid w:val="00CA6CAE"/>
    <w:rsid w:val="00CB7253"/>
    <w:rsid w:val="00CB7557"/>
    <w:rsid w:val="00CD07B4"/>
    <w:rsid w:val="00CD1567"/>
    <w:rsid w:val="00CD667A"/>
    <w:rsid w:val="00CE23C1"/>
    <w:rsid w:val="00D0011E"/>
    <w:rsid w:val="00D00FA1"/>
    <w:rsid w:val="00D03E8A"/>
    <w:rsid w:val="00D0531A"/>
    <w:rsid w:val="00D42EFE"/>
    <w:rsid w:val="00D44900"/>
    <w:rsid w:val="00D51947"/>
    <w:rsid w:val="00D5531A"/>
    <w:rsid w:val="00D678F8"/>
    <w:rsid w:val="00D9381C"/>
    <w:rsid w:val="00DA0351"/>
    <w:rsid w:val="00DA1E7D"/>
    <w:rsid w:val="00DB056B"/>
    <w:rsid w:val="00DB19AB"/>
    <w:rsid w:val="00DB1DB4"/>
    <w:rsid w:val="00DC19E2"/>
    <w:rsid w:val="00DD494D"/>
    <w:rsid w:val="00DD644F"/>
    <w:rsid w:val="00DE2B73"/>
    <w:rsid w:val="00DE6186"/>
    <w:rsid w:val="00DE688E"/>
    <w:rsid w:val="00DF6192"/>
    <w:rsid w:val="00E0137B"/>
    <w:rsid w:val="00E065DA"/>
    <w:rsid w:val="00E06CCA"/>
    <w:rsid w:val="00E07B6C"/>
    <w:rsid w:val="00E3164F"/>
    <w:rsid w:val="00E437C5"/>
    <w:rsid w:val="00E52F68"/>
    <w:rsid w:val="00E75DB0"/>
    <w:rsid w:val="00E80456"/>
    <w:rsid w:val="00E956F3"/>
    <w:rsid w:val="00EA6CD1"/>
    <w:rsid w:val="00EC7EFD"/>
    <w:rsid w:val="00ED36D8"/>
    <w:rsid w:val="00EE6086"/>
    <w:rsid w:val="00EF4071"/>
    <w:rsid w:val="00EF765F"/>
    <w:rsid w:val="00F028DE"/>
    <w:rsid w:val="00F04A7C"/>
    <w:rsid w:val="00F0585C"/>
    <w:rsid w:val="00F107B7"/>
    <w:rsid w:val="00F10CA4"/>
    <w:rsid w:val="00F11F57"/>
    <w:rsid w:val="00F13928"/>
    <w:rsid w:val="00F14BA8"/>
    <w:rsid w:val="00F15EF8"/>
    <w:rsid w:val="00F36E53"/>
    <w:rsid w:val="00F4316C"/>
    <w:rsid w:val="00F46176"/>
    <w:rsid w:val="00F5149E"/>
    <w:rsid w:val="00F56A74"/>
    <w:rsid w:val="00F57AD9"/>
    <w:rsid w:val="00F832E5"/>
    <w:rsid w:val="00F870A3"/>
    <w:rsid w:val="00F91762"/>
    <w:rsid w:val="00F91DFA"/>
    <w:rsid w:val="00F9405B"/>
    <w:rsid w:val="00FA0FE2"/>
    <w:rsid w:val="00FA2F75"/>
    <w:rsid w:val="00FA34E8"/>
    <w:rsid w:val="00FA7D4E"/>
    <w:rsid w:val="00FB5CDC"/>
    <w:rsid w:val="00FC5EAE"/>
    <w:rsid w:val="00FD4027"/>
    <w:rsid w:val="00FD549D"/>
    <w:rsid w:val="00FD6374"/>
    <w:rsid w:val="00FD6C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33CAD6"/>
  <w15:chartTrackingRefBased/>
  <w15:docId w15:val="{34D07B8D-F70A-4754-8E08-D6D344FF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uiPriority w:val="99"/>
    <w:semiHidden/>
    <w:rsid w:val="002B0820"/>
    <w:rPr>
      <w:sz w:val="16"/>
      <w:szCs w:val="16"/>
    </w:rPr>
  </w:style>
  <w:style w:type="paragraph" w:styleId="CommentText">
    <w:name w:val="annotation text"/>
    <w:basedOn w:val="Normal"/>
    <w:link w:val="CommentTextChar"/>
    <w:uiPriority w:val="99"/>
    <w:rsid w:val="002B0820"/>
    <w:rPr>
      <w:sz w:val="20"/>
      <w:szCs w:val="20"/>
    </w:rPr>
  </w:style>
  <w:style w:type="paragraph" w:styleId="CommentSubject">
    <w:name w:val="annotation subject"/>
    <w:basedOn w:val="CommentText"/>
    <w:next w:val="CommentText"/>
    <w:semiHidden/>
    <w:rsid w:val="002B0820"/>
    <w:rPr>
      <w:b/>
      <w:bCs/>
    </w:rPr>
  </w:style>
  <w:style w:type="paragraph" w:styleId="Revision">
    <w:name w:val="Revision"/>
    <w:hidden/>
    <w:uiPriority w:val="99"/>
    <w:semiHidden/>
    <w:rsid w:val="00786BCA"/>
    <w:rPr>
      <w:rFonts w:ascii="Courier" w:eastAsia="Times New Roman" w:hAnsi="Courier"/>
      <w:snapToGrid w:val="0"/>
      <w:sz w:val="24"/>
      <w:szCs w:val="24"/>
    </w:rPr>
  </w:style>
  <w:style w:type="character" w:customStyle="1" w:styleId="CommentTextChar">
    <w:name w:val="Comment Text Char"/>
    <w:basedOn w:val="DefaultParagraphFont"/>
    <w:link w:val="CommentText"/>
    <w:uiPriority w:val="99"/>
    <w:rsid w:val="00A10249"/>
    <w:rPr>
      <w:rFonts w:ascii="Courier" w:eastAsia="Times New Roman"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C0D2C-CE1E-4A9C-9435-214AD824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2366</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Naomi Sipple</cp:lastModifiedBy>
  <cp:revision>4</cp:revision>
  <dcterms:created xsi:type="dcterms:W3CDTF">2024-12-13T19:10:00Z</dcterms:created>
  <dcterms:modified xsi:type="dcterms:W3CDTF">2024-12-16T19:59:00Z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