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2D2824CA" w14:textId="5E2971C9">
      <w:pPr>
        <w:pStyle w:val="ReportCover-Title"/>
        <w:jc w:val="center"/>
        <w:rPr>
          <w:rFonts w:ascii="Arial" w:hAnsi="Arial" w:cs="Arial"/>
          <w:color w:val="auto"/>
        </w:rPr>
      </w:pPr>
      <w:r>
        <w:rPr>
          <w:rFonts w:ascii="Arial" w:eastAsia="Arial Unicode MS" w:hAnsi="Arial" w:cs="Arial"/>
          <w:noProof/>
          <w:color w:val="auto"/>
        </w:rPr>
        <w:t>U</w:t>
      </w:r>
      <w:r w:rsidR="00C47999">
        <w:rPr>
          <w:rFonts w:ascii="Arial" w:eastAsia="Arial Unicode MS" w:hAnsi="Arial" w:cs="Arial"/>
          <w:noProof/>
          <w:color w:val="auto"/>
        </w:rPr>
        <w:t xml:space="preserve">naccompanied </w:t>
      </w:r>
      <w:r>
        <w:rPr>
          <w:rFonts w:ascii="Arial" w:eastAsia="Arial Unicode MS" w:hAnsi="Arial" w:cs="Arial"/>
          <w:noProof/>
          <w:color w:val="auto"/>
        </w:rPr>
        <w:t>C</w:t>
      </w:r>
      <w:r w:rsidR="00C47999">
        <w:rPr>
          <w:rFonts w:ascii="Arial" w:eastAsia="Arial Unicode MS" w:hAnsi="Arial" w:cs="Arial"/>
          <w:noProof/>
          <w:color w:val="auto"/>
        </w:rPr>
        <w:t>hildren Program Care Providers</w:t>
      </w:r>
      <w:r>
        <w:rPr>
          <w:rFonts w:ascii="Arial" w:eastAsia="Arial Unicode MS" w:hAnsi="Arial" w:cs="Arial"/>
          <w:noProof/>
          <w:color w:val="auto"/>
        </w:rPr>
        <w:t xml:space="preserve"> Education Services Survey</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74656DCC">
      <w:pPr>
        <w:pStyle w:val="ReportCover-Date"/>
        <w:jc w:val="center"/>
        <w:rPr>
          <w:rFonts w:ascii="Arial" w:hAnsi="Arial" w:cs="Arial"/>
          <w:color w:val="auto"/>
        </w:rPr>
      </w:pPr>
      <w:r>
        <w:rPr>
          <w:rFonts w:ascii="Arial" w:hAnsi="Arial" w:cs="Arial"/>
          <w:color w:val="auto"/>
        </w:rPr>
        <w:t>May</w:t>
      </w:r>
      <w:r w:rsidRPr="4D3A5EA9">
        <w:rPr>
          <w:rFonts w:ascii="Arial" w:hAnsi="Arial" w:cs="Arial"/>
          <w:color w:val="auto"/>
        </w:rPr>
        <w:t xml:space="preserve"> </w:t>
      </w:r>
      <w:r w:rsidRPr="4D3A5EA9" w:rsidR="002F42CC">
        <w:rPr>
          <w:rFonts w:ascii="Arial" w:hAnsi="Arial" w:cs="Arial"/>
          <w:color w:val="auto"/>
        </w:rPr>
        <w:t>2024</w:t>
      </w:r>
    </w:p>
    <w:p w:rsidR="002C4F75" w:rsidRPr="002C4F75" w:rsidP="008F570D" w14:paraId="27DA3839" w14:textId="77777777">
      <w:pPr>
        <w:jc w:val="center"/>
        <w:rPr>
          <w:rFonts w:ascii="Arial" w:hAnsi="Arial" w:cs="Arial"/>
        </w:rPr>
      </w:pPr>
    </w:p>
    <w:p w:rsidR="00DB7510" w:rsidP="008F570D" w14:paraId="30EDDD23" w14:textId="77777777">
      <w:pPr>
        <w:jc w:val="center"/>
        <w:rPr>
          <w:rFonts w:ascii="Arial" w:hAnsi="Arial" w:cs="Arial"/>
        </w:rPr>
      </w:pPr>
    </w:p>
    <w:p w:rsidR="00DB7510" w:rsidP="008F570D" w14:paraId="05D7E850" w14:textId="77777777">
      <w:pPr>
        <w:jc w:val="center"/>
        <w:rPr>
          <w:rFonts w:ascii="Arial" w:hAnsi="Arial" w:cs="Arial"/>
        </w:rPr>
      </w:pPr>
    </w:p>
    <w:p w:rsidR="00DB7510" w:rsidP="008F570D" w14:paraId="2F7FD4E8" w14:textId="77777777">
      <w:pPr>
        <w:jc w:val="center"/>
        <w:rPr>
          <w:rFonts w:ascii="Arial" w:hAnsi="Arial" w:cs="Arial"/>
        </w:rPr>
      </w:pPr>
    </w:p>
    <w:p w:rsidR="00DB7510" w:rsidP="008F570D" w14:paraId="5EDC68AC" w14:textId="77777777">
      <w:pPr>
        <w:jc w:val="center"/>
        <w:rPr>
          <w:rFonts w:ascii="Arial" w:hAnsi="Arial" w:cs="Arial"/>
        </w:rPr>
      </w:pPr>
    </w:p>
    <w:p w:rsidR="00DB7510" w:rsidP="008F570D" w14:paraId="015D96D1" w14:textId="77777777">
      <w:pPr>
        <w:jc w:val="center"/>
        <w:rPr>
          <w:rFonts w:ascii="Arial" w:hAnsi="Arial" w:cs="Arial"/>
        </w:rPr>
      </w:pPr>
    </w:p>
    <w:p w:rsidR="00DB7510" w:rsidP="008F570D" w14:paraId="18332B08" w14:textId="77777777">
      <w:pPr>
        <w:jc w:val="center"/>
        <w:rPr>
          <w:rFonts w:ascii="Arial" w:hAnsi="Arial" w:cs="Arial"/>
        </w:rPr>
      </w:pPr>
    </w:p>
    <w:p w:rsidR="00DB7510" w:rsidP="008F570D" w14:paraId="55A73457" w14:textId="77777777">
      <w:pPr>
        <w:jc w:val="center"/>
        <w:rPr>
          <w:rFonts w:ascii="Arial" w:hAnsi="Arial" w:cs="Arial"/>
        </w:rPr>
      </w:pPr>
    </w:p>
    <w:p w:rsidR="00DB7510" w:rsidP="008F570D" w14:paraId="483C7996" w14:textId="77777777">
      <w:pPr>
        <w:jc w:val="center"/>
        <w:rPr>
          <w:rFonts w:ascii="Arial" w:hAnsi="Arial" w:cs="Arial"/>
        </w:rPr>
      </w:pPr>
    </w:p>
    <w:p w:rsidR="00DB7510" w:rsidP="008F570D" w14:paraId="5A790511" w14:textId="77777777">
      <w:pPr>
        <w:jc w:val="center"/>
        <w:rPr>
          <w:rFonts w:ascii="Arial" w:hAnsi="Arial" w:cs="Arial"/>
        </w:rPr>
      </w:pPr>
    </w:p>
    <w:p w:rsidR="00DB7510" w:rsidP="008F570D" w14:paraId="554028F8" w14:textId="77777777">
      <w:pPr>
        <w:jc w:val="center"/>
        <w:rPr>
          <w:rFonts w:ascii="Arial" w:hAnsi="Arial" w:cs="Arial"/>
        </w:rPr>
      </w:pPr>
    </w:p>
    <w:p w:rsidR="002C4F75" w:rsidRPr="002C4F75" w:rsidP="008F570D" w14:paraId="79ABBAD2" w14:textId="1970996C">
      <w:pPr>
        <w:jc w:val="center"/>
        <w:rPr>
          <w:rFonts w:ascii="Arial" w:hAnsi="Arial" w:cs="Arial"/>
        </w:rPr>
      </w:pPr>
      <w:r w:rsidRPr="002C4F75">
        <w:rPr>
          <w:rFonts w:ascii="Arial" w:hAnsi="Arial" w:cs="Arial"/>
        </w:rPr>
        <w:t>Submitted By:</w:t>
      </w:r>
    </w:p>
    <w:p w:rsidR="002C4F75" w:rsidRPr="002C4F75" w:rsidP="008F570D" w14:paraId="4C2AFB81" w14:textId="3DE3A800">
      <w:pPr>
        <w:jc w:val="center"/>
        <w:rPr>
          <w:rFonts w:ascii="Arial" w:hAnsi="Arial" w:cs="Arial"/>
        </w:rPr>
      </w:pPr>
      <w:r>
        <w:rPr>
          <w:rFonts w:ascii="Arial" w:hAnsi="Arial" w:cs="Arial"/>
        </w:rPr>
        <w:t xml:space="preserve">Office of Refugee Resettlement, Unaccompanied Children Program </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531200B4">
      <w:pPr>
        <w:jc w:val="center"/>
        <w:rPr>
          <w:rFonts w:ascii="Arial" w:hAnsi="Arial" w:cs="Arial"/>
        </w:rPr>
      </w:pPr>
      <w:r>
        <w:rPr>
          <w:rFonts w:ascii="Arial" w:hAnsi="Arial" w:cs="Arial"/>
        </w:rPr>
        <w:t>5</w:t>
      </w:r>
      <w:r w:rsidRPr="002C4F75">
        <w:rPr>
          <w:rFonts w:ascii="Arial" w:hAnsi="Arial" w:cs="Arial"/>
          <w:vertAlign w:val="superscript"/>
        </w:rPr>
        <w:t>th</w:t>
      </w:r>
      <w:r w:rsidRPr="002C4F75">
        <w:rPr>
          <w:rFonts w:ascii="Arial" w:hAnsi="Arial" w:cs="Arial"/>
        </w:rPr>
        <w:t xml:space="preserve"> Floor, </w:t>
      </w:r>
      <w:r w:rsidR="00436F5E">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DB7510" w:rsidP="008F570D" w14:paraId="6B111763" w14:textId="77777777">
      <w:pPr>
        <w:spacing w:after="120"/>
        <w:rPr>
          <w:b/>
        </w:rPr>
      </w:pPr>
    </w:p>
    <w:p w:rsidR="00945CD6" w:rsidRPr="000D53DF" w:rsidP="008F570D" w14:paraId="63932BF7" w14:textId="728B74EA">
      <w:pPr>
        <w:spacing w:after="120"/>
        <w:rPr>
          <w:b/>
        </w:rPr>
      </w:pPr>
      <w:r w:rsidRPr="000D53DF">
        <w:rPr>
          <w:b/>
        </w:rPr>
        <w:t xml:space="preserve">A1. </w:t>
      </w:r>
      <w:r w:rsidRPr="000D53DF">
        <w:rPr>
          <w:b/>
        </w:rPr>
        <w:t>Necessity for the Data Collection</w:t>
      </w:r>
    </w:p>
    <w:p w:rsidR="00984CA2" w:rsidRPr="00CD5448" w:rsidP="00C972F8" w14:paraId="516D2FC4" w14:textId="26AEC7DC">
      <w:pPr>
        <w:jc w:val="both"/>
      </w:pPr>
      <w:r>
        <w:t>The Administration for Children and Families (ACF) at the U.S. Department of Health and Human Services (HHS) seeks approval</w:t>
      </w:r>
      <w:r w:rsidR="00C47999">
        <w:t xml:space="preserve"> to</w:t>
      </w:r>
      <w:r w:rsidR="002F42CC">
        <w:t xml:space="preserve"> collect information about current education programming across the </w:t>
      </w:r>
      <w:r w:rsidR="00C47999">
        <w:t xml:space="preserve">Office of Refugee Resettlement (ORR) </w:t>
      </w:r>
      <w:r w:rsidR="002F42CC">
        <w:t xml:space="preserve">Unaccompanied Children (UC) Program. </w:t>
      </w:r>
      <w:r w:rsidR="001C79D7">
        <w:t xml:space="preserve">This information will be fundamental to </w:t>
      </w:r>
      <w:r w:rsidR="00CD5448">
        <w:t xml:space="preserve">informing efforts to </w:t>
      </w:r>
      <w:r w:rsidR="1664E395">
        <w:t>refin</w:t>
      </w:r>
      <w:r w:rsidR="00CD5448">
        <w:t>e</w:t>
      </w:r>
      <w:r w:rsidR="008207AA">
        <w:t xml:space="preserve"> UC Program </w:t>
      </w:r>
      <w:r w:rsidR="007B442C">
        <w:t xml:space="preserve">guidance and procedures </w:t>
      </w:r>
      <w:r w:rsidR="3799159C">
        <w:t>to ensure</w:t>
      </w:r>
      <w:r w:rsidR="008207AA">
        <w:t xml:space="preserve"> </w:t>
      </w:r>
      <w:r w:rsidR="00DB3B83">
        <w:t>deliver</w:t>
      </w:r>
      <w:r w:rsidR="4A156E0E">
        <w:t>y of</w:t>
      </w:r>
      <w:r w:rsidR="00DB3B83">
        <w:t xml:space="preserve"> </w:t>
      </w:r>
      <w:r w:rsidR="00C972F8">
        <w:t>high-quality</w:t>
      </w:r>
      <w:r w:rsidR="00DB3B83">
        <w:t xml:space="preserve"> education services.</w:t>
      </w:r>
    </w:p>
    <w:p w:rsidR="00BB1B35" w:rsidP="00C972F8" w14:paraId="17A7ED02" w14:textId="77777777">
      <w:pPr>
        <w:jc w:val="both"/>
      </w:pPr>
    </w:p>
    <w:p w:rsidR="00EF705E" w:rsidRPr="00BB6893" w:rsidP="00C972F8" w14:paraId="06BA4032" w14:textId="73ED9E6E">
      <w:pPr>
        <w:jc w:val="both"/>
      </w:pPr>
      <w:r>
        <w:t xml:space="preserve">As a result of </w:t>
      </w:r>
      <w:r w:rsidR="00DC7047">
        <w:t xml:space="preserve">generalized </w:t>
      </w:r>
      <w:r>
        <w:t xml:space="preserve">policy </w:t>
      </w:r>
      <w:r w:rsidR="008379DA">
        <w:t xml:space="preserve">and guidance on education, </w:t>
      </w:r>
      <w:r w:rsidR="693F6AD5">
        <w:t>care providers</w:t>
      </w:r>
      <w:r w:rsidR="008379DA">
        <w:t xml:space="preserve"> ha</w:t>
      </w:r>
      <w:r w:rsidR="74697F36">
        <w:t>ve</w:t>
      </w:r>
      <w:r w:rsidR="008379DA">
        <w:t xml:space="preserve"> interpreted the education requirements and responsibilities in a variety of ways</w:t>
      </w:r>
      <w:r w:rsidR="31AAF614">
        <w:t xml:space="preserve">, </w:t>
      </w:r>
      <w:r w:rsidR="18AE8E57">
        <w:t>producing both innovative solutions and programs that meet only t</w:t>
      </w:r>
      <w:r w:rsidR="025F4206">
        <w:t>he minimum requirements</w:t>
      </w:r>
      <w:r w:rsidR="008379DA">
        <w:t xml:space="preserve">. </w:t>
      </w:r>
      <w:r w:rsidR="009B6F37">
        <w:t>ORR seeks to learn more about how education services are currently being provided</w:t>
      </w:r>
      <w:r w:rsidR="6B96795F">
        <w:t xml:space="preserve"> to</w:t>
      </w:r>
      <w:r w:rsidR="28467A0C">
        <w:t xml:space="preserve"> identify best practices, common challenges, and</w:t>
      </w:r>
      <w:r w:rsidR="6B96795F">
        <w:t xml:space="preserve"> </w:t>
      </w:r>
      <w:r w:rsidR="6B0BF409">
        <w:t>improve education programing across our network of care providers and grantees</w:t>
      </w:r>
      <w:r w:rsidR="1D27AEE8">
        <w:t xml:space="preserve">, with the intent to provide more meaningful education programming that will better prepare unaccompanied children for academic success once they are released from ORR care and custody.  </w:t>
      </w:r>
    </w:p>
    <w:p w:rsidR="002D4D63" w:rsidP="00C972F8" w14:paraId="7707E1D0" w14:textId="2E623181">
      <w:pPr>
        <w:jc w:val="both"/>
      </w:pPr>
    </w:p>
    <w:p w:rsidR="00EF705E" w:rsidRPr="00CD5448" w:rsidP="00C972F8" w14:paraId="4357BB4C" w14:textId="0811F137">
      <w:pPr>
        <w:jc w:val="both"/>
      </w:pPr>
      <w:r w:rsidRPr="002D4D63">
        <w:t>This data collection is part of a larger</w:t>
      </w:r>
      <w:r w:rsidRPr="00CD5448" w:rsidR="00DE782C">
        <w:t xml:space="preserve"> </w:t>
      </w:r>
      <w:r w:rsidRPr="00C972F8" w:rsidR="007A407A">
        <w:t xml:space="preserve">project </w:t>
      </w:r>
      <w:r w:rsidRPr="002D4D63">
        <w:t>to</w:t>
      </w:r>
      <w:r w:rsidRPr="00CD5448" w:rsidR="007A407A">
        <w:t xml:space="preserve"> develo</w:t>
      </w:r>
      <w:r w:rsidRPr="002D4D63">
        <w:t xml:space="preserve">p </w:t>
      </w:r>
      <w:r w:rsidRPr="00CD5448" w:rsidR="007A407A">
        <w:t>ORR guidance, procedures, and technical assistance</w:t>
      </w:r>
      <w:r w:rsidRPr="002D4D63" w:rsidR="00150D7D">
        <w:t xml:space="preserve"> to improve education outcomes of unaccompanied children</w:t>
      </w:r>
      <w:r w:rsidRPr="00CD5448" w:rsidR="00F0073F">
        <w:t xml:space="preserve">. </w:t>
      </w:r>
    </w:p>
    <w:p w:rsidR="00984BBF" w:rsidRPr="00CD5448" w:rsidP="008F570D" w14:paraId="32F118BE" w14:textId="77777777">
      <w:pPr>
        <w:rPr>
          <w:strike/>
          <w:highlight w:val="yellow"/>
        </w:rPr>
      </w:pPr>
    </w:p>
    <w:p w:rsidR="00984CA2" w:rsidRPr="00177982" w:rsidP="6587A990" w14:paraId="34493FD2" w14:textId="12B76B19">
      <w:pPr>
        <w:pStyle w:val="Heading4"/>
        <w:tabs>
          <w:tab w:val="num" w:pos="180"/>
        </w:tabs>
        <w:spacing w:before="60" w:line="264" w:lineRule="auto"/>
        <w:rPr>
          <w:rFonts w:ascii="Times New Roman" w:hAnsi="Times New Roman"/>
          <w:i/>
          <w:sz w:val="24"/>
          <w:szCs w:val="24"/>
        </w:rPr>
      </w:pPr>
      <w:r w:rsidRPr="27826D6F">
        <w:rPr>
          <w:rFonts w:ascii="Times New Roman" w:hAnsi="Times New Roman"/>
          <w:i/>
          <w:iCs/>
          <w:sz w:val="24"/>
          <w:szCs w:val="24"/>
        </w:rPr>
        <w:t xml:space="preserve">Background </w:t>
      </w:r>
    </w:p>
    <w:p w:rsidR="00005861" w:rsidP="00005861" w14:paraId="1955436A" w14:textId="77777777">
      <w:pPr>
        <w:jc w:val="both"/>
      </w:pPr>
      <w:r>
        <w:t>The UC Program provides education services to all unaccompanied children in its care. Grantees and contractors must meet the requirements of UC Policy Guide Section 3.3.5, which requires care providers to offer structured classroom education five days per week, six hours per day, “</w:t>
      </w:r>
      <w:r w:rsidRPr="00CD5448">
        <w:t>throughout the entire year in basic academic areas (Science, Social Studies, Math, Reading, Writing, Physical Education, and English as a Second Language (ESL), if applicable).</w:t>
      </w:r>
      <w:r w:rsidRPr="6587A990">
        <w:rPr>
          <w:rFonts w:ascii="Source Sans Pro" w:eastAsia="Source Sans Pro" w:hAnsi="Source Sans Pro" w:cs="Source Sans Pro"/>
          <w:color w:val="000000" w:themeColor="text1"/>
        </w:rPr>
        <w:t>”</w:t>
      </w:r>
      <w:r w:rsidRPr="00CD5448">
        <w:t xml:space="preserve"> Aside from</w:t>
      </w:r>
      <w:r w:rsidRPr="6587A990">
        <w:t xml:space="preserve"> minimal instructions on some allowable variations to this requirement, as well as allowances for certain children to be enrolled in and attend local schools, ORR’s UC Program has not released comprehensive guidance on education services.</w:t>
      </w:r>
      <w:r w:rsidRPr="6587A990">
        <w:rPr>
          <w:rFonts w:ascii="Source Sans Pro" w:eastAsia="Source Sans Pro" w:hAnsi="Source Sans Pro" w:cs="Source Sans Pro"/>
          <w:color w:val="000000" w:themeColor="text1"/>
        </w:rPr>
        <w:t xml:space="preserve"> </w:t>
      </w:r>
      <w:r>
        <w:t xml:space="preserve">  </w:t>
      </w:r>
    </w:p>
    <w:p w:rsidR="00005861" w:rsidP="00005861" w14:paraId="247051BF" w14:textId="77777777">
      <w:pPr>
        <w:jc w:val="both"/>
      </w:pPr>
    </w:p>
    <w:p w:rsidR="002F42CC" w:rsidP="00E86C51" w14:paraId="6EF23BD3" w14:textId="7DE3D785">
      <w:pPr>
        <w:jc w:val="both"/>
      </w:pPr>
      <w:r>
        <w:t>ORR</w:t>
      </w:r>
      <w:r>
        <w:t xml:space="preserve"> seeks to improve the education programming </w:t>
      </w:r>
      <w:r w:rsidR="2A263D4D">
        <w:t xml:space="preserve">provided by grantee and contract care providers </w:t>
      </w:r>
      <w:r w:rsidR="7C854152">
        <w:t xml:space="preserve">administering </w:t>
      </w:r>
      <w:r>
        <w:t xml:space="preserve">the UC program through clear and reasonable guidance. </w:t>
      </w:r>
      <w:r w:rsidR="00743226">
        <w:t xml:space="preserve">There is a current lack of understanding of </w:t>
      </w:r>
      <w:r w:rsidR="3CD5CE57">
        <w:t xml:space="preserve">what </w:t>
      </w:r>
      <w:r w:rsidR="00743226">
        <w:t>education programming is</w:t>
      </w:r>
      <w:r w:rsidR="6CF44755">
        <w:t xml:space="preserve"> provided across the UC Program and how education services are delivered to inform</w:t>
      </w:r>
      <w:r w:rsidR="00743226">
        <w:t xml:space="preserve"> </w:t>
      </w:r>
      <w:r w:rsidR="0053636F">
        <w:t xml:space="preserve">guidance and procedure </w:t>
      </w:r>
      <w:r w:rsidR="278D6C38">
        <w:t>development</w:t>
      </w:r>
      <w:r w:rsidR="00743226">
        <w:t xml:space="preserve"> to strengthen program quality and effectiveness.</w:t>
      </w:r>
    </w:p>
    <w:p w:rsidR="00743226" w:rsidP="00E86C51" w14:paraId="39D90994" w14:textId="56514BDB">
      <w:pPr>
        <w:jc w:val="both"/>
      </w:pPr>
    </w:p>
    <w:p w:rsidR="00743226" w:rsidRPr="002F42CC" w:rsidP="00E86C51" w14:paraId="07D7E947" w14:textId="16A1E65E">
      <w:pPr>
        <w:jc w:val="both"/>
      </w:pPr>
      <w:r>
        <w:t xml:space="preserve">The proposed survey </w:t>
      </w:r>
      <w:r w:rsidR="003C76A3">
        <w:t xml:space="preserve">is part of a larger project to better understand </w:t>
      </w:r>
      <w:r w:rsidR="004A76F7">
        <w:t>program needs for implementing and improving education services. This survey will</w:t>
      </w:r>
      <w:r>
        <w:t xml:space="preserve"> </w:t>
      </w:r>
      <w:r w:rsidR="76870C5E">
        <w:t xml:space="preserve">provide </w:t>
      </w:r>
      <w:r w:rsidR="09369D69">
        <w:t xml:space="preserve">a baseline </w:t>
      </w:r>
      <w:r w:rsidR="00EE2EBD">
        <w:t xml:space="preserve">inventory </w:t>
      </w:r>
      <w:r w:rsidR="09369D69">
        <w:t xml:space="preserve">of </w:t>
      </w:r>
      <w:r w:rsidR="6AA1C1E2">
        <w:t>existing services and delivery method</w:t>
      </w:r>
      <w:r w:rsidR="00FF5ECD">
        <w:t>s</w:t>
      </w:r>
      <w:r w:rsidR="000B3FCE">
        <w:t>.</w:t>
      </w:r>
      <w:r>
        <w:t xml:space="preserve"> </w:t>
      </w:r>
    </w:p>
    <w:p w:rsidR="008F570D" w:rsidP="00D5295C" w14:paraId="10A288D7" w14:textId="77777777">
      <w:pPr>
        <w:pStyle w:val="Heading4"/>
        <w:tabs>
          <w:tab w:val="num" w:pos="180"/>
        </w:tabs>
        <w:spacing w:before="0" w:after="0" w:line="264" w:lineRule="auto"/>
        <w:rPr>
          <w:rFonts w:ascii="Times New Roman" w:hAnsi="Times New Roman"/>
          <w:i/>
          <w:sz w:val="24"/>
          <w:szCs w:val="24"/>
        </w:rPr>
      </w:pPr>
    </w:p>
    <w:p w:rsidR="00984CA2" w:rsidRPr="00177982" w:rsidP="00D5295C" w14:paraId="742B4ABD" w14:textId="0A44E8C5">
      <w:pPr>
        <w:pStyle w:val="Heading4"/>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0702EE" w:rsidP="00E86C51" w14:paraId="3BDF35B0" w14:textId="77777777">
      <w:pPr>
        <w:jc w:val="both"/>
      </w:pPr>
      <w:r w:rsidRPr="00D5295C">
        <w:t>There are no legal or administrative requirements that necessitate the collection. ACF is undertaking the collection at the discretion of the agency.</w:t>
      </w:r>
    </w:p>
    <w:p w:rsidR="0020382F" w:rsidP="008F570D" w14:paraId="7D1B72AE" w14:textId="77777777"/>
    <w:p w:rsidR="00D90EF6" w:rsidP="008F570D" w14:paraId="210B83EF" w14:textId="77777777"/>
    <w:p w:rsidR="00DB7510" w:rsidP="008F570D" w14:paraId="6A7471BB" w14:textId="77777777">
      <w:pPr>
        <w:spacing w:after="120"/>
        <w:rPr>
          <w:b/>
        </w:rPr>
      </w:pPr>
    </w:p>
    <w:p w:rsidR="00DB7510" w:rsidP="008F570D" w14:paraId="6B0D5F04" w14:textId="77777777">
      <w:pPr>
        <w:spacing w:after="120"/>
        <w:rPr>
          <w:b/>
        </w:rPr>
      </w:pPr>
    </w:p>
    <w:p w:rsidR="00945CD6" w:rsidRPr="0072204D" w:rsidP="008F570D" w14:paraId="617B0354" w14:textId="103C0EB8">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8F570D" w:rsidRPr="00481BEA" w:rsidP="00F168E9" w14:paraId="320194E8" w14:textId="77F49C3F">
      <w:pPr>
        <w:jc w:val="both"/>
      </w:pPr>
      <w:r w:rsidRPr="00481BEA">
        <w:t>T</w:t>
      </w:r>
      <w:r w:rsidRPr="00481BEA" w:rsidR="00FD077A">
        <w:t xml:space="preserve">he survey </w:t>
      </w:r>
      <w:r w:rsidRPr="00481BEA">
        <w:t>will</w:t>
      </w:r>
      <w:r w:rsidRPr="00481BEA" w:rsidR="00FD077A">
        <w:t xml:space="preserve"> identify existing </w:t>
      </w:r>
      <w:r w:rsidRPr="00481BEA">
        <w:t xml:space="preserve">educational </w:t>
      </w:r>
      <w:r w:rsidRPr="00481BEA" w:rsidR="00FD077A">
        <w:t xml:space="preserve">services and delivery methods for providing education programming. Information will be used for internal planning purposes by the UC Policy Team </w:t>
      </w:r>
      <w:r w:rsidR="00A30548">
        <w:t xml:space="preserve">and Child Services Team </w:t>
      </w:r>
      <w:r w:rsidRPr="00481BEA" w:rsidR="00FD077A">
        <w:t>to inform their efforts to improve guidance and support for grantee and contract care providers.</w:t>
      </w:r>
      <w:r w:rsidRPr="00481BEA" w:rsidR="00A62544">
        <w:t xml:space="preserve"> </w:t>
      </w:r>
    </w:p>
    <w:p w:rsidR="00481BEA" w:rsidRPr="00D5295C" w:rsidP="00F168E9" w14:paraId="16F296C3" w14:textId="77777777">
      <w:pPr>
        <w:jc w:val="both"/>
      </w:pPr>
    </w:p>
    <w:p w:rsidR="00481BEA" w:rsidRPr="00E94C7B" w:rsidP="00F168E9" w14:paraId="08986D50" w14:textId="064B6F1E">
      <w:pPr>
        <w:spacing w:after="120"/>
        <w:jc w:val="both"/>
      </w:pPr>
      <w:r w:rsidRPr="007753C9">
        <w:t xml:space="preserve">This proposed information collection meets the following goals of ACF’s generic clearance for </w:t>
      </w:r>
      <w:r w:rsidRPr="00E94C7B">
        <w:t>formative data collections for program support (0970-0531).</w:t>
      </w:r>
    </w:p>
    <w:p w:rsidR="00E60558" w:rsidRPr="00E94C7B" w:rsidP="00E94C7B" w14:paraId="3BE33537" w14:textId="761CF2F9">
      <w:pPr>
        <w:pStyle w:val="ListParagraph"/>
        <w:numPr>
          <w:ilvl w:val="0"/>
          <w:numId w:val="42"/>
        </w:numPr>
        <w:spacing w:after="120"/>
        <w:jc w:val="both"/>
        <w:rPr>
          <w:sz w:val="24"/>
          <w:szCs w:val="24"/>
        </w:rPr>
      </w:pPr>
      <w:r w:rsidRPr="00E94C7B">
        <w:rPr>
          <w:sz w:val="24"/>
          <w:szCs w:val="24"/>
        </w:rPr>
        <w:t xml:space="preserve">Delivery of training or technical assistance (TA) and workflows related to program implementation and the development or refinement of program and grantee processes. </w:t>
      </w:r>
    </w:p>
    <w:p w:rsidR="00C93433" w:rsidRPr="00E94C7B" w:rsidP="00F168E9" w14:paraId="3D6EC2DB" w14:textId="7CDA5E49">
      <w:pPr>
        <w:ind w:left="720"/>
        <w:jc w:val="both"/>
      </w:pPr>
      <w:r w:rsidRPr="00E94C7B">
        <w:t>Specifically,</w:t>
      </w:r>
      <w:r w:rsidRPr="00E94C7B" w:rsidR="00C82BAA">
        <w:t xml:space="preserve"> t</w:t>
      </w:r>
      <w:r w:rsidRPr="00E94C7B" w:rsidR="00A62544">
        <w:t xml:space="preserve">he data collected in this survey, </w:t>
      </w:r>
      <w:r w:rsidRPr="00E94C7B" w:rsidR="00444164">
        <w:t xml:space="preserve">along with </w:t>
      </w:r>
      <w:r w:rsidRPr="00E94C7B" w:rsidR="007753C9">
        <w:t xml:space="preserve">additional </w:t>
      </w:r>
      <w:r w:rsidRPr="00E94C7B" w:rsidR="00444164">
        <w:t xml:space="preserve">supporting </w:t>
      </w:r>
      <w:r w:rsidRPr="00E94C7B" w:rsidR="00481BEA">
        <w:t xml:space="preserve">work </w:t>
      </w:r>
      <w:r w:rsidRPr="00E94C7B" w:rsidR="00444164">
        <w:t>done by the UC Policy Team</w:t>
      </w:r>
      <w:r w:rsidRPr="00E94C7B" w:rsidR="00BA6030">
        <w:t>,</w:t>
      </w:r>
      <w:r w:rsidRPr="00E94C7B" w:rsidR="00444164">
        <w:t xml:space="preserve"> will </w:t>
      </w:r>
      <w:r w:rsidRPr="00E94C7B" w:rsidR="00D95DA8">
        <w:t xml:space="preserve">help </w:t>
      </w:r>
      <w:r w:rsidRPr="00E94C7B" w:rsidR="007D3316">
        <w:t xml:space="preserve">to </w:t>
      </w:r>
      <w:r w:rsidRPr="00E94C7B" w:rsidR="00301DB1">
        <w:t>identify areas where</w:t>
      </w:r>
      <w:r w:rsidRPr="00E94C7B" w:rsidR="0C62CC0E">
        <w:t xml:space="preserve"> grantee and contract</w:t>
      </w:r>
      <w:r w:rsidRPr="00E94C7B" w:rsidR="00301DB1">
        <w:t xml:space="preserve"> care providers need </w:t>
      </w:r>
      <w:r w:rsidRPr="00E94C7B" w:rsidR="00F46623">
        <w:t xml:space="preserve">additional guidance and support related to the </w:t>
      </w:r>
      <w:r w:rsidRPr="00E94C7B" w:rsidR="004942D1">
        <w:t xml:space="preserve">delivery of education services. </w:t>
      </w:r>
      <w:r w:rsidRPr="00E94C7B" w:rsidR="00C309DF">
        <w:t>The data provided may lead</w:t>
      </w:r>
      <w:r w:rsidRPr="00E94C7B" w:rsidR="006C2751">
        <w:t xml:space="preserve"> to </w:t>
      </w:r>
      <w:r w:rsidRPr="00E94C7B" w:rsidR="007753C9">
        <w:t>TA</w:t>
      </w:r>
      <w:r w:rsidRPr="00E94C7B" w:rsidR="006C2751">
        <w:t xml:space="preserve"> for existing and new policy guidance</w:t>
      </w:r>
      <w:r w:rsidRPr="00E94C7B" w:rsidR="009F02C6">
        <w:t xml:space="preserve"> and procedures</w:t>
      </w:r>
      <w:r w:rsidRPr="00E94C7B" w:rsidR="006C2751">
        <w:t xml:space="preserve">. </w:t>
      </w:r>
    </w:p>
    <w:p w:rsidR="00C93433" w:rsidRPr="00E94C7B" w:rsidP="00F168E9" w14:paraId="7B5AA3AD" w14:textId="61EAC809">
      <w:pPr>
        <w:jc w:val="both"/>
      </w:pPr>
      <w:r w:rsidRPr="00E94C7B">
        <w:t xml:space="preserve"> </w:t>
      </w:r>
    </w:p>
    <w:p w:rsidR="00E60558" w:rsidRPr="00E94C7B" w:rsidP="00E94C7B" w14:paraId="031E8206" w14:textId="76CEDA42">
      <w:pPr>
        <w:pStyle w:val="ListParagraph"/>
        <w:numPr>
          <w:ilvl w:val="0"/>
          <w:numId w:val="42"/>
        </w:numPr>
        <w:spacing w:after="120"/>
        <w:jc w:val="both"/>
        <w:rPr>
          <w:sz w:val="24"/>
          <w:szCs w:val="24"/>
        </w:rPr>
      </w:pPr>
      <w:r w:rsidRPr="00E94C7B">
        <w:rPr>
          <w:sz w:val="24"/>
          <w:szCs w:val="24"/>
        </w:rPr>
        <w:t xml:space="preserve">Obtaining feedback about processes and/or practices to inform ACF program development or support. </w:t>
      </w:r>
    </w:p>
    <w:p w:rsidR="00EE1E62" w:rsidRPr="00E94C7B" w:rsidP="00F168E9" w14:paraId="47EB94DD" w14:textId="1C0740CD">
      <w:pPr>
        <w:ind w:left="720"/>
        <w:jc w:val="both"/>
      </w:pPr>
      <w:r w:rsidRPr="00E94C7B">
        <w:t xml:space="preserve">Specifically, </w:t>
      </w:r>
      <w:r w:rsidRPr="00E94C7B" w:rsidR="00371926">
        <w:t>th</w:t>
      </w:r>
      <w:r w:rsidRPr="00E94C7B" w:rsidR="00113812">
        <w:t>is</w:t>
      </w:r>
      <w:r w:rsidRPr="00E94C7B" w:rsidR="00371926">
        <w:t xml:space="preserve"> survey will help</w:t>
      </w:r>
      <w:r w:rsidRPr="00E94C7B">
        <w:t xml:space="preserve"> prioritize education </w:t>
      </w:r>
      <w:r w:rsidRPr="00E94C7B" w:rsidR="00B008EC">
        <w:t xml:space="preserve">issues and </w:t>
      </w:r>
      <w:r w:rsidRPr="00E94C7B" w:rsidR="0010026B">
        <w:t xml:space="preserve">enable UC Policy </w:t>
      </w:r>
      <w:r w:rsidRPr="00E94C7B" w:rsidR="00B008EC">
        <w:t>update</w:t>
      </w:r>
      <w:r w:rsidRPr="00E94C7B" w:rsidR="00B008EC">
        <w:t xml:space="preserve"> </w:t>
      </w:r>
      <w:r w:rsidRPr="00E94C7B" w:rsidR="0086507C">
        <w:t xml:space="preserve">its guidance </w:t>
      </w:r>
      <w:r w:rsidRPr="00E94C7B" w:rsidR="00B008EC">
        <w:t xml:space="preserve">to meet the most immediate needs of the programs and the children they serve. </w:t>
      </w:r>
    </w:p>
    <w:p w:rsidR="00481BEA" w:rsidRPr="007753C9" w:rsidP="008F570D" w14:paraId="2D3E2C90" w14:textId="77777777">
      <w:pPr>
        <w:spacing w:after="60"/>
        <w:rPr>
          <w:b/>
          <w:i/>
        </w:rPr>
      </w:pPr>
    </w:p>
    <w:p w:rsidR="00984CA2" w:rsidRPr="00177982" w:rsidP="003F622F" w14:paraId="473B9418" w14:textId="38A9E22B">
      <w:pPr>
        <w:spacing w:after="60"/>
        <w:jc w:val="both"/>
        <w:rPr>
          <w:b/>
          <w:i/>
        </w:rPr>
      </w:pPr>
      <w:r>
        <w:rPr>
          <w:b/>
          <w:i/>
        </w:rPr>
        <w:t>Process</w:t>
      </w:r>
      <w:r w:rsidR="003277CF">
        <w:rPr>
          <w:b/>
          <w:i/>
        </w:rPr>
        <w:t>es</w:t>
      </w:r>
      <w:r>
        <w:rPr>
          <w:b/>
          <w:i/>
        </w:rPr>
        <w:t xml:space="preserve"> for Information Collection </w:t>
      </w:r>
    </w:p>
    <w:p w:rsidR="00743226" w:rsidP="003F622F" w14:paraId="2936520E" w14:textId="4F268A28">
      <w:pPr>
        <w:jc w:val="both"/>
      </w:pPr>
      <w:r>
        <w:t xml:space="preserve">The survey will be sent to the </w:t>
      </w:r>
      <w:r w:rsidR="00417E6C">
        <w:t>UC</w:t>
      </w:r>
      <w:r w:rsidR="00532360">
        <w:t xml:space="preserve"> Program</w:t>
      </w:r>
      <w:r>
        <w:t xml:space="preserve"> </w:t>
      </w:r>
      <w:r w:rsidR="00532360">
        <w:t>care providers</w:t>
      </w:r>
      <w:r>
        <w:t xml:space="preserve"> through the UC Policy </w:t>
      </w:r>
      <w:r w:rsidR="00EA07F9">
        <w:t xml:space="preserve">Resource Box email account </w:t>
      </w:r>
      <w:r>
        <w:t>and promoted via monthly</w:t>
      </w:r>
      <w:r w:rsidR="5F6C4400">
        <w:t xml:space="preserve"> ACF Care Provider</w:t>
      </w:r>
      <w:r>
        <w:t xml:space="preserve"> calls. </w:t>
      </w:r>
    </w:p>
    <w:p w:rsidR="00743226" w:rsidP="003F622F" w14:paraId="4684DDC7" w14:textId="77777777">
      <w:pPr>
        <w:jc w:val="both"/>
      </w:pPr>
    </w:p>
    <w:p w:rsidR="00D90EF6" w:rsidP="003F622F" w14:paraId="352753BD" w14:textId="665C9840">
      <w:pPr>
        <w:jc w:val="both"/>
      </w:pPr>
      <w:r>
        <w:t xml:space="preserve">The survey will be voluntary and targeted to </w:t>
      </w:r>
      <w:r w:rsidR="29528459">
        <w:t>care provider</w:t>
      </w:r>
      <w:r>
        <w:t xml:space="preserve"> </w:t>
      </w:r>
      <w:r w:rsidR="0D950E4F">
        <w:t>E</w:t>
      </w:r>
      <w:r>
        <w:t xml:space="preserve">ducation </w:t>
      </w:r>
      <w:r w:rsidR="0E5024F5">
        <w:t>L</w:t>
      </w:r>
      <w:r>
        <w:t>eads, or equivalent</w:t>
      </w:r>
      <w:r w:rsidR="00697704">
        <w:t xml:space="preserve">, with a goal of at least </w:t>
      </w:r>
      <w:r w:rsidR="007957EC">
        <w:t>169</w:t>
      </w:r>
      <w:r w:rsidR="00697704">
        <w:t xml:space="preserve"> respondents. </w:t>
      </w:r>
      <w:r w:rsidR="007957EC">
        <w:t>(</w:t>
      </w:r>
      <w:r w:rsidR="003B7521">
        <w:t>169 = n with 5% margin of error)</w:t>
      </w:r>
      <w:r w:rsidR="00CD5448">
        <w:t>. See Supporting Statement B for additional information on</w:t>
      </w:r>
      <w:r w:rsidR="00D9029B">
        <w:t xml:space="preserve"> the target respondent population and</w:t>
      </w:r>
      <w:r w:rsidR="00CD5448">
        <w:t xml:space="preserve"> response rates and data quality.</w:t>
      </w:r>
    </w:p>
    <w:p w:rsidR="00E37ABE" w:rsidP="003F622F" w14:paraId="3765E117" w14:textId="5A79085E">
      <w:pPr>
        <w:jc w:val="both"/>
      </w:pPr>
    </w:p>
    <w:p w:rsidR="00E37ABE" w:rsidP="003F622F" w14:paraId="7042F642" w14:textId="0AEDBFA4">
      <w:pPr>
        <w:jc w:val="both"/>
      </w:pPr>
      <w:r>
        <w:t xml:space="preserve">Participants will be asked to respond through a </w:t>
      </w:r>
      <w:r w:rsidR="00A01F2A">
        <w:t>web-based</w:t>
      </w:r>
      <w:r>
        <w:t xml:space="preserve"> survey.</w:t>
      </w:r>
    </w:p>
    <w:p w:rsidR="002338AC" w:rsidP="003F622F" w14:paraId="40C43AD9" w14:textId="3DF759B7">
      <w:pPr>
        <w:ind w:left="180"/>
        <w:jc w:val="both"/>
        <w:rPr>
          <w:b/>
          <w:i/>
        </w:rPr>
      </w:pPr>
    </w:p>
    <w:p w:rsidR="004F4DE6" w:rsidP="003F622F" w14:paraId="553986A3" w14:textId="77777777">
      <w:pPr>
        <w:ind w:left="180"/>
        <w:jc w:val="both"/>
        <w:rPr>
          <w:b/>
          <w:i/>
        </w:rPr>
      </w:pPr>
    </w:p>
    <w:p w:rsidR="00945CD6" w:rsidRPr="0072204D" w:rsidP="003F622F" w14:paraId="49EEF137" w14:textId="77777777">
      <w:pPr>
        <w:spacing w:after="120"/>
        <w:jc w:val="both"/>
        <w:rPr>
          <w:b/>
        </w:rPr>
      </w:pPr>
      <w:r>
        <w:rPr>
          <w:b/>
        </w:rPr>
        <w:t xml:space="preserve">A3. </w:t>
      </w:r>
      <w:r w:rsidRPr="0072204D">
        <w:rPr>
          <w:b/>
        </w:rPr>
        <w:t>Improved Information Technology to Reduce Burden</w:t>
      </w:r>
    </w:p>
    <w:p w:rsidR="00D90EF6" w:rsidP="003F622F" w14:paraId="6EA8B500" w14:textId="5DDDB4D8">
      <w:pPr>
        <w:jc w:val="both"/>
      </w:pPr>
      <w:r>
        <w:t xml:space="preserve">The survey will be administered using </w:t>
      </w:r>
      <w:r w:rsidR="00A01F2A">
        <w:t xml:space="preserve">a web-based </w:t>
      </w:r>
      <w:r w:rsidR="005704B9">
        <w:t>survey</w:t>
      </w:r>
      <w:r>
        <w:t>.</w:t>
      </w:r>
    </w:p>
    <w:p w:rsidR="00D90EF6" w:rsidP="003F622F" w14:paraId="5934C206" w14:textId="77777777">
      <w:pPr>
        <w:jc w:val="both"/>
      </w:pPr>
    </w:p>
    <w:p w:rsidR="005046F0" w:rsidP="003F622F" w14:paraId="5804584A" w14:textId="77777777">
      <w:pPr>
        <w:ind w:left="360"/>
        <w:jc w:val="both"/>
      </w:pPr>
    </w:p>
    <w:p w:rsidR="00945CD6" w:rsidRPr="0072204D" w:rsidP="003F622F" w14:paraId="39BBEF3E" w14:textId="77777777">
      <w:pPr>
        <w:spacing w:after="120"/>
        <w:jc w:val="both"/>
        <w:rPr>
          <w:b/>
        </w:rPr>
      </w:pPr>
      <w:r>
        <w:rPr>
          <w:b/>
        </w:rPr>
        <w:t xml:space="preserve">A4. </w:t>
      </w:r>
      <w:r w:rsidRPr="0072204D">
        <w:rPr>
          <w:b/>
        </w:rPr>
        <w:t>Efforts to Identify Duplication</w:t>
      </w:r>
    </w:p>
    <w:p w:rsidR="00D90EF6" w:rsidP="003F622F" w14:paraId="1E23D79E" w14:textId="4562AE21">
      <w:pPr>
        <w:jc w:val="both"/>
      </w:pPr>
      <w:r>
        <w:t>This is the first information collection on education programming in the UC Program. No other information of this kind has been collected</w:t>
      </w:r>
      <w:r w:rsidR="004F4DE6">
        <w:t xml:space="preserve"> or is available</w:t>
      </w:r>
      <w:r>
        <w:t xml:space="preserve">. </w:t>
      </w:r>
    </w:p>
    <w:p w:rsidR="005046F0" w:rsidP="003F622F" w14:paraId="601390DA" w14:textId="77777777">
      <w:pPr>
        <w:ind w:left="360"/>
        <w:jc w:val="both"/>
      </w:pPr>
    </w:p>
    <w:p w:rsidR="00436F5E" w:rsidP="003F622F" w14:paraId="69A8EDD5" w14:textId="77777777">
      <w:pPr>
        <w:jc w:val="both"/>
        <w:rPr>
          <w:b/>
        </w:rPr>
      </w:pPr>
    </w:p>
    <w:p w:rsidR="00E94C7B" w:rsidP="003F622F" w14:paraId="29B84D38" w14:textId="77777777">
      <w:pPr>
        <w:spacing w:after="120"/>
        <w:jc w:val="both"/>
        <w:rPr>
          <w:b/>
        </w:rPr>
      </w:pPr>
    </w:p>
    <w:p w:rsidR="00945CD6" w:rsidRPr="0072204D" w:rsidP="003F622F" w14:paraId="10B90123" w14:textId="169693FF">
      <w:pPr>
        <w:spacing w:after="120"/>
        <w:jc w:val="both"/>
        <w:rPr>
          <w:b/>
        </w:rPr>
      </w:pPr>
      <w:r>
        <w:rPr>
          <w:b/>
        </w:rPr>
        <w:t xml:space="preserve">A5. </w:t>
      </w:r>
      <w:r w:rsidRPr="0072204D">
        <w:rPr>
          <w:b/>
        </w:rPr>
        <w:t>Involvement of Small Organizations</w:t>
      </w:r>
    </w:p>
    <w:p w:rsidR="00D90EF6" w:rsidP="003F622F" w14:paraId="12FF1FE5" w14:textId="74563248">
      <w:pPr>
        <w:jc w:val="both"/>
      </w:pPr>
      <w:r>
        <w:t>Respondents will not include small organizations.</w:t>
      </w:r>
    </w:p>
    <w:p w:rsidR="004F4DE6" w:rsidP="003F622F" w14:paraId="0FD3F212" w14:textId="77777777">
      <w:pPr>
        <w:jc w:val="both"/>
      </w:pPr>
    </w:p>
    <w:p w:rsidR="008C78B4" w:rsidP="003F622F" w14:paraId="6077512E" w14:textId="77777777">
      <w:pPr>
        <w:jc w:val="both"/>
        <w:rPr>
          <w:b/>
        </w:rPr>
      </w:pPr>
    </w:p>
    <w:p w:rsidR="00945CD6" w:rsidRPr="0072204D" w:rsidP="003F622F" w14:paraId="5C724C5E" w14:textId="77777777">
      <w:pPr>
        <w:spacing w:after="120"/>
        <w:jc w:val="both"/>
        <w:rPr>
          <w:b/>
        </w:rPr>
      </w:pPr>
      <w:r>
        <w:rPr>
          <w:b/>
        </w:rPr>
        <w:t xml:space="preserve">A6. </w:t>
      </w:r>
      <w:r w:rsidRPr="0072204D">
        <w:rPr>
          <w:b/>
        </w:rPr>
        <w:t>Consequences of Less Frequent Data Collection</w:t>
      </w:r>
    </w:p>
    <w:p w:rsidR="00D90EF6" w:rsidP="003F622F" w14:paraId="214C03B2" w14:textId="0908D62F">
      <w:pPr>
        <w:jc w:val="both"/>
      </w:pPr>
      <w:r>
        <w:t>This is a one</w:t>
      </w:r>
      <w:r w:rsidR="355917EF">
        <w:t>-</w:t>
      </w:r>
      <w:r>
        <w:t xml:space="preserve">time data collection. </w:t>
      </w:r>
    </w:p>
    <w:p w:rsidR="005046F0" w:rsidP="003F622F" w14:paraId="7C36762A" w14:textId="733D8704">
      <w:pPr>
        <w:ind w:left="360"/>
        <w:jc w:val="both"/>
      </w:pPr>
    </w:p>
    <w:p w:rsidR="004F4DE6" w:rsidP="003F622F" w14:paraId="1A71AB54" w14:textId="77777777">
      <w:pPr>
        <w:ind w:left="360"/>
        <w:jc w:val="both"/>
      </w:pPr>
    </w:p>
    <w:p w:rsidR="00945CD6" w:rsidRPr="0072204D" w:rsidP="003F622F" w14:paraId="5060136E" w14:textId="77777777">
      <w:pPr>
        <w:spacing w:after="120"/>
        <w:jc w:val="both"/>
        <w:rPr>
          <w:b/>
        </w:rPr>
      </w:pPr>
      <w:r>
        <w:rPr>
          <w:b/>
        </w:rPr>
        <w:t xml:space="preserve">A7. </w:t>
      </w:r>
      <w:r w:rsidRPr="0072204D">
        <w:rPr>
          <w:b/>
        </w:rPr>
        <w:t>Special Circumstances</w:t>
      </w:r>
    </w:p>
    <w:p w:rsidR="0020382F" w:rsidRPr="00E13F24" w:rsidP="003F622F" w14:paraId="10D64BA4" w14:textId="77777777">
      <w:pPr>
        <w:jc w:val="both"/>
      </w:pPr>
      <w:r w:rsidRPr="00E13F24">
        <w:t>There are no special circumstances for the proposed data collection efforts.</w:t>
      </w:r>
    </w:p>
    <w:p w:rsidR="00BE7952" w:rsidP="003F622F" w14:paraId="08207C8B" w14:textId="77777777">
      <w:pPr>
        <w:jc w:val="both"/>
      </w:pPr>
    </w:p>
    <w:p w:rsidR="00D90EF6" w:rsidP="003F622F" w14:paraId="6156892E" w14:textId="77777777">
      <w:pPr>
        <w:jc w:val="both"/>
        <w:rPr>
          <w:b/>
        </w:rPr>
      </w:pPr>
    </w:p>
    <w:p w:rsidR="00D90EF6" w:rsidP="003F622F" w14:paraId="4FD99BC0" w14:textId="77777777">
      <w:pPr>
        <w:spacing w:after="120"/>
        <w:jc w:val="both"/>
        <w:rPr>
          <w:b/>
        </w:rPr>
      </w:pPr>
      <w:r w:rsidRPr="000D53DF">
        <w:rPr>
          <w:b/>
        </w:rPr>
        <w:t xml:space="preserve">A8. </w:t>
      </w:r>
      <w:r w:rsidRPr="000D53DF" w:rsidR="00945CD6">
        <w:rPr>
          <w:b/>
        </w:rPr>
        <w:t>Federal Register Notice and Consultation</w:t>
      </w:r>
    </w:p>
    <w:p w:rsidR="00B91D97" w:rsidRPr="00B91D97" w:rsidP="003F622F" w14:paraId="6A39001F" w14:textId="77777777">
      <w:pPr>
        <w:spacing w:after="60"/>
        <w:jc w:val="both"/>
        <w:rPr>
          <w:b/>
          <w:i/>
        </w:rPr>
      </w:pPr>
      <w:r w:rsidRPr="004B63ED">
        <w:rPr>
          <w:b/>
          <w:i/>
        </w:rPr>
        <w:t>Federal Register Notice and Comments</w:t>
      </w:r>
    </w:p>
    <w:p w:rsidR="00204A6A" w:rsidP="003F622F" w14:paraId="357FFC06" w14:textId="77777777">
      <w:pPr>
        <w:jc w:val="both"/>
      </w:pPr>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B91D97" w:rsidRPr="00B91D97" w:rsidP="003F622F" w14:paraId="21E62C00" w14:textId="72CBF5B8">
      <w:pPr>
        <w:pStyle w:val="Heading4"/>
        <w:jc w:val="both"/>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D90EF6" w:rsidP="003F622F" w14:paraId="16A7A923" w14:textId="05DB4447">
      <w:pPr>
        <w:jc w:val="both"/>
        <w:rPr>
          <w:b/>
        </w:rPr>
      </w:pPr>
      <w:r>
        <w:t>This information collection has been informed by internal staff within the UC program.</w:t>
      </w:r>
    </w:p>
    <w:p w:rsidR="004F4DE6" w:rsidP="003F622F" w14:paraId="0C45897C" w14:textId="402783F1">
      <w:pPr>
        <w:jc w:val="both"/>
        <w:rPr>
          <w:b/>
        </w:rPr>
      </w:pPr>
    </w:p>
    <w:p w:rsidR="004F4DE6" w:rsidP="003F622F" w14:paraId="46FD992E" w14:textId="77777777">
      <w:pPr>
        <w:jc w:val="both"/>
        <w:rPr>
          <w:b/>
        </w:rPr>
      </w:pPr>
    </w:p>
    <w:p w:rsidR="00945CD6" w:rsidRPr="00453E9A" w:rsidP="003F622F" w14:paraId="391068CD" w14:textId="6ECE22DD">
      <w:pPr>
        <w:spacing w:after="120"/>
        <w:jc w:val="both"/>
        <w:rPr>
          <w:b/>
        </w:rPr>
      </w:pPr>
      <w:r w:rsidRPr="00453E9A">
        <w:rPr>
          <w:b/>
        </w:rPr>
        <w:t xml:space="preserve">A9. </w:t>
      </w:r>
      <w:r w:rsidRPr="00453E9A" w:rsidR="00542413">
        <w:rPr>
          <w:b/>
        </w:rPr>
        <w:t xml:space="preserve">Tokens of Appreciation </w:t>
      </w:r>
      <w:r w:rsidRPr="00453E9A" w:rsidR="00B66874">
        <w:rPr>
          <w:b/>
        </w:rPr>
        <w:t>for</w:t>
      </w:r>
      <w:r w:rsidRPr="00453E9A">
        <w:rPr>
          <w:b/>
        </w:rPr>
        <w:t xml:space="preserve"> Respondents</w:t>
      </w:r>
    </w:p>
    <w:p w:rsidR="00D90EF6" w:rsidRPr="00BE7952" w:rsidP="003F622F" w14:paraId="45914615" w14:textId="4321F089">
      <w:pPr>
        <w:jc w:val="both"/>
        <w:rPr>
          <w:b/>
        </w:rPr>
      </w:pPr>
      <w:r w:rsidRPr="00453E9A">
        <w:t xml:space="preserve">No </w:t>
      </w:r>
      <w:r w:rsidRPr="00453E9A" w:rsidR="00542413">
        <w:t>tokens of appreciation</w:t>
      </w:r>
      <w:r w:rsidRPr="00453E9A">
        <w:t xml:space="preserve"> for</w:t>
      </w:r>
      <w:r w:rsidRPr="00453E9A" w:rsidR="00BE7952">
        <w:t xml:space="preserve"> respondents are proposed for this information collection.</w:t>
      </w:r>
    </w:p>
    <w:p w:rsidR="00D90EF6" w:rsidP="003F622F" w14:paraId="680DD735" w14:textId="77777777">
      <w:pPr>
        <w:jc w:val="both"/>
      </w:pPr>
    </w:p>
    <w:p w:rsidR="004222F8" w:rsidP="008770B1" w14:paraId="7605E87D" w14:textId="77777777">
      <w:pPr>
        <w:jc w:val="both"/>
        <w:rPr>
          <w:b/>
        </w:rPr>
      </w:pPr>
    </w:p>
    <w:p w:rsidR="004222F8" w:rsidRPr="0072204D" w:rsidP="003F622F" w14:paraId="5BB4F440" w14:textId="77777777">
      <w:pPr>
        <w:spacing w:after="120"/>
        <w:jc w:val="both"/>
        <w:rPr>
          <w:b/>
        </w:rPr>
      </w:pPr>
      <w:r>
        <w:rPr>
          <w:b/>
        </w:rPr>
        <w:t>A10. Privacy</w:t>
      </w:r>
      <w:r w:rsidRPr="0072204D">
        <w:rPr>
          <w:b/>
        </w:rPr>
        <w:t xml:space="preserve"> of Respondents</w:t>
      </w:r>
    </w:p>
    <w:p w:rsidR="004222F8" w:rsidRPr="00436F5E" w:rsidP="003F622F" w14:paraId="480B2A5E" w14:textId="754B441C">
      <w:pPr>
        <w:widowControl w:val="0"/>
        <w:autoSpaceDE w:val="0"/>
        <w:autoSpaceDN w:val="0"/>
        <w:adjustRightInd w:val="0"/>
        <w:jc w:val="both"/>
      </w:pPr>
      <w:r>
        <w:t>Information collected will be kept private</w:t>
      </w:r>
      <w:r w:rsidR="171CA292">
        <w:t xml:space="preserve"> to the extent permitted by law</w:t>
      </w:r>
      <w:r>
        <w:t xml:space="preserve">. Respondents will be informed of all planned uses of data, that their participation is voluntary, and that their information will be kept private. </w:t>
      </w:r>
    </w:p>
    <w:p w:rsidR="004222F8" w:rsidRPr="00436F5E" w:rsidP="003F622F" w14:paraId="6F65404C" w14:textId="77777777">
      <w:pPr>
        <w:widowControl w:val="0"/>
        <w:autoSpaceDE w:val="0"/>
        <w:autoSpaceDN w:val="0"/>
        <w:adjustRightInd w:val="0"/>
        <w:ind w:left="360"/>
        <w:jc w:val="both"/>
      </w:pPr>
    </w:p>
    <w:p w:rsidR="00436F5E" w:rsidP="003F622F" w14:paraId="0D4F4390" w14:textId="77777777">
      <w:pPr>
        <w:widowControl w:val="0"/>
        <w:autoSpaceDE w:val="0"/>
        <w:autoSpaceDN w:val="0"/>
        <w:adjustRightInd w:val="0"/>
        <w:jc w:val="both"/>
      </w:pPr>
      <w:r w:rsidRPr="00453E9A">
        <w:t>Information will not be maintained in a paper or electronic system from which data are actually or directly retrieved by an individuals’ personal identifier.</w:t>
      </w:r>
    </w:p>
    <w:p w:rsidR="00D432D0" w:rsidP="003F622F" w14:paraId="634DE546" w14:textId="77777777">
      <w:pPr>
        <w:widowControl w:val="0"/>
        <w:autoSpaceDE w:val="0"/>
        <w:autoSpaceDN w:val="0"/>
        <w:adjustRightInd w:val="0"/>
        <w:jc w:val="both"/>
      </w:pPr>
    </w:p>
    <w:p w:rsidR="00436F5E" w:rsidRPr="00436F5E" w:rsidP="003F622F" w14:paraId="34DFAED3" w14:textId="7AF6E44D">
      <w:pPr>
        <w:widowControl w:val="0"/>
        <w:autoSpaceDE w:val="0"/>
        <w:autoSpaceDN w:val="0"/>
        <w:adjustRightInd w:val="0"/>
        <w:jc w:val="both"/>
      </w:pPr>
      <w:r>
        <w:t>Respondents will have the option to include their name and contact</w:t>
      </w:r>
      <w:r w:rsidR="008254A0">
        <w:t xml:space="preserve"> information for follow up purposes. </w:t>
      </w:r>
    </w:p>
    <w:p w:rsidR="00436F5E" w:rsidP="008F570D" w14:paraId="0442A162" w14:textId="77777777"/>
    <w:p w:rsidR="00E94C7B" w:rsidP="008F570D" w14:paraId="5AC42354" w14:textId="77777777">
      <w:pPr>
        <w:spacing w:after="120"/>
        <w:rPr>
          <w:b/>
        </w:rPr>
      </w:pPr>
    </w:p>
    <w:p w:rsidR="00945CD6" w:rsidRPr="0072204D" w:rsidP="008F570D" w14:paraId="0B35E015" w14:textId="1E771DEF">
      <w:pPr>
        <w:spacing w:after="120"/>
        <w:rPr>
          <w:b/>
        </w:rPr>
      </w:pPr>
      <w:r>
        <w:rPr>
          <w:b/>
        </w:rPr>
        <w:t xml:space="preserve">A11. </w:t>
      </w:r>
      <w:r w:rsidRPr="0072204D">
        <w:rPr>
          <w:b/>
        </w:rPr>
        <w:t>Sensitive Questions</w:t>
      </w:r>
    </w:p>
    <w:p w:rsidR="00D90EF6" w:rsidP="008F570D" w14:paraId="2CE230F0" w14:textId="77777777">
      <w:r w:rsidRPr="00AD4743">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E37ABE" w:rsidRPr="00E37ABE" w:rsidP="00064FF7" w14:paraId="482F8560" w14:textId="48FC6240">
      <w:pPr>
        <w:jc w:val="both"/>
      </w:pPr>
      <w:r>
        <w:t xml:space="preserve">The survey is intended to take </w:t>
      </w:r>
      <w:r w:rsidR="00536992">
        <w:t>30</w:t>
      </w:r>
      <w:r>
        <w:t xml:space="preserve"> minutes or less. </w:t>
      </w:r>
      <w:r w:rsidR="00F31158">
        <w:t>It is estimated th</w:t>
      </w:r>
      <w:r w:rsidR="00923B94">
        <w:t>at</w:t>
      </w:r>
      <w:r w:rsidR="00F31158">
        <w:t xml:space="preserve"> 169 respondents will complete the survey. </w:t>
      </w:r>
    </w:p>
    <w:p w:rsidR="00542413" w:rsidRPr="00542413" w:rsidP="00064FF7" w14:paraId="53AD5D50" w14:textId="77777777">
      <w:pPr>
        <w:jc w:val="both"/>
        <w:rPr>
          <w:b/>
          <w:bCs/>
          <w:i/>
          <w:iCs/>
        </w:rPr>
      </w:pPr>
    </w:p>
    <w:p w:rsidR="00542413" w:rsidRPr="002F3EDE" w:rsidP="4D3A5EA9" w14:paraId="6CBE253C" w14:textId="16147A58">
      <w:pPr>
        <w:spacing w:after="60"/>
        <w:rPr>
          <w:b/>
          <w:bCs/>
          <w:i/>
          <w:iCs/>
        </w:rPr>
      </w:pPr>
      <w:r w:rsidRPr="4D3A5EA9">
        <w:rPr>
          <w:b/>
          <w:bCs/>
          <w:i/>
          <w:iCs/>
        </w:rPr>
        <w:t>Cost Estimates</w:t>
      </w:r>
    </w:p>
    <w:p w:rsidR="006D5902" w:rsidP="00064FF7" w14:paraId="7F244F65" w14:textId="29E4296F">
      <w:pPr>
        <w:jc w:val="both"/>
      </w:pPr>
      <w:r>
        <w:t xml:space="preserve">The estimated average wage was calculated using a </w:t>
      </w:r>
      <w:r w:rsidR="00A57445">
        <w:t xml:space="preserve">list of all </w:t>
      </w:r>
      <w:r w:rsidR="00F61EB4">
        <w:t xml:space="preserve">reported </w:t>
      </w:r>
      <w:r w:rsidR="007C401C">
        <w:t>Education</w:t>
      </w:r>
      <w:r w:rsidR="00F61EB4">
        <w:t xml:space="preserve"> Lead (or equivalent) salarie</w:t>
      </w:r>
      <w:r w:rsidR="007C401C">
        <w:t>s</w:t>
      </w:r>
      <w:r w:rsidR="00F61EB4">
        <w:t xml:space="preserve"> in 2023. </w:t>
      </w:r>
      <w:r>
        <w:t xml:space="preserve">The average salary was $71,925. This was </w:t>
      </w:r>
      <w:r w:rsidR="00692F64">
        <w:t xml:space="preserve">multiplied </w:t>
      </w:r>
      <w:r w:rsidR="000D03B4">
        <w:t xml:space="preserve">by 2 </w:t>
      </w:r>
      <w:r>
        <w:t xml:space="preserve">($143,850) </w:t>
      </w:r>
      <w:r w:rsidR="000D03B4">
        <w:t>to account for fringe benefits</w:t>
      </w:r>
      <w:r w:rsidR="006F0DA1">
        <w:t xml:space="preserve"> and overhead</w:t>
      </w:r>
      <w:r>
        <w:t xml:space="preserve"> and then an hourly wage estimate ($69.16) was calculated based on that. </w:t>
      </w:r>
      <w:r w:rsidR="000D03B4">
        <w:t xml:space="preserve"> </w:t>
      </w:r>
    </w:p>
    <w:tbl>
      <w:tblPr>
        <w:tblpPr w:leftFromText="180" w:rightFromText="180" w:vertAnchor="text" w:horzAnchor="margin" w:tblpY="93"/>
        <w:tblW w:w="8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4"/>
        <w:gridCol w:w="1239"/>
        <w:gridCol w:w="1691"/>
        <w:gridCol w:w="983"/>
        <w:gridCol w:w="1230"/>
        <w:gridCol w:w="894"/>
        <w:gridCol w:w="1108"/>
      </w:tblGrid>
      <w:tr w14:paraId="75096341" w14:textId="77777777" w:rsidTr="00BE3D32">
        <w:tblPrEx>
          <w:tblW w:w="8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614" w:type="dxa"/>
            <w:shd w:val="clear" w:color="auto" w:fill="BFBFBF"/>
            <w:vAlign w:val="center"/>
          </w:tcPr>
          <w:p w:rsidR="00BE3D32" w:rsidRPr="00BD4CFB" w:rsidP="00BE3D32" w14:paraId="047EE033" w14:textId="77777777">
            <w:pPr>
              <w:jc w:val="center"/>
              <w:rPr>
                <w:sz w:val="20"/>
                <w:szCs w:val="20"/>
              </w:rPr>
            </w:pPr>
            <w:r w:rsidRPr="00BD4CFB">
              <w:rPr>
                <w:sz w:val="20"/>
                <w:szCs w:val="20"/>
              </w:rPr>
              <w:t>Instrument</w:t>
            </w:r>
          </w:p>
        </w:tc>
        <w:tc>
          <w:tcPr>
            <w:tcW w:w="1239" w:type="dxa"/>
            <w:shd w:val="clear" w:color="auto" w:fill="BFBFBF"/>
            <w:vAlign w:val="center"/>
          </w:tcPr>
          <w:p w:rsidR="00BE3D32" w:rsidRPr="00BD4CFB" w:rsidP="00BE3D32" w14:paraId="126BB934" w14:textId="77777777">
            <w:pPr>
              <w:jc w:val="center"/>
              <w:rPr>
                <w:sz w:val="20"/>
                <w:szCs w:val="20"/>
              </w:rPr>
            </w:pPr>
            <w:r>
              <w:rPr>
                <w:sz w:val="20"/>
                <w:szCs w:val="20"/>
              </w:rPr>
              <w:t xml:space="preserve">Total </w:t>
            </w:r>
            <w:r w:rsidRPr="00BD4CFB">
              <w:rPr>
                <w:sz w:val="20"/>
                <w:szCs w:val="20"/>
              </w:rPr>
              <w:t>Number of Respondents</w:t>
            </w:r>
          </w:p>
        </w:tc>
        <w:tc>
          <w:tcPr>
            <w:tcW w:w="1691" w:type="dxa"/>
            <w:shd w:val="clear" w:color="auto" w:fill="BFBFBF"/>
            <w:vAlign w:val="center"/>
          </w:tcPr>
          <w:p w:rsidR="00BE3D32" w:rsidRPr="00BD4CFB" w:rsidP="00BE3D32" w14:paraId="49ACCDF7" w14:textId="77777777">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BE3D32" w:rsidRPr="00BD4CFB" w:rsidP="00BE3D32" w14:paraId="056660EA" w14:textId="77777777">
            <w:pPr>
              <w:jc w:val="center"/>
              <w:rPr>
                <w:sz w:val="20"/>
                <w:szCs w:val="20"/>
              </w:rPr>
            </w:pPr>
            <w:r w:rsidRPr="00BD4CFB">
              <w:rPr>
                <w:sz w:val="20"/>
                <w:szCs w:val="20"/>
              </w:rPr>
              <w:t>Average Burden Hours Per Response</w:t>
            </w:r>
          </w:p>
        </w:tc>
        <w:tc>
          <w:tcPr>
            <w:tcW w:w="1230" w:type="dxa"/>
            <w:shd w:val="clear" w:color="auto" w:fill="BFBFBF"/>
            <w:vAlign w:val="center"/>
          </w:tcPr>
          <w:p w:rsidR="00BE3D32" w:rsidP="00BE3D32" w14:paraId="43A09EDD" w14:textId="77777777">
            <w:pPr>
              <w:jc w:val="center"/>
              <w:rPr>
                <w:bCs/>
                <w:sz w:val="20"/>
                <w:szCs w:val="20"/>
              </w:rPr>
            </w:pPr>
            <w:r>
              <w:rPr>
                <w:bCs/>
                <w:sz w:val="20"/>
                <w:szCs w:val="20"/>
              </w:rPr>
              <w:t>Total</w:t>
            </w:r>
          </w:p>
          <w:p w:rsidR="00BE3D32" w:rsidP="00BE3D32" w14:paraId="03FB646C" w14:textId="77777777">
            <w:pPr>
              <w:jc w:val="center"/>
              <w:rPr>
                <w:bCs/>
                <w:sz w:val="20"/>
                <w:szCs w:val="20"/>
              </w:rPr>
            </w:pPr>
            <w:r>
              <w:rPr>
                <w:bCs/>
                <w:sz w:val="20"/>
                <w:szCs w:val="20"/>
              </w:rPr>
              <w:t>Burden Hours</w:t>
            </w:r>
          </w:p>
        </w:tc>
        <w:tc>
          <w:tcPr>
            <w:tcW w:w="894" w:type="dxa"/>
            <w:shd w:val="clear" w:color="auto" w:fill="BFBFBF"/>
            <w:vAlign w:val="center"/>
          </w:tcPr>
          <w:p w:rsidR="00BE3D32" w:rsidRPr="00BD4CFB" w:rsidP="00BE3D32" w14:paraId="5E48386F" w14:textId="77777777">
            <w:pPr>
              <w:jc w:val="center"/>
              <w:rPr>
                <w:sz w:val="20"/>
                <w:szCs w:val="20"/>
              </w:rPr>
            </w:pPr>
            <w:r w:rsidRPr="00BD4CFB">
              <w:rPr>
                <w:bCs/>
                <w:sz w:val="20"/>
                <w:szCs w:val="20"/>
              </w:rPr>
              <w:t>Average Hourly Wage</w:t>
            </w:r>
          </w:p>
        </w:tc>
        <w:tc>
          <w:tcPr>
            <w:tcW w:w="1108" w:type="dxa"/>
            <w:shd w:val="clear" w:color="auto" w:fill="BFBFBF"/>
            <w:vAlign w:val="center"/>
          </w:tcPr>
          <w:p w:rsidR="00BE3D32" w:rsidRPr="00BD4CFB" w:rsidP="00BE3D32" w14:paraId="13A9D2D1" w14:textId="77777777">
            <w:pPr>
              <w:jc w:val="center"/>
              <w:rPr>
                <w:sz w:val="20"/>
                <w:szCs w:val="20"/>
              </w:rPr>
            </w:pPr>
            <w:r w:rsidRPr="00BD4CFB">
              <w:rPr>
                <w:bCs/>
                <w:sz w:val="20"/>
                <w:szCs w:val="20"/>
              </w:rPr>
              <w:t>Total Annual Cost</w:t>
            </w:r>
          </w:p>
        </w:tc>
      </w:tr>
      <w:tr w14:paraId="1C578901" w14:textId="77777777" w:rsidTr="008770B1">
        <w:tblPrEx>
          <w:tblW w:w="8759" w:type="dxa"/>
          <w:tblLook w:val="00A0"/>
        </w:tblPrEx>
        <w:trPr>
          <w:trHeight w:val="432"/>
        </w:trPr>
        <w:tc>
          <w:tcPr>
            <w:tcW w:w="1614" w:type="dxa"/>
            <w:vAlign w:val="center"/>
          </w:tcPr>
          <w:p w:rsidR="00BE3D32" w:rsidRPr="00BD4CFB" w:rsidP="00BE3D32" w14:paraId="0431B1D3" w14:textId="77777777">
            <w:pPr>
              <w:tabs>
                <w:tab w:val="center" w:pos="4320"/>
                <w:tab w:val="right" w:pos="8640"/>
              </w:tabs>
              <w:rPr>
                <w:sz w:val="20"/>
                <w:szCs w:val="20"/>
              </w:rPr>
            </w:pPr>
            <w:r>
              <w:rPr>
                <w:sz w:val="20"/>
                <w:szCs w:val="20"/>
              </w:rPr>
              <w:t>Education Services Survey</w:t>
            </w:r>
          </w:p>
        </w:tc>
        <w:tc>
          <w:tcPr>
            <w:tcW w:w="1239" w:type="dxa"/>
            <w:vAlign w:val="center"/>
          </w:tcPr>
          <w:p w:rsidR="00BE3D32" w:rsidRPr="00BD4CFB" w:rsidP="00BE3D32" w14:paraId="017F8CDA" w14:textId="77777777">
            <w:pPr>
              <w:tabs>
                <w:tab w:val="center" w:pos="4320"/>
                <w:tab w:val="right" w:pos="8640"/>
              </w:tabs>
              <w:jc w:val="center"/>
              <w:rPr>
                <w:sz w:val="20"/>
                <w:szCs w:val="20"/>
                <w:highlight w:val="yellow"/>
              </w:rPr>
            </w:pPr>
            <w:r w:rsidRPr="00AD4743">
              <w:rPr>
                <w:sz w:val="20"/>
                <w:szCs w:val="20"/>
              </w:rPr>
              <w:t>169</w:t>
            </w:r>
          </w:p>
        </w:tc>
        <w:tc>
          <w:tcPr>
            <w:tcW w:w="1691" w:type="dxa"/>
            <w:vAlign w:val="center"/>
          </w:tcPr>
          <w:p w:rsidR="00BE3D32" w:rsidRPr="00BD4CFB" w:rsidP="00BE3D32" w14:paraId="154B2638" w14:textId="77777777">
            <w:pPr>
              <w:tabs>
                <w:tab w:val="center" w:pos="4320"/>
                <w:tab w:val="right" w:pos="8640"/>
              </w:tabs>
              <w:jc w:val="center"/>
              <w:rPr>
                <w:sz w:val="20"/>
                <w:szCs w:val="20"/>
              </w:rPr>
            </w:pPr>
            <w:r>
              <w:rPr>
                <w:sz w:val="20"/>
                <w:szCs w:val="20"/>
              </w:rPr>
              <w:t>1</w:t>
            </w:r>
          </w:p>
        </w:tc>
        <w:tc>
          <w:tcPr>
            <w:tcW w:w="983" w:type="dxa"/>
            <w:vAlign w:val="center"/>
          </w:tcPr>
          <w:p w:rsidR="00BE3D32" w:rsidRPr="00BD4CFB" w:rsidP="00BE3D32" w14:paraId="7F05ED76" w14:textId="77777777">
            <w:pPr>
              <w:tabs>
                <w:tab w:val="center" w:pos="4320"/>
                <w:tab w:val="right" w:pos="8640"/>
              </w:tabs>
              <w:jc w:val="center"/>
              <w:rPr>
                <w:sz w:val="20"/>
                <w:szCs w:val="20"/>
              </w:rPr>
            </w:pPr>
            <w:r>
              <w:rPr>
                <w:sz w:val="20"/>
                <w:szCs w:val="20"/>
              </w:rPr>
              <w:t>.5</w:t>
            </w:r>
          </w:p>
        </w:tc>
        <w:tc>
          <w:tcPr>
            <w:tcW w:w="1230" w:type="dxa"/>
            <w:vAlign w:val="center"/>
          </w:tcPr>
          <w:p w:rsidR="00BE3D32" w:rsidRPr="00BD4CFB" w:rsidP="00EB019D" w14:paraId="2173B946" w14:textId="77777777">
            <w:pPr>
              <w:tabs>
                <w:tab w:val="center" w:pos="4320"/>
                <w:tab w:val="right" w:pos="8640"/>
              </w:tabs>
              <w:jc w:val="center"/>
              <w:rPr>
                <w:sz w:val="20"/>
                <w:szCs w:val="20"/>
              </w:rPr>
            </w:pPr>
            <w:r>
              <w:rPr>
                <w:sz w:val="20"/>
                <w:szCs w:val="20"/>
              </w:rPr>
              <w:t>84.5</w:t>
            </w:r>
          </w:p>
        </w:tc>
        <w:tc>
          <w:tcPr>
            <w:tcW w:w="894" w:type="dxa"/>
            <w:vAlign w:val="center"/>
          </w:tcPr>
          <w:p w:rsidR="00BE3D32" w:rsidRPr="00BD4CFB" w:rsidP="00BE3D32" w14:paraId="6F9775CA" w14:textId="77777777">
            <w:pPr>
              <w:tabs>
                <w:tab w:val="center" w:pos="4320"/>
                <w:tab w:val="right" w:pos="8640"/>
              </w:tabs>
              <w:jc w:val="center"/>
              <w:rPr>
                <w:sz w:val="20"/>
                <w:szCs w:val="20"/>
              </w:rPr>
            </w:pPr>
            <w:r>
              <w:rPr>
                <w:sz w:val="20"/>
                <w:szCs w:val="20"/>
              </w:rPr>
              <w:t>$ 69.16</w:t>
            </w:r>
          </w:p>
        </w:tc>
        <w:tc>
          <w:tcPr>
            <w:tcW w:w="1108" w:type="dxa"/>
            <w:vAlign w:val="center"/>
          </w:tcPr>
          <w:p w:rsidR="00BE3D32" w:rsidRPr="00BD4CFB" w:rsidP="00BE3D32" w14:paraId="208EAB8A" w14:textId="77777777">
            <w:pPr>
              <w:tabs>
                <w:tab w:val="center" w:pos="4320"/>
                <w:tab w:val="right" w:pos="8640"/>
              </w:tabs>
              <w:jc w:val="center"/>
              <w:rPr>
                <w:sz w:val="20"/>
                <w:szCs w:val="20"/>
              </w:rPr>
            </w:pPr>
            <w:r>
              <w:rPr>
                <w:sz w:val="20"/>
                <w:szCs w:val="20"/>
              </w:rPr>
              <w:t>$5844.02</w:t>
            </w:r>
          </w:p>
        </w:tc>
      </w:tr>
    </w:tbl>
    <w:p w:rsidR="006D5902" w:rsidP="0033072C" w14:paraId="369009C3" w14:textId="77777777"/>
    <w:p w:rsidR="00542413" w:rsidRPr="00542413" w:rsidP="008F570D" w14:paraId="26232607" w14:textId="77777777">
      <w:pPr>
        <w:rPr>
          <w:i/>
          <w:iCs/>
        </w:rPr>
      </w:pPr>
    </w:p>
    <w:p w:rsidR="00436F5E" w:rsidP="008F570D" w14:paraId="4FC5BEDE" w14:textId="77777777"/>
    <w:p w:rsidR="002338AC" w:rsidP="008F570D" w14:paraId="3C895703" w14:textId="77777777">
      <w:pPr>
        <w:ind w:left="360"/>
      </w:pPr>
    </w:p>
    <w:p w:rsidR="00BE3D32" w:rsidP="00542413" w14:paraId="521BFDE3" w14:textId="77777777">
      <w:pPr>
        <w:spacing w:after="120"/>
        <w:rPr>
          <w:b/>
        </w:rPr>
      </w:pPr>
    </w:p>
    <w:p w:rsidR="00BE3D32" w:rsidP="00542413" w14:paraId="55967B58" w14:textId="77777777">
      <w:pPr>
        <w:spacing w:after="120"/>
        <w:rPr>
          <w:b/>
        </w:rPr>
      </w:pPr>
    </w:p>
    <w:p w:rsidR="00BE3D32" w:rsidP="00542413" w14:paraId="651D0A24" w14:textId="77777777">
      <w:pPr>
        <w:spacing w:after="120"/>
        <w:rPr>
          <w:b/>
        </w:rPr>
      </w:pPr>
    </w:p>
    <w:p w:rsidR="00945CD6" w:rsidRPr="0072204D" w:rsidP="00542413" w14:paraId="7BDBE261" w14:textId="0906CE17">
      <w:pPr>
        <w:spacing w:after="120"/>
        <w:rPr>
          <w:b/>
        </w:rPr>
      </w:pPr>
      <w:r>
        <w:rPr>
          <w:b/>
        </w:rPr>
        <w:t xml:space="preserve">A13. </w:t>
      </w:r>
      <w:r w:rsidRPr="0072204D">
        <w:rPr>
          <w:b/>
        </w:rPr>
        <w:t>Cost Burden to Respondents or Record Keepers</w:t>
      </w:r>
    </w:p>
    <w:p w:rsidR="00D90EF6" w:rsidP="008F570D" w14:paraId="3D88B0B4" w14:textId="77777777">
      <w:r w:rsidRPr="00D84754">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3E056DBE">
      <w:r>
        <w:t>The total cost for the data collection activities under this current request will be $</w:t>
      </w:r>
      <w:r w:rsidR="004E79C2">
        <w:t>4,250.60</w:t>
      </w:r>
      <w:r w:rsidR="00536992">
        <w:t>.</w:t>
      </w:r>
    </w:p>
    <w:p w:rsidR="00F64E10" w:rsidP="00B31429" w14:paraId="3805749E" w14:textId="77777777"/>
    <w:p w:rsidR="00B31429" w:rsidP="00B31429" w14:paraId="3AF9AD40" w14:textId="7EC99BC8">
      <w:r>
        <w:t>T</w:t>
      </w:r>
      <w:r w:rsidR="00257573">
        <w:t>wo</w:t>
      </w:r>
      <w:r>
        <w:t xml:space="preserve"> </w:t>
      </w:r>
      <w:r w:rsidR="00A01778">
        <w:t xml:space="preserve">federal </w:t>
      </w:r>
      <w:r>
        <w:t>employees will collect</w:t>
      </w:r>
      <w:r w:rsidR="004E79C2">
        <w:t xml:space="preserve">, </w:t>
      </w:r>
      <w:r w:rsidR="00257573">
        <w:t>analyze</w:t>
      </w:r>
      <w:r w:rsidR="004E79C2">
        <w:t>, and present</w:t>
      </w:r>
      <w:r>
        <w:t xml:space="preserve"> the </w:t>
      </w:r>
      <w:r w:rsidR="00257573">
        <w:t xml:space="preserve">survey data. </w:t>
      </w:r>
      <w:r>
        <w:t xml:space="preserve">The wage was calculated using </w:t>
      </w:r>
      <w:r w:rsidR="00257573">
        <w:t xml:space="preserve">the </w:t>
      </w:r>
      <w:r w:rsidR="00C43495">
        <w:t>current wages of the staff assigned to the project</w:t>
      </w:r>
      <w:r>
        <w:t xml:space="preserve">. The </w:t>
      </w:r>
      <w:r w:rsidR="00F64E10">
        <w:t>wage</w:t>
      </w:r>
      <w:r w:rsidR="004E79C2">
        <w:t>s</w:t>
      </w:r>
      <w:r w:rsidR="0091256A">
        <w:t xml:space="preserve"> were</w:t>
      </w:r>
      <w:r>
        <w:t xml:space="preserve"> multiplied by 2 to account for fringe benefits and overhead.  </w:t>
      </w:r>
    </w:p>
    <w:p w:rsidR="000702EE" w:rsidP="008F570D" w14:paraId="253B7F19" w14:textId="77777777"/>
    <w:tbl>
      <w:tblPr>
        <w:tblpPr w:leftFromText="180" w:rightFromText="180" w:vertAnchor="text" w:horzAnchor="margin" w:tblpY="93"/>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0"/>
        <w:gridCol w:w="1935"/>
        <w:gridCol w:w="2145"/>
        <w:gridCol w:w="2128"/>
      </w:tblGrid>
      <w:tr w14:paraId="2AC9D66B" w14:textId="77777777" w:rsidTr="008770B1">
        <w:tblPrEx>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67"/>
        </w:trPr>
        <w:tc>
          <w:tcPr>
            <w:tcW w:w="3100" w:type="dxa"/>
            <w:shd w:val="clear" w:color="auto" w:fill="BFBFBF"/>
            <w:vAlign w:val="center"/>
          </w:tcPr>
          <w:p w:rsidR="00581F21" w:rsidRPr="00BD4CFB" w14:paraId="7C6B3BBA" w14:textId="5289B7FD">
            <w:pPr>
              <w:jc w:val="center"/>
              <w:rPr>
                <w:sz w:val="20"/>
                <w:szCs w:val="20"/>
              </w:rPr>
            </w:pPr>
            <w:r>
              <w:rPr>
                <w:sz w:val="20"/>
                <w:szCs w:val="20"/>
              </w:rPr>
              <w:t>Employee</w:t>
            </w:r>
          </w:p>
        </w:tc>
        <w:tc>
          <w:tcPr>
            <w:tcW w:w="1935" w:type="dxa"/>
            <w:shd w:val="clear" w:color="auto" w:fill="BFBFBF"/>
            <w:vAlign w:val="center"/>
          </w:tcPr>
          <w:p w:rsidR="00581F21" w14:paraId="1A29C8A7" w14:textId="77777777">
            <w:pPr>
              <w:jc w:val="center"/>
              <w:rPr>
                <w:bCs/>
                <w:sz w:val="20"/>
                <w:szCs w:val="20"/>
              </w:rPr>
            </w:pPr>
            <w:r>
              <w:rPr>
                <w:bCs/>
                <w:sz w:val="20"/>
                <w:szCs w:val="20"/>
              </w:rPr>
              <w:t>Total</w:t>
            </w:r>
          </w:p>
          <w:p w:rsidR="00581F21" w14:paraId="50035F39" w14:textId="77777777">
            <w:pPr>
              <w:jc w:val="center"/>
              <w:rPr>
                <w:bCs/>
                <w:sz w:val="20"/>
                <w:szCs w:val="20"/>
              </w:rPr>
            </w:pPr>
            <w:r>
              <w:rPr>
                <w:bCs/>
                <w:sz w:val="20"/>
                <w:szCs w:val="20"/>
              </w:rPr>
              <w:t>Burden Hours</w:t>
            </w:r>
          </w:p>
        </w:tc>
        <w:tc>
          <w:tcPr>
            <w:tcW w:w="2145" w:type="dxa"/>
            <w:shd w:val="clear" w:color="auto" w:fill="BFBFBF"/>
            <w:vAlign w:val="center"/>
          </w:tcPr>
          <w:p w:rsidR="00581F21" w:rsidRPr="00BD4CFB" w14:paraId="2C68DC29" w14:textId="7354A1A7">
            <w:pPr>
              <w:jc w:val="center"/>
              <w:rPr>
                <w:sz w:val="20"/>
                <w:szCs w:val="20"/>
              </w:rPr>
            </w:pPr>
            <w:r w:rsidRPr="00BD4CFB">
              <w:rPr>
                <w:bCs/>
                <w:sz w:val="20"/>
                <w:szCs w:val="20"/>
              </w:rPr>
              <w:t>Hourly Wage</w:t>
            </w:r>
          </w:p>
        </w:tc>
        <w:tc>
          <w:tcPr>
            <w:tcW w:w="2128" w:type="dxa"/>
            <w:shd w:val="clear" w:color="auto" w:fill="BFBFBF"/>
            <w:vAlign w:val="center"/>
          </w:tcPr>
          <w:p w:rsidR="00581F21" w:rsidRPr="00BD4CFB" w14:paraId="4DD2CB30" w14:textId="77777777">
            <w:pPr>
              <w:jc w:val="center"/>
              <w:rPr>
                <w:sz w:val="20"/>
                <w:szCs w:val="20"/>
              </w:rPr>
            </w:pPr>
            <w:r w:rsidRPr="00BD4CFB">
              <w:rPr>
                <w:bCs/>
                <w:sz w:val="20"/>
                <w:szCs w:val="20"/>
              </w:rPr>
              <w:t>Total Annual Cost</w:t>
            </w:r>
          </w:p>
        </w:tc>
      </w:tr>
      <w:tr w14:paraId="00AB0D03" w14:textId="77777777" w:rsidTr="008770B1">
        <w:tblPrEx>
          <w:tblW w:w="9308" w:type="dxa"/>
          <w:tblLook w:val="00A0"/>
        </w:tblPrEx>
        <w:trPr>
          <w:trHeight w:val="355"/>
        </w:trPr>
        <w:tc>
          <w:tcPr>
            <w:tcW w:w="3100" w:type="dxa"/>
            <w:vAlign w:val="center"/>
          </w:tcPr>
          <w:p w:rsidR="00581F21" w:rsidRPr="00BD4CFB" w14:paraId="1C338284" w14:textId="2E4F9275">
            <w:pPr>
              <w:tabs>
                <w:tab w:val="center" w:pos="4320"/>
                <w:tab w:val="right" w:pos="8640"/>
              </w:tabs>
              <w:rPr>
                <w:sz w:val="20"/>
                <w:szCs w:val="20"/>
              </w:rPr>
            </w:pPr>
            <w:r>
              <w:rPr>
                <w:sz w:val="20"/>
                <w:szCs w:val="20"/>
              </w:rPr>
              <w:t xml:space="preserve">Data </w:t>
            </w:r>
            <w:r w:rsidR="00B31429">
              <w:rPr>
                <w:sz w:val="20"/>
                <w:szCs w:val="20"/>
              </w:rPr>
              <w:t>Analyst (GS9</w:t>
            </w:r>
            <w:r w:rsidR="0091256A">
              <w:rPr>
                <w:sz w:val="20"/>
                <w:szCs w:val="20"/>
              </w:rPr>
              <w:t xml:space="preserve"> Step 1</w:t>
            </w:r>
            <w:r w:rsidR="00B31429">
              <w:rPr>
                <w:sz w:val="20"/>
                <w:szCs w:val="20"/>
              </w:rPr>
              <w:t>)</w:t>
            </w:r>
            <w:r w:rsidR="0091256A">
              <w:rPr>
                <w:sz w:val="20"/>
                <w:szCs w:val="20"/>
              </w:rPr>
              <w:t xml:space="preserve"> (Atlanta)</w:t>
            </w:r>
          </w:p>
        </w:tc>
        <w:tc>
          <w:tcPr>
            <w:tcW w:w="1935" w:type="dxa"/>
            <w:vAlign w:val="center"/>
          </w:tcPr>
          <w:p w:rsidR="00581F21" w:rsidRPr="00BD4CFB" w14:paraId="7EB67364" w14:textId="3BA5E93F">
            <w:pPr>
              <w:tabs>
                <w:tab w:val="center" w:pos="4320"/>
                <w:tab w:val="right" w:pos="8640"/>
              </w:tabs>
              <w:jc w:val="center"/>
              <w:rPr>
                <w:sz w:val="20"/>
                <w:szCs w:val="20"/>
              </w:rPr>
            </w:pPr>
            <w:r>
              <w:rPr>
                <w:sz w:val="20"/>
                <w:szCs w:val="20"/>
              </w:rPr>
              <w:t>20</w:t>
            </w:r>
          </w:p>
        </w:tc>
        <w:tc>
          <w:tcPr>
            <w:tcW w:w="2145" w:type="dxa"/>
            <w:vAlign w:val="center"/>
          </w:tcPr>
          <w:p w:rsidR="00581F21" w:rsidRPr="00BD4CFB" w14:paraId="3875C5DB" w14:textId="08957318">
            <w:pPr>
              <w:tabs>
                <w:tab w:val="center" w:pos="4320"/>
                <w:tab w:val="right" w:pos="8640"/>
              </w:tabs>
              <w:jc w:val="center"/>
              <w:rPr>
                <w:sz w:val="20"/>
                <w:szCs w:val="20"/>
              </w:rPr>
            </w:pPr>
            <w:r>
              <w:rPr>
                <w:sz w:val="20"/>
                <w:szCs w:val="20"/>
              </w:rPr>
              <w:t>$13.01 x 2= $26.02</w:t>
            </w:r>
          </w:p>
        </w:tc>
        <w:tc>
          <w:tcPr>
            <w:tcW w:w="2128" w:type="dxa"/>
            <w:vAlign w:val="center"/>
          </w:tcPr>
          <w:p w:rsidR="00581F21" w:rsidRPr="00BD4CFB" w14:paraId="19342639" w14:textId="3B42C03A">
            <w:pPr>
              <w:tabs>
                <w:tab w:val="center" w:pos="4320"/>
                <w:tab w:val="right" w:pos="8640"/>
              </w:tabs>
              <w:jc w:val="center"/>
              <w:rPr>
                <w:sz w:val="20"/>
                <w:szCs w:val="20"/>
              </w:rPr>
            </w:pPr>
            <w:r>
              <w:rPr>
                <w:sz w:val="20"/>
                <w:szCs w:val="20"/>
              </w:rPr>
              <w:t>$520.40</w:t>
            </w:r>
          </w:p>
        </w:tc>
      </w:tr>
      <w:tr w14:paraId="3DB03DAA" w14:textId="77777777" w:rsidTr="008770B1">
        <w:tblPrEx>
          <w:tblW w:w="9308" w:type="dxa"/>
          <w:tblLook w:val="00A0"/>
        </w:tblPrEx>
        <w:trPr>
          <w:trHeight w:val="355"/>
        </w:trPr>
        <w:tc>
          <w:tcPr>
            <w:tcW w:w="3100" w:type="dxa"/>
            <w:vAlign w:val="center"/>
          </w:tcPr>
          <w:p w:rsidR="00B31429" w14:paraId="23211F1E" w14:textId="7E8E5414">
            <w:pPr>
              <w:tabs>
                <w:tab w:val="center" w:pos="4320"/>
                <w:tab w:val="right" w:pos="8640"/>
              </w:tabs>
              <w:rPr>
                <w:sz w:val="20"/>
                <w:szCs w:val="20"/>
              </w:rPr>
            </w:pPr>
            <w:r>
              <w:rPr>
                <w:sz w:val="20"/>
                <w:szCs w:val="20"/>
              </w:rPr>
              <w:t>Procedures Analyst (GS13</w:t>
            </w:r>
            <w:r w:rsidR="0091256A">
              <w:rPr>
                <w:sz w:val="20"/>
                <w:szCs w:val="20"/>
              </w:rPr>
              <w:t xml:space="preserve"> Step </w:t>
            </w:r>
            <w:r w:rsidR="0091256A">
              <w:rPr>
                <w:sz w:val="20"/>
                <w:szCs w:val="20"/>
              </w:rPr>
              <w:t>4</w:t>
            </w:r>
            <w:r>
              <w:rPr>
                <w:sz w:val="20"/>
                <w:szCs w:val="20"/>
              </w:rPr>
              <w:t>)</w:t>
            </w:r>
            <w:r w:rsidR="00A8796C">
              <w:rPr>
                <w:sz w:val="20"/>
                <w:szCs w:val="20"/>
              </w:rPr>
              <w:t>(</w:t>
            </w:r>
            <w:r w:rsidR="00A8796C">
              <w:rPr>
                <w:sz w:val="20"/>
                <w:szCs w:val="20"/>
              </w:rPr>
              <w:t>WDC)</w:t>
            </w:r>
          </w:p>
        </w:tc>
        <w:tc>
          <w:tcPr>
            <w:tcW w:w="1935" w:type="dxa"/>
            <w:vAlign w:val="center"/>
          </w:tcPr>
          <w:p w:rsidR="00B31429" w14:paraId="48B39598" w14:textId="592F1C47">
            <w:pPr>
              <w:tabs>
                <w:tab w:val="center" w:pos="4320"/>
                <w:tab w:val="right" w:pos="8640"/>
              </w:tabs>
              <w:jc w:val="center"/>
              <w:rPr>
                <w:sz w:val="20"/>
                <w:szCs w:val="20"/>
              </w:rPr>
            </w:pPr>
            <w:r>
              <w:rPr>
                <w:sz w:val="20"/>
                <w:szCs w:val="20"/>
              </w:rPr>
              <w:t>30</w:t>
            </w:r>
          </w:p>
        </w:tc>
        <w:tc>
          <w:tcPr>
            <w:tcW w:w="2145" w:type="dxa"/>
            <w:vAlign w:val="center"/>
          </w:tcPr>
          <w:p w:rsidR="00B31429" w14:paraId="2C7EBDF0" w14:textId="7FD2A662">
            <w:pPr>
              <w:tabs>
                <w:tab w:val="center" w:pos="4320"/>
                <w:tab w:val="right" w:pos="8640"/>
              </w:tabs>
              <w:jc w:val="center"/>
              <w:rPr>
                <w:sz w:val="20"/>
                <w:szCs w:val="20"/>
              </w:rPr>
            </w:pPr>
            <w:r>
              <w:rPr>
                <w:sz w:val="20"/>
                <w:szCs w:val="20"/>
              </w:rPr>
              <w:t>$62.17 x 2= $</w:t>
            </w:r>
            <w:r w:rsidR="007B497B">
              <w:rPr>
                <w:sz w:val="20"/>
                <w:szCs w:val="20"/>
              </w:rPr>
              <w:t>124.34</w:t>
            </w:r>
          </w:p>
        </w:tc>
        <w:tc>
          <w:tcPr>
            <w:tcW w:w="2128" w:type="dxa"/>
            <w:vAlign w:val="center"/>
          </w:tcPr>
          <w:p w:rsidR="00B31429" w14:paraId="1549723D" w14:textId="13FFE9D0">
            <w:pPr>
              <w:tabs>
                <w:tab w:val="center" w:pos="4320"/>
                <w:tab w:val="right" w:pos="8640"/>
              </w:tabs>
              <w:jc w:val="center"/>
              <w:rPr>
                <w:sz w:val="20"/>
                <w:szCs w:val="20"/>
              </w:rPr>
            </w:pPr>
            <w:r>
              <w:rPr>
                <w:sz w:val="20"/>
                <w:szCs w:val="20"/>
              </w:rPr>
              <w:t>$3</w:t>
            </w:r>
            <w:r w:rsidR="00BE341C">
              <w:rPr>
                <w:sz w:val="20"/>
                <w:szCs w:val="20"/>
              </w:rPr>
              <w:t>,</w:t>
            </w:r>
            <w:r>
              <w:rPr>
                <w:sz w:val="20"/>
                <w:szCs w:val="20"/>
              </w:rPr>
              <w:t>730.20</w:t>
            </w:r>
          </w:p>
        </w:tc>
      </w:tr>
      <w:tr w14:paraId="7E6BE138" w14:textId="77777777" w:rsidTr="008770B1">
        <w:tblPrEx>
          <w:tblW w:w="9308" w:type="dxa"/>
          <w:tblLook w:val="00A0"/>
        </w:tblPrEx>
        <w:trPr>
          <w:trHeight w:val="355"/>
        </w:trPr>
        <w:tc>
          <w:tcPr>
            <w:tcW w:w="3100" w:type="dxa"/>
            <w:vAlign w:val="center"/>
          </w:tcPr>
          <w:p w:rsidR="00C43495" w:rsidRPr="008770B1" w14:paraId="798751B1" w14:textId="40063712">
            <w:pPr>
              <w:tabs>
                <w:tab w:val="center" w:pos="4320"/>
                <w:tab w:val="right" w:pos="8640"/>
              </w:tabs>
              <w:rPr>
                <w:b/>
                <w:bCs/>
                <w:sz w:val="20"/>
                <w:szCs w:val="20"/>
              </w:rPr>
            </w:pPr>
            <w:r w:rsidRPr="008770B1">
              <w:rPr>
                <w:b/>
                <w:bCs/>
                <w:sz w:val="20"/>
                <w:szCs w:val="20"/>
              </w:rPr>
              <w:t>TOTAL</w:t>
            </w:r>
          </w:p>
        </w:tc>
        <w:tc>
          <w:tcPr>
            <w:tcW w:w="1935" w:type="dxa"/>
            <w:vAlign w:val="center"/>
          </w:tcPr>
          <w:p w:rsidR="00C43495" w:rsidRPr="008770B1" w14:paraId="5755EE68" w14:textId="77777777">
            <w:pPr>
              <w:tabs>
                <w:tab w:val="center" w:pos="4320"/>
                <w:tab w:val="right" w:pos="8640"/>
              </w:tabs>
              <w:jc w:val="center"/>
              <w:rPr>
                <w:b/>
                <w:bCs/>
                <w:sz w:val="20"/>
                <w:szCs w:val="20"/>
              </w:rPr>
            </w:pPr>
          </w:p>
        </w:tc>
        <w:tc>
          <w:tcPr>
            <w:tcW w:w="2145" w:type="dxa"/>
            <w:vAlign w:val="center"/>
          </w:tcPr>
          <w:p w:rsidR="00C43495" w:rsidRPr="008770B1" w14:paraId="16A7F668" w14:textId="77777777">
            <w:pPr>
              <w:tabs>
                <w:tab w:val="center" w:pos="4320"/>
                <w:tab w:val="right" w:pos="8640"/>
              </w:tabs>
              <w:jc w:val="center"/>
              <w:rPr>
                <w:b/>
                <w:bCs/>
                <w:sz w:val="20"/>
                <w:szCs w:val="20"/>
              </w:rPr>
            </w:pPr>
          </w:p>
        </w:tc>
        <w:tc>
          <w:tcPr>
            <w:tcW w:w="2128" w:type="dxa"/>
            <w:vAlign w:val="center"/>
          </w:tcPr>
          <w:p w:rsidR="00C43495" w:rsidRPr="008770B1" w14:paraId="44A4B977" w14:textId="4AE65598">
            <w:pPr>
              <w:tabs>
                <w:tab w:val="center" w:pos="4320"/>
                <w:tab w:val="right" w:pos="8640"/>
              </w:tabs>
              <w:jc w:val="center"/>
              <w:rPr>
                <w:b/>
                <w:bCs/>
                <w:sz w:val="20"/>
                <w:szCs w:val="20"/>
              </w:rPr>
            </w:pPr>
            <w:r w:rsidRPr="008770B1">
              <w:rPr>
                <w:b/>
                <w:bCs/>
                <w:sz w:val="20"/>
                <w:szCs w:val="20"/>
              </w:rPr>
              <w:t>$4,250.60</w:t>
            </w:r>
          </w:p>
        </w:tc>
      </w:tr>
    </w:tbl>
    <w:p w:rsidR="00C43495" w:rsidP="008F570D" w14:paraId="7E9E2661" w14:textId="77777777">
      <w:pPr>
        <w:spacing w:after="120"/>
        <w:rPr>
          <w:b/>
        </w:rPr>
      </w:pPr>
    </w:p>
    <w:p w:rsidR="00E94C7B" w:rsidP="00064FF7" w14:paraId="729C922C" w14:textId="77777777">
      <w:pPr>
        <w:spacing w:after="120"/>
        <w:jc w:val="both"/>
        <w:rPr>
          <w:b/>
        </w:rPr>
      </w:pPr>
    </w:p>
    <w:p w:rsidR="00E94C7B" w:rsidP="00064FF7" w14:paraId="5C05028F" w14:textId="77777777">
      <w:pPr>
        <w:spacing w:after="120"/>
        <w:jc w:val="both"/>
        <w:rPr>
          <w:b/>
        </w:rPr>
      </w:pPr>
    </w:p>
    <w:p w:rsidR="00945CD6" w:rsidP="00064FF7" w14:paraId="4B385444" w14:textId="7BA09F1C">
      <w:pPr>
        <w:spacing w:after="120"/>
        <w:jc w:val="both"/>
        <w:rPr>
          <w:b/>
        </w:rPr>
      </w:pPr>
      <w:r>
        <w:rPr>
          <w:b/>
        </w:rPr>
        <w:t xml:space="preserve">A15. </w:t>
      </w:r>
      <w:r w:rsidRPr="0072204D">
        <w:rPr>
          <w:b/>
        </w:rPr>
        <w:t>Change in Burden</w:t>
      </w:r>
    </w:p>
    <w:p w:rsidR="00CB2ED6" w:rsidRPr="008770B1" w:rsidP="00064FF7" w14:paraId="4B05A013" w14:textId="02FAB3E5">
      <w:pPr>
        <w:jc w:val="both"/>
      </w:pPr>
      <w:r w:rsidRPr="008770B1">
        <w:t xml:space="preserve">This is for an individual information collection under the umbrella </w:t>
      </w:r>
      <w:r w:rsidRPr="008770B1" w:rsidR="001140AB">
        <w:t>formative generic clearance for program support (0970-0531</w:t>
      </w:r>
      <w:r w:rsidRPr="008770B1" w:rsidR="00542413">
        <w:t>).</w:t>
      </w:r>
    </w:p>
    <w:p w:rsidR="002338AC" w:rsidP="00064FF7" w14:paraId="31DADDE8" w14:textId="632686D3">
      <w:pPr>
        <w:ind w:left="360"/>
        <w:jc w:val="both"/>
      </w:pPr>
    </w:p>
    <w:p w:rsidR="0033072C" w:rsidP="00064FF7" w14:paraId="580F3480" w14:textId="77777777">
      <w:pPr>
        <w:ind w:left="360"/>
        <w:jc w:val="both"/>
      </w:pPr>
    </w:p>
    <w:p w:rsidR="00945CD6" w:rsidRPr="005A64C5" w:rsidP="00064FF7" w14:paraId="347FE16D" w14:textId="77777777">
      <w:pPr>
        <w:spacing w:after="120"/>
        <w:jc w:val="both"/>
        <w:rPr>
          <w:b/>
        </w:rPr>
      </w:pPr>
      <w:r w:rsidRPr="005A64C5">
        <w:rPr>
          <w:b/>
        </w:rPr>
        <w:t xml:space="preserve">A16. </w:t>
      </w:r>
      <w:r w:rsidRPr="005A64C5">
        <w:rPr>
          <w:b/>
        </w:rPr>
        <w:t>Plan and Time Schedule for Information Collection, Tabulation and Publication</w:t>
      </w:r>
    </w:p>
    <w:p w:rsidR="00F86562" w:rsidP="00064FF7" w14:paraId="69CCFBA0" w14:textId="77777777">
      <w:pPr>
        <w:jc w:val="both"/>
        <w:rPr>
          <w:bCs/>
        </w:rPr>
      </w:pPr>
      <w:r>
        <w:rPr>
          <w:bCs/>
        </w:rPr>
        <w:t>The survey will be released for a two-week response period</w:t>
      </w:r>
      <w:r>
        <w:rPr>
          <w:bCs/>
        </w:rPr>
        <w:t xml:space="preserve"> which will begin at the next care provider phone call following OMB approval</w:t>
      </w:r>
      <w:r>
        <w:rPr>
          <w:bCs/>
        </w:rPr>
        <w:t xml:space="preserve">. </w:t>
      </w:r>
    </w:p>
    <w:p w:rsidR="00F86562" w:rsidP="00064FF7" w14:paraId="1F3240B8" w14:textId="77777777">
      <w:pPr>
        <w:jc w:val="both"/>
        <w:rPr>
          <w:bCs/>
        </w:rPr>
      </w:pPr>
    </w:p>
    <w:p w:rsidR="00F86562" w:rsidP="00064FF7" w14:paraId="4C093B7E" w14:textId="5C03E40A">
      <w:pPr>
        <w:jc w:val="both"/>
      </w:pPr>
      <w:r>
        <w:t xml:space="preserve">Responses will be analyzed and presented </w:t>
      </w:r>
      <w:r>
        <w:t xml:space="preserve">internally </w:t>
      </w:r>
      <w:r>
        <w:t xml:space="preserve">with recommendations for policy improvements. </w:t>
      </w:r>
      <w:r w:rsidR="00997CEB">
        <w:t xml:space="preserve">This information may be shared in the form of presentations and decision memos. </w:t>
      </w:r>
      <w:r w:rsidR="006D075A">
        <w:t xml:space="preserve">Some results may be shared as part of </w:t>
      </w:r>
      <w:r w:rsidR="009A6BC1">
        <w:t xml:space="preserve">technical assistance to demonstrate the rationale for covering a certain topic </w:t>
      </w:r>
      <w:r w:rsidR="007C2449">
        <w:t xml:space="preserve">from the survey. </w:t>
      </w:r>
    </w:p>
    <w:p w:rsidR="00F86562" w:rsidP="00064FF7" w14:paraId="3674C11A" w14:textId="48F5FBF2">
      <w:pPr>
        <w:jc w:val="both"/>
        <w:rPr>
          <w:bCs/>
        </w:rPr>
      </w:pPr>
    </w:p>
    <w:p w:rsidR="002338AC" w:rsidRPr="008B7CA7" w:rsidP="00064FF7" w14:paraId="565D87F6" w14:textId="23AE3CCA">
      <w:pPr>
        <w:jc w:val="both"/>
        <w:rPr>
          <w:bCs/>
        </w:rPr>
      </w:pPr>
      <w:r>
        <w:rPr>
          <w:bCs/>
        </w:rPr>
        <w:t xml:space="preserve">The information collected will </w:t>
      </w:r>
      <w:r w:rsidRPr="00F86562">
        <w:rPr>
          <w:b/>
        </w:rPr>
        <w:t>not</w:t>
      </w:r>
      <w:r>
        <w:rPr>
          <w:bCs/>
        </w:rPr>
        <w:t xml:space="preserve"> be published</w:t>
      </w:r>
      <w:r w:rsidR="00A15325">
        <w:rPr>
          <w:bCs/>
        </w:rPr>
        <w:t xml:space="preserve"> </w:t>
      </w:r>
      <w:r w:rsidR="009B688B">
        <w:rPr>
          <w:bCs/>
        </w:rPr>
        <w:t>publicly</w:t>
      </w:r>
      <w:r>
        <w:rPr>
          <w:bCs/>
        </w:rPr>
        <w:t xml:space="preserve">. </w:t>
      </w:r>
    </w:p>
    <w:p w:rsidR="002338AC" w:rsidP="00064FF7" w14:paraId="5D35D3D0" w14:textId="41698ACD">
      <w:pPr>
        <w:jc w:val="both"/>
        <w:rPr>
          <w:b/>
        </w:rPr>
      </w:pPr>
    </w:p>
    <w:p w:rsidR="00300C4B" w:rsidP="00064FF7" w14:paraId="08FEA0C2" w14:textId="77777777">
      <w:pPr>
        <w:jc w:val="both"/>
        <w:rPr>
          <w:b/>
        </w:rPr>
      </w:pPr>
    </w:p>
    <w:p w:rsidR="00945CD6" w:rsidRPr="0072204D" w:rsidP="00064FF7" w14:paraId="750BBE88" w14:textId="77777777">
      <w:pPr>
        <w:spacing w:after="120"/>
        <w:jc w:val="both"/>
        <w:rPr>
          <w:b/>
        </w:rPr>
      </w:pPr>
      <w:r>
        <w:rPr>
          <w:b/>
        </w:rPr>
        <w:t xml:space="preserve">A17. </w:t>
      </w:r>
      <w:r w:rsidRPr="0072204D">
        <w:rPr>
          <w:b/>
        </w:rPr>
        <w:t>Reasons Not to Display OMB Expiration Date</w:t>
      </w:r>
    </w:p>
    <w:p w:rsidR="00D90EF6" w:rsidP="00064FF7" w14:paraId="5E995DCB" w14:textId="77777777">
      <w:pPr>
        <w:jc w:val="both"/>
      </w:pPr>
      <w:r w:rsidRPr="00AD4743">
        <w:t>All instruments will display the expiration date for OMB approval.</w:t>
      </w:r>
    </w:p>
    <w:p w:rsidR="005046F0" w:rsidP="00064FF7" w14:paraId="3CB00E49" w14:textId="77777777">
      <w:pPr>
        <w:ind w:left="360"/>
        <w:jc w:val="both"/>
      </w:pPr>
    </w:p>
    <w:p w:rsidR="002338AC" w:rsidP="00064FF7" w14:paraId="4920E2AE" w14:textId="77777777">
      <w:pPr>
        <w:ind w:left="360"/>
        <w:jc w:val="both"/>
      </w:pPr>
    </w:p>
    <w:p w:rsidR="00945CD6" w:rsidRPr="000B5EA8" w:rsidP="00064FF7" w14:paraId="0DA51717" w14:textId="77777777">
      <w:pPr>
        <w:spacing w:after="120"/>
        <w:jc w:val="both"/>
        <w:rPr>
          <w:b/>
        </w:rPr>
      </w:pPr>
      <w:r w:rsidRPr="000B5EA8">
        <w:rPr>
          <w:b/>
        </w:rPr>
        <w:t>A18.</w:t>
      </w:r>
      <w:r w:rsidRPr="000B5EA8" w:rsidR="000B5EA8">
        <w:rPr>
          <w:b/>
        </w:rPr>
        <w:t xml:space="preserve"> Exceptions to Certification for Paperwork Reduction Act Submissions</w:t>
      </w:r>
    </w:p>
    <w:p w:rsidR="00D90EF6" w:rsidP="00064FF7" w14:paraId="117373B9" w14:textId="77777777">
      <w:pPr>
        <w:jc w:val="both"/>
      </w:pPr>
      <w:r w:rsidRPr="00AD4743">
        <w:rPr>
          <w:szCs w:val="22"/>
        </w:rPr>
        <w:t>No exceptions are necessary for this information collection.</w:t>
      </w:r>
      <w:r w:rsidR="000B5EA8">
        <w:tab/>
      </w:r>
    </w:p>
    <w:p w:rsidR="00AA29C0" w:rsidP="00064FF7" w14:paraId="356A923F" w14:textId="77777777">
      <w:pPr>
        <w:jc w:val="both"/>
      </w:pPr>
    </w:p>
    <w:p w:rsidR="00D06D5F" w:rsidP="00064FF7" w14:paraId="54795446" w14:textId="77777777">
      <w:pPr>
        <w:tabs>
          <w:tab w:val="left" w:pos="360"/>
        </w:tabs>
        <w:jc w:val="both"/>
      </w:pPr>
    </w:p>
    <w:p w:rsidR="00201F72" w:rsidRPr="00BB2925" w:rsidP="00064FF7" w14:paraId="12DE8FF2" w14:textId="77777777">
      <w:pPr>
        <w:spacing w:after="120"/>
        <w:jc w:val="both"/>
        <w:rPr>
          <w:b/>
        </w:rPr>
      </w:pPr>
      <w:r>
        <w:rPr>
          <w:b/>
        </w:rPr>
        <w:t>Attachments</w:t>
      </w:r>
    </w:p>
    <w:p w:rsidR="0072204D" w:rsidRPr="0072204D" w:rsidP="00064FF7" w14:paraId="4DA2F605" w14:textId="01ECC1E1">
      <w:pPr>
        <w:jc w:val="both"/>
      </w:pPr>
      <w:r>
        <w:t xml:space="preserve">UC Program </w:t>
      </w:r>
      <w:r w:rsidR="00606A62">
        <w:t>Education Service</w:t>
      </w:r>
      <w:r w:rsidR="00E94C7B">
        <w:t>s</w:t>
      </w:r>
      <w:r w:rsidR="00606A62">
        <w:t xml:space="preserve"> Survey</w:t>
      </w:r>
    </w:p>
    <w:sectPr w:rsidSect="00DB7510">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4D7C0B"/>
    <w:multiLevelType w:val="hybridMultilevel"/>
    <w:tmpl w:val="E604C812"/>
    <w:lvl w:ilvl="0">
      <w:start w:val="1"/>
      <w:numFmt w:val="decimal"/>
      <w:lvlText w:val="%1."/>
      <w:lvlJc w:val="left"/>
      <w:pPr>
        <w:ind w:left="120" w:hanging="1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216283"/>
    <w:multiLevelType w:val="hybridMultilevel"/>
    <w:tmpl w:val="2DAA51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774AC5"/>
    <w:multiLevelType w:val="hybridMultilevel"/>
    <w:tmpl w:val="4B3C8D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E02948"/>
    <w:multiLevelType w:val="hybridMultilevel"/>
    <w:tmpl w:val="1D98AFE4"/>
    <w:lvl w:ilvl="0">
      <w:start w:val="1"/>
      <w:numFmt w:val="bullet"/>
      <w:lvlText w:val=""/>
      <w:lvlJc w:val="left"/>
      <w:pPr>
        <w:ind w:left="300" w:hanging="120"/>
      </w:pPr>
      <w:rPr>
        <w:rFonts w:ascii="Wingdings" w:hAnsi="Wingding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292F75"/>
    <w:multiLevelType w:val="hybridMultilevel"/>
    <w:tmpl w:val="8E282E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362287"/>
    <w:multiLevelType w:val="hybridMultilevel"/>
    <w:tmpl w:val="236AEFEE"/>
    <w:lvl w:ilvl="0">
      <w:start w:val="1"/>
      <w:numFmt w:val="decimal"/>
      <w:lvlText w:val="%1."/>
      <w:lvlJc w:val="left"/>
      <w:pPr>
        <w:ind w:left="300" w:hanging="12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4">
    <w:nsid w:val="2F3A0743"/>
    <w:multiLevelType w:val="hybridMultilevel"/>
    <w:tmpl w:val="86EA5900"/>
    <w:lvl w:ilvl="0">
      <w:start w:val="1"/>
      <w:numFmt w:val="decimal"/>
      <w:lvlText w:val="%1."/>
      <w:lvlJc w:val="left"/>
      <w:pPr>
        <w:ind w:left="120" w:hanging="1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0A376B6"/>
    <w:multiLevelType w:val="hybridMultilevel"/>
    <w:tmpl w:val="2F460A9E"/>
    <w:lvl w:ilvl="0">
      <w:start w:val="0"/>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462971"/>
    <w:multiLevelType w:val="hybridMultilevel"/>
    <w:tmpl w:val="C5F4BAE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47000D"/>
    <w:multiLevelType w:val="hybridMultilevel"/>
    <w:tmpl w:val="42EEF5E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FCB03CE"/>
    <w:multiLevelType w:val="hybridMultilevel"/>
    <w:tmpl w:val="AD5ACFCE"/>
    <w:lvl w:ilvl="0">
      <w:start w:val="1"/>
      <w:numFmt w:val="decimal"/>
      <w:lvlText w:val="%1."/>
      <w:lvlJc w:val="left"/>
      <w:pPr>
        <w:ind w:left="120" w:hanging="1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FF726DD"/>
    <w:multiLevelType w:val="hybridMultilevel"/>
    <w:tmpl w:val="473ADBA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3">
    <w:nsid w:val="711A3DA1"/>
    <w:multiLevelType w:val="hybridMultilevel"/>
    <w:tmpl w:val="E5A6C0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9B110F"/>
    <w:multiLevelType w:val="hybridMultilevel"/>
    <w:tmpl w:val="58D2E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D423D4"/>
    <w:multiLevelType w:val="hybridMultilevel"/>
    <w:tmpl w:val="730E5FCE"/>
    <w:lvl w:ilvl="0">
      <w:start w:val="1"/>
      <w:numFmt w:val="decimal"/>
      <w:lvlText w:val="%1."/>
      <w:lvlJc w:val="left"/>
      <w:pPr>
        <w:ind w:left="120" w:hanging="1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B647D79"/>
    <w:multiLevelType w:val="hybridMultilevel"/>
    <w:tmpl w:val="AC165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B5135E"/>
    <w:multiLevelType w:val="hybridMultilevel"/>
    <w:tmpl w:val="6804E5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39533D"/>
    <w:multiLevelType w:val="hybridMultilevel"/>
    <w:tmpl w:val="4936F9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2277415">
    <w:abstractNumId w:val="8"/>
  </w:num>
  <w:num w:numId="2" w16cid:durableId="233202761">
    <w:abstractNumId w:val="1"/>
  </w:num>
  <w:num w:numId="3" w16cid:durableId="1341663608">
    <w:abstractNumId w:val="25"/>
  </w:num>
  <w:num w:numId="4" w16cid:durableId="1565986376">
    <w:abstractNumId w:val="15"/>
  </w:num>
  <w:num w:numId="5" w16cid:durableId="711156726">
    <w:abstractNumId w:val="16"/>
  </w:num>
  <w:num w:numId="6" w16cid:durableId="1090613747">
    <w:abstractNumId w:val="27"/>
  </w:num>
  <w:num w:numId="7" w16cid:durableId="1967269296">
    <w:abstractNumId w:val="26"/>
  </w:num>
  <w:num w:numId="8" w16cid:durableId="1323965064">
    <w:abstractNumId w:val="18"/>
  </w:num>
  <w:num w:numId="9" w16cid:durableId="1670526100">
    <w:abstractNumId w:val="21"/>
  </w:num>
  <w:num w:numId="10" w16cid:durableId="1991786053">
    <w:abstractNumId w:val="2"/>
  </w:num>
  <w:num w:numId="11" w16cid:durableId="1855264521">
    <w:abstractNumId w:val="0"/>
  </w:num>
  <w:num w:numId="12" w16cid:durableId="1123503911">
    <w:abstractNumId w:val="6"/>
  </w:num>
  <w:num w:numId="13" w16cid:durableId="1687559733">
    <w:abstractNumId w:val="28"/>
  </w:num>
  <w:num w:numId="14" w16cid:durableId="1931811373">
    <w:abstractNumId w:val="10"/>
  </w:num>
  <w:num w:numId="15" w16cid:durableId="1684480486">
    <w:abstractNumId w:val="11"/>
  </w:num>
  <w:num w:numId="16" w16cid:durableId="235627974">
    <w:abstractNumId w:val="39"/>
  </w:num>
  <w:num w:numId="17" w16cid:durableId="1051078762">
    <w:abstractNumId w:val="41"/>
  </w:num>
  <w:num w:numId="18" w16cid:durableId="1345742927">
    <w:abstractNumId w:val="32"/>
  </w:num>
  <w:num w:numId="19" w16cid:durableId="1279722010">
    <w:abstractNumId w:val="29"/>
  </w:num>
  <w:num w:numId="20" w16cid:durableId="1798713927">
    <w:abstractNumId w:val="23"/>
  </w:num>
  <w:num w:numId="21" w16cid:durableId="1684670497">
    <w:abstractNumId w:val="36"/>
  </w:num>
  <w:num w:numId="22" w16cid:durableId="1796370570">
    <w:abstractNumId w:val="19"/>
  </w:num>
  <w:num w:numId="23" w16cid:durableId="1560095773">
    <w:abstractNumId w:val="17"/>
  </w:num>
  <w:num w:numId="24" w16cid:durableId="1568761694">
    <w:abstractNumId w:val="9"/>
  </w:num>
  <w:num w:numId="25" w16cid:durableId="1065178857">
    <w:abstractNumId w:val="20"/>
  </w:num>
  <w:num w:numId="26" w16cid:durableId="461579395">
    <w:abstractNumId w:val="34"/>
  </w:num>
  <w:num w:numId="27" w16cid:durableId="1559170387">
    <w:abstractNumId w:val="24"/>
  </w:num>
  <w:num w:numId="28" w16cid:durableId="851337342">
    <w:abstractNumId w:val="40"/>
  </w:num>
  <w:num w:numId="29" w16cid:durableId="121969831">
    <w:abstractNumId w:val="38"/>
  </w:num>
  <w:num w:numId="30" w16cid:durableId="2054042504">
    <w:abstractNumId w:val="13"/>
  </w:num>
  <w:num w:numId="31" w16cid:durableId="872809472">
    <w:abstractNumId w:val="5"/>
  </w:num>
  <w:num w:numId="32" w16cid:durableId="1820001306">
    <w:abstractNumId w:val="37"/>
  </w:num>
  <w:num w:numId="33" w16cid:durableId="1788236496">
    <w:abstractNumId w:val="12"/>
  </w:num>
  <w:num w:numId="34" w16cid:durableId="1656645222">
    <w:abstractNumId w:val="4"/>
  </w:num>
  <w:num w:numId="35" w16cid:durableId="1484393836">
    <w:abstractNumId w:val="7"/>
  </w:num>
  <w:num w:numId="36" w16cid:durableId="523204044">
    <w:abstractNumId w:val="22"/>
  </w:num>
  <w:num w:numId="37" w16cid:durableId="1290163441">
    <w:abstractNumId w:val="31"/>
  </w:num>
  <w:num w:numId="38" w16cid:durableId="386296357">
    <w:abstractNumId w:val="30"/>
  </w:num>
  <w:num w:numId="39" w16cid:durableId="6103288">
    <w:abstractNumId w:val="35"/>
  </w:num>
  <w:num w:numId="40" w16cid:durableId="772941877">
    <w:abstractNumId w:val="14"/>
  </w:num>
  <w:num w:numId="41" w16cid:durableId="753358036">
    <w:abstractNumId w:val="3"/>
  </w:num>
  <w:num w:numId="42" w16cid:durableId="11548310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5861"/>
    <w:rsid w:val="0002671C"/>
    <w:rsid w:val="000431B8"/>
    <w:rsid w:val="000466F8"/>
    <w:rsid w:val="000527B3"/>
    <w:rsid w:val="00061475"/>
    <w:rsid w:val="00061644"/>
    <w:rsid w:val="00064FF7"/>
    <w:rsid w:val="000702EE"/>
    <w:rsid w:val="000771A8"/>
    <w:rsid w:val="000849CD"/>
    <w:rsid w:val="0008643E"/>
    <w:rsid w:val="00090CD8"/>
    <w:rsid w:val="00091C59"/>
    <w:rsid w:val="000964A6"/>
    <w:rsid w:val="000A03CC"/>
    <w:rsid w:val="000A16BF"/>
    <w:rsid w:val="000A3C80"/>
    <w:rsid w:val="000B3FCE"/>
    <w:rsid w:val="000B4D12"/>
    <w:rsid w:val="000B5EA8"/>
    <w:rsid w:val="000C0673"/>
    <w:rsid w:val="000C1246"/>
    <w:rsid w:val="000D03B4"/>
    <w:rsid w:val="000D1860"/>
    <w:rsid w:val="000D53DF"/>
    <w:rsid w:val="000F438E"/>
    <w:rsid w:val="000F5F6B"/>
    <w:rsid w:val="0010026B"/>
    <w:rsid w:val="00107A56"/>
    <w:rsid w:val="00113812"/>
    <w:rsid w:val="001140AB"/>
    <w:rsid w:val="001176A6"/>
    <w:rsid w:val="001216F0"/>
    <w:rsid w:val="00124EBF"/>
    <w:rsid w:val="00130457"/>
    <w:rsid w:val="00135CB9"/>
    <w:rsid w:val="00150D7D"/>
    <w:rsid w:val="00151664"/>
    <w:rsid w:val="001558EE"/>
    <w:rsid w:val="0016012E"/>
    <w:rsid w:val="00162366"/>
    <w:rsid w:val="00177982"/>
    <w:rsid w:val="00183C0F"/>
    <w:rsid w:val="001851F6"/>
    <w:rsid w:val="00197615"/>
    <w:rsid w:val="001A1C8C"/>
    <w:rsid w:val="001A5AF9"/>
    <w:rsid w:val="001B04CF"/>
    <w:rsid w:val="001B657B"/>
    <w:rsid w:val="001C39E2"/>
    <w:rsid w:val="001C4D60"/>
    <w:rsid w:val="001C79D7"/>
    <w:rsid w:val="001D4971"/>
    <w:rsid w:val="001D4CAF"/>
    <w:rsid w:val="001F0225"/>
    <w:rsid w:val="001F3034"/>
    <w:rsid w:val="001F6FB9"/>
    <w:rsid w:val="00201F72"/>
    <w:rsid w:val="0020382F"/>
    <w:rsid w:val="00204A6A"/>
    <w:rsid w:val="00214FDD"/>
    <w:rsid w:val="002166BE"/>
    <w:rsid w:val="002231FA"/>
    <w:rsid w:val="00225990"/>
    <w:rsid w:val="002329CB"/>
    <w:rsid w:val="002337BF"/>
    <w:rsid w:val="002338AC"/>
    <w:rsid w:val="00234E8D"/>
    <w:rsid w:val="00235A6D"/>
    <w:rsid w:val="002408DE"/>
    <w:rsid w:val="0025173C"/>
    <w:rsid w:val="00253148"/>
    <w:rsid w:val="00257573"/>
    <w:rsid w:val="00261D98"/>
    <w:rsid w:val="002750C5"/>
    <w:rsid w:val="0028241B"/>
    <w:rsid w:val="00283AF8"/>
    <w:rsid w:val="00286479"/>
    <w:rsid w:val="00292B70"/>
    <w:rsid w:val="002A1F68"/>
    <w:rsid w:val="002A319B"/>
    <w:rsid w:val="002A7F28"/>
    <w:rsid w:val="002B4DBE"/>
    <w:rsid w:val="002C4F75"/>
    <w:rsid w:val="002D11A2"/>
    <w:rsid w:val="002D493C"/>
    <w:rsid w:val="002D4B0A"/>
    <w:rsid w:val="002D4D63"/>
    <w:rsid w:val="002D6BE0"/>
    <w:rsid w:val="002E37F4"/>
    <w:rsid w:val="002F3EDE"/>
    <w:rsid w:val="002F4141"/>
    <w:rsid w:val="002F42CC"/>
    <w:rsid w:val="002F4BAF"/>
    <w:rsid w:val="00300C4B"/>
    <w:rsid w:val="00301689"/>
    <w:rsid w:val="00301DB1"/>
    <w:rsid w:val="00314245"/>
    <w:rsid w:val="00315147"/>
    <w:rsid w:val="003277CF"/>
    <w:rsid w:val="00327B2E"/>
    <w:rsid w:val="0033072C"/>
    <w:rsid w:val="00334E0E"/>
    <w:rsid w:val="0033574E"/>
    <w:rsid w:val="003362C0"/>
    <w:rsid w:val="003403E8"/>
    <w:rsid w:val="00371926"/>
    <w:rsid w:val="00374DAB"/>
    <w:rsid w:val="0038291A"/>
    <w:rsid w:val="00386CA7"/>
    <w:rsid w:val="00396577"/>
    <w:rsid w:val="003A0B59"/>
    <w:rsid w:val="003A6ACE"/>
    <w:rsid w:val="003B124A"/>
    <w:rsid w:val="003B7521"/>
    <w:rsid w:val="003C3EA4"/>
    <w:rsid w:val="003C76A3"/>
    <w:rsid w:val="003D5231"/>
    <w:rsid w:val="003D7E85"/>
    <w:rsid w:val="003E2CC3"/>
    <w:rsid w:val="003E68C1"/>
    <w:rsid w:val="003E6B6C"/>
    <w:rsid w:val="003E6EA2"/>
    <w:rsid w:val="003F2FE1"/>
    <w:rsid w:val="003F622F"/>
    <w:rsid w:val="00403EB6"/>
    <w:rsid w:val="00405902"/>
    <w:rsid w:val="00417E6C"/>
    <w:rsid w:val="004222F8"/>
    <w:rsid w:val="00422C1B"/>
    <w:rsid w:val="00436F5E"/>
    <w:rsid w:val="00443844"/>
    <w:rsid w:val="00444164"/>
    <w:rsid w:val="004522FF"/>
    <w:rsid w:val="00453E9A"/>
    <w:rsid w:val="004554B1"/>
    <w:rsid w:val="00456E2F"/>
    <w:rsid w:val="00461E64"/>
    <w:rsid w:val="00462D28"/>
    <w:rsid w:val="00481BEA"/>
    <w:rsid w:val="00482DDE"/>
    <w:rsid w:val="004942D1"/>
    <w:rsid w:val="004A29C5"/>
    <w:rsid w:val="004A44DD"/>
    <w:rsid w:val="004A76E4"/>
    <w:rsid w:val="004A76F7"/>
    <w:rsid w:val="004B587E"/>
    <w:rsid w:val="004B588B"/>
    <w:rsid w:val="004B63ED"/>
    <w:rsid w:val="004C2ADD"/>
    <w:rsid w:val="004D34DD"/>
    <w:rsid w:val="004D50E4"/>
    <w:rsid w:val="004D6CA9"/>
    <w:rsid w:val="004E79C2"/>
    <w:rsid w:val="004F04A7"/>
    <w:rsid w:val="004F4240"/>
    <w:rsid w:val="004F4DE6"/>
    <w:rsid w:val="004F4E1D"/>
    <w:rsid w:val="005010D5"/>
    <w:rsid w:val="005046F0"/>
    <w:rsid w:val="00511958"/>
    <w:rsid w:val="0051606B"/>
    <w:rsid w:val="00520737"/>
    <w:rsid w:val="00523E30"/>
    <w:rsid w:val="00527742"/>
    <w:rsid w:val="00532360"/>
    <w:rsid w:val="005353B7"/>
    <w:rsid w:val="0053636F"/>
    <w:rsid w:val="00536992"/>
    <w:rsid w:val="0053763C"/>
    <w:rsid w:val="00541024"/>
    <w:rsid w:val="00542413"/>
    <w:rsid w:val="0055680B"/>
    <w:rsid w:val="00557093"/>
    <w:rsid w:val="005704B9"/>
    <w:rsid w:val="00581F21"/>
    <w:rsid w:val="00582799"/>
    <w:rsid w:val="005A3757"/>
    <w:rsid w:val="005A64C5"/>
    <w:rsid w:val="005B064F"/>
    <w:rsid w:val="005F2061"/>
    <w:rsid w:val="006010CA"/>
    <w:rsid w:val="00605AD4"/>
    <w:rsid w:val="00606A62"/>
    <w:rsid w:val="00607351"/>
    <w:rsid w:val="006228E1"/>
    <w:rsid w:val="00622920"/>
    <w:rsid w:val="0064091D"/>
    <w:rsid w:val="00644395"/>
    <w:rsid w:val="00651DBA"/>
    <w:rsid w:val="006553E3"/>
    <w:rsid w:val="00657424"/>
    <w:rsid w:val="00665CEF"/>
    <w:rsid w:val="00670C9A"/>
    <w:rsid w:val="00672E21"/>
    <w:rsid w:val="00680FFE"/>
    <w:rsid w:val="00692F64"/>
    <w:rsid w:val="00697704"/>
    <w:rsid w:val="006A16D1"/>
    <w:rsid w:val="006A7EFA"/>
    <w:rsid w:val="006B6845"/>
    <w:rsid w:val="006B7B84"/>
    <w:rsid w:val="006C0DE9"/>
    <w:rsid w:val="006C2751"/>
    <w:rsid w:val="006C423B"/>
    <w:rsid w:val="006D075A"/>
    <w:rsid w:val="006D2637"/>
    <w:rsid w:val="006D3485"/>
    <w:rsid w:val="006D5902"/>
    <w:rsid w:val="006E337F"/>
    <w:rsid w:val="006E7585"/>
    <w:rsid w:val="006F0DA1"/>
    <w:rsid w:val="006F2D2A"/>
    <w:rsid w:val="00701045"/>
    <w:rsid w:val="00706BFE"/>
    <w:rsid w:val="00711BC5"/>
    <w:rsid w:val="00713CB7"/>
    <w:rsid w:val="00714008"/>
    <w:rsid w:val="00717EE3"/>
    <w:rsid w:val="0072204D"/>
    <w:rsid w:val="00724EB4"/>
    <w:rsid w:val="007250A3"/>
    <w:rsid w:val="00726910"/>
    <w:rsid w:val="00730375"/>
    <w:rsid w:val="00736F1D"/>
    <w:rsid w:val="00743226"/>
    <w:rsid w:val="007436AA"/>
    <w:rsid w:val="00760C40"/>
    <w:rsid w:val="00762121"/>
    <w:rsid w:val="00772457"/>
    <w:rsid w:val="00773F3B"/>
    <w:rsid w:val="0077465C"/>
    <w:rsid w:val="007753C9"/>
    <w:rsid w:val="0077763D"/>
    <w:rsid w:val="00784137"/>
    <w:rsid w:val="007877F6"/>
    <w:rsid w:val="00792287"/>
    <w:rsid w:val="007957EC"/>
    <w:rsid w:val="0079647A"/>
    <w:rsid w:val="007A075B"/>
    <w:rsid w:val="007A407A"/>
    <w:rsid w:val="007A7195"/>
    <w:rsid w:val="007B442C"/>
    <w:rsid w:val="007B497B"/>
    <w:rsid w:val="007C2449"/>
    <w:rsid w:val="007C401C"/>
    <w:rsid w:val="007D295D"/>
    <w:rsid w:val="007D3316"/>
    <w:rsid w:val="007D630E"/>
    <w:rsid w:val="007F7A59"/>
    <w:rsid w:val="00806528"/>
    <w:rsid w:val="00806712"/>
    <w:rsid w:val="00812583"/>
    <w:rsid w:val="00815980"/>
    <w:rsid w:val="008207AA"/>
    <w:rsid w:val="008254A0"/>
    <w:rsid w:val="00827DEC"/>
    <w:rsid w:val="008379DA"/>
    <w:rsid w:val="00847024"/>
    <w:rsid w:val="008534DC"/>
    <w:rsid w:val="0086314E"/>
    <w:rsid w:val="008642AC"/>
    <w:rsid w:val="0086507C"/>
    <w:rsid w:val="00871100"/>
    <w:rsid w:val="0087234E"/>
    <w:rsid w:val="00873F2C"/>
    <w:rsid w:val="00876C02"/>
    <w:rsid w:val="008770B1"/>
    <w:rsid w:val="00877346"/>
    <w:rsid w:val="00893F50"/>
    <w:rsid w:val="00897EE6"/>
    <w:rsid w:val="008A4E55"/>
    <w:rsid w:val="008B7CA7"/>
    <w:rsid w:val="008B7F2C"/>
    <w:rsid w:val="008C05C0"/>
    <w:rsid w:val="008C3A69"/>
    <w:rsid w:val="008C6A6B"/>
    <w:rsid w:val="008C78B4"/>
    <w:rsid w:val="008E0492"/>
    <w:rsid w:val="008E4DB8"/>
    <w:rsid w:val="008E662C"/>
    <w:rsid w:val="008F0043"/>
    <w:rsid w:val="008F10A2"/>
    <w:rsid w:val="008F30E6"/>
    <w:rsid w:val="008F4D32"/>
    <w:rsid w:val="008F570D"/>
    <w:rsid w:val="0091256A"/>
    <w:rsid w:val="00923B94"/>
    <w:rsid w:val="00923F93"/>
    <w:rsid w:val="00932D71"/>
    <w:rsid w:val="00945CD6"/>
    <w:rsid w:val="0095426F"/>
    <w:rsid w:val="00954F2E"/>
    <w:rsid w:val="00957AE3"/>
    <w:rsid w:val="00961F59"/>
    <w:rsid w:val="009648CE"/>
    <w:rsid w:val="009736CF"/>
    <w:rsid w:val="00984BBF"/>
    <w:rsid w:val="00984CA2"/>
    <w:rsid w:val="00997CEB"/>
    <w:rsid w:val="009A0E06"/>
    <w:rsid w:val="009A3A50"/>
    <w:rsid w:val="009A6BC1"/>
    <w:rsid w:val="009B1638"/>
    <w:rsid w:val="009B688B"/>
    <w:rsid w:val="009B6F37"/>
    <w:rsid w:val="009C3840"/>
    <w:rsid w:val="009D47D2"/>
    <w:rsid w:val="009E28C8"/>
    <w:rsid w:val="009F02C6"/>
    <w:rsid w:val="009F1BF5"/>
    <w:rsid w:val="00A01778"/>
    <w:rsid w:val="00A01F2A"/>
    <w:rsid w:val="00A020E8"/>
    <w:rsid w:val="00A15325"/>
    <w:rsid w:val="00A30548"/>
    <w:rsid w:val="00A35B0D"/>
    <w:rsid w:val="00A35E23"/>
    <w:rsid w:val="00A412C5"/>
    <w:rsid w:val="00A425D1"/>
    <w:rsid w:val="00A44209"/>
    <w:rsid w:val="00A548E6"/>
    <w:rsid w:val="00A57445"/>
    <w:rsid w:val="00A619E0"/>
    <w:rsid w:val="00A62035"/>
    <w:rsid w:val="00A62544"/>
    <w:rsid w:val="00A6305C"/>
    <w:rsid w:val="00A70863"/>
    <w:rsid w:val="00A82A6B"/>
    <w:rsid w:val="00A8796C"/>
    <w:rsid w:val="00AA2810"/>
    <w:rsid w:val="00AA29C0"/>
    <w:rsid w:val="00AD4743"/>
    <w:rsid w:val="00AD4A55"/>
    <w:rsid w:val="00AD5AF5"/>
    <w:rsid w:val="00AD7DF6"/>
    <w:rsid w:val="00AD7EAD"/>
    <w:rsid w:val="00AF05E0"/>
    <w:rsid w:val="00B00444"/>
    <w:rsid w:val="00B008EC"/>
    <w:rsid w:val="00B12BE3"/>
    <w:rsid w:val="00B14396"/>
    <w:rsid w:val="00B170C9"/>
    <w:rsid w:val="00B27589"/>
    <w:rsid w:val="00B2795A"/>
    <w:rsid w:val="00B31429"/>
    <w:rsid w:val="00B337BF"/>
    <w:rsid w:val="00B406FF"/>
    <w:rsid w:val="00B505A5"/>
    <w:rsid w:val="00B50743"/>
    <w:rsid w:val="00B5210E"/>
    <w:rsid w:val="00B54A28"/>
    <w:rsid w:val="00B55FCE"/>
    <w:rsid w:val="00B66874"/>
    <w:rsid w:val="00B70E84"/>
    <w:rsid w:val="00B71F7E"/>
    <w:rsid w:val="00B73ACF"/>
    <w:rsid w:val="00B84547"/>
    <w:rsid w:val="00B87F9B"/>
    <w:rsid w:val="00B91D97"/>
    <w:rsid w:val="00B932BF"/>
    <w:rsid w:val="00B9403D"/>
    <w:rsid w:val="00BA6030"/>
    <w:rsid w:val="00BB13A6"/>
    <w:rsid w:val="00BB1B35"/>
    <w:rsid w:val="00BB1E13"/>
    <w:rsid w:val="00BB2925"/>
    <w:rsid w:val="00BB6893"/>
    <w:rsid w:val="00BD4CFB"/>
    <w:rsid w:val="00BD5D3B"/>
    <w:rsid w:val="00BE341C"/>
    <w:rsid w:val="00BE3D32"/>
    <w:rsid w:val="00BE7952"/>
    <w:rsid w:val="00BF1DF0"/>
    <w:rsid w:val="00BF5FD7"/>
    <w:rsid w:val="00C12B95"/>
    <w:rsid w:val="00C1674B"/>
    <w:rsid w:val="00C309DF"/>
    <w:rsid w:val="00C37A08"/>
    <w:rsid w:val="00C42A1A"/>
    <w:rsid w:val="00C43495"/>
    <w:rsid w:val="00C47999"/>
    <w:rsid w:val="00C52624"/>
    <w:rsid w:val="00C566DE"/>
    <w:rsid w:val="00C56EA9"/>
    <w:rsid w:val="00C756D7"/>
    <w:rsid w:val="00C82BAA"/>
    <w:rsid w:val="00C84990"/>
    <w:rsid w:val="00C86E38"/>
    <w:rsid w:val="00C902AE"/>
    <w:rsid w:val="00C90D49"/>
    <w:rsid w:val="00C93433"/>
    <w:rsid w:val="00C94F83"/>
    <w:rsid w:val="00C972F8"/>
    <w:rsid w:val="00CA0FE7"/>
    <w:rsid w:val="00CB2ED6"/>
    <w:rsid w:val="00CB5199"/>
    <w:rsid w:val="00CC2CD1"/>
    <w:rsid w:val="00CC31ED"/>
    <w:rsid w:val="00CD21B1"/>
    <w:rsid w:val="00CD5448"/>
    <w:rsid w:val="00CD569D"/>
    <w:rsid w:val="00CE60B0"/>
    <w:rsid w:val="00CE6EFF"/>
    <w:rsid w:val="00CF24CF"/>
    <w:rsid w:val="00CF7608"/>
    <w:rsid w:val="00D00468"/>
    <w:rsid w:val="00D012A6"/>
    <w:rsid w:val="00D06560"/>
    <w:rsid w:val="00D06D5F"/>
    <w:rsid w:val="00D11514"/>
    <w:rsid w:val="00D147BA"/>
    <w:rsid w:val="00D16481"/>
    <w:rsid w:val="00D17A5D"/>
    <w:rsid w:val="00D274FE"/>
    <w:rsid w:val="00D277B1"/>
    <w:rsid w:val="00D356B7"/>
    <w:rsid w:val="00D36311"/>
    <w:rsid w:val="00D379CC"/>
    <w:rsid w:val="00D432D0"/>
    <w:rsid w:val="00D44EA5"/>
    <w:rsid w:val="00D46D90"/>
    <w:rsid w:val="00D519D9"/>
    <w:rsid w:val="00D5295C"/>
    <w:rsid w:val="00D569F5"/>
    <w:rsid w:val="00D672D9"/>
    <w:rsid w:val="00D74D6F"/>
    <w:rsid w:val="00D8377D"/>
    <w:rsid w:val="00D84754"/>
    <w:rsid w:val="00D874B3"/>
    <w:rsid w:val="00D9029B"/>
    <w:rsid w:val="00D90EF6"/>
    <w:rsid w:val="00D91EF3"/>
    <w:rsid w:val="00D95DA8"/>
    <w:rsid w:val="00D964BC"/>
    <w:rsid w:val="00DA3901"/>
    <w:rsid w:val="00DB16A0"/>
    <w:rsid w:val="00DB3B83"/>
    <w:rsid w:val="00DB7013"/>
    <w:rsid w:val="00DB7510"/>
    <w:rsid w:val="00DB76CB"/>
    <w:rsid w:val="00DC7047"/>
    <w:rsid w:val="00DC7F59"/>
    <w:rsid w:val="00DE46F5"/>
    <w:rsid w:val="00DE782C"/>
    <w:rsid w:val="00DE7F5E"/>
    <w:rsid w:val="00DF2A7C"/>
    <w:rsid w:val="00DF6E0F"/>
    <w:rsid w:val="00E00641"/>
    <w:rsid w:val="00E00860"/>
    <w:rsid w:val="00E05A0A"/>
    <w:rsid w:val="00E1087C"/>
    <w:rsid w:val="00E13F24"/>
    <w:rsid w:val="00E16128"/>
    <w:rsid w:val="00E22158"/>
    <w:rsid w:val="00E25B5A"/>
    <w:rsid w:val="00E32B6B"/>
    <w:rsid w:val="00E354B8"/>
    <w:rsid w:val="00E37ABE"/>
    <w:rsid w:val="00E41D46"/>
    <w:rsid w:val="00E52795"/>
    <w:rsid w:val="00E53C0E"/>
    <w:rsid w:val="00E60558"/>
    <w:rsid w:val="00E61600"/>
    <w:rsid w:val="00E67B10"/>
    <w:rsid w:val="00E72E9A"/>
    <w:rsid w:val="00E749CB"/>
    <w:rsid w:val="00E86C51"/>
    <w:rsid w:val="00E86DB9"/>
    <w:rsid w:val="00E93275"/>
    <w:rsid w:val="00E94C7B"/>
    <w:rsid w:val="00E9604A"/>
    <w:rsid w:val="00EA07F9"/>
    <w:rsid w:val="00EA0BF4"/>
    <w:rsid w:val="00EA12DE"/>
    <w:rsid w:val="00EB019D"/>
    <w:rsid w:val="00EB5B54"/>
    <w:rsid w:val="00EC0E63"/>
    <w:rsid w:val="00EC329F"/>
    <w:rsid w:val="00ED6CB7"/>
    <w:rsid w:val="00EE1E62"/>
    <w:rsid w:val="00EE2EBD"/>
    <w:rsid w:val="00EF2662"/>
    <w:rsid w:val="00EF316B"/>
    <w:rsid w:val="00EF5C8B"/>
    <w:rsid w:val="00EF705E"/>
    <w:rsid w:val="00F0073F"/>
    <w:rsid w:val="00F022A2"/>
    <w:rsid w:val="00F10963"/>
    <w:rsid w:val="00F168E9"/>
    <w:rsid w:val="00F31158"/>
    <w:rsid w:val="00F45D4A"/>
    <w:rsid w:val="00F46623"/>
    <w:rsid w:val="00F4788E"/>
    <w:rsid w:val="00F50B34"/>
    <w:rsid w:val="00F514D1"/>
    <w:rsid w:val="00F61EB4"/>
    <w:rsid w:val="00F6290C"/>
    <w:rsid w:val="00F640C4"/>
    <w:rsid w:val="00F64E10"/>
    <w:rsid w:val="00F663B2"/>
    <w:rsid w:val="00F73374"/>
    <w:rsid w:val="00F767DD"/>
    <w:rsid w:val="00F839DD"/>
    <w:rsid w:val="00F86562"/>
    <w:rsid w:val="00F91148"/>
    <w:rsid w:val="00F97C94"/>
    <w:rsid w:val="00FA05FE"/>
    <w:rsid w:val="00FA280F"/>
    <w:rsid w:val="00FA3310"/>
    <w:rsid w:val="00FA3415"/>
    <w:rsid w:val="00FB126A"/>
    <w:rsid w:val="00FB411C"/>
    <w:rsid w:val="00FB58EF"/>
    <w:rsid w:val="00FB6257"/>
    <w:rsid w:val="00FC04C5"/>
    <w:rsid w:val="00FC08AD"/>
    <w:rsid w:val="00FC196A"/>
    <w:rsid w:val="00FC6384"/>
    <w:rsid w:val="00FD077A"/>
    <w:rsid w:val="00FD1708"/>
    <w:rsid w:val="00FD1B70"/>
    <w:rsid w:val="00FD7600"/>
    <w:rsid w:val="00FF3048"/>
    <w:rsid w:val="00FF5ECD"/>
    <w:rsid w:val="00FF62AD"/>
    <w:rsid w:val="025F4206"/>
    <w:rsid w:val="026ABEDD"/>
    <w:rsid w:val="070F4A49"/>
    <w:rsid w:val="072E87D3"/>
    <w:rsid w:val="07BFFC86"/>
    <w:rsid w:val="09369D69"/>
    <w:rsid w:val="0A89FC96"/>
    <w:rsid w:val="0C62CC0E"/>
    <w:rsid w:val="0D1D246B"/>
    <w:rsid w:val="0D950E4F"/>
    <w:rsid w:val="0E247C8E"/>
    <w:rsid w:val="0E5024F5"/>
    <w:rsid w:val="0E869E31"/>
    <w:rsid w:val="0F42EF12"/>
    <w:rsid w:val="0F63D224"/>
    <w:rsid w:val="10E6E5C1"/>
    <w:rsid w:val="1664E395"/>
    <w:rsid w:val="171CA292"/>
    <w:rsid w:val="174F62B8"/>
    <w:rsid w:val="18AE8E57"/>
    <w:rsid w:val="1AF873A0"/>
    <w:rsid w:val="1B497387"/>
    <w:rsid w:val="1D27AEE8"/>
    <w:rsid w:val="1D8374C0"/>
    <w:rsid w:val="1DDFAEA8"/>
    <w:rsid w:val="1EB25BB8"/>
    <w:rsid w:val="1F1F4521"/>
    <w:rsid w:val="20C75ECF"/>
    <w:rsid w:val="21D6710E"/>
    <w:rsid w:val="26447AE9"/>
    <w:rsid w:val="26B5CBC6"/>
    <w:rsid w:val="27826D6F"/>
    <w:rsid w:val="278D6C38"/>
    <w:rsid w:val="28467A0C"/>
    <w:rsid w:val="291706F0"/>
    <w:rsid w:val="29528459"/>
    <w:rsid w:val="2A263D4D"/>
    <w:rsid w:val="2DFAF7AB"/>
    <w:rsid w:val="2F0EC45D"/>
    <w:rsid w:val="2F3D5671"/>
    <w:rsid w:val="30D926D2"/>
    <w:rsid w:val="31AAF614"/>
    <w:rsid w:val="3386401D"/>
    <w:rsid w:val="33B8E309"/>
    <w:rsid w:val="343BF860"/>
    <w:rsid w:val="355917EF"/>
    <w:rsid w:val="35E4E3FD"/>
    <w:rsid w:val="35E6DC20"/>
    <w:rsid w:val="3799159C"/>
    <w:rsid w:val="3A131FAF"/>
    <w:rsid w:val="3B14E276"/>
    <w:rsid w:val="3B52B628"/>
    <w:rsid w:val="3C4D6E60"/>
    <w:rsid w:val="3CD5CE57"/>
    <w:rsid w:val="3D4AC071"/>
    <w:rsid w:val="3E48BD91"/>
    <w:rsid w:val="3F485056"/>
    <w:rsid w:val="406938D6"/>
    <w:rsid w:val="408CE465"/>
    <w:rsid w:val="410D9CFD"/>
    <w:rsid w:val="4174EC36"/>
    <w:rsid w:val="41919610"/>
    <w:rsid w:val="4205A0AF"/>
    <w:rsid w:val="4450D48C"/>
    <w:rsid w:val="45FF0D84"/>
    <w:rsid w:val="47944076"/>
    <w:rsid w:val="4A156E0E"/>
    <w:rsid w:val="4BCD60A2"/>
    <w:rsid w:val="4D3A5EA9"/>
    <w:rsid w:val="4E6A9488"/>
    <w:rsid w:val="4EA8683A"/>
    <w:rsid w:val="5121FA5F"/>
    <w:rsid w:val="56DD9C0C"/>
    <w:rsid w:val="5A9E331B"/>
    <w:rsid w:val="5E82C9B6"/>
    <w:rsid w:val="5EAE3601"/>
    <w:rsid w:val="5EF64AF8"/>
    <w:rsid w:val="5F6C4400"/>
    <w:rsid w:val="61C9E172"/>
    <w:rsid w:val="6587A990"/>
    <w:rsid w:val="693F6AD5"/>
    <w:rsid w:val="696935DD"/>
    <w:rsid w:val="6AA1C1E2"/>
    <w:rsid w:val="6ADBD941"/>
    <w:rsid w:val="6B0BF409"/>
    <w:rsid w:val="6B96795F"/>
    <w:rsid w:val="6C77A9A2"/>
    <w:rsid w:val="6CF44755"/>
    <w:rsid w:val="6FAF4A64"/>
    <w:rsid w:val="734AE904"/>
    <w:rsid w:val="74697F36"/>
    <w:rsid w:val="74C5CD12"/>
    <w:rsid w:val="7649E698"/>
    <w:rsid w:val="76870C5E"/>
    <w:rsid w:val="77EA126A"/>
    <w:rsid w:val="7BACAC83"/>
    <w:rsid w:val="7C854152"/>
    <w:rsid w:val="7DF04922"/>
    <w:rsid w:val="7FE20D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5570E3CD-2174-4978-89B6-1A3A0148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6D5902"/>
    <w:rPr>
      <w:color w:val="954F72" w:themeColor="followedHyperlink"/>
      <w:u w:val="single"/>
    </w:rPr>
  </w:style>
  <w:style w:type="character" w:styleId="UnresolvedMention">
    <w:name w:val="Unresolved Mention"/>
    <w:basedOn w:val="DefaultParagraphFont"/>
    <w:uiPriority w:val="99"/>
    <w:unhideWhenUsed/>
    <w:rsid w:val="008E4DB8"/>
    <w:rPr>
      <w:color w:val="605E5C"/>
      <w:shd w:val="clear" w:color="auto" w:fill="E1DFDD"/>
    </w:rPr>
  </w:style>
  <w:style w:type="table" w:styleId="TableGrid">
    <w:name w:val="Table Grid"/>
    <w:basedOn w:val="TableNormal"/>
    <w:rsid w:val="00F6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70C9"/>
    <w:rPr>
      <w:sz w:val="24"/>
      <w:szCs w:val="24"/>
    </w:rPr>
  </w:style>
  <w:style w:type="character" w:styleId="Mention">
    <w:name w:val="Mention"/>
    <w:basedOn w:val="DefaultParagraphFont"/>
    <w:uiPriority w:val="99"/>
    <w:unhideWhenUsed/>
    <w:rsid w:val="00B505A5"/>
    <w:rPr>
      <w:color w:val="2B579A"/>
      <w:shd w:val="clear" w:color="auto" w:fill="E1DFDD"/>
    </w:rPr>
  </w:style>
  <w:style w:type="character" w:customStyle="1" w:styleId="ui-provider">
    <w:name w:val="ui-provider"/>
    <w:basedOn w:val="DefaultParagraphFont"/>
    <w:rsid w:val="00C9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Young, Fanica (ACF)</DisplayName>
        <AccountId>235</AccountId>
        <AccountType/>
      </UserInfo>
      <UserInfo>
        <DisplayName>Blake, Allison (ACF)</DisplayName>
        <AccountId>90</AccountId>
        <AccountType/>
      </UserInfo>
    </SharedWithUsers>
    <TaxCatchAll xmlns="23ef38b6-7648-470d-b5e3-09395448522b" xsi:nil="true"/>
    <lcf76f155ced4ddcb4097134ff3c332f xmlns="6f2f78f1-91a5-4d68-8b46-c99d45c19e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23ef38b6-7648-470d-b5e3-09395448522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f2f78f1-91a5-4d68-8b46-c99d45c19e6d"/>
    <ds:schemaRef ds:uri="http://www.w3.org/XML/1998/namespace"/>
    <ds:schemaRef ds:uri="http://purl.org/dc/dcmitype/"/>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6BD84167-D6E2-457E-BC22-BD4C3A3A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8514</Characters>
  <Application>Microsoft Office Word</Application>
  <DocSecurity>0</DocSecurity>
  <Lines>70</Lines>
  <Paragraphs>19</Paragraphs>
  <ScaleCrop>false</ScaleCrop>
  <Company>DHHS</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2009-01-26T22:35:00Z</cp:lastPrinted>
  <dcterms:created xsi:type="dcterms:W3CDTF">2024-05-23T19:19:00Z</dcterms:created>
  <dcterms:modified xsi:type="dcterms:W3CDTF">2024-05-23T19:19:00Z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849900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