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83E" w:rsidRPr="00160621" w:rsidP="005F183E" w14:paraId="303C40F5" w14:textId="77777777">
      <w:pPr>
        <w:pStyle w:val="ReportCover-Title"/>
        <w:jc w:val="center"/>
        <w:rPr>
          <w:rFonts w:ascii="Arial" w:hAnsi="Arial" w:cs="Arial"/>
          <w:color w:val="auto"/>
        </w:rPr>
      </w:pPr>
      <w:r w:rsidRPr="754B260F">
        <w:rPr>
          <w:rFonts w:ascii="Arial" w:eastAsia="Arial Unicode MS" w:hAnsi="Arial" w:cs="Arial"/>
          <w:noProof/>
          <w:color w:val="auto"/>
        </w:rPr>
        <w:t>Office of Community Services Affordable Housing and Supportive Services Demonstration Data Collection</w:t>
      </w:r>
    </w:p>
    <w:p w:rsidR="00160621" w:rsidP="00160621" w14:paraId="04B775EB" w14:textId="77777777">
      <w:pPr>
        <w:pStyle w:val="ReportCover-Title"/>
        <w:rPr>
          <w:rFonts w:ascii="Arial" w:hAnsi="Arial" w:cs="Arial"/>
          <w:color w:val="auto"/>
        </w:rPr>
      </w:pPr>
    </w:p>
    <w:p w:rsidR="005F183E" w:rsidRPr="00160621" w:rsidP="00160621" w14:paraId="63198339"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3FBC2A4">
      <w:pPr>
        <w:pStyle w:val="ReportCover-Title"/>
        <w:jc w:val="center"/>
        <w:rPr>
          <w:rFonts w:ascii="Arial" w:hAnsi="Arial" w:cs="Arial"/>
          <w:color w:val="auto"/>
          <w:sz w:val="32"/>
          <w:szCs w:val="32"/>
        </w:rPr>
      </w:pPr>
      <w:r w:rsidRPr="02418337">
        <w:rPr>
          <w:rFonts w:ascii="Arial" w:hAnsi="Arial" w:cs="Arial"/>
          <w:color w:val="auto"/>
          <w:sz w:val="32"/>
          <w:szCs w:val="32"/>
        </w:rPr>
        <w:t xml:space="preserve">0970 - </w:t>
      </w:r>
      <w:r w:rsidRPr="02418337" w:rsidR="0F6FF673">
        <w:rPr>
          <w:rFonts w:ascii="Arial" w:hAnsi="Arial" w:cs="Arial"/>
          <w:color w:val="auto"/>
          <w:sz w:val="32"/>
          <w:szCs w:val="32"/>
        </w:rPr>
        <w:t>0628</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4A0377B7">
      <w:pPr>
        <w:pStyle w:val="ReportCover-Date"/>
        <w:jc w:val="center"/>
        <w:rPr>
          <w:rFonts w:ascii="Arial" w:hAnsi="Arial" w:cs="Arial"/>
          <w:color w:val="auto"/>
        </w:rPr>
      </w:pPr>
      <w:r w:rsidRPr="4E6883F4">
        <w:rPr>
          <w:rFonts w:ascii="Arial" w:hAnsi="Arial" w:cs="Arial"/>
          <w:color w:val="auto"/>
        </w:rPr>
        <w:t>September</w:t>
      </w:r>
      <w:r w:rsidRPr="4E6883F4" w:rsidR="79039318">
        <w:rPr>
          <w:rFonts w:ascii="Arial" w:hAnsi="Arial" w:cs="Arial"/>
          <w:color w:val="auto"/>
        </w:rPr>
        <w:t xml:space="preserve"> 2024</w:t>
      </w:r>
    </w:p>
    <w:p w:rsidR="00160621" w:rsidP="7B0E0B3A" w14:paraId="753A1E04" w14:textId="5F397CA4">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5F183E" w:rsidRPr="00160621" w:rsidP="005F183E" w14:paraId="586E0250" w14:textId="77777777">
      <w:pPr>
        <w:jc w:val="center"/>
        <w:rPr>
          <w:rFonts w:ascii="Arial" w:hAnsi="Arial" w:cs="Arial"/>
        </w:rPr>
      </w:pPr>
      <w:r>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CE6182" w14:paraId="2212894C" w14:textId="77777777">
      <w:pPr>
        <w:widowControl/>
        <w:ind w:left="360" w:hanging="360"/>
        <w:jc w:val="center"/>
        <w:rPr>
          <w:b/>
          <w:snapToGrid/>
          <w:szCs w:val="24"/>
        </w:rPr>
      </w:pPr>
      <w:r w:rsidRPr="006D1643">
        <w:rPr>
          <w:b/>
          <w:snapToGrid/>
          <w:szCs w:val="24"/>
        </w:rPr>
        <w:t>Summary</w:t>
      </w:r>
    </w:p>
    <w:p w:rsidR="00557AF0" w:rsidP="7FE283B9" w14:paraId="5F1346B3" w14:textId="6F5B5574">
      <w:pPr>
        <w:widowControl/>
        <w:ind w:left="360"/>
      </w:pPr>
      <w:r w:rsidRPr="00D96C50">
        <w:t>The Office of Community Services (OCS), Administration for Children and Families (ACF), U.S. Department of Health and Human Services (HHS), is requesting a</w:t>
      </w:r>
      <w:r w:rsidR="49AC9649">
        <w:t>pproval of</w:t>
      </w:r>
      <w:r w:rsidR="6D647E9A">
        <w:t xml:space="preserve"> revision</w:t>
      </w:r>
      <w:r w:rsidR="278F8A08">
        <w:t>s</w:t>
      </w:r>
      <w:r w:rsidR="6D647E9A">
        <w:t xml:space="preserve"> to</w:t>
      </w:r>
      <w:r w:rsidRPr="00D96C50">
        <w:t xml:space="preserve"> a recently approved information collection</w:t>
      </w:r>
      <w:r w:rsidR="44454FB5">
        <w:t xml:space="preserve"> for three years</w:t>
      </w:r>
      <w:r w:rsidRPr="00D96C50">
        <w:t>: Office of Community Services Affordable Housing and Supportive Services Demonstration (Office of Management and Budget #: 0970-0628; Expiration Date:  9/30/2024).  This information collection was originally approved for 6 months as an emergency approval</w:t>
      </w:r>
      <w:r w:rsidR="00A151DD">
        <w:t xml:space="preserve"> to satisfy a request</w:t>
      </w:r>
      <w:r w:rsidR="000727F2">
        <w:t xml:space="preserve"> in House </w:t>
      </w:r>
      <w:r w:rsidR="006116C2">
        <w:t>Report 117-403</w:t>
      </w:r>
      <w:r w:rsidR="000727F2">
        <w:t xml:space="preserve"> for a report on the results of the demonstration within one year of the </w:t>
      </w:r>
      <w:r w:rsidR="009E1DD1">
        <w:t>award of grants for the program</w:t>
      </w:r>
      <w:r w:rsidRPr="00D96C50">
        <w:t xml:space="preserve">.  </w:t>
      </w:r>
    </w:p>
    <w:p w:rsidR="00557AF0" w:rsidP="7FE283B9" w14:paraId="1E7BACC1" w14:textId="1A9224F6">
      <w:pPr>
        <w:widowControl/>
        <w:ind w:left="360"/>
      </w:pPr>
    </w:p>
    <w:p w:rsidR="00557AF0" w:rsidP="7FE283B9" w14:paraId="4581977F" w14:textId="22973875">
      <w:pPr>
        <w:widowControl/>
        <w:ind w:left="360"/>
      </w:pPr>
      <w:r>
        <w:t>OCS requests to extend the approval in order to continue reporting on the findings of the demonstration program</w:t>
      </w:r>
      <w:r w:rsidR="00E92354">
        <w:t>, monitoring program performance, and supporting program improvement. The program re</w:t>
      </w:r>
      <w:r>
        <w:t>ceived additional appropriations in FY 2024.</w:t>
      </w:r>
    </w:p>
    <w:p w:rsidR="00557AF0" w:rsidP="00C83108" w14:paraId="22E4B911" w14:textId="77777777">
      <w:pPr>
        <w:widowControl/>
        <w:ind w:left="360"/>
        <w:rPr>
          <w:bCs/>
          <w:snapToGrid/>
          <w:szCs w:val="24"/>
        </w:rPr>
      </w:pPr>
    </w:p>
    <w:p w:rsidR="00C83108" w:rsidP="00D96C50" w14:paraId="52858023" w14:textId="09C6E03D">
      <w:pPr>
        <w:widowControl/>
        <w:ind w:left="360"/>
        <w:rPr>
          <w:bCs/>
          <w:snapToGrid/>
          <w:szCs w:val="24"/>
        </w:rPr>
      </w:pPr>
      <w:r w:rsidRPr="00D96C50">
        <w:t xml:space="preserve">In addition to extending the approval, OCS seeks to update the burden estimates to accommodate an anticipated increase in the number of grant recipients, as well as to collect additional </w:t>
      </w:r>
      <w:r w:rsidR="00E001A5">
        <w:t xml:space="preserve">follow-up </w:t>
      </w:r>
      <w:r w:rsidRPr="00D96C50">
        <w:t xml:space="preserve">responses to </w:t>
      </w:r>
      <w:r w:rsidR="00E001A5">
        <w:t>the instruments examining service receipt and self-sufficiency for individuals</w:t>
      </w:r>
      <w:r w:rsidRPr="00D96C50">
        <w:t xml:space="preserve">.  </w:t>
      </w:r>
      <w:r w:rsidR="36C0A5A8">
        <w:t xml:space="preserve">Finally, </w:t>
      </w:r>
      <w:r w:rsidRPr="00D96C50">
        <w:t xml:space="preserve">OCS </w:t>
      </w:r>
      <w:r w:rsidR="2DF8EEB3">
        <w:t xml:space="preserve">has made </w:t>
      </w:r>
      <w:r w:rsidRPr="00D96C50">
        <w:t>updates to approved forms</w:t>
      </w:r>
      <w:r w:rsidR="00921D96">
        <w:t xml:space="preserve"> in order to accommodate the universe of future grant recipients</w:t>
      </w:r>
      <w:r w:rsidR="00A35304">
        <w:t xml:space="preserve"> and in response to feedback received during the 60-day comment period</w:t>
      </w:r>
      <w:r w:rsidRPr="00D96C50">
        <w:t>. </w:t>
      </w:r>
    </w:p>
    <w:p w:rsidR="00CE6182" w:rsidRPr="00C83108" w:rsidP="00D96C50" w14:paraId="3C29E980" w14:textId="77777777">
      <w:pPr>
        <w:widowControl/>
        <w:rPr>
          <w:bCs/>
          <w:snapToGrid/>
          <w:szCs w:val="24"/>
        </w:rPr>
      </w:pPr>
    </w:p>
    <w:p w:rsidR="0A2695C3" w14:paraId="11F60DE4" w14:textId="2445ADC3">
      <w:r>
        <w:br w:type="page"/>
      </w:r>
    </w:p>
    <w:p w:rsidR="002C3C4F" w:rsidRPr="00075889" w:rsidP="00075889" w14:paraId="2EEF9E04" w14:textId="77777777">
      <w:pPr>
        <w:widowControl/>
        <w:numPr>
          <w:ilvl w:val="0"/>
          <w:numId w:val="4"/>
        </w:numPr>
        <w:tabs>
          <w:tab w:val="num" w:pos="360"/>
        </w:tabs>
        <w:spacing w:after="120"/>
        <w:ind w:left="360"/>
        <w:rPr>
          <w:b/>
          <w:snapToGrid/>
          <w:szCs w:val="24"/>
        </w:rPr>
      </w:pPr>
      <w:r w:rsidRPr="00075889">
        <w:rPr>
          <w:b/>
          <w:snapToGrid/>
          <w:szCs w:val="24"/>
        </w:rPr>
        <w:t xml:space="preserve">Circumstances Making the Collection of Information Necessary </w:t>
      </w:r>
    </w:p>
    <w:p w:rsidR="006E7FFB" w:rsidRPr="006E7FFB" w:rsidP="4E6883F4" w14:paraId="42EAB0B2" w14:textId="3D94F0ED">
      <w:pPr>
        <w:widowControl/>
        <w:tabs>
          <w:tab w:val="num" w:pos="360"/>
        </w:tabs>
        <w:spacing w:line="259" w:lineRule="auto"/>
        <w:ind w:left="360"/>
      </w:pPr>
      <w:r w:rsidRPr="0A2695C3">
        <w:rPr>
          <w:snapToGrid/>
        </w:rPr>
        <w:t xml:space="preserve">In </w:t>
      </w:r>
      <w:r w:rsidRPr="0A2695C3" w:rsidR="4F74C81E">
        <w:rPr>
          <w:snapToGrid/>
        </w:rPr>
        <w:t>F</w:t>
      </w:r>
      <w:r w:rsidR="09085210">
        <w:t xml:space="preserve">iscal </w:t>
      </w:r>
      <w:r w:rsidR="4A533052">
        <w:t>Y</w:t>
      </w:r>
      <w:r w:rsidR="09085210">
        <w:t>ear (</w:t>
      </w:r>
      <w:r w:rsidRPr="0A2695C3">
        <w:rPr>
          <w:snapToGrid/>
        </w:rPr>
        <w:t>FY</w:t>
      </w:r>
      <w:r w:rsidRPr="0A2695C3" w:rsidR="225EA1A5">
        <w:rPr>
          <w:snapToGrid/>
        </w:rPr>
        <w:t xml:space="preserve">) </w:t>
      </w:r>
      <w:r w:rsidRPr="0A2695C3" w:rsidR="3557803B">
        <w:rPr>
          <w:snapToGrid/>
        </w:rPr>
        <w:t>20</w:t>
      </w:r>
      <w:r w:rsidRPr="0A2695C3">
        <w:rPr>
          <w:snapToGrid/>
        </w:rPr>
        <w:t xml:space="preserve">23, the Office of Community Services (OCS) </w:t>
      </w:r>
      <w:r w:rsidR="6214DA19">
        <w:t xml:space="preserve">began </w:t>
      </w:r>
      <w:r w:rsidRPr="0A2695C3">
        <w:rPr>
          <w:snapToGrid/>
        </w:rPr>
        <w:t>administering a brand-new demonstration program entitled the Affordable Housing and Supportive Services Demonstration</w:t>
      </w:r>
      <w:r w:rsidRPr="0A2695C3" w:rsidR="48A9DFC6">
        <w:rPr>
          <w:snapToGrid/>
        </w:rPr>
        <w:t xml:space="preserve"> (AHSSD)</w:t>
      </w:r>
      <w:r w:rsidRPr="006E7FFB">
        <w:rPr>
          <w:snapToGrid/>
          <w:szCs w:val="24"/>
        </w:rPr>
        <w:t xml:space="preserve">. </w:t>
      </w:r>
      <w:r w:rsidRPr="0A2695C3">
        <w:rPr>
          <w:snapToGrid/>
        </w:rPr>
        <w:t>This program was appropriated in HR 117-403, Departments of Labor, Health and Human Services, and Related Agencies Appropriations Bill, 2023 through the Social Services Research Demonstration program (SSRD)</w:t>
      </w:r>
      <w:r w:rsidRPr="006E7FFB">
        <w:rPr>
          <w:snapToGrid/>
          <w:szCs w:val="24"/>
        </w:rPr>
        <w:t xml:space="preserve">. </w:t>
      </w:r>
      <w:r w:rsidR="5617521C">
        <w:t xml:space="preserve">OCS awarded grants for the AHSSD on September 29, </w:t>
      </w:r>
      <w:r w:rsidR="00361E99">
        <w:t>2023,</w:t>
      </w:r>
      <w:r w:rsidR="5617521C">
        <w:t xml:space="preserve"> and prepared data collection instruments to study the implementation and outcomes of this program with the intent to produce robust reporting on the results of the demonstration. </w:t>
      </w:r>
      <w:r w:rsidRPr="0A2695C3">
        <w:rPr>
          <w:snapToGrid/>
        </w:rPr>
        <w:t>The House report language directs t</w:t>
      </w:r>
      <w:r w:rsidRPr="0A2695C3">
        <w:t>he Administration for Children and Families</w:t>
      </w:r>
      <w:r w:rsidRPr="006E7FFB">
        <w:rPr>
          <w:snapToGrid/>
          <w:szCs w:val="24"/>
        </w:rPr>
        <w:t xml:space="preserve"> (</w:t>
      </w:r>
      <w:r w:rsidRPr="0A2695C3">
        <w:t xml:space="preserve">ACF) to provide </w:t>
      </w:r>
      <w:r w:rsidR="75204BFE">
        <w:t>“</w:t>
      </w:r>
      <w:r w:rsidRPr="0A2695C3">
        <w:t xml:space="preserve">a report </w:t>
      </w:r>
      <w:r w:rsidR="2FA6755F">
        <w:t>one year after the award of such grants on the findings of this demonstration program.”</w:t>
      </w:r>
      <w:r w:rsidR="21384A3C">
        <w:t xml:space="preserve"> In order to meet this deadline,</w:t>
      </w:r>
      <w:r w:rsidR="6214DA19">
        <w:t xml:space="preserve"> OCS </w:t>
      </w:r>
      <w:r w:rsidR="1C394D25">
        <w:t>sought</w:t>
      </w:r>
      <w:r w:rsidR="6214DA19">
        <w:t xml:space="preserve"> </w:t>
      </w:r>
      <w:r w:rsidR="7760D1EF">
        <w:t xml:space="preserve">and received </w:t>
      </w:r>
      <w:r w:rsidR="6214DA19">
        <w:t>emergency approval</w:t>
      </w:r>
      <w:r w:rsidR="666968AD">
        <w:t xml:space="preserve"> to collect information</w:t>
      </w:r>
      <w:r w:rsidR="7B62CE59">
        <w:t xml:space="preserve"> needed to prepare this report</w:t>
      </w:r>
      <w:r w:rsidRPr="006E7FFB">
        <w:rPr>
          <w:szCs w:val="24"/>
        </w:rPr>
        <w:t>.</w:t>
      </w:r>
      <w:r w:rsidR="18A81E29">
        <w:t xml:space="preserve"> </w:t>
      </w:r>
    </w:p>
    <w:p w:rsidR="006E7FFB" w:rsidRPr="006E7FFB" w:rsidP="0A2695C3" w14:paraId="5A2C72C4" w14:textId="0E96FBC1">
      <w:pPr>
        <w:widowControl/>
        <w:tabs>
          <w:tab w:val="num" w:pos="360"/>
        </w:tabs>
        <w:spacing w:line="259" w:lineRule="auto"/>
        <w:ind w:left="360"/>
      </w:pPr>
    </w:p>
    <w:p w:rsidR="006E7FFB" w:rsidRPr="006E7FFB" w14:paraId="6FAE88AC" w14:textId="7E389F29">
      <w:pPr>
        <w:widowControl/>
        <w:tabs>
          <w:tab w:val="num" w:pos="360"/>
        </w:tabs>
        <w:spacing w:line="259" w:lineRule="auto"/>
        <w:ind w:left="360"/>
      </w:pPr>
      <w:r>
        <w:t>Subsequently, t</w:t>
      </w:r>
      <w:r w:rsidR="18A81E29">
        <w:t>he Departments of Labor, Health and Human Services, and Education, and Related Agencies Appropriations Act of 2024 funded all demonstration programs</w:t>
      </w:r>
      <w:r w:rsidR="749825F9">
        <w:t xml:space="preserve"> included under the </w:t>
      </w:r>
      <w:r w:rsidR="5706C376">
        <w:t>SSRD</w:t>
      </w:r>
      <w:r w:rsidR="749825F9">
        <w:t xml:space="preserve"> heading in </w:t>
      </w:r>
      <w:r w:rsidR="44422F41">
        <w:t>House Report</w:t>
      </w:r>
      <w:r w:rsidR="749825F9">
        <w:t xml:space="preserve"> 117-403. </w:t>
      </w:r>
      <w:r w:rsidRPr="006E7FFB" w:rsidR="507AB52A">
        <w:rPr>
          <w:szCs w:val="24"/>
        </w:rPr>
        <w:t xml:space="preserve"> </w:t>
      </w:r>
    </w:p>
    <w:p w:rsidR="006E7FFB" w:rsidRPr="006E7FFB" w:rsidP="0A2695C3" w14:paraId="6297E772" w14:textId="42A4C407">
      <w:pPr>
        <w:widowControl/>
        <w:tabs>
          <w:tab w:val="num" w:pos="360"/>
        </w:tabs>
        <w:spacing w:line="259" w:lineRule="auto"/>
        <w:ind w:left="360"/>
      </w:pPr>
    </w:p>
    <w:p w:rsidR="006E7FFB" w:rsidRPr="006E7FFB" w:rsidP="0A2695C3" w14:paraId="6A3E3491" w14:textId="58485B05">
      <w:pPr>
        <w:widowControl/>
        <w:tabs>
          <w:tab w:val="num" w:pos="360"/>
        </w:tabs>
        <w:spacing w:line="259" w:lineRule="auto"/>
        <w:ind w:left="360"/>
      </w:pPr>
      <w:r>
        <w:t xml:space="preserve">The first report to the House Committee on Appropriations is in production, and continued data collection will support follow up reports. As such, </w:t>
      </w:r>
      <w:r w:rsidR="6214DA19">
        <w:t>OCS is now requesting a</w:t>
      </w:r>
      <w:r w:rsidR="2903F009">
        <w:t>n</w:t>
      </w:r>
      <w:r w:rsidR="276D8AE4">
        <w:t xml:space="preserve"> extension</w:t>
      </w:r>
      <w:r w:rsidR="6214DA19">
        <w:t xml:space="preserve"> in order to continue data collection</w:t>
      </w:r>
      <w:r w:rsidR="6D5E6536">
        <w:t xml:space="preserve"> </w:t>
      </w:r>
      <w:r w:rsidR="33D86DEB">
        <w:t>to report on the results of this demonstration program</w:t>
      </w:r>
      <w:r w:rsidR="6D5E6536">
        <w:t xml:space="preserve"> and a revision to better accommodate future grant recipients</w:t>
      </w:r>
      <w:r w:rsidR="6214DA19">
        <w:t>.</w:t>
      </w:r>
    </w:p>
    <w:p w:rsidR="006E7FFB" w:rsidRPr="006E7FFB" w:rsidP="006E7FFB" w14:paraId="6F7390DD" w14:textId="77777777">
      <w:pPr>
        <w:widowControl/>
        <w:tabs>
          <w:tab w:val="num" w:pos="360"/>
        </w:tabs>
        <w:ind w:left="360"/>
        <w:rPr>
          <w:snapToGrid/>
          <w:szCs w:val="24"/>
        </w:rPr>
      </w:pPr>
    </w:p>
    <w:p w:rsidR="006E7FFB" w:rsidRPr="006E7FFB" w:rsidP="00D96C50" w14:paraId="6E4667F2" w14:textId="2A502828">
      <w:pPr>
        <w:widowControl/>
        <w:tabs>
          <w:tab w:val="num" w:pos="360"/>
        </w:tabs>
        <w:spacing w:line="259" w:lineRule="auto"/>
        <w:ind w:left="360"/>
      </w:pPr>
      <w:r>
        <w:t>T</w:t>
      </w:r>
      <w:r w:rsidRPr="0A2695C3" w:rsidR="507AB52A">
        <w:t>his collection is</w:t>
      </w:r>
      <w:r w:rsidR="01F0B0C8">
        <w:t xml:space="preserve"> also</w:t>
      </w:r>
      <w:r w:rsidRPr="0A2695C3" w:rsidR="507AB52A">
        <w:t xml:space="preserve"> critical to OCS’s mission of alleviating the causes and conditions of poverty for individuals, families, and communities with low incomes. Through program evaluation, OCS will be able to study the implementation of this brand-new program that provides supportive services to families living in affordable housing</w:t>
      </w:r>
      <w:r w:rsidRPr="006E7FFB" w:rsidR="507AB52A">
        <w:rPr>
          <w:szCs w:val="24"/>
        </w:rPr>
        <w:t xml:space="preserve">. </w:t>
      </w:r>
      <w:r w:rsidRPr="0A2695C3" w:rsidR="507AB52A">
        <w:t>The results of this study will not only inform members of Congress but will also help OCS shape and refine our program model to better serve beneficiaries</w:t>
      </w:r>
      <w:r w:rsidRPr="006E7FFB" w:rsidR="507AB52A">
        <w:rPr>
          <w:szCs w:val="24"/>
        </w:rPr>
        <w:t xml:space="preserve">. </w:t>
      </w:r>
    </w:p>
    <w:p w:rsidR="00790D2C" w:rsidRPr="004F7B95" w:rsidP="00D96C50" w14:paraId="6A4D4BDD" w14:textId="77777777">
      <w:pPr>
        <w:widowControl/>
        <w:tabs>
          <w:tab w:val="num" w:pos="360"/>
        </w:tabs>
        <w:rPr>
          <w:snapToGrid/>
          <w:szCs w:val="24"/>
        </w:rPr>
      </w:pPr>
    </w:p>
    <w:p w:rsidR="002C3C4F" w:rsidRPr="00075889" w:rsidP="00075889" w14:paraId="3264479C" w14:textId="77777777">
      <w:pPr>
        <w:widowControl/>
        <w:numPr>
          <w:ilvl w:val="0"/>
          <w:numId w:val="4"/>
        </w:numPr>
        <w:tabs>
          <w:tab w:val="num" w:pos="0"/>
          <w:tab w:val="num" w:pos="360"/>
        </w:tabs>
        <w:spacing w:after="120"/>
        <w:ind w:left="360"/>
        <w:rPr>
          <w:b/>
          <w:snapToGrid/>
          <w:szCs w:val="24"/>
        </w:rPr>
      </w:pPr>
      <w:r w:rsidRPr="00075889">
        <w:rPr>
          <w:b/>
          <w:snapToGrid/>
          <w:szCs w:val="24"/>
        </w:rPr>
        <w:t>P</w:t>
      </w:r>
      <w:r w:rsidRPr="00075889">
        <w:rPr>
          <w:b/>
          <w:snapToGrid/>
          <w:szCs w:val="24"/>
        </w:rPr>
        <w:t xml:space="preserve">urpose and Use of the Information Collection </w:t>
      </w:r>
    </w:p>
    <w:p w:rsidR="006E7FFB" w:rsidRPr="006E7FFB" w:rsidP="4E6883F4" w14:paraId="0229A240" w14:textId="65EBCCE4">
      <w:pPr>
        <w:widowControl/>
        <w:tabs>
          <w:tab w:val="num" w:pos="360"/>
        </w:tabs>
        <w:spacing w:line="259" w:lineRule="auto"/>
        <w:ind w:left="360"/>
      </w:pPr>
      <w:r w:rsidRPr="4E6883F4">
        <w:t>This</w:t>
      </w:r>
      <w:r w:rsidRPr="006E7FFB" w:rsidR="507AB52A">
        <w:rPr>
          <w:snapToGrid/>
          <w:szCs w:val="24"/>
        </w:rPr>
        <w:t xml:space="preserve"> </w:t>
      </w:r>
      <w:r w:rsidRPr="4E6883F4" w:rsidR="3DECE468">
        <w:rPr>
          <w:snapToGrid/>
        </w:rPr>
        <w:t xml:space="preserve">information </w:t>
      </w:r>
      <w:r w:rsidRPr="4E6883F4" w:rsidR="507AB52A">
        <w:rPr>
          <w:snapToGrid/>
        </w:rPr>
        <w:t xml:space="preserve">collection </w:t>
      </w:r>
      <w:r w:rsidRPr="4E6883F4" w:rsidR="5661D055">
        <w:t>informs Congress on the findings of this</w:t>
      </w:r>
      <w:r w:rsidRPr="4E6883F4" w:rsidR="507AB52A">
        <w:rPr>
          <w:snapToGrid/>
        </w:rPr>
        <w:t xml:space="preserve"> brand-new </w:t>
      </w:r>
      <w:r w:rsidRPr="4E6883F4" w:rsidR="412394FA">
        <w:rPr>
          <w:snapToGrid/>
        </w:rPr>
        <w:t>AHSSD</w:t>
      </w:r>
      <w:r w:rsidRPr="4E6883F4" w:rsidR="507AB52A">
        <w:rPr>
          <w:snapToGrid/>
        </w:rPr>
        <w:t xml:space="preserve">. </w:t>
      </w:r>
      <w:r w:rsidRPr="4E6883F4" w:rsidR="29326304">
        <w:rPr>
          <w:snapToGrid/>
        </w:rPr>
        <w:t xml:space="preserve">A preliminary report to the House </w:t>
      </w:r>
      <w:r w:rsidRPr="4E6883F4" w:rsidR="008F478C">
        <w:rPr>
          <w:snapToGrid/>
        </w:rPr>
        <w:t>Committee</w:t>
      </w:r>
      <w:r w:rsidRPr="4E6883F4" w:rsidR="29326304">
        <w:rPr>
          <w:snapToGrid/>
        </w:rPr>
        <w:t xml:space="preserve"> on Appropriations</w:t>
      </w:r>
      <w:r w:rsidRPr="4E6883F4" w:rsidR="242A12B0">
        <w:rPr>
          <w:snapToGrid/>
        </w:rPr>
        <w:t xml:space="preserve"> is in production and centers on grant recipient approaches to the program, early implementation activities, and </w:t>
      </w:r>
      <w:r w:rsidRPr="4E6883F4" w:rsidR="13BF3F2F">
        <w:rPr>
          <w:snapToGrid/>
        </w:rPr>
        <w:t>service delivery</w:t>
      </w:r>
      <w:r w:rsidRPr="006E7FFB" w:rsidR="29326304">
        <w:rPr>
          <w:snapToGrid/>
          <w:szCs w:val="24"/>
        </w:rPr>
        <w:t xml:space="preserve">. </w:t>
      </w:r>
      <w:r w:rsidRPr="4E6883F4" w:rsidR="03EA0A12">
        <w:rPr>
          <w:snapToGrid/>
        </w:rPr>
        <w:t xml:space="preserve">Additionally, OCS has used data from the current collection of </w:t>
      </w:r>
      <w:r w:rsidRPr="4E6883F4" w:rsidR="009856B0">
        <w:rPr>
          <w:snapToGrid/>
        </w:rPr>
        <w:t xml:space="preserve">quarterly narrative </w:t>
      </w:r>
      <w:r w:rsidRPr="4E6883F4" w:rsidR="1AEC4055">
        <w:rPr>
          <w:snapToGrid/>
        </w:rPr>
        <w:t>performance</w:t>
      </w:r>
      <w:r w:rsidRPr="4E6883F4" w:rsidR="03EA0A12">
        <w:rPr>
          <w:snapToGrid/>
        </w:rPr>
        <w:t xml:space="preserve"> progress reports and semi-annual </w:t>
      </w:r>
      <w:r w:rsidRPr="4E6883F4" w:rsidR="009856B0">
        <w:rPr>
          <w:snapToGrid/>
        </w:rPr>
        <w:t xml:space="preserve">quantitative </w:t>
      </w:r>
      <w:r w:rsidRPr="4E6883F4" w:rsidR="03EA0A12">
        <w:rPr>
          <w:snapToGrid/>
        </w:rPr>
        <w:t>reports to monitor program performance and inform training and technical assistance provided to grant recipients.</w:t>
      </w:r>
      <w:r w:rsidRPr="006E7FFB" w:rsidR="7338ADB7">
        <w:rPr>
          <w:snapToGrid/>
          <w:szCs w:val="24"/>
        </w:rPr>
        <w:t xml:space="preserve"> </w:t>
      </w:r>
      <w:r w:rsidRPr="4E6883F4" w:rsidR="00E001A5">
        <w:rPr>
          <w:snapToGrid/>
        </w:rPr>
        <w:t>We will continue to use this information to inform future programming.</w:t>
      </w:r>
    </w:p>
    <w:p w:rsidR="006E7FFB" w:rsidRPr="006E7FFB" w:rsidP="02418337" w14:paraId="6125C624" w14:textId="7DAF03C5">
      <w:pPr>
        <w:widowControl/>
        <w:tabs>
          <w:tab w:val="num" w:pos="360"/>
        </w:tabs>
        <w:spacing w:line="259" w:lineRule="auto"/>
        <w:ind w:left="360"/>
        <w:rPr>
          <w:szCs w:val="24"/>
        </w:rPr>
      </w:pPr>
    </w:p>
    <w:p w:rsidR="006E7FFB" w:rsidRPr="006E7FFB" w:rsidP="02418337" w14:paraId="31084D8E" w14:textId="6750B404">
      <w:pPr>
        <w:widowControl/>
        <w:tabs>
          <w:tab w:val="num" w:pos="360"/>
        </w:tabs>
        <w:spacing w:line="259" w:lineRule="auto"/>
        <w:ind w:left="360"/>
        <w:rPr>
          <w:szCs w:val="24"/>
        </w:rPr>
      </w:pPr>
      <w:r w:rsidRPr="02418337">
        <w:rPr>
          <w:szCs w:val="24"/>
        </w:rPr>
        <w:t>F</w:t>
      </w:r>
      <w:r w:rsidRPr="02418337" w:rsidR="5C60AFE1">
        <w:rPr>
          <w:szCs w:val="24"/>
        </w:rPr>
        <w:t xml:space="preserve">ollow up </w:t>
      </w:r>
      <w:r w:rsidRPr="006E7FFB" w:rsidR="507AB52A">
        <w:rPr>
          <w:snapToGrid/>
          <w:szCs w:val="24"/>
        </w:rPr>
        <w:t>report</w:t>
      </w:r>
      <w:r w:rsidRPr="006E7FFB" w:rsidR="61DB358A">
        <w:rPr>
          <w:snapToGrid/>
          <w:szCs w:val="24"/>
        </w:rPr>
        <w:t>ing</w:t>
      </w:r>
      <w:r w:rsidRPr="006E7FFB" w:rsidR="507AB52A">
        <w:rPr>
          <w:snapToGrid/>
          <w:szCs w:val="24"/>
        </w:rPr>
        <w:t xml:space="preserve"> will center around three primary research categories: the implementation of supportive services in an affordable housing context; changes in residents’ ability to access needed services; and participants’ experiences and self-sufficiency outcomes. OCS hopes to identify which services and combinations of services support residents’ mental health, safety, parenting skills, housing stability, and economic mobility. OCS will also use the data collected to </w:t>
      </w:r>
      <w:r w:rsidRPr="006E7FFB" w:rsidR="444DD3FE">
        <w:rPr>
          <w:snapToGrid/>
          <w:szCs w:val="24"/>
        </w:rPr>
        <w:t xml:space="preserve">monitor program performance, </w:t>
      </w:r>
      <w:r w:rsidRPr="006E7FFB" w:rsidR="507AB52A">
        <w:rPr>
          <w:snapToGrid/>
          <w:szCs w:val="24"/>
        </w:rPr>
        <w:t>inform technical assistance to grant recipients</w:t>
      </w:r>
      <w:r w:rsidRPr="006E7FFB" w:rsidR="4DFDE46A">
        <w:rPr>
          <w:snapToGrid/>
          <w:szCs w:val="24"/>
        </w:rPr>
        <w:t>,</w:t>
      </w:r>
      <w:r w:rsidRPr="006E7FFB" w:rsidR="507AB52A">
        <w:rPr>
          <w:snapToGrid/>
          <w:szCs w:val="24"/>
        </w:rPr>
        <w:t xml:space="preserve"> and determine program best practices. </w:t>
      </w:r>
    </w:p>
    <w:p w:rsidR="02418337" w:rsidP="02418337" w14:paraId="31EBE51C" w14:textId="101565EA">
      <w:pPr>
        <w:widowControl/>
        <w:tabs>
          <w:tab w:val="num" w:pos="360"/>
        </w:tabs>
        <w:spacing w:line="259" w:lineRule="auto"/>
        <w:ind w:left="360"/>
        <w:rPr>
          <w:szCs w:val="24"/>
        </w:rPr>
      </w:pPr>
    </w:p>
    <w:p w:rsidR="507AB52A" w:rsidP="02418337" w14:paraId="345B384B" w14:textId="6F726431">
      <w:pPr>
        <w:widowControl/>
        <w:tabs>
          <w:tab w:val="num" w:pos="360"/>
        </w:tabs>
        <w:ind w:left="360"/>
        <w:rPr>
          <w:szCs w:val="24"/>
        </w:rPr>
      </w:pPr>
      <w:r w:rsidRPr="02418337">
        <w:rPr>
          <w:szCs w:val="24"/>
        </w:rPr>
        <w:t xml:space="preserve">Beneficiary-level data will be used to determine how the program changed residents’ level of access to services and what outcomes were achieved by strengthening service delivery. </w:t>
      </w:r>
      <w:r w:rsidRPr="02418337" w:rsidR="0FE449DE">
        <w:rPr>
          <w:szCs w:val="24"/>
        </w:rPr>
        <w:t xml:space="preserve">OCS will examine how services and dosage </w:t>
      </w:r>
      <w:r w:rsidRPr="02418337" w:rsidR="18507679">
        <w:rPr>
          <w:szCs w:val="24"/>
        </w:rPr>
        <w:t xml:space="preserve">of services are associated with the achievement of outcomes for individuals enrolled in the study. </w:t>
      </w:r>
      <w:r w:rsidRPr="02418337">
        <w:rPr>
          <w:szCs w:val="24"/>
        </w:rPr>
        <w:t>Data from program staff will be used to understand implementation of the program</w:t>
      </w:r>
      <w:r w:rsidRPr="02418337" w:rsidR="692C228C">
        <w:rPr>
          <w:szCs w:val="24"/>
        </w:rPr>
        <w:t xml:space="preserve">, including the strategies grant recipients employed to expand and strengthen services, challenges encountered, program adaptations, </w:t>
      </w:r>
      <w:r w:rsidRPr="02418337" w:rsidR="75EFF183">
        <w:rPr>
          <w:szCs w:val="24"/>
        </w:rPr>
        <w:t>and promising practices</w:t>
      </w:r>
      <w:r w:rsidRPr="02418337">
        <w:rPr>
          <w:szCs w:val="24"/>
        </w:rPr>
        <w:t xml:space="preserve">. </w:t>
      </w:r>
    </w:p>
    <w:p w:rsidR="006E7FFB" w:rsidRPr="006E7FFB" w:rsidP="006E7FFB" w14:paraId="2694188E" w14:textId="77777777">
      <w:pPr>
        <w:widowControl/>
        <w:tabs>
          <w:tab w:val="num" w:pos="360"/>
        </w:tabs>
        <w:ind w:left="360"/>
        <w:rPr>
          <w:szCs w:val="24"/>
        </w:rPr>
      </w:pPr>
    </w:p>
    <w:p w:rsidR="006E7FFB" w:rsidRPr="006E7FFB" w:rsidP="0A2695C3" w14:paraId="1A7EBC81" w14:textId="4B18692B">
      <w:pPr>
        <w:widowControl/>
        <w:tabs>
          <w:tab w:val="num" w:pos="360"/>
        </w:tabs>
        <w:ind w:left="360"/>
      </w:pPr>
      <w:r w:rsidRPr="0A2695C3">
        <w:rPr>
          <w:snapToGrid/>
        </w:rPr>
        <w:t>OCS will administer some aspects of the data collection through virtual interviews and electronic surveys</w:t>
      </w:r>
      <w:r w:rsidRPr="006E7FFB">
        <w:rPr>
          <w:snapToGrid/>
          <w:szCs w:val="24"/>
        </w:rPr>
        <w:t xml:space="preserve">. </w:t>
      </w:r>
      <w:r w:rsidRPr="0A2695C3">
        <w:rPr>
          <w:snapToGrid/>
        </w:rPr>
        <w:t xml:space="preserve">OCS will collect other data with in-person </w:t>
      </w:r>
      <w:r w:rsidR="5C2F1583">
        <w:t xml:space="preserve">interviews and </w:t>
      </w:r>
      <w:r w:rsidRPr="0A2695C3">
        <w:rPr>
          <w:snapToGrid/>
        </w:rPr>
        <w:t>focus groups</w:t>
      </w:r>
      <w:r w:rsidR="30762BAA">
        <w:t xml:space="preserve"> during site visits to grant recipients</w:t>
      </w:r>
      <w:r w:rsidRPr="006E7FFB">
        <w:rPr>
          <w:snapToGrid/>
          <w:szCs w:val="24"/>
        </w:rPr>
        <w:t>.</w:t>
      </w:r>
      <w:r w:rsidRPr="4E6883F4" w:rsidR="00E001A5">
        <w:rPr>
          <w:snapToGrid/>
        </w:rPr>
        <w:t xml:space="preserve"> OCS will also collect </w:t>
      </w:r>
      <w:r w:rsidRPr="4E6883F4" w:rsidR="00E66066">
        <w:rPr>
          <w:snapToGrid/>
        </w:rPr>
        <w:t xml:space="preserve">project updates and </w:t>
      </w:r>
      <w:r w:rsidRPr="4E6883F4" w:rsidR="00E001A5">
        <w:rPr>
          <w:snapToGrid/>
        </w:rPr>
        <w:t xml:space="preserve">administrative data via quarterly narrative project performance reports in addition to semi-annual quantitative reports. For the quantitative reports, OCS </w:t>
      </w:r>
      <w:r w:rsidRPr="4E6883F4" w:rsidR="00E66066">
        <w:rPr>
          <w:snapToGrid/>
        </w:rPr>
        <w:t xml:space="preserve">has two versions—1) the original </w:t>
      </w:r>
      <w:r w:rsidRPr="4E6883F4" w:rsidR="009856B0">
        <w:rPr>
          <w:snapToGrid/>
        </w:rPr>
        <w:t xml:space="preserve">2023 version of </w:t>
      </w:r>
      <w:r w:rsidRPr="4E6883F4" w:rsidR="00E66066">
        <w:rPr>
          <w:snapToGrid/>
        </w:rPr>
        <w:t xml:space="preserve">forms for grant recipients using FY 2023 funds, and 2) the revised </w:t>
      </w:r>
      <w:r w:rsidRPr="4E6883F4" w:rsidR="009856B0">
        <w:rPr>
          <w:snapToGrid/>
        </w:rPr>
        <w:t xml:space="preserve">2024 version of </w:t>
      </w:r>
      <w:r w:rsidRPr="4E6883F4" w:rsidR="00E66066">
        <w:rPr>
          <w:snapToGrid/>
        </w:rPr>
        <w:t>forms for grant recipients using FY 2024 or later funds.</w:t>
      </w:r>
      <w:r w:rsidRPr="006E7FFB">
        <w:rPr>
          <w:snapToGrid/>
          <w:szCs w:val="24"/>
        </w:rPr>
        <w:t xml:space="preserve"> </w:t>
      </w:r>
      <w:r w:rsidRPr="0A2695C3">
        <w:rPr>
          <w:snapToGrid/>
        </w:rPr>
        <w:t xml:space="preserve">The following table provides an overview of the information collection efforts. </w:t>
      </w:r>
    </w:p>
    <w:p w:rsidR="006E7FFB" w:rsidRPr="006E7FFB" w:rsidP="006E7FFB" w14:paraId="0B126E31" w14:textId="77777777">
      <w:pPr>
        <w:widowControl/>
        <w:tabs>
          <w:tab w:val="num" w:pos="360"/>
        </w:tabs>
        <w:rPr>
          <w:snapToGrid/>
          <w:szCs w:val="24"/>
        </w:rPr>
      </w:pPr>
    </w:p>
    <w:tbl>
      <w:tblPr>
        <w:tblStyle w:val="TableGrid"/>
        <w:tblW w:w="0" w:type="auto"/>
        <w:tblInd w:w="360" w:type="dxa"/>
        <w:tblLook w:val="04A0"/>
      </w:tblPr>
      <w:tblGrid>
        <w:gridCol w:w="1975"/>
        <w:gridCol w:w="5040"/>
        <w:gridCol w:w="1975"/>
      </w:tblGrid>
      <w:tr w14:paraId="575C6907" w14:textId="77777777" w:rsidTr="003D5E6F">
        <w:tblPrEx>
          <w:tblW w:w="0" w:type="auto"/>
          <w:tblInd w:w="360" w:type="dxa"/>
          <w:tblLook w:val="04A0"/>
        </w:tblPrEx>
        <w:trPr>
          <w:trHeight w:val="300"/>
        </w:trPr>
        <w:tc>
          <w:tcPr>
            <w:tcW w:w="1975" w:type="dxa"/>
            <w:shd w:val="clear" w:color="auto" w:fill="D0CECE" w:themeFill="background2" w:themeFillShade="E6"/>
          </w:tcPr>
          <w:p w:rsidR="006E7FFB" w:rsidRPr="003D5E6F" w:rsidP="009739DE" w14:paraId="5D1A12A9" w14:textId="77777777">
            <w:pPr>
              <w:widowControl/>
              <w:tabs>
                <w:tab w:val="num" w:pos="360"/>
              </w:tabs>
              <w:rPr>
                <w:b/>
                <w:bCs/>
                <w:i/>
                <w:iCs/>
                <w:snapToGrid/>
                <w:sz w:val="20"/>
              </w:rPr>
            </w:pPr>
            <w:r w:rsidRPr="003D5E6F">
              <w:rPr>
                <w:b/>
                <w:bCs/>
                <w:i/>
                <w:iCs/>
                <w:sz w:val="20"/>
              </w:rPr>
              <w:t xml:space="preserve">Instruments </w:t>
            </w:r>
          </w:p>
        </w:tc>
        <w:tc>
          <w:tcPr>
            <w:tcW w:w="5040" w:type="dxa"/>
            <w:shd w:val="clear" w:color="auto" w:fill="D0CECE" w:themeFill="background2" w:themeFillShade="E6"/>
          </w:tcPr>
          <w:p w:rsidR="006E7FFB" w:rsidRPr="003D5E6F" w:rsidP="009739DE" w14:paraId="4C4AB476" w14:textId="77777777">
            <w:pPr>
              <w:widowControl/>
              <w:tabs>
                <w:tab w:val="num" w:pos="360"/>
              </w:tabs>
              <w:rPr>
                <w:b/>
                <w:bCs/>
                <w:i/>
                <w:iCs/>
                <w:snapToGrid/>
                <w:sz w:val="20"/>
              </w:rPr>
            </w:pPr>
            <w:r w:rsidRPr="003D5E6F">
              <w:rPr>
                <w:b/>
                <w:bCs/>
                <w:i/>
                <w:iCs/>
                <w:sz w:val="20"/>
              </w:rPr>
              <w:t xml:space="preserve">Respondent, Content, Purpose of Collection </w:t>
            </w:r>
          </w:p>
        </w:tc>
        <w:tc>
          <w:tcPr>
            <w:tcW w:w="1975" w:type="dxa"/>
            <w:shd w:val="clear" w:color="auto" w:fill="D0CECE" w:themeFill="background2" w:themeFillShade="E6"/>
          </w:tcPr>
          <w:p w:rsidR="006E7FFB" w:rsidRPr="003D5E6F" w:rsidP="009739DE" w14:paraId="68F9EF40" w14:textId="77777777">
            <w:pPr>
              <w:widowControl/>
              <w:tabs>
                <w:tab w:val="num" w:pos="360"/>
              </w:tabs>
              <w:rPr>
                <w:b/>
                <w:bCs/>
                <w:i/>
                <w:iCs/>
                <w:snapToGrid/>
                <w:sz w:val="20"/>
              </w:rPr>
            </w:pPr>
            <w:r w:rsidRPr="003D5E6F">
              <w:rPr>
                <w:b/>
                <w:bCs/>
                <w:i/>
                <w:iCs/>
                <w:sz w:val="20"/>
              </w:rPr>
              <w:t>Mode and Duration</w:t>
            </w:r>
          </w:p>
        </w:tc>
      </w:tr>
      <w:tr w14:paraId="2F6E4116" w14:textId="77777777" w:rsidTr="003D5E6F">
        <w:tblPrEx>
          <w:tblW w:w="0" w:type="auto"/>
          <w:tblInd w:w="360" w:type="dxa"/>
          <w:tblLook w:val="04A0"/>
        </w:tblPrEx>
        <w:trPr>
          <w:trHeight w:val="300"/>
        </w:trPr>
        <w:tc>
          <w:tcPr>
            <w:tcW w:w="1975" w:type="dxa"/>
            <w:vAlign w:val="center"/>
          </w:tcPr>
          <w:p w:rsidR="006E7FFB" w:rsidRPr="003D5E6F" w:rsidP="009739DE" w14:paraId="0F361846" w14:textId="77777777">
            <w:pPr>
              <w:widowControl/>
              <w:tabs>
                <w:tab w:val="num" w:pos="360"/>
              </w:tabs>
              <w:rPr>
                <w:snapToGrid/>
                <w:sz w:val="20"/>
              </w:rPr>
            </w:pPr>
            <w:r w:rsidRPr="003D5E6F">
              <w:rPr>
                <w:sz w:val="20"/>
              </w:rPr>
              <w:t>Self-Sufficiency Matrix</w:t>
            </w:r>
          </w:p>
        </w:tc>
        <w:tc>
          <w:tcPr>
            <w:tcW w:w="5040" w:type="dxa"/>
          </w:tcPr>
          <w:p w:rsidR="006E7FFB" w:rsidRPr="003D5E6F" w:rsidP="009739DE" w14:paraId="294DEA08" w14:textId="77777777">
            <w:pPr>
              <w:widowControl/>
              <w:tabs>
                <w:tab w:val="num" w:pos="360"/>
              </w:tabs>
              <w:rPr>
                <w:b/>
                <w:bCs/>
                <w:color w:val="000000"/>
                <w:sz w:val="20"/>
              </w:rPr>
            </w:pPr>
            <w:r w:rsidRPr="003D5E6F">
              <w:rPr>
                <w:b/>
                <w:bCs/>
                <w:color w:val="000000" w:themeColor="text1"/>
                <w:sz w:val="20"/>
              </w:rPr>
              <w:t xml:space="preserve">Respondents: </w:t>
            </w:r>
            <w:r w:rsidRPr="003D5E6F">
              <w:rPr>
                <w:color w:val="000000" w:themeColor="text1"/>
                <w:sz w:val="20"/>
              </w:rPr>
              <w:t xml:space="preserve">Residents living in affordable housing complexes funded by the AHSSD grant and receiving intensive case-management services. </w:t>
            </w:r>
          </w:p>
          <w:p w:rsidR="006E7FFB" w:rsidRPr="003D5E6F" w:rsidP="009739DE" w14:paraId="2D17FC04" w14:textId="77777777">
            <w:pPr>
              <w:widowControl/>
              <w:tabs>
                <w:tab w:val="num" w:pos="360"/>
              </w:tabs>
              <w:rPr>
                <w:color w:val="000000"/>
                <w:sz w:val="20"/>
              </w:rPr>
            </w:pPr>
          </w:p>
          <w:p w:rsidR="006E7FFB" w:rsidRPr="003D5E6F" w:rsidP="009739DE" w14:paraId="0C2BE765"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 xml:space="preserve">Assessment of need in 18 different domains, on a scale from 1 to 5. </w:t>
            </w:r>
          </w:p>
          <w:p w:rsidR="006E7FFB" w:rsidRPr="003D5E6F" w:rsidP="009739DE" w14:paraId="0B58BB2D" w14:textId="77777777">
            <w:pPr>
              <w:widowControl/>
              <w:tabs>
                <w:tab w:val="num" w:pos="360"/>
              </w:tabs>
              <w:rPr>
                <w:color w:val="000000"/>
                <w:sz w:val="20"/>
              </w:rPr>
            </w:pPr>
          </w:p>
          <w:p w:rsidR="006E7FFB" w:rsidRPr="003D5E6F" w:rsidP="009739DE" w14:paraId="66116AA3" w14:textId="77777777">
            <w:pPr>
              <w:widowControl/>
              <w:tabs>
                <w:tab w:val="num" w:pos="360"/>
              </w:tabs>
              <w:rPr>
                <w:b/>
                <w:bCs/>
                <w:color w:val="000000"/>
                <w:sz w:val="20"/>
              </w:rPr>
            </w:pPr>
            <w:r w:rsidRPr="003D5E6F">
              <w:rPr>
                <w:b/>
                <w:bCs/>
                <w:color w:val="000000" w:themeColor="text1"/>
                <w:sz w:val="20"/>
              </w:rPr>
              <w:t xml:space="preserve">Purpose: </w:t>
            </w:r>
            <w:r w:rsidRPr="003D5E6F">
              <w:rPr>
                <w:color w:val="000000" w:themeColor="text1"/>
                <w:sz w:val="20"/>
              </w:rPr>
              <w:t>Determine baseline needs. Assess changes in self-sufficiency caused by wraparound services.</w:t>
            </w:r>
          </w:p>
          <w:p w:rsidR="006E7FFB" w:rsidRPr="003D5E6F" w:rsidP="009739DE" w14:paraId="4534DF62" w14:textId="77777777">
            <w:pPr>
              <w:widowControl/>
              <w:tabs>
                <w:tab w:val="num" w:pos="360"/>
              </w:tabs>
              <w:rPr>
                <w:snapToGrid/>
                <w:sz w:val="20"/>
              </w:rPr>
            </w:pPr>
          </w:p>
        </w:tc>
        <w:tc>
          <w:tcPr>
            <w:tcW w:w="1975" w:type="dxa"/>
          </w:tcPr>
          <w:p w:rsidR="006E7FFB" w:rsidRPr="003D5E6F" w:rsidP="009739DE" w14:paraId="186A8939"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Survey</w:t>
            </w:r>
          </w:p>
          <w:p w:rsidR="006E7FFB" w:rsidRPr="003D5E6F" w:rsidP="009739DE" w14:paraId="4A1F0249" w14:textId="77777777">
            <w:pPr>
              <w:widowControl/>
              <w:tabs>
                <w:tab w:val="num" w:pos="360"/>
              </w:tabs>
              <w:rPr>
                <w:color w:val="000000"/>
                <w:sz w:val="20"/>
              </w:rPr>
            </w:pPr>
          </w:p>
          <w:p w:rsidR="006E7FFB" w:rsidRPr="003D5E6F" w:rsidP="009739DE" w14:paraId="22A7754D" w14:textId="77777777">
            <w:pPr>
              <w:widowControl/>
              <w:tabs>
                <w:tab w:val="num" w:pos="360"/>
              </w:tabs>
              <w:rPr>
                <w:color w:val="000000"/>
                <w:sz w:val="20"/>
              </w:rPr>
            </w:pPr>
          </w:p>
          <w:p w:rsidR="006E7FFB" w:rsidRPr="003D5E6F" w:rsidP="009739DE" w14:paraId="0D4BC917"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1.5 hours</w:t>
            </w:r>
          </w:p>
        </w:tc>
      </w:tr>
      <w:tr w14:paraId="29DFDAB6" w14:textId="77777777" w:rsidTr="003D5E6F">
        <w:tblPrEx>
          <w:tblW w:w="0" w:type="auto"/>
          <w:tblInd w:w="360" w:type="dxa"/>
          <w:tblLook w:val="04A0"/>
        </w:tblPrEx>
        <w:trPr>
          <w:trHeight w:val="300"/>
        </w:trPr>
        <w:tc>
          <w:tcPr>
            <w:tcW w:w="1975" w:type="dxa"/>
            <w:vAlign w:val="center"/>
          </w:tcPr>
          <w:p w:rsidR="006E7FFB" w:rsidRPr="003D5E6F" w:rsidP="009739DE" w14:paraId="33C3B8A4" w14:textId="77777777">
            <w:pPr>
              <w:widowControl/>
              <w:tabs>
                <w:tab w:val="num" w:pos="360"/>
              </w:tabs>
              <w:rPr>
                <w:snapToGrid/>
                <w:sz w:val="20"/>
              </w:rPr>
            </w:pPr>
            <w:r w:rsidRPr="003D5E6F">
              <w:rPr>
                <w:sz w:val="20"/>
              </w:rPr>
              <w:t>Service Receipt Questionnaire</w:t>
            </w:r>
          </w:p>
        </w:tc>
        <w:tc>
          <w:tcPr>
            <w:tcW w:w="5040" w:type="dxa"/>
          </w:tcPr>
          <w:p w:rsidR="006E7FFB" w:rsidRPr="003D5E6F" w:rsidP="009739DE" w14:paraId="768F48A3" w14:textId="77777777">
            <w:pPr>
              <w:widowControl/>
              <w:tabs>
                <w:tab w:val="num" w:pos="360"/>
              </w:tabs>
              <w:rPr>
                <w:b/>
                <w:bCs/>
                <w:color w:val="000000"/>
                <w:sz w:val="20"/>
              </w:rPr>
            </w:pPr>
            <w:r w:rsidRPr="003D5E6F">
              <w:rPr>
                <w:b/>
                <w:bCs/>
                <w:color w:val="000000" w:themeColor="text1"/>
                <w:sz w:val="20"/>
              </w:rPr>
              <w:t xml:space="preserve">Respondents: </w:t>
            </w:r>
            <w:r w:rsidRPr="003D5E6F">
              <w:rPr>
                <w:color w:val="000000" w:themeColor="text1"/>
                <w:sz w:val="20"/>
              </w:rPr>
              <w:t>Residents living in affordable housing complexes funded by the AHSSD grant and receiving intensive case-management services.</w:t>
            </w:r>
          </w:p>
          <w:p w:rsidR="006E7FFB" w:rsidRPr="003D5E6F" w:rsidP="009739DE" w14:paraId="71E285FB" w14:textId="77777777">
            <w:pPr>
              <w:widowControl/>
              <w:tabs>
                <w:tab w:val="num" w:pos="360"/>
              </w:tabs>
              <w:rPr>
                <w:color w:val="000000"/>
                <w:sz w:val="20"/>
              </w:rPr>
            </w:pPr>
          </w:p>
          <w:p w:rsidR="006E7FFB" w:rsidRPr="003D5E6F" w:rsidP="009739DE" w14:paraId="1A3AD643"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Two questions on characteristics of the resident (length of time living in the housing complex and number of children) and a yes/no checklist about different services that the resident may have received in the last 6 months.</w:t>
            </w:r>
          </w:p>
          <w:p w:rsidR="006E7FFB" w:rsidRPr="003D5E6F" w:rsidP="009739DE" w14:paraId="5E3A875A" w14:textId="77777777">
            <w:pPr>
              <w:widowControl/>
              <w:tabs>
                <w:tab w:val="num" w:pos="360"/>
              </w:tabs>
              <w:rPr>
                <w:color w:val="000000"/>
                <w:sz w:val="20"/>
              </w:rPr>
            </w:pPr>
          </w:p>
          <w:p w:rsidR="006E7FFB" w:rsidRPr="003D5E6F" w:rsidP="009739DE" w14:paraId="06677EAF" w14:textId="77777777">
            <w:pPr>
              <w:widowControl/>
              <w:tabs>
                <w:tab w:val="num" w:pos="360"/>
              </w:tabs>
              <w:rPr>
                <w:b/>
                <w:bCs/>
                <w:color w:val="000000"/>
                <w:sz w:val="20"/>
              </w:rPr>
            </w:pPr>
            <w:r w:rsidRPr="003D5E6F">
              <w:rPr>
                <w:b/>
                <w:bCs/>
                <w:color w:val="000000" w:themeColor="text1"/>
                <w:sz w:val="20"/>
              </w:rPr>
              <w:t xml:space="preserve">Purpose: </w:t>
            </w:r>
            <w:r w:rsidRPr="003D5E6F">
              <w:rPr>
                <w:color w:val="000000" w:themeColor="text1"/>
                <w:sz w:val="20"/>
              </w:rPr>
              <w:t>Evaluate if AHSSD funding increased the number of services that residents accessed.</w:t>
            </w:r>
          </w:p>
          <w:p w:rsidR="006E7FFB" w:rsidRPr="003D5E6F" w:rsidP="009739DE" w14:paraId="4B73C422" w14:textId="77777777">
            <w:pPr>
              <w:widowControl/>
              <w:tabs>
                <w:tab w:val="num" w:pos="360"/>
              </w:tabs>
              <w:rPr>
                <w:snapToGrid/>
                <w:sz w:val="20"/>
              </w:rPr>
            </w:pPr>
          </w:p>
        </w:tc>
        <w:tc>
          <w:tcPr>
            <w:tcW w:w="1975" w:type="dxa"/>
          </w:tcPr>
          <w:p w:rsidR="006E7FFB" w:rsidRPr="003D5E6F" w:rsidP="009739DE" w14:paraId="33382DE9"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Survey</w:t>
            </w:r>
          </w:p>
          <w:p w:rsidR="006E7FFB" w:rsidRPr="003D5E6F" w:rsidP="009739DE" w14:paraId="0D460A28" w14:textId="77777777">
            <w:pPr>
              <w:widowControl/>
              <w:tabs>
                <w:tab w:val="num" w:pos="360"/>
              </w:tabs>
              <w:rPr>
                <w:color w:val="000000"/>
                <w:sz w:val="20"/>
              </w:rPr>
            </w:pPr>
          </w:p>
          <w:p w:rsidR="006E7FFB" w:rsidRPr="003D5E6F" w:rsidP="009739DE" w14:paraId="53005115" w14:textId="77777777">
            <w:pPr>
              <w:widowControl/>
              <w:tabs>
                <w:tab w:val="num" w:pos="360"/>
              </w:tabs>
              <w:rPr>
                <w:color w:val="000000"/>
                <w:sz w:val="20"/>
              </w:rPr>
            </w:pPr>
          </w:p>
          <w:p w:rsidR="006E7FFB" w:rsidRPr="003D5E6F" w:rsidP="009739DE" w14:paraId="4E338771"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15 minutes</w:t>
            </w:r>
          </w:p>
        </w:tc>
      </w:tr>
      <w:tr w14:paraId="7515AE44" w14:textId="77777777" w:rsidTr="003D5E6F">
        <w:tblPrEx>
          <w:tblW w:w="0" w:type="auto"/>
          <w:tblInd w:w="360" w:type="dxa"/>
          <w:tblLook w:val="04A0"/>
        </w:tblPrEx>
        <w:trPr>
          <w:trHeight w:val="300"/>
        </w:trPr>
        <w:tc>
          <w:tcPr>
            <w:tcW w:w="1975" w:type="dxa"/>
            <w:vAlign w:val="center"/>
          </w:tcPr>
          <w:p w:rsidR="006E7FFB" w:rsidRPr="003D5E6F" w:rsidP="009739DE" w14:paraId="0BD637BC" w14:textId="77777777">
            <w:pPr>
              <w:widowControl/>
              <w:tabs>
                <w:tab w:val="num" w:pos="360"/>
              </w:tabs>
              <w:rPr>
                <w:snapToGrid/>
                <w:sz w:val="20"/>
              </w:rPr>
            </w:pPr>
            <w:r w:rsidRPr="003D5E6F">
              <w:rPr>
                <w:sz w:val="20"/>
              </w:rPr>
              <w:t>Resident Focus Group</w:t>
            </w:r>
          </w:p>
        </w:tc>
        <w:tc>
          <w:tcPr>
            <w:tcW w:w="5040" w:type="dxa"/>
          </w:tcPr>
          <w:p w:rsidR="006E7FFB" w:rsidRPr="003D5E6F" w:rsidP="009739DE" w14:paraId="3424E2F1" w14:textId="77777777">
            <w:pPr>
              <w:widowControl/>
              <w:tabs>
                <w:tab w:val="num" w:pos="360"/>
              </w:tabs>
              <w:rPr>
                <w:color w:val="000000"/>
                <w:sz w:val="20"/>
              </w:rPr>
            </w:pPr>
            <w:r w:rsidRPr="003D5E6F">
              <w:rPr>
                <w:b/>
                <w:bCs/>
                <w:color w:val="000000" w:themeColor="text1"/>
                <w:sz w:val="20"/>
              </w:rPr>
              <w:t xml:space="preserve">Respondents: </w:t>
            </w:r>
            <w:r w:rsidRPr="003D5E6F">
              <w:rPr>
                <w:color w:val="000000" w:themeColor="text1"/>
                <w:sz w:val="20"/>
              </w:rPr>
              <w:t>Residents living in affordable housing complexes funded by AHSSD grant.</w:t>
            </w:r>
          </w:p>
          <w:p w:rsidR="006E7FFB" w:rsidRPr="003D5E6F" w:rsidP="009739DE" w14:paraId="06230182" w14:textId="77777777">
            <w:pPr>
              <w:widowControl/>
              <w:tabs>
                <w:tab w:val="num" w:pos="360"/>
              </w:tabs>
              <w:rPr>
                <w:color w:val="000000"/>
                <w:sz w:val="20"/>
              </w:rPr>
            </w:pPr>
          </w:p>
          <w:p w:rsidR="006E7FFB" w:rsidRPr="003D5E6F" w:rsidP="009739DE" w14:paraId="07FD966C"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Seven questions (with optional probes for more detail) regarding which services the residents used, what they found most helpful, what the role of the caseworker was, and how their families and neighbors have changed since the grant began.</w:t>
            </w:r>
          </w:p>
          <w:p w:rsidR="006E7FFB" w:rsidRPr="003D5E6F" w:rsidP="009739DE" w14:paraId="26805792" w14:textId="77777777">
            <w:pPr>
              <w:widowControl/>
              <w:tabs>
                <w:tab w:val="num" w:pos="360"/>
              </w:tabs>
              <w:rPr>
                <w:color w:val="000000"/>
                <w:sz w:val="20"/>
              </w:rPr>
            </w:pPr>
          </w:p>
          <w:p w:rsidR="006E7FFB" w:rsidRPr="003D5E6F" w:rsidP="009739DE" w14:paraId="24AC4792" w14:textId="77777777">
            <w:pPr>
              <w:widowControl/>
              <w:tabs>
                <w:tab w:val="num" w:pos="360"/>
              </w:tabs>
              <w:rPr>
                <w:color w:val="000000"/>
                <w:sz w:val="20"/>
              </w:rPr>
            </w:pPr>
            <w:r w:rsidRPr="003D5E6F">
              <w:rPr>
                <w:b/>
                <w:bCs/>
                <w:color w:val="000000" w:themeColor="text1"/>
                <w:sz w:val="20"/>
              </w:rPr>
              <w:t xml:space="preserve">Purpose: </w:t>
            </w:r>
            <w:r w:rsidRPr="003D5E6F">
              <w:rPr>
                <w:color w:val="000000" w:themeColor="text1"/>
                <w:sz w:val="20"/>
              </w:rPr>
              <w:t>Understand the experiences of residents in the program, including what benefits families identify and what aspects of the program are viewed as most critical to driving positive change.</w:t>
            </w:r>
          </w:p>
          <w:p w:rsidR="006E7FFB" w:rsidRPr="003D5E6F" w:rsidP="009739DE" w14:paraId="0042631E" w14:textId="77777777">
            <w:pPr>
              <w:widowControl/>
              <w:tabs>
                <w:tab w:val="num" w:pos="360"/>
              </w:tabs>
              <w:rPr>
                <w:snapToGrid/>
                <w:sz w:val="20"/>
              </w:rPr>
            </w:pPr>
          </w:p>
        </w:tc>
        <w:tc>
          <w:tcPr>
            <w:tcW w:w="1975" w:type="dxa"/>
          </w:tcPr>
          <w:p w:rsidR="006E7FFB" w:rsidRPr="003D5E6F" w:rsidP="009739DE" w14:paraId="0DE1166C"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Focus group</w:t>
            </w:r>
          </w:p>
          <w:p w:rsidR="006E7FFB" w:rsidRPr="003D5E6F" w:rsidP="009739DE" w14:paraId="0F25DA45" w14:textId="77777777">
            <w:pPr>
              <w:widowControl/>
              <w:tabs>
                <w:tab w:val="num" w:pos="360"/>
              </w:tabs>
              <w:rPr>
                <w:color w:val="000000"/>
                <w:sz w:val="20"/>
              </w:rPr>
            </w:pPr>
          </w:p>
          <w:p w:rsidR="006E7FFB" w:rsidRPr="003D5E6F" w:rsidP="009739DE" w14:paraId="3A335147" w14:textId="77777777">
            <w:pPr>
              <w:widowControl/>
              <w:tabs>
                <w:tab w:val="num" w:pos="360"/>
              </w:tabs>
              <w:rPr>
                <w:color w:val="000000"/>
                <w:sz w:val="20"/>
              </w:rPr>
            </w:pPr>
          </w:p>
          <w:p w:rsidR="006E7FFB" w:rsidRPr="003D5E6F" w:rsidP="009739DE" w14:paraId="5DC1F660"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1.5 hours</w:t>
            </w:r>
          </w:p>
        </w:tc>
      </w:tr>
      <w:tr w14:paraId="590780B8" w14:textId="77777777" w:rsidTr="003D5E6F">
        <w:tblPrEx>
          <w:tblW w:w="0" w:type="auto"/>
          <w:tblInd w:w="360" w:type="dxa"/>
          <w:tblLook w:val="04A0"/>
        </w:tblPrEx>
        <w:trPr>
          <w:trHeight w:val="300"/>
        </w:trPr>
        <w:tc>
          <w:tcPr>
            <w:tcW w:w="1975" w:type="dxa"/>
            <w:vAlign w:val="center"/>
          </w:tcPr>
          <w:p w:rsidR="006E7FFB" w:rsidRPr="003D5E6F" w:rsidP="4E6883F4" w14:paraId="5BCB6E66" w14:textId="077CBD56">
            <w:pPr>
              <w:widowControl/>
              <w:tabs>
                <w:tab w:val="num" w:pos="360"/>
              </w:tabs>
              <w:rPr>
                <w:sz w:val="20"/>
              </w:rPr>
            </w:pPr>
            <w:r w:rsidRPr="003D5E6F">
              <w:rPr>
                <w:sz w:val="20"/>
              </w:rPr>
              <w:t xml:space="preserve">Quarterly </w:t>
            </w:r>
            <w:r w:rsidRPr="003D5E6F" w:rsidR="34AC2DE3">
              <w:rPr>
                <w:sz w:val="20"/>
              </w:rPr>
              <w:t xml:space="preserve">Narrative </w:t>
            </w:r>
            <w:r w:rsidRPr="003D5E6F" w:rsidR="7DEDF866">
              <w:rPr>
                <w:sz w:val="20"/>
              </w:rPr>
              <w:t>Performance Progress Report (</w:t>
            </w:r>
            <w:r w:rsidRPr="003D5E6F">
              <w:rPr>
                <w:sz w:val="20"/>
              </w:rPr>
              <w:t>PPR</w:t>
            </w:r>
            <w:r w:rsidRPr="003D5E6F" w:rsidR="2FD1037C">
              <w:rPr>
                <w:sz w:val="20"/>
              </w:rPr>
              <w:t>)</w:t>
            </w:r>
            <w:r w:rsidRPr="003D5E6F">
              <w:rPr>
                <w:sz w:val="20"/>
              </w:rPr>
              <w:t xml:space="preserve"> Collections</w:t>
            </w:r>
          </w:p>
        </w:tc>
        <w:tc>
          <w:tcPr>
            <w:tcW w:w="5040" w:type="dxa"/>
          </w:tcPr>
          <w:p w:rsidR="006E7FFB" w:rsidRPr="003D5E6F" w:rsidP="009739DE" w14:paraId="26571719" w14:textId="77777777">
            <w:pPr>
              <w:widowControl/>
              <w:tabs>
                <w:tab w:val="num" w:pos="360"/>
              </w:tabs>
              <w:rPr>
                <w:color w:val="000000"/>
                <w:sz w:val="20"/>
              </w:rPr>
            </w:pPr>
            <w:r w:rsidRPr="003D5E6F">
              <w:rPr>
                <w:b/>
                <w:bCs/>
                <w:color w:val="000000" w:themeColor="text1"/>
                <w:sz w:val="20"/>
              </w:rPr>
              <w:t xml:space="preserve">Respondents: </w:t>
            </w:r>
            <w:r w:rsidRPr="003D5E6F">
              <w:rPr>
                <w:color w:val="000000" w:themeColor="text1"/>
                <w:sz w:val="20"/>
              </w:rPr>
              <w:t>Grant recipient staff.</w:t>
            </w:r>
          </w:p>
          <w:p w:rsidR="006E7FFB" w:rsidRPr="003D5E6F" w:rsidP="009739DE" w14:paraId="761DDDF7" w14:textId="77777777">
            <w:pPr>
              <w:widowControl/>
              <w:tabs>
                <w:tab w:val="num" w:pos="360"/>
              </w:tabs>
              <w:rPr>
                <w:color w:val="000000"/>
                <w:sz w:val="20"/>
              </w:rPr>
            </w:pPr>
          </w:p>
          <w:p w:rsidR="006E7FFB" w:rsidRPr="003D5E6F" w:rsidP="009739DE" w14:paraId="72D93C4C"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Narrative report on accomplishments and challenges experienced by the grant recipients.</w:t>
            </w:r>
          </w:p>
          <w:p w:rsidR="006E7FFB" w:rsidRPr="003D5E6F" w:rsidP="009739DE" w14:paraId="12EB1B49" w14:textId="77777777">
            <w:pPr>
              <w:widowControl/>
              <w:tabs>
                <w:tab w:val="num" w:pos="360"/>
              </w:tabs>
              <w:rPr>
                <w:color w:val="000000"/>
                <w:sz w:val="20"/>
              </w:rPr>
            </w:pPr>
          </w:p>
          <w:p w:rsidR="006E7FFB" w:rsidRPr="003D5E6F" w:rsidP="009739DE" w14:paraId="608273BE" w14:textId="77777777">
            <w:pPr>
              <w:widowControl/>
              <w:tabs>
                <w:tab w:val="num" w:pos="360"/>
              </w:tabs>
              <w:rPr>
                <w:color w:val="000000"/>
                <w:sz w:val="20"/>
              </w:rPr>
            </w:pPr>
            <w:r w:rsidRPr="003D5E6F">
              <w:rPr>
                <w:b/>
                <w:bCs/>
                <w:color w:val="000000" w:themeColor="text1"/>
                <w:sz w:val="20"/>
              </w:rPr>
              <w:t xml:space="preserve">Purpose: </w:t>
            </w:r>
            <w:r w:rsidRPr="003D5E6F">
              <w:rPr>
                <w:color w:val="000000" w:themeColor="text1"/>
                <w:sz w:val="20"/>
              </w:rPr>
              <w:t>Allow OCS program specialists to provide technical assistance to grant recipients. Support understanding of implementation best practices.</w:t>
            </w:r>
          </w:p>
          <w:p w:rsidR="006E7FFB" w:rsidRPr="003D5E6F" w:rsidP="009739DE" w14:paraId="079F3105" w14:textId="77777777">
            <w:pPr>
              <w:widowControl/>
              <w:tabs>
                <w:tab w:val="num" w:pos="360"/>
              </w:tabs>
              <w:rPr>
                <w:snapToGrid/>
                <w:sz w:val="20"/>
              </w:rPr>
            </w:pPr>
          </w:p>
        </w:tc>
        <w:tc>
          <w:tcPr>
            <w:tcW w:w="1975" w:type="dxa"/>
          </w:tcPr>
          <w:p w:rsidR="006E7FFB" w:rsidRPr="003D5E6F" w:rsidP="009739DE" w14:paraId="01283D00"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Written report</w:t>
            </w:r>
          </w:p>
          <w:p w:rsidR="006E7FFB" w:rsidRPr="003D5E6F" w:rsidP="009739DE" w14:paraId="7FB8D49B" w14:textId="77777777">
            <w:pPr>
              <w:widowControl/>
              <w:tabs>
                <w:tab w:val="num" w:pos="360"/>
              </w:tabs>
              <w:rPr>
                <w:color w:val="000000"/>
                <w:sz w:val="20"/>
              </w:rPr>
            </w:pPr>
          </w:p>
          <w:p w:rsidR="006E7FFB" w:rsidRPr="003D5E6F" w:rsidP="009739DE" w14:paraId="70C13392" w14:textId="77777777">
            <w:pPr>
              <w:widowControl/>
              <w:tabs>
                <w:tab w:val="num" w:pos="360"/>
              </w:tabs>
              <w:rPr>
                <w:color w:val="000000"/>
                <w:sz w:val="20"/>
              </w:rPr>
            </w:pPr>
          </w:p>
          <w:p w:rsidR="006E7FFB" w:rsidRPr="003D5E6F" w:rsidP="009739DE" w14:paraId="3EE457C2"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2 hours</w:t>
            </w:r>
          </w:p>
        </w:tc>
      </w:tr>
      <w:tr w14:paraId="1CB4A5F3" w14:textId="77777777" w:rsidTr="003D5E6F">
        <w:tblPrEx>
          <w:tblW w:w="0" w:type="auto"/>
          <w:tblInd w:w="360" w:type="dxa"/>
          <w:tblLook w:val="04A0"/>
        </w:tblPrEx>
        <w:trPr>
          <w:trHeight w:val="300"/>
        </w:trPr>
        <w:tc>
          <w:tcPr>
            <w:tcW w:w="1975" w:type="dxa"/>
            <w:vAlign w:val="center"/>
          </w:tcPr>
          <w:p w:rsidR="006E7FFB" w:rsidRPr="003D5E6F" w:rsidP="009739DE" w14:paraId="0FE20B7B" w14:textId="6EC1C4AB">
            <w:pPr>
              <w:widowControl/>
              <w:tabs>
                <w:tab w:val="num" w:pos="360"/>
              </w:tabs>
              <w:rPr>
                <w:sz w:val="20"/>
              </w:rPr>
            </w:pPr>
            <w:r w:rsidRPr="003D5E6F">
              <w:rPr>
                <w:sz w:val="20"/>
              </w:rPr>
              <w:t xml:space="preserve">2023 Version </w:t>
            </w:r>
            <w:r w:rsidRPr="003D5E6F" w:rsidR="00C62B93">
              <w:rPr>
                <w:sz w:val="20"/>
              </w:rPr>
              <w:t>–</w:t>
            </w:r>
            <w:r w:rsidRPr="003D5E6F">
              <w:rPr>
                <w:sz w:val="20"/>
              </w:rPr>
              <w:t xml:space="preserve"> </w:t>
            </w:r>
            <w:r w:rsidRPr="003D5E6F" w:rsidR="507AB52A">
              <w:rPr>
                <w:sz w:val="20"/>
              </w:rPr>
              <w:t>Semi</w:t>
            </w:r>
            <w:r w:rsidRPr="003D5E6F" w:rsidR="00C62B93">
              <w:rPr>
                <w:sz w:val="20"/>
              </w:rPr>
              <w:t>-</w:t>
            </w:r>
            <w:r w:rsidRPr="003D5E6F" w:rsidR="507AB52A">
              <w:rPr>
                <w:sz w:val="20"/>
              </w:rPr>
              <w:t>Annual</w:t>
            </w:r>
            <w:r w:rsidRPr="003D5E6F" w:rsidR="00E66066">
              <w:rPr>
                <w:sz w:val="20"/>
              </w:rPr>
              <w:t xml:space="preserve"> Quantitative</w:t>
            </w:r>
            <w:r w:rsidRPr="003D5E6F" w:rsidR="507AB52A">
              <w:rPr>
                <w:sz w:val="20"/>
              </w:rPr>
              <w:t xml:space="preserve"> Report MANDATORY</w:t>
            </w:r>
            <w:r w:rsidRPr="003D5E6F" w:rsidR="28CE281A">
              <w:rPr>
                <w:sz w:val="20"/>
              </w:rPr>
              <w:t xml:space="preserve"> </w:t>
            </w:r>
          </w:p>
        </w:tc>
        <w:tc>
          <w:tcPr>
            <w:tcW w:w="5040" w:type="dxa"/>
          </w:tcPr>
          <w:p w:rsidR="006E7FFB" w:rsidRPr="003D5E6F" w:rsidP="00D96C50" w14:paraId="6DDF3217" w14:textId="1E16F677">
            <w:pPr>
              <w:widowControl/>
              <w:tabs>
                <w:tab w:val="num" w:pos="360"/>
              </w:tabs>
              <w:spacing w:line="259" w:lineRule="auto"/>
              <w:rPr>
                <w:color w:val="000000" w:themeColor="text1"/>
                <w:sz w:val="20"/>
              </w:rPr>
            </w:pPr>
            <w:r w:rsidRPr="003D5E6F">
              <w:rPr>
                <w:b/>
                <w:bCs/>
                <w:color w:val="000000" w:themeColor="text1"/>
                <w:sz w:val="20"/>
              </w:rPr>
              <w:t xml:space="preserve">Respondents: </w:t>
            </w:r>
            <w:r w:rsidRPr="003D5E6F">
              <w:rPr>
                <w:color w:val="000000" w:themeColor="text1"/>
                <w:sz w:val="20"/>
              </w:rPr>
              <w:t>Grant recipient staff</w:t>
            </w:r>
            <w:r w:rsidRPr="003D5E6F" w:rsidR="426E1964">
              <w:rPr>
                <w:color w:val="000000" w:themeColor="text1"/>
                <w:sz w:val="20"/>
              </w:rPr>
              <w:t xml:space="preserve"> for </w:t>
            </w:r>
            <w:r w:rsidRPr="003D5E6F" w:rsidR="504EB659">
              <w:rPr>
                <w:color w:val="000000" w:themeColor="text1"/>
                <w:sz w:val="20"/>
              </w:rPr>
              <w:t xml:space="preserve">projects receiving FY 2023 funds </w:t>
            </w:r>
            <w:r w:rsidRPr="003D5E6F" w:rsidR="426E1964">
              <w:rPr>
                <w:color w:val="000000" w:themeColor="text1"/>
                <w:sz w:val="20"/>
              </w:rPr>
              <w:t>opting to use the original version.</w:t>
            </w:r>
          </w:p>
          <w:p w:rsidR="006E7FFB" w:rsidRPr="003D5E6F" w:rsidP="009739DE" w14:paraId="26919657" w14:textId="77777777">
            <w:pPr>
              <w:widowControl/>
              <w:tabs>
                <w:tab w:val="num" w:pos="360"/>
              </w:tabs>
              <w:rPr>
                <w:color w:val="000000"/>
                <w:sz w:val="20"/>
              </w:rPr>
            </w:pPr>
          </w:p>
          <w:p w:rsidR="006E7FFB" w:rsidRPr="003D5E6F" w:rsidP="009739DE" w14:paraId="3A41565B" w14:textId="77777777">
            <w:pPr>
              <w:widowControl/>
              <w:tabs>
                <w:tab w:val="num" w:pos="360"/>
              </w:tabs>
              <w:rPr>
                <w:color w:val="000000"/>
                <w:sz w:val="20"/>
              </w:rPr>
            </w:pPr>
            <w:r w:rsidRPr="003D5E6F">
              <w:rPr>
                <w:b/>
                <w:bCs/>
                <w:color w:val="000000" w:themeColor="text1"/>
                <w:sz w:val="20"/>
              </w:rPr>
              <w:t xml:space="preserve">Content: </w:t>
            </w:r>
            <w:r w:rsidRPr="003D5E6F">
              <w:rPr>
                <w:color w:val="000000" w:themeColor="text1"/>
                <w:sz w:val="20"/>
              </w:rPr>
              <w:t>Count of the direct services that the grant recipient provided using AHSSD funds, count of referrals of residents to other services, characteristics of the housing complex, list of partner organizations that the grant recipient worked with, and aggregate demographics of residents who received AHSSD-funded services.</w:t>
            </w:r>
          </w:p>
          <w:p w:rsidR="006E7FFB" w:rsidRPr="003D5E6F" w:rsidP="009739DE" w14:paraId="779AB739" w14:textId="77777777">
            <w:pPr>
              <w:widowControl/>
              <w:tabs>
                <w:tab w:val="num" w:pos="360"/>
              </w:tabs>
              <w:rPr>
                <w:color w:val="000000"/>
                <w:sz w:val="20"/>
              </w:rPr>
            </w:pPr>
          </w:p>
          <w:p w:rsidR="006E7FFB" w:rsidRPr="003D5E6F" w:rsidP="009739DE" w14:paraId="05740191" w14:textId="77777777">
            <w:pPr>
              <w:widowControl/>
              <w:tabs>
                <w:tab w:val="num" w:pos="360"/>
              </w:tabs>
              <w:rPr>
                <w:b/>
                <w:bCs/>
                <w:color w:val="000000"/>
                <w:sz w:val="20"/>
              </w:rPr>
            </w:pPr>
            <w:r w:rsidRPr="003D5E6F">
              <w:rPr>
                <w:b/>
                <w:bCs/>
                <w:color w:val="000000" w:themeColor="text1"/>
                <w:sz w:val="20"/>
              </w:rPr>
              <w:t xml:space="preserve">Purpose: </w:t>
            </w:r>
            <w:r w:rsidRPr="003D5E6F">
              <w:rPr>
                <w:color w:val="000000" w:themeColor="text1"/>
                <w:sz w:val="20"/>
              </w:rPr>
              <w:t>Understand what AHSSD funds were used for and who was served by the grant.</w:t>
            </w:r>
          </w:p>
          <w:p w:rsidR="006E7FFB" w:rsidRPr="003D5E6F" w:rsidP="009739DE" w14:paraId="4E6CD4E4" w14:textId="77777777">
            <w:pPr>
              <w:widowControl/>
              <w:tabs>
                <w:tab w:val="num" w:pos="360"/>
              </w:tabs>
              <w:rPr>
                <w:snapToGrid/>
                <w:sz w:val="20"/>
              </w:rPr>
            </w:pPr>
          </w:p>
        </w:tc>
        <w:tc>
          <w:tcPr>
            <w:tcW w:w="1975" w:type="dxa"/>
          </w:tcPr>
          <w:p w:rsidR="006E7FFB" w:rsidRPr="003D5E6F" w:rsidP="009739DE" w14:paraId="40301807"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Written report</w:t>
            </w:r>
          </w:p>
          <w:p w:rsidR="006E7FFB" w:rsidRPr="003D5E6F" w:rsidP="009739DE" w14:paraId="10169F49" w14:textId="77777777">
            <w:pPr>
              <w:widowControl/>
              <w:tabs>
                <w:tab w:val="num" w:pos="360"/>
              </w:tabs>
              <w:rPr>
                <w:color w:val="000000"/>
                <w:sz w:val="20"/>
              </w:rPr>
            </w:pPr>
          </w:p>
          <w:p w:rsidR="006E7FFB" w:rsidRPr="003D5E6F" w:rsidP="009739DE" w14:paraId="4EE965B9" w14:textId="77777777">
            <w:pPr>
              <w:widowControl/>
              <w:tabs>
                <w:tab w:val="num" w:pos="360"/>
              </w:tabs>
              <w:rPr>
                <w:color w:val="000000"/>
                <w:sz w:val="20"/>
              </w:rPr>
            </w:pPr>
          </w:p>
          <w:p w:rsidR="006E7FFB" w:rsidRPr="003D5E6F" w:rsidP="009739DE" w14:paraId="6AF03881" w14:textId="77777777">
            <w:pPr>
              <w:widowControl/>
              <w:tabs>
                <w:tab w:val="num" w:pos="360"/>
              </w:tabs>
              <w:rPr>
                <w:snapToGrid/>
                <w:sz w:val="20"/>
              </w:rPr>
            </w:pPr>
            <w:r w:rsidRPr="003D5E6F">
              <w:rPr>
                <w:b/>
                <w:bCs/>
                <w:color w:val="000000" w:themeColor="text1"/>
                <w:sz w:val="20"/>
              </w:rPr>
              <w:t xml:space="preserve">Duration: </w:t>
            </w:r>
            <w:r w:rsidRPr="003D5E6F">
              <w:rPr>
                <w:color w:val="000000" w:themeColor="text1"/>
                <w:sz w:val="20"/>
              </w:rPr>
              <w:t>3 hours</w:t>
            </w:r>
          </w:p>
        </w:tc>
      </w:tr>
      <w:tr w14:paraId="3B495795" w14:textId="77777777" w:rsidTr="003D5E6F">
        <w:tblPrEx>
          <w:tblW w:w="0" w:type="auto"/>
          <w:tblInd w:w="360" w:type="dxa"/>
          <w:tblLook w:val="04A0"/>
        </w:tblPrEx>
        <w:trPr>
          <w:trHeight w:val="300"/>
        </w:trPr>
        <w:tc>
          <w:tcPr>
            <w:tcW w:w="1975" w:type="dxa"/>
            <w:vAlign w:val="center"/>
          </w:tcPr>
          <w:p w:rsidR="02418337" w:rsidRPr="003D5E6F" w:rsidP="02418337" w14:paraId="189F07FF" w14:textId="17818D7F">
            <w:pPr>
              <w:widowControl/>
              <w:tabs>
                <w:tab w:val="num" w:pos="360"/>
              </w:tabs>
              <w:rPr>
                <w:sz w:val="20"/>
              </w:rPr>
            </w:pPr>
            <w:r w:rsidRPr="003D5E6F">
              <w:rPr>
                <w:sz w:val="20"/>
              </w:rPr>
              <w:t xml:space="preserve">2024 Version </w:t>
            </w:r>
            <w:r w:rsidRPr="003D5E6F" w:rsidR="00C62B93">
              <w:rPr>
                <w:sz w:val="20"/>
              </w:rPr>
              <w:t>–</w:t>
            </w:r>
            <w:r w:rsidRPr="003D5E6F">
              <w:rPr>
                <w:sz w:val="20"/>
              </w:rPr>
              <w:t xml:space="preserve"> </w:t>
            </w:r>
            <w:r w:rsidRPr="003D5E6F">
              <w:rPr>
                <w:sz w:val="20"/>
              </w:rPr>
              <w:t>Semi</w:t>
            </w:r>
            <w:r w:rsidRPr="003D5E6F" w:rsidR="00C62B93">
              <w:rPr>
                <w:sz w:val="20"/>
              </w:rPr>
              <w:t>-</w:t>
            </w:r>
            <w:r w:rsidRPr="003D5E6F">
              <w:rPr>
                <w:sz w:val="20"/>
              </w:rPr>
              <w:t xml:space="preserve">Annual </w:t>
            </w:r>
            <w:r w:rsidRPr="003D5E6F" w:rsidR="00E66066">
              <w:rPr>
                <w:sz w:val="20"/>
              </w:rPr>
              <w:t xml:space="preserve">Quantitative </w:t>
            </w:r>
            <w:r w:rsidRPr="003D5E6F">
              <w:rPr>
                <w:sz w:val="20"/>
              </w:rPr>
              <w:t>Report MANDATORY</w:t>
            </w:r>
            <w:r w:rsidRPr="003D5E6F" w:rsidR="4AA12EDA">
              <w:rPr>
                <w:sz w:val="20"/>
              </w:rPr>
              <w:t xml:space="preserve"> </w:t>
            </w:r>
          </w:p>
        </w:tc>
        <w:tc>
          <w:tcPr>
            <w:tcW w:w="5040" w:type="dxa"/>
          </w:tcPr>
          <w:p w:rsidR="02418337" w:rsidRPr="003D5E6F" w:rsidP="02418337" w14:paraId="48DE293F" w14:textId="71F9F41E">
            <w:pPr>
              <w:widowControl/>
              <w:tabs>
                <w:tab w:val="num" w:pos="360"/>
              </w:tabs>
              <w:rPr>
                <w:color w:val="000000" w:themeColor="text1"/>
                <w:sz w:val="20"/>
              </w:rPr>
            </w:pPr>
            <w:r w:rsidRPr="003D5E6F">
              <w:rPr>
                <w:b/>
                <w:bCs/>
                <w:color w:val="000000" w:themeColor="text1"/>
                <w:sz w:val="20"/>
              </w:rPr>
              <w:t xml:space="preserve">Respondents: </w:t>
            </w:r>
            <w:r w:rsidRPr="003D5E6F">
              <w:rPr>
                <w:color w:val="000000" w:themeColor="text1"/>
                <w:sz w:val="20"/>
              </w:rPr>
              <w:t>Grant recipient staff</w:t>
            </w:r>
            <w:r w:rsidRPr="003D5E6F" w:rsidR="72804B58">
              <w:rPr>
                <w:color w:val="000000" w:themeColor="text1"/>
                <w:sz w:val="20"/>
              </w:rPr>
              <w:t xml:space="preserve"> for projects receiving newly awarded funds and for projects receiving FY 2023 awards opting to use the revised form. </w:t>
            </w:r>
          </w:p>
          <w:p w:rsidR="02418337" w:rsidRPr="003D5E6F" w:rsidP="02418337" w14:paraId="0A4B1C86" w14:textId="77777777">
            <w:pPr>
              <w:widowControl/>
              <w:tabs>
                <w:tab w:val="num" w:pos="360"/>
              </w:tabs>
              <w:rPr>
                <w:color w:val="000000" w:themeColor="text1"/>
                <w:sz w:val="20"/>
              </w:rPr>
            </w:pPr>
          </w:p>
          <w:p w:rsidR="02418337" w:rsidRPr="003D5E6F" w:rsidP="02418337" w14:paraId="70381CE9" w14:textId="77777777">
            <w:pPr>
              <w:widowControl/>
              <w:tabs>
                <w:tab w:val="num" w:pos="360"/>
              </w:tabs>
              <w:rPr>
                <w:color w:val="000000" w:themeColor="text1"/>
                <w:sz w:val="20"/>
              </w:rPr>
            </w:pPr>
            <w:r w:rsidRPr="003D5E6F">
              <w:rPr>
                <w:b/>
                <w:bCs/>
                <w:color w:val="000000" w:themeColor="text1"/>
                <w:sz w:val="20"/>
              </w:rPr>
              <w:t xml:space="preserve">Content: </w:t>
            </w:r>
            <w:r w:rsidRPr="003D5E6F">
              <w:rPr>
                <w:color w:val="000000" w:themeColor="text1"/>
                <w:sz w:val="20"/>
              </w:rPr>
              <w:t>Count of the direct services that the grant recipient provided using AHSSD funds, count of referrals of residents to other services, characteristics of the housing complex, list of partner organizations that the grant recipient worked with, and aggregate demographics of residents who received AHSSD-funded services.</w:t>
            </w:r>
          </w:p>
          <w:p w:rsidR="02418337" w:rsidRPr="003D5E6F" w:rsidP="02418337" w14:paraId="6815947A" w14:textId="77777777">
            <w:pPr>
              <w:widowControl/>
              <w:tabs>
                <w:tab w:val="num" w:pos="360"/>
              </w:tabs>
              <w:rPr>
                <w:color w:val="000000" w:themeColor="text1"/>
                <w:sz w:val="20"/>
              </w:rPr>
            </w:pPr>
          </w:p>
          <w:p w:rsidR="02418337" w:rsidRPr="003D5E6F" w:rsidP="02418337" w14:paraId="4C393555" w14:textId="77777777">
            <w:pPr>
              <w:widowControl/>
              <w:tabs>
                <w:tab w:val="num" w:pos="360"/>
              </w:tabs>
              <w:rPr>
                <w:b/>
                <w:bCs/>
                <w:color w:val="000000" w:themeColor="text1"/>
                <w:sz w:val="20"/>
              </w:rPr>
            </w:pPr>
            <w:r w:rsidRPr="003D5E6F">
              <w:rPr>
                <w:b/>
                <w:bCs/>
                <w:color w:val="000000" w:themeColor="text1"/>
                <w:sz w:val="20"/>
              </w:rPr>
              <w:t xml:space="preserve">Purpose: </w:t>
            </w:r>
            <w:r w:rsidRPr="003D5E6F">
              <w:rPr>
                <w:color w:val="000000" w:themeColor="text1"/>
                <w:sz w:val="20"/>
              </w:rPr>
              <w:t>Understand what AHSSD funds were used for and who was served by the grant.</w:t>
            </w:r>
          </w:p>
          <w:p w:rsidR="02418337" w:rsidRPr="003D5E6F" w:rsidP="02418337" w14:paraId="4EA4136C" w14:textId="77777777">
            <w:pPr>
              <w:widowControl/>
              <w:tabs>
                <w:tab w:val="num" w:pos="360"/>
              </w:tabs>
              <w:rPr>
                <w:sz w:val="20"/>
              </w:rPr>
            </w:pPr>
          </w:p>
        </w:tc>
        <w:tc>
          <w:tcPr>
            <w:tcW w:w="1975" w:type="dxa"/>
          </w:tcPr>
          <w:p w:rsidR="02418337" w:rsidRPr="003D5E6F" w:rsidP="02418337" w14:paraId="0D2C2173" w14:textId="77777777">
            <w:pPr>
              <w:widowControl/>
              <w:tabs>
                <w:tab w:val="num" w:pos="360"/>
              </w:tabs>
              <w:rPr>
                <w:color w:val="000000" w:themeColor="text1"/>
                <w:sz w:val="20"/>
              </w:rPr>
            </w:pPr>
            <w:r w:rsidRPr="003D5E6F">
              <w:rPr>
                <w:b/>
                <w:bCs/>
                <w:color w:val="000000" w:themeColor="text1"/>
                <w:sz w:val="20"/>
              </w:rPr>
              <w:t xml:space="preserve">Mode: </w:t>
            </w:r>
            <w:r w:rsidRPr="003D5E6F">
              <w:rPr>
                <w:color w:val="000000" w:themeColor="text1"/>
                <w:sz w:val="20"/>
              </w:rPr>
              <w:t>Written report</w:t>
            </w:r>
          </w:p>
          <w:p w:rsidR="02418337" w:rsidRPr="003D5E6F" w:rsidP="02418337" w14:paraId="7B523D65" w14:textId="77777777">
            <w:pPr>
              <w:widowControl/>
              <w:tabs>
                <w:tab w:val="num" w:pos="360"/>
              </w:tabs>
              <w:rPr>
                <w:color w:val="000000" w:themeColor="text1"/>
                <w:sz w:val="20"/>
              </w:rPr>
            </w:pPr>
          </w:p>
          <w:p w:rsidR="02418337" w:rsidRPr="003D5E6F" w:rsidP="02418337" w14:paraId="26CA75DE" w14:textId="77777777">
            <w:pPr>
              <w:widowControl/>
              <w:tabs>
                <w:tab w:val="num" w:pos="360"/>
              </w:tabs>
              <w:rPr>
                <w:color w:val="000000" w:themeColor="text1"/>
                <w:sz w:val="20"/>
              </w:rPr>
            </w:pPr>
          </w:p>
          <w:p w:rsidR="02418337" w:rsidRPr="003D5E6F" w:rsidP="02418337" w14:paraId="2F015D84" w14:textId="77777777">
            <w:pPr>
              <w:widowControl/>
              <w:tabs>
                <w:tab w:val="num" w:pos="360"/>
              </w:tabs>
              <w:rPr>
                <w:sz w:val="20"/>
              </w:rPr>
            </w:pPr>
            <w:r w:rsidRPr="003D5E6F">
              <w:rPr>
                <w:b/>
                <w:bCs/>
                <w:color w:val="000000" w:themeColor="text1"/>
                <w:sz w:val="20"/>
              </w:rPr>
              <w:t xml:space="preserve">Duration: </w:t>
            </w:r>
            <w:r w:rsidRPr="003D5E6F">
              <w:rPr>
                <w:color w:val="000000" w:themeColor="text1"/>
                <w:sz w:val="20"/>
              </w:rPr>
              <w:t>3 hours</w:t>
            </w:r>
          </w:p>
        </w:tc>
      </w:tr>
      <w:tr w14:paraId="28B09E8C" w14:textId="77777777" w:rsidTr="003D5E6F">
        <w:tblPrEx>
          <w:tblW w:w="0" w:type="auto"/>
          <w:tblInd w:w="360" w:type="dxa"/>
          <w:tblLook w:val="04A0"/>
        </w:tblPrEx>
        <w:tc>
          <w:tcPr>
            <w:tcW w:w="1975" w:type="dxa"/>
            <w:vAlign w:val="center"/>
          </w:tcPr>
          <w:p w:rsidR="006E7FFB" w:rsidRPr="003D5E6F" w:rsidP="009739DE" w14:paraId="594F2322" w14:textId="34D6B10E">
            <w:pPr>
              <w:widowControl/>
              <w:tabs>
                <w:tab w:val="num" w:pos="360"/>
              </w:tabs>
              <w:rPr>
                <w:sz w:val="20"/>
              </w:rPr>
            </w:pPr>
            <w:r w:rsidRPr="003D5E6F">
              <w:rPr>
                <w:sz w:val="20"/>
              </w:rPr>
              <w:t xml:space="preserve">2023 Version </w:t>
            </w:r>
            <w:r w:rsidRPr="003D5E6F" w:rsidR="00E236D8">
              <w:rPr>
                <w:sz w:val="20"/>
              </w:rPr>
              <w:t>–</w:t>
            </w:r>
            <w:r w:rsidRPr="003D5E6F">
              <w:rPr>
                <w:sz w:val="20"/>
              </w:rPr>
              <w:t xml:space="preserve"> </w:t>
            </w:r>
            <w:r w:rsidRPr="003D5E6F" w:rsidR="507AB52A">
              <w:rPr>
                <w:sz w:val="20"/>
              </w:rPr>
              <w:t>Semi</w:t>
            </w:r>
            <w:r w:rsidRPr="003D5E6F" w:rsidR="00E236D8">
              <w:rPr>
                <w:sz w:val="20"/>
              </w:rPr>
              <w:t>-</w:t>
            </w:r>
            <w:r w:rsidRPr="003D5E6F" w:rsidR="507AB52A">
              <w:rPr>
                <w:sz w:val="20"/>
              </w:rPr>
              <w:t>Annual</w:t>
            </w:r>
            <w:r w:rsidRPr="003D5E6F" w:rsidR="00E66066">
              <w:rPr>
                <w:sz w:val="20"/>
              </w:rPr>
              <w:t xml:space="preserve"> Quantitative</w:t>
            </w:r>
            <w:r w:rsidRPr="003D5E6F" w:rsidR="507AB52A">
              <w:rPr>
                <w:sz w:val="20"/>
              </w:rPr>
              <w:t xml:space="preserve"> Report OPTIONAL</w:t>
            </w:r>
            <w:r w:rsidRPr="003D5E6F" w:rsidR="0FBD968A">
              <w:rPr>
                <w:sz w:val="20"/>
              </w:rPr>
              <w:t xml:space="preserve"> </w:t>
            </w:r>
          </w:p>
        </w:tc>
        <w:tc>
          <w:tcPr>
            <w:tcW w:w="5040" w:type="dxa"/>
          </w:tcPr>
          <w:p w:rsidR="006E7FFB" w:rsidRPr="003D5E6F" w:rsidP="02418337" w14:paraId="14218538" w14:textId="0A7742FC">
            <w:pPr>
              <w:widowControl/>
              <w:tabs>
                <w:tab w:val="num" w:pos="360"/>
              </w:tabs>
              <w:spacing w:line="259" w:lineRule="auto"/>
              <w:rPr>
                <w:color w:val="000000" w:themeColor="text1"/>
                <w:sz w:val="20"/>
              </w:rPr>
            </w:pPr>
            <w:r w:rsidRPr="003D5E6F">
              <w:rPr>
                <w:b/>
                <w:bCs/>
                <w:color w:val="000000" w:themeColor="text1"/>
                <w:sz w:val="20"/>
              </w:rPr>
              <w:t xml:space="preserve">Respondents: </w:t>
            </w:r>
            <w:r w:rsidRPr="003D5E6F" w:rsidR="24610991">
              <w:rPr>
                <w:color w:val="000000" w:themeColor="text1"/>
                <w:sz w:val="20"/>
              </w:rPr>
              <w:t xml:space="preserve">Grant recipient staff for projects receiving FY 2023 funds opting to use the original version. </w:t>
            </w:r>
          </w:p>
          <w:p w:rsidR="006E7FFB" w:rsidRPr="003D5E6F" w:rsidP="009739DE" w14:paraId="449B21AB" w14:textId="77777777">
            <w:pPr>
              <w:widowControl/>
              <w:tabs>
                <w:tab w:val="num" w:pos="360"/>
              </w:tabs>
              <w:rPr>
                <w:color w:val="000000"/>
                <w:sz w:val="20"/>
              </w:rPr>
            </w:pPr>
          </w:p>
          <w:p w:rsidR="006E7FFB" w:rsidRPr="003D5E6F" w:rsidP="009739DE" w14:paraId="0E678487" w14:textId="77777777">
            <w:pPr>
              <w:widowControl/>
              <w:tabs>
                <w:tab w:val="num" w:pos="360"/>
              </w:tabs>
              <w:rPr>
                <w:b/>
                <w:bCs/>
                <w:color w:val="000000"/>
                <w:sz w:val="20"/>
              </w:rPr>
            </w:pPr>
            <w:r w:rsidRPr="003D5E6F">
              <w:rPr>
                <w:b/>
                <w:bCs/>
                <w:color w:val="000000" w:themeColor="text1"/>
                <w:sz w:val="20"/>
              </w:rPr>
              <w:t xml:space="preserve">Content: </w:t>
            </w:r>
            <w:r w:rsidRPr="003D5E6F">
              <w:rPr>
                <w:color w:val="000000" w:themeColor="text1"/>
                <w:sz w:val="20"/>
              </w:rPr>
              <w:t>Count of events that the grant recipient hosted. Count of safety, stability, well-being, and economic mobility outcomes, with options for grant recipients to submit additional outcomes that they are tracking.</w:t>
            </w:r>
          </w:p>
          <w:p w:rsidR="006E7FFB" w:rsidRPr="003D5E6F" w:rsidP="009739DE" w14:paraId="3453D5A2" w14:textId="77777777">
            <w:pPr>
              <w:widowControl/>
              <w:tabs>
                <w:tab w:val="num" w:pos="360"/>
              </w:tabs>
              <w:rPr>
                <w:color w:val="000000"/>
                <w:sz w:val="20"/>
              </w:rPr>
            </w:pPr>
          </w:p>
          <w:p w:rsidR="006E7FFB" w:rsidRPr="003D5E6F" w:rsidP="009739DE" w14:paraId="0F37703C" w14:textId="77777777">
            <w:pPr>
              <w:widowControl/>
              <w:tabs>
                <w:tab w:val="num" w:pos="360"/>
              </w:tabs>
              <w:rPr>
                <w:color w:val="000000"/>
                <w:sz w:val="20"/>
              </w:rPr>
            </w:pPr>
            <w:r w:rsidRPr="003D5E6F">
              <w:rPr>
                <w:b/>
                <w:bCs/>
                <w:color w:val="000000" w:themeColor="text1"/>
                <w:sz w:val="20"/>
              </w:rPr>
              <w:t xml:space="preserve">Purpose: </w:t>
            </w:r>
            <w:r w:rsidRPr="003D5E6F">
              <w:rPr>
                <w:color w:val="000000" w:themeColor="text1"/>
                <w:sz w:val="20"/>
              </w:rPr>
              <w:t xml:space="preserve">Provide a space for grant recipients to offer details about outcomes produced by their programs that would not otherwise be collected. </w:t>
            </w:r>
          </w:p>
          <w:p w:rsidR="006E7FFB" w:rsidRPr="003D5E6F" w:rsidP="009739DE" w14:paraId="5CD9731B" w14:textId="77777777">
            <w:pPr>
              <w:widowControl/>
              <w:tabs>
                <w:tab w:val="num" w:pos="360"/>
              </w:tabs>
              <w:rPr>
                <w:snapToGrid/>
                <w:sz w:val="20"/>
              </w:rPr>
            </w:pPr>
          </w:p>
        </w:tc>
        <w:tc>
          <w:tcPr>
            <w:tcW w:w="1975" w:type="dxa"/>
          </w:tcPr>
          <w:p w:rsidR="006E7FFB" w:rsidRPr="003D5E6F" w:rsidP="009739DE" w14:paraId="1D21AD53" w14:textId="77777777">
            <w:pPr>
              <w:widowControl/>
              <w:tabs>
                <w:tab w:val="num" w:pos="360"/>
              </w:tabs>
              <w:rPr>
                <w:color w:val="000000"/>
                <w:sz w:val="20"/>
              </w:rPr>
            </w:pPr>
            <w:r w:rsidRPr="003D5E6F">
              <w:rPr>
                <w:b/>
                <w:bCs/>
                <w:color w:val="000000" w:themeColor="text1"/>
                <w:sz w:val="20"/>
              </w:rPr>
              <w:t xml:space="preserve">Mode: </w:t>
            </w:r>
            <w:r w:rsidRPr="003D5E6F">
              <w:rPr>
                <w:color w:val="000000" w:themeColor="text1"/>
                <w:sz w:val="20"/>
              </w:rPr>
              <w:t>Written report.</w:t>
            </w:r>
          </w:p>
          <w:p w:rsidR="006E7FFB" w:rsidRPr="003D5E6F" w:rsidP="009739DE" w14:paraId="30030CD0" w14:textId="77777777">
            <w:pPr>
              <w:widowControl/>
              <w:tabs>
                <w:tab w:val="num" w:pos="360"/>
              </w:tabs>
              <w:rPr>
                <w:color w:val="000000"/>
                <w:sz w:val="20"/>
              </w:rPr>
            </w:pPr>
          </w:p>
          <w:p w:rsidR="006E7FFB" w:rsidRPr="003D5E6F" w:rsidP="009739DE" w14:paraId="000F623B" w14:textId="77777777">
            <w:pPr>
              <w:widowControl/>
              <w:tabs>
                <w:tab w:val="num" w:pos="360"/>
              </w:tabs>
              <w:rPr>
                <w:color w:val="000000"/>
                <w:sz w:val="20"/>
              </w:rPr>
            </w:pPr>
          </w:p>
          <w:p w:rsidR="006E7FFB" w:rsidRPr="003D5E6F" w:rsidP="009739DE" w14:paraId="69381CAA" w14:textId="02876CA5">
            <w:pPr>
              <w:widowControl/>
              <w:tabs>
                <w:tab w:val="num" w:pos="360"/>
              </w:tabs>
              <w:rPr>
                <w:sz w:val="20"/>
              </w:rPr>
            </w:pPr>
            <w:r w:rsidRPr="003D5E6F">
              <w:rPr>
                <w:b/>
                <w:bCs/>
                <w:color w:val="000000" w:themeColor="text1"/>
                <w:sz w:val="20"/>
              </w:rPr>
              <w:t xml:space="preserve">Duration: </w:t>
            </w:r>
            <w:r w:rsidRPr="003D5E6F" w:rsidR="7905FE21">
              <w:rPr>
                <w:color w:val="000000" w:themeColor="text1"/>
                <w:sz w:val="20"/>
              </w:rPr>
              <w:t>3</w:t>
            </w:r>
            <w:r w:rsidRPr="003D5E6F" w:rsidR="038945D3">
              <w:rPr>
                <w:color w:val="000000" w:themeColor="text1"/>
                <w:sz w:val="20"/>
              </w:rPr>
              <w:t xml:space="preserve"> </w:t>
            </w:r>
            <w:r w:rsidRPr="003D5E6F">
              <w:rPr>
                <w:color w:val="000000" w:themeColor="text1"/>
                <w:sz w:val="20"/>
              </w:rPr>
              <w:t>hour</w:t>
            </w:r>
            <w:r w:rsidRPr="003D5E6F" w:rsidR="038945D3">
              <w:rPr>
                <w:color w:val="000000" w:themeColor="text1"/>
                <w:sz w:val="20"/>
              </w:rPr>
              <w:t>s</w:t>
            </w:r>
          </w:p>
        </w:tc>
      </w:tr>
      <w:tr w14:paraId="7948BCB5" w14:textId="77777777" w:rsidTr="003D5E6F">
        <w:tblPrEx>
          <w:tblW w:w="0" w:type="auto"/>
          <w:tblInd w:w="360" w:type="dxa"/>
          <w:tblLook w:val="04A0"/>
        </w:tblPrEx>
        <w:trPr>
          <w:trHeight w:val="300"/>
        </w:trPr>
        <w:tc>
          <w:tcPr>
            <w:tcW w:w="1975" w:type="dxa"/>
            <w:vAlign w:val="center"/>
          </w:tcPr>
          <w:p w:rsidR="599F1B2A" w:rsidRPr="003D5E6F" w:rsidP="00D96C50" w14:paraId="60E0E1DD" w14:textId="5CA19111">
            <w:pPr>
              <w:widowControl/>
              <w:tabs>
                <w:tab w:val="num" w:pos="360"/>
              </w:tabs>
              <w:spacing w:line="259" w:lineRule="auto"/>
              <w:rPr>
                <w:sz w:val="20"/>
              </w:rPr>
            </w:pPr>
            <w:r w:rsidRPr="003D5E6F">
              <w:rPr>
                <w:sz w:val="20"/>
              </w:rPr>
              <w:t xml:space="preserve">2024 Version </w:t>
            </w:r>
            <w:r w:rsidRPr="003D5E6F" w:rsidR="007F3A78">
              <w:rPr>
                <w:sz w:val="20"/>
              </w:rPr>
              <w:t>–</w:t>
            </w:r>
            <w:r w:rsidRPr="003D5E6F">
              <w:rPr>
                <w:sz w:val="20"/>
              </w:rPr>
              <w:t xml:space="preserve"> </w:t>
            </w:r>
            <w:r w:rsidRPr="003D5E6F">
              <w:rPr>
                <w:sz w:val="20"/>
              </w:rPr>
              <w:t>Semi</w:t>
            </w:r>
            <w:r w:rsidRPr="003D5E6F" w:rsidR="007F3A78">
              <w:rPr>
                <w:sz w:val="20"/>
              </w:rPr>
              <w:t>-</w:t>
            </w:r>
            <w:r w:rsidRPr="003D5E6F">
              <w:rPr>
                <w:sz w:val="20"/>
              </w:rPr>
              <w:t>Annual</w:t>
            </w:r>
            <w:r w:rsidRPr="003D5E6F" w:rsidR="00E66066">
              <w:rPr>
                <w:sz w:val="20"/>
              </w:rPr>
              <w:t xml:space="preserve"> Quantitative</w:t>
            </w:r>
            <w:r w:rsidRPr="003D5E6F">
              <w:rPr>
                <w:sz w:val="20"/>
              </w:rPr>
              <w:t xml:space="preserve"> Report OPTIONAL </w:t>
            </w:r>
          </w:p>
          <w:p w:rsidR="02418337" w:rsidRPr="003D5E6F" w:rsidP="02418337" w14:paraId="29A0C67D" w14:textId="0E8D9C5C">
            <w:pPr>
              <w:rPr>
                <w:sz w:val="20"/>
              </w:rPr>
            </w:pPr>
          </w:p>
        </w:tc>
        <w:tc>
          <w:tcPr>
            <w:tcW w:w="5040" w:type="dxa"/>
          </w:tcPr>
          <w:p w:rsidR="599F1B2A" w:rsidRPr="003D5E6F" w:rsidP="02418337" w14:paraId="4E8D5807" w14:textId="01A7667C">
            <w:pPr>
              <w:widowControl/>
              <w:tabs>
                <w:tab w:val="num" w:pos="360"/>
              </w:tabs>
              <w:spacing w:line="259" w:lineRule="auto"/>
              <w:rPr>
                <w:color w:val="000000" w:themeColor="text1"/>
                <w:sz w:val="20"/>
              </w:rPr>
            </w:pPr>
            <w:r w:rsidRPr="003D5E6F">
              <w:rPr>
                <w:b/>
                <w:bCs/>
                <w:color w:val="000000" w:themeColor="text1"/>
                <w:sz w:val="20"/>
              </w:rPr>
              <w:t xml:space="preserve">Respondents: </w:t>
            </w:r>
            <w:r w:rsidRPr="003D5E6F">
              <w:rPr>
                <w:color w:val="000000" w:themeColor="text1"/>
                <w:sz w:val="20"/>
              </w:rPr>
              <w:t>Grant recipient staff for projects receiving newly awarded funds and for projects receiving FY 2023 awards opting to use the revised form.</w:t>
            </w:r>
          </w:p>
          <w:p w:rsidR="02418337" w:rsidRPr="003D5E6F" w:rsidP="02418337" w14:paraId="325F4782" w14:textId="77777777">
            <w:pPr>
              <w:widowControl/>
              <w:tabs>
                <w:tab w:val="num" w:pos="360"/>
              </w:tabs>
              <w:rPr>
                <w:color w:val="000000" w:themeColor="text1"/>
                <w:sz w:val="20"/>
              </w:rPr>
            </w:pPr>
          </w:p>
          <w:p w:rsidR="599F1B2A" w:rsidRPr="003D5E6F" w:rsidP="02418337" w14:paraId="460BD2C4" w14:textId="77777777">
            <w:pPr>
              <w:widowControl/>
              <w:tabs>
                <w:tab w:val="num" w:pos="360"/>
              </w:tabs>
              <w:rPr>
                <w:b/>
                <w:bCs/>
                <w:color w:val="000000" w:themeColor="text1"/>
                <w:sz w:val="20"/>
              </w:rPr>
            </w:pPr>
            <w:r w:rsidRPr="003D5E6F">
              <w:rPr>
                <w:b/>
                <w:bCs/>
                <w:color w:val="000000" w:themeColor="text1"/>
                <w:sz w:val="20"/>
              </w:rPr>
              <w:t xml:space="preserve">Content: </w:t>
            </w:r>
            <w:r w:rsidRPr="003D5E6F">
              <w:rPr>
                <w:color w:val="000000" w:themeColor="text1"/>
                <w:sz w:val="20"/>
              </w:rPr>
              <w:t>Count of events that the grant recipient hosted. Count of safety, stability, well-being, and economic mobility outcomes, with options for grant recipients to submit additional outcomes that they are tracking.</w:t>
            </w:r>
          </w:p>
          <w:p w:rsidR="02418337" w:rsidRPr="003D5E6F" w:rsidP="02418337" w14:paraId="682FB678" w14:textId="77777777">
            <w:pPr>
              <w:widowControl/>
              <w:tabs>
                <w:tab w:val="num" w:pos="360"/>
              </w:tabs>
              <w:rPr>
                <w:color w:val="000000" w:themeColor="text1"/>
                <w:sz w:val="20"/>
              </w:rPr>
            </w:pPr>
          </w:p>
          <w:p w:rsidR="599F1B2A" w:rsidRPr="003D5E6F" w:rsidP="02418337" w14:paraId="6D50E47D" w14:textId="3B32227C">
            <w:pPr>
              <w:widowControl/>
              <w:tabs>
                <w:tab w:val="num" w:pos="360"/>
              </w:tabs>
              <w:rPr>
                <w:color w:val="000000" w:themeColor="text1"/>
                <w:sz w:val="20"/>
              </w:rPr>
            </w:pPr>
            <w:r w:rsidRPr="003D5E6F">
              <w:rPr>
                <w:b/>
                <w:bCs/>
                <w:color w:val="000000" w:themeColor="text1"/>
                <w:sz w:val="20"/>
              </w:rPr>
              <w:t xml:space="preserve">Purpose: </w:t>
            </w:r>
            <w:r w:rsidRPr="003D5E6F">
              <w:rPr>
                <w:color w:val="000000" w:themeColor="text1"/>
                <w:sz w:val="20"/>
              </w:rPr>
              <w:t>Provide a space for grant recipients to offer details about outcomes produced by their programs that would not otherwise be collected.</w:t>
            </w:r>
          </w:p>
          <w:p w:rsidR="02418337" w:rsidRPr="003D5E6F" w:rsidP="02418337" w14:paraId="3AFEE7E2" w14:textId="1C0477E6">
            <w:pPr>
              <w:rPr>
                <w:b/>
                <w:bCs/>
                <w:color w:val="000000" w:themeColor="text1"/>
                <w:sz w:val="20"/>
              </w:rPr>
            </w:pPr>
          </w:p>
        </w:tc>
        <w:tc>
          <w:tcPr>
            <w:tcW w:w="1975" w:type="dxa"/>
          </w:tcPr>
          <w:p w:rsidR="599F1B2A" w:rsidRPr="003D5E6F" w:rsidP="02418337" w14:paraId="0E991A50" w14:textId="77777777">
            <w:pPr>
              <w:widowControl/>
              <w:tabs>
                <w:tab w:val="num" w:pos="360"/>
              </w:tabs>
              <w:rPr>
                <w:color w:val="000000" w:themeColor="text1"/>
                <w:sz w:val="20"/>
              </w:rPr>
            </w:pPr>
            <w:r w:rsidRPr="003D5E6F">
              <w:rPr>
                <w:b/>
                <w:bCs/>
                <w:color w:val="000000" w:themeColor="text1"/>
                <w:sz w:val="20"/>
              </w:rPr>
              <w:t xml:space="preserve">Mode: </w:t>
            </w:r>
            <w:r w:rsidRPr="003D5E6F">
              <w:rPr>
                <w:color w:val="000000" w:themeColor="text1"/>
                <w:sz w:val="20"/>
              </w:rPr>
              <w:t>Written report.</w:t>
            </w:r>
          </w:p>
          <w:p w:rsidR="02418337" w:rsidRPr="003D5E6F" w:rsidP="02418337" w14:paraId="00CEFC7D" w14:textId="77777777">
            <w:pPr>
              <w:widowControl/>
              <w:tabs>
                <w:tab w:val="num" w:pos="360"/>
              </w:tabs>
              <w:rPr>
                <w:color w:val="000000" w:themeColor="text1"/>
                <w:sz w:val="20"/>
              </w:rPr>
            </w:pPr>
          </w:p>
          <w:p w:rsidR="02418337" w:rsidRPr="003D5E6F" w:rsidP="02418337" w14:paraId="0A77655B" w14:textId="77777777">
            <w:pPr>
              <w:widowControl/>
              <w:tabs>
                <w:tab w:val="num" w:pos="360"/>
              </w:tabs>
              <w:rPr>
                <w:color w:val="000000" w:themeColor="text1"/>
                <w:sz w:val="20"/>
              </w:rPr>
            </w:pPr>
          </w:p>
          <w:p w:rsidR="599F1B2A" w:rsidRPr="003D5E6F" w:rsidP="02418337" w14:paraId="45F0BA26" w14:textId="205F9723">
            <w:pPr>
              <w:widowControl/>
              <w:tabs>
                <w:tab w:val="num" w:pos="360"/>
              </w:tabs>
              <w:rPr>
                <w:sz w:val="20"/>
              </w:rPr>
            </w:pPr>
            <w:r w:rsidRPr="003D5E6F">
              <w:rPr>
                <w:b/>
                <w:bCs/>
                <w:color w:val="000000" w:themeColor="text1"/>
                <w:sz w:val="20"/>
              </w:rPr>
              <w:t xml:space="preserve">Duration: </w:t>
            </w:r>
            <w:r w:rsidRPr="003D5E6F" w:rsidR="516D94AD">
              <w:rPr>
                <w:color w:val="000000" w:themeColor="text1"/>
                <w:sz w:val="20"/>
              </w:rPr>
              <w:t>3</w:t>
            </w:r>
            <w:r w:rsidRPr="003D5E6F">
              <w:rPr>
                <w:color w:val="000000" w:themeColor="text1"/>
                <w:sz w:val="20"/>
              </w:rPr>
              <w:t xml:space="preserve"> hours</w:t>
            </w:r>
          </w:p>
          <w:p w:rsidR="02418337" w:rsidRPr="003D5E6F" w:rsidP="02418337" w14:paraId="6B172841" w14:textId="0BE29E31">
            <w:pPr>
              <w:rPr>
                <w:b/>
                <w:bCs/>
                <w:color w:val="000000" w:themeColor="text1"/>
                <w:sz w:val="20"/>
              </w:rPr>
            </w:pPr>
          </w:p>
        </w:tc>
      </w:tr>
      <w:tr w14:paraId="7AB8A92B" w14:textId="77777777" w:rsidTr="003D5E6F">
        <w:tblPrEx>
          <w:tblW w:w="0" w:type="auto"/>
          <w:tblInd w:w="360" w:type="dxa"/>
          <w:tblLook w:val="04A0"/>
        </w:tblPrEx>
        <w:trPr>
          <w:trHeight w:val="300"/>
        </w:trPr>
        <w:tc>
          <w:tcPr>
            <w:tcW w:w="1975" w:type="dxa"/>
            <w:vAlign w:val="center"/>
          </w:tcPr>
          <w:p w:rsidR="006E7FFB" w:rsidRPr="003D5E6F" w:rsidP="009739DE" w14:paraId="1ABF1A7B" w14:textId="77777777">
            <w:pPr>
              <w:rPr>
                <w:sz w:val="20"/>
              </w:rPr>
            </w:pPr>
            <w:r w:rsidRPr="003D5E6F">
              <w:rPr>
                <w:sz w:val="20"/>
              </w:rPr>
              <w:t>Interviews with Program Directors</w:t>
            </w:r>
          </w:p>
        </w:tc>
        <w:tc>
          <w:tcPr>
            <w:tcW w:w="5040" w:type="dxa"/>
          </w:tcPr>
          <w:p w:rsidR="006E7FFB" w:rsidRPr="003D5E6F" w:rsidP="009739DE" w14:paraId="3067AE50" w14:textId="77777777">
            <w:pPr>
              <w:rPr>
                <w:b/>
                <w:bCs/>
                <w:color w:val="000000" w:themeColor="text1"/>
                <w:sz w:val="20"/>
              </w:rPr>
            </w:pPr>
            <w:r w:rsidRPr="003D5E6F">
              <w:rPr>
                <w:b/>
                <w:bCs/>
                <w:color w:val="000000" w:themeColor="text1"/>
                <w:sz w:val="20"/>
              </w:rPr>
              <w:t xml:space="preserve">Respondents: </w:t>
            </w:r>
            <w:r w:rsidRPr="003D5E6F">
              <w:rPr>
                <w:color w:val="000000" w:themeColor="text1"/>
                <w:sz w:val="20"/>
              </w:rPr>
              <w:t>Grant recipient program directors directly involved in planning or implementing the AHSSD program.</w:t>
            </w:r>
          </w:p>
          <w:p w:rsidR="006E7FFB" w:rsidRPr="003D5E6F" w:rsidP="009739DE" w14:paraId="1496ED6F" w14:textId="77777777">
            <w:pPr>
              <w:rPr>
                <w:b/>
                <w:bCs/>
                <w:color w:val="000000" w:themeColor="text1"/>
                <w:sz w:val="20"/>
              </w:rPr>
            </w:pPr>
          </w:p>
          <w:p w:rsidR="006E7FFB" w:rsidRPr="003D5E6F" w:rsidP="009739DE" w14:paraId="7D1F81E7" w14:textId="77777777">
            <w:pPr>
              <w:rPr>
                <w:color w:val="000000" w:themeColor="text1"/>
                <w:sz w:val="20"/>
              </w:rPr>
            </w:pPr>
            <w:r w:rsidRPr="003D5E6F">
              <w:rPr>
                <w:b/>
                <w:bCs/>
                <w:color w:val="000000" w:themeColor="text1"/>
                <w:sz w:val="20"/>
              </w:rPr>
              <w:t>Content:</w:t>
            </w:r>
            <w:r w:rsidRPr="003D5E6F">
              <w:rPr>
                <w:color w:val="000000" w:themeColor="text1"/>
                <w:sz w:val="20"/>
              </w:rPr>
              <w:t xml:space="preserve"> Background of respondent, context of implementation, implementation details, and perceived outcomes of the program.</w:t>
            </w:r>
          </w:p>
          <w:p w:rsidR="006E7FFB" w:rsidRPr="003D5E6F" w:rsidP="009739DE" w14:paraId="3CC77F2B" w14:textId="77777777">
            <w:pPr>
              <w:rPr>
                <w:b/>
                <w:bCs/>
                <w:color w:val="000000" w:themeColor="text1"/>
                <w:sz w:val="20"/>
              </w:rPr>
            </w:pPr>
          </w:p>
          <w:p w:rsidR="006E7FFB" w:rsidP="009739DE" w14:paraId="73466107" w14:textId="77777777">
            <w:pPr>
              <w:rPr>
                <w:color w:val="000000" w:themeColor="text1"/>
                <w:sz w:val="20"/>
              </w:rPr>
            </w:pPr>
            <w:r w:rsidRPr="003D5E6F">
              <w:rPr>
                <w:b/>
                <w:bCs/>
                <w:color w:val="000000" w:themeColor="text1"/>
                <w:sz w:val="20"/>
              </w:rPr>
              <w:t xml:space="preserve">Purpose: </w:t>
            </w:r>
            <w:r w:rsidRPr="003D5E6F">
              <w:rPr>
                <w:color w:val="000000" w:themeColor="text1"/>
                <w:sz w:val="20"/>
              </w:rPr>
              <w:t>Understand the design and implementation of the program to develop implementation best practices.</w:t>
            </w:r>
          </w:p>
          <w:p w:rsidR="003D5E6F" w:rsidRPr="003D5E6F" w:rsidP="009739DE" w14:paraId="4C665F06" w14:textId="2A2E2D4C">
            <w:pPr>
              <w:rPr>
                <w:b/>
                <w:bCs/>
                <w:color w:val="000000" w:themeColor="text1"/>
                <w:sz w:val="20"/>
              </w:rPr>
            </w:pPr>
          </w:p>
        </w:tc>
        <w:tc>
          <w:tcPr>
            <w:tcW w:w="1975" w:type="dxa"/>
          </w:tcPr>
          <w:p w:rsidR="006E7FFB" w:rsidRPr="003D5E6F" w:rsidP="009739DE" w14:paraId="0E58512F" w14:textId="77777777">
            <w:pPr>
              <w:rPr>
                <w:b/>
                <w:bCs/>
                <w:color w:val="000000" w:themeColor="text1"/>
                <w:sz w:val="20"/>
              </w:rPr>
            </w:pPr>
            <w:r w:rsidRPr="003D5E6F">
              <w:rPr>
                <w:b/>
                <w:bCs/>
                <w:color w:val="000000" w:themeColor="text1"/>
                <w:sz w:val="20"/>
              </w:rPr>
              <w:t xml:space="preserve">Mode: </w:t>
            </w:r>
            <w:r w:rsidRPr="003D5E6F">
              <w:rPr>
                <w:color w:val="000000" w:themeColor="text1"/>
                <w:sz w:val="20"/>
              </w:rPr>
              <w:t>Interview</w:t>
            </w:r>
          </w:p>
          <w:p w:rsidR="006E7FFB" w:rsidRPr="003D5E6F" w:rsidP="009739DE" w14:paraId="6D2F300B" w14:textId="77777777">
            <w:pPr>
              <w:rPr>
                <w:color w:val="000000" w:themeColor="text1"/>
                <w:sz w:val="20"/>
              </w:rPr>
            </w:pPr>
          </w:p>
          <w:p w:rsidR="006E7FFB" w:rsidRPr="003D5E6F" w:rsidP="009739DE" w14:paraId="46530A23" w14:textId="77777777">
            <w:pPr>
              <w:rPr>
                <w:b/>
                <w:bCs/>
                <w:color w:val="000000" w:themeColor="text1"/>
                <w:sz w:val="20"/>
              </w:rPr>
            </w:pPr>
            <w:r w:rsidRPr="003D5E6F">
              <w:rPr>
                <w:b/>
                <w:bCs/>
                <w:color w:val="000000" w:themeColor="text1"/>
                <w:sz w:val="20"/>
              </w:rPr>
              <w:t xml:space="preserve">Duration: </w:t>
            </w:r>
            <w:r w:rsidRPr="003D5E6F">
              <w:rPr>
                <w:color w:val="000000" w:themeColor="text1"/>
                <w:sz w:val="20"/>
              </w:rPr>
              <w:t>1.5 hours</w:t>
            </w:r>
          </w:p>
        </w:tc>
      </w:tr>
      <w:tr w14:paraId="4463FE3B" w14:textId="77777777" w:rsidTr="003D5E6F">
        <w:tblPrEx>
          <w:tblW w:w="0" w:type="auto"/>
          <w:tblInd w:w="360" w:type="dxa"/>
          <w:tblLook w:val="04A0"/>
        </w:tblPrEx>
        <w:trPr>
          <w:trHeight w:val="300"/>
        </w:trPr>
        <w:tc>
          <w:tcPr>
            <w:tcW w:w="1975" w:type="dxa"/>
            <w:vAlign w:val="center"/>
          </w:tcPr>
          <w:p w:rsidR="006E7FFB" w:rsidRPr="003D5E6F" w:rsidP="000F5846" w14:paraId="193EC944" w14:textId="77777777">
            <w:pPr>
              <w:rPr>
                <w:sz w:val="20"/>
              </w:rPr>
            </w:pPr>
            <w:r w:rsidRPr="003D5E6F">
              <w:rPr>
                <w:sz w:val="20"/>
              </w:rPr>
              <w:t>Interviews with Caseworkers</w:t>
            </w:r>
          </w:p>
        </w:tc>
        <w:tc>
          <w:tcPr>
            <w:tcW w:w="5040" w:type="dxa"/>
          </w:tcPr>
          <w:p w:rsidR="006E7FFB" w:rsidRPr="003D5E6F" w:rsidP="000F5846" w14:paraId="18BBE5E2" w14:textId="183F2F14">
            <w:pPr>
              <w:rPr>
                <w:b/>
                <w:bCs/>
                <w:color w:val="000000" w:themeColor="text1"/>
                <w:sz w:val="20"/>
              </w:rPr>
            </w:pPr>
            <w:r w:rsidRPr="003D5E6F">
              <w:rPr>
                <w:b/>
                <w:bCs/>
                <w:color w:val="000000" w:themeColor="text1"/>
                <w:sz w:val="20"/>
              </w:rPr>
              <w:t xml:space="preserve">Respondents: </w:t>
            </w:r>
            <w:r w:rsidRPr="003D5E6F">
              <w:rPr>
                <w:color w:val="000000" w:themeColor="text1"/>
                <w:sz w:val="20"/>
              </w:rPr>
              <w:t>Grant recipient caseworkers who provided services to residents.</w:t>
            </w:r>
          </w:p>
          <w:p w:rsidR="000F5846" w:rsidRPr="003D5E6F" w:rsidP="006E7FFB" w14:paraId="2FF583F4" w14:textId="77777777">
            <w:pPr>
              <w:rPr>
                <w:color w:val="000000" w:themeColor="text1"/>
                <w:sz w:val="20"/>
              </w:rPr>
            </w:pPr>
          </w:p>
          <w:p w:rsidR="006E7FFB" w:rsidRPr="003D5E6F" w:rsidP="000F5846" w14:paraId="67BD64CD" w14:textId="77777777">
            <w:pPr>
              <w:rPr>
                <w:color w:val="000000" w:themeColor="text1"/>
                <w:sz w:val="20"/>
              </w:rPr>
            </w:pPr>
            <w:r w:rsidRPr="003D5E6F">
              <w:rPr>
                <w:b/>
                <w:bCs/>
                <w:color w:val="000000" w:themeColor="text1"/>
                <w:sz w:val="20"/>
              </w:rPr>
              <w:t>Content:</w:t>
            </w:r>
            <w:r w:rsidRPr="003D5E6F">
              <w:rPr>
                <w:color w:val="000000" w:themeColor="text1"/>
                <w:sz w:val="20"/>
              </w:rPr>
              <w:t xml:space="preserve"> Background of respondent, implementation of services, and perceived outcomes.</w:t>
            </w:r>
          </w:p>
          <w:p w:rsidR="006E7FFB" w:rsidRPr="003D5E6F" w:rsidP="006E7FFB" w14:paraId="67D0F0A6" w14:textId="77777777">
            <w:pPr>
              <w:rPr>
                <w:color w:val="000000" w:themeColor="text1"/>
                <w:sz w:val="20"/>
              </w:rPr>
            </w:pPr>
          </w:p>
          <w:p w:rsidR="006E7FFB" w:rsidP="000F5846" w14:paraId="5A8965F7" w14:textId="77777777">
            <w:pPr>
              <w:rPr>
                <w:color w:val="000000" w:themeColor="text1"/>
                <w:sz w:val="20"/>
              </w:rPr>
            </w:pPr>
            <w:r w:rsidRPr="003D5E6F">
              <w:rPr>
                <w:b/>
                <w:bCs/>
                <w:color w:val="000000" w:themeColor="text1"/>
                <w:sz w:val="20"/>
              </w:rPr>
              <w:t xml:space="preserve">Purpose: </w:t>
            </w:r>
            <w:r w:rsidRPr="003D5E6F">
              <w:rPr>
                <w:color w:val="000000" w:themeColor="text1"/>
                <w:sz w:val="20"/>
              </w:rPr>
              <w:t xml:space="preserve">Understand the implementation and perceived benefits of the program from the staff perspective. </w:t>
            </w:r>
          </w:p>
          <w:p w:rsidR="003D5E6F" w:rsidRPr="003D5E6F" w:rsidP="000F5846" w14:paraId="55AD0AE3" w14:textId="77777777">
            <w:pPr>
              <w:rPr>
                <w:color w:val="000000" w:themeColor="text1"/>
                <w:sz w:val="20"/>
              </w:rPr>
            </w:pPr>
          </w:p>
        </w:tc>
        <w:tc>
          <w:tcPr>
            <w:tcW w:w="1975" w:type="dxa"/>
          </w:tcPr>
          <w:p w:rsidR="006E7FFB" w:rsidRPr="003D5E6F" w:rsidP="000F5846" w14:paraId="6A878698" w14:textId="77777777">
            <w:pPr>
              <w:rPr>
                <w:b/>
                <w:bCs/>
                <w:color w:val="000000" w:themeColor="text1"/>
                <w:sz w:val="20"/>
              </w:rPr>
            </w:pPr>
            <w:r w:rsidRPr="003D5E6F">
              <w:rPr>
                <w:b/>
                <w:bCs/>
                <w:color w:val="000000" w:themeColor="text1"/>
                <w:sz w:val="20"/>
              </w:rPr>
              <w:t xml:space="preserve">Mode: </w:t>
            </w:r>
            <w:r w:rsidRPr="003D5E6F">
              <w:rPr>
                <w:color w:val="000000" w:themeColor="text1"/>
                <w:sz w:val="20"/>
              </w:rPr>
              <w:t>Interview</w:t>
            </w:r>
          </w:p>
          <w:p w:rsidR="006E7FFB" w:rsidRPr="003D5E6F" w:rsidP="006E7FFB" w14:paraId="6C437724" w14:textId="77777777">
            <w:pPr>
              <w:rPr>
                <w:color w:val="000000" w:themeColor="text1"/>
                <w:sz w:val="20"/>
              </w:rPr>
            </w:pPr>
          </w:p>
          <w:p w:rsidR="006E7FFB" w:rsidRPr="003D5E6F" w:rsidP="000F5846" w14:paraId="733E9EEE" w14:textId="77777777">
            <w:pPr>
              <w:rPr>
                <w:color w:val="000000" w:themeColor="text1"/>
                <w:sz w:val="20"/>
              </w:rPr>
            </w:pPr>
            <w:r w:rsidRPr="003D5E6F">
              <w:rPr>
                <w:b/>
                <w:bCs/>
                <w:color w:val="000000" w:themeColor="text1"/>
                <w:sz w:val="20"/>
              </w:rPr>
              <w:t>Duration:</w:t>
            </w:r>
            <w:r w:rsidRPr="003D5E6F">
              <w:rPr>
                <w:color w:val="000000" w:themeColor="text1"/>
                <w:sz w:val="20"/>
              </w:rPr>
              <w:t xml:space="preserve"> 1 hour</w:t>
            </w:r>
          </w:p>
        </w:tc>
      </w:tr>
    </w:tbl>
    <w:p w:rsidR="006E7FFB" w:rsidRPr="006E7FFB" w:rsidP="000F5846" w14:paraId="31E2431E" w14:textId="77777777">
      <w:pPr>
        <w:widowControl/>
        <w:tabs>
          <w:tab w:val="num" w:pos="360"/>
        </w:tabs>
        <w:rPr>
          <w:snapToGrid/>
          <w:szCs w:val="24"/>
        </w:rPr>
      </w:pPr>
    </w:p>
    <w:p w:rsidR="00790D2C" w:rsidRPr="003D5E6F" w:rsidP="00D7443D" w14:paraId="6C3FFD0B" w14:textId="07F63F3B">
      <w:pPr>
        <w:widowControl/>
        <w:tabs>
          <w:tab w:val="num" w:pos="360"/>
        </w:tabs>
        <w:ind w:left="360"/>
        <w:rPr>
          <w:snapToGrid/>
          <w:szCs w:val="24"/>
        </w:rPr>
      </w:pPr>
    </w:p>
    <w:p w:rsidR="003D5E6F" w:rsidRPr="003D5E6F" w:rsidP="00D7443D" w14:paraId="0A9C0243" w14:textId="77777777">
      <w:pPr>
        <w:widowControl/>
        <w:tabs>
          <w:tab w:val="num" w:pos="360"/>
        </w:tabs>
        <w:ind w:left="360"/>
        <w:rPr>
          <w:snapToGrid/>
          <w:szCs w:val="24"/>
        </w:rPr>
      </w:pPr>
    </w:p>
    <w:p w:rsidR="002C3C4F" w:rsidRPr="003D5E6F" w:rsidP="00075889" w14:paraId="6DDB8C59" w14:textId="77777777">
      <w:pPr>
        <w:widowControl/>
        <w:numPr>
          <w:ilvl w:val="0"/>
          <w:numId w:val="4"/>
        </w:numPr>
        <w:tabs>
          <w:tab w:val="num" w:pos="360"/>
        </w:tabs>
        <w:spacing w:after="120"/>
        <w:ind w:left="360"/>
        <w:rPr>
          <w:b/>
          <w:snapToGrid/>
          <w:szCs w:val="24"/>
        </w:rPr>
      </w:pPr>
      <w:r w:rsidRPr="003D5E6F">
        <w:rPr>
          <w:b/>
          <w:snapToGrid/>
          <w:szCs w:val="24"/>
        </w:rPr>
        <w:t xml:space="preserve">Use of Improved Information Technology and Burden Reduction </w:t>
      </w:r>
    </w:p>
    <w:p w:rsidR="006E7FFB" w:rsidRPr="003D5E6F" w:rsidP="00D96C50" w14:paraId="4553C16C" w14:textId="3A4E2983">
      <w:pPr>
        <w:widowControl/>
        <w:tabs>
          <w:tab w:val="num" w:pos="360"/>
        </w:tabs>
        <w:spacing w:line="259" w:lineRule="auto"/>
        <w:ind w:left="360"/>
        <w:rPr>
          <w:szCs w:val="24"/>
        </w:rPr>
      </w:pPr>
      <w:r w:rsidRPr="003D5E6F">
        <w:rPr>
          <w:snapToGrid/>
          <w:szCs w:val="24"/>
        </w:rPr>
        <w:t xml:space="preserve">OCS will make use of virtual platforms to reduce collection burden. OCS will use </w:t>
      </w:r>
      <w:r w:rsidRPr="003D5E6F" w:rsidR="1B434EA8">
        <w:rPr>
          <w:snapToGrid/>
          <w:szCs w:val="24"/>
        </w:rPr>
        <w:t xml:space="preserve">a virtual meeting platform, such as </w:t>
      </w:r>
      <w:r w:rsidRPr="003D5E6F">
        <w:rPr>
          <w:snapToGrid/>
          <w:szCs w:val="24"/>
        </w:rPr>
        <w:t>Microsoft Teams</w:t>
      </w:r>
      <w:r w:rsidRPr="003D5E6F" w:rsidR="059FA92A">
        <w:rPr>
          <w:snapToGrid/>
          <w:szCs w:val="24"/>
        </w:rPr>
        <w:t>,</w:t>
      </w:r>
      <w:r w:rsidRPr="003D5E6F">
        <w:rPr>
          <w:snapToGrid/>
          <w:szCs w:val="24"/>
        </w:rPr>
        <w:t xml:space="preserve"> to conduct virtual interviews</w:t>
      </w:r>
      <w:r w:rsidRPr="003D5E6F" w:rsidR="188EBB04">
        <w:rPr>
          <w:szCs w:val="24"/>
        </w:rPr>
        <w:t xml:space="preserve"> and will transcribe responses</w:t>
      </w:r>
      <w:r w:rsidRPr="003D5E6F">
        <w:rPr>
          <w:snapToGrid/>
          <w:szCs w:val="24"/>
        </w:rPr>
        <w:t>. OCS</w:t>
      </w:r>
      <w:r w:rsidRPr="003D5E6F" w:rsidR="3BBAEAFB">
        <w:rPr>
          <w:szCs w:val="24"/>
        </w:rPr>
        <w:t xml:space="preserve"> </w:t>
      </w:r>
      <w:r w:rsidRPr="003D5E6F" w:rsidR="00410B80">
        <w:rPr>
          <w:szCs w:val="24"/>
        </w:rPr>
        <w:t>will</w:t>
      </w:r>
      <w:r w:rsidRPr="003D5E6F" w:rsidR="3BBAEAFB">
        <w:rPr>
          <w:szCs w:val="24"/>
        </w:rPr>
        <w:t xml:space="preserve"> </w:t>
      </w:r>
      <w:r w:rsidRPr="003D5E6F" w:rsidR="643CC753">
        <w:rPr>
          <w:szCs w:val="24"/>
        </w:rPr>
        <w:t>use</w:t>
      </w:r>
      <w:r w:rsidRPr="003D5E6F" w:rsidR="3BBAEAFB">
        <w:rPr>
          <w:szCs w:val="24"/>
        </w:rPr>
        <w:t xml:space="preserve"> </w:t>
      </w:r>
      <w:r w:rsidRPr="003D5E6F" w:rsidR="00410B80">
        <w:rPr>
          <w:szCs w:val="24"/>
        </w:rPr>
        <w:t xml:space="preserve">a virtual survey platform, such as </w:t>
      </w:r>
      <w:r w:rsidRPr="003D5E6F" w:rsidR="7E591FB5">
        <w:rPr>
          <w:szCs w:val="24"/>
        </w:rPr>
        <w:t>Qualtrics</w:t>
      </w:r>
      <w:r w:rsidRPr="003D5E6F">
        <w:rPr>
          <w:snapToGrid/>
          <w:szCs w:val="24"/>
        </w:rPr>
        <w:t xml:space="preserve">, to </w:t>
      </w:r>
      <w:r w:rsidRPr="003D5E6F" w:rsidR="1F269DC0">
        <w:rPr>
          <w:szCs w:val="24"/>
        </w:rPr>
        <w:t>provide grant recipients the tools to administer</w:t>
      </w:r>
      <w:r w:rsidRPr="003D5E6F">
        <w:rPr>
          <w:snapToGrid/>
          <w:szCs w:val="24"/>
        </w:rPr>
        <w:t xml:space="preserve"> two instruments – Instrument 1: Self-Sufficiency Matrix and Instrument 2: Service Receipt Questionnaire. </w:t>
      </w:r>
      <w:r w:rsidRPr="003D5E6F" w:rsidR="6F4AC9B3">
        <w:rPr>
          <w:szCs w:val="24"/>
        </w:rPr>
        <w:t>The virtual survey platform</w:t>
      </w:r>
      <w:r w:rsidRPr="003D5E6F" w:rsidR="58001085">
        <w:rPr>
          <w:szCs w:val="24"/>
        </w:rPr>
        <w:t xml:space="preserve"> </w:t>
      </w:r>
      <w:r w:rsidRPr="003D5E6F">
        <w:rPr>
          <w:snapToGrid/>
          <w:szCs w:val="24"/>
        </w:rPr>
        <w:t xml:space="preserve">will allow for the instruments to be administered on any mobile device in addition to a laptop or desktop computer, which will aid in survey dissemination. Once responses are submitted via </w:t>
      </w:r>
      <w:r w:rsidRPr="003D5E6F" w:rsidR="17C3A872">
        <w:rPr>
          <w:szCs w:val="24"/>
        </w:rPr>
        <w:t>the survey platform</w:t>
      </w:r>
      <w:r w:rsidRPr="003D5E6F">
        <w:rPr>
          <w:snapToGrid/>
          <w:szCs w:val="24"/>
        </w:rPr>
        <w:t xml:space="preserve">, OCS will automatically have access to the data, eliminating any potential data submission burden on grant recipients or partners. </w:t>
      </w:r>
    </w:p>
    <w:p w:rsidR="00D60543" w:rsidRPr="003D5E6F" w:rsidP="00022586" w14:paraId="61323458" w14:textId="77777777">
      <w:pPr>
        <w:widowControl/>
        <w:tabs>
          <w:tab w:val="num" w:pos="360"/>
        </w:tabs>
        <w:ind w:left="360"/>
        <w:rPr>
          <w:snapToGrid/>
          <w:szCs w:val="24"/>
        </w:rPr>
      </w:pPr>
    </w:p>
    <w:p w:rsidR="002C3C4F" w:rsidRPr="003D5E6F" w:rsidP="00075889" w14:paraId="5E0F08A1" w14:textId="77777777">
      <w:pPr>
        <w:widowControl/>
        <w:numPr>
          <w:ilvl w:val="0"/>
          <w:numId w:val="4"/>
        </w:numPr>
        <w:tabs>
          <w:tab w:val="num" w:pos="360"/>
        </w:tabs>
        <w:spacing w:after="120"/>
        <w:ind w:left="360"/>
        <w:rPr>
          <w:b/>
          <w:snapToGrid/>
          <w:szCs w:val="24"/>
        </w:rPr>
      </w:pPr>
      <w:r w:rsidRPr="003D5E6F">
        <w:rPr>
          <w:b/>
          <w:snapToGrid/>
          <w:szCs w:val="24"/>
        </w:rPr>
        <w:t xml:space="preserve">Efforts to Identify Duplication and Use of Similar Information </w:t>
      </w:r>
    </w:p>
    <w:p w:rsidR="006E7FFB" w:rsidRPr="003D5E6F" w:rsidP="02418337" w14:paraId="3E3C4E95" w14:textId="66840C70">
      <w:pPr>
        <w:pStyle w:val="paragraph"/>
        <w:spacing w:before="0" w:beforeAutospacing="0" w:after="0" w:afterAutospacing="0"/>
        <w:ind w:left="360"/>
        <w:textAlignment w:val="baseline"/>
      </w:pPr>
      <w:r w:rsidRPr="003D5E6F">
        <w:rPr>
          <w:rStyle w:val="normaltextrun"/>
        </w:rPr>
        <w:t xml:space="preserve">OCS plans to use the Arizona Self-Sufficiency Matrix as one of our instruments for quantitative collection. This is a widely used and validated tool to assess changes in overall participant self-sufficiency across a variety of indicators. OCS polled our </w:t>
      </w:r>
      <w:r w:rsidRPr="003D5E6F" w:rsidR="20AB686F">
        <w:rPr>
          <w:rStyle w:val="normaltextrun"/>
        </w:rPr>
        <w:t xml:space="preserve">current cohort of </w:t>
      </w:r>
      <w:r w:rsidRPr="003D5E6F">
        <w:rPr>
          <w:rStyle w:val="normaltextrun"/>
        </w:rPr>
        <w:t xml:space="preserve">nine grant recipients, and seven out of nine are currently using or have used the Arizona Self-Sufficiency Matrix to assess their clients. Therefore, OCS is eliminating any duplication of efforts by collecting data via </w:t>
      </w:r>
      <w:r w:rsidRPr="003D5E6F" w:rsidR="46459931">
        <w:rPr>
          <w:rStyle w:val="normaltextrun"/>
        </w:rPr>
        <w:t>an</w:t>
      </w:r>
      <w:r w:rsidRPr="003D5E6F">
        <w:rPr>
          <w:rStyle w:val="normaltextrun"/>
        </w:rPr>
        <w:t xml:space="preserve"> instrument that the majority of the grant recipients are already using. </w:t>
      </w:r>
      <w:r w:rsidRPr="003D5E6F">
        <w:rPr>
          <w:rStyle w:val="eop"/>
        </w:rPr>
        <w:t> </w:t>
      </w:r>
    </w:p>
    <w:p w:rsidR="006E7FFB" w:rsidRPr="003D5E6F" w:rsidP="006E7FFB" w14:paraId="2A9F91E8" w14:textId="77777777">
      <w:pPr>
        <w:pStyle w:val="paragraph"/>
        <w:spacing w:before="0" w:beforeAutospacing="0" w:after="0" w:afterAutospacing="0"/>
        <w:ind w:left="360"/>
        <w:textAlignment w:val="baseline"/>
      </w:pPr>
      <w:r w:rsidRPr="003D5E6F">
        <w:rPr>
          <w:rStyle w:val="eop"/>
        </w:rPr>
        <w:t> </w:t>
      </w:r>
    </w:p>
    <w:p w:rsidR="006E7FFB" w:rsidRPr="003D5E6F" w:rsidP="0A2695C3" w14:paraId="46AD3AB6" w14:textId="1291285D">
      <w:pPr>
        <w:pStyle w:val="paragraph"/>
        <w:spacing w:before="0" w:beforeAutospacing="0" w:after="0" w:afterAutospacing="0" w:line="259" w:lineRule="auto"/>
        <w:ind w:left="360"/>
      </w:pPr>
      <w:r w:rsidRPr="003D5E6F">
        <w:rPr>
          <w:rStyle w:val="normaltextrun"/>
        </w:rPr>
        <w:t xml:space="preserve">Furthermore, the Semi-Annual </w:t>
      </w:r>
      <w:r w:rsidRPr="003D5E6F" w:rsidR="009856B0">
        <w:rPr>
          <w:rStyle w:val="normaltextrun"/>
        </w:rPr>
        <w:t xml:space="preserve">Quantitative </w:t>
      </w:r>
      <w:r w:rsidRPr="003D5E6F">
        <w:rPr>
          <w:rStyle w:val="normaltextrun"/>
        </w:rPr>
        <w:t>Report is based on the existing CSBG reporting structure that the grant recipients</w:t>
      </w:r>
      <w:r w:rsidRPr="003D5E6F" w:rsidR="0D8D605B">
        <w:rPr>
          <w:rStyle w:val="normaltextrun"/>
        </w:rPr>
        <w:t>, all CSBG-funded entities,</w:t>
      </w:r>
      <w:r w:rsidRPr="003D5E6F">
        <w:rPr>
          <w:rStyle w:val="normaltextrun"/>
        </w:rPr>
        <w:t xml:space="preserve"> </w:t>
      </w:r>
      <w:r w:rsidRPr="003D5E6F" w:rsidR="6732E2EB">
        <w:rPr>
          <w:rStyle w:val="normaltextrun"/>
        </w:rPr>
        <w:t>are using.</w:t>
      </w:r>
      <w:r w:rsidRPr="003D5E6F">
        <w:rPr>
          <w:rStyle w:val="normaltextrun"/>
        </w:rPr>
        <w:t xml:space="preserve"> Generally, the CSBG reporting structure captures a broad array of grant recipient activities and outcomes, as CSBG is a very flexible funding stream. </w:t>
      </w:r>
      <w:r w:rsidRPr="003D5E6F" w:rsidR="337E6039">
        <w:rPr>
          <w:rStyle w:val="normaltextrun"/>
        </w:rPr>
        <w:t xml:space="preserve">The </w:t>
      </w:r>
      <w:r w:rsidRPr="003D5E6F" w:rsidR="009856B0">
        <w:rPr>
          <w:rStyle w:val="normaltextrun"/>
        </w:rPr>
        <w:t xml:space="preserve">2023 Version </w:t>
      </w:r>
      <w:r w:rsidRPr="003D5E6F" w:rsidR="003D5E6F">
        <w:rPr>
          <w:rStyle w:val="normaltextrun"/>
        </w:rPr>
        <w:t>–</w:t>
      </w:r>
      <w:r w:rsidRPr="003D5E6F" w:rsidR="337E6039">
        <w:rPr>
          <w:rStyle w:val="normaltextrun"/>
        </w:rPr>
        <w:t xml:space="preserve"> Semi-Annual</w:t>
      </w:r>
      <w:r w:rsidRPr="003D5E6F" w:rsidR="009856B0">
        <w:rPr>
          <w:rStyle w:val="normaltextrun"/>
        </w:rPr>
        <w:t xml:space="preserve"> Quantitative</w:t>
      </w:r>
      <w:r w:rsidRPr="003D5E6F" w:rsidR="337E6039">
        <w:rPr>
          <w:rStyle w:val="normaltextrun"/>
        </w:rPr>
        <w:t xml:space="preserve"> Report streamlined the CSBG reporting form to tailor it to the grant recipients’</w:t>
      </w:r>
      <w:r w:rsidRPr="003D5E6F" w:rsidR="3D3ADAFE">
        <w:rPr>
          <w:rStyle w:val="normaltextrun"/>
        </w:rPr>
        <w:t xml:space="preserve"> activities and reduce burden. Given the additional appropriations</w:t>
      </w:r>
      <w:r w:rsidRPr="003D5E6F" w:rsidR="1D0EAEBF">
        <w:rPr>
          <w:rStyle w:val="normaltextrun"/>
        </w:rPr>
        <w:t xml:space="preserve"> for the program</w:t>
      </w:r>
      <w:r w:rsidRPr="003D5E6F" w:rsidR="3D3ADAFE">
        <w:rPr>
          <w:rStyle w:val="normaltextrun"/>
        </w:rPr>
        <w:t xml:space="preserve">, OCS has developed a </w:t>
      </w:r>
      <w:r w:rsidRPr="003D5E6F" w:rsidR="009856B0">
        <w:rPr>
          <w:rStyle w:val="normaltextrun"/>
        </w:rPr>
        <w:t xml:space="preserve">revised 2024 Version </w:t>
      </w:r>
      <w:r w:rsidRPr="003D5E6F" w:rsidR="003D5E6F">
        <w:rPr>
          <w:rStyle w:val="normaltextrun"/>
        </w:rPr>
        <w:t>–</w:t>
      </w:r>
      <w:r w:rsidRPr="003D5E6F" w:rsidR="3D3ADAFE">
        <w:rPr>
          <w:rStyle w:val="normaltextrun"/>
        </w:rPr>
        <w:t xml:space="preserve"> Semi-Annual </w:t>
      </w:r>
      <w:r w:rsidRPr="003D5E6F" w:rsidR="009856B0">
        <w:rPr>
          <w:rStyle w:val="normaltextrun"/>
        </w:rPr>
        <w:t xml:space="preserve">Quantitative </w:t>
      </w:r>
      <w:r w:rsidRPr="003D5E6F" w:rsidR="3D3ADAFE">
        <w:rPr>
          <w:rStyle w:val="normaltextrun"/>
        </w:rPr>
        <w:t xml:space="preserve">Report that draws </w:t>
      </w:r>
      <w:r w:rsidRPr="003D5E6F" w:rsidR="285B6BAB">
        <w:rPr>
          <w:rStyle w:val="normaltextrun"/>
        </w:rPr>
        <w:t>more fully on the</w:t>
      </w:r>
      <w:r w:rsidRPr="003D5E6F" w:rsidR="3D3ADAFE">
        <w:rPr>
          <w:rStyle w:val="normaltextrun"/>
        </w:rPr>
        <w:t xml:space="preserve"> universe of CSBG reporting indicators to accommodate a potentially </w:t>
      </w:r>
      <w:r w:rsidRPr="003D5E6F" w:rsidR="55DBAE0A">
        <w:rPr>
          <w:rStyle w:val="normaltextrun"/>
        </w:rPr>
        <w:t>more diverse range of activities from future grant recipients. The revised form will be optional for</w:t>
      </w:r>
      <w:r w:rsidRPr="003D5E6F" w:rsidR="0E923164">
        <w:rPr>
          <w:rStyle w:val="normaltextrun"/>
        </w:rPr>
        <w:t xml:space="preserve"> activities funded with</w:t>
      </w:r>
      <w:r w:rsidRPr="003D5E6F" w:rsidR="55DBAE0A">
        <w:rPr>
          <w:rStyle w:val="normaltextrun"/>
        </w:rPr>
        <w:t xml:space="preserve"> FY 2023 awards</w:t>
      </w:r>
      <w:r w:rsidRPr="003D5E6F" w:rsidR="42ACAD99">
        <w:rPr>
          <w:rStyle w:val="normaltextrun"/>
        </w:rPr>
        <w:t xml:space="preserve">, but all </w:t>
      </w:r>
      <w:r w:rsidRPr="003D5E6F" w:rsidR="4E805759">
        <w:rPr>
          <w:rStyle w:val="normaltextrun"/>
        </w:rPr>
        <w:t>projects</w:t>
      </w:r>
      <w:r w:rsidRPr="003D5E6F" w:rsidR="42ACAD99">
        <w:rPr>
          <w:rStyle w:val="normaltextrun"/>
        </w:rPr>
        <w:t xml:space="preserve"> using FY 2024 or later awards</w:t>
      </w:r>
      <w:r w:rsidRPr="003D5E6F" w:rsidR="6096CD1F">
        <w:rPr>
          <w:rStyle w:val="normaltextrun"/>
        </w:rPr>
        <w:t xml:space="preserve"> for services</w:t>
      </w:r>
      <w:r w:rsidRPr="003D5E6F" w:rsidR="42ACAD99">
        <w:rPr>
          <w:rStyle w:val="normaltextrun"/>
        </w:rPr>
        <w:t xml:space="preserve"> will be required to use it. </w:t>
      </w:r>
      <w:r w:rsidRPr="003D5E6F">
        <w:rPr>
          <w:rStyle w:val="normaltextrun"/>
        </w:rPr>
        <w:t>All of the grant recipients have management information systems (MIS) designed to collect</w:t>
      </w:r>
      <w:r w:rsidRPr="003D5E6F" w:rsidR="20AB686F">
        <w:rPr>
          <w:rStyle w:val="normaltextrun"/>
        </w:rPr>
        <w:t xml:space="preserve"> </w:t>
      </w:r>
      <w:r w:rsidRPr="003D5E6F">
        <w:rPr>
          <w:rStyle w:val="normaltextrun"/>
        </w:rPr>
        <w:t>most of the information included in this report. OCS is thus reducing the burden of creating a new data collection system on the grant recipients</w:t>
      </w:r>
      <w:r w:rsidRPr="003D5E6F" w:rsidR="20AB686F">
        <w:rPr>
          <w:rStyle w:val="normaltextrun"/>
        </w:rPr>
        <w:t>,</w:t>
      </w:r>
      <w:r w:rsidRPr="003D5E6F">
        <w:rPr>
          <w:rStyle w:val="normaltextrun"/>
        </w:rPr>
        <w:t xml:space="preserve"> while directly discerning how AHSSD funds are being spent to increase access for residents.</w:t>
      </w:r>
      <w:r w:rsidRPr="003D5E6F">
        <w:rPr>
          <w:rStyle w:val="eop"/>
        </w:rPr>
        <w:t> </w:t>
      </w:r>
    </w:p>
    <w:p w:rsidR="009C2DE1" w:rsidRPr="003D5E6F" w:rsidP="00022586" w14:paraId="5BF82A71" w14:textId="77777777">
      <w:pPr>
        <w:widowControl/>
        <w:tabs>
          <w:tab w:val="num" w:pos="360"/>
        </w:tabs>
        <w:ind w:left="360"/>
        <w:rPr>
          <w:snapToGrid/>
          <w:szCs w:val="24"/>
        </w:rPr>
      </w:pPr>
    </w:p>
    <w:p w:rsidR="002C3C4F" w:rsidRPr="003D5E6F" w:rsidP="00075889" w14:paraId="5A812530" w14:textId="77777777">
      <w:pPr>
        <w:widowControl/>
        <w:numPr>
          <w:ilvl w:val="0"/>
          <w:numId w:val="4"/>
        </w:numPr>
        <w:tabs>
          <w:tab w:val="num" w:pos="360"/>
        </w:tabs>
        <w:spacing w:after="120"/>
        <w:ind w:left="360"/>
        <w:rPr>
          <w:b/>
          <w:snapToGrid/>
          <w:szCs w:val="24"/>
        </w:rPr>
      </w:pPr>
      <w:r w:rsidRPr="003D5E6F">
        <w:rPr>
          <w:b/>
          <w:snapToGrid/>
          <w:szCs w:val="24"/>
        </w:rPr>
        <w:t xml:space="preserve">Impact on Small Businesses or Other Small Entities </w:t>
      </w:r>
    </w:p>
    <w:p w:rsidR="006E7FFB" w:rsidRPr="003D5E6F" w:rsidP="006E7FFB" w14:paraId="65482244" w14:textId="77777777">
      <w:pPr>
        <w:widowControl/>
        <w:tabs>
          <w:tab w:val="num" w:pos="360"/>
        </w:tabs>
        <w:ind w:left="360"/>
        <w:rPr>
          <w:snapToGrid/>
          <w:szCs w:val="24"/>
        </w:rPr>
      </w:pPr>
      <w:r w:rsidRPr="003D5E6F">
        <w:rPr>
          <w:snapToGrid/>
          <w:szCs w:val="24"/>
        </w:rPr>
        <w:t xml:space="preserve">Not applicable. The grant recipients for the Affordable Housing and Supportive Services Demonstration are non-profit community action agencies. </w:t>
      </w:r>
    </w:p>
    <w:p w:rsidR="00D60543" w:rsidRPr="003D5E6F" w:rsidP="00022586" w14:paraId="7A03161C" w14:textId="77777777">
      <w:pPr>
        <w:widowControl/>
        <w:tabs>
          <w:tab w:val="num" w:pos="360"/>
        </w:tabs>
        <w:ind w:left="360"/>
        <w:rPr>
          <w:snapToGrid/>
          <w:szCs w:val="24"/>
        </w:rPr>
      </w:pPr>
    </w:p>
    <w:p w:rsidR="002C3C4F" w:rsidRPr="003D5E6F" w:rsidP="00075889" w14:paraId="6374389D" w14:textId="77777777">
      <w:pPr>
        <w:widowControl/>
        <w:numPr>
          <w:ilvl w:val="0"/>
          <w:numId w:val="4"/>
        </w:numPr>
        <w:tabs>
          <w:tab w:val="num" w:pos="360"/>
        </w:tabs>
        <w:spacing w:after="120"/>
        <w:ind w:left="360"/>
        <w:rPr>
          <w:b/>
          <w:snapToGrid/>
          <w:szCs w:val="24"/>
        </w:rPr>
      </w:pPr>
      <w:r w:rsidRPr="003D5E6F">
        <w:rPr>
          <w:b/>
          <w:snapToGrid/>
          <w:szCs w:val="24"/>
        </w:rPr>
        <w:t xml:space="preserve">Consequences of Collecting the Information Less Frequently </w:t>
      </w:r>
    </w:p>
    <w:p w:rsidR="006E7FFB" w:rsidRPr="003D5E6F" w:rsidP="00D96C50" w14:paraId="39F9BF29" w14:textId="312C3AEB">
      <w:pPr>
        <w:widowControl/>
        <w:tabs>
          <w:tab w:val="num" w:pos="360"/>
        </w:tabs>
        <w:spacing w:line="259" w:lineRule="auto"/>
        <w:ind w:left="360"/>
        <w:rPr>
          <w:szCs w:val="24"/>
        </w:rPr>
      </w:pPr>
      <w:r w:rsidRPr="003D5E6F">
        <w:rPr>
          <w:szCs w:val="24"/>
        </w:rPr>
        <w:t xml:space="preserve">AHSSD grant recipients are launching new demonstration programs. Information </w:t>
      </w:r>
      <w:r w:rsidRPr="003D5E6F" w:rsidR="5F6B41C5">
        <w:rPr>
          <w:szCs w:val="24"/>
        </w:rPr>
        <w:t xml:space="preserve">is emergent </w:t>
      </w:r>
      <w:r w:rsidRPr="003D5E6F">
        <w:rPr>
          <w:szCs w:val="24"/>
        </w:rPr>
        <w:t>about how the programs are performing, the challenges they are encountering, and practices that are promising are critical to understand</w:t>
      </w:r>
      <w:r w:rsidRPr="003D5E6F" w:rsidR="32EBCDCC">
        <w:rPr>
          <w:szCs w:val="24"/>
        </w:rPr>
        <w:t xml:space="preserve">. OCS has requested quarterly </w:t>
      </w:r>
      <w:r w:rsidRPr="003D5E6F" w:rsidR="009856B0">
        <w:rPr>
          <w:szCs w:val="24"/>
        </w:rPr>
        <w:t xml:space="preserve">narrative </w:t>
      </w:r>
      <w:r w:rsidRPr="003D5E6F" w:rsidR="32EBCDCC">
        <w:rPr>
          <w:szCs w:val="24"/>
        </w:rPr>
        <w:t xml:space="preserve">performance progress reports and semi-annual </w:t>
      </w:r>
      <w:r w:rsidRPr="003D5E6F" w:rsidR="009856B0">
        <w:rPr>
          <w:szCs w:val="24"/>
        </w:rPr>
        <w:t xml:space="preserve">quantitative </w:t>
      </w:r>
      <w:r w:rsidRPr="003D5E6F" w:rsidR="32EBCDCC">
        <w:rPr>
          <w:szCs w:val="24"/>
        </w:rPr>
        <w:t xml:space="preserve">reports on service delivery so that we can provide timely information to Congress as well as timely training and technical assistance to grant recipients. </w:t>
      </w:r>
      <w:r w:rsidRPr="003D5E6F" w:rsidR="71B0043B">
        <w:rPr>
          <w:szCs w:val="24"/>
        </w:rPr>
        <w:t xml:space="preserve">Less frequent reporting may result in delayed reporting and missed opportunities for the provision of timely training and technical </w:t>
      </w:r>
      <w:r w:rsidRPr="003D5E6F" w:rsidR="473CF05D">
        <w:rPr>
          <w:szCs w:val="24"/>
        </w:rPr>
        <w:t xml:space="preserve">assistance. </w:t>
      </w:r>
      <w:r w:rsidRPr="003D5E6F" w:rsidR="507AB52A">
        <w:rPr>
          <w:snapToGrid/>
          <w:szCs w:val="24"/>
        </w:rPr>
        <w:t xml:space="preserve"> </w:t>
      </w:r>
    </w:p>
    <w:p w:rsidR="00DE529D" w:rsidRPr="003D5E6F" w:rsidP="00022586" w14:paraId="2744D4F5" w14:textId="77777777">
      <w:pPr>
        <w:widowControl/>
        <w:tabs>
          <w:tab w:val="num" w:pos="360"/>
        </w:tabs>
        <w:ind w:left="360"/>
        <w:rPr>
          <w:snapToGrid/>
          <w:szCs w:val="24"/>
        </w:rPr>
      </w:pPr>
    </w:p>
    <w:p w:rsidR="006E7FFB" w:rsidRPr="003D5E6F" w:rsidP="4E6883F4" w14:paraId="54E22F48" w14:textId="77777777">
      <w:pPr>
        <w:widowControl/>
        <w:numPr>
          <w:ilvl w:val="0"/>
          <w:numId w:val="4"/>
        </w:numPr>
        <w:tabs>
          <w:tab w:val="num" w:pos="360"/>
        </w:tabs>
        <w:spacing w:after="120"/>
        <w:ind w:left="360"/>
        <w:rPr>
          <w:b/>
          <w:bCs/>
          <w:snapToGrid/>
          <w:szCs w:val="24"/>
        </w:rPr>
      </w:pPr>
      <w:r w:rsidRPr="003D5E6F">
        <w:rPr>
          <w:b/>
          <w:bCs/>
          <w:snapToGrid/>
          <w:szCs w:val="24"/>
        </w:rPr>
        <w:t xml:space="preserve">Special Circumstances Relating to the Guidelines of 5 CFR 1320.5 </w:t>
      </w:r>
    </w:p>
    <w:p w:rsidR="02418337" w:rsidRPr="003D5E6F" w:rsidP="003D5E6F" w14:paraId="31D08C4C" w14:textId="00706441">
      <w:pPr>
        <w:widowControl/>
        <w:tabs>
          <w:tab w:val="num" w:pos="360"/>
        </w:tabs>
        <w:ind w:left="360"/>
        <w:rPr>
          <w:szCs w:val="24"/>
        </w:rPr>
      </w:pPr>
      <w:r w:rsidRPr="003D5E6F">
        <w:rPr>
          <w:szCs w:val="24"/>
        </w:rPr>
        <w:t xml:space="preserve">OCS has not updated the race and ethnicity items in the 2023 Version </w:t>
      </w:r>
      <w:r w:rsidRPr="003D5E6F" w:rsidR="003D5E6F">
        <w:rPr>
          <w:szCs w:val="24"/>
        </w:rPr>
        <w:t>–</w:t>
      </w:r>
      <w:r w:rsidRPr="003D5E6F">
        <w:rPr>
          <w:szCs w:val="24"/>
        </w:rPr>
        <w:t xml:space="preserve"> Semi-Annual Quantitative Report Mandatory Form</w:t>
      </w:r>
      <w:r w:rsidRPr="003D5E6F" w:rsidR="00A719F3">
        <w:rPr>
          <w:szCs w:val="24"/>
        </w:rPr>
        <w:t xml:space="preserve"> or the 2024 Version – Semi-Annual Quantitative Report Mandatory Form to reflect the new standards outlined in Statistical Policy Directive 15: Standards for Maintaining, Collecting, and Presenting Federal Data on Race and Ethnicity (SPED 15)</w:t>
      </w:r>
      <w:r w:rsidRPr="003D5E6F">
        <w:rPr>
          <w:szCs w:val="24"/>
        </w:rPr>
        <w:t>. Grant recipients using</w:t>
      </w:r>
      <w:r w:rsidRPr="003D5E6F" w:rsidR="00E445D7">
        <w:rPr>
          <w:szCs w:val="24"/>
        </w:rPr>
        <w:t xml:space="preserve"> the</w:t>
      </w:r>
      <w:r w:rsidRPr="003D5E6F">
        <w:rPr>
          <w:szCs w:val="24"/>
        </w:rPr>
        <w:t xml:space="preserve"> FY 2023</w:t>
      </w:r>
      <w:r w:rsidRPr="003D5E6F" w:rsidR="00E445D7">
        <w:rPr>
          <w:szCs w:val="24"/>
        </w:rPr>
        <w:t xml:space="preserve"> form</w:t>
      </w:r>
      <w:r w:rsidRPr="003D5E6F">
        <w:rPr>
          <w:szCs w:val="24"/>
        </w:rPr>
        <w:t xml:space="preserve"> </w:t>
      </w:r>
      <w:r w:rsidRPr="003D5E6F" w:rsidR="4F68C22D">
        <w:rPr>
          <w:szCs w:val="24"/>
        </w:rPr>
        <w:t xml:space="preserve">have already fielded </w:t>
      </w:r>
      <w:r w:rsidRPr="003D5E6F" w:rsidR="007B4A83">
        <w:rPr>
          <w:szCs w:val="24"/>
        </w:rPr>
        <w:t>enrollment forms with the former reporting structure</w:t>
      </w:r>
      <w:r w:rsidRPr="003D5E6F" w:rsidR="4F68C22D">
        <w:rPr>
          <w:szCs w:val="24"/>
        </w:rPr>
        <w:t xml:space="preserve"> </w:t>
      </w:r>
      <w:r w:rsidRPr="003D5E6F" w:rsidR="00474A36">
        <w:rPr>
          <w:szCs w:val="24"/>
        </w:rPr>
        <w:t xml:space="preserve">to </w:t>
      </w:r>
      <w:r w:rsidRPr="003D5E6F" w:rsidR="4F68C22D">
        <w:rPr>
          <w:szCs w:val="24"/>
        </w:rPr>
        <w:t xml:space="preserve">current participants. </w:t>
      </w:r>
      <w:r w:rsidRPr="003D5E6F" w:rsidR="007B4A83">
        <w:rPr>
          <w:szCs w:val="24"/>
        </w:rPr>
        <w:t xml:space="preserve">As a result, </w:t>
      </w:r>
      <w:r w:rsidRPr="003D5E6F" w:rsidR="00653F6E">
        <w:rPr>
          <w:szCs w:val="24"/>
        </w:rPr>
        <w:t xml:space="preserve">we anticipate data </w:t>
      </w:r>
      <w:r w:rsidRPr="003D5E6F" w:rsidR="00265A83">
        <w:rPr>
          <w:szCs w:val="24"/>
        </w:rPr>
        <w:t>utility</w:t>
      </w:r>
      <w:r w:rsidRPr="003D5E6F" w:rsidR="00653F6E">
        <w:rPr>
          <w:szCs w:val="24"/>
        </w:rPr>
        <w:t xml:space="preserve"> issues </w:t>
      </w:r>
      <w:r w:rsidRPr="003D5E6F" w:rsidR="00277ADF">
        <w:rPr>
          <w:szCs w:val="24"/>
        </w:rPr>
        <w:t xml:space="preserve">when combining data from </w:t>
      </w:r>
      <w:r w:rsidRPr="003D5E6F" w:rsidR="008B7048">
        <w:rPr>
          <w:szCs w:val="24"/>
        </w:rPr>
        <w:t>grant recipients using the 2023 and 2024 versions of the form</w:t>
      </w:r>
      <w:r w:rsidRPr="003D5E6F" w:rsidR="00622734">
        <w:rPr>
          <w:szCs w:val="24"/>
        </w:rPr>
        <w:t xml:space="preserve"> as it will be difficult to aggregate across reporting formats for individuals who are receiving services at the same point in time.</w:t>
      </w:r>
      <w:r w:rsidRPr="003D5E6F" w:rsidR="008B7048">
        <w:rPr>
          <w:szCs w:val="24"/>
        </w:rPr>
        <w:t xml:space="preserve"> We also anticipate data qual</w:t>
      </w:r>
      <w:r w:rsidRPr="003D5E6F" w:rsidR="00622734">
        <w:rPr>
          <w:szCs w:val="24"/>
        </w:rPr>
        <w:t xml:space="preserve">ity issues may emerge </w:t>
      </w:r>
      <w:r w:rsidRPr="003D5E6F" w:rsidR="0034326D">
        <w:rPr>
          <w:szCs w:val="24"/>
        </w:rPr>
        <w:t xml:space="preserve">if we transition </w:t>
      </w:r>
      <w:r w:rsidRPr="003D5E6F" w:rsidR="00A56995">
        <w:rPr>
          <w:szCs w:val="24"/>
        </w:rPr>
        <w:t>existing grant recipients to the new reporting for</w:t>
      </w:r>
      <w:r w:rsidRPr="003D5E6F" w:rsidR="00EE46A2">
        <w:rPr>
          <w:szCs w:val="24"/>
        </w:rPr>
        <w:t>m</w:t>
      </w:r>
      <w:r w:rsidRPr="003D5E6F" w:rsidR="00C07535">
        <w:rPr>
          <w:szCs w:val="24"/>
        </w:rPr>
        <w:t>. First, the grant recipients would need to field the race and ethnicity items to participants again</w:t>
      </w:r>
      <w:r w:rsidRPr="003D5E6F" w:rsidR="00EE02CE">
        <w:rPr>
          <w:szCs w:val="24"/>
        </w:rPr>
        <w:t xml:space="preserve">, but they </w:t>
      </w:r>
      <w:r w:rsidRPr="003D5E6F" w:rsidR="005B6079">
        <w:rPr>
          <w:szCs w:val="24"/>
        </w:rPr>
        <w:t>have already completed the enrollment process for these individuals.</w:t>
      </w:r>
      <w:r w:rsidRPr="003D5E6F" w:rsidR="00866FD1">
        <w:rPr>
          <w:szCs w:val="24"/>
        </w:rPr>
        <w:t xml:space="preserve"> Collecting this data outside of the existing enrollment process may lead to </w:t>
      </w:r>
      <w:r w:rsidRPr="003D5E6F" w:rsidR="00A06B30">
        <w:rPr>
          <w:szCs w:val="24"/>
        </w:rPr>
        <w:t>more missing data and higher rates of error. Second, grant recipients</w:t>
      </w:r>
      <w:r w:rsidRPr="003D5E6F" w:rsidR="00B436F5">
        <w:rPr>
          <w:szCs w:val="24"/>
        </w:rPr>
        <w:t xml:space="preserve"> will need to </w:t>
      </w:r>
      <w:r w:rsidRPr="003D5E6F" w:rsidR="001A51E0">
        <w:rPr>
          <w:szCs w:val="24"/>
        </w:rPr>
        <w:t xml:space="preserve">manage </w:t>
      </w:r>
      <w:r w:rsidRPr="003D5E6F" w:rsidR="00D11DCE">
        <w:rPr>
          <w:szCs w:val="24"/>
        </w:rPr>
        <w:t xml:space="preserve">their pre-existing race and ethnicity data in the 2023 format alongside </w:t>
      </w:r>
      <w:r w:rsidRPr="003D5E6F" w:rsidR="00B204C1">
        <w:rPr>
          <w:szCs w:val="24"/>
        </w:rPr>
        <w:t>data that is formatted to meet the new standard</w:t>
      </w:r>
      <w:r w:rsidRPr="003D5E6F" w:rsidR="48AD8D33">
        <w:rPr>
          <w:szCs w:val="24"/>
        </w:rPr>
        <w:t>.</w:t>
      </w:r>
      <w:r w:rsidRPr="003D5E6F" w:rsidR="00A06B30">
        <w:rPr>
          <w:szCs w:val="24"/>
        </w:rPr>
        <w:t xml:space="preserve"> It may be difficult to update management information systems to accurately capture the data in the new format. </w:t>
      </w:r>
      <w:r w:rsidRPr="003D5E6F" w:rsidR="48AD8D33">
        <w:rPr>
          <w:szCs w:val="24"/>
        </w:rPr>
        <w:t xml:space="preserve"> </w:t>
      </w:r>
    </w:p>
    <w:p w:rsidR="003D5E6F" w:rsidRPr="003D5E6F" w:rsidP="003D5E6F" w14:paraId="55B5F918" w14:textId="77777777">
      <w:pPr>
        <w:widowControl/>
        <w:tabs>
          <w:tab w:val="num" w:pos="360"/>
        </w:tabs>
        <w:ind w:left="360"/>
        <w:rPr>
          <w:szCs w:val="24"/>
        </w:rPr>
      </w:pPr>
    </w:p>
    <w:p w:rsidR="38FBA656" w:rsidRPr="003D5E6F" w:rsidP="02418337" w14:paraId="4E7FFD4D" w14:textId="5A6924B9">
      <w:pPr>
        <w:widowControl/>
        <w:numPr>
          <w:ilvl w:val="0"/>
          <w:numId w:val="4"/>
        </w:numPr>
        <w:tabs>
          <w:tab w:val="num" w:pos="360"/>
        </w:tabs>
        <w:spacing w:after="120"/>
        <w:ind w:left="360"/>
        <w:rPr>
          <w:b/>
          <w:bCs/>
          <w:szCs w:val="24"/>
        </w:rPr>
      </w:pPr>
      <w:r w:rsidRPr="003D5E6F">
        <w:rPr>
          <w:b/>
          <w:bCs/>
          <w:szCs w:val="24"/>
        </w:rPr>
        <w:t>Comments in Response to the Federal Register Notice and Efforts to Consult Outside the Agency.</w:t>
      </w:r>
    </w:p>
    <w:p w:rsidR="008437C6" w:rsidRPr="003D5E6F" w:rsidP="1DE53799" w14:paraId="73C11D68" w14:textId="6FD0C999">
      <w:pPr>
        <w:pStyle w:val="NormalWeb"/>
        <w:spacing w:before="0" w:beforeAutospacing="0" w:after="0" w:afterAutospacing="0" w:line="259" w:lineRule="auto"/>
        <w:ind w:left="360"/>
      </w:pPr>
      <w:r w:rsidRPr="003D5E6F">
        <w:t>In accordance with the P</w:t>
      </w:r>
      <w:r w:rsidRPr="003D5E6F" w:rsidR="20AB686F">
        <w:t>aperwork Reduction Act</w:t>
      </w:r>
      <w:r w:rsidRPr="003D5E6F">
        <w:t xml:space="preserve">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3D5E6F" w:rsidR="20AB686F">
        <w:t xml:space="preserve">This notice was published on </w:t>
      </w:r>
      <w:r w:rsidRPr="003D5E6F" w:rsidR="2D8BD0F8">
        <w:t>June 12, 2024</w:t>
      </w:r>
      <w:r w:rsidRPr="003D5E6F" w:rsidR="20AB686F">
        <w:t xml:space="preserve">, </w:t>
      </w:r>
      <w:r w:rsidRPr="003D5E6F" w:rsidR="6565F764">
        <w:t xml:space="preserve">89 FR </w:t>
      </w:r>
      <w:r w:rsidRPr="003D5E6F" w:rsidR="42FBE292">
        <w:t>49878</w:t>
      </w:r>
      <w:r w:rsidRPr="003D5E6F" w:rsidR="52982446">
        <w:t>)</w:t>
      </w:r>
      <w:r w:rsidRPr="003D5E6F" w:rsidR="20AB686F">
        <w:t xml:space="preserve"> and provided a sixty-day period for public comment.  </w:t>
      </w:r>
    </w:p>
    <w:p w:rsidR="008437C6" w:rsidRPr="003D5E6F" w:rsidP="1DE53799" w14:paraId="26623CD4" w14:textId="77777777">
      <w:pPr>
        <w:pStyle w:val="NormalWeb"/>
        <w:spacing w:before="0" w:beforeAutospacing="0" w:after="0" w:afterAutospacing="0" w:line="259" w:lineRule="auto"/>
        <w:ind w:left="360"/>
      </w:pPr>
    </w:p>
    <w:p w:rsidR="00824139" w:rsidRPr="003D5E6F" w:rsidP="4E6883F4" w14:paraId="494CD5D9" w14:textId="7B6056C7">
      <w:pPr>
        <w:pStyle w:val="NormalWeb"/>
        <w:spacing w:before="0" w:beforeAutospacing="0" w:after="0" w:afterAutospacing="0" w:line="259" w:lineRule="auto"/>
        <w:ind w:left="360"/>
      </w:pPr>
      <w:r w:rsidRPr="003D5E6F">
        <w:t>During the notice and comment period,</w:t>
      </w:r>
      <w:r w:rsidRPr="003D5E6F" w:rsidR="334140C1">
        <w:t xml:space="preserve"> we held a listening session with grant recipients on </w:t>
      </w:r>
      <w:r w:rsidRPr="003D5E6F" w:rsidR="06BAEA7E">
        <w:t>July 17, 2024</w:t>
      </w:r>
      <w:r w:rsidRPr="003D5E6F" w:rsidR="334140C1">
        <w:t xml:space="preserve">. </w:t>
      </w:r>
      <w:r w:rsidRPr="003D5E6F" w:rsidR="2FB7DED2">
        <w:t xml:space="preserve">We have included notes outlining key points from the listening session in the appendix. </w:t>
      </w:r>
      <w:r w:rsidRPr="003D5E6F" w:rsidR="334140C1">
        <w:t xml:space="preserve">Most feedback concentrated on the </w:t>
      </w:r>
      <w:r w:rsidRPr="003D5E6F" w:rsidR="001F50C0">
        <w:t>2024 Version - S</w:t>
      </w:r>
      <w:r w:rsidRPr="003D5E6F" w:rsidR="334140C1">
        <w:t>emi-</w:t>
      </w:r>
      <w:r w:rsidRPr="003D5E6F" w:rsidR="001F50C0">
        <w:t>A</w:t>
      </w:r>
      <w:r w:rsidRPr="003D5E6F" w:rsidR="334140C1">
        <w:t xml:space="preserve">nnual </w:t>
      </w:r>
      <w:r w:rsidRPr="003D5E6F" w:rsidR="001F50C0">
        <w:t>Quantitative R</w:t>
      </w:r>
      <w:r w:rsidRPr="003D5E6F" w:rsidR="334140C1">
        <w:t>eport</w:t>
      </w:r>
      <w:r w:rsidRPr="003D5E6F" w:rsidR="3F76E883">
        <w:t xml:space="preserve"> </w:t>
      </w:r>
      <w:r w:rsidRPr="003D5E6F" w:rsidR="4FC06E46">
        <w:t>F</w:t>
      </w:r>
      <w:r w:rsidRPr="003D5E6F" w:rsidR="334140C1">
        <w:t>orm</w:t>
      </w:r>
      <w:r w:rsidRPr="003D5E6F" w:rsidR="407F6A71">
        <w:t>.</w:t>
      </w:r>
      <w:r w:rsidRPr="003D5E6F" w:rsidR="5C3D7A8E">
        <w:t xml:space="preserve"> An overview of the feedback and OCS responses follows. </w:t>
      </w:r>
      <w:r w:rsidRPr="003D5E6F" w:rsidR="407F6A71">
        <w:t xml:space="preserve"> </w:t>
      </w:r>
    </w:p>
    <w:p w:rsidR="00824139" w:rsidRPr="003D5E6F" w:rsidP="003D5E6F" w14:paraId="0DD81F0F" w14:textId="2B5A74B3">
      <w:pPr>
        <w:pStyle w:val="NormalWeb"/>
        <w:numPr>
          <w:ilvl w:val="0"/>
          <w:numId w:val="25"/>
        </w:numPr>
        <w:spacing w:before="0" w:beforeAutospacing="0" w:after="60" w:afterAutospacing="0" w:line="259" w:lineRule="auto"/>
      </w:pPr>
      <w:r w:rsidRPr="003D5E6F">
        <w:t>On</w:t>
      </w:r>
      <w:r w:rsidRPr="003D5E6F" w:rsidR="007B4E59">
        <w:t xml:space="preserve"> the form</w:t>
      </w:r>
      <w:r w:rsidRPr="003D5E6F" w:rsidR="407F6A71">
        <w:t>, grant recipients requested clearer instructions on who should be included in reporting for different types of fields in the report</w:t>
      </w:r>
      <w:r w:rsidRPr="003D5E6F" w:rsidR="3931DE1D">
        <w:t xml:space="preserve">, such as when to include household members in service delivery counts and when to count eligible residents, residents receiving services, and residents receiving intensive services. </w:t>
      </w:r>
      <w:r w:rsidRPr="003D5E6F" w:rsidR="00F16A0E">
        <w:t xml:space="preserve">OCS has added clarifying language on all tabs of the reporting forms to clarify </w:t>
      </w:r>
      <w:r w:rsidRPr="003D5E6F" w:rsidR="007A6474">
        <w:t>the individuals included in each field.</w:t>
      </w:r>
      <w:r w:rsidRPr="003D5E6F" w:rsidR="009B2952">
        <w:t xml:space="preserve"> Per the request of grant recipients, we have also provided guidance on when figures should align.</w:t>
      </w:r>
    </w:p>
    <w:p w:rsidR="00824139" w:rsidRPr="003D5E6F" w:rsidP="003D5E6F" w14:paraId="1D855894" w14:textId="77777777">
      <w:pPr>
        <w:pStyle w:val="NormalWeb"/>
        <w:numPr>
          <w:ilvl w:val="0"/>
          <w:numId w:val="25"/>
        </w:numPr>
        <w:spacing w:before="0" w:beforeAutospacing="0" w:after="60" w:afterAutospacing="0" w:line="259" w:lineRule="auto"/>
      </w:pPr>
      <w:r w:rsidRPr="003D5E6F">
        <w:t xml:space="preserve">Grant recipients also noted that some indicators could benefit from clearer definitions. </w:t>
      </w:r>
      <w:r w:rsidRPr="003D5E6F" w:rsidR="002A407F">
        <w:t xml:space="preserve">OCS reviewed </w:t>
      </w:r>
      <w:r w:rsidRPr="003D5E6F" w:rsidR="00745F71">
        <w:t>items and added clarifying language</w:t>
      </w:r>
      <w:r w:rsidRPr="003D5E6F" w:rsidR="00B66897">
        <w:t xml:space="preserve"> to items </w:t>
      </w:r>
      <w:r w:rsidRPr="003D5E6F" w:rsidR="002B712F">
        <w:t xml:space="preserve">throughout the report. </w:t>
      </w:r>
      <w:r w:rsidRPr="003D5E6F" w:rsidR="00D406AA">
        <w:t xml:space="preserve">Grant recipients identified some items as potentially difficult to distinguish from one another. As a result, OCS has removed some items or added language to clarify how </w:t>
      </w:r>
      <w:r w:rsidRPr="003D5E6F" w:rsidR="001C019A">
        <w:t>the items are distinct.</w:t>
      </w:r>
    </w:p>
    <w:p w:rsidR="00824139" w:rsidRPr="003D5E6F" w:rsidP="003D5E6F" w14:paraId="07919D6C" w14:textId="362DEFD6">
      <w:pPr>
        <w:pStyle w:val="NormalWeb"/>
        <w:numPr>
          <w:ilvl w:val="0"/>
          <w:numId w:val="25"/>
        </w:numPr>
        <w:spacing w:before="0" w:beforeAutospacing="0" w:after="60" w:afterAutospacing="0" w:line="259" w:lineRule="auto"/>
      </w:pPr>
      <w:r w:rsidRPr="003D5E6F">
        <w:t xml:space="preserve">Grant recipients also </w:t>
      </w:r>
      <w:r w:rsidRPr="003D5E6F" w:rsidR="31B3911C">
        <w:t>noted that th</w:t>
      </w:r>
      <w:r w:rsidRPr="003D5E6F" w:rsidR="58C467DE">
        <w:t xml:space="preserve">e form does not </w:t>
      </w:r>
      <w:r w:rsidRPr="003D5E6F" w:rsidR="05F26336">
        <w:t>fully capture service delivery when requesting only counts of individuals served</w:t>
      </w:r>
      <w:r w:rsidRPr="003D5E6F" w:rsidR="38CD4729">
        <w:t xml:space="preserve">, especially with respect to casework, which often involves </w:t>
      </w:r>
      <w:r w:rsidRPr="003D5E6F" w:rsidR="6FC30CAD">
        <w:t>extensive background work</w:t>
      </w:r>
      <w:r w:rsidRPr="003D5E6F" w:rsidR="1A3D2263">
        <w:t xml:space="preserve"> that is not necessarily reflected in a session. OCS added an item to the quarterly narrative report to</w:t>
      </w:r>
      <w:r w:rsidRPr="003D5E6F" w:rsidR="48127481">
        <w:t xml:space="preserve"> allow grant recipients space to </w:t>
      </w:r>
      <w:r w:rsidRPr="003D5E6F" w:rsidR="7E775E52">
        <w:t xml:space="preserve">describe the scope of case management. </w:t>
      </w:r>
      <w:r w:rsidRPr="003D5E6F" w:rsidR="3B18DB8E">
        <w:t>We have also</w:t>
      </w:r>
      <w:r w:rsidRPr="003D5E6F" w:rsidR="7E775E52">
        <w:t xml:space="preserve"> added fields to capture distinct aspects of </w:t>
      </w:r>
      <w:r w:rsidRPr="003D5E6F" w:rsidR="086BC9A2">
        <w:t>casework in subsections of the service delivery tab</w:t>
      </w:r>
      <w:r w:rsidRPr="003D5E6F" w:rsidR="5D81B5D3">
        <w:t xml:space="preserve"> </w:t>
      </w:r>
      <w:r w:rsidRPr="003D5E6F" w:rsidR="001F50C0">
        <w:t>of the form</w:t>
      </w:r>
      <w:r w:rsidRPr="003D5E6F" w:rsidR="086BC9A2">
        <w:t>.</w:t>
      </w:r>
      <w:r w:rsidRPr="003D5E6F" w:rsidR="5700BFE8">
        <w:t xml:space="preserve">  </w:t>
      </w:r>
    </w:p>
    <w:p w:rsidR="00824139" w:rsidRPr="003D5E6F" w:rsidP="003D5E6F" w14:paraId="3D5C1FE4" w14:textId="77777777">
      <w:pPr>
        <w:pStyle w:val="NormalWeb"/>
        <w:numPr>
          <w:ilvl w:val="0"/>
          <w:numId w:val="25"/>
        </w:numPr>
        <w:spacing w:before="0" w:beforeAutospacing="0" w:after="60" w:afterAutospacing="0" w:line="259" w:lineRule="auto"/>
      </w:pPr>
      <w:r w:rsidRPr="003D5E6F">
        <w:t xml:space="preserve">Grant recipients also noted </w:t>
      </w:r>
      <w:r w:rsidRPr="003D5E6F" w:rsidR="002277B8">
        <w:t xml:space="preserve">uncertainty with how to handle the partnership start date on the partnership tab. OCS has provided additional </w:t>
      </w:r>
      <w:r w:rsidRPr="003D5E6F" w:rsidR="00CA5ADE">
        <w:t>fields to allow for the distinction between pre-existing and new partnerships and reporting of precise dates for new partners only.</w:t>
      </w:r>
    </w:p>
    <w:p w:rsidR="006E7FFB" w:rsidRPr="003D5E6F" w:rsidP="00D96C50" w14:paraId="364CEE0E" w14:textId="51F2C4B2">
      <w:pPr>
        <w:pStyle w:val="NormalWeb"/>
        <w:numPr>
          <w:ilvl w:val="0"/>
          <w:numId w:val="25"/>
        </w:numPr>
        <w:spacing w:before="0" w:beforeAutospacing="0" w:after="0" w:afterAutospacing="0" w:line="259" w:lineRule="auto"/>
      </w:pPr>
      <w:r w:rsidRPr="003D5E6F">
        <w:t>W</w:t>
      </w:r>
      <w:r w:rsidRPr="003D5E6F" w:rsidR="06BAEA7E">
        <w:t>hile some comments did not result in changes</w:t>
      </w:r>
      <w:r w:rsidRPr="003D5E6F" w:rsidR="00742109">
        <w:t>, such as some duplication in items</w:t>
      </w:r>
      <w:r w:rsidRPr="003D5E6F" w:rsidR="06BAEA7E">
        <w:t>, OCS is</w:t>
      </w:r>
      <w:r w:rsidRPr="003D5E6F">
        <w:t xml:space="preserve"> addressing </w:t>
      </w:r>
      <w:r w:rsidRPr="003D5E6F" w:rsidR="06BAEA7E">
        <w:t>the majority of</w:t>
      </w:r>
      <w:r w:rsidRPr="003D5E6F">
        <w:t xml:space="preserve"> comments by </w:t>
      </w:r>
      <w:r w:rsidRPr="003D5E6F" w:rsidR="06BAEA7E">
        <w:t>revising</w:t>
      </w:r>
      <w:r w:rsidRPr="003D5E6F">
        <w:t xml:space="preserve"> indicators, providing additional clarity in the instructions</w:t>
      </w:r>
      <w:r w:rsidRPr="003D5E6F" w:rsidR="06BAEA7E">
        <w:t xml:space="preserve"> tab</w:t>
      </w:r>
      <w:r w:rsidRPr="003D5E6F">
        <w:t xml:space="preserve">, and </w:t>
      </w:r>
      <w:r w:rsidRPr="003D5E6F" w:rsidR="06BAEA7E">
        <w:t xml:space="preserve">further defining parameters. </w:t>
      </w:r>
      <w:r w:rsidRPr="003D5E6F" w:rsidR="507AB52A">
        <w:t xml:space="preserve">  </w:t>
      </w:r>
    </w:p>
    <w:p w:rsidR="002A7A5C" w:rsidRPr="003D5E6F" w:rsidP="1DE53799" w14:paraId="1B5DD3A4" w14:textId="77777777">
      <w:pPr>
        <w:pStyle w:val="NormalWeb"/>
        <w:spacing w:before="0" w:beforeAutospacing="0" w:after="0" w:afterAutospacing="0" w:line="259" w:lineRule="auto"/>
        <w:ind w:left="360"/>
      </w:pPr>
    </w:p>
    <w:p w:rsidR="002A7A5C" w:rsidRPr="003D5E6F" w:rsidP="1DE53799" w14:paraId="048CE0B1" w14:textId="6D1E6E1D">
      <w:pPr>
        <w:pStyle w:val="NormalWeb"/>
        <w:spacing w:before="0" w:beforeAutospacing="0" w:after="0" w:afterAutospacing="0" w:line="259" w:lineRule="auto"/>
        <w:ind w:left="360"/>
      </w:pPr>
      <w:r w:rsidRPr="003D5E6F">
        <w:t>OCS also conducted an internal review of the instruments during the comment period based on what we have learned from analyzing preliminary data</w:t>
      </w:r>
      <w:r w:rsidRPr="003D5E6F" w:rsidR="5C390959">
        <w:t>.</w:t>
      </w:r>
      <w:r w:rsidRPr="003D5E6F" w:rsidR="20842C67">
        <w:t xml:space="preserve"> Through this process we identified minor typographical errors or items that could benefit from clearer wording.</w:t>
      </w:r>
      <w:r w:rsidRPr="003D5E6F" w:rsidR="5C390959">
        <w:t xml:space="preserve"> In addition</w:t>
      </w:r>
      <w:r w:rsidRPr="003D5E6F" w:rsidR="6AE4DB75">
        <w:t>, we made changes to clarify reporting for grant recipients. In addition</w:t>
      </w:r>
      <w:r w:rsidRPr="003D5E6F" w:rsidR="5C390959">
        <w:t xml:space="preserve"> to the changes to the</w:t>
      </w:r>
      <w:r w:rsidRPr="003D5E6F" w:rsidR="001F50C0">
        <w:t xml:space="preserve"> 2024 Version – Semi-Annual Quantitative Report and the Quarterly Narrative Project Performance Report</w:t>
      </w:r>
      <w:r w:rsidRPr="003D5E6F" w:rsidR="098D3B0E">
        <w:t xml:space="preserve"> described above, </w:t>
      </w:r>
      <w:r w:rsidRPr="003D5E6F" w:rsidR="10B2953D">
        <w:t xml:space="preserve">we aligned the service categories </w:t>
      </w:r>
      <w:r w:rsidRPr="003D5E6F" w:rsidR="004A679D">
        <w:t xml:space="preserve">in </w:t>
      </w:r>
      <w:r w:rsidRPr="003D5E6F" w:rsidR="10B2953D">
        <w:t>the partnerships and events tabs with the service categories</w:t>
      </w:r>
      <w:r w:rsidRPr="003D5E6F" w:rsidR="004A679D">
        <w:t xml:space="preserve"> elsewhere</w:t>
      </w:r>
      <w:r w:rsidRPr="003D5E6F" w:rsidR="10B2953D">
        <w:t xml:space="preserve"> in the report to make crosswalks between activities clearer. </w:t>
      </w:r>
      <w:r w:rsidRPr="003D5E6F" w:rsidR="001F50C0">
        <w:t>We also</w:t>
      </w:r>
      <w:r w:rsidRPr="003D5E6F" w:rsidR="004A679D">
        <w:t xml:space="preserve"> ensure the form flexibly accommodates reporting quarters</w:t>
      </w:r>
      <w:r w:rsidRPr="003D5E6F" w:rsidR="000713E8">
        <w:t xml:space="preserve"> across cohorts</w:t>
      </w:r>
      <w:r w:rsidRPr="003D5E6F" w:rsidR="004A679D">
        <w:t xml:space="preserve"> by asking the grant recipient to supply the dates for the quarter for each entry</w:t>
      </w:r>
      <w:r w:rsidRPr="003D5E6F" w:rsidR="000713E8">
        <w:t xml:space="preserve"> and requesting cumulative information to align with other items in the form</w:t>
      </w:r>
      <w:r w:rsidRPr="003D5E6F" w:rsidR="004A679D">
        <w:t xml:space="preserve">. For the optional report on the outcomes tab, we added an indicator to track the number of individuals receiving services to </w:t>
      </w:r>
      <w:r w:rsidRPr="003D5E6F" w:rsidR="004A679D">
        <w:t>support each outcome to better contextualize the number of individuals achieving that outcome.</w:t>
      </w:r>
    </w:p>
    <w:p w:rsidR="002A7A5C" w:rsidRPr="003D5E6F" w:rsidP="1DE53799" w14:paraId="2E104F3A" w14:textId="575A1EA8">
      <w:pPr>
        <w:pStyle w:val="NormalWeb"/>
        <w:spacing w:before="0" w:beforeAutospacing="0" w:after="0" w:afterAutospacing="0" w:line="259" w:lineRule="auto"/>
        <w:ind w:left="360"/>
      </w:pPr>
    </w:p>
    <w:p w:rsidR="002A7A5C" w:rsidRPr="003D5E6F" w:rsidP="1DE53799" w14:paraId="12B1C44E" w14:textId="2452B7EB">
      <w:pPr>
        <w:pStyle w:val="NormalWeb"/>
        <w:spacing w:before="0" w:beforeAutospacing="0" w:after="0" w:afterAutospacing="0" w:line="259" w:lineRule="auto"/>
        <w:ind w:left="360"/>
      </w:pPr>
      <w:r w:rsidRPr="003D5E6F">
        <w:t>W</w:t>
      </w:r>
      <w:r w:rsidRPr="003D5E6F" w:rsidR="098D3B0E">
        <w:t xml:space="preserve">e made additional changes to interview and focus group instruments. </w:t>
      </w:r>
      <w:r w:rsidRPr="003D5E6F" w:rsidR="45009A52">
        <w:t xml:space="preserve">These changes seek to </w:t>
      </w:r>
      <w:r w:rsidRPr="003D5E6F" w:rsidR="6D298DD4">
        <w:t xml:space="preserve">make the items more interpretable to </w:t>
      </w:r>
      <w:r w:rsidRPr="003D5E6F" w:rsidR="0D338F7F">
        <w:t>diverse</w:t>
      </w:r>
      <w:r w:rsidRPr="003D5E6F" w:rsidR="6D298DD4">
        <w:t xml:space="preserve"> audience</w:t>
      </w:r>
      <w:r w:rsidRPr="003D5E6F" w:rsidR="0D338F7F">
        <w:t>s</w:t>
      </w:r>
      <w:r w:rsidRPr="003D5E6F" w:rsidR="6D298DD4">
        <w:t xml:space="preserve"> as we have learned that our program houses a large variety of populations and service strategies.</w:t>
      </w:r>
      <w:r w:rsidRPr="003D5E6F" w:rsidR="24228AB8">
        <w:t xml:space="preserve"> </w:t>
      </w:r>
      <w:r w:rsidRPr="003D5E6F" w:rsidR="67AB441D">
        <w:t>In the focus groups, we sought to broaden the questions to include perspectives on how and when people learn about services and perspectives on how the services meets the community’s needs. In the staff interviews</w:t>
      </w:r>
      <w:r w:rsidRPr="003D5E6F" w:rsidR="24228AB8">
        <w:t xml:space="preserve">, we added items to understand how residents are prioritized for services and how </w:t>
      </w:r>
      <w:r w:rsidRPr="003D5E6F" w:rsidR="72A9B305">
        <w:t>residents transition to or from services in the housing community</w:t>
      </w:r>
      <w:r w:rsidRPr="003D5E6F" w:rsidR="4BD897FB">
        <w:t>. We have also included items to better understand which needs in the community present the greatest barriers to self-sufficiency</w:t>
      </w:r>
      <w:r w:rsidRPr="003D5E6F" w:rsidR="6D298DD4">
        <w:t xml:space="preserve"> </w:t>
      </w:r>
      <w:r w:rsidRPr="003D5E6F" w:rsidR="04422001">
        <w:t>and how caseworkers are addressing these needs in the program.</w:t>
      </w:r>
    </w:p>
    <w:p w:rsidR="002A7A5C" w:rsidRPr="003D5E6F" w:rsidP="1DE53799" w14:paraId="61176997" w14:textId="5084967A">
      <w:pPr>
        <w:pStyle w:val="NormalWeb"/>
        <w:spacing w:before="0" w:beforeAutospacing="0" w:after="0" w:afterAutospacing="0" w:line="259" w:lineRule="auto"/>
        <w:ind w:left="360"/>
      </w:pPr>
    </w:p>
    <w:p w:rsidR="002A7A5C" w:rsidRPr="003D5E6F" w:rsidP="1DE53799" w14:paraId="1A07457D" w14:textId="269E224B">
      <w:pPr>
        <w:pStyle w:val="NormalWeb"/>
        <w:spacing w:before="0" w:beforeAutospacing="0" w:after="0" w:afterAutospacing="0" w:line="259" w:lineRule="auto"/>
        <w:ind w:left="360"/>
      </w:pPr>
      <w:r w:rsidRPr="003D5E6F">
        <w:t>We have also added a few items to explore issues important to our grant recipients, including</w:t>
      </w:r>
      <w:r w:rsidRPr="003D5E6F" w:rsidR="04D8DFCD">
        <w:t xml:space="preserve"> an item in the staff interview guide to understand sustainability</w:t>
      </w:r>
      <w:r w:rsidRPr="003D5E6F" w:rsidR="5966E20E">
        <w:t xml:space="preserve"> and the sufficiency of available services to meet needs</w:t>
      </w:r>
      <w:r w:rsidRPr="003D5E6F" w:rsidR="2BB4BCAD">
        <w:t>.</w:t>
      </w:r>
      <w:r w:rsidRPr="003D5E6F">
        <w:t xml:space="preserve"> </w:t>
      </w:r>
      <w:r w:rsidRPr="003D5E6F" w:rsidR="0B473EF2">
        <w:t xml:space="preserve">We have also increased the number of planned focus groups to permit us </w:t>
      </w:r>
      <w:r w:rsidRPr="003D5E6F" w:rsidR="6C0DDE18">
        <w:t>the opportunity to segment the groups</w:t>
      </w:r>
      <w:r w:rsidRPr="003D5E6F" w:rsidR="1DBBC8F4">
        <w:t xml:space="preserve"> </w:t>
      </w:r>
      <w:r w:rsidRPr="003D5E6F" w:rsidR="6AC6FE1B">
        <w:t xml:space="preserve">to explore </w:t>
      </w:r>
      <w:r w:rsidRPr="003D5E6F" w:rsidR="7E5AD24B">
        <w:t xml:space="preserve">experiences of </w:t>
      </w:r>
      <w:r w:rsidRPr="003D5E6F" w:rsidR="6AC6FE1B">
        <w:t xml:space="preserve">distinct subpopulations, such as </w:t>
      </w:r>
      <w:r w:rsidRPr="003D5E6F" w:rsidR="4AD36B43">
        <w:t xml:space="preserve">individuals living in transitional housing </w:t>
      </w:r>
      <w:r w:rsidRPr="003D5E6F" w:rsidR="7E5AD24B">
        <w:t>and those living in permanent supportive housing.</w:t>
      </w:r>
      <w:r w:rsidRPr="003D5E6F" w:rsidR="251FBD1F">
        <w:t xml:space="preserve"> We also made minor modifications to the introductory language and study information for interview and focus group participants to make information available about the IRB and to reference transcription rather than recording.</w:t>
      </w:r>
      <w:r w:rsidRPr="003D5E6F" w:rsidR="7E5AD24B">
        <w:t xml:space="preserve"> </w:t>
      </w:r>
    </w:p>
    <w:p w:rsidR="002A7A5C" w:rsidRPr="003D5E6F" w:rsidP="1DE53799" w14:paraId="048E0D59" w14:textId="68300989">
      <w:pPr>
        <w:pStyle w:val="NormalWeb"/>
        <w:spacing w:before="0" w:beforeAutospacing="0" w:after="0" w:afterAutospacing="0" w:line="259" w:lineRule="auto"/>
        <w:ind w:left="360"/>
      </w:pPr>
    </w:p>
    <w:p w:rsidR="002A7A5C" w:rsidRPr="003D5E6F" w:rsidP="1DE53799" w14:paraId="4906A967" w14:textId="411F8ED7">
      <w:pPr>
        <w:pStyle w:val="NormalWeb"/>
        <w:spacing w:before="0" w:beforeAutospacing="0" w:after="0" w:afterAutospacing="0" w:line="259" w:lineRule="auto"/>
        <w:ind w:left="360"/>
      </w:pPr>
      <w:r w:rsidRPr="003D5E6F">
        <w:t xml:space="preserve">Finally, we have modified the characteristics tab of the </w:t>
      </w:r>
      <w:r w:rsidRPr="003D5E6F" w:rsidR="001F50C0">
        <w:t>2024 Version - S</w:t>
      </w:r>
      <w:r w:rsidRPr="003D5E6F">
        <w:t>emi-</w:t>
      </w:r>
      <w:r w:rsidRPr="003D5E6F" w:rsidR="001F50C0">
        <w:t>A</w:t>
      </w:r>
      <w:r w:rsidRPr="003D5E6F">
        <w:t xml:space="preserve">nnual </w:t>
      </w:r>
      <w:r w:rsidRPr="003D5E6F" w:rsidR="001F50C0">
        <w:t>Quantitative R</w:t>
      </w:r>
      <w:r w:rsidRPr="003D5E6F">
        <w:t xml:space="preserve">eport form to </w:t>
      </w:r>
      <w:r w:rsidRPr="003D5E6F" w:rsidR="498A5716">
        <w:t xml:space="preserve">better align with other reporting guidelines. </w:t>
      </w:r>
      <w:r w:rsidRPr="003D5E6F" w:rsidR="37681971">
        <w:t>We updated the “Gender” category to “Gender orientation” and replaced the “Other” category with “Transgender, non-binary or another gender” to align with White House SOGI Best Practices</w:t>
      </w:r>
      <w:r w:rsidRPr="003D5E6F" w:rsidR="0038112A">
        <w:t xml:space="preserve">. </w:t>
      </w:r>
      <w:r w:rsidRPr="003D5E6F" w:rsidR="574C9B9D">
        <w:t xml:space="preserve">Finally, for the age group categories, we make minor modifications to the groupings of ages to mirror common </w:t>
      </w:r>
      <w:r w:rsidRPr="003D5E6F" w:rsidR="41ED080A">
        <w:t>reporting formats from Census, enabling comparison of populations served to those in surrounding areas.</w:t>
      </w:r>
    </w:p>
    <w:p w:rsidR="00022586" w:rsidRPr="003D5E6F" w:rsidP="00022586" w14:paraId="2EDB417E" w14:textId="77777777">
      <w:pPr>
        <w:widowControl/>
        <w:tabs>
          <w:tab w:val="num" w:pos="360"/>
        </w:tabs>
        <w:ind w:left="360"/>
        <w:rPr>
          <w:snapToGrid/>
          <w:szCs w:val="24"/>
        </w:rPr>
      </w:pPr>
    </w:p>
    <w:p w:rsidR="002C3C4F" w:rsidRPr="003D5E6F" w:rsidP="00075889" w14:paraId="2C6C564B" w14:textId="77777777">
      <w:pPr>
        <w:widowControl/>
        <w:numPr>
          <w:ilvl w:val="0"/>
          <w:numId w:val="4"/>
        </w:numPr>
        <w:tabs>
          <w:tab w:val="num" w:pos="360"/>
        </w:tabs>
        <w:spacing w:after="120"/>
        <w:ind w:left="360"/>
        <w:rPr>
          <w:b/>
          <w:snapToGrid/>
          <w:szCs w:val="24"/>
        </w:rPr>
      </w:pPr>
      <w:r w:rsidRPr="003D5E6F">
        <w:rPr>
          <w:b/>
          <w:bCs/>
          <w:snapToGrid/>
          <w:szCs w:val="24"/>
        </w:rPr>
        <w:t xml:space="preserve">Explanation of Any Payment or Gift to Respondents </w:t>
      </w:r>
    </w:p>
    <w:p w:rsidR="00A57E94" w:rsidRPr="003D5E6F" w:rsidP="0000582E" w14:paraId="06D8D317" w14:textId="5F2D4CAA">
      <w:pPr>
        <w:widowControl/>
        <w:tabs>
          <w:tab w:val="num" w:pos="360"/>
        </w:tabs>
        <w:spacing w:line="259" w:lineRule="auto"/>
        <w:ind w:left="360"/>
        <w:rPr>
          <w:i/>
          <w:iCs/>
          <w:szCs w:val="24"/>
        </w:rPr>
      </w:pPr>
      <w:r>
        <w:rPr>
          <w:b/>
          <w:bCs/>
          <w:i/>
          <w:iCs/>
          <w:szCs w:val="24"/>
        </w:rPr>
        <w:t xml:space="preserve">NOTE: </w:t>
      </w:r>
      <w:r w:rsidRPr="003D5E6F" w:rsidR="4F2C73F3">
        <w:rPr>
          <w:i/>
          <w:iCs/>
          <w:szCs w:val="24"/>
        </w:rPr>
        <w:t xml:space="preserve">There are no proposed changes to currently approved tokens of appreciation, which are described here. </w:t>
      </w:r>
    </w:p>
    <w:p w:rsidR="00A57E94" w:rsidRPr="003D5E6F" w14:paraId="6D1E6F24" w14:textId="7DC6A495">
      <w:pPr>
        <w:widowControl/>
        <w:tabs>
          <w:tab w:val="num" w:pos="360"/>
        </w:tabs>
        <w:spacing w:line="259" w:lineRule="auto"/>
        <w:ind w:left="360"/>
        <w:rPr>
          <w:szCs w:val="24"/>
        </w:rPr>
      </w:pPr>
    </w:p>
    <w:p w:rsidR="00A57E94" w:rsidRPr="003D5E6F" w14:paraId="1690BC40" w14:textId="4C8B7707">
      <w:pPr>
        <w:widowControl/>
        <w:tabs>
          <w:tab w:val="num" w:pos="360"/>
        </w:tabs>
        <w:spacing w:line="259" w:lineRule="auto"/>
        <w:ind w:left="360"/>
        <w:rPr>
          <w:szCs w:val="24"/>
        </w:rPr>
      </w:pPr>
      <w:r w:rsidRPr="003D5E6F">
        <w:rPr>
          <w:szCs w:val="24"/>
        </w:rPr>
        <w:t xml:space="preserve">As previously approved, </w:t>
      </w:r>
      <w:r w:rsidRPr="003D5E6F" w:rsidR="006E7FFB">
        <w:rPr>
          <w:szCs w:val="24"/>
        </w:rPr>
        <w:t xml:space="preserve">OCS </w:t>
      </w:r>
      <w:r w:rsidRPr="003D5E6F" w:rsidR="0632E847">
        <w:rPr>
          <w:szCs w:val="24"/>
        </w:rPr>
        <w:t>is offering</w:t>
      </w:r>
      <w:r w:rsidRPr="003D5E6F" w:rsidR="006E7FFB">
        <w:rPr>
          <w:szCs w:val="24"/>
        </w:rPr>
        <w:t xml:space="preserve"> a $25 </w:t>
      </w:r>
      <w:r w:rsidRPr="003D5E6F" w:rsidR="354B0E08">
        <w:rPr>
          <w:szCs w:val="24"/>
        </w:rPr>
        <w:t>token of appreciation</w:t>
      </w:r>
      <w:r w:rsidRPr="003D5E6F" w:rsidR="006E7FFB">
        <w:rPr>
          <w:szCs w:val="24"/>
        </w:rPr>
        <w:t xml:space="preserve"> each time a participant completes the Arizona Self-</w:t>
      </w:r>
      <w:r w:rsidRPr="003D5E6F" w:rsidR="006E7FFB">
        <w:rPr>
          <w:snapToGrid/>
          <w:szCs w:val="24"/>
        </w:rPr>
        <w:t>Sufficiency Matrix</w:t>
      </w:r>
      <w:r w:rsidRPr="003D5E6F" w:rsidR="00FC2462">
        <w:rPr>
          <w:szCs w:val="24"/>
        </w:rPr>
        <w:t xml:space="preserve"> </w:t>
      </w:r>
      <w:r w:rsidRPr="003D5E6F">
        <w:rPr>
          <w:szCs w:val="24"/>
        </w:rPr>
        <w:t>and the Service Receipt Questionnaire</w:t>
      </w:r>
      <w:r w:rsidRPr="003D5E6F" w:rsidR="006E7FFB">
        <w:rPr>
          <w:snapToGrid/>
          <w:szCs w:val="24"/>
        </w:rPr>
        <w:t xml:space="preserve"> and $50 </w:t>
      </w:r>
      <w:r w:rsidRPr="003D5E6F" w:rsidR="248B9868">
        <w:rPr>
          <w:snapToGrid/>
          <w:szCs w:val="24"/>
        </w:rPr>
        <w:t>to</w:t>
      </w:r>
      <w:r w:rsidRPr="003D5E6F" w:rsidR="006E7FFB">
        <w:rPr>
          <w:snapToGrid/>
          <w:szCs w:val="24"/>
        </w:rPr>
        <w:t xml:space="preserve"> focus group participants as tokens of appreciation. </w:t>
      </w:r>
      <w:r w:rsidRPr="003D5E6F" w:rsidR="00A5481E">
        <w:rPr>
          <w:szCs w:val="24"/>
        </w:rPr>
        <w:t xml:space="preserve">OCS reviewed relevant literature on research participant recruitment and determined that monetary </w:t>
      </w:r>
      <w:r w:rsidRPr="003D5E6F" w:rsidR="3D088BD8">
        <w:rPr>
          <w:szCs w:val="24"/>
        </w:rPr>
        <w:t>tokens of appreciation</w:t>
      </w:r>
      <w:r w:rsidRPr="003D5E6F" w:rsidR="00A5481E">
        <w:rPr>
          <w:szCs w:val="24"/>
        </w:rPr>
        <w:t xml:space="preserve"> were necessary for sufficiently documenting these experiences and outcomes. A large body </w:t>
      </w:r>
      <w:r w:rsidRPr="003D5E6F" w:rsidR="00A5481E">
        <w:rPr>
          <w:szCs w:val="24"/>
        </w:rPr>
        <w:t xml:space="preserve">of research indicates that </w:t>
      </w:r>
      <w:r w:rsidRPr="003D5E6F" w:rsidR="0396A6C0">
        <w:rPr>
          <w:szCs w:val="24"/>
        </w:rPr>
        <w:t>providing monetary tokens of appreciation</w:t>
      </w:r>
      <w:r w:rsidRPr="003D5E6F" w:rsidR="00A5481E">
        <w:rPr>
          <w:szCs w:val="24"/>
        </w:rPr>
        <w:t xml:space="preserve"> significantly increase participation in research (</w:t>
      </w:r>
      <w:hyperlink r:id="rId10" w:history="1">
        <w:r w:rsidRPr="003D5E6F" w:rsidR="00A5481E">
          <w:rPr>
            <w:szCs w:val="24"/>
          </w:rPr>
          <w:t>Abdelazeem et al., 2023</w:t>
        </w:r>
      </w:hyperlink>
      <w:r w:rsidRPr="003D5E6F" w:rsidR="00A5481E">
        <w:rPr>
          <w:szCs w:val="24"/>
        </w:rPr>
        <w:t xml:space="preserve">, </w:t>
      </w:r>
      <w:hyperlink r:id="rId11" w:history="1">
        <w:r w:rsidRPr="003D5E6F" w:rsidR="00A5481E">
          <w:rPr>
            <w:szCs w:val="24"/>
          </w:rPr>
          <w:t>Edwards et al., 2002</w:t>
        </w:r>
      </w:hyperlink>
      <w:r w:rsidRPr="003D5E6F" w:rsidR="00A5481E">
        <w:rPr>
          <w:szCs w:val="24"/>
        </w:rPr>
        <w:t xml:space="preserve">, </w:t>
      </w:r>
      <w:hyperlink r:id="rId12" w:history="1">
        <w:r w:rsidRPr="003D5E6F" w:rsidR="00A5481E">
          <w:rPr>
            <w:szCs w:val="24"/>
          </w:rPr>
          <w:t>Singer and Ye, 2012</w:t>
        </w:r>
      </w:hyperlink>
      <w:r w:rsidRPr="003D5E6F" w:rsidR="00A5481E">
        <w:rPr>
          <w:szCs w:val="24"/>
        </w:rPr>
        <w:t xml:space="preserve">), which can reduce non-response bias, improving the validity of study findings.  In the context of the AHSSD study, OCS determined that </w:t>
      </w:r>
      <w:r w:rsidRPr="003D5E6F" w:rsidR="30DDA4A7">
        <w:rPr>
          <w:szCs w:val="24"/>
        </w:rPr>
        <w:t>tokens of appreciation</w:t>
      </w:r>
      <w:r w:rsidRPr="003D5E6F" w:rsidR="00A5481E">
        <w:rPr>
          <w:szCs w:val="24"/>
        </w:rPr>
        <w:t xml:space="preserve"> were necessary given the need to engage respondents from hard-to-reach populations (e.g., individuals with low incomes, see a discussion in </w:t>
      </w:r>
      <w:hyperlink r:id="rId13" w:history="1">
        <w:r w:rsidRPr="003D5E6F" w:rsidR="00A5481E">
          <w:rPr>
            <w:szCs w:val="24"/>
          </w:rPr>
          <w:t>Singer and Ye, 2012</w:t>
        </w:r>
      </w:hyperlink>
      <w:r w:rsidRPr="003D5E6F" w:rsidR="00A5481E">
        <w:rPr>
          <w:szCs w:val="24"/>
        </w:rPr>
        <w:t>) and to collect multiple waves of data when attrition may be a particular risk of nonresponse (</w:t>
      </w:r>
      <w:hyperlink r:id="rId14" w:history="1">
        <w:r w:rsidRPr="003D5E6F" w:rsidR="00A5481E">
          <w:rPr>
            <w:szCs w:val="24"/>
          </w:rPr>
          <w:t>Yu et al., 2017</w:t>
        </w:r>
      </w:hyperlink>
      <w:r w:rsidRPr="003D5E6F" w:rsidR="00A5481E">
        <w:rPr>
          <w:szCs w:val="24"/>
        </w:rPr>
        <w:t xml:space="preserve">). </w:t>
      </w:r>
      <w:r w:rsidRPr="003D5E6F" w:rsidR="005D4F2D">
        <w:rPr>
          <w:szCs w:val="24"/>
        </w:rPr>
        <w:t xml:space="preserve">Several of the housing communities in our study </w:t>
      </w:r>
      <w:r w:rsidRPr="003D5E6F" w:rsidR="00B71D4F">
        <w:rPr>
          <w:szCs w:val="24"/>
        </w:rPr>
        <w:t xml:space="preserve">provide transitional or temporary housing. As the study progresses, </w:t>
      </w:r>
      <w:r w:rsidRPr="003D5E6F" w:rsidR="00DC3DA3">
        <w:rPr>
          <w:szCs w:val="24"/>
        </w:rPr>
        <w:t>many individuals in the study may move out of the community</w:t>
      </w:r>
      <w:r w:rsidRPr="003D5E6F" w:rsidR="00A126A6">
        <w:rPr>
          <w:szCs w:val="24"/>
        </w:rPr>
        <w:t xml:space="preserve"> and</w:t>
      </w:r>
      <w:r w:rsidRPr="003D5E6F" w:rsidR="00FE157F">
        <w:rPr>
          <w:szCs w:val="24"/>
        </w:rPr>
        <w:t xml:space="preserve"> </w:t>
      </w:r>
      <w:r w:rsidRPr="003D5E6F" w:rsidR="53B5FA19">
        <w:rPr>
          <w:szCs w:val="24"/>
        </w:rPr>
        <w:t>monetary tokens of appreciation</w:t>
      </w:r>
      <w:r w:rsidRPr="003D5E6F" w:rsidR="00A126A6">
        <w:rPr>
          <w:szCs w:val="24"/>
        </w:rPr>
        <w:t xml:space="preserve"> may make them more likely to continue </w:t>
      </w:r>
      <w:r w:rsidRPr="003D5E6F" w:rsidR="00DE564C">
        <w:rPr>
          <w:szCs w:val="24"/>
        </w:rPr>
        <w:t xml:space="preserve">reporting outcomes for the study. </w:t>
      </w:r>
    </w:p>
    <w:p w:rsidR="00A57E94" w:rsidRPr="003D5E6F" w:rsidP="006E7FFB" w14:paraId="64C68479" w14:textId="77777777">
      <w:pPr>
        <w:widowControl/>
        <w:tabs>
          <w:tab w:val="num" w:pos="360"/>
        </w:tabs>
        <w:spacing w:line="259" w:lineRule="auto"/>
        <w:ind w:left="360"/>
        <w:rPr>
          <w:szCs w:val="24"/>
        </w:rPr>
      </w:pPr>
    </w:p>
    <w:p w:rsidR="006E7FFB" w:rsidRPr="003D5E6F" w:rsidP="006E7FFB" w14:paraId="55819C71" w14:textId="27B78274">
      <w:pPr>
        <w:widowControl/>
        <w:tabs>
          <w:tab w:val="num" w:pos="360"/>
        </w:tabs>
        <w:spacing w:line="259" w:lineRule="auto"/>
        <w:ind w:left="360"/>
        <w:rPr>
          <w:szCs w:val="24"/>
        </w:rPr>
      </w:pPr>
      <w:r w:rsidRPr="003D5E6F">
        <w:rPr>
          <w:szCs w:val="24"/>
        </w:rPr>
        <w:t>OCS also believes that by offering tokens of appreciations for the Matrix and focus groups, we will receive higher quality data, as participants will be more likely to answer thoughtfully and completely. A Cochrane systematic review and meta-analysis (Brueton et al., 2013) found that offering monetary tokens of appreciation improves the retention and response rate to questionnaires</w:t>
      </w:r>
      <w:r w:rsidRPr="003D5E6F" w:rsidR="00FA7C98">
        <w:rPr>
          <w:szCs w:val="24"/>
        </w:rPr>
        <w:t>,</w:t>
      </w:r>
      <w:r w:rsidRPr="003D5E6F">
        <w:rPr>
          <w:szCs w:val="24"/>
        </w:rPr>
        <w:t xml:space="preserve"> and Stanley et al. (2020) found that monetary tokens of appreciation increase completion rates of surveys.</w:t>
      </w:r>
    </w:p>
    <w:p w:rsidR="006E7FFB" w:rsidRPr="003D5E6F" w:rsidP="006E7FFB" w14:paraId="685B88BE" w14:textId="77777777">
      <w:pPr>
        <w:widowControl/>
        <w:tabs>
          <w:tab w:val="num" w:pos="360"/>
        </w:tabs>
        <w:spacing w:line="259" w:lineRule="auto"/>
        <w:ind w:left="360"/>
        <w:rPr>
          <w:szCs w:val="24"/>
        </w:rPr>
      </w:pPr>
    </w:p>
    <w:p w:rsidR="006E7FFB" w:rsidRPr="003D5E6F" w14:paraId="1A99DE3B" w14:textId="4B652D3A">
      <w:pPr>
        <w:widowControl/>
        <w:tabs>
          <w:tab w:val="num" w:pos="360"/>
        </w:tabs>
        <w:spacing w:line="259" w:lineRule="auto"/>
        <w:ind w:left="360"/>
        <w:rPr>
          <w:szCs w:val="24"/>
        </w:rPr>
      </w:pPr>
      <w:r w:rsidRPr="003D5E6F">
        <w:rPr>
          <w:szCs w:val="24"/>
        </w:rPr>
        <w:t xml:space="preserve">In addition to improving response rates and data quality, the proposed monetary tokens of appreciation for participants </w:t>
      </w:r>
      <w:r w:rsidRPr="003D5E6F" w:rsidR="3B665ED1">
        <w:rPr>
          <w:szCs w:val="24"/>
        </w:rPr>
        <w:t xml:space="preserve">are </w:t>
      </w:r>
      <w:r w:rsidRPr="003D5E6F">
        <w:rPr>
          <w:szCs w:val="24"/>
        </w:rPr>
        <w:t>intended to acknowledge their efforts and to account for potential incidental costs incurred as part of participating in the collection (i.e., childcare costs while an individual is meeting with their caseworker to complete the Matrix). OCS recognizes that families with low incomes are often weighed down by administrative burden to receive needed services. In their health policy brief, Herd and Moynihan (2020) summarize how burdensome processes to access social safety net programs cause feelings of lost autonomy, perceived stigma, poor program uptake, and stress-associated health issues. By offering tokens of appreciation, OCS will help address some of these issues while meaningfully recognizing the contributions of residents to the evaluation process.</w:t>
      </w:r>
    </w:p>
    <w:p w:rsidR="00D60543" w:rsidRPr="003D5E6F" w:rsidP="00DE529D" w14:paraId="62113040" w14:textId="4533A9C9">
      <w:pPr>
        <w:widowControl/>
        <w:tabs>
          <w:tab w:val="num" w:pos="360"/>
        </w:tabs>
        <w:ind w:left="360"/>
        <w:rPr>
          <w:snapToGrid/>
          <w:szCs w:val="24"/>
        </w:rPr>
      </w:pPr>
    </w:p>
    <w:p w:rsidR="002C3C4F" w:rsidRPr="003D5E6F" w:rsidP="003D5E6F" w14:paraId="4874FACA" w14:textId="77777777">
      <w:pPr>
        <w:widowControl/>
        <w:numPr>
          <w:ilvl w:val="0"/>
          <w:numId w:val="4"/>
        </w:numPr>
        <w:tabs>
          <w:tab w:val="num" w:pos="360"/>
        </w:tabs>
        <w:spacing w:after="120"/>
        <w:ind w:left="360"/>
        <w:rPr>
          <w:b/>
          <w:snapToGrid/>
          <w:szCs w:val="24"/>
        </w:rPr>
      </w:pPr>
      <w:r w:rsidRPr="003D5E6F">
        <w:rPr>
          <w:b/>
          <w:bCs/>
          <w:snapToGrid/>
          <w:szCs w:val="24"/>
        </w:rPr>
        <w:t xml:space="preserve">Assurance of Confidentiality Provided to Respondents </w:t>
      </w:r>
    </w:p>
    <w:p w:rsidR="006E7FFB" w:rsidRPr="003D5E6F" w:rsidP="006E7FFB" w14:paraId="70EA05A2" w14:textId="77777777">
      <w:pPr>
        <w:widowControl/>
        <w:tabs>
          <w:tab w:val="num" w:pos="360"/>
        </w:tabs>
        <w:ind w:left="360"/>
        <w:rPr>
          <w:snapToGrid/>
          <w:szCs w:val="24"/>
        </w:rPr>
      </w:pPr>
      <w:r w:rsidRPr="003D5E6F">
        <w:rPr>
          <w:szCs w:val="24"/>
        </w:rPr>
        <w:t>Information collected will be kept private to the extent permitted by law. Respondents will be informed of all planned uses of data, that their participation is voluntary, and that their information will be kept private to the extent permitted by law. OCS complies with all Federal and Departmental regulations for private information. Any data stored electronically will be secured in accordance with the most current National Institute of Standards and Technology (NIST) requirements and other applicable Federal and Departmental regulations.</w:t>
      </w:r>
    </w:p>
    <w:p w:rsidR="00D60543" w:rsidP="00DE529D" w14:paraId="1C82E036" w14:textId="77777777">
      <w:pPr>
        <w:widowControl/>
        <w:tabs>
          <w:tab w:val="num" w:pos="360"/>
        </w:tabs>
        <w:ind w:left="360"/>
        <w:rPr>
          <w:snapToGrid/>
          <w:szCs w:val="24"/>
        </w:rPr>
      </w:pPr>
    </w:p>
    <w:p w:rsidR="003D5E6F" w:rsidP="00DE529D" w14:paraId="0ABD9359" w14:textId="77777777">
      <w:pPr>
        <w:widowControl/>
        <w:tabs>
          <w:tab w:val="num" w:pos="360"/>
        </w:tabs>
        <w:ind w:left="360"/>
        <w:rPr>
          <w:snapToGrid/>
          <w:szCs w:val="24"/>
        </w:rPr>
      </w:pPr>
    </w:p>
    <w:p w:rsidR="003D5E6F" w:rsidRPr="003D5E6F" w:rsidP="00DE529D" w14:paraId="6425520C" w14:textId="77777777">
      <w:pPr>
        <w:widowControl/>
        <w:tabs>
          <w:tab w:val="num" w:pos="360"/>
        </w:tabs>
        <w:ind w:left="360"/>
        <w:rPr>
          <w:snapToGrid/>
          <w:szCs w:val="24"/>
        </w:rPr>
      </w:pPr>
    </w:p>
    <w:p w:rsidR="002C3C4F" w:rsidRPr="003D5E6F" w:rsidP="003D5E6F" w14:paraId="63E02878" w14:textId="77777777">
      <w:pPr>
        <w:widowControl/>
        <w:numPr>
          <w:ilvl w:val="0"/>
          <w:numId w:val="4"/>
        </w:numPr>
        <w:tabs>
          <w:tab w:val="num" w:pos="360"/>
        </w:tabs>
        <w:spacing w:after="120"/>
        <w:ind w:left="360"/>
        <w:rPr>
          <w:b/>
          <w:snapToGrid/>
          <w:szCs w:val="24"/>
        </w:rPr>
      </w:pPr>
      <w:r w:rsidRPr="003D5E6F">
        <w:rPr>
          <w:b/>
          <w:bCs/>
          <w:snapToGrid/>
          <w:szCs w:val="24"/>
        </w:rPr>
        <w:t xml:space="preserve">Justification for Sensitive Questions </w:t>
      </w:r>
    </w:p>
    <w:p w:rsidR="006E7FFB" w:rsidRPr="003D5E6F" w:rsidP="006E7FFB" w14:paraId="1BF27171" w14:textId="0384E304">
      <w:pPr>
        <w:widowControl/>
        <w:tabs>
          <w:tab w:val="num" w:pos="360"/>
        </w:tabs>
        <w:ind w:left="360"/>
        <w:rPr>
          <w:snapToGrid/>
          <w:szCs w:val="24"/>
        </w:rPr>
      </w:pPr>
      <w:r w:rsidRPr="003D5E6F">
        <w:rPr>
          <w:szCs w:val="24"/>
        </w:rPr>
        <w:t xml:space="preserve">The Arizona Self-Sufficiency Matrix has some questions that may be considered sensitive, particularly around mental health and substance use. OCS would like to keep those questions within the matrix, as it is a validated tool, and we do not want to alter it such that it loses some of the established validity. Also, OCS does not plan to collect any personally identifiable information, so any sensitive information collected will either come to OCS in aggregate or de-identified using a unique identifier. The majority of grant recipients are also using this tool, and OCS has included in the Matrix instructions that individuals can choose to skip any question in the Matrix that they do not wish to answer. </w:t>
      </w:r>
    </w:p>
    <w:p w:rsidR="00DE529D" w:rsidRPr="003D5E6F" w:rsidP="0051278C" w14:paraId="710C7355" w14:textId="77777777">
      <w:pPr>
        <w:widowControl/>
        <w:tabs>
          <w:tab w:val="num" w:pos="360"/>
        </w:tabs>
        <w:ind w:left="720" w:hanging="360"/>
        <w:rPr>
          <w:snapToGrid/>
          <w:szCs w:val="24"/>
        </w:rPr>
      </w:pPr>
    </w:p>
    <w:p w:rsidR="002C3C4F" w:rsidRPr="003D5E6F" w:rsidP="00DE529D" w14:paraId="05B17E8A" w14:textId="77777777">
      <w:pPr>
        <w:widowControl/>
        <w:numPr>
          <w:ilvl w:val="0"/>
          <w:numId w:val="4"/>
        </w:numPr>
        <w:tabs>
          <w:tab w:val="num" w:pos="360"/>
        </w:tabs>
        <w:spacing w:after="120"/>
        <w:ind w:left="360"/>
        <w:rPr>
          <w:b/>
          <w:snapToGrid/>
          <w:szCs w:val="24"/>
        </w:rPr>
      </w:pPr>
      <w:r w:rsidRPr="003D5E6F">
        <w:rPr>
          <w:b/>
          <w:bCs/>
          <w:snapToGrid/>
          <w:szCs w:val="24"/>
        </w:rPr>
        <w:t xml:space="preserve">Estimates of Annualized Burden Hours and Costs </w:t>
      </w:r>
    </w:p>
    <w:p w:rsidR="006E7FFB" w:rsidRPr="003D5E6F" w:rsidP="006E7FFB" w14:paraId="5119EBC0" w14:textId="77777777">
      <w:pPr>
        <w:widowControl/>
        <w:spacing w:after="60"/>
        <w:ind w:left="360"/>
        <w:rPr>
          <w:szCs w:val="24"/>
        </w:rPr>
      </w:pPr>
      <w:r w:rsidRPr="003D5E6F">
        <w:rPr>
          <w:szCs w:val="24"/>
        </w:rPr>
        <w:t xml:space="preserve">Burden has been estimated for each information collection using the following assumptions: </w:t>
      </w:r>
    </w:p>
    <w:p w:rsidR="006E7FFB" w:rsidRPr="003D5E6F" w:rsidP="3074AD5D" w14:paraId="6A75FD3D" w14:textId="076DD094">
      <w:pPr>
        <w:pStyle w:val="ListParagraph"/>
        <w:widowControl/>
        <w:numPr>
          <w:ilvl w:val="0"/>
          <w:numId w:val="23"/>
        </w:numPr>
        <w:spacing w:after="60" w:line="259" w:lineRule="auto"/>
        <w:rPr>
          <w:color w:val="000000" w:themeColor="text1"/>
          <w:szCs w:val="24"/>
        </w:rPr>
      </w:pPr>
      <w:r w:rsidRPr="003D5E6F">
        <w:rPr>
          <w:b/>
          <w:bCs/>
          <w:szCs w:val="24"/>
        </w:rPr>
        <w:t xml:space="preserve">Self-Sufficiency Matrix: </w:t>
      </w:r>
      <w:r w:rsidRPr="003D5E6F">
        <w:rPr>
          <w:szCs w:val="24"/>
        </w:rPr>
        <w:t>D</w:t>
      </w:r>
      <w:r w:rsidRPr="003D5E6F">
        <w:rPr>
          <w:color w:val="000000" w:themeColor="text1"/>
          <w:szCs w:val="24"/>
        </w:rPr>
        <w:t xml:space="preserve">irect beneficiaries living in the residential housing communities and receiving intensive case management will respond to the Matrix. Based on </w:t>
      </w:r>
      <w:r w:rsidRPr="003D5E6F" w:rsidR="033A6E2A">
        <w:rPr>
          <w:color w:val="000000" w:themeColor="text1"/>
          <w:szCs w:val="24"/>
        </w:rPr>
        <w:t>current enrollment levels, anticipated recruitment by current grant recipients, and the number of new awards</w:t>
      </w:r>
      <w:r w:rsidRPr="003D5E6F">
        <w:rPr>
          <w:color w:val="000000" w:themeColor="text1"/>
          <w:szCs w:val="24"/>
        </w:rPr>
        <w:t xml:space="preserve">, OCS anticipates that approximately </w:t>
      </w:r>
      <w:r w:rsidRPr="003D5E6F" w:rsidR="64C34BA3">
        <w:rPr>
          <w:szCs w:val="24"/>
        </w:rPr>
        <w:t>8</w:t>
      </w:r>
      <w:r w:rsidRPr="003D5E6F">
        <w:rPr>
          <w:color w:val="000000" w:themeColor="text1"/>
          <w:szCs w:val="24"/>
        </w:rPr>
        <w:t>00 individuals will receive intensive case management</w:t>
      </w:r>
      <w:r w:rsidRPr="003D5E6F" w:rsidR="7AE2F4DA">
        <w:rPr>
          <w:color w:val="000000" w:themeColor="text1"/>
          <w:szCs w:val="24"/>
        </w:rPr>
        <w:t xml:space="preserve"> within both Cohorts 1 &amp; 2</w:t>
      </w:r>
      <w:r w:rsidRPr="003D5E6F">
        <w:rPr>
          <w:color w:val="000000" w:themeColor="text1"/>
          <w:szCs w:val="24"/>
        </w:rPr>
        <w:t>. OCS anticipates an overall response rate of 8</w:t>
      </w:r>
      <w:r w:rsidRPr="003D5E6F" w:rsidR="7434DFA1">
        <w:rPr>
          <w:szCs w:val="24"/>
        </w:rPr>
        <w:t>5</w:t>
      </w:r>
      <w:r w:rsidRPr="003D5E6F">
        <w:rPr>
          <w:color w:val="000000" w:themeColor="text1"/>
          <w:szCs w:val="24"/>
        </w:rPr>
        <w:t xml:space="preserve">% (see Supporting Statement B) and has used this response rate to calculate burden estimates. Respondents will complete the matrix </w:t>
      </w:r>
      <w:r w:rsidRPr="003D5E6F" w:rsidR="57519F6B">
        <w:rPr>
          <w:color w:val="000000" w:themeColor="text1"/>
          <w:szCs w:val="24"/>
        </w:rPr>
        <w:t xml:space="preserve">every six months </w:t>
      </w:r>
      <w:r w:rsidRPr="003D5E6F">
        <w:rPr>
          <w:color w:val="000000" w:themeColor="text1"/>
          <w:szCs w:val="24"/>
        </w:rPr>
        <w:t xml:space="preserve">within the </w:t>
      </w:r>
      <w:r w:rsidRPr="003D5E6F" w:rsidR="57519F6B">
        <w:rPr>
          <w:color w:val="000000" w:themeColor="text1"/>
          <w:szCs w:val="24"/>
        </w:rPr>
        <w:t>18</w:t>
      </w:r>
      <w:r w:rsidRPr="003D5E6F">
        <w:rPr>
          <w:color w:val="000000" w:themeColor="text1"/>
          <w:szCs w:val="24"/>
        </w:rPr>
        <w:t>-month timeframe of the study</w:t>
      </w:r>
      <w:r w:rsidRPr="003D5E6F" w:rsidR="57519F6B">
        <w:rPr>
          <w:color w:val="000000" w:themeColor="text1"/>
          <w:szCs w:val="24"/>
        </w:rPr>
        <w:t>, up to three times over the course of a project period</w:t>
      </w:r>
      <w:r w:rsidRPr="003D5E6F">
        <w:rPr>
          <w:color w:val="000000" w:themeColor="text1"/>
          <w:szCs w:val="24"/>
        </w:rPr>
        <w:t xml:space="preserve">. Each response is estimated to take about 1.5 hours. </w:t>
      </w:r>
    </w:p>
    <w:p w:rsidR="006E7FFB" w:rsidRPr="003D5E6F" w:rsidP="3074AD5D" w14:paraId="4B80FADB" w14:textId="5BE95EFC">
      <w:pPr>
        <w:pStyle w:val="ListParagraph"/>
        <w:widowControl/>
        <w:numPr>
          <w:ilvl w:val="0"/>
          <w:numId w:val="23"/>
        </w:numPr>
        <w:spacing w:after="60"/>
        <w:rPr>
          <w:color w:val="000000" w:themeColor="text1"/>
          <w:szCs w:val="24"/>
        </w:rPr>
      </w:pPr>
      <w:r w:rsidRPr="003D5E6F">
        <w:rPr>
          <w:b/>
          <w:bCs/>
          <w:color w:val="000000" w:themeColor="text1"/>
          <w:szCs w:val="24"/>
        </w:rPr>
        <w:t xml:space="preserve">Service Receipt Questionnaire: </w:t>
      </w:r>
      <w:r w:rsidRPr="003D5E6F">
        <w:rPr>
          <w:color w:val="000000" w:themeColor="text1"/>
          <w:szCs w:val="24"/>
        </w:rPr>
        <w:t xml:space="preserve">The Questionnaire will be administered alongside the Matrix, to the same group of residents who are completing the Matrix. The Questionnaire will be completed </w:t>
      </w:r>
      <w:r w:rsidRPr="003D5E6F" w:rsidR="00556119">
        <w:rPr>
          <w:color w:val="000000" w:themeColor="text1"/>
          <w:szCs w:val="24"/>
        </w:rPr>
        <w:t xml:space="preserve">on the same cadence as the matrix </w:t>
      </w:r>
      <w:r w:rsidRPr="003D5E6F">
        <w:rPr>
          <w:color w:val="000000" w:themeColor="text1"/>
          <w:szCs w:val="24"/>
        </w:rPr>
        <w:t xml:space="preserve">and will take approximately 15 minutes. OCS anticipates that approximately </w:t>
      </w:r>
      <w:r w:rsidRPr="003D5E6F" w:rsidR="002C632E">
        <w:rPr>
          <w:color w:val="000000" w:themeColor="text1"/>
          <w:szCs w:val="24"/>
        </w:rPr>
        <w:t xml:space="preserve">800 </w:t>
      </w:r>
      <w:r w:rsidRPr="003D5E6F">
        <w:rPr>
          <w:color w:val="000000" w:themeColor="text1"/>
          <w:szCs w:val="24"/>
        </w:rPr>
        <w:t xml:space="preserve">individuals will receive intensive case management and be eligible to complete the Questionnaire. OCS anticipates an overall response rate of </w:t>
      </w:r>
      <w:r w:rsidRPr="003D5E6F" w:rsidR="002C632E">
        <w:rPr>
          <w:color w:val="000000" w:themeColor="text1"/>
          <w:szCs w:val="24"/>
        </w:rPr>
        <w:t>85</w:t>
      </w:r>
      <w:r w:rsidRPr="003D5E6F">
        <w:rPr>
          <w:color w:val="000000" w:themeColor="text1"/>
          <w:szCs w:val="24"/>
        </w:rPr>
        <w:t>% (see Supporting Statement B) and has used this response rate to calculate burden estimates.</w:t>
      </w:r>
    </w:p>
    <w:p w:rsidR="006E7FFB" w:rsidRPr="003D5E6F" w:rsidP="006E7FFB" w14:paraId="2E247A67" w14:textId="0FBFA2EB">
      <w:pPr>
        <w:pStyle w:val="ListParagraph"/>
        <w:widowControl/>
        <w:numPr>
          <w:ilvl w:val="0"/>
          <w:numId w:val="23"/>
        </w:numPr>
        <w:spacing w:after="60"/>
        <w:rPr>
          <w:color w:val="000000" w:themeColor="text1"/>
          <w:szCs w:val="24"/>
        </w:rPr>
      </w:pPr>
      <w:r w:rsidRPr="003D5E6F">
        <w:rPr>
          <w:b/>
          <w:bCs/>
          <w:color w:val="000000" w:themeColor="text1"/>
          <w:szCs w:val="24"/>
        </w:rPr>
        <w:t xml:space="preserve">Resident Focus Groups: </w:t>
      </w:r>
      <w:r w:rsidRPr="003D5E6F">
        <w:rPr>
          <w:color w:val="000000" w:themeColor="text1"/>
          <w:szCs w:val="24"/>
        </w:rPr>
        <w:t xml:space="preserve">OCS plans to conduct </w:t>
      </w:r>
      <w:r w:rsidRPr="003D5E6F" w:rsidR="00DE1DA7">
        <w:rPr>
          <w:color w:val="000000" w:themeColor="text1"/>
          <w:szCs w:val="24"/>
        </w:rPr>
        <w:t xml:space="preserve">one to two </w:t>
      </w:r>
      <w:r w:rsidRPr="003D5E6F">
        <w:rPr>
          <w:color w:val="000000" w:themeColor="text1"/>
          <w:szCs w:val="24"/>
        </w:rPr>
        <w:t xml:space="preserve">focus groups at </w:t>
      </w:r>
      <w:r w:rsidRPr="003D5E6F" w:rsidR="00BE37D4">
        <w:rPr>
          <w:color w:val="000000" w:themeColor="text1"/>
          <w:szCs w:val="24"/>
        </w:rPr>
        <w:t>9</w:t>
      </w:r>
      <w:r w:rsidRPr="003D5E6F">
        <w:rPr>
          <w:color w:val="000000" w:themeColor="text1"/>
          <w:szCs w:val="24"/>
        </w:rPr>
        <w:t xml:space="preserve"> affordable housing sites</w:t>
      </w:r>
      <w:r w:rsidRPr="003D5E6F" w:rsidR="004C59CA">
        <w:rPr>
          <w:color w:val="000000" w:themeColor="text1"/>
          <w:szCs w:val="24"/>
        </w:rPr>
        <w:t xml:space="preserve">, for </w:t>
      </w:r>
      <w:r w:rsidRPr="003D5E6F" w:rsidR="00944FDA">
        <w:rPr>
          <w:color w:val="000000" w:themeColor="text1"/>
          <w:szCs w:val="24"/>
        </w:rPr>
        <w:t>15 focus groups total</w:t>
      </w:r>
      <w:r w:rsidRPr="003D5E6F">
        <w:rPr>
          <w:color w:val="000000" w:themeColor="text1"/>
          <w:szCs w:val="24"/>
        </w:rPr>
        <w:t>. Each focus group will include between 5-7 individuals</w:t>
      </w:r>
      <w:r w:rsidRPr="003D5E6F" w:rsidR="00390FC9">
        <w:rPr>
          <w:color w:val="000000" w:themeColor="text1"/>
          <w:szCs w:val="24"/>
        </w:rPr>
        <w:t xml:space="preserve">, resulting in approximately </w:t>
      </w:r>
      <w:r w:rsidRPr="003D5E6F" w:rsidR="00944FDA">
        <w:rPr>
          <w:color w:val="000000" w:themeColor="text1"/>
          <w:szCs w:val="24"/>
        </w:rPr>
        <w:t>10</w:t>
      </w:r>
      <w:r w:rsidRPr="003D5E6F" w:rsidR="0095534B">
        <w:rPr>
          <w:color w:val="000000" w:themeColor="text1"/>
          <w:szCs w:val="24"/>
        </w:rPr>
        <w:t>5</w:t>
      </w:r>
      <w:r w:rsidRPr="003D5E6F" w:rsidR="00390FC9">
        <w:rPr>
          <w:color w:val="000000" w:themeColor="text1"/>
          <w:szCs w:val="24"/>
        </w:rPr>
        <w:t xml:space="preserve"> individuals</w:t>
      </w:r>
      <w:r w:rsidRPr="003D5E6F">
        <w:rPr>
          <w:color w:val="000000" w:themeColor="text1"/>
          <w:szCs w:val="24"/>
        </w:rPr>
        <w:t>. The focus groups will take approximately 1.5 hours.</w:t>
      </w:r>
    </w:p>
    <w:p w:rsidR="006E7FFB" w:rsidRPr="003D5E6F" w:rsidP="006E7FFB" w14:paraId="487888E6" w14:textId="45D9D794">
      <w:pPr>
        <w:pStyle w:val="ListParagraph"/>
        <w:widowControl/>
        <w:numPr>
          <w:ilvl w:val="0"/>
          <w:numId w:val="23"/>
        </w:numPr>
        <w:spacing w:after="60"/>
        <w:rPr>
          <w:color w:val="000000" w:themeColor="text1"/>
          <w:szCs w:val="24"/>
        </w:rPr>
      </w:pPr>
      <w:r w:rsidRPr="003D5E6F">
        <w:rPr>
          <w:b/>
          <w:bCs/>
          <w:color w:val="000000" w:themeColor="text1"/>
          <w:szCs w:val="24"/>
        </w:rPr>
        <w:t>Quarterly PPR Collections:</w:t>
      </w:r>
      <w:r w:rsidRPr="003D5E6F">
        <w:rPr>
          <w:color w:val="000000" w:themeColor="text1"/>
          <w:szCs w:val="24"/>
        </w:rPr>
        <w:t xml:space="preserve"> The grant recipients will fill out a narrative PPR each quarter, for a total of </w:t>
      </w:r>
      <w:r w:rsidRPr="003D5E6F" w:rsidR="007C5A35">
        <w:rPr>
          <w:color w:val="000000" w:themeColor="text1"/>
          <w:szCs w:val="24"/>
        </w:rPr>
        <w:t xml:space="preserve">6 </w:t>
      </w:r>
      <w:r w:rsidRPr="003D5E6F">
        <w:rPr>
          <w:color w:val="000000" w:themeColor="text1"/>
          <w:szCs w:val="24"/>
        </w:rPr>
        <w:t xml:space="preserve">quarters. </w:t>
      </w:r>
      <w:r w:rsidRPr="003D5E6F" w:rsidR="50EB85A9">
        <w:rPr>
          <w:color w:val="000000" w:themeColor="text1"/>
          <w:szCs w:val="24"/>
        </w:rPr>
        <w:t>The form is estimated to take 2 hours to complete.</w:t>
      </w:r>
    </w:p>
    <w:p w:rsidR="00251348" w:rsidRPr="003D5E6F" w:rsidP="00251348" w14:paraId="7107C103" w14:textId="176FFA3F">
      <w:pPr>
        <w:pStyle w:val="ListParagraph"/>
        <w:widowControl/>
        <w:numPr>
          <w:ilvl w:val="0"/>
          <w:numId w:val="23"/>
        </w:numPr>
        <w:spacing w:after="60"/>
        <w:rPr>
          <w:color w:val="000000" w:themeColor="text1"/>
          <w:szCs w:val="24"/>
        </w:rPr>
      </w:pPr>
      <w:r w:rsidRPr="003D5E6F">
        <w:rPr>
          <w:b/>
          <w:bCs/>
          <w:color w:val="000000" w:themeColor="text1"/>
          <w:szCs w:val="24"/>
        </w:rPr>
        <w:t xml:space="preserve">Semi-Annual </w:t>
      </w:r>
      <w:r w:rsidRPr="003D5E6F" w:rsidR="001F50C0">
        <w:rPr>
          <w:b/>
          <w:bCs/>
          <w:color w:val="000000" w:themeColor="text1"/>
          <w:szCs w:val="24"/>
        </w:rPr>
        <w:t xml:space="preserve">Quantitative </w:t>
      </w:r>
      <w:r w:rsidRPr="003D5E6F">
        <w:rPr>
          <w:b/>
          <w:bCs/>
          <w:color w:val="000000" w:themeColor="text1"/>
          <w:szCs w:val="24"/>
        </w:rPr>
        <w:t xml:space="preserve">Report Mandatory Forms: </w:t>
      </w:r>
      <w:r w:rsidRPr="003D5E6F">
        <w:rPr>
          <w:color w:val="000000" w:themeColor="text1"/>
          <w:szCs w:val="24"/>
        </w:rPr>
        <w:t xml:space="preserve">Projects using FY 2023 funds will have the option to use </w:t>
      </w:r>
      <w:r w:rsidRPr="003D5E6F" w:rsidR="00EE700A">
        <w:rPr>
          <w:color w:val="000000" w:themeColor="text1"/>
          <w:szCs w:val="24"/>
        </w:rPr>
        <w:t xml:space="preserve">either the original or </w:t>
      </w:r>
      <w:r w:rsidRPr="003D5E6F" w:rsidR="006D6401">
        <w:rPr>
          <w:color w:val="000000" w:themeColor="text1"/>
          <w:szCs w:val="24"/>
        </w:rPr>
        <w:t xml:space="preserve">form or the revised form. </w:t>
      </w:r>
      <w:r w:rsidRPr="003D5E6F" w:rsidR="00D442F5">
        <w:rPr>
          <w:color w:val="000000" w:themeColor="text1"/>
          <w:szCs w:val="24"/>
        </w:rPr>
        <w:t xml:space="preserve">Projects using FY 2024 funds </w:t>
      </w:r>
      <w:r w:rsidRPr="003D5E6F" w:rsidR="00CF2FF5">
        <w:rPr>
          <w:color w:val="000000" w:themeColor="text1"/>
          <w:szCs w:val="24"/>
        </w:rPr>
        <w:t>will be required to use the revised form.</w:t>
      </w:r>
      <w:r w:rsidRPr="003D5E6F">
        <w:rPr>
          <w:color w:val="000000" w:themeColor="text1"/>
          <w:szCs w:val="24"/>
        </w:rPr>
        <w:t xml:space="preserve"> The forms take around three hours</w:t>
      </w:r>
      <w:r w:rsidRPr="003D5E6F" w:rsidR="008C30FA">
        <w:rPr>
          <w:color w:val="000000" w:themeColor="text1"/>
          <w:szCs w:val="24"/>
        </w:rPr>
        <w:t xml:space="preserve"> </w:t>
      </w:r>
      <w:r w:rsidRPr="003D5E6F" w:rsidR="00C12633">
        <w:rPr>
          <w:color w:val="000000" w:themeColor="text1"/>
          <w:szCs w:val="24"/>
        </w:rPr>
        <w:t>for each recipient to compile the metrics into a single report.</w:t>
      </w:r>
      <w:r w:rsidRPr="003D5E6F" w:rsidR="00E15A54">
        <w:rPr>
          <w:color w:val="000000" w:themeColor="text1"/>
          <w:szCs w:val="24"/>
        </w:rPr>
        <w:t xml:space="preserve"> </w:t>
      </w:r>
    </w:p>
    <w:p w:rsidR="00AB4D3E" w:rsidRPr="003D5E6F" w:rsidP="00251348" w14:paraId="7E907874" w14:textId="0CE1E496">
      <w:pPr>
        <w:pStyle w:val="ListParagraph"/>
        <w:widowControl/>
        <w:numPr>
          <w:ilvl w:val="1"/>
          <w:numId w:val="23"/>
        </w:numPr>
        <w:spacing w:after="60"/>
        <w:rPr>
          <w:color w:val="000000" w:themeColor="text1"/>
          <w:szCs w:val="24"/>
        </w:rPr>
      </w:pPr>
      <w:r w:rsidRPr="003D5E6F">
        <w:rPr>
          <w:b/>
          <w:bCs/>
          <w:color w:val="000000" w:themeColor="text1"/>
          <w:szCs w:val="24"/>
        </w:rPr>
        <w:t>2023 Version</w:t>
      </w:r>
      <w:r w:rsidRPr="003D5E6F" w:rsidR="006E7FFB">
        <w:rPr>
          <w:b/>
          <w:bCs/>
          <w:color w:val="000000" w:themeColor="text1"/>
          <w:szCs w:val="24"/>
        </w:rPr>
        <w:t>:</w:t>
      </w:r>
      <w:r w:rsidRPr="003D5E6F" w:rsidR="006E7FFB">
        <w:rPr>
          <w:color w:val="000000" w:themeColor="text1"/>
          <w:szCs w:val="24"/>
        </w:rPr>
        <w:t xml:space="preserve"> </w:t>
      </w:r>
      <w:r w:rsidRPr="003D5E6F" w:rsidR="00E15A54">
        <w:rPr>
          <w:color w:val="000000" w:themeColor="text1"/>
          <w:szCs w:val="24"/>
        </w:rPr>
        <w:t xml:space="preserve">The </w:t>
      </w:r>
      <w:r w:rsidRPr="003D5E6F">
        <w:rPr>
          <w:color w:val="000000" w:themeColor="text1"/>
          <w:szCs w:val="24"/>
        </w:rPr>
        <w:t>2023 version is the original form. This</w:t>
      </w:r>
      <w:r w:rsidRPr="003D5E6F" w:rsidR="00E15A54">
        <w:rPr>
          <w:color w:val="000000" w:themeColor="text1"/>
          <w:szCs w:val="24"/>
        </w:rPr>
        <w:t xml:space="preserve"> form is completed every six months to provide information on activities in the current reporting period</w:t>
      </w:r>
      <w:r w:rsidRPr="003D5E6F" w:rsidR="001E458B">
        <w:rPr>
          <w:color w:val="000000" w:themeColor="text1"/>
          <w:szCs w:val="24"/>
        </w:rPr>
        <w:t xml:space="preserve">, for a total of 3 times over the 18-month project period. A final report </w:t>
      </w:r>
      <w:r w:rsidRPr="003D5E6F" w:rsidR="00FB3387">
        <w:rPr>
          <w:color w:val="000000" w:themeColor="text1"/>
          <w:szCs w:val="24"/>
        </w:rPr>
        <w:t>with cumulative unduplicated counts is provided to cover the full project period</w:t>
      </w:r>
      <w:r w:rsidRPr="003D5E6F" w:rsidR="00E83EF8">
        <w:rPr>
          <w:color w:val="000000" w:themeColor="text1"/>
          <w:szCs w:val="24"/>
        </w:rPr>
        <w:t>, bringing the total number of responses to 4</w:t>
      </w:r>
      <w:r w:rsidRPr="003D5E6F" w:rsidR="00A517D1">
        <w:rPr>
          <w:color w:val="000000" w:themeColor="text1"/>
          <w:szCs w:val="24"/>
        </w:rPr>
        <w:t>. We antic</w:t>
      </w:r>
      <w:r w:rsidRPr="003D5E6F" w:rsidR="000F2698">
        <w:rPr>
          <w:color w:val="000000" w:themeColor="text1"/>
          <w:szCs w:val="24"/>
        </w:rPr>
        <w:t xml:space="preserve">ipate </w:t>
      </w:r>
      <w:r w:rsidRPr="003D5E6F" w:rsidR="001A45D0">
        <w:rPr>
          <w:color w:val="000000" w:themeColor="text1"/>
          <w:szCs w:val="24"/>
        </w:rPr>
        <w:t xml:space="preserve">that </w:t>
      </w:r>
      <w:r w:rsidRPr="003D5E6F" w:rsidR="002A3130">
        <w:rPr>
          <w:color w:val="000000" w:themeColor="text1"/>
          <w:szCs w:val="24"/>
        </w:rPr>
        <w:t>4</w:t>
      </w:r>
      <w:r w:rsidRPr="003D5E6F" w:rsidR="001A45D0">
        <w:rPr>
          <w:color w:val="000000" w:themeColor="text1"/>
          <w:szCs w:val="24"/>
        </w:rPr>
        <w:t xml:space="preserve"> grant recipients may choose to continue using the original form.</w:t>
      </w:r>
      <w:r w:rsidRPr="003D5E6F" w:rsidR="00764916">
        <w:rPr>
          <w:color w:val="000000" w:themeColor="text1"/>
          <w:szCs w:val="24"/>
        </w:rPr>
        <w:t xml:space="preserve"> The original form is estimated to take two hours to complete. </w:t>
      </w:r>
    </w:p>
    <w:p w:rsidR="006E7FFB" w:rsidRPr="003D5E6F" w:rsidP="00D96C50" w14:paraId="5328C455" w14:textId="0C9BF834">
      <w:pPr>
        <w:pStyle w:val="ListParagraph"/>
        <w:widowControl/>
        <w:numPr>
          <w:ilvl w:val="1"/>
          <w:numId w:val="23"/>
        </w:numPr>
        <w:spacing w:after="60"/>
        <w:rPr>
          <w:color w:val="000000" w:themeColor="text1"/>
          <w:szCs w:val="24"/>
        </w:rPr>
      </w:pPr>
      <w:r w:rsidRPr="003D5E6F">
        <w:rPr>
          <w:b/>
          <w:bCs/>
          <w:color w:val="000000" w:themeColor="text1"/>
          <w:szCs w:val="24"/>
        </w:rPr>
        <w:t>2024 Version</w:t>
      </w:r>
      <w:r w:rsidRPr="003D5E6F" w:rsidR="4A05A75C">
        <w:rPr>
          <w:b/>
          <w:bCs/>
          <w:color w:val="000000" w:themeColor="text1"/>
          <w:szCs w:val="24"/>
        </w:rPr>
        <w:t xml:space="preserve">: </w:t>
      </w:r>
      <w:r w:rsidRPr="003D5E6F" w:rsidR="6A4321D3">
        <w:rPr>
          <w:color w:val="000000" w:themeColor="text1"/>
          <w:szCs w:val="24"/>
        </w:rPr>
        <w:t>The</w:t>
      </w:r>
      <w:r w:rsidRPr="003D5E6F">
        <w:rPr>
          <w:color w:val="000000" w:themeColor="text1"/>
          <w:szCs w:val="24"/>
        </w:rPr>
        <w:t xml:space="preserve"> 2024 Version revises the 2023 version. This </w:t>
      </w:r>
      <w:r w:rsidRPr="003D5E6F" w:rsidR="6A4321D3">
        <w:rPr>
          <w:color w:val="000000" w:themeColor="text1"/>
          <w:szCs w:val="24"/>
        </w:rPr>
        <w:t xml:space="preserve">form is </w:t>
      </w:r>
      <w:r w:rsidRPr="003D5E6F">
        <w:rPr>
          <w:color w:val="000000" w:themeColor="text1"/>
          <w:szCs w:val="24"/>
        </w:rPr>
        <w:t xml:space="preserve">to be </w:t>
      </w:r>
      <w:r w:rsidRPr="003D5E6F" w:rsidR="6A4321D3">
        <w:rPr>
          <w:color w:val="000000" w:themeColor="text1"/>
          <w:szCs w:val="24"/>
        </w:rPr>
        <w:t xml:space="preserve">completed every six months </w:t>
      </w:r>
      <w:r w:rsidRPr="003D5E6F" w:rsidR="0DDF8989">
        <w:rPr>
          <w:color w:val="000000" w:themeColor="text1"/>
          <w:szCs w:val="24"/>
        </w:rPr>
        <w:t xml:space="preserve">on cumulative activities </w:t>
      </w:r>
      <w:r w:rsidRPr="003D5E6F" w:rsidR="37B21480">
        <w:rPr>
          <w:color w:val="000000" w:themeColor="text1"/>
          <w:szCs w:val="24"/>
        </w:rPr>
        <w:t>over the project period, for a total of 3 times over the 18-month project period. Because grant recipients provide cumulative reports in each report, a fourth cumulative report is unnecessary</w:t>
      </w:r>
      <w:r w:rsidRPr="003D5E6F" w:rsidR="0559F7E9">
        <w:rPr>
          <w:color w:val="000000" w:themeColor="text1"/>
          <w:szCs w:val="24"/>
        </w:rPr>
        <w:t>.</w:t>
      </w:r>
      <w:r w:rsidRPr="003D5E6F" w:rsidR="6AF21175">
        <w:rPr>
          <w:color w:val="000000" w:themeColor="text1"/>
          <w:szCs w:val="24"/>
        </w:rPr>
        <w:t xml:space="preserve"> Based on conversations with grant recipients, we believe that many current grant recipients will transition to the new form as that was the focus of most of the comments during </w:t>
      </w:r>
      <w:r w:rsidRPr="003D5E6F" w:rsidR="40090B1C">
        <w:rPr>
          <w:color w:val="000000" w:themeColor="text1"/>
          <w:szCs w:val="24"/>
        </w:rPr>
        <w:t>the listening session</w:t>
      </w:r>
      <w:r w:rsidRPr="003D5E6F" w:rsidR="6D730152">
        <w:rPr>
          <w:color w:val="000000" w:themeColor="text1"/>
          <w:szCs w:val="24"/>
        </w:rPr>
        <w:t>, bringing the total number of respondents to 15</w:t>
      </w:r>
      <w:r w:rsidRPr="003D5E6F" w:rsidR="40090B1C">
        <w:rPr>
          <w:color w:val="000000" w:themeColor="text1"/>
          <w:szCs w:val="24"/>
        </w:rPr>
        <w:t xml:space="preserve">. </w:t>
      </w:r>
      <w:r w:rsidRPr="003D5E6F" w:rsidR="0C457534">
        <w:rPr>
          <w:color w:val="000000" w:themeColor="text1"/>
          <w:szCs w:val="24"/>
        </w:rPr>
        <w:t xml:space="preserve">The revised form is estimated to take three hours to complete given the larger number of metrics. </w:t>
      </w:r>
    </w:p>
    <w:p w:rsidR="006E7FFB" w:rsidRPr="003D5E6F" w:rsidP="3074AD5D" w14:paraId="5E00D67B" w14:textId="734027CF">
      <w:pPr>
        <w:pStyle w:val="ListParagraph"/>
        <w:widowControl/>
        <w:numPr>
          <w:ilvl w:val="0"/>
          <w:numId w:val="23"/>
        </w:numPr>
        <w:spacing w:after="60"/>
        <w:rPr>
          <w:color w:val="000000" w:themeColor="text1"/>
          <w:szCs w:val="24"/>
        </w:rPr>
      </w:pPr>
      <w:r w:rsidRPr="003D5E6F">
        <w:rPr>
          <w:b/>
          <w:bCs/>
          <w:color w:val="000000" w:themeColor="text1"/>
          <w:szCs w:val="24"/>
        </w:rPr>
        <w:t>Semi</w:t>
      </w:r>
      <w:r w:rsidRPr="003D5E6F" w:rsidR="00632E6F">
        <w:rPr>
          <w:b/>
          <w:bCs/>
          <w:color w:val="000000" w:themeColor="text1"/>
          <w:szCs w:val="24"/>
        </w:rPr>
        <w:t>-</w:t>
      </w:r>
      <w:r w:rsidRPr="003D5E6F">
        <w:rPr>
          <w:b/>
          <w:bCs/>
          <w:color w:val="000000" w:themeColor="text1"/>
          <w:szCs w:val="24"/>
        </w:rPr>
        <w:t xml:space="preserve">Annual </w:t>
      </w:r>
      <w:r w:rsidRPr="003D5E6F" w:rsidR="001F50C0">
        <w:rPr>
          <w:b/>
          <w:bCs/>
          <w:color w:val="000000" w:themeColor="text1"/>
          <w:szCs w:val="24"/>
        </w:rPr>
        <w:t xml:space="preserve">Quantitative </w:t>
      </w:r>
      <w:r w:rsidRPr="003D5E6F">
        <w:rPr>
          <w:b/>
          <w:bCs/>
          <w:color w:val="000000" w:themeColor="text1"/>
          <w:szCs w:val="24"/>
        </w:rPr>
        <w:t>Report Optional</w:t>
      </w:r>
      <w:r w:rsidRPr="003D5E6F" w:rsidR="009629AA">
        <w:rPr>
          <w:b/>
          <w:bCs/>
          <w:color w:val="000000" w:themeColor="text1"/>
          <w:szCs w:val="24"/>
        </w:rPr>
        <w:t xml:space="preserve"> Form</w:t>
      </w:r>
      <w:r w:rsidRPr="003D5E6F" w:rsidR="00B258EB">
        <w:rPr>
          <w:b/>
          <w:bCs/>
          <w:color w:val="000000" w:themeColor="text1"/>
          <w:szCs w:val="24"/>
        </w:rPr>
        <w:t>s</w:t>
      </w:r>
      <w:r w:rsidRPr="003D5E6F">
        <w:rPr>
          <w:b/>
          <w:bCs/>
          <w:color w:val="000000" w:themeColor="text1"/>
          <w:szCs w:val="24"/>
        </w:rPr>
        <w:t xml:space="preserve">: </w:t>
      </w:r>
      <w:r w:rsidRPr="003D5E6F">
        <w:rPr>
          <w:color w:val="000000" w:themeColor="text1"/>
          <w:szCs w:val="24"/>
        </w:rPr>
        <w:t>Grant recipients have the option to complete some or all of this Semi</w:t>
      </w:r>
      <w:r w:rsidRPr="003D5E6F" w:rsidR="00A20624">
        <w:rPr>
          <w:color w:val="000000" w:themeColor="text1"/>
          <w:szCs w:val="24"/>
        </w:rPr>
        <w:t>-</w:t>
      </w:r>
      <w:r w:rsidRPr="003D5E6F">
        <w:rPr>
          <w:color w:val="000000" w:themeColor="text1"/>
          <w:szCs w:val="24"/>
        </w:rPr>
        <w:t xml:space="preserve">Annual </w:t>
      </w:r>
      <w:r w:rsidRPr="003D5E6F" w:rsidR="001F50C0">
        <w:rPr>
          <w:color w:val="000000" w:themeColor="text1"/>
          <w:szCs w:val="24"/>
        </w:rPr>
        <w:t xml:space="preserve">Quantitative </w:t>
      </w:r>
      <w:r w:rsidRPr="003D5E6F">
        <w:rPr>
          <w:color w:val="000000" w:themeColor="text1"/>
          <w:szCs w:val="24"/>
        </w:rPr>
        <w:t xml:space="preserve">Report </w:t>
      </w:r>
      <w:r w:rsidRPr="003D5E6F" w:rsidR="008B290B">
        <w:rPr>
          <w:color w:val="000000" w:themeColor="text1"/>
          <w:szCs w:val="24"/>
        </w:rPr>
        <w:t>every six months</w:t>
      </w:r>
      <w:r w:rsidRPr="003D5E6F">
        <w:rPr>
          <w:color w:val="000000" w:themeColor="text1"/>
          <w:szCs w:val="24"/>
        </w:rPr>
        <w:t xml:space="preserve">. </w:t>
      </w:r>
      <w:r w:rsidRPr="003D5E6F" w:rsidR="00B545D1">
        <w:rPr>
          <w:color w:val="000000" w:themeColor="text1"/>
          <w:szCs w:val="24"/>
        </w:rPr>
        <w:t>Projects using FY 2023 funds will have the option to use either the original</w:t>
      </w:r>
      <w:r w:rsidRPr="003D5E6F" w:rsidR="001F50C0">
        <w:rPr>
          <w:color w:val="000000" w:themeColor="text1"/>
          <w:szCs w:val="24"/>
        </w:rPr>
        <w:t xml:space="preserve"> 2023 version</w:t>
      </w:r>
      <w:r w:rsidRPr="003D5E6F" w:rsidR="00070C27">
        <w:rPr>
          <w:color w:val="000000" w:themeColor="text1"/>
          <w:szCs w:val="24"/>
        </w:rPr>
        <w:t xml:space="preserve"> of the</w:t>
      </w:r>
      <w:r w:rsidRPr="003D5E6F" w:rsidR="00B545D1">
        <w:rPr>
          <w:color w:val="000000" w:themeColor="text1"/>
          <w:szCs w:val="24"/>
        </w:rPr>
        <w:t xml:space="preserve"> form or the revised </w:t>
      </w:r>
      <w:r w:rsidRPr="003D5E6F" w:rsidR="00070C27">
        <w:rPr>
          <w:color w:val="000000" w:themeColor="text1"/>
          <w:szCs w:val="24"/>
        </w:rPr>
        <w:t xml:space="preserve">2024 version of the </w:t>
      </w:r>
      <w:r w:rsidRPr="003D5E6F" w:rsidR="00B545D1">
        <w:rPr>
          <w:color w:val="000000" w:themeColor="text1"/>
          <w:szCs w:val="24"/>
        </w:rPr>
        <w:t xml:space="preserve">form. Projects using FY 2024 funds will be required to use the </w:t>
      </w:r>
      <w:r w:rsidRPr="003D5E6F" w:rsidR="00070C27">
        <w:rPr>
          <w:color w:val="000000" w:themeColor="text1"/>
          <w:szCs w:val="24"/>
        </w:rPr>
        <w:t>2024 version of the</w:t>
      </w:r>
      <w:r w:rsidRPr="003D5E6F" w:rsidR="00B545D1">
        <w:rPr>
          <w:color w:val="000000" w:themeColor="text1"/>
          <w:szCs w:val="24"/>
        </w:rPr>
        <w:t xml:space="preserve"> form. </w:t>
      </w:r>
      <w:r w:rsidRPr="003D5E6F">
        <w:rPr>
          <w:color w:val="000000" w:themeColor="text1"/>
          <w:szCs w:val="24"/>
        </w:rPr>
        <w:t xml:space="preserve">For the purposes of this burden calculation, OCS is estimating that grant recipients will spend </w:t>
      </w:r>
      <w:r w:rsidRPr="003D5E6F" w:rsidR="00F456B7">
        <w:rPr>
          <w:color w:val="000000" w:themeColor="text1"/>
          <w:szCs w:val="24"/>
        </w:rPr>
        <w:t>3</w:t>
      </w:r>
      <w:r w:rsidRPr="003D5E6F" w:rsidR="00CA1030">
        <w:rPr>
          <w:color w:val="000000" w:themeColor="text1"/>
          <w:szCs w:val="24"/>
        </w:rPr>
        <w:t xml:space="preserve"> </w:t>
      </w:r>
      <w:r w:rsidRPr="003D5E6F">
        <w:rPr>
          <w:color w:val="000000" w:themeColor="text1"/>
          <w:szCs w:val="24"/>
        </w:rPr>
        <w:t>hour</w:t>
      </w:r>
      <w:r w:rsidRPr="003D5E6F" w:rsidR="00F456B7">
        <w:rPr>
          <w:color w:val="000000" w:themeColor="text1"/>
          <w:szCs w:val="24"/>
        </w:rPr>
        <w:t>s</w:t>
      </w:r>
      <w:r w:rsidRPr="003D5E6F">
        <w:rPr>
          <w:color w:val="000000" w:themeColor="text1"/>
          <w:szCs w:val="24"/>
        </w:rPr>
        <w:t xml:space="preserve"> on the report per response. OCS anticipates that only a third of grant recipients will fill out this report (see Supporting Statement B) and has used this anticipated response rate for the burden estimate.</w:t>
      </w:r>
      <w:r w:rsidRPr="003D5E6F" w:rsidR="00CA1030">
        <w:rPr>
          <w:color w:val="000000" w:themeColor="text1"/>
          <w:szCs w:val="24"/>
        </w:rPr>
        <w:t xml:space="preserve"> </w:t>
      </w:r>
    </w:p>
    <w:p w:rsidR="00447055" w:rsidRPr="003D5E6F" w:rsidP="3074AD5D" w14:paraId="3D23E726" w14:textId="77068079">
      <w:pPr>
        <w:pStyle w:val="ListParagraph"/>
        <w:widowControl/>
        <w:numPr>
          <w:ilvl w:val="1"/>
          <w:numId w:val="23"/>
        </w:numPr>
        <w:spacing w:after="60"/>
        <w:rPr>
          <w:color w:val="000000" w:themeColor="text1"/>
          <w:szCs w:val="24"/>
        </w:rPr>
      </w:pPr>
      <w:r w:rsidRPr="003D5E6F">
        <w:rPr>
          <w:b/>
          <w:bCs/>
          <w:color w:val="000000" w:themeColor="text1"/>
          <w:szCs w:val="24"/>
        </w:rPr>
        <w:t>2023 Version</w:t>
      </w:r>
      <w:r w:rsidRPr="003D5E6F">
        <w:rPr>
          <w:b/>
          <w:bCs/>
          <w:color w:val="000000" w:themeColor="text1"/>
          <w:szCs w:val="24"/>
        </w:rPr>
        <w:t xml:space="preserve">: </w:t>
      </w:r>
      <w:r w:rsidRPr="003D5E6F">
        <w:rPr>
          <w:color w:val="000000" w:themeColor="text1"/>
          <w:szCs w:val="24"/>
        </w:rPr>
        <w:t xml:space="preserve">The </w:t>
      </w:r>
      <w:r w:rsidRPr="003D5E6F">
        <w:rPr>
          <w:color w:val="000000" w:themeColor="text1"/>
          <w:szCs w:val="24"/>
        </w:rPr>
        <w:t xml:space="preserve">2023 version is the original version of the form. This </w:t>
      </w:r>
      <w:r w:rsidRPr="003D5E6F">
        <w:rPr>
          <w:color w:val="000000" w:themeColor="text1"/>
          <w:szCs w:val="24"/>
        </w:rPr>
        <w:t xml:space="preserve">form can be completed every six months for the activities occurring during the </w:t>
      </w:r>
      <w:r w:rsidRPr="003D5E6F" w:rsidR="2BFC7EDD">
        <w:rPr>
          <w:color w:val="000000" w:themeColor="text1"/>
          <w:szCs w:val="24"/>
        </w:rPr>
        <w:t>six-month</w:t>
      </w:r>
      <w:r w:rsidRPr="003D5E6F">
        <w:rPr>
          <w:color w:val="000000" w:themeColor="text1"/>
          <w:szCs w:val="24"/>
        </w:rPr>
        <w:t xml:space="preserve"> reporting period, as well as </w:t>
      </w:r>
      <w:r w:rsidRPr="003D5E6F" w:rsidR="00294328">
        <w:rPr>
          <w:color w:val="000000" w:themeColor="text1"/>
          <w:szCs w:val="24"/>
        </w:rPr>
        <w:t xml:space="preserve">for the full project period in a final report, for a potential total of 4 reports. We anticipate that </w:t>
      </w:r>
      <w:r w:rsidRPr="003D5E6F" w:rsidR="00AE206A">
        <w:rPr>
          <w:color w:val="000000" w:themeColor="text1"/>
          <w:szCs w:val="24"/>
        </w:rPr>
        <w:t>1</w:t>
      </w:r>
      <w:r w:rsidRPr="003D5E6F" w:rsidR="00294328">
        <w:rPr>
          <w:color w:val="000000" w:themeColor="text1"/>
          <w:szCs w:val="24"/>
        </w:rPr>
        <w:t xml:space="preserve"> grant recipient may opt to use the original form.</w:t>
      </w:r>
    </w:p>
    <w:p w:rsidR="00294328" w:rsidRPr="003D5E6F" w:rsidP="00D96C50" w14:paraId="707AFA3B" w14:textId="280D437E">
      <w:pPr>
        <w:pStyle w:val="ListParagraph"/>
        <w:widowControl/>
        <w:numPr>
          <w:ilvl w:val="1"/>
          <w:numId w:val="23"/>
        </w:numPr>
        <w:spacing w:after="60"/>
        <w:rPr>
          <w:color w:val="000000" w:themeColor="text1"/>
          <w:szCs w:val="24"/>
        </w:rPr>
      </w:pPr>
      <w:r w:rsidRPr="003D5E6F">
        <w:rPr>
          <w:b/>
          <w:bCs/>
          <w:color w:val="000000" w:themeColor="text1"/>
          <w:szCs w:val="24"/>
        </w:rPr>
        <w:t>2024 Version</w:t>
      </w:r>
      <w:r w:rsidRPr="003D5E6F" w:rsidR="7174FA5F">
        <w:rPr>
          <w:b/>
          <w:bCs/>
          <w:color w:val="000000" w:themeColor="text1"/>
          <w:szCs w:val="24"/>
        </w:rPr>
        <w:t xml:space="preserve">: </w:t>
      </w:r>
      <w:r w:rsidRPr="003D5E6F" w:rsidR="7174FA5F">
        <w:rPr>
          <w:color w:val="000000" w:themeColor="text1"/>
          <w:szCs w:val="24"/>
        </w:rPr>
        <w:t>The</w:t>
      </w:r>
      <w:r w:rsidRPr="003D5E6F">
        <w:rPr>
          <w:color w:val="000000" w:themeColor="text1"/>
          <w:szCs w:val="24"/>
        </w:rPr>
        <w:t xml:space="preserve"> 2024 version is the</w:t>
      </w:r>
      <w:r w:rsidRPr="003D5E6F" w:rsidR="7174FA5F">
        <w:rPr>
          <w:color w:val="000000" w:themeColor="text1"/>
          <w:szCs w:val="24"/>
        </w:rPr>
        <w:t xml:space="preserve"> revised form</w:t>
      </w:r>
      <w:r w:rsidRPr="003D5E6F">
        <w:rPr>
          <w:color w:val="000000" w:themeColor="text1"/>
          <w:szCs w:val="24"/>
        </w:rPr>
        <w:t>. It</w:t>
      </w:r>
      <w:r w:rsidRPr="003D5E6F" w:rsidR="7174FA5F">
        <w:rPr>
          <w:color w:val="000000" w:themeColor="text1"/>
          <w:szCs w:val="24"/>
        </w:rPr>
        <w:t xml:space="preserve"> can be completed every six months to provide cumulative counts of </w:t>
      </w:r>
      <w:r w:rsidRPr="003D5E6F" w:rsidR="0020009A">
        <w:rPr>
          <w:color w:val="000000" w:themeColor="text1"/>
          <w:szCs w:val="24"/>
        </w:rPr>
        <w:t>activi</w:t>
      </w:r>
      <w:r w:rsidRPr="003D5E6F" w:rsidR="1E9B51E7">
        <w:rPr>
          <w:color w:val="000000" w:themeColor="text1"/>
          <w:szCs w:val="24"/>
        </w:rPr>
        <w:t>ti</w:t>
      </w:r>
      <w:r w:rsidRPr="003D5E6F" w:rsidR="0020009A">
        <w:rPr>
          <w:color w:val="000000" w:themeColor="text1"/>
          <w:szCs w:val="24"/>
        </w:rPr>
        <w:t xml:space="preserve">es for a total of 3 reports. We anticipate that </w:t>
      </w:r>
      <w:r w:rsidRPr="003D5E6F" w:rsidR="00AE206A">
        <w:rPr>
          <w:color w:val="000000" w:themeColor="text1"/>
          <w:szCs w:val="24"/>
        </w:rPr>
        <w:t>5</w:t>
      </w:r>
      <w:r w:rsidRPr="003D5E6F" w:rsidR="0020009A">
        <w:rPr>
          <w:color w:val="000000" w:themeColor="text1"/>
          <w:szCs w:val="24"/>
        </w:rPr>
        <w:t xml:space="preserve"> grant recipients may opt to use the revised form. </w:t>
      </w:r>
    </w:p>
    <w:p w:rsidR="006E7FFB" w:rsidRPr="003D5E6F" w:rsidP="006E7FFB" w14:paraId="61311236" w14:textId="6AFF7237">
      <w:pPr>
        <w:pStyle w:val="ListParagraph"/>
        <w:widowControl/>
        <w:numPr>
          <w:ilvl w:val="0"/>
          <w:numId w:val="23"/>
        </w:numPr>
        <w:spacing w:after="60"/>
        <w:rPr>
          <w:color w:val="000000" w:themeColor="text1"/>
          <w:szCs w:val="24"/>
        </w:rPr>
      </w:pPr>
      <w:r w:rsidRPr="003D5E6F">
        <w:rPr>
          <w:b/>
          <w:bCs/>
          <w:color w:val="000000" w:themeColor="text1"/>
          <w:szCs w:val="24"/>
        </w:rPr>
        <w:t xml:space="preserve">Interviews with Program Directors: </w:t>
      </w:r>
      <w:r w:rsidRPr="003D5E6F">
        <w:rPr>
          <w:color w:val="000000" w:themeColor="text1"/>
          <w:szCs w:val="24"/>
        </w:rPr>
        <w:t xml:space="preserve">OCS is planning to interview </w:t>
      </w:r>
      <w:r w:rsidRPr="003D5E6F" w:rsidR="70C676E6">
        <w:rPr>
          <w:color w:val="000000" w:themeColor="text1"/>
          <w:szCs w:val="24"/>
        </w:rPr>
        <w:t>the program</w:t>
      </w:r>
      <w:r w:rsidRPr="003D5E6F">
        <w:rPr>
          <w:color w:val="000000" w:themeColor="text1"/>
          <w:szCs w:val="24"/>
        </w:rPr>
        <w:t xml:space="preserve"> director</w:t>
      </w:r>
      <w:r w:rsidRPr="003D5E6F" w:rsidR="70C676E6">
        <w:rPr>
          <w:color w:val="000000" w:themeColor="text1"/>
          <w:szCs w:val="24"/>
        </w:rPr>
        <w:t xml:space="preserve"> at each </w:t>
      </w:r>
      <w:r w:rsidRPr="003D5E6F">
        <w:rPr>
          <w:color w:val="000000" w:themeColor="text1"/>
          <w:szCs w:val="24"/>
        </w:rPr>
        <w:t>site. This will be a one-time interview. OCS estimates that the interviews will take around 1.5 hours.</w:t>
      </w:r>
    </w:p>
    <w:p w:rsidR="006E7FFB" w:rsidRPr="003D5E6F" w:rsidP="006E7FFB" w14:paraId="3294802E" w14:textId="77777777">
      <w:pPr>
        <w:pStyle w:val="ListParagraph"/>
        <w:widowControl/>
        <w:numPr>
          <w:ilvl w:val="0"/>
          <w:numId w:val="23"/>
        </w:numPr>
        <w:spacing w:after="60"/>
        <w:rPr>
          <w:color w:val="000000" w:themeColor="text1"/>
          <w:szCs w:val="24"/>
        </w:rPr>
      </w:pPr>
      <w:r w:rsidRPr="003D5E6F">
        <w:rPr>
          <w:b/>
          <w:bCs/>
          <w:color w:val="000000" w:themeColor="text1"/>
          <w:szCs w:val="24"/>
        </w:rPr>
        <w:t xml:space="preserve">Interviews with Caseworkers: </w:t>
      </w:r>
      <w:r w:rsidRPr="003D5E6F">
        <w:rPr>
          <w:color w:val="000000" w:themeColor="text1"/>
          <w:szCs w:val="24"/>
        </w:rPr>
        <w:t>OCS is planning to interview an average of 2 caseworkers per site. This will be a one-time interview. OCS estimates that the interviews will take around 1 hour.</w:t>
      </w:r>
    </w:p>
    <w:p w:rsidR="006E7FFB" w:rsidP="3074AD5D" w14:paraId="06062108" w14:textId="77777777">
      <w:pPr>
        <w:widowControl/>
        <w:spacing w:after="60"/>
        <w:rPr>
          <w:color w:val="000000" w:themeColor="text1"/>
        </w:rPr>
      </w:pPr>
    </w:p>
    <w:p w:rsidR="006E7FFB" w:rsidRPr="003D5E6F" w:rsidP="003D5E6F" w14:paraId="342DEBDA" w14:textId="77777777">
      <w:pPr>
        <w:widowControl/>
        <w:spacing w:after="60"/>
        <w:rPr>
          <w:color w:val="000000" w:themeColor="text1"/>
          <w:szCs w:val="24"/>
        </w:rPr>
      </w:pPr>
    </w:p>
    <w:tbl>
      <w:tblPr>
        <w:tblW w:w="972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1525"/>
        <w:gridCol w:w="1260"/>
        <w:gridCol w:w="1440"/>
        <w:gridCol w:w="1080"/>
        <w:gridCol w:w="1080"/>
        <w:gridCol w:w="900"/>
        <w:gridCol w:w="1170"/>
        <w:gridCol w:w="1260"/>
        <w:gridCol w:w="6"/>
      </w:tblGrid>
      <w:tr w14:paraId="2975BB95" w14:textId="77777777" w:rsidTr="001532DF">
        <w:tblPrEx>
          <w:tblW w:w="972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trHeight w:val="299"/>
          <w:jc w:val="center"/>
        </w:trPr>
        <w:tc>
          <w:tcPr>
            <w:tcW w:w="1525" w:type="dxa"/>
            <w:shd w:val="clear" w:color="auto" w:fill="BFBFBF" w:themeFill="background1" w:themeFillShade="BF"/>
            <w:vAlign w:val="center"/>
          </w:tcPr>
          <w:p w:rsidR="00BD5672" w:rsidRPr="00912CCA" w:rsidP="4E6883F4" w14:paraId="60BDC9A8" w14:textId="77777777">
            <w:pPr>
              <w:jc w:val="center"/>
              <w:rPr>
                <w:sz w:val="20"/>
              </w:rPr>
            </w:pPr>
            <w:r w:rsidRPr="4E6883F4">
              <w:rPr>
                <w:sz w:val="20"/>
              </w:rPr>
              <w:t>Information Collection Title</w:t>
            </w:r>
          </w:p>
        </w:tc>
        <w:tc>
          <w:tcPr>
            <w:tcW w:w="1260" w:type="dxa"/>
            <w:shd w:val="clear" w:color="auto" w:fill="BFBFBF" w:themeFill="background1" w:themeFillShade="BF"/>
            <w:vAlign w:val="center"/>
          </w:tcPr>
          <w:p w:rsidR="00BD5672" w:rsidRPr="00912CCA" w:rsidP="4E6883F4" w14:paraId="6BEE2C76" w14:textId="77777777">
            <w:pPr>
              <w:jc w:val="center"/>
              <w:rPr>
                <w:sz w:val="20"/>
              </w:rPr>
            </w:pPr>
            <w:r w:rsidRPr="4E6883F4">
              <w:rPr>
                <w:sz w:val="20"/>
              </w:rPr>
              <w:t>Total Number of Respondents</w:t>
            </w:r>
          </w:p>
        </w:tc>
        <w:tc>
          <w:tcPr>
            <w:tcW w:w="1440" w:type="dxa"/>
            <w:shd w:val="clear" w:color="auto" w:fill="BFBFBF" w:themeFill="background1" w:themeFillShade="BF"/>
            <w:vAlign w:val="center"/>
          </w:tcPr>
          <w:p w:rsidR="00BD5672" w:rsidRPr="00912CCA" w:rsidP="4E6883F4" w14:paraId="2B2CA36E" w14:textId="77777777">
            <w:pPr>
              <w:jc w:val="center"/>
              <w:rPr>
                <w:sz w:val="20"/>
              </w:rPr>
            </w:pPr>
            <w:r w:rsidRPr="4E6883F4">
              <w:rPr>
                <w:sz w:val="20"/>
              </w:rPr>
              <w:t>Total Number of Responses Per Respondent</w:t>
            </w:r>
          </w:p>
        </w:tc>
        <w:tc>
          <w:tcPr>
            <w:tcW w:w="1080" w:type="dxa"/>
            <w:shd w:val="clear" w:color="auto" w:fill="BFBFBF" w:themeFill="background1" w:themeFillShade="BF"/>
            <w:vAlign w:val="center"/>
          </w:tcPr>
          <w:p w:rsidR="00BD5672" w:rsidRPr="00912CCA" w:rsidP="4E6883F4" w14:paraId="6A86707A" w14:textId="77777777">
            <w:pPr>
              <w:jc w:val="center"/>
              <w:rPr>
                <w:sz w:val="20"/>
              </w:rPr>
            </w:pPr>
            <w:r w:rsidRPr="4E6883F4">
              <w:rPr>
                <w:sz w:val="20"/>
              </w:rPr>
              <w:t>Average Burden Hours Per Response</w:t>
            </w:r>
          </w:p>
        </w:tc>
        <w:tc>
          <w:tcPr>
            <w:tcW w:w="1080" w:type="dxa"/>
            <w:shd w:val="clear" w:color="auto" w:fill="BFBFBF" w:themeFill="background1" w:themeFillShade="BF"/>
            <w:vAlign w:val="center"/>
          </w:tcPr>
          <w:p w:rsidR="00BD5672" w:rsidRPr="00912CCA" w:rsidP="4E6883F4" w14:paraId="4295D708" w14:textId="64CD912E">
            <w:pPr>
              <w:jc w:val="center"/>
              <w:rPr>
                <w:sz w:val="20"/>
              </w:rPr>
            </w:pPr>
            <w:r w:rsidRPr="4E6883F4">
              <w:rPr>
                <w:sz w:val="20"/>
              </w:rPr>
              <w:t>Total Burden Hours</w:t>
            </w:r>
          </w:p>
        </w:tc>
        <w:tc>
          <w:tcPr>
            <w:tcW w:w="900" w:type="dxa"/>
            <w:shd w:val="clear" w:color="auto" w:fill="BFBFBF" w:themeFill="background1" w:themeFillShade="BF"/>
          </w:tcPr>
          <w:p w:rsidR="00BD5672" w:rsidP="4E6883F4" w14:paraId="61912D25" w14:textId="77777777">
            <w:pPr>
              <w:jc w:val="center"/>
              <w:rPr>
                <w:sz w:val="20"/>
              </w:rPr>
            </w:pPr>
          </w:p>
          <w:p w:rsidR="00BD5672" w:rsidRPr="00912CCA" w:rsidP="4E6883F4" w14:paraId="26817520" w14:textId="45A66578">
            <w:pPr>
              <w:jc w:val="center"/>
              <w:rPr>
                <w:sz w:val="20"/>
              </w:rPr>
            </w:pPr>
            <w:r w:rsidRPr="4E6883F4">
              <w:rPr>
                <w:sz w:val="20"/>
              </w:rPr>
              <w:t>Annual Burden Hours</w:t>
            </w:r>
          </w:p>
        </w:tc>
        <w:tc>
          <w:tcPr>
            <w:tcW w:w="1170" w:type="dxa"/>
            <w:shd w:val="clear" w:color="auto" w:fill="BFBFBF" w:themeFill="background1" w:themeFillShade="BF"/>
            <w:vAlign w:val="center"/>
          </w:tcPr>
          <w:p w:rsidR="00BD5672" w:rsidRPr="00912CCA" w:rsidP="4E6883F4" w14:paraId="0967182A" w14:textId="57FD2BAD">
            <w:pPr>
              <w:jc w:val="center"/>
              <w:rPr>
                <w:sz w:val="20"/>
              </w:rPr>
            </w:pPr>
            <w:r w:rsidRPr="4E6883F4">
              <w:rPr>
                <w:sz w:val="20"/>
              </w:rPr>
              <w:t>Average Hourly Wage</w:t>
            </w:r>
          </w:p>
        </w:tc>
        <w:tc>
          <w:tcPr>
            <w:tcW w:w="1266" w:type="dxa"/>
            <w:gridSpan w:val="2"/>
            <w:shd w:val="clear" w:color="auto" w:fill="BFBFBF" w:themeFill="background1" w:themeFillShade="BF"/>
            <w:vAlign w:val="center"/>
          </w:tcPr>
          <w:p w:rsidR="00BD5672" w:rsidRPr="00912CCA" w:rsidP="4E6883F4" w14:paraId="5316B6F5" w14:textId="77777777">
            <w:pPr>
              <w:jc w:val="center"/>
              <w:rPr>
                <w:sz w:val="20"/>
              </w:rPr>
            </w:pPr>
            <w:r w:rsidRPr="4E6883F4">
              <w:rPr>
                <w:sz w:val="20"/>
              </w:rPr>
              <w:t>Total Cost</w:t>
            </w:r>
          </w:p>
        </w:tc>
      </w:tr>
      <w:tr w14:paraId="29D35013" w14:textId="77777777" w:rsidTr="001532DF">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24AA1028" w14:textId="77777777">
            <w:pPr>
              <w:tabs>
                <w:tab w:val="center" w:pos="4320"/>
                <w:tab w:val="right" w:pos="8640"/>
              </w:tabs>
              <w:rPr>
                <w:sz w:val="20"/>
              </w:rPr>
            </w:pPr>
            <w:r w:rsidRPr="4E6883F4">
              <w:rPr>
                <w:sz w:val="20"/>
              </w:rPr>
              <w:t>Self-Sufficiency Matrix</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2B3A9DE2" w14:textId="78185057">
            <w:pPr>
              <w:tabs>
                <w:tab w:val="center" w:pos="4320"/>
                <w:tab w:val="right" w:pos="8640"/>
              </w:tabs>
              <w:jc w:val="center"/>
              <w:rPr>
                <w:sz w:val="20"/>
              </w:rPr>
            </w:pPr>
            <w:r w:rsidRPr="4E6883F4">
              <w:rPr>
                <w:sz w:val="20"/>
              </w:rPr>
              <w:t>680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2C7A84B" w14:textId="57CF0E45">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08FF9C5" w14:textId="77777777">
            <w:pPr>
              <w:tabs>
                <w:tab w:val="center" w:pos="4320"/>
                <w:tab w:val="right" w:pos="8640"/>
              </w:tabs>
              <w:jc w:val="center"/>
              <w:rPr>
                <w:sz w:val="20"/>
              </w:rPr>
            </w:pPr>
            <w:r w:rsidRPr="4E6883F4">
              <w:rPr>
                <w:sz w:val="20"/>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E6DE111" w14:textId="455D9F4F">
            <w:pPr>
              <w:tabs>
                <w:tab w:val="center" w:pos="4320"/>
                <w:tab w:val="right" w:pos="8640"/>
              </w:tabs>
              <w:jc w:val="center"/>
              <w:rPr>
                <w:sz w:val="20"/>
              </w:rPr>
            </w:pPr>
            <w:r w:rsidRPr="4E6883F4">
              <w:rPr>
                <w:sz w:val="20"/>
              </w:rPr>
              <w:t>3,060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570379" w14:paraId="034F7167" w14:textId="4A27A504">
            <w:pPr>
              <w:tabs>
                <w:tab w:val="center" w:pos="4320"/>
                <w:tab w:val="right" w:pos="8640"/>
              </w:tabs>
              <w:jc w:val="center"/>
              <w:rPr>
                <w:sz w:val="20"/>
              </w:rPr>
            </w:pPr>
            <w:r w:rsidRPr="4E6883F4">
              <w:rPr>
                <w:sz w:val="20"/>
              </w:rPr>
              <w:t>1,020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8604C9B" w14:textId="659E41CE">
            <w:pPr>
              <w:tabs>
                <w:tab w:val="center" w:pos="4320"/>
                <w:tab w:val="right" w:pos="8640"/>
              </w:tabs>
              <w:jc w:val="center"/>
              <w:rPr>
                <w:sz w:val="20"/>
              </w:rPr>
            </w:pPr>
            <w:r w:rsidRPr="4E6883F4">
              <w:rPr>
                <w:sz w:val="20"/>
              </w:rPr>
              <w:t>$7.25</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1677A7F" w14:textId="65F7E279">
            <w:pPr>
              <w:tabs>
                <w:tab w:val="center" w:pos="4320"/>
                <w:tab w:val="right" w:pos="8640"/>
              </w:tabs>
              <w:jc w:val="center"/>
              <w:rPr>
                <w:sz w:val="20"/>
              </w:rPr>
            </w:pPr>
            <w:r w:rsidRPr="4E6883F4">
              <w:rPr>
                <w:sz w:val="20"/>
              </w:rPr>
              <w:t>$22,185.00</w:t>
            </w:r>
          </w:p>
        </w:tc>
      </w:tr>
      <w:tr w14:paraId="0DD75CC3" w14:textId="77777777" w:rsidTr="001532DF">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2AB3BF25" w14:textId="77777777">
            <w:pPr>
              <w:tabs>
                <w:tab w:val="center" w:pos="4320"/>
                <w:tab w:val="right" w:pos="8640"/>
              </w:tabs>
              <w:rPr>
                <w:sz w:val="20"/>
              </w:rPr>
            </w:pPr>
            <w:r w:rsidRPr="4E6883F4">
              <w:rPr>
                <w:sz w:val="20"/>
              </w:rPr>
              <w:t>Service Receipt Questionnaire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CB8CAE7" w14:textId="123517AB">
            <w:pPr>
              <w:tabs>
                <w:tab w:val="center" w:pos="4320"/>
                <w:tab w:val="right" w:pos="8640"/>
              </w:tabs>
              <w:jc w:val="center"/>
              <w:rPr>
                <w:sz w:val="20"/>
              </w:rPr>
            </w:pPr>
            <w:r w:rsidRPr="4E6883F4">
              <w:rPr>
                <w:sz w:val="20"/>
              </w:rPr>
              <w:t>680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84CDF4D" w14:textId="19D9BB56">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81F6F93" w14:textId="77777777">
            <w:pPr>
              <w:tabs>
                <w:tab w:val="center" w:pos="4320"/>
                <w:tab w:val="right" w:pos="8640"/>
              </w:tabs>
              <w:jc w:val="center"/>
              <w:rPr>
                <w:sz w:val="20"/>
              </w:rPr>
            </w:pPr>
            <w:r w:rsidRPr="4E6883F4">
              <w:rPr>
                <w:sz w:val="20"/>
              </w:rPr>
              <w:t>.25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9085C1B" w14:textId="538EE96A">
            <w:pPr>
              <w:tabs>
                <w:tab w:val="center" w:pos="4320"/>
                <w:tab w:val="right" w:pos="8640"/>
              </w:tabs>
              <w:jc w:val="center"/>
              <w:rPr>
                <w:sz w:val="20"/>
              </w:rPr>
            </w:pPr>
            <w:r w:rsidRPr="4E6883F4">
              <w:rPr>
                <w:sz w:val="20"/>
              </w:rPr>
              <w:t>510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3D2D" w:rsidRPr="00912CCA" w:rsidP="00570379" w14:paraId="1B9B9AC4" w14:textId="64E88E3D">
            <w:pPr>
              <w:tabs>
                <w:tab w:val="center" w:pos="4320"/>
                <w:tab w:val="right" w:pos="8640"/>
              </w:tabs>
              <w:jc w:val="center"/>
              <w:rPr>
                <w:sz w:val="20"/>
              </w:rPr>
            </w:pPr>
            <w:r w:rsidRPr="4E6883F4">
              <w:rPr>
                <w:sz w:val="20"/>
              </w:rPr>
              <w:t>170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0C23B64" w14:textId="5F8C1201">
            <w:pPr>
              <w:tabs>
                <w:tab w:val="center" w:pos="4320"/>
                <w:tab w:val="right" w:pos="8640"/>
              </w:tabs>
              <w:jc w:val="center"/>
              <w:rPr>
                <w:sz w:val="20"/>
              </w:rPr>
            </w:pPr>
            <w:r w:rsidRPr="4E6883F4">
              <w:rPr>
                <w:sz w:val="20"/>
              </w:rPr>
              <w:t>$7.25</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66D6562" w14:textId="4324446E">
            <w:pPr>
              <w:tabs>
                <w:tab w:val="center" w:pos="4320"/>
                <w:tab w:val="right" w:pos="8640"/>
              </w:tabs>
              <w:jc w:val="center"/>
              <w:rPr>
                <w:sz w:val="20"/>
              </w:rPr>
            </w:pPr>
            <w:r w:rsidRPr="4E6883F4">
              <w:rPr>
                <w:sz w:val="20"/>
              </w:rPr>
              <w:t>$3,697.50</w:t>
            </w:r>
          </w:p>
        </w:tc>
      </w:tr>
      <w:tr w14:paraId="5231FCE6" w14:textId="77777777" w:rsidTr="001532DF">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A0E577E" w14:textId="77777777">
            <w:pPr>
              <w:tabs>
                <w:tab w:val="center" w:pos="4320"/>
                <w:tab w:val="right" w:pos="8640"/>
              </w:tabs>
              <w:rPr>
                <w:sz w:val="20"/>
              </w:rPr>
            </w:pPr>
            <w:r w:rsidRPr="4E6883F4">
              <w:rPr>
                <w:sz w:val="20"/>
              </w:rPr>
              <w:t>Resident Focus Group</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333F4E85" w14:textId="0625116B">
            <w:pPr>
              <w:tabs>
                <w:tab w:val="center" w:pos="4320"/>
                <w:tab w:val="right" w:pos="8640"/>
              </w:tabs>
              <w:jc w:val="center"/>
              <w:rPr>
                <w:sz w:val="20"/>
              </w:rPr>
            </w:pPr>
            <w:r w:rsidRPr="4E6883F4">
              <w:rPr>
                <w:sz w:val="20"/>
              </w:rPr>
              <w:t>105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EB424AD"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FEFCAF3" w14:textId="77777777">
            <w:pPr>
              <w:tabs>
                <w:tab w:val="center" w:pos="4320"/>
                <w:tab w:val="right" w:pos="8640"/>
              </w:tabs>
              <w:jc w:val="center"/>
              <w:rPr>
                <w:sz w:val="20"/>
              </w:rPr>
            </w:pPr>
            <w:r w:rsidRPr="4E6883F4">
              <w:rPr>
                <w:sz w:val="20"/>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2D49BEC5" w14:textId="1AB78EE0">
            <w:pPr>
              <w:tabs>
                <w:tab w:val="center" w:pos="4320"/>
                <w:tab w:val="right" w:pos="8640"/>
              </w:tabs>
              <w:jc w:val="center"/>
              <w:rPr>
                <w:sz w:val="20"/>
              </w:rPr>
            </w:pPr>
            <w:r w:rsidRPr="4E6883F4">
              <w:rPr>
                <w:sz w:val="20"/>
              </w:rPr>
              <w:t>157.5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570379" w14:paraId="3844FBB3" w14:textId="349122B6">
            <w:pPr>
              <w:tabs>
                <w:tab w:val="center" w:pos="4320"/>
                <w:tab w:val="right" w:pos="8640"/>
              </w:tabs>
              <w:jc w:val="center"/>
              <w:rPr>
                <w:sz w:val="20"/>
              </w:rPr>
            </w:pPr>
            <w:r w:rsidRPr="4E6883F4">
              <w:rPr>
                <w:sz w:val="20"/>
              </w:rPr>
              <w:t>52.5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1285407" w14:textId="15ECCB6E">
            <w:pPr>
              <w:tabs>
                <w:tab w:val="center" w:pos="4320"/>
                <w:tab w:val="right" w:pos="8640"/>
              </w:tabs>
              <w:jc w:val="center"/>
              <w:rPr>
                <w:sz w:val="20"/>
              </w:rPr>
            </w:pPr>
            <w:r w:rsidRPr="4E6883F4">
              <w:rPr>
                <w:sz w:val="20"/>
              </w:rPr>
              <w:t>$7.25</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32C3676" w14:textId="48CC5195">
            <w:pPr>
              <w:tabs>
                <w:tab w:val="center" w:pos="4320"/>
                <w:tab w:val="right" w:pos="8640"/>
              </w:tabs>
              <w:jc w:val="center"/>
              <w:rPr>
                <w:sz w:val="20"/>
              </w:rPr>
            </w:pPr>
            <w:r w:rsidRPr="4E6883F4">
              <w:rPr>
                <w:sz w:val="20"/>
              </w:rPr>
              <w:t>$1,141.8</w:t>
            </w:r>
          </w:p>
        </w:tc>
      </w:tr>
      <w:tr w14:paraId="25293912" w14:textId="77777777" w:rsidTr="001532DF">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2BFD316" w14:textId="77777777">
            <w:pPr>
              <w:tabs>
                <w:tab w:val="center" w:pos="4320"/>
                <w:tab w:val="right" w:pos="8640"/>
              </w:tabs>
              <w:rPr>
                <w:sz w:val="20"/>
              </w:rPr>
            </w:pPr>
            <w:r w:rsidRPr="4E6883F4">
              <w:rPr>
                <w:sz w:val="20"/>
              </w:rPr>
              <w:t>Quarterly PPR Collections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411E82D" w14:textId="6162A455">
            <w:pPr>
              <w:tabs>
                <w:tab w:val="center" w:pos="4320"/>
                <w:tab w:val="right" w:pos="8640"/>
              </w:tabs>
              <w:jc w:val="center"/>
              <w:rPr>
                <w:sz w:val="20"/>
              </w:rPr>
            </w:pPr>
            <w:r w:rsidRPr="4E6883F4">
              <w:rPr>
                <w:sz w:val="20"/>
              </w:rPr>
              <w:t>18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E0509D8" w14:textId="20473D9A">
            <w:pPr>
              <w:tabs>
                <w:tab w:val="center" w:pos="4320"/>
                <w:tab w:val="right" w:pos="8640"/>
              </w:tabs>
              <w:jc w:val="center"/>
              <w:rPr>
                <w:sz w:val="20"/>
              </w:rPr>
            </w:pPr>
            <w:r w:rsidRPr="4E6883F4">
              <w:rPr>
                <w:sz w:val="20"/>
              </w:rPr>
              <w:t>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2579B47" w14:textId="77777777">
            <w:pPr>
              <w:tabs>
                <w:tab w:val="center" w:pos="4320"/>
                <w:tab w:val="right" w:pos="8640"/>
              </w:tabs>
              <w:jc w:val="center"/>
              <w:rPr>
                <w:sz w:val="20"/>
              </w:rPr>
            </w:pPr>
            <w:r w:rsidRPr="4E6883F4">
              <w:rPr>
                <w:sz w:val="20"/>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5ECDDB8" w14:textId="681305EC">
            <w:pPr>
              <w:tabs>
                <w:tab w:val="center" w:pos="4320"/>
                <w:tab w:val="right" w:pos="8640"/>
              </w:tabs>
              <w:jc w:val="center"/>
              <w:rPr>
                <w:sz w:val="20"/>
              </w:rPr>
            </w:pPr>
            <w:r w:rsidRPr="4E6883F4">
              <w:rPr>
                <w:sz w:val="20"/>
              </w:rPr>
              <w:t>216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90285" w:rsidRPr="00C5442E" w:rsidP="00570379" w14:paraId="67BEF072" w14:textId="1BADF4D7">
            <w:pPr>
              <w:tabs>
                <w:tab w:val="center" w:pos="4320"/>
                <w:tab w:val="right" w:pos="8640"/>
              </w:tabs>
              <w:jc w:val="center"/>
              <w:rPr>
                <w:rStyle w:val="CommentReference"/>
                <w:sz w:val="20"/>
                <w:szCs w:val="20"/>
              </w:rPr>
            </w:pPr>
            <w:r w:rsidRPr="00C5442E">
              <w:rPr>
                <w:rStyle w:val="CommentReference"/>
                <w:sz w:val="20"/>
                <w:szCs w:val="20"/>
              </w:rPr>
              <w:t>72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B029709" w14:textId="3CD72BCA">
            <w:pPr>
              <w:tabs>
                <w:tab w:val="center" w:pos="4320"/>
                <w:tab w:val="right" w:pos="8640"/>
              </w:tabs>
              <w:jc w:val="center"/>
              <w:rPr>
                <w:sz w:val="20"/>
              </w:rPr>
            </w:pPr>
            <w:r w:rsidRPr="4E6883F4">
              <w:rPr>
                <w:rStyle w:val="CommentReference"/>
                <w:sz w:val="20"/>
                <w:szCs w:val="20"/>
              </w:rPr>
              <w:t>$</w:t>
            </w:r>
            <w:r w:rsidRPr="4E6883F4" w:rsidR="48D19FFE">
              <w:rPr>
                <w:sz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D692124" w14:textId="15F237E8">
            <w:pPr>
              <w:tabs>
                <w:tab w:val="center" w:pos="4320"/>
                <w:tab w:val="right" w:pos="8640"/>
              </w:tabs>
              <w:jc w:val="center"/>
              <w:rPr>
                <w:sz w:val="20"/>
              </w:rPr>
            </w:pPr>
            <w:r w:rsidRPr="4E6883F4">
              <w:rPr>
                <w:sz w:val="20"/>
              </w:rPr>
              <w:t>$</w:t>
            </w:r>
            <w:r w:rsidRPr="4E6883F4" w:rsidR="7802BC9B">
              <w:rPr>
                <w:sz w:val="20"/>
              </w:rPr>
              <w:t>10,320.48</w:t>
            </w:r>
          </w:p>
        </w:tc>
      </w:tr>
      <w:tr w14:paraId="43709F0D" w14:textId="77777777" w:rsidTr="001532DF">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397F3CF5" w14:textId="4F3E7CAB">
            <w:pPr>
              <w:tabs>
                <w:tab w:val="center" w:pos="4320"/>
                <w:tab w:val="right" w:pos="8640"/>
              </w:tabs>
              <w:rPr>
                <w:sz w:val="20"/>
              </w:rPr>
            </w:pPr>
            <w:r w:rsidRPr="3074AD5D">
              <w:rPr>
                <w:sz w:val="20"/>
              </w:rPr>
              <w:t xml:space="preserve">2023 Version </w:t>
            </w:r>
            <w:r w:rsidRPr="3074AD5D" w:rsidR="00777DD7">
              <w:rPr>
                <w:sz w:val="20"/>
              </w:rPr>
              <w:t>–</w:t>
            </w:r>
            <w:r w:rsidRPr="3074AD5D">
              <w:rPr>
                <w:sz w:val="20"/>
              </w:rPr>
              <w:t xml:space="preserve"> Semi</w:t>
            </w:r>
            <w:r w:rsidRPr="3074AD5D" w:rsidR="00777DD7">
              <w:rPr>
                <w:sz w:val="20"/>
              </w:rPr>
              <w:t>-</w:t>
            </w:r>
            <w:r w:rsidRPr="3074AD5D">
              <w:rPr>
                <w:sz w:val="20"/>
              </w:rPr>
              <w:t xml:space="preserve">Annual Quantitative Report MANDATORY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1525F8A" w14:textId="2D63AF20">
            <w:pPr>
              <w:tabs>
                <w:tab w:val="center" w:pos="4320"/>
                <w:tab w:val="right" w:pos="8640"/>
              </w:tabs>
              <w:jc w:val="center"/>
              <w:rPr>
                <w:sz w:val="20"/>
              </w:rPr>
            </w:pPr>
            <w:r w:rsidRPr="4E6883F4">
              <w:rPr>
                <w:sz w:val="20"/>
              </w:rPr>
              <w:t>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3028177C" w14:textId="64421732">
            <w:pPr>
              <w:tabs>
                <w:tab w:val="center" w:pos="4320"/>
                <w:tab w:val="right" w:pos="8640"/>
              </w:tabs>
              <w:jc w:val="center"/>
              <w:rPr>
                <w:sz w:val="20"/>
              </w:rPr>
            </w:pPr>
            <w:r w:rsidRPr="4E6883F4">
              <w:rPr>
                <w:sz w:val="20"/>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D19CE89" w14:textId="0B597917">
            <w:pPr>
              <w:tabs>
                <w:tab w:val="center" w:pos="4320"/>
                <w:tab w:val="right" w:pos="8640"/>
              </w:tabs>
              <w:jc w:val="center"/>
              <w:rPr>
                <w:sz w:val="20"/>
              </w:rPr>
            </w:pPr>
            <w:r>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3215131F" w14:textId="0287118B">
            <w:pPr>
              <w:tabs>
                <w:tab w:val="center" w:pos="4320"/>
                <w:tab w:val="right" w:pos="8640"/>
              </w:tabs>
              <w:jc w:val="center"/>
              <w:rPr>
                <w:sz w:val="20"/>
              </w:rPr>
            </w:pPr>
            <w:r>
              <w:rPr>
                <w:sz w:val="20"/>
              </w:rPr>
              <w:t>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00570379" w14:paraId="47BE1B14" w14:textId="12B8BF17">
            <w:pPr>
              <w:tabs>
                <w:tab w:val="center" w:pos="4320"/>
                <w:tab w:val="right" w:pos="8640"/>
              </w:tabs>
              <w:jc w:val="center"/>
              <w:rPr>
                <w:rStyle w:val="CommentReference"/>
                <w:sz w:val="20"/>
                <w:szCs w:val="20"/>
              </w:rPr>
            </w:pPr>
            <w:r>
              <w:rPr>
                <w:rStyle w:val="CommentReference"/>
                <w:sz w:val="20"/>
                <w:szCs w:val="20"/>
              </w:rPr>
              <w:t>12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D8B4C53" w14:textId="7603D728">
            <w:pPr>
              <w:tabs>
                <w:tab w:val="center" w:pos="4320"/>
                <w:tab w:val="right" w:pos="8640"/>
              </w:tabs>
              <w:jc w:val="center"/>
              <w:rPr>
                <w:sz w:val="20"/>
              </w:rPr>
            </w:pPr>
            <w:r w:rsidRPr="4E6883F4">
              <w:rPr>
                <w:rStyle w:val="CommentReference"/>
                <w:sz w:val="20"/>
                <w:szCs w:val="20"/>
              </w:rPr>
              <w:t>$</w:t>
            </w:r>
            <w:r w:rsidRPr="4E6883F4" w:rsidR="60625CAD">
              <w:rPr>
                <w:sz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3FBF19C" w14:textId="548794AC">
            <w:pPr>
              <w:tabs>
                <w:tab w:val="center" w:pos="4320"/>
                <w:tab w:val="right" w:pos="8640"/>
              </w:tabs>
              <w:jc w:val="center"/>
              <w:rPr>
                <w:sz w:val="20"/>
              </w:rPr>
            </w:pPr>
            <w:r w:rsidRPr="4E6883F4">
              <w:rPr>
                <w:sz w:val="20"/>
              </w:rPr>
              <w:t>$</w:t>
            </w:r>
            <w:r w:rsidR="00904B91">
              <w:rPr>
                <w:sz w:val="20"/>
              </w:rPr>
              <w:t>1,</w:t>
            </w:r>
            <w:r w:rsidR="00460AE1">
              <w:rPr>
                <w:sz w:val="20"/>
              </w:rPr>
              <w:t>720.08</w:t>
            </w:r>
          </w:p>
        </w:tc>
      </w:tr>
      <w:tr w14:paraId="39C121CF" w14:textId="77777777" w:rsidTr="001532DF">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55B6952A" w14:textId="3B885023">
            <w:pPr>
              <w:tabs>
                <w:tab w:val="center" w:pos="4320"/>
                <w:tab w:val="right" w:pos="8640"/>
              </w:tabs>
              <w:rPr>
                <w:sz w:val="20"/>
              </w:rPr>
            </w:pPr>
            <w:r w:rsidRPr="3074AD5D">
              <w:rPr>
                <w:sz w:val="20"/>
              </w:rPr>
              <w:t xml:space="preserve">2024 Version </w:t>
            </w:r>
            <w:r w:rsidRPr="3074AD5D" w:rsidR="00777DD7">
              <w:rPr>
                <w:sz w:val="20"/>
              </w:rPr>
              <w:t>–</w:t>
            </w:r>
            <w:r w:rsidRPr="3074AD5D">
              <w:rPr>
                <w:sz w:val="20"/>
              </w:rPr>
              <w:t xml:space="preserve"> Semi</w:t>
            </w:r>
            <w:r w:rsidRPr="3074AD5D" w:rsidR="00777DD7">
              <w:rPr>
                <w:sz w:val="20"/>
              </w:rPr>
              <w:t>-</w:t>
            </w:r>
            <w:r w:rsidRPr="3074AD5D">
              <w:rPr>
                <w:sz w:val="20"/>
              </w:rPr>
              <w:t>Annual Quantitative Report MANDATORY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8853E27" w14:textId="5E8D690A">
            <w:pPr>
              <w:tabs>
                <w:tab w:val="center" w:pos="4320"/>
                <w:tab w:val="right" w:pos="8640"/>
              </w:tabs>
              <w:jc w:val="center"/>
              <w:rPr>
                <w:sz w:val="20"/>
              </w:rPr>
            </w:pPr>
            <w:r w:rsidRPr="4E6883F4">
              <w:rPr>
                <w:sz w:val="20"/>
              </w:rPr>
              <w:t>15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AAE4C77" w14:textId="00F568DC">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BB83317" w14:textId="3FAC8275">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48CEC98" w14:textId="72038750">
            <w:pPr>
              <w:tabs>
                <w:tab w:val="center" w:pos="4320"/>
                <w:tab w:val="right" w:pos="8640"/>
              </w:tabs>
              <w:jc w:val="center"/>
              <w:rPr>
                <w:sz w:val="20"/>
              </w:rPr>
            </w:pPr>
            <w:r w:rsidRPr="4E6883F4">
              <w:rPr>
                <w:sz w:val="20"/>
              </w:rPr>
              <w:t>135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0CFD" w:rsidRPr="00C5442E" w:rsidP="00570379" w14:paraId="41300A49" w14:textId="79703DE9">
            <w:pPr>
              <w:tabs>
                <w:tab w:val="center" w:pos="4320"/>
                <w:tab w:val="right" w:pos="8640"/>
              </w:tabs>
              <w:jc w:val="center"/>
              <w:rPr>
                <w:rStyle w:val="CommentReference"/>
                <w:sz w:val="20"/>
                <w:szCs w:val="20"/>
              </w:rPr>
            </w:pPr>
            <w:r w:rsidRPr="00C5442E">
              <w:rPr>
                <w:rStyle w:val="CommentReference"/>
                <w:sz w:val="20"/>
                <w:szCs w:val="20"/>
              </w:rPr>
              <w:t>45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6D5D6AFE" w14:textId="0C6AEA5F">
            <w:pPr>
              <w:tabs>
                <w:tab w:val="center" w:pos="4320"/>
                <w:tab w:val="right" w:pos="8640"/>
              </w:tabs>
              <w:jc w:val="center"/>
              <w:rPr>
                <w:rStyle w:val="CommentReference"/>
                <w:sz w:val="20"/>
                <w:szCs w:val="20"/>
              </w:rPr>
            </w:pPr>
            <w:r w:rsidRPr="00C5442E">
              <w:rPr>
                <w:rStyle w:val="CommentReference"/>
                <w:sz w:val="20"/>
                <w:szCs w:val="20"/>
              </w:rPr>
              <w:t>$</w:t>
            </w:r>
            <w:r w:rsidRPr="00C5442E" w:rsidR="4C3B0DB0">
              <w:rPr>
                <w:rStyle w:val="CommentReference"/>
                <w:sz w:val="20"/>
                <w:szCs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614B26" w:rsidP="4E6883F4" w14:paraId="33DE8211" w14:textId="7CADFDF9">
            <w:pPr>
              <w:tabs>
                <w:tab w:val="center" w:pos="4320"/>
                <w:tab w:val="right" w:pos="8640"/>
              </w:tabs>
              <w:jc w:val="center"/>
              <w:rPr>
                <w:sz w:val="20"/>
              </w:rPr>
            </w:pPr>
            <w:r w:rsidRPr="4E6883F4">
              <w:rPr>
                <w:sz w:val="20"/>
              </w:rPr>
              <w:t>$</w:t>
            </w:r>
            <w:r w:rsidRPr="4E6883F4" w:rsidR="0F1A0F0B">
              <w:rPr>
                <w:sz w:val="20"/>
              </w:rPr>
              <w:t>6,450.30</w:t>
            </w:r>
          </w:p>
        </w:tc>
      </w:tr>
      <w:tr w14:paraId="55E50AFC" w14:textId="77777777" w:rsidTr="001532DF">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52928419" w14:textId="6B628235">
            <w:pPr>
              <w:tabs>
                <w:tab w:val="center" w:pos="4320"/>
                <w:tab w:val="right" w:pos="8640"/>
              </w:tabs>
              <w:rPr>
                <w:sz w:val="20"/>
              </w:rPr>
            </w:pPr>
            <w:r w:rsidRPr="3074AD5D">
              <w:rPr>
                <w:sz w:val="20"/>
              </w:rPr>
              <w:t xml:space="preserve">2023 Version </w:t>
            </w:r>
            <w:r w:rsidRPr="3074AD5D" w:rsidR="00777DD7">
              <w:rPr>
                <w:sz w:val="20"/>
              </w:rPr>
              <w:t>–</w:t>
            </w:r>
            <w:r w:rsidRPr="3074AD5D">
              <w:rPr>
                <w:sz w:val="20"/>
              </w:rPr>
              <w:t xml:space="preserve"> Semi</w:t>
            </w:r>
            <w:r w:rsidRPr="3074AD5D" w:rsidR="00777DD7">
              <w:rPr>
                <w:sz w:val="20"/>
              </w:rPr>
              <w:t>-</w:t>
            </w:r>
            <w:r w:rsidRPr="3074AD5D">
              <w:rPr>
                <w:sz w:val="20"/>
              </w:rPr>
              <w:t xml:space="preserve">Annual Quantitative Report OPTIONAL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9E28CC5" w14:textId="09DF7DBB">
            <w:pPr>
              <w:tabs>
                <w:tab w:val="center" w:pos="4320"/>
                <w:tab w:val="right" w:pos="8640"/>
              </w:tabs>
              <w:jc w:val="center"/>
              <w:rPr>
                <w:sz w:val="20"/>
              </w:rPr>
            </w:pPr>
            <w:r w:rsidRPr="4E6883F4">
              <w:rPr>
                <w:sz w:val="20"/>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33F4BAA" w14:textId="5DE71811">
            <w:pPr>
              <w:tabs>
                <w:tab w:val="center" w:pos="4320"/>
                <w:tab w:val="right" w:pos="8640"/>
              </w:tabs>
              <w:jc w:val="center"/>
              <w:rPr>
                <w:sz w:val="20"/>
              </w:rPr>
            </w:pPr>
            <w:r w:rsidRPr="4E6883F4">
              <w:rPr>
                <w:sz w:val="20"/>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E469A65" w14:textId="17171023">
            <w:pPr>
              <w:tabs>
                <w:tab w:val="center" w:pos="4320"/>
                <w:tab w:val="right" w:pos="8640"/>
              </w:tabs>
              <w:jc w:val="center"/>
              <w:rPr>
                <w:sz w:val="20"/>
              </w:rPr>
            </w:pPr>
            <w:r>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59DBBCE" w14:textId="6AD2CC61">
            <w:pPr>
              <w:tabs>
                <w:tab w:val="center" w:pos="4320"/>
                <w:tab w:val="right" w:pos="8640"/>
              </w:tabs>
              <w:jc w:val="center"/>
              <w:rPr>
                <w:sz w:val="20"/>
              </w:rPr>
            </w:pPr>
            <w:r>
              <w:rPr>
                <w:sz w:val="20"/>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B182D" w:rsidRPr="00C5442E" w:rsidP="00570379" w14:paraId="71B59B20" w14:textId="33F791E3">
            <w:pPr>
              <w:tabs>
                <w:tab w:val="center" w:pos="4320"/>
                <w:tab w:val="right" w:pos="8640"/>
              </w:tabs>
              <w:jc w:val="center"/>
              <w:rPr>
                <w:rStyle w:val="CommentReference"/>
                <w:sz w:val="20"/>
                <w:szCs w:val="20"/>
              </w:rPr>
            </w:pPr>
            <w:r>
              <w:rPr>
                <w:rStyle w:val="CommentReference"/>
                <w:sz w:val="20"/>
                <w:szCs w:val="20"/>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F3AA0A2" w14:textId="0EDF9ADE">
            <w:pPr>
              <w:tabs>
                <w:tab w:val="center" w:pos="4320"/>
                <w:tab w:val="right" w:pos="8640"/>
              </w:tabs>
              <w:jc w:val="center"/>
              <w:rPr>
                <w:sz w:val="20"/>
              </w:rPr>
            </w:pPr>
            <w:r w:rsidRPr="4E6883F4">
              <w:rPr>
                <w:rStyle w:val="CommentReference"/>
                <w:sz w:val="20"/>
                <w:szCs w:val="20"/>
              </w:rPr>
              <w:t>$</w:t>
            </w:r>
            <w:r w:rsidRPr="4E6883F4" w:rsidR="30B74D1D">
              <w:rPr>
                <w:sz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73135AE" w14:textId="3BA473A1">
            <w:pPr>
              <w:tabs>
                <w:tab w:val="center" w:pos="4320"/>
                <w:tab w:val="right" w:pos="8640"/>
              </w:tabs>
              <w:jc w:val="center"/>
              <w:rPr>
                <w:sz w:val="20"/>
              </w:rPr>
            </w:pPr>
            <w:r w:rsidRPr="4E6883F4">
              <w:rPr>
                <w:sz w:val="20"/>
              </w:rPr>
              <w:t>$</w:t>
            </w:r>
            <w:r w:rsidR="00460AE1">
              <w:rPr>
                <w:sz w:val="20"/>
              </w:rPr>
              <w:t>573.36</w:t>
            </w:r>
          </w:p>
        </w:tc>
      </w:tr>
      <w:tr w14:paraId="65FE8B1B" w14:textId="77777777" w:rsidTr="001532DF">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3074AD5D" w14:paraId="6CB25A44" w14:textId="0ACDF29C">
            <w:pPr>
              <w:tabs>
                <w:tab w:val="center" w:pos="4320"/>
                <w:tab w:val="right" w:pos="8640"/>
              </w:tabs>
              <w:rPr>
                <w:sz w:val="20"/>
              </w:rPr>
            </w:pPr>
            <w:r w:rsidRPr="3074AD5D">
              <w:rPr>
                <w:sz w:val="20"/>
              </w:rPr>
              <w:t xml:space="preserve">2024 Version </w:t>
            </w:r>
            <w:r w:rsidRPr="3074AD5D" w:rsidR="00777DD7">
              <w:rPr>
                <w:sz w:val="20"/>
              </w:rPr>
              <w:t>–</w:t>
            </w:r>
            <w:r w:rsidRPr="3074AD5D">
              <w:rPr>
                <w:sz w:val="20"/>
              </w:rPr>
              <w:t xml:space="preserve"> Semi</w:t>
            </w:r>
            <w:r w:rsidRPr="3074AD5D" w:rsidR="00777DD7">
              <w:rPr>
                <w:sz w:val="20"/>
              </w:rPr>
              <w:t>-</w:t>
            </w:r>
            <w:r w:rsidRPr="3074AD5D">
              <w:rPr>
                <w:sz w:val="20"/>
              </w:rPr>
              <w:t xml:space="preserve">Annual Quantitative Report OPTIONAL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13DD160" w14:textId="2AFBC63A">
            <w:pPr>
              <w:tabs>
                <w:tab w:val="center" w:pos="4320"/>
                <w:tab w:val="right" w:pos="8640"/>
              </w:tabs>
              <w:jc w:val="center"/>
              <w:rPr>
                <w:sz w:val="20"/>
              </w:rPr>
            </w:pPr>
            <w:r w:rsidRPr="4E6883F4">
              <w:rPr>
                <w:sz w:val="20"/>
              </w:rPr>
              <w:t>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B960E4B" w14:textId="3FF35D2B">
            <w:pPr>
              <w:tabs>
                <w:tab w:val="center" w:pos="4320"/>
                <w:tab w:val="right" w:pos="8640"/>
              </w:tabs>
              <w:jc w:val="center"/>
              <w:rPr>
                <w:sz w:val="20"/>
              </w:rPr>
            </w:pPr>
            <w:r w:rsidRPr="4E6883F4">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6AF127D" w14:textId="7B25CDAA">
            <w:pPr>
              <w:tabs>
                <w:tab w:val="center" w:pos="4320"/>
                <w:tab w:val="right" w:pos="8640"/>
              </w:tabs>
              <w:jc w:val="center"/>
              <w:rPr>
                <w:sz w:val="20"/>
              </w:rPr>
            </w:pPr>
            <w:r>
              <w:rPr>
                <w:sz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5650493" w14:textId="744FE40C">
            <w:pPr>
              <w:tabs>
                <w:tab w:val="center" w:pos="4320"/>
                <w:tab w:val="right" w:pos="8640"/>
              </w:tabs>
              <w:jc w:val="center"/>
              <w:rPr>
                <w:sz w:val="20"/>
              </w:rPr>
            </w:pPr>
            <w:r>
              <w:rPr>
                <w:sz w:val="20"/>
              </w:rPr>
              <w:t>45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8D3" w:rsidRPr="00C5442E" w:rsidP="00570379" w14:paraId="6FFF6C09" w14:textId="37EC92C7">
            <w:pPr>
              <w:tabs>
                <w:tab w:val="center" w:pos="4320"/>
                <w:tab w:val="right" w:pos="8640"/>
              </w:tabs>
              <w:jc w:val="center"/>
              <w:rPr>
                <w:rStyle w:val="CommentReference"/>
                <w:sz w:val="20"/>
                <w:szCs w:val="20"/>
              </w:rPr>
            </w:pPr>
            <w:r>
              <w:rPr>
                <w:rStyle w:val="CommentReference"/>
                <w:sz w:val="20"/>
                <w:szCs w:val="20"/>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1F6D59F7" w14:textId="7F41757A">
            <w:pPr>
              <w:tabs>
                <w:tab w:val="center" w:pos="4320"/>
                <w:tab w:val="right" w:pos="8640"/>
              </w:tabs>
              <w:jc w:val="center"/>
              <w:rPr>
                <w:rStyle w:val="CommentReference"/>
                <w:sz w:val="20"/>
                <w:szCs w:val="20"/>
              </w:rPr>
            </w:pPr>
            <w:r w:rsidRPr="00C5442E">
              <w:rPr>
                <w:rStyle w:val="CommentReference"/>
                <w:sz w:val="20"/>
                <w:szCs w:val="20"/>
              </w:rPr>
              <w:t>$</w:t>
            </w:r>
            <w:r w:rsidRPr="00C5442E" w:rsidR="0403D3DD">
              <w:rPr>
                <w:rStyle w:val="CommentReference"/>
                <w:sz w:val="20"/>
                <w:szCs w:val="20"/>
              </w:rPr>
              <w:t>47.78</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121150C" w14:textId="09C79DDC">
            <w:pPr>
              <w:tabs>
                <w:tab w:val="center" w:pos="4320"/>
                <w:tab w:val="right" w:pos="8640"/>
              </w:tabs>
              <w:jc w:val="center"/>
              <w:rPr>
                <w:sz w:val="20"/>
              </w:rPr>
            </w:pPr>
            <w:r w:rsidRPr="4E6883F4">
              <w:rPr>
                <w:sz w:val="20"/>
              </w:rPr>
              <w:t>$</w:t>
            </w:r>
            <w:r w:rsidR="00570B94">
              <w:rPr>
                <w:sz w:val="20"/>
              </w:rPr>
              <w:t>2,1</w:t>
            </w:r>
            <w:r w:rsidR="004754A1">
              <w:rPr>
                <w:sz w:val="20"/>
              </w:rPr>
              <w:t>50.10</w:t>
            </w:r>
          </w:p>
        </w:tc>
      </w:tr>
      <w:tr w14:paraId="5DBB7916" w14:textId="77777777" w:rsidTr="001532DF">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EE336EB" w14:textId="77777777">
            <w:pPr>
              <w:tabs>
                <w:tab w:val="center" w:pos="4320"/>
                <w:tab w:val="right" w:pos="8640"/>
              </w:tabs>
              <w:rPr>
                <w:sz w:val="20"/>
              </w:rPr>
            </w:pPr>
            <w:r w:rsidRPr="4E6883F4">
              <w:rPr>
                <w:sz w:val="20"/>
              </w:rPr>
              <w:t>Interviews with Program Directors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DBEB93F" w14:textId="77777777">
            <w:pPr>
              <w:tabs>
                <w:tab w:val="center" w:pos="4320"/>
                <w:tab w:val="right" w:pos="8640"/>
              </w:tabs>
              <w:jc w:val="center"/>
              <w:rPr>
                <w:sz w:val="20"/>
              </w:rPr>
            </w:pPr>
            <w:r w:rsidRPr="4E6883F4">
              <w:rPr>
                <w:sz w:val="20"/>
              </w:rPr>
              <w:t>18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8D5AAF6"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580C699F" w14:textId="77777777">
            <w:pPr>
              <w:tabs>
                <w:tab w:val="center" w:pos="4320"/>
                <w:tab w:val="right" w:pos="8640"/>
              </w:tabs>
              <w:jc w:val="center"/>
              <w:rPr>
                <w:sz w:val="20"/>
              </w:rPr>
            </w:pPr>
            <w:r w:rsidRPr="4E6883F4">
              <w:rPr>
                <w:sz w:val="20"/>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6F3CD2D3" w14:textId="77777777">
            <w:pPr>
              <w:tabs>
                <w:tab w:val="center" w:pos="4320"/>
                <w:tab w:val="right" w:pos="8640"/>
              </w:tabs>
              <w:jc w:val="center"/>
              <w:rPr>
                <w:sz w:val="20"/>
              </w:rPr>
            </w:pPr>
            <w:r w:rsidRPr="4E6883F4">
              <w:rPr>
                <w:sz w:val="20"/>
              </w:rPr>
              <w:t>27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688C" w:rsidRPr="00C5442E" w:rsidP="00570379" w14:paraId="7D0BBA93" w14:textId="25A5686C">
            <w:pPr>
              <w:tabs>
                <w:tab w:val="center" w:pos="4320"/>
                <w:tab w:val="right" w:pos="8640"/>
              </w:tabs>
              <w:jc w:val="center"/>
              <w:rPr>
                <w:rStyle w:val="CommentReference"/>
                <w:sz w:val="20"/>
                <w:szCs w:val="20"/>
              </w:rPr>
            </w:pPr>
            <w:r w:rsidRPr="00C5442E">
              <w:rPr>
                <w:rStyle w:val="CommentReference"/>
                <w:sz w:val="20"/>
                <w:szCs w:val="20"/>
              </w:rPr>
              <w:t>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0B70CF3C" w14:textId="22B1CE54">
            <w:pPr>
              <w:tabs>
                <w:tab w:val="center" w:pos="4320"/>
                <w:tab w:val="right" w:pos="8640"/>
              </w:tabs>
              <w:jc w:val="center"/>
              <w:rPr>
                <w:rStyle w:val="CommentReference"/>
                <w:sz w:val="20"/>
                <w:szCs w:val="20"/>
              </w:rPr>
            </w:pPr>
            <w:r w:rsidRPr="00C5442E">
              <w:rPr>
                <w:rStyle w:val="CommentReference"/>
                <w:sz w:val="20"/>
                <w:szCs w:val="20"/>
              </w:rPr>
              <w:t>$</w:t>
            </w:r>
            <w:r w:rsidRPr="00C5442E" w:rsidR="7F0AA91B">
              <w:rPr>
                <w:rStyle w:val="CommentReference"/>
                <w:sz w:val="20"/>
                <w:szCs w:val="20"/>
              </w:rPr>
              <w:t>74.06</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01CAD78A" w14:textId="1A45319A">
            <w:pPr>
              <w:tabs>
                <w:tab w:val="center" w:pos="4320"/>
                <w:tab w:val="right" w:pos="8640"/>
              </w:tabs>
              <w:jc w:val="center"/>
              <w:rPr>
                <w:sz w:val="20"/>
              </w:rPr>
            </w:pPr>
            <w:r w:rsidRPr="4E6883F4">
              <w:rPr>
                <w:sz w:val="20"/>
              </w:rPr>
              <w:t>$</w:t>
            </w:r>
            <w:r w:rsidRPr="4E6883F4" w:rsidR="7F0AA91B">
              <w:rPr>
                <w:sz w:val="20"/>
              </w:rPr>
              <w:t>1,999.62</w:t>
            </w:r>
          </w:p>
        </w:tc>
      </w:tr>
      <w:tr w14:paraId="318E445D" w14:textId="77777777" w:rsidTr="001532DF">
        <w:tblPrEx>
          <w:tblW w:w="9721" w:type="dxa"/>
          <w:jc w:val="center"/>
          <w:tblLayout w:type="fixed"/>
          <w:tblLook w:val="00A0"/>
        </w:tblPrEx>
        <w:trPr>
          <w:trHeight w:val="431"/>
          <w:jc w:val="center"/>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7C21246C" w14:textId="77777777">
            <w:pPr>
              <w:tabs>
                <w:tab w:val="center" w:pos="4320"/>
                <w:tab w:val="right" w:pos="8640"/>
              </w:tabs>
              <w:rPr>
                <w:sz w:val="20"/>
              </w:rPr>
            </w:pPr>
            <w:r w:rsidRPr="4E6883F4">
              <w:rPr>
                <w:sz w:val="20"/>
              </w:rPr>
              <w:t>Interviews with Caseworkers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E7F3581" w14:textId="6B8CA68D">
            <w:pPr>
              <w:tabs>
                <w:tab w:val="center" w:pos="4320"/>
                <w:tab w:val="right" w:pos="8640"/>
              </w:tabs>
              <w:jc w:val="center"/>
              <w:rPr>
                <w:sz w:val="20"/>
              </w:rPr>
            </w:pPr>
            <w:r w:rsidRPr="4E6883F4">
              <w:rPr>
                <w:sz w:val="20"/>
              </w:rPr>
              <w:t>36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134497E"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1DF42005" w14:textId="77777777">
            <w:pPr>
              <w:tabs>
                <w:tab w:val="center" w:pos="4320"/>
                <w:tab w:val="right" w:pos="8640"/>
              </w:tabs>
              <w:jc w:val="center"/>
              <w:rPr>
                <w:sz w:val="20"/>
              </w:rPr>
            </w:pPr>
            <w:r w:rsidRPr="4E6883F4">
              <w:rPr>
                <w:sz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397D30F7" w14:textId="0DDE659D">
            <w:pPr>
              <w:tabs>
                <w:tab w:val="center" w:pos="4320"/>
                <w:tab w:val="right" w:pos="8640"/>
              </w:tabs>
              <w:jc w:val="center"/>
              <w:rPr>
                <w:sz w:val="20"/>
              </w:rPr>
            </w:pPr>
            <w:r w:rsidRPr="4E6883F4">
              <w:rPr>
                <w:sz w:val="20"/>
              </w:rPr>
              <w:t>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1C53" w:rsidRPr="00C5442E" w:rsidP="00570379" w14:paraId="5A302BF1" w14:textId="1054AB74">
            <w:pPr>
              <w:tabs>
                <w:tab w:val="center" w:pos="4320"/>
                <w:tab w:val="right" w:pos="8640"/>
              </w:tabs>
              <w:jc w:val="center"/>
              <w:rPr>
                <w:rStyle w:val="CommentReference"/>
                <w:sz w:val="20"/>
                <w:szCs w:val="20"/>
              </w:rPr>
            </w:pPr>
            <w:r w:rsidRPr="00C5442E">
              <w:rPr>
                <w:rStyle w:val="CommentReference"/>
                <w:sz w:val="20"/>
                <w:szCs w:val="20"/>
              </w:rPr>
              <w:t>12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C5442E" w:rsidP="4E6883F4" w14:paraId="12CC42B5" w14:textId="27ECEB37">
            <w:pPr>
              <w:tabs>
                <w:tab w:val="center" w:pos="4320"/>
                <w:tab w:val="right" w:pos="8640"/>
              </w:tabs>
              <w:jc w:val="center"/>
              <w:rPr>
                <w:rStyle w:val="CommentReference"/>
                <w:sz w:val="20"/>
                <w:szCs w:val="20"/>
              </w:rPr>
            </w:pPr>
            <w:r w:rsidRPr="00C5442E">
              <w:rPr>
                <w:rStyle w:val="CommentReference"/>
                <w:sz w:val="20"/>
                <w:szCs w:val="20"/>
              </w:rPr>
              <w:t>$</w:t>
            </w:r>
            <w:r w:rsidRPr="00C5442E" w:rsidR="0FD10FBD">
              <w:rPr>
                <w:rStyle w:val="CommentReference"/>
                <w:sz w:val="20"/>
                <w:szCs w:val="20"/>
              </w:rPr>
              <w:t>56.14</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5672" w:rsidRPr="00912CCA" w:rsidP="4E6883F4" w14:paraId="4127DE77" w14:textId="6993EC58">
            <w:pPr>
              <w:tabs>
                <w:tab w:val="center" w:pos="4320"/>
                <w:tab w:val="right" w:pos="8640"/>
              </w:tabs>
              <w:jc w:val="center"/>
              <w:rPr>
                <w:sz w:val="20"/>
              </w:rPr>
            </w:pPr>
            <w:r w:rsidRPr="4E6883F4">
              <w:rPr>
                <w:sz w:val="20"/>
              </w:rPr>
              <w:t>$</w:t>
            </w:r>
            <w:r w:rsidRPr="4E6883F4" w:rsidR="0FD10FBD">
              <w:rPr>
                <w:sz w:val="20"/>
              </w:rPr>
              <w:t>2,021.04</w:t>
            </w:r>
          </w:p>
        </w:tc>
      </w:tr>
      <w:tr w14:paraId="17C1A689" w14:textId="77777777" w:rsidTr="001532DF">
        <w:tblPrEx>
          <w:tblW w:w="9721" w:type="dxa"/>
          <w:jc w:val="center"/>
          <w:tblLayout w:type="fixed"/>
          <w:tblLook w:val="00A0"/>
        </w:tblPrEx>
        <w:trPr>
          <w:gridAfter w:val="1"/>
          <w:wAfter w:w="6" w:type="dxa"/>
          <w:trHeight w:val="299"/>
          <w:jc w:val="center"/>
        </w:trPr>
        <w:tc>
          <w:tcPr>
            <w:tcW w:w="63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0E1" w:rsidP="4E6883F4" w14:paraId="245CBD97" w14:textId="77777777">
            <w:pPr>
              <w:tabs>
                <w:tab w:val="center" w:pos="4320"/>
                <w:tab w:val="right" w:pos="8640"/>
              </w:tabs>
              <w:jc w:val="right"/>
              <w:rPr>
                <w:rStyle w:val="normaltextrun"/>
                <w:b/>
                <w:bCs/>
                <w:color w:val="000000"/>
                <w:sz w:val="20"/>
                <w:shd w:val="clear" w:color="auto" w:fill="FFFFFF"/>
              </w:rPr>
            </w:pPr>
          </w:p>
          <w:p w:rsidR="002A20E1" w:rsidRPr="00912CCA" w:rsidP="4E6883F4" w14:paraId="1D90A5B9" w14:textId="081EE5A6">
            <w:pPr>
              <w:tabs>
                <w:tab w:val="center" w:pos="4320"/>
                <w:tab w:val="right" w:pos="8640"/>
              </w:tabs>
              <w:jc w:val="right"/>
              <w:rPr>
                <w:b/>
                <w:bCs/>
                <w:sz w:val="20"/>
              </w:rPr>
            </w:pPr>
            <w:r>
              <w:rPr>
                <w:rStyle w:val="normaltextrun"/>
                <w:b/>
                <w:bCs/>
                <w:color w:val="000000"/>
                <w:sz w:val="20"/>
                <w:shd w:val="clear" w:color="auto" w:fill="FFFFFF"/>
              </w:rPr>
              <w:t xml:space="preserve">Estimated Annual </w:t>
            </w:r>
            <w:r>
              <w:rPr>
                <w:rStyle w:val="normaltextrun"/>
                <w:b/>
                <w:bCs/>
                <w:color w:val="000000"/>
                <w:sz w:val="20"/>
              </w:rPr>
              <w:t>Burden</w:t>
            </w:r>
            <w:r>
              <w:rPr>
                <w:rStyle w:val="normaltextrun"/>
                <w:b/>
                <w:bCs/>
                <w:color w:val="000000"/>
                <w:sz w:val="20"/>
                <w:shd w:val="clear" w:color="auto" w:fill="FFFFFF"/>
              </w:rPr>
              <w:t xml:space="preserve"> Total: </w:t>
            </w:r>
            <w:r w:rsidRPr="31A66DC0">
              <w:rPr>
                <w:b/>
                <w:bCs/>
                <w:sz w:val="20"/>
              </w:rPr>
              <w:t xml:space="preserve"> </w:t>
            </w:r>
          </w:p>
          <w:p w:rsidR="002A20E1" w:rsidRPr="00912CCA" w:rsidP="4E6883F4" w14:paraId="167B6464" w14:textId="49FFB1ED">
            <w:pPr>
              <w:tabs>
                <w:tab w:val="center" w:pos="4320"/>
                <w:tab w:val="right" w:pos="8640"/>
              </w:tabs>
              <w:jc w:val="center"/>
              <w:rPr>
                <w:b/>
                <w:bCs/>
                <w:sz w:val="20"/>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D40" w:rsidP="4E6883F4" w14:paraId="5D997DCD" w14:textId="77777777">
            <w:pPr>
              <w:tabs>
                <w:tab w:val="center" w:pos="4320"/>
                <w:tab w:val="right" w:pos="8640"/>
              </w:tabs>
              <w:jc w:val="center"/>
              <w:rPr>
                <w:b/>
                <w:bCs/>
                <w:sz w:val="20"/>
              </w:rPr>
            </w:pPr>
          </w:p>
          <w:p w:rsidR="002A20E1" w:rsidRPr="00912CCA" w:rsidP="4E6883F4" w14:paraId="3C7B4DF8" w14:textId="3DFF6982">
            <w:pPr>
              <w:tabs>
                <w:tab w:val="center" w:pos="4320"/>
                <w:tab w:val="right" w:pos="8640"/>
              </w:tabs>
              <w:jc w:val="center"/>
              <w:rPr>
                <w:b/>
                <w:bCs/>
                <w:sz w:val="20"/>
              </w:rPr>
            </w:pPr>
            <w:r>
              <w:rPr>
                <w:b/>
                <w:bCs/>
                <w:sz w:val="20"/>
              </w:rPr>
              <w:t>1,411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0E1" w:rsidRPr="00912CCA" w:rsidP="4E6883F4" w14:paraId="62BA3275" w14:textId="18571AE7">
            <w:pPr>
              <w:tabs>
                <w:tab w:val="center" w:pos="4320"/>
                <w:tab w:val="right" w:pos="8640"/>
              </w:tabs>
              <w:jc w:val="center"/>
              <w:rPr>
                <w:b/>
                <w:bCs/>
                <w:sz w:val="20"/>
              </w:rPr>
            </w:pPr>
            <w:r w:rsidRPr="4E6883F4">
              <w:rPr>
                <w:b/>
                <w:bCs/>
                <w:sz w:val="20"/>
              </w:rPr>
              <w:t>Estimated Annual Cost</w:t>
            </w:r>
            <w:r>
              <w:rPr>
                <w:b/>
                <w:bCs/>
                <w:sz w:val="20"/>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0E1" w:rsidRPr="00912CCA" w:rsidP="4E6883F4" w14:paraId="16C717BD" w14:textId="364A375A">
            <w:pPr>
              <w:tabs>
                <w:tab w:val="center" w:pos="4320"/>
                <w:tab w:val="right" w:pos="8640"/>
              </w:tabs>
              <w:jc w:val="center"/>
              <w:rPr>
                <w:b/>
                <w:bCs/>
                <w:sz w:val="20"/>
              </w:rPr>
            </w:pPr>
            <w:r>
              <w:rPr>
                <w:b/>
                <w:bCs/>
                <w:sz w:val="20"/>
              </w:rPr>
              <w:t>$17,419.79</w:t>
            </w:r>
          </w:p>
        </w:tc>
      </w:tr>
    </w:tbl>
    <w:p w:rsidR="006E7FFB" w:rsidRPr="001532DF" w:rsidP="006E7FFB" w14:paraId="7B1E94A2" w14:textId="77777777">
      <w:pPr>
        <w:widowControl/>
        <w:rPr>
          <w:szCs w:val="24"/>
        </w:rPr>
      </w:pPr>
    </w:p>
    <w:p w:rsidR="006E7FFB" w:rsidRPr="001532DF" w:rsidP="006E7FFB" w14:paraId="5F38F3E6" w14:textId="60AFDCCB">
      <w:pPr>
        <w:widowControl/>
        <w:ind w:left="360"/>
        <w:rPr>
          <w:szCs w:val="24"/>
        </w:rPr>
      </w:pPr>
      <w:r w:rsidRPr="001532DF">
        <w:rPr>
          <w:szCs w:val="24"/>
        </w:rPr>
        <w:t xml:space="preserve">The cost to respondents was calculated using the Bureau of Labor Statistics (BLS) </w:t>
      </w:r>
      <w:r w:rsidRPr="001532DF">
        <w:rPr>
          <w:snapToGrid/>
          <w:szCs w:val="24"/>
        </w:rPr>
        <w:t>wage data from May 202</w:t>
      </w:r>
      <w:r w:rsidRPr="001532DF" w:rsidR="78B7DF87">
        <w:rPr>
          <w:szCs w:val="24"/>
        </w:rPr>
        <w:t>3</w:t>
      </w:r>
      <w:r w:rsidRPr="001532DF">
        <w:rPr>
          <w:snapToGrid/>
          <w:szCs w:val="24"/>
        </w:rPr>
        <w:t xml:space="preserve">. To account for fringe benefits and overhead the rate was multiplied by two. </w:t>
      </w:r>
      <w:hyperlink r:id="rId15" w:history="1">
        <w:r w:rsidRPr="001532DF" w:rsidR="002A5BE6">
          <w:rPr>
            <w:rStyle w:val="Hyperlink"/>
            <w:snapToGrid/>
            <w:szCs w:val="24"/>
          </w:rPr>
          <w:t>https://www.bls.gov/oes/current/oes210000.htm</w:t>
        </w:r>
      </w:hyperlink>
      <w:r w:rsidRPr="001532DF" w:rsidR="002A5BE6">
        <w:rPr>
          <w:snapToGrid/>
          <w:szCs w:val="24"/>
        </w:rPr>
        <w:t xml:space="preserve"> </w:t>
      </w:r>
    </w:p>
    <w:p w:rsidR="006E7FFB" w:rsidRPr="001532DF" w:rsidP="006E7FFB" w14:paraId="26F1B1DF" w14:textId="77777777">
      <w:pPr>
        <w:widowControl/>
        <w:ind w:left="360"/>
        <w:rPr>
          <w:snapToGrid/>
          <w:szCs w:val="24"/>
        </w:rPr>
      </w:pPr>
    </w:p>
    <w:p w:rsidR="006E7FFB" w:rsidRPr="001532DF" w:rsidP="006E7FFB" w14:paraId="21418065" w14:textId="77777777">
      <w:pPr>
        <w:widowControl/>
        <w:ind w:left="360"/>
        <w:rPr>
          <w:snapToGrid/>
          <w:szCs w:val="24"/>
        </w:rPr>
      </w:pPr>
      <w:r w:rsidRPr="001532DF">
        <w:rPr>
          <w:snapToGrid/>
          <w:szCs w:val="24"/>
        </w:rPr>
        <w:t>Rationales</w:t>
      </w:r>
    </w:p>
    <w:p w:rsidR="006E7FFB" w:rsidRPr="001532DF" w:rsidP="006E7FFB" w14:paraId="68E767FF" w14:textId="768BD872">
      <w:pPr>
        <w:pStyle w:val="ListParagraph"/>
        <w:widowControl/>
        <w:numPr>
          <w:ilvl w:val="0"/>
          <w:numId w:val="24"/>
        </w:numPr>
        <w:rPr>
          <w:szCs w:val="24"/>
        </w:rPr>
      </w:pPr>
      <w:r w:rsidRPr="001532DF">
        <w:rPr>
          <w:snapToGrid/>
          <w:szCs w:val="24"/>
        </w:rPr>
        <w:t>For</w:t>
      </w:r>
      <w:r w:rsidRPr="001532DF" w:rsidR="00FC42AC">
        <w:rPr>
          <w:snapToGrid/>
          <w:szCs w:val="24"/>
        </w:rPr>
        <w:t xml:space="preserve"> the</w:t>
      </w:r>
      <w:r w:rsidRPr="001532DF">
        <w:rPr>
          <w:snapToGrid/>
          <w:szCs w:val="24"/>
        </w:rPr>
        <w:t xml:space="preserve"> self-sufficiency matrix, service receipt questionnaire, and focus groups, using the federal minimum wage level ($7.25).  </w:t>
      </w:r>
    </w:p>
    <w:p w:rsidR="006E7FFB" w:rsidRPr="001532DF" w:rsidP="006E7FFB" w14:paraId="108DA284" w14:textId="062B0955">
      <w:pPr>
        <w:pStyle w:val="ListParagraph"/>
        <w:widowControl/>
        <w:numPr>
          <w:ilvl w:val="0"/>
          <w:numId w:val="24"/>
        </w:numPr>
        <w:rPr>
          <w:szCs w:val="24"/>
        </w:rPr>
      </w:pPr>
      <w:r w:rsidRPr="001532DF">
        <w:rPr>
          <w:snapToGrid/>
          <w:szCs w:val="24"/>
        </w:rPr>
        <w:t>For quarterly PPRs and semi-annual reports, using “community and social service specialists” (21-1099) median wage rate of $</w:t>
      </w:r>
      <w:r w:rsidRPr="001532DF" w:rsidR="00F85C14">
        <w:rPr>
          <w:snapToGrid/>
          <w:szCs w:val="24"/>
        </w:rPr>
        <w:t>23.</w:t>
      </w:r>
      <w:r w:rsidRPr="001532DF" w:rsidR="00302AA2">
        <w:rPr>
          <w:snapToGrid/>
          <w:szCs w:val="24"/>
        </w:rPr>
        <w:t>89</w:t>
      </w:r>
      <w:r w:rsidRPr="001532DF">
        <w:rPr>
          <w:snapToGrid/>
          <w:szCs w:val="24"/>
        </w:rPr>
        <w:t xml:space="preserve">. </w:t>
      </w:r>
      <w:r w:rsidRPr="001532DF">
        <w:rPr>
          <w:szCs w:val="24"/>
        </w:rPr>
        <w:t>To account for fringe benefits and overhead</w:t>
      </w:r>
      <w:r w:rsidRPr="001532DF" w:rsidR="00786144">
        <w:rPr>
          <w:szCs w:val="24"/>
        </w:rPr>
        <w:t>,</w:t>
      </w:r>
      <w:r w:rsidRPr="001532DF">
        <w:rPr>
          <w:szCs w:val="24"/>
        </w:rPr>
        <w:t xml:space="preserve"> the rate was multiplied by two</w:t>
      </w:r>
      <w:r w:rsidRPr="001532DF" w:rsidR="00FC42AC">
        <w:rPr>
          <w:szCs w:val="24"/>
        </w:rPr>
        <w:t>,</w:t>
      </w:r>
      <w:r w:rsidRPr="001532DF">
        <w:rPr>
          <w:szCs w:val="24"/>
        </w:rPr>
        <w:t xml:space="preserve"> which is $</w:t>
      </w:r>
      <w:r w:rsidRPr="001532DF" w:rsidR="00E14464">
        <w:rPr>
          <w:szCs w:val="24"/>
        </w:rPr>
        <w:t>47.78</w:t>
      </w:r>
      <w:r w:rsidRPr="001532DF">
        <w:rPr>
          <w:szCs w:val="24"/>
        </w:rPr>
        <w:t>.</w:t>
      </w:r>
    </w:p>
    <w:p w:rsidR="006E7FFB" w:rsidRPr="001532DF" w:rsidP="006E7FFB" w14:paraId="24A0659E" w14:textId="0770BB17">
      <w:pPr>
        <w:pStyle w:val="ListParagraph"/>
        <w:widowControl/>
        <w:numPr>
          <w:ilvl w:val="0"/>
          <w:numId w:val="24"/>
        </w:numPr>
        <w:rPr>
          <w:szCs w:val="24"/>
        </w:rPr>
      </w:pPr>
      <w:r w:rsidRPr="001532DF">
        <w:rPr>
          <w:snapToGrid/>
          <w:szCs w:val="24"/>
        </w:rPr>
        <w:t xml:space="preserve">For interviews with program directors, using “social and community service managers” (11-9151) median wage rate </w:t>
      </w:r>
      <w:r w:rsidRPr="001532DF">
        <w:rPr>
          <w:szCs w:val="24"/>
        </w:rPr>
        <w:t>of $</w:t>
      </w:r>
      <w:r w:rsidRPr="001532DF" w:rsidR="001618B7">
        <w:rPr>
          <w:szCs w:val="24"/>
        </w:rPr>
        <w:t>37</w:t>
      </w:r>
      <w:r w:rsidRPr="001532DF">
        <w:rPr>
          <w:szCs w:val="24"/>
        </w:rPr>
        <w:t>.</w:t>
      </w:r>
      <w:r w:rsidRPr="001532DF" w:rsidR="001618B7">
        <w:rPr>
          <w:szCs w:val="24"/>
        </w:rPr>
        <w:t>03</w:t>
      </w:r>
      <w:r w:rsidRPr="001532DF">
        <w:rPr>
          <w:szCs w:val="24"/>
        </w:rPr>
        <w:t>. To account for fringe benefits and overhead</w:t>
      </w:r>
      <w:r w:rsidRPr="001532DF" w:rsidR="00786144">
        <w:rPr>
          <w:szCs w:val="24"/>
        </w:rPr>
        <w:t>,</w:t>
      </w:r>
      <w:r w:rsidRPr="001532DF">
        <w:rPr>
          <w:szCs w:val="24"/>
        </w:rPr>
        <w:t xml:space="preserve"> the rate was multiplied by two</w:t>
      </w:r>
      <w:r w:rsidRPr="001532DF" w:rsidR="00FC42AC">
        <w:rPr>
          <w:szCs w:val="24"/>
        </w:rPr>
        <w:t>,</w:t>
      </w:r>
      <w:r w:rsidRPr="001532DF">
        <w:rPr>
          <w:szCs w:val="24"/>
        </w:rPr>
        <w:t xml:space="preserve"> which is $</w:t>
      </w:r>
      <w:r w:rsidRPr="001532DF" w:rsidR="00FC7C34">
        <w:rPr>
          <w:szCs w:val="24"/>
        </w:rPr>
        <w:t>74</w:t>
      </w:r>
      <w:r w:rsidRPr="001532DF">
        <w:rPr>
          <w:szCs w:val="24"/>
        </w:rPr>
        <w:t>.</w:t>
      </w:r>
      <w:r w:rsidRPr="001532DF" w:rsidR="00FC7C34">
        <w:rPr>
          <w:szCs w:val="24"/>
        </w:rPr>
        <w:t>06</w:t>
      </w:r>
      <w:r w:rsidRPr="001532DF">
        <w:rPr>
          <w:szCs w:val="24"/>
        </w:rPr>
        <w:t xml:space="preserve">. </w:t>
      </w:r>
    </w:p>
    <w:p w:rsidR="006E7FFB" w:rsidRPr="001532DF" w:rsidP="006E7FFB" w14:paraId="386712B3" w14:textId="1974D7DF">
      <w:pPr>
        <w:pStyle w:val="ListParagraph"/>
        <w:widowControl/>
        <w:numPr>
          <w:ilvl w:val="0"/>
          <w:numId w:val="24"/>
        </w:numPr>
        <w:rPr>
          <w:szCs w:val="24"/>
        </w:rPr>
      </w:pPr>
      <w:r w:rsidRPr="001532DF">
        <w:rPr>
          <w:snapToGrid/>
          <w:szCs w:val="24"/>
        </w:rPr>
        <w:t>For interviews with caseworkers, using “social workers” (21-</w:t>
      </w:r>
      <w:r w:rsidRPr="001532DF" w:rsidR="00B532F8">
        <w:rPr>
          <w:snapToGrid/>
          <w:szCs w:val="24"/>
        </w:rPr>
        <w:t>1020</w:t>
      </w:r>
      <w:r w:rsidRPr="001532DF">
        <w:rPr>
          <w:snapToGrid/>
          <w:szCs w:val="24"/>
        </w:rPr>
        <w:t>) median wage rate</w:t>
      </w:r>
      <w:r w:rsidRPr="001532DF">
        <w:rPr>
          <w:szCs w:val="24"/>
        </w:rPr>
        <w:t xml:space="preserve"> of $</w:t>
      </w:r>
      <w:r w:rsidRPr="001532DF" w:rsidR="004011E3">
        <w:rPr>
          <w:szCs w:val="24"/>
        </w:rPr>
        <w:t>28.07</w:t>
      </w:r>
      <w:r w:rsidRPr="001532DF">
        <w:rPr>
          <w:szCs w:val="24"/>
        </w:rPr>
        <w:t>. To account for fringe benefits and overhead</w:t>
      </w:r>
      <w:r w:rsidRPr="001532DF" w:rsidR="00786144">
        <w:rPr>
          <w:szCs w:val="24"/>
        </w:rPr>
        <w:t>,</w:t>
      </w:r>
      <w:r w:rsidRPr="001532DF">
        <w:rPr>
          <w:szCs w:val="24"/>
        </w:rPr>
        <w:t xml:space="preserve"> the rate was multiplied by two</w:t>
      </w:r>
      <w:r w:rsidRPr="001532DF" w:rsidR="00786144">
        <w:rPr>
          <w:szCs w:val="24"/>
        </w:rPr>
        <w:t>,</w:t>
      </w:r>
      <w:r w:rsidRPr="001532DF">
        <w:rPr>
          <w:szCs w:val="24"/>
        </w:rPr>
        <w:t xml:space="preserve"> which is $</w:t>
      </w:r>
      <w:r w:rsidRPr="001532DF" w:rsidR="0052797F">
        <w:rPr>
          <w:szCs w:val="24"/>
        </w:rPr>
        <w:t>56</w:t>
      </w:r>
      <w:r w:rsidRPr="001532DF">
        <w:rPr>
          <w:szCs w:val="24"/>
        </w:rPr>
        <w:t>.</w:t>
      </w:r>
      <w:r w:rsidRPr="001532DF" w:rsidR="0052797F">
        <w:rPr>
          <w:szCs w:val="24"/>
        </w:rPr>
        <w:t>14</w:t>
      </w:r>
      <w:r w:rsidRPr="001532DF">
        <w:rPr>
          <w:szCs w:val="24"/>
        </w:rPr>
        <w:t>.</w:t>
      </w:r>
    </w:p>
    <w:p w:rsidR="00D60543" w:rsidP="00DE529D" w14:paraId="344EF814" w14:textId="77777777">
      <w:pPr>
        <w:widowControl/>
        <w:ind w:left="360"/>
        <w:rPr>
          <w:snapToGrid/>
          <w:szCs w:val="24"/>
        </w:rPr>
      </w:pPr>
    </w:p>
    <w:p w:rsidR="001532DF" w:rsidRPr="001532DF" w:rsidP="00DE529D" w14:paraId="607A7184" w14:textId="77777777">
      <w:pPr>
        <w:widowControl/>
        <w:ind w:left="360"/>
        <w:rPr>
          <w:snapToGrid/>
          <w:szCs w:val="24"/>
        </w:rPr>
      </w:pPr>
    </w:p>
    <w:p w:rsidR="00D60543" w:rsidRPr="001532DF" w:rsidP="00075889" w14:paraId="548FE903" w14:textId="77777777">
      <w:pPr>
        <w:widowControl/>
        <w:numPr>
          <w:ilvl w:val="0"/>
          <w:numId w:val="4"/>
        </w:numPr>
        <w:tabs>
          <w:tab w:val="num" w:pos="360"/>
        </w:tabs>
        <w:spacing w:after="120"/>
        <w:ind w:left="360"/>
        <w:rPr>
          <w:b/>
          <w:snapToGrid/>
          <w:szCs w:val="24"/>
        </w:rPr>
      </w:pPr>
      <w:r w:rsidRPr="001532DF">
        <w:rPr>
          <w:b/>
          <w:bCs/>
          <w:snapToGrid/>
          <w:szCs w:val="24"/>
        </w:rPr>
        <w:t xml:space="preserve">Estimates of Other Total Annual Cost Burden to Respondents and Record Keepers </w:t>
      </w:r>
    </w:p>
    <w:p w:rsidR="006E7FFB" w:rsidRPr="001532DF" w:rsidP="006E7FFB" w14:paraId="7768F9D9" w14:textId="77777777">
      <w:pPr>
        <w:widowControl/>
        <w:ind w:left="360"/>
        <w:rPr>
          <w:snapToGrid/>
          <w:szCs w:val="24"/>
        </w:rPr>
      </w:pPr>
      <w:r w:rsidRPr="001532DF">
        <w:rPr>
          <w:szCs w:val="24"/>
        </w:rPr>
        <w:t xml:space="preserve">There are no other costs to respondents and record keepers.  </w:t>
      </w:r>
    </w:p>
    <w:p w:rsidR="00D60543" w:rsidRPr="001532DF" w:rsidP="00DE529D" w14:paraId="0BE3C51C" w14:textId="77777777">
      <w:pPr>
        <w:widowControl/>
        <w:ind w:left="360"/>
        <w:rPr>
          <w:snapToGrid/>
          <w:szCs w:val="24"/>
        </w:rPr>
      </w:pPr>
    </w:p>
    <w:p w:rsidR="002C3C4F" w:rsidRPr="001532DF" w:rsidP="00817E2B" w14:paraId="3C0D7334" w14:textId="77777777">
      <w:pPr>
        <w:widowControl/>
        <w:numPr>
          <w:ilvl w:val="0"/>
          <w:numId w:val="4"/>
        </w:numPr>
        <w:tabs>
          <w:tab w:val="num" w:pos="360"/>
        </w:tabs>
        <w:spacing w:after="120"/>
        <w:ind w:left="360"/>
        <w:rPr>
          <w:b/>
          <w:snapToGrid/>
          <w:szCs w:val="24"/>
        </w:rPr>
      </w:pPr>
      <w:r w:rsidRPr="001532DF">
        <w:rPr>
          <w:b/>
          <w:bCs/>
          <w:snapToGrid/>
          <w:szCs w:val="24"/>
        </w:rPr>
        <w:t>A</w:t>
      </w:r>
      <w:r w:rsidRPr="001532DF" w:rsidR="5408A3E8">
        <w:rPr>
          <w:b/>
          <w:bCs/>
          <w:snapToGrid/>
          <w:szCs w:val="24"/>
        </w:rPr>
        <w:t xml:space="preserve">nnualized Cost to the Federal Government </w:t>
      </w:r>
    </w:p>
    <w:p w:rsidR="006E7FFB" w:rsidRPr="001532DF" w:rsidP="006E7FFB" w14:paraId="2AB77C7A" w14:textId="1278ABAB">
      <w:pPr>
        <w:widowControl/>
        <w:tabs>
          <w:tab w:val="num" w:pos="360"/>
        </w:tabs>
        <w:ind w:left="360"/>
        <w:rPr>
          <w:szCs w:val="24"/>
        </w:rPr>
      </w:pPr>
      <w:r w:rsidRPr="001532DF">
        <w:rPr>
          <w:szCs w:val="24"/>
        </w:rPr>
        <w:t xml:space="preserve">The total </w:t>
      </w:r>
      <w:r w:rsidRPr="001532DF" w:rsidR="004713C4">
        <w:rPr>
          <w:szCs w:val="24"/>
        </w:rPr>
        <w:t xml:space="preserve">annual </w:t>
      </w:r>
      <w:r w:rsidRPr="001532DF">
        <w:rPr>
          <w:szCs w:val="24"/>
        </w:rPr>
        <w:t>cost for the data collection activities under this current request will be $43,000. This sum reflects federal staff time to send out the survey instruments, complete interviews, administer data collection, and analyze data. The average salary of the staff working on this program is a GS12, which is compensated at an average wage rate of $89,834 annually, $43 hourly. It is anticipated that federal staff will spend about 1,000 hours on this project</w:t>
      </w:r>
      <w:r w:rsidRPr="001532DF" w:rsidR="00DB4CF3">
        <w:rPr>
          <w:szCs w:val="24"/>
        </w:rPr>
        <w:t xml:space="preserve"> annually</w:t>
      </w:r>
      <w:r w:rsidRPr="001532DF">
        <w:rPr>
          <w:szCs w:val="24"/>
        </w:rPr>
        <w:t>.</w:t>
      </w:r>
    </w:p>
    <w:p w:rsidR="00DE529D" w:rsidRPr="001532DF" w:rsidP="006E7FFB" w14:paraId="35C07DCF" w14:textId="77777777">
      <w:pPr>
        <w:widowControl/>
        <w:ind w:left="-450"/>
        <w:rPr>
          <w:snapToGrid/>
          <w:szCs w:val="24"/>
        </w:rPr>
      </w:pPr>
    </w:p>
    <w:p w:rsidR="002C3C4F" w:rsidRPr="001532DF" w:rsidP="00817E2B" w14:paraId="34A74A36" w14:textId="77777777">
      <w:pPr>
        <w:widowControl/>
        <w:numPr>
          <w:ilvl w:val="0"/>
          <w:numId w:val="4"/>
        </w:numPr>
        <w:tabs>
          <w:tab w:val="num" w:pos="360"/>
        </w:tabs>
        <w:spacing w:after="120"/>
        <w:ind w:left="360"/>
        <w:rPr>
          <w:b/>
          <w:snapToGrid/>
          <w:szCs w:val="24"/>
        </w:rPr>
      </w:pPr>
      <w:r w:rsidRPr="001532DF">
        <w:rPr>
          <w:b/>
          <w:bCs/>
          <w:snapToGrid/>
          <w:szCs w:val="24"/>
        </w:rPr>
        <w:t xml:space="preserve">Explanation for Program Changes or Adjustments </w:t>
      </w:r>
    </w:p>
    <w:p w:rsidR="006E7FFB" w:rsidRPr="001532DF" w:rsidP="00D96C50" w14:paraId="1CEEB6E0" w14:textId="4BAFC11C">
      <w:pPr>
        <w:pStyle w:val="CommentText"/>
        <w:ind w:left="360"/>
        <w:rPr>
          <w:szCs w:val="24"/>
        </w:rPr>
      </w:pPr>
      <w:r w:rsidRPr="001532DF">
        <w:rPr>
          <w:snapToGrid/>
          <w:szCs w:val="24"/>
        </w:rPr>
        <w:t xml:space="preserve">This </w:t>
      </w:r>
      <w:r w:rsidRPr="001532DF" w:rsidR="00B714C9">
        <w:rPr>
          <w:snapToGrid/>
          <w:szCs w:val="24"/>
        </w:rPr>
        <w:t>request</w:t>
      </w:r>
      <w:r w:rsidRPr="001532DF" w:rsidR="572CE675">
        <w:rPr>
          <w:snapToGrid/>
          <w:szCs w:val="24"/>
        </w:rPr>
        <w:t xml:space="preserve"> is to revise and</w:t>
      </w:r>
      <w:r w:rsidRPr="001532DF" w:rsidR="00B714C9">
        <w:rPr>
          <w:snapToGrid/>
          <w:szCs w:val="24"/>
        </w:rPr>
        <w:t xml:space="preserve"> extend</w:t>
      </w:r>
      <w:r w:rsidRPr="001532DF" w:rsidR="3270B3A4">
        <w:rPr>
          <w:snapToGrid/>
          <w:szCs w:val="24"/>
        </w:rPr>
        <w:t xml:space="preserve"> approval of</w:t>
      </w:r>
      <w:r w:rsidRPr="001532DF" w:rsidR="2C9C9A04">
        <w:rPr>
          <w:snapToGrid/>
          <w:szCs w:val="24"/>
        </w:rPr>
        <w:t xml:space="preserve"> </w:t>
      </w:r>
      <w:r w:rsidRPr="001532DF" w:rsidR="00B714C9">
        <w:rPr>
          <w:snapToGrid/>
          <w:szCs w:val="24"/>
        </w:rPr>
        <w:t>the</w:t>
      </w:r>
      <w:r w:rsidRPr="001532DF" w:rsidR="00B22370">
        <w:rPr>
          <w:snapToGrid/>
          <w:szCs w:val="24"/>
        </w:rPr>
        <w:t xml:space="preserve"> data collection under OMB #0970-0</w:t>
      </w:r>
      <w:r w:rsidRPr="001532DF" w:rsidR="005A7E11">
        <w:rPr>
          <w:snapToGrid/>
          <w:szCs w:val="24"/>
        </w:rPr>
        <w:t>628</w:t>
      </w:r>
      <w:r w:rsidRPr="001532DF" w:rsidR="00B22370">
        <w:rPr>
          <w:snapToGrid/>
          <w:szCs w:val="24"/>
        </w:rPr>
        <w:t xml:space="preserve"> to collect follow up data from respondents</w:t>
      </w:r>
      <w:r w:rsidRPr="001532DF" w:rsidR="00B714C9">
        <w:rPr>
          <w:snapToGrid/>
          <w:szCs w:val="24"/>
        </w:rPr>
        <w:t>, continue monitoring progress of the program</w:t>
      </w:r>
      <w:r w:rsidRPr="001532DF" w:rsidR="009625D3">
        <w:rPr>
          <w:snapToGrid/>
          <w:szCs w:val="24"/>
        </w:rPr>
        <w:t>, and provide follow up reporting on the results of the demonstration</w:t>
      </w:r>
      <w:r w:rsidRPr="001532DF" w:rsidR="00B22370">
        <w:rPr>
          <w:snapToGrid/>
          <w:szCs w:val="24"/>
        </w:rPr>
        <w:t>.</w:t>
      </w:r>
      <w:r w:rsidRPr="001532DF" w:rsidR="00B714C9">
        <w:rPr>
          <w:snapToGrid/>
          <w:szCs w:val="24"/>
        </w:rPr>
        <w:t xml:space="preserve"> It provides revised semi-annual report forms </w:t>
      </w:r>
      <w:r w:rsidRPr="001532DF" w:rsidR="009625D3">
        <w:rPr>
          <w:snapToGrid/>
          <w:szCs w:val="24"/>
        </w:rPr>
        <w:t xml:space="preserve">to accommodate the universe of potential activities </w:t>
      </w:r>
      <w:r w:rsidRPr="001532DF" w:rsidR="00BA74DE">
        <w:rPr>
          <w:snapToGrid/>
          <w:szCs w:val="24"/>
        </w:rPr>
        <w:t xml:space="preserve">of future grant recipients by drawing on the full spectrum of items included in CSBG reporting, which grant recipients are required to complete as CSBG eligible entities. </w:t>
      </w:r>
    </w:p>
    <w:p w:rsidR="00D60543" w:rsidRPr="001532DF" w:rsidP="004F7B95" w14:paraId="2982928D" w14:textId="77777777">
      <w:pPr>
        <w:widowControl/>
        <w:ind w:left="360"/>
        <w:rPr>
          <w:snapToGrid/>
          <w:szCs w:val="24"/>
        </w:rPr>
      </w:pPr>
    </w:p>
    <w:p w:rsidR="007935D5" w:rsidRPr="001532DF" w:rsidP="006E7FFB" w14:paraId="6AAAC2FE" w14:textId="18298844">
      <w:pPr>
        <w:widowControl/>
        <w:numPr>
          <w:ilvl w:val="0"/>
          <w:numId w:val="4"/>
        </w:numPr>
        <w:tabs>
          <w:tab w:val="num" w:pos="360"/>
        </w:tabs>
        <w:spacing w:after="120"/>
        <w:ind w:left="360"/>
        <w:rPr>
          <w:b/>
          <w:snapToGrid/>
          <w:szCs w:val="24"/>
        </w:rPr>
      </w:pPr>
      <w:r w:rsidRPr="001532DF">
        <w:rPr>
          <w:b/>
          <w:bCs/>
          <w:snapToGrid/>
          <w:szCs w:val="24"/>
        </w:rPr>
        <w:t xml:space="preserve">Plans for Tabulation and Publication and Project Time Schedule </w:t>
      </w:r>
    </w:p>
    <w:p w:rsidR="006E7FFB" w:rsidRPr="001532DF" w:rsidP="006E7FFB" w14:paraId="22635325" w14:textId="2C55B609">
      <w:pPr>
        <w:widowControl/>
        <w:ind w:left="360"/>
        <w:rPr>
          <w:snapToGrid/>
          <w:szCs w:val="24"/>
        </w:rPr>
      </w:pPr>
      <w:r w:rsidRPr="001532DF">
        <w:rPr>
          <w:szCs w:val="24"/>
        </w:rPr>
        <w:t xml:space="preserve">Data collection </w:t>
      </w:r>
      <w:r w:rsidRPr="001532DF" w:rsidR="000F6E44">
        <w:rPr>
          <w:szCs w:val="24"/>
        </w:rPr>
        <w:t>began</w:t>
      </w:r>
      <w:r w:rsidRPr="001532DF">
        <w:rPr>
          <w:szCs w:val="24"/>
        </w:rPr>
        <w:t xml:space="preserve"> </w:t>
      </w:r>
      <w:r w:rsidRPr="001532DF" w:rsidR="007033CE">
        <w:rPr>
          <w:szCs w:val="24"/>
        </w:rPr>
        <w:t>in March of 2023</w:t>
      </w:r>
      <w:r w:rsidRPr="001532DF">
        <w:rPr>
          <w:szCs w:val="24"/>
        </w:rPr>
        <w:t>.</w:t>
      </w:r>
      <w:r w:rsidRPr="001532DF" w:rsidR="007033CE">
        <w:rPr>
          <w:szCs w:val="24"/>
        </w:rPr>
        <w:t xml:space="preserve"> A preliminary report that includes tabulations of results from semi-annual report forms and analyses of narrative quarterly reports is anticipated in September of 2024.</w:t>
      </w:r>
      <w:r w:rsidRPr="001532DF" w:rsidR="00723148">
        <w:rPr>
          <w:szCs w:val="24"/>
        </w:rPr>
        <w:t xml:space="preserve"> </w:t>
      </w:r>
      <w:r w:rsidRPr="001532DF" w:rsidR="0059042A">
        <w:rPr>
          <w:szCs w:val="24"/>
        </w:rPr>
        <w:t xml:space="preserve">OCS plans to prepare </w:t>
      </w:r>
      <w:r w:rsidRPr="001532DF" w:rsidR="00587480">
        <w:rPr>
          <w:szCs w:val="24"/>
        </w:rPr>
        <w:t xml:space="preserve">annual reports tabulating service delivery data from the </w:t>
      </w:r>
      <w:r w:rsidRPr="001532DF" w:rsidR="00E41662">
        <w:rPr>
          <w:szCs w:val="24"/>
        </w:rPr>
        <w:t xml:space="preserve">semi-annual report forms along with analyses of the </w:t>
      </w:r>
      <w:r w:rsidRPr="001532DF" w:rsidR="005E0B5D">
        <w:rPr>
          <w:szCs w:val="24"/>
        </w:rPr>
        <w:t xml:space="preserve">matrix and service receipt questionnaire to understand the </w:t>
      </w:r>
      <w:r w:rsidRPr="001532DF" w:rsidR="00EC744B">
        <w:rPr>
          <w:szCs w:val="24"/>
        </w:rPr>
        <w:t>association</w:t>
      </w:r>
      <w:r w:rsidRPr="001532DF" w:rsidR="005E0B5D">
        <w:rPr>
          <w:szCs w:val="24"/>
        </w:rPr>
        <w:t xml:space="preserve"> between services and outcomes.</w:t>
      </w:r>
      <w:r w:rsidRPr="001532DF" w:rsidR="002120BD">
        <w:rPr>
          <w:szCs w:val="24"/>
        </w:rPr>
        <w:t xml:space="preserve"> Additionally, OCS will produce brief </w:t>
      </w:r>
      <w:r w:rsidRPr="001532DF" w:rsidR="001368F2">
        <w:rPr>
          <w:szCs w:val="24"/>
        </w:rPr>
        <w:t xml:space="preserve">interim </w:t>
      </w:r>
      <w:r w:rsidRPr="001532DF" w:rsidR="002120BD">
        <w:rPr>
          <w:szCs w:val="24"/>
        </w:rPr>
        <w:t xml:space="preserve">reports covering key topics related to program implementation and participant experiences using </w:t>
      </w:r>
      <w:r w:rsidRPr="001532DF" w:rsidR="003D0CE9">
        <w:rPr>
          <w:szCs w:val="24"/>
        </w:rPr>
        <w:t>focus group and interview data. We anticipate completing reporting by September of 2027.</w:t>
      </w:r>
    </w:p>
    <w:p w:rsidR="007935D5" w:rsidP="00DE529D" w14:paraId="298DD100" w14:textId="77777777">
      <w:pPr>
        <w:widowControl/>
        <w:ind w:left="360"/>
        <w:rPr>
          <w:snapToGrid/>
          <w:szCs w:val="24"/>
        </w:rPr>
      </w:pPr>
    </w:p>
    <w:p w:rsidR="001532DF" w:rsidRPr="001532DF" w:rsidP="00DE529D" w14:paraId="470A7EE9" w14:textId="77777777">
      <w:pPr>
        <w:widowControl/>
        <w:ind w:left="360"/>
        <w:rPr>
          <w:snapToGrid/>
          <w:szCs w:val="24"/>
        </w:rPr>
      </w:pPr>
    </w:p>
    <w:p w:rsidR="002C3C4F" w:rsidRPr="001532DF" w:rsidP="00817E2B" w14:paraId="4097A725" w14:textId="77777777">
      <w:pPr>
        <w:widowControl/>
        <w:numPr>
          <w:ilvl w:val="0"/>
          <w:numId w:val="4"/>
        </w:numPr>
        <w:tabs>
          <w:tab w:val="left" w:pos="360"/>
        </w:tabs>
        <w:spacing w:after="120"/>
        <w:ind w:left="360"/>
        <w:rPr>
          <w:b/>
          <w:snapToGrid/>
          <w:szCs w:val="24"/>
        </w:rPr>
      </w:pPr>
      <w:r w:rsidRPr="001532DF">
        <w:rPr>
          <w:b/>
          <w:bCs/>
          <w:snapToGrid/>
          <w:szCs w:val="24"/>
        </w:rPr>
        <w:t xml:space="preserve">Reason(s) Display of OMB Expiration Date is Inappropriate </w:t>
      </w:r>
    </w:p>
    <w:p w:rsidR="006E7FFB" w:rsidRPr="001532DF" w:rsidP="006E7FFB" w14:paraId="1B1304E8" w14:textId="7EE82E18">
      <w:pPr>
        <w:widowControl/>
        <w:ind w:left="360"/>
        <w:rPr>
          <w:szCs w:val="24"/>
        </w:rPr>
      </w:pPr>
      <w:r w:rsidRPr="001532DF">
        <w:rPr>
          <w:snapToGrid/>
          <w:szCs w:val="24"/>
        </w:rPr>
        <w:t xml:space="preserve">OCS </w:t>
      </w:r>
      <w:r w:rsidRPr="001532DF" w:rsidR="004601D7">
        <w:rPr>
          <w:snapToGrid/>
          <w:szCs w:val="24"/>
        </w:rPr>
        <w:t>will display</w:t>
      </w:r>
      <w:r w:rsidRPr="001532DF">
        <w:rPr>
          <w:snapToGrid/>
          <w:szCs w:val="24"/>
        </w:rPr>
        <w:t xml:space="preserve"> the expiration date </w:t>
      </w:r>
      <w:r w:rsidRPr="001532DF" w:rsidR="0C4B5587">
        <w:rPr>
          <w:snapToGrid/>
          <w:szCs w:val="24"/>
        </w:rPr>
        <w:t>on OMB-approved data collections</w:t>
      </w:r>
      <w:r w:rsidRPr="001532DF">
        <w:rPr>
          <w:snapToGrid/>
          <w:szCs w:val="24"/>
        </w:rPr>
        <w:t xml:space="preserve">. </w:t>
      </w:r>
    </w:p>
    <w:p w:rsidR="00D60543" w:rsidRPr="001532DF" w:rsidP="00DE529D" w14:paraId="3C11407F" w14:textId="77777777">
      <w:pPr>
        <w:widowControl/>
        <w:ind w:left="360" w:hanging="90"/>
        <w:rPr>
          <w:snapToGrid/>
          <w:szCs w:val="24"/>
        </w:rPr>
      </w:pPr>
    </w:p>
    <w:p w:rsidR="007935D5" w:rsidRPr="001532DF" w:rsidP="006E7FFB" w14:paraId="53A56BC6" w14:textId="370408C3">
      <w:pPr>
        <w:widowControl/>
        <w:numPr>
          <w:ilvl w:val="0"/>
          <w:numId w:val="4"/>
        </w:numPr>
        <w:tabs>
          <w:tab w:val="num" w:pos="360"/>
        </w:tabs>
        <w:spacing w:after="120"/>
        <w:ind w:left="360"/>
        <w:rPr>
          <w:b/>
          <w:snapToGrid/>
          <w:szCs w:val="24"/>
        </w:rPr>
      </w:pPr>
      <w:r w:rsidRPr="001532DF">
        <w:rPr>
          <w:b/>
          <w:bCs/>
          <w:snapToGrid/>
          <w:szCs w:val="24"/>
        </w:rPr>
        <w:t>Exceptions to Certification for Paperwork Reduction Act Submissions</w:t>
      </w:r>
    </w:p>
    <w:p w:rsidR="006E7FFB" w:rsidRPr="001532DF" w:rsidP="006E7FFB" w14:paraId="6ADE639F" w14:textId="77777777">
      <w:pPr>
        <w:widowControl/>
        <w:ind w:left="360"/>
        <w:rPr>
          <w:snapToGrid/>
          <w:szCs w:val="24"/>
        </w:rPr>
      </w:pPr>
      <w:r w:rsidRPr="001532DF">
        <w:rPr>
          <w:snapToGrid/>
          <w:szCs w:val="24"/>
        </w:rPr>
        <w:t xml:space="preserve">No exceptions are necessary for this information collection. </w:t>
      </w:r>
    </w:p>
    <w:p w:rsidR="007935D5" w:rsidP="006E7FFB" w14:paraId="6A043934" w14:textId="77777777">
      <w:pPr>
        <w:widowControl/>
        <w:rPr>
          <w:b/>
          <w:bCs/>
          <w:snapToGrid/>
          <w:szCs w:val="24"/>
        </w:rPr>
      </w:pPr>
    </w:p>
    <w:p w:rsidR="001532DF" w:rsidP="006E7FFB" w14:paraId="1CFC6FE4" w14:textId="77777777">
      <w:pPr>
        <w:widowControl/>
        <w:rPr>
          <w:b/>
          <w:bCs/>
          <w:snapToGrid/>
          <w:szCs w:val="24"/>
        </w:rPr>
      </w:pPr>
    </w:p>
    <w:p w:rsidR="001532DF" w:rsidRPr="001532DF" w:rsidP="006E7FFB" w14:paraId="6355B6B1" w14:textId="77777777">
      <w:pPr>
        <w:widowControl/>
        <w:rPr>
          <w:b/>
          <w:bCs/>
          <w:snapToGrid/>
          <w:szCs w:val="24"/>
        </w:rPr>
      </w:pPr>
    </w:p>
    <w:p w:rsidR="006E7FFB" w:rsidRPr="001532DF" w:rsidP="006E7FFB" w14:paraId="36888513" w14:textId="77777777">
      <w:pPr>
        <w:widowControl/>
        <w:rPr>
          <w:b/>
          <w:bCs/>
          <w:szCs w:val="24"/>
        </w:rPr>
      </w:pPr>
      <w:r w:rsidRPr="001532DF">
        <w:rPr>
          <w:b/>
          <w:bCs/>
          <w:szCs w:val="24"/>
        </w:rPr>
        <w:t>References</w:t>
      </w:r>
    </w:p>
    <w:p w:rsidR="007830BF" w:rsidRPr="001532DF" w:rsidP="006E7FFB" w14:paraId="6CAEEB22" w14:textId="43DFE2D6">
      <w:pPr>
        <w:widowControl/>
        <w:rPr>
          <w:szCs w:val="24"/>
        </w:rPr>
      </w:pPr>
      <w:r w:rsidRPr="001532DF">
        <w:rPr>
          <w:szCs w:val="24"/>
        </w:rPr>
        <w:t xml:space="preserve">Abdelazeem B, Hamdallah A, Rizk MA, Abbas KS, El-Shahat NA, Manasrah N, Mostafa MR, Eltobgy M. Does usage of monetary incentive impact the involvement in surveys? A systematic review and meta-analysis of 46 randomized controlled trials. </w:t>
      </w:r>
      <w:r w:rsidRPr="001532DF">
        <w:rPr>
          <w:i/>
          <w:iCs/>
          <w:szCs w:val="24"/>
        </w:rPr>
        <w:t>PLoS One</w:t>
      </w:r>
      <w:r w:rsidRPr="001532DF">
        <w:rPr>
          <w:szCs w:val="24"/>
        </w:rPr>
        <w:t>. 2023 Jan 17; 18(1):e0279128. doi: 10.1371/journal.pone.0279128.</w:t>
      </w:r>
    </w:p>
    <w:p w:rsidR="007830BF" w:rsidRPr="001532DF" w:rsidP="006E7FFB" w14:paraId="7DDBF1A3" w14:textId="77777777">
      <w:pPr>
        <w:widowControl/>
        <w:rPr>
          <w:szCs w:val="24"/>
        </w:rPr>
      </w:pPr>
    </w:p>
    <w:p w:rsidR="006E7FFB" w:rsidRPr="001532DF" w:rsidP="006E7FFB" w14:paraId="2E65E8EB" w14:textId="501C672C">
      <w:pPr>
        <w:widowControl/>
        <w:rPr>
          <w:szCs w:val="24"/>
        </w:rPr>
      </w:pPr>
      <w:r w:rsidRPr="001532DF">
        <w:rPr>
          <w:szCs w:val="24"/>
        </w:rPr>
        <w:t>Brueton VC, Tierney JF, Stenning S, Meredith S, Harding S, Nazareth I, &amp; Rait G. (2014).</w:t>
      </w:r>
    </w:p>
    <w:p w:rsidR="006E7FFB" w:rsidRPr="001532DF" w:rsidP="006E7FFB" w14:paraId="5EFAAE32" w14:textId="6E994C00">
      <w:pPr>
        <w:widowControl/>
        <w:rPr>
          <w:szCs w:val="24"/>
        </w:rPr>
      </w:pPr>
      <w:r w:rsidRPr="001532DF">
        <w:rPr>
          <w:szCs w:val="24"/>
        </w:rPr>
        <w:t>Strategies to improve retention in randomised trials: a Cochrane systematic review and meta-analysis</w:t>
      </w:r>
      <w:r w:rsidRPr="001532DF" w:rsidR="00B565C3">
        <w:rPr>
          <w:szCs w:val="24"/>
        </w:rPr>
        <w:t>,</w:t>
      </w:r>
      <w:r w:rsidRPr="001532DF" w:rsidR="002B0A98">
        <w:rPr>
          <w:szCs w:val="24"/>
        </w:rPr>
        <w:t xml:space="preserve"> </w:t>
      </w:r>
      <w:r w:rsidRPr="001532DF">
        <w:rPr>
          <w:i/>
          <w:iCs/>
          <w:szCs w:val="24"/>
        </w:rPr>
        <w:t>BMJ Open</w:t>
      </w:r>
      <w:r w:rsidRPr="001532DF" w:rsidR="005810DF">
        <w:rPr>
          <w:i/>
          <w:iCs/>
          <w:szCs w:val="24"/>
        </w:rPr>
        <w:t>,</w:t>
      </w:r>
      <w:r w:rsidRPr="001532DF">
        <w:rPr>
          <w:szCs w:val="24"/>
        </w:rPr>
        <w:t xml:space="preserve"> 2014;</w:t>
      </w:r>
      <w:r w:rsidRPr="001532DF" w:rsidR="005810DF">
        <w:rPr>
          <w:szCs w:val="24"/>
        </w:rPr>
        <w:t xml:space="preserve"> </w:t>
      </w:r>
      <w:r w:rsidRPr="001532DF">
        <w:rPr>
          <w:szCs w:val="24"/>
        </w:rPr>
        <w:t>4:e003821. doi: 10.1136/bmjopen-2013-003821</w:t>
      </w:r>
    </w:p>
    <w:p w:rsidR="006E7FFB" w:rsidRPr="001532DF" w:rsidP="006E7FFB" w14:paraId="51F995B8" w14:textId="77777777">
      <w:pPr>
        <w:widowControl/>
        <w:rPr>
          <w:szCs w:val="24"/>
        </w:rPr>
      </w:pPr>
    </w:p>
    <w:p w:rsidR="00192F01" w:rsidRPr="001532DF" w:rsidP="006E7FFB" w14:paraId="45F8657F" w14:textId="43FF009E">
      <w:pPr>
        <w:widowControl/>
        <w:rPr>
          <w:szCs w:val="24"/>
        </w:rPr>
      </w:pPr>
      <w:r w:rsidRPr="001532DF">
        <w:rPr>
          <w:szCs w:val="24"/>
        </w:rPr>
        <w:t xml:space="preserve">Singer, E., &amp; Ye, C. (2013). The Use and Effects of Incentives in Surveys. </w:t>
      </w:r>
      <w:r w:rsidRPr="001532DF">
        <w:rPr>
          <w:i/>
          <w:iCs/>
          <w:szCs w:val="24"/>
        </w:rPr>
        <w:t>The ANNALS of the American Academy of Political and Social Science</w:t>
      </w:r>
      <w:r w:rsidRPr="001532DF">
        <w:rPr>
          <w:szCs w:val="24"/>
        </w:rPr>
        <w:t xml:space="preserve">, 645(1), 112-141. </w:t>
      </w:r>
      <w:hyperlink r:id="rId16" w:history="1">
        <w:r w:rsidRPr="001532DF">
          <w:rPr>
            <w:rStyle w:val="Hyperlink"/>
            <w:szCs w:val="24"/>
          </w:rPr>
          <w:t>https://doi.org/10.1177/0002716212458082</w:t>
        </w:r>
      </w:hyperlink>
      <w:r w:rsidRPr="001532DF">
        <w:rPr>
          <w:szCs w:val="24"/>
        </w:rPr>
        <w:t xml:space="preserve"> </w:t>
      </w:r>
    </w:p>
    <w:p w:rsidR="00192F01" w:rsidRPr="001532DF" w:rsidP="006E7FFB" w14:paraId="50CE6179" w14:textId="77777777">
      <w:pPr>
        <w:widowControl/>
        <w:rPr>
          <w:szCs w:val="24"/>
        </w:rPr>
      </w:pPr>
    </w:p>
    <w:p w:rsidR="006E7FFB" w:rsidRPr="001532DF" w:rsidP="006E7FFB" w14:paraId="6EF1A0B6" w14:textId="034F1482">
      <w:pPr>
        <w:widowControl/>
        <w:rPr>
          <w:szCs w:val="24"/>
        </w:rPr>
      </w:pPr>
      <w:r w:rsidRPr="001532DF">
        <w:rPr>
          <w:szCs w:val="24"/>
        </w:rPr>
        <w:t xml:space="preserve">Herd P, &amp; Moynihan G. (2020). </w:t>
      </w:r>
      <w:r w:rsidRPr="001532DF">
        <w:rPr>
          <w:i/>
          <w:iCs/>
          <w:szCs w:val="24"/>
        </w:rPr>
        <w:t>How Administrative Burdens Can Harm Health. Health Affairs Health Policy Brief</w:t>
      </w:r>
      <w:r w:rsidRPr="001532DF">
        <w:rPr>
          <w:szCs w:val="24"/>
        </w:rPr>
        <w:t>, October 2, 2020.</w:t>
      </w:r>
      <w:r w:rsidRPr="001532DF" w:rsidR="005810DF">
        <w:rPr>
          <w:szCs w:val="24"/>
        </w:rPr>
        <w:t xml:space="preserve"> </w:t>
      </w:r>
      <w:r w:rsidRPr="001532DF">
        <w:rPr>
          <w:szCs w:val="24"/>
        </w:rPr>
        <w:t>DOI: 10.1377/hpb20200904.405159</w:t>
      </w:r>
      <w:r w:rsidRPr="001532DF" w:rsidR="005810DF">
        <w:rPr>
          <w:szCs w:val="24"/>
        </w:rPr>
        <w:t xml:space="preserve"> </w:t>
      </w:r>
    </w:p>
    <w:p w:rsidR="006E7FFB" w:rsidRPr="001532DF" w:rsidP="006E7FFB" w14:paraId="46AF6366" w14:textId="77777777">
      <w:pPr>
        <w:widowControl/>
        <w:rPr>
          <w:b/>
          <w:bCs/>
          <w:szCs w:val="24"/>
        </w:rPr>
      </w:pPr>
    </w:p>
    <w:p w:rsidR="00D06320" w:rsidRPr="001532DF" w:rsidP="006E7FFB" w14:paraId="50134B35" w14:textId="1228E0B4">
      <w:pPr>
        <w:widowControl/>
        <w:rPr>
          <w:szCs w:val="24"/>
        </w:rPr>
      </w:pPr>
      <w:r w:rsidRPr="001532DF">
        <w:rPr>
          <w:szCs w:val="24"/>
        </w:rPr>
        <w:t>Singer, E., &amp; Ye, C. (2013). The Use and Effects of Incentives in Surveys. </w:t>
      </w:r>
      <w:r w:rsidRPr="001532DF">
        <w:rPr>
          <w:i/>
          <w:iCs/>
          <w:szCs w:val="24"/>
        </w:rPr>
        <w:t>The ANNALS of the American Academy of Political and Social Science</w:t>
      </w:r>
      <w:r w:rsidRPr="001532DF">
        <w:rPr>
          <w:szCs w:val="24"/>
        </w:rPr>
        <w:t>, </w:t>
      </w:r>
      <w:r w:rsidRPr="001532DF">
        <w:rPr>
          <w:i/>
          <w:iCs/>
          <w:szCs w:val="24"/>
        </w:rPr>
        <w:t>645</w:t>
      </w:r>
      <w:r w:rsidRPr="001532DF">
        <w:rPr>
          <w:szCs w:val="24"/>
        </w:rPr>
        <w:t>(1), 112-141. </w:t>
      </w:r>
      <w:hyperlink r:id="rId16" w:history="1">
        <w:r w:rsidRPr="001532DF">
          <w:rPr>
            <w:rStyle w:val="Hyperlink"/>
            <w:szCs w:val="24"/>
          </w:rPr>
          <w:t>https://doi.org/10.1177/0002716212458082</w:t>
        </w:r>
      </w:hyperlink>
    </w:p>
    <w:p w:rsidR="00D06320" w:rsidRPr="001532DF" w:rsidP="006E7FFB" w14:paraId="3C96C932" w14:textId="77777777">
      <w:pPr>
        <w:widowControl/>
        <w:rPr>
          <w:b/>
          <w:bCs/>
          <w:szCs w:val="24"/>
        </w:rPr>
      </w:pPr>
    </w:p>
    <w:p w:rsidR="006E7FFB" w:rsidRPr="001532DF" w:rsidP="006E7FFB" w14:paraId="51850E81" w14:textId="54105CD3">
      <w:pPr>
        <w:widowControl/>
        <w:rPr>
          <w:szCs w:val="24"/>
        </w:rPr>
      </w:pPr>
      <w:r w:rsidRPr="001532DF">
        <w:rPr>
          <w:szCs w:val="24"/>
        </w:rPr>
        <w:t xml:space="preserve">Stanley M, Roycroft J, Amaya A, Dever JA, &amp; Srivastav A. (2020). The Effectiveness of Incentives on Completion Rates, Data Quality, and Nonresponse Bias in a Probability-based Internet Panel Survey. </w:t>
      </w:r>
      <w:r w:rsidRPr="001532DF">
        <w:rPr>
          <w:i/>
          <w:iCs/>
          <w:szCs w:val="24"/>
        </w:rPr>
        <w:t>Field methods</w:t>
      </w:r>
      <w:r w:rsidRPr="001532DF">
        <w:rPr>
          <w:szCs w:val="24"/>
        </w:rPr>
        <w:t xml:space="preserve">, 32(2), 159–179. </w:t>
      </w:r>
      <w:hyperlink r:id="rId17" w:history="1">
        <w:r w:rsidRPr="001532DF" w:rsidR="00855EC4">
          <w:rPr>
            <w:rStyle w:val="Hyperlink"/>
            <w:szCs w:val="24"/>
          </w:rPr>
          <w:t>https://doi.org/10.1177/1525822x20901802</w:t>
        </w:r>
      </w:hyperlink>
    </w:p>
    <w:p w:rsidR="00855EC4" w:rsidRPr="001532DF" w:rsidP="006E7FFB" w14:paraId="58434E2A" w14:textId="77777777">
      <w:pPr>
        <w:widowControl/>
        <w:rPr>
          <w:szCs w:val="24"/>
        </w:rPr>
      </w:pPr>
    </w:p>
    <w:p w:rsidR="00855EC4" w:rsidRPr="001532DF" w:rsidP="006E7FFB" w14:paraId="6536E487" w14:textId="0CA21EFB">
      <w:pPr>
        <w:widowControl/>
        <w:rPr>
          <w:szCs w:val="24"/>
        </w:rPr>
      </w:pPr>
      <w:r w:rsidRPr="001532DF">
        <w:rPr>
          <w:szCs w:val="24"/>
        </w:rPr>
        <w:t>Yu, S., Alper, H.E., Nguyen, AM. </w:t>
      </w:r>
      <w:r w:rsidRPr="001532DF">
        <w:rPr>
          <w:i/>
          <w:iCs/>
          <w:szCs w:val="24"/>
        </w:rPr>
        <w:t>et al.</w:t>
      </w:r>
      <w:r w:rsidRPr="001532DF">
        <w:rPr>
          <w:szCs w:val="24"/>
        </w:rPr>
        <w:t> The effectiveness of a monetary incentive offer on survey response rates and response completeness in a longitudinal study. </w:t>
      </w:r>
      <w:r w:rsidRPr="001532DF">
        <w:rPr>
          <w:i/>
          <w:iCs/>
          <w:szCs w:val="24"/>
        </w:rPr>
        <w:t>BMC Med Res Methodol</w:t>
      </w:r>
      <w:r w:rsidRPr="001532DF">
        <w:rPr>
          <w:szCs w:val="24"/>
        </w:rPr>
        <w:t> </w:t>
      </w:r>
      <w:r w:rsidRPr="001532DF">
        <w:rPr>
          <w:b/>
          <w:bCs/>
          <w:szCs w:val="24"/>
        </w:rPr>
        <w:t>17</w:t>
      </w:r>
      <w:r w:rsidRPr="001532DF">
        <w:rPr>
          <w:szCs w:val="24"/>
        </w:rPr>
        <w:t xml:space="preserve">, 77 (2017). </w:t>
      </w:r>
      <w:hyperlink r:id="rId18" w:history="1">
        <w:r w:rsidRPr="001532DF">
          <w:rPr>
            <w:rStyle w:val="Hyperlink"/>
            <w:szCs w:val="24"/>
          </w:rPr>
          <w:t>https://doi.org/10.1186/s12874-017-0353-1</w:t>
        </w:r>
      </w:hyperlink>
      <w:r w:rsidRPr="001532DF">
        <w:rPr>
          <w:szCs w:val="24"/>
        </w:rPr>
        <w:t xml:space="preserve"> </w:t>
      </w:r>
    </w:p>
    <w:p w:rsidR="00597E7F" w:rsidRPr="001532DF" w:rsidP="004753BB" w14:paraId="67CA458C" w14:textId="406BC832">
      <w:pPr>
        <w:pStyle w:val="ReportCover-Title"/>
        <w:rPr>
          <w:rFonts w:ascii="Times New Roman" w:hAnsi="Times New Roman"/>
          <w:b w:val="0"/>
          <w:bCs/>
          <w:sz w:val="24"/>
          <w:szCs w:val="24"/>
        </w:rPr>
      </w:pPr>
    </w:p>
    <w:sectPr w:rsidSect="00A918E4">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33F7A" w14:paraId="61422FB8" w14:textId="77777777">
      <w:pPr>
        <w:spacing w:line="20" w:lineRule="exact"/>
      </w:pPr>
    </w:p>
  </w:endnote>
  <w:endnote w:type="continuationSeparator" w:id="1">
    <w:p w:rsidR="00633F7A" w14:paraId="47C99D3B" w14:textId="77777777">
      <w:r>
        <w:t xml:space="preserve"> </w:t>
      </w:r>
    </w:p>
  </w:endnote>
  <w:endnote w:type="continuationNotice" w:id="2">
    <w:p w:rsidR="00633F7A" w14:paraId="05092ED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pPr>
  </w:p>
  <w:p w:rsidR="00DC1C23" w14:paraId="0C02EA95" w14:textId="4904B914">
    <w:pPr>
      <w:tabs>
        <w:tab w:val="left" w:pos="-720"/>
      </w:tabs>
      <w:suppressAutoHyphens/>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pPr>
                          <w:r>
                            <w:tab/>
                          </w:r>
                          <w:r>
                            <w:rPr>
                              <w:color w:val="2B579A"/>
                              <w:shd w:val="clear" w:color="auto" w:fill="E6E6E6"/>
                            </w:rPr>
                            <w:fldChar w:fldCharType="begin"/>
                          </w:r>
                          <w:r>
                            <w:instrText>page \* arabic</w:instrText>
                          </w:r>
                          <w:r>
                            <w:rPr>
                              <w:color w:val="2B579A"/>
                              <w:shd w:val="clear" w:color="auto" w:fill="E6E6E6"/>
                            </w:rPr>
                            <w:fldChar w:fldCharType="separate"/>
                          </w:r>
                          <w:r w:rsidR="00EC26A5">
                            <w:rPr>
                              <w:noProof/>
                            </w:rPr>
                            <w:t>6</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pPr>
                    <w:r>
                      <w:tab/>
                    </w:r>
                    <w:r>
                      <w:rPr>
                        <w:color w:val="2B579A"/>
                        <w:shd w:val="clear" w:color="auto" w:fill="E6E6E6"/>
                      </w:rPr>
                      <w:fldChar w:fldCharType="begin"/>
                    </w:r>
                    <w:r>
                      <w:instrText>page \* arabic</w:instrText>
                    </w:r>
                    <w:r>
                      <w:rPr>
                        <w:color w:val="2B579A"/>
                        <w:shd w:val="clear" w:color="auto" w:fill="E6E6E6"/>
                      </w:rPr>
                      <w:fldChar w:fldCharType="separate"/>
                    </w:r>
                    <w:r w:rsidR="00EC26A5">
                      <w:rPr>
                        <w:noProof/>
                      </w:rPr>
                      <w:t>6</w:t>
                    </w:r>
                    <w:r>
                      <w:rPr>
                        <w:color w:val="2B579A"/>
                        <w:shd w:val="clear" w:color="auto" w:fill="E6E6E6"/>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3F7A" w14:paraId="6BAAFBB2" w14:textId="77777777">
      <w:r>
        <w:separator/>
      </w:r>
    </w:p>
  </w:footnote>
  <w:footnote w:type="continuationSeparator" w:id="1">
    <w:p w:rsidR="00633F7A" w14:paraId="64E74E64" w14:textId="77777777">
      <w:r>
        <w:continuationSeparator/>
      </w:r>
    </w:p>
  </w:footnote>
  <w:footnote w:type="continuationNotice" w:id="2">
    <w:p w:rsidR="00633F7A" w14:paraId="4A8A2CB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B419AB"/>
    <w:multiLevelType w:val="hybridMultilevel"/>
    <w:tmpl w:val="F640A1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71B3CE"/>
    <w:multiLevelType w:val="hybridMultilevel"/>
    <w:tmpl w:val="153AA3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58E1648"/>
    <w:multiLevelType w:val="hybridMultilevel"/>
    <w:tmpl w:val="105274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5B5AB30"/>
    <w:multiLevelType w:val="hybridMultilevel"/>
    <w:tmpl w:val="5798D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23C7E82"/>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91443906">
    <w:abstractNumId w:val="9"/>
  </w:num>
  <w:num w:numId="2" w16cid:durableId="1184830730">
    <w:abstractNumId w:val="15"/>
  </w:num>
  <w:num w:numId="3" w16cid:durableId="295454470">
    <w:abstractNumId w:val="17"/>
  </w:num>
  <w:num w:numId="4" w16cid:durableId="211775605">
    <w:abstractNumId w:val="19"/>
  </w:num>
  <w:num w:numId="5" w16cid:durableId="285355853">
    <w:abstractNumId w:val="6"/>
  </w:num>
  <w:num w:numId="6" w16cid:durableId="1989363835">
    <w:abstractNumId w:val="11"/>
  </w:num>
  <w:num w:numId="7" w16cid:durableId="1241796315">
    <w:abstractNumId w:val="14"/>
  </w:num>
  <w:num w:numId="8" w16cid:durableId="681396011">
    <w:abstractNumId w:val="2"/>
  </w:num>
  <w:num w:numId="9" w16cid:durableId="439224966">
    <w:abstractNumId w:val="13"/>
  </w:num>
  <w:num w:numId="10" w16cid:durableId="853689268">
    <w:abstractNumId w:val="20"/>
  </w:num>
  <w:num w:numId="11" w16cid:durableId="1573197723">
    <w:abstractNumId w:val="12"/>
  </w:num>
  <w:num w:numId="12" w16cid:durableId="979654315">
    <w:abstractNumId w:val="10"/>
  </w:num>
  <w:num w:numId="13" w16cid:durableId="2089885419">
    <w:abstractNumId w:val="0"/>
  </w:num>
  <w:num w:numId="14" w16cid:durableId="1680620237">
    <w:abstractNumId w:val="22"/>
  </w:num>
  <w:num w:numId="15" w16cid:durableId="1563104838">
    <w:abstractNumId w:val="1"/>
  </w:num>
  <w:num w:numId="16" w16cid:durableId="580994472">
    <w:abstractNumId w:val="4"/>
  </w:num>
  <w:num w:numId="17" w16cid:durableId="637878360">
    <w:abstractNumId w:val="18"/>
  </w:num>
  <w:num w:numId="18" w16cid:durableId="1121192934">
    <w:abstractNumId w:val="23"/>
  </w:num>
  <w:num w:numId="19" w16cid:durableId="402220661">
    <w:abstractNumId w:val="5"/>
  </w:num>
  <w:num w:numId="20" w16cid:durableId="3212710">
    <w:abstractNumId w:val="24"/>
  </w:num>
  <w:num w:numId="21" w16cid:durableId="1169101853">
    <w:abstractNumId w:val="21"/>
  </w:num>
  <w:num w:numId="22" w16cid:durableId="1429815031">
    <w:abstractNumId w:val="16"/>
  </w:num>
  <w:num w:numId="23" w16cid:durableId="1418138307">
    <w:abstractNumId w:val="7"/>
  </w:num>
  <w:num w:numId="24" w16cid:durableId="1856069672">
    <w:abstractNumId w:val="3"/>
  </w:num>
  <w:num w:numId="25" w16cid:durableId="622226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82E"/>
    <w:rsid w:val="00010EC6"/>
    <w:rsid w:val="00022586"/>
    <w:rsid w:val="0002328B"/>
    <w:rsid w:val="00040209"/>
    <w:rsid w:val="000456B4"/>
    <w:rsid w:val="00056C4B"/>
    <w:rsid w:val="00070C27"/>
    <w:rsid w:val="000713E8"/>
    <w:rsid w:val="000727F2"/>
    <w:rsid w:val="00075889"/>
    <w:rsid w:val="00080980"/>
    <w:rsid w:val="00082D75"/>
    <w:rsid w:val="0009007E"/>
    <w:rsid w:val="000A7D5A"/>
    <w:rsid w:val="000B67DA"/>
    <w:rsid w:val="000D2FF4"/>
    <w:rsid w:val="000E3FC0"/>
    <w:rsid w:val="000F069F"/>
    <w:rsid w:val="000F2698"/>
    <w:rsid w:val="000F5846"/>
    <w:rsid w:val="000F6E44"/>
    <w:rsid w:val="00102200"/>
    <w:rsid w:val="00106F8A"/>
    <w:rsid w:val="00110393"/>
    <w:rsid w:val="00112165"/>
    <w:rsid w:val="00114C59"/>
    <w:rsid w:val="00114E1B"/>
    <w:rsid w:val="00124338"/>
    <w:rsid w:val="001337B5"/>
    <w:rsid w:val="001368F2"/>
    <w:rsid w:val="0014145B"/>
    <w:rsid w:val="00142F13"/>
    <w:rsid w:val="0014533E"/>
    <w:rsid w:val="001532DF"/>
    <w:rsid w:val="001547D7"/>
    <w:rsid w:val="0015563F"/>
    <w:rsid w:val="00160621"/>
    <w:rsid w:val="001618B7"/>
    <w:rsid w:val="00175A0C"/>
    <w:rsid w:val="0018015A"/>
    <w:rsid w:val="00186385"/>
    <w:rsid w:val="00192F01"/>
    <w:rsid w:val="00194310"/>
    <w:rsid w:val="001A45D0"/>
    <w:rsid w:val="001A51E0"/>
    <w:rsid w:val="001C019A"/>
    <w:rsid w:val="001C483C"/>
    <w:rsid w:val="001C7FFE"/>
    <w:rsid w:val="001D1651"/>
    <w:rsid w:val="001E458B"/>
    <w:rsid w:val="001F50C0"/>
    <w:rsid w:val="001F5711"/>
    <w:rsid w:val="0020009A"/>
    <w:rsid w:val="002120BD"/>
    <w:rsid w:val="002168E4"/>
    <w:rsid w:val="00220CFD"/>
    <w:rsid w:val="00222C7F"/>
    <w:rsid w:val="00222D86"/>
    <w:rsid w:val="00225C63"/>
    <w:rsid w:val="002267ED"/>
    <w:rsid w:val="00226C42"/>
    <w:rsid w:val="002277B8"/>
    <w:rsid w:val="002338F6"/>
    <w:rsid w:val="00234235"/>
    <w:rsid w:val="00241832"/>
    <w:rsid w:val="002464EB"/>
    <w:rsid w:val="002509BD"/>
    <w:rsid w:val="00251348"/>
    <w:rsid w:val="00265A83"/>
    <w:rsid w:val="00274F18"/>
    <w:rsid w:val="00277ADF"/>
    <w:rsid w:val="00290285"/>
    <w:rsid w:val="00290402"/>
    <w:rsid w:val="00290A1C"/>
    <w:rsid w:val="00294328"/>
    <w:rsid w:val="0029589B"/>
    <w:rsid w:val="00296738"/>
    <w:rsid w:val="00297F26"/>
    <w:rsid w:val="002A20E1"/>
    <w:rsid w:val="002A3130"/>
    <w:rsid w:val="002A407F"/>
    <w:rsid w:val="002A5BE6"/>
    <w:rsid w:val="002A7A5C"/>
    <w:rsid w:val="002B0A98"/>
    <w:rsid w:val="002B2097"/>
    <w:rsid w:val="002B712F"/>
    <w:rsid w:val="002C2A13"/>
    <w:rsid w:val="002C3C4F"/>
    <w:rsid w:val="002C4CD2"/>
    <w:rsid w:val="002C632E"/>
    <w:rsid w:val="002D0BC1"/>
    <w:rsid w:val="002D23BB"/>
    <w:rsid w:val="002D23F2"/>
    <w:rsid w:val="002E10D1"/>
    <w:rsid w:val="002E261B"/>
    <w:rsid w:val="002E622E"/>
    <w:rsid w:val="002E7160"/>
    <w:rsid w:val="002F2DD7"/>
    <w:rsid w:val="002F6622"/>
    <w:rsid w:val="00302AA2"/>
    <w:rsid w:val="00305B1E"/>
    <w:rsid w:val="0031402A"/>
    <w:rsid w:val="003278A1"/>
    <w:rsid w:val="003405A4"/>
    <w:rsid w:val="0034326D"/>
    <w:rsid w:val="003469CF"/>
    <w:rsid w:val="00350FC8"/>
    <w:rsid w:val="00354319"/>
    <w:rsid w:val="00354841"/>
    <w:rsid w:val="00361E99"/>
    <w:rsid w:val="003723C8"/>
    <w:rsid w:val="0038112A"/>
    <w:rsid w:val="0038209B"/>
    <w:rsid w:val="00390FC9"/>
    <w:rsid w:val="003A08B8"/>
    <w:rsid w:val="003A3A2F"/>
    <w:rsid w:val="003B7A50"/>
    <w:rsid w:val="003C1D6E"/>
    <w:rsid w:val="003C7EE2"/>
    <w:rsid w:val="003D0CE9"/>
    <w:rsid w:val="003D5E6F"/>
    <w:rsid w:val="003E6EA3"/>
    <w:rsid w:val="003F730B"/>
    <w:rsid w:val="004011E3"/>
    <w:rsid w:val="00402D24"/>
    <w:rsid w:val="00404AD4"/>
    <w:rsid w:val="00405C10"/>
    <w:rsid w:val="00410B80"/>
    <w:rsid w:val="004110F5"/>
    <w:rsid w:val="00422E1D"/>
    <w:rsid w:val="00423D9B"/>
    <w:rsid w:val="00424420"/>
    <w:rsid w:val="00441733"/>
    <w:rsid w:val="00447055"/>
    <w:rsid w:val="004601D7"/>
    <w:rsid w:val="004602FE"/>
    <w:rsid w:val="00460AE1"/>
    <w:rsid w:val="00467954"/>
    <w:rsid w:val="004713C4"/>
    <w:rsid w:val="00474A36"/>
    <w:rsid w:val="004753BB"/>
    <w:rsid w:val="004754A1"/>
    <w:rsid w:val="00476C1F"/>
    <w:rsid w:val="00480072"/>
    <w:rsid w:val="0048561E"/>
    <w:rsid w:val="00490457"/>
    <w:rsid w:val="0049119A"/>
    <w:rsid w:val="004911A7"/>
    <w:rsid w:val="004943E0"/>
    <w:rsid w:val="004944AF"/>
    <w:rsid w:val="004A679D"/>
    <w:rsid w:val="004B19F7"/>
    <w:rsid w:val="004C59CA"/>
    <w:rsid w:val="004D19B3"/>
    <w:rsid w:val="004D5205"/>
    <w:rsid w:val="004D6AC3"/>
    <w:rsid w:val="004E65EB"/>
    <w:rsid w:val="004E7A92"/>
    <w:rsid w:val="004F45CE"/>
    <w:rsid w:val="004F4C56"/>
    <w:rsid w:val="004F7B95"/>
    <w:rsid w:val="0051278C"/>
    <w:rsid w:val="00512823"/>
    <w:rsid w:val="00522C18"/>
    <w:rsid w:val="0052797F"/>
    <w:rsid w:val="00527AE4"/>
    <w:rsid w:val="00541E51"/>
    <w:rsid w:val="005520C3"/>
    <w:rsid w:val="00556056"/>
    <w:rsid w:val="00556119"/>
    <w:rsid w:val="00557AF0"/>
    <w:rsid w:val="00570379"/>
    <w:rsid w:val="00570B2A"/>
    <w:rsid w:val="00570B94"/>
    <w:rsid w:val="0057393C"/>
    <w:rsid w:val="005810DF"/>
    <w:rsid w:val="005824BD"/>
    <w:rsid w:val="005826A4"/>
    <w:rsid w:val="00587480"/>
    <w:rsid w:val="0059042A"/>
    <w:rsid w:val="00597E7F"/>
    <w:rsid w:val="005A6D3E"/>
    <w:rsid w:val="005A7E11"/>
    <w:rsid w:val="005B00FC"/>
    <w:rsid w:val="005B22D4"/>
    <w:rsid w:val="005B2A9B"/>
    <w:rsid w:val="005B6079"/>
    <w:rsid w:val="005C60F1"/>
    <w:rsid w:val="005D1B7E"/>
    <w:rsid w:val="005D2559"/>
    <w:rsid w:val="005D274E"/>
    <w:rsid w:val="005D4F2D"/>
    <w:rsid w:val="005D61DB"/>
    <w:rsid w:val="005E0B35"/>
    <w:rsid w:val="005E0B5D"/>
    <w:rsid w:val="005E6368"/>
    <w:rsid w:val="005F0ED4"/>
    <w:rsid w:val="005F183E"/>
    <w:rsid w:val="00603498"/>
    <w:rsid w:val="00611352"/>
    <w:rsid w:val="006116C2"/>
    <w:rsid w:val="00612950"/>
    <w:rsid w:val="00614B26"/>
    <w:rsid w:val="006172ED"/>
    <w:rsid w:val="00622734"/>
    <w:rsid w:val="00632E6F"/>
    <w:rsid w:val="00633D27"/>
    <w:rsid w:val="00633F7A"/>
    <w:rsid w:val="00634E1D"/>
    <w:rsid w:val="00640565"/>
    <w:rsid w:val="00651F0F"/>
    <w:rsid w:val="00653F6E"/>
    <w:rsid w:val="006646D0"/>
    <w:rsid w:val="00681E38"/>
    <w:rsid w:val="006A6FCC"/>
    <w:rsid w:val="006B1006"/>
    <w:rsid w:val="006B2726"/>
    <w:rsid w:val="006D1643"/>
    <w:rsid w:val="006D2BBE"/>
    <w:rsid w:val="006D6401"/>
    <w:rsid w:val="006E6629"/>
    <w:rsid w:val="006E7FFB"/>
    <w:rsid w:val="006F589F"/>
    <w:rsid w:val="006F68BE"/>
    <w:rsid w:val="0070036A"/>
    <w:rsid w:val="007033CE"/>
    <w:rsid w:val="00707AFB"/>
    <w:rsid w:val="00723148"/>
    <w:rsid w:val="0073408C"/>
    <w:rsid w:val="00742109"/>
    <w:rsid w:val="00745F71"/>
    <w:rsid w:val="00762C40"/>
    <w:rsid w:val="0076340A"/>
    <w:rsid w:val="00764916"/>
    <w:rsid w:val="00766B97"/>
    <w:rsid w:val="00773194"/>
    <w:rsid w:val="00775073"/>
    <w:rsid w:val="00775BB9"/>
    <w:rsid w:val="00775ED8"/>
    <w:rsid w:val="00776A54"/>
    <w:rsid w:val="00777DD7"/>
    <w:rsid w:val="00782F15"/>
    <w:rsid w:val="007830BF"/>
    <w:rsid w:val="00786144"/>
    <w:rsid w:val="00786793"/>
    <w:rsid w:val="00790D2C"/>
    <w:rsid w:val="007935D5"/>
    <w:rsid w:val="007A0FBE"/>
    <w:rsid w:val="007A6474"/>
    <w:rsid w:val="007A6B5D"/>
    <w:rsid w:val="007A798B"/>
    <w:rsid w:val="007B4A83"/>
    <w:rsid w:val="007B4E59"/>
    <w:rsid w:val="007B6CDB"/>
    <w:rsid w:val="007C2066"/>
    <w:rsid w:val="007C5A35"/>
    <w:rsid w:val="007E2645"/>
    <w:rsid w:val="007E48CC"/>
    <w:rsid w:val="007E7E31"/>
    <w:rsid w:val="007F016D"/>
    <w:rsid w:val="007F19BC"/>
    <w:rsid w:val="007F3A78"/>
    <w:rsid w:val="00800EC6"/>
    <w:rsid w:val="0080325F"/>
    <w:rsid w:val="00817E2B"/>
    <w:rsid w:val="00820A82"/>
    <w:rsid w:val="00823821"/>
    <w:rsid w:val="00824139"/>
    <w:rsid w:val="00841BDF"/>
    <w:rsid w:val="008437C6"/>
    <w:rsid w:val="00843832"/>
    <w:rsid w:val="0084609A"/>
    <w:rsid w:val="0084688C"/>
    <w:rsid w:val="00846E18"/>
    <w:rsid w:val="00855EC4"/>
    <w:rsid w:val="00856B02"/>
    <w:rsid w:val="0086318F"/>
    <w:rsid w:val="00866FD1"/>
    <w:rsid w:val="00886D5F"/>
    <w:rsid w:val="008900A8"/>
    <w:rsid w:val="00891B6A"/>
    <w:rsid w:val="008955AC"/>
    <w:rsid w:val="008B290B"/>
    <w:rsid w:val="008B7048"/>
    <w:rsid w:val="008C30FA"/>
    <w:rsid w:val="008C3DA3"/>
    <w:rsid w:val="008D018A"/>
    <w:rsid w:val="008D778D"/>
    <w:rsid w:val="008E16E4"/>
    <w:rsid w:val="008F20B5"/>
    <w:rsid w:val="008F478C"/>
    <w:rsid w:val="008F7221"/>
    <w:rsid w:val="00901521"/>
    <w:rsid w:val="00904843"/>
    <w:rsid w:val="00904B91"/>
    <w:rsid w:val="009113FF"/>
    <w:rsid w:val="00912CCA"/>
    <w:rsid w:val="009139B4"/>
    <w:rsid w:val="00914AAC"/>
    <w:rsid w:val="00921D96"/>
    <w:rsid w:val="00936A53"/>
    <w:rsid w:val="00944FDA"/>
    <w:rsid w:val="009451B1"/>
    <w:rsid w:val="00945B72"/>
    <w:rsid w:val="00946780"/>
    <w:rsid w:val="0095534B"/>
    <w:rsid w:val="00957799"/>
    <w:rsid w:val="00962045"/>
    <w:rsid w:val="009625D3"/>
    <w:rsid w:val="009629AA"/>
    <w:rsid w:val="00963522"/>
    <w:rsid w:val="00966622"/>
    <w:rsid w:val="00970FE6"/>
    <w:rsid w:val="009739DE"/>
    <w:rsid w:val="009856B0"/>
    <w:rsid w:val="009878D3"/>
    <w:rsid w:val="009A31F7"/>
    <w:rsid w:val="009A37D2"/>
    <w:rsid w:val="009B1056"/>
    <w:rsid w:val="009B2952"/>
    <w:rsid w:val="009C2DE1"/>
    <w:rsid w:val="009C5213"/>
    <w:rsid w:val="009D789F"/>
    <w:rsid w:val="009E1DD1"/>
    <w:rsid w:val="009E6157"/>
    <w:rsid w:val="009F4BCD"/>
    <w:rsid w:val="009F5543"/>
    <w:rsid w:val="009F58E1"/>
    <w:rsid w:val="00A004F9"/>
    <w:rsid w:val="00A04EF3"/>
    <w:rsid w:val="00A05B31"/>
    <w:rsid w:val="00A06B30"/>
    <w:rsid w:val="00A126A6"/>
    <w:rsid w:val="00A151DD"/>
    <w:rsid w:val="00A160B5"/>
    <w:rsid w:val="00A20624"/>
    <w:rsid w:val="00A273C6"/>
    <w:rsid w:val="00A35304"/>
    <w:rsid w:val="00A371BD"/>
    <w:rsid w:val="00A517D1"/>
    <w:rsid w:val="00A5481E"/>
    <w:rsid w:val="00A56995"/>
    <w:rsid w:val="00A57ADA"/>
    <w:rsid w:val="00A57E94"/>
    <w:rsid w:val="00A61AC0"/>
    <w:rsid w:val="00A719F3"/>
    <w:rsid w:val="00A77AC0"/>
    <w:rsid w:val="00A77F6A"/>
    <w:rsid w:val="00A8531E"/>
    <w:rsid w:val="00A918E4"/>
    <w:rsid w:val="00A979F9"/>
    <w:rsid w:val="00AA7B9B"/>
    <w:rsid w:val="00AB182D"/>
    <w:rsid w:val="00AB4524"/>
    <w:rsid w:val="00AB4D3E"/>
    <w:rsid w:val="00AB7853"/>
    <w:rsid w:val="00AD3EFD"/>
    <w:rsid w:val="00AD5ED7"/>
    <w:rsid w:val="00AD788D"/>
    <w:rsid w:val="00AE206A"/>
    <w:rsid w:val="00AF399C"/>
    <w:rsid w:val="00AF4347"/>
    <w:rsid w:val="00AF5FE7"/>
    <w:rsid w:val="00B0797F"/>
    <w:rsid w:val="00B10B0A"/>
    <w:rsid w:val="00B14349"/>
    <w:rsid w:val="00B204C1"/>
    <w:rsid w:val="00B22370"/>
    <w:rsid w:val="00B258EB"/>
    <w:rsid w:val="00B27347"/>
    <w:rsid w:val="00B30C7F"/>
    <w:rsid w:val="00B30CB5"/>
    <w:rsid w:val="00B436F5"/>
    <w:rsid w:val="00B532F8"/>
    <w:rsid w:val="00B545D1"/>
    <w:rsid w:val="00B565C3"/>
    <w:rsid w:val="00B66897"/>
    <w:rsid w:val="00B714C9"/>
    <w:rsid w:val="00B71D4F"/>
    <w:rsid w:val="00B82C89"/>
    <w:rsid w:val="00B84243"/>
    <w:rsid w:val="00B93B07"/>
    <w:rsid w:val="00B95B57"/>
    <w:rsid w:val="00B96B11"/>
    <w:rsid w:val="00BA2308"/>
    <w:rsid w:val="00BA74DE"/>
    <w:rsid w:val="00BD1C53"/>
    <w:rsid w:val="00BD378C"/>
    <w:rsid w:val="00BD5672"/>
    <w:rsid w:val="00BE0ED5"/>
    <w:rsid w:val="00BE1E9E"/>
    <w:rsid w:val="00BE37D4"/>
    <w:rsid w:val="00BF0445"/>
    <w:rsid w:val="00BF2605"/>
    <w:rsid w:val="00C01A9C"/>
    <w:rsid w:val="00C02282"/>
    <w:rsid w:val="00C047DD"/>
    <w:rsid w:val="00C05971"/>
    <w:rsid w:val="00C06AC9"/>
    <w:rsid w:val="00C07535"/>
    <w:rsid w:val="00C12633"/>
    <w:rsid w:val="00C13003"/>
    <w:rsid w:val="00C13777"/>
    <w:rsid w:val="00C13BA6"/>
    <w:rsid w:val="00C22D3C"/>
    <w:rsid w:val="00C3087F"/>
    <w:rsid w:val="00C32EF2"/>
    <w:rsid w:val="00C46F50"/>
    <w:rsid w:val="00C52D9B"/>
    <w:rsid w:val="00C5442E"/>
    <w:rsid w:val="00C5503C"/>
    <w:rsid w:val="00C60BA2"/>
    <w:rsid w:val="00C62B93"/>
    <w:rsid w:val="00C731D1"/>
    <w:rsid w:val="00C83108"/>
    <w:rsid w:val="00C93E8E"/>
    <w:rsid w:val="00C956D8"/>
    <w:rsid w:val="00CA1030"/>
    <w:rsid w:val="00CA328E"/>
    <w:rsid w:val="00CA522C"/>
    <w:rsid w:val="00CA5ADE"/>
    <w:rsid w:val="00CA6D33"/>
    <w:rsid w:val="00CB1A12"/>
    <w:rsid w:val="00CC314B"/>
    <w:rsid w:val="00CE53AB"/>
    <w:rsid w:val="00CE6182"/>
    <w:rsid w:val="00CF2FF5"/>
    <w:rsid w:val="00CF4D40"/>
    <w:rsid w:val="00D02EF1"/>
    <w:rsid w:val="00D06320"/>
    <w:rsid w:val="00D07BBA"/>
    <w:rsid w:val="00D10ECA"/>
    <w:rsid w:val="00D11DCE"/>
    <w:rsid w:val="00D176EB"/>
    <w:rsid w:val="00D203FE"/>
    <w:rsid w:val="00D321B4"/>
    <w:rsid w:val="00D344B2"/>
    <w:rsid w:val="00D406AA"/>
    <w:rsid w:val="00D442F5"/>
    <w:rsid w:val="00D60543"/>
    <w:rsid w:val="00D6397B"/>
    <w:rsid w:val="00D67D80"/>
    <w:rsid w:val="00D7443D"/>
    <w:rsid w:val="00D806D3"/>
    <w:rsid w:val="00D81893"/>
    <w:rsid w:val="00D86D98"/>
    <w:rsid w:val="00D93D2D"/>
    <w:rsid w:val="00D9648C"/>
    <w:rsid w:val="00D96C50"/>
    <w:rsid w:val="00D9720E"/>
    <w:rsid w:val="00DA35B9"/>
    <w:rsid w:val="00DB2443"/>
    <w:rsid w:val="00DB4CF3"/>
    <w:rsid w:val="00DC1C23"/>
    <w:rsid w:val="00DC2C2F"/>
    <w:rsid w:val="00DC3DA3"/>
    <w:rsid w:val="00DE1DA7"/>
    <w:rsid w:val="00DE529D"/>
    <w:rsid w:val="00DE564C"/>
    <w:rsid w:val="00DF714D"/>
    <w:rsid w:val="00E001A5"/>
    <w:rsid w:val="00E01B4E"/>
    <w:rsid w:val="00E04F19"/>
    <w:rsid w:val="00E14464"/>
    <w:rsid w:val="00E152C1"/>
    <w:rsid w:val="00E15A54"/>
    <w:rsid w:val="00E16F3F"/>
    <w:rsid w:val="00E236D8"/>
    <w:rsid w:val="00E31981"/>
    <w:rsid w:val="00E362BE"/>
    <w:rsid w:val="00E368FB"/>
    <w:rsid w:val="00E3721A"/>
    <w:rsid w:val="00E41662"/>
    <w:rsid w:val="00E4383A"/>
    <w:rsid w:val="00E445D7"/>
    <w:rsid w:val="00E544DA"/>
    <w:rsid w:val="00E5735E"/>
    <w:rsid w:val="00E62A68"/>
    <w:rsid w:val="00E66066"/>
    <w:rsid w:val="00E77C2E"/>
    <w:rsid w:val="00E82DF1"/>
    <w:rsid w:val="00E83EF8"/>
    <w:rsid w:val="00E92354"/>
    <w:rsid w:val="00EA3926"/>
    <w:rsid w:val="00EC26A5"/>
    <w:rsid w:val="00EC698B"/>
    <w:rsid w:val="00EC744B"/>
    <w:rsid w:val="00ED2947"/>
    <w:rsid w:val="00ED782E"/>
    <w:rsid w:val="00EE02CE"/>
    <w:rsid w:val="00EE46A2"/>
    <w:rsid w:val="00EE700A"/>
    <w:rsid w:val="00F02021"/>
    <w:rsid w:val="00F050DF"/>
    <w:rsid w:val="00F10B17"/>
    <w:rsid w:val="00F16A0E"/>
    <w:rsid w:val="00F16B5F"/>
    <w:rsid w:val="00F210CA"/>
    <w:rsid w:val="00F220D5"/>
    <w:rsid w:val="00F422C2"/>
    <w:rsid w:val="00F456B7"/>
    <w:rsid w:val="00F66465"/>
    <w:rsid w:val="00F83116"/>
    <w:rsid w:val="00F83200"/>
    <w:rsid w:val="00F849FE"/>
    <w:rsid w:val="00F85C14"/>
    <w:rsid w:val="00FA452F"/>
    <w:rsid w:val="00FA5092"/>
    <w:rsid w:val="00FA7C98"/>
    <w:rsid w:val="00FB31AD"/>
    <w:rsid w:val="00FB31E7"/>
    <w:rsid w:val="00FB3387"/>
    <w:rsid w:val="00FB4221"/>
    <w:rsid w:val="00FB7547"/>
    <w:rsid w:val="00FC2462"/>
    <w:rsid w:val="00FC42AC"/>
    <w:rsid w:val="00FC51AD"/>
    <w:rsid w:val="00FC7C34"/>
    <w:rsid w:val="00FD1DD9"/>
    <w:rsid w:val="00FE0FDC"/>
    <w:rsid w:val="00FE157F"/>
    <w:rsid w:val="00FE3758"/>
    <w:rsid w:val="00FF35FA"/>
    <w:rsid w:val="00FF7CE7"/>
    <w:rsid w:val="013A3570"/>
    <w:rsid w:val="01F0B0C8"/>
    <w:rsid w:val="02418337"/>
    <w:rsid w:val="0270B37F"/>
    <w:rsid w:val="02F8F4C2"/>
    <w:rsid w:val="03338668"/>
    <w:rsid w:val="0339043B"/>
    <w:rsid w:val="033A6E2A"/>
    <w:rsid w:val="038945D3"/>
    <w:rsid w:val="0396A6C0"/>
    <w:rsid w:val="039F550A"/>
    <w:rsid w:val="03B3B10F"/>
    <w:rsid w:val="03EA0A12"/>
    <w:rsid w:val="0403D3DD"/>
    <w:rsid w:val="04422001"/>
    <w:rsid w:val="04707D1C"/>
    <w:rsid w:val="049BC524"/>
    <w:rsid w:val="04D8DFCD"/>
    <w:rsid w:val="04DB1A46"/>
    <w:rsid w:val="0559F7E9"/>
    <w:rsid w:val="059FA92A"/>
    <w:rsid w:val="05E4D85F"/>
    <w:rsid w:val="05F26336"/>
    <w:rsid w:val="0632E847"/>
    <w:rsid w:val="06BAEA7E"/>
    <w:rsid w:val="06C46D2D"/>
    <w:rsid w:val="07374870"/>
    <w:rsid w:val="0769F427"/>
    <w:rsid w:val="079561E2"/>
    <w:rsid w:val="085C19B0"/>
    <w:rsid w:val="086BC9A2"/>
    <w:rsid w:val="08AF0D9F"/>
    <w:rsid w:val="09085210"/>
    <w:rsid w:val="09579069"/>
    <w:rsid w:val="098D3B0E"/>
    <w:rsid w:val="09C1CC01"/>
    <w:rsid w:val="0A2695C3"/>
    <w:rsid w:val="0A51711E"/>
    <w:rsid w:val="0A85A50D"/>
    <w:rsid w:val="0AB73242"/>
    <w:rsid w:val="0B19469F"/>
    <w:rsid w:val="0B29B9EE"/>
    <w:rsid w:val="0B473EF2"/>
    <w:rsid w:val="0B48C97E"/>
    <w:rsid w:val="0B55D413"/>
    <w:rsid w:val="0C457534"/>
    <w:rsid w:val="0C4B5587"/>
    <w:rsid w:val="0D338F7F"/>
    <w:rsid w:val="0D8D605B"/>
    <w:rsid w:val="0DBB2A49"/>
    <w:rsid w:val="0DDF8989"/>
    <w:rsid w:val="0DF32D50"/>
    <w:rsid w:val="0E487ED4"/>
    <w:rsid w:val="0E5F59E7"/>
    <w:rsid w:val="0E7D24B6"/>
    <w:rsid w:val="0E923164"/>
    <w:rsid w:val="0EEF3D24"/>
    <w:rsid w:val="0EF57BEA"/>
    <w:rsid w:val="0F1A0F0B"/>
    <w:rsid w:val="0F1D626C"/>
    <w:rsid w:val="0F3D2D02"/>
    <w:rsid w:val="0F6FF673"/>
    <w:rsid w:val="0F79D4F5"/>
    <w:rsid w:val="0FBD968A"/>
    <w:rsid w:val="0FD10FBD"/>
    <w:rsid w:val="0FE449DE"/>
    <w:rsid w:val="0FF8CF4F"/>
    <w:rsid w:val="0FFE41FF"/>
    <w:rsid w:val="1021E328"/>
    <w:rsid w:val="10426CBA"/>
    <w:rsid w:val="1071B21B"/>
    <w:rsid w:val="10B2953D"/>
    <w:rsid w:val="10BEDA37"/>
    <w:rsid w:val="10EAEEF9"/>
    <w:rsid w:val="110EB868"/>
    <w:rsid w:val="115314E5"/>
    <w:rsid w:val="1195096A"/>
    <w:rsid w:val="1223B2BE"/>
    <w:rsid w:val="12943F73"/>
    <w:rsid w:val="1303E020"/>
    <w:rsid w:val="13320833"/>
    <w:rsid w:val="13BF3F2F"/>
    <w:rsid w:val="141C3538"/>
    <w:rsid w:val="147DE5C5"/>
    <w:rsid w:val="14FDB98E"/>
    <w:rsid w:val="14FE925D"/>
    <w:rsid w:val="1525BE80"/>
    <w:rsid w:val="152C3CA8"/>
    <w:rsid w:val="1555F797"/>
    <w:rsid w:val="16E1A1F9"/>
    <w:rsid w:val="17752AD1"/>
    <w:rsid w:val="17C3A872"/>
    <w:rsid w:val="1838321C"/>
    <w:rsid w:val="18507679"/>
    <w:rsid w:val="187E74D4"/>
    <w:rsid w:val="18864995"/>
    <w:rsid w:val="188EBB04"/>
    <w:rsid w:val="18A81E29"/>
    <w:rsid w:val="18D52741"/>
    <w:rsid w:val="19A36704"/>
    <w:rsid w:val="1A3D2263"/>
    <w:rsid w:val="1A3DB753"/>
    <w:rsid w:val="1A4AE6D6"/>
    <w:rsid w:val="1A515C93"/>
    <w:rsid w:val="1AEC4055"/>
    <w:rsid w:val="1B19B85A"/>
    <w:rsid w:val="1B434EA8"/>
    <w:rsid w:val="1BA5D57B"/>
    <w:rsid w:val="1C394D25"/>
    <w:rsid w:val="1C76164B"/>
    <w:rsid w:val="1CA74D50"/>
    <w:rsid w:val="1CF5335E"/>
    <w:rsid w:val="1D074853"/>
    <w:rsid w:val="1D0EAEBF"/>
    <w:rsid w:val="1D15B6CA"/>
    <w:rsid w:val="1DB78BD0"/>
    <w:rsid w:val="1DBBC8F4"/>
    <w:rsid w:val="1DD2553F"/>
    <w:rsid w:val="1DE53799"/>
    <w:rsid w:val="1E090B07"/>
    <w:rsid w:val="1E3A070D"/>
    <w:rsid w:val="1E733911"/>
    <w:rsid w:val="1E9B51E7"/>
    <w:rsid w:val="1EAB3AC6"/>
    <w:rsid w:val="1F269DC0"/>
    <w:rsid w:val="1F89A5D7"/>
    <w:rsid w:val="1FECA22A"/>
    <w:rsid w:val="20655EA0"/>
    <w:rsid w:val="206E26CE"/>
    <w:rsid w:val="20842C67"/>
    <w:rsid w:val="20AB686F"/>
    <w:rsid w:val="21384A3C"/>
    <w:rsid w:val="225EA1A5"/>
    <w:rsid w:val="22BC180A"/>
    <w:rsid w:val="22D348FB"/>
    <w:rsid w:val="23251E50"/>
    <w:rsid w:val="2325BD60"/>
    <w:rsid w:val="23734ADB"/>
    <w:rsid w:val="238288B0"/>
    <w:rsid w:val="24228AB8"/>
    <w:rsid w:val="242A12B0"/>
    <w:rsid w:val="2434DA44"/>
    <w:rsid w:val="24610991"/>
    <w:rsid w:val="248B9868"/>
    <w:rsid w:val="248FB7EE"/>
    <w:rsid w:val="2490F176"/>
    <w:rsid w:val="24A54E52"/>
    <w:rsid w:val="24AC239A"/>
    <w:rsid w:val="24EF0E49"/>
    <w:rsid w:val="251FBD1F"/>
    <w:rsid w:val="253941E7"/>
    <w:rsid w:val="2552C86B"/>
    <w:rsid w:val="255B61C5"/>
    <w:rsid w:val="256EBF3E"/>
    <w:rsid w:val="25C8BBF8"/>
    <w:rsid w:val="25E17197"/>
    <w:rsid w:val="25EE1E59"/>
    <w:rsid w:val="25FB8B98"/>
    <w:rsid w:val="260C0966"/>
    <w:rsid w:val="262F4A41"/>
    <w:rsid w:val="264FFEF5"/>
    <w:rsid w:val="276D8AE4"/>
    <w:rsid w:val="277946BE"/>
    <w:rsid w:val="278F8A08"/>
    <w:rsid w:val="27918F1F"/>
    <w:rsid w:val="27C30AF9"/>
    <w:rsid w:val="28075C0A"/>
    <w:rsid w:val="285B6BAB"/>
    <w:rsid w:val="28CE281A"/>
    <w:rsid w:val="2903F009"/>
    <w:rsid w:val="291FD940"/>
    <w:rsid w:val="29326304"/>
    <w:rsid w:val="2948F1B3"/>
    <w:rsid w:val="297F4998"/>
    <w:rsid w:val="2A4B1DAD"/>
    <w:rsid w:val="2A9646BF"/>
    <w:rsid w:val="2BA7D229"/>
    <w:rsid w:val="2BB4BCAD"/>
    <w:rsid w:val="2BFC7EDD"/>
    <w:rsid w:val="2C14E6ED"/>
    <w:rsid w:val="2C26860D"/>
    <w:rsid w:val="2C9C9A04"/>
    <w:rsid w:val="2CE133A7"/>
    <w:rsid w:val="2D08687B"/>
    <w:rsid w:val="2D8BD0F8"/>
    <w:rsid w:val="2D933F00"/>
    <w:rsid w:val="2DF8EEB3"/>
    <w:rsid w:val="2E27A147"/>
    <w:rsid w:val="2E45C714"/>
    <w:rsid w:val="2EB48391"/>
    <w:rsid w:val="2EBCFE75"/>
    <w:rsid w:val="2ED5338F"/>
    <w:rsid w:val="2F0829C1"/>
    <w:rsid w:val="2FA6755F"/>
    <w:rsid w:val="2FB7DED2"/>
    <w:rsid w:val="2FCE2083"/>
    <w:rsid w:val="2FD1037C"/>
    <w:rsid w:val="2FEFDE0C"/>
    <w:rsid w:val="3074AD5D"/>
    <w:rsid w:val="30762BAA"/>
    <w:rsid w:val="30A416B3"/>
    <w:rsid w:val="30B74D1D"/>
    <w:rsid w:val="30DDA4A7"/>
    <w:rsid w:val="30EAEF06"/>
    <w:rsid w:val="31351A9D"/>
    <w:rsid w:val="31A66DC0"/>
    <w:rsid w:val="31B3911C"/>
    <w:rsid w:val="31BEA12C"/>
    <w:rsid w:val="3270B3A4"/>
    <w:rsid w:val="32EBCDCC"/>
    <w:rsid w:val="32F53FCF"/>
    <w:rsid w:val="334140C1"/>
    <w:rsid w:val="337E6039"/>
    <w:rsid w:val="33934F9C"/>
    <w:rsid w:val="33C89635"/>
    <w:rsid w:val="33D86DEB"/>
    <w:rsid w:val="33ED87E8"/>
    <w:rsid w:val="3431E1FA"/>
    <w:rsid w:val="3453FE35"/>
    <w:rsid w:val="348F0A97"/>
    <w:rsid w:val="34AC2DE3"/>
    <w:rsid w:val="354B0E08"/>
    <w:rsid w:val="3557803B"/>
    <w:rsid w:val="35DD1E2B"/>
    <w:rsid w:val="361A15EE"/>
    <w:rsid w:val="3640311A"/>
    <w:rsid w:val="36C0A5A8"/>
    <w:rsid w:val="37681971"/>
    <w:rsid w:val="37B21480"/>
    <w:rsid w:val="37C7AEEE"/>
    <w:rsid w:val="382F618B"/>
    <w:rsid w:val="386283B0"/>
    <w:rsid w:val="386D3904"/>
    <w:rsid w:val="38723461"/>
    <w:rsid w:val="38B21F87"/>
    <w:rsid w:val="38CD4729"/>
    <w:rsid w:val="38DE8314"/>
    <w:rsid w:val="38FBA656"/>
    <w:rsid w:val="3931DE1D"/>
    <w:rsid w:val="39B557A3"/>
    <w:rsid w:val="39C84439"/>
    <w:rsid w:val="39E18EA2"/>
    <w:rsid w:val="3A423CE9"/>
    <w:rsid w:val="3A9F2058"/>
    <w:rsid w:val="3ADDB7E5"/>
    <w:rsid w:val="3AFAAEA6"/>
    <w:rsid w:val="3B18DB8E"/>
    <w:rsid w:val="3B665ED1"/>
    <w:rsid w:val="3BBAEAFB"/>
    <w:rsid w:val="3C16D1C5"/>
    <w:rsid w:val="3C45C176"/>
    <w:rsid w:val="3CE281C5"/>
    <w:rsid w:val="3CE6C5AB"/>
    <w:rsid w:val="3D07F1A7"/>
    <w:rsid w:val="3D088BD8"/>
    <w:rsid w:val="3D3ADAFE"/>
    <w:rsid w:val="3DECE468"/>
    <w:rsid w:val="3DFDBC55"/>
    <w:rsid w:val="3E7AE7CA"/>
    <w:rsid w:val="3F603432"/>
    <w:rsid w:val="3F76E883"/>
    <w:rsid w:val="3FBCEFAE"/>
    <w:rsid w:val="3FE688AF"/>
    <w:rsid w:val="40090B1C"/>
    <w:rsid w:val="40444ED0"/>
    <w:rsid w:val="407F6A71"/>
    <w:rsid w:val="40D4577E"/>
    <w:rsid w:val="40D5C119"/>
    <w:rsid w:val="41037AEC"/>
    <w:rsid w:val="412394FA"/>
    <w:rsid w:val="416CF46D"/>
    <w:rsid w:val="41915421"/>
    <w:rsid w:val="41ED080A"/>
    <w:rsid w:val="42412A37"/>
    <w:rsid w:val="426E1964"/>
    <w:rsid w:val="42ACAD99"/>
    <w:rsid w:val="42FBE292"/>
    <w:rsid w:val="4343ACEF"/>
    <w:rsid w:val="43DCFA87"/>
    <w:rsid w:val="43FEF995"/>
    <w:rsid w:val="44422F41"/>
    <w:rsid w:val="44454FB5"/>
    <w:rsid w:val="444DD3FE"/>
    <w:rsid w:val="44567803"/>
    <w:rsid w:val="4463A7D6"/>
    <w:rsid w:val="44B194D8"/>
    <w:rsid w:val="4500774D"/>
    <w:rsid w:val="45009A52"/>
    <w:rsid w:val="451342A4"/>
    <w:rsid w:val="45523C41"/>
    <w:rsid w:val="45543B0B"/>
    <w:rsid w:val="46459931"/>
    <w:rsid w:val="4689C2A5"/>
    <w:rsid w:val="46F14FBA"/>
    <w:rsid w:val="47302B4E"/>
    <w:rsid w:val="473CF05D"/>
    <w:rsid w:val="48127481"/>
    <w:rsid w:val="483709D2"/>
    <w:rsid w:val="48A9DFC6"/>
    <w:rsid w:val="48AD8D33"/>
    <w:rsid w:val="48BB74CD"/>
    <w:rsid w:val="48BC8740"/>
    <w:rsid w:val="48D19FFE"/>
    <w:rsid w:val="498A5716"/>
    <w:rsid w:val="49AC9649"/>
    <w:rsid w:val="4A05A75C"/>
    <w:rsid w:val="4A262618"/>
    <w:rsid w:val="4A370941"/>
    <w:rsid w:val="4A533052"/>
    <w:rsid w:val="4A61372C"/>
    <w:rsid w:val="4A61C9B1"/>
    <w:rsid w:val="4AA12EDA"/>
    <w:rsid w:val="4AA4CD25"/>
    <w:rsid w:val="4ACFAFBC"/>
    <w:rsid w:val="4AD36B43"/>
    <w:rsid w:val="4B499743"/>
    <w:rsid w:val="4BB8A5F2"/>
    <w:rsid w:val="4BD897FB"/>
    <w:rsid w:val="4C3B0DB0"/>
    <w:rsid w:val="4C5C7734"/>
    <w:rsid w:val="4C5DA95E"/>
    <w:rsid w:val="4CFF40C4"/>
    <w:rsid w:val="4D220022"/>
    <w:rsid w:val="4DA3481C"/>
    <w:rsid w:val="4DBEA106"/>
    <w:rsid w:val="4DFDE46A"/>
    <w:rsid w:val="4E50B6A7"/>
    <w:rsid w:val="4E6883F4"/>
    <w:rsid w:val="4E805759"/>
    <w:rsid w:val="4E924979"/>
    <w:rsid w:val="4EA76FCA"/>
    <w:rsid w:val="4EF6FEF3"/>
    <w:rsid w:val="4EFA0C04"/>
    <w:rsid w:val="4F2C73F3"/>
    <w:rsid w:val="4F68C22D"/>
    <w:rsid w:val="4F74C81E"/>
    <w:rsid w:val="4FC06E46"/>
    <w:rsid w:val="500D533C"/>
    <w:rsid w:val="500DE9E1"/>
    <w:rsid w:val="504EB659"/>
    <w:rsid w:val="507AB52A"/>
    <w:rsid w:val="5084A419"/>
    <w:rsid w:val="50A89B62"/>
    <w:rsid w:val="50E66A81"/>
    <w:rsid w:val="50EB85A9"/>
    <w:rsid w:val="516D94AD"/>
    <w:rsid w:val="517DAAA3"/>
    <w:rsid w:val="51A824CE"/>
    <w:rsid w:val="520E9DDC"/>
    <w:rsid w:val="522C2DBC"/>
    <w:rsid w:val="52982446"/>
    <w:rsid w:val="52A607D8"/>
    <w:rsid w:val="52C9123F"/>
    <w:rsid w:val="52D026C8"/>
    <w:rsid w:val="52D8A165"/>
    <w:rsid w:val="5358DF86"/>
    <w:rsid w:val="539EC807"/>
    <w:rsid w:val="53A12F23"/>
    <w:rsid w:val="53B5FA19"/>
    <w:rsid w:val="5408A3E8"/>
    <w:rsid w:val="5479327F"/>
    <w:rsid w:val="54FA2E1D"/>
    <w:rsid w:val="5501F6E9"/>
    <w:rsid w:val="55452918"/>
    <w:rsid w:val="5565B46A"/>
    <w:rsid w:val="55DBAE0A"/>
    <w:rsid w:val="561451EC"/>
    <w:rsid w:val="5617521C"/>
    <w:rsid w:val="56185205"/>
    <w:rsid w:val="5632FCC7"/>
    <w:rsid w:val="5661D055"/>
    <w:rsid w:val="56778EF6"/>
    <w:rsid w:val="56FE419B"/>
    <w:rsid w:val="5700BFE8"/>
    <w:rsid w:val="5706C376"/>
    <w:rsid w:val="572CE675"/>
    <w:rsid w:val="5749D936"/>
    <w:rsid w:val="574C9B9D"/>
    <w:rsid w:val="57519F6B"/>
    <w:rsid w:val="5761C77A"/>
    <w:rsid w:val="58001085"/>
    <w:rsid w:val="587050FB"/>
    <w:rsid w:val="58A8E7D3"/>
    <w:rsid w:val="58C467DE"/>
    <w:rsid w:val="58DBFC1C"/>
    <w:rsid w:val="5940F8A6"/>
    <w:rsid w:val="5966E20E"/>
    <w:rsid w:val="599F1B2A"/>
    <w:rsid w:val="59A6D4B9"/>
    <w:rsid w:val="59C93743"/>
    <w:rsid w:val="5A3B9C1B"/>
    <w:rsid w:val="5A57BB28"/>
    <w:rsid w:val="5A975C97"/>
    <w:rsid w:val="5A9AB429"/>
    <w:rsid w:val="5ABDC430"/>
    <w:rsid w:val="5B0204ED"/>
    <w:rsid w:val="5B0E98CA"/>
    <w:rsid w:val="5B38FE81"/>
    <w:rsid w:val="5BB9A6E2"/>
    <w:rsid w:val="5BC50164"/>
    <w:rsid w:val="5C2F1583"/>
    <w:rsid w:val="5C390959"/>
    <w:rsid w:val="5C3D7A8E"/>
    <w:rsid w:val="5C60AFE1"/>
    <w:rsid w:val="5D81B5D3"/>
    <w:rsid w:val="5E1C9227"/>
    <w:rsid w:val="5EFDD98C"/>
    <w:rsid w:val="5F380B2D"/>
    <w:rsid w:val="5F412D75"/>
    <w:rsid w:val="5F6ACCEC"/>
    <w:rsid w:val="5F6B41C5"/>
    <w:rsid w:val="5F865B7C"/>
    <w:rsid w:val="6016E7BA"/>
    <w:rsid w:val="60625CAD"/>
    <w:rsid w:val="6083AE5F"/>
    <w:rsid w:val="608C5E0C"/>
    <w:rsid w:val="6096CD1F"/>
    <w:rsid w:val="60D4265E"/>
    <w:rsid w:val="61145B3F"/>
    <w:rsid w:val="611A0DE3"/>
    <w:rsid w:val="614DEE22"/>
    <w:rsid w:val="61DB358A"/>
    <w:rsid w:val="61DEFC12"/>
    <w:rsid w:val="61F72894"/>
    <w:rsid w:val="6214DA19"/>
    <w:rsid w:val="62726A6A"/>
    <w:rsid w:val="6278DA5C"/>
    <w:rsid w:val="62BE4614"/>
    <w:rsid w:val="63E0E855"/>
    <w:rsid w:val="642A309C"/>
    <w:rsid w:val="643CC753"/>
    <w:rsid w:val="64C34BA3"/>
    <w:rsid w:val="64C74C48"/>
    <w:rsid w:val="64DA8D0B"/>
    <w:rsid w:val="65329580"/>
    <w:rsid w:val="65472847"/>
    <w:rsid w:val="654EE900"/>
    <w:rsid w:val="6565F764"/>
    <w:rsid w:val="658BDD25"/>
    <w:rsid w:val="65AAC206"/>
    <w:rsid w:val="65C6A7DF"/>
    <w:rsid w:val="66206EA8"/>
    <w:rsid w:val="666968AD"/>
    <w:rsid w:val="666C6ADE"/>
    <w:rsid w:val="668D02EC"/>
    <w:rsid w:val="6697BACB"/>
    <w:rsid w:val="66A42B07"/>
    <w:rsid w:val="6715C7EB"/>
    <w:rsid w:val="6732E2EB"/>
    <w:rsid w:val="6799B4EC"/>
    <w:rsid w:val="67AB441D"/>
    <w:rsid w:val="68911588"/>
    <w:rsid w:val="68C655DD"/>
    <w:rsid w:val="692C228C"/>
    <w:rsid w:val="6986120A"/>
    <w:rsid w:val="69B1BE57"/>
    <w:rsid w:val="69BD7BEB"/>
    <w:rsid w:val="6A1165AA"/>
    <w:rsid w:val="6A4321D3"/>
    <w:rsid w:val="6A6BE0C0"/>
    <w:rsid w:val="6A9AB3A9"/>
    <w:rsid w:val="6AC6FE1B"/>
    <w:rsid w:val="6ADBAE44"/>
    <w:rsid w:val="6AE4DB75"/>
    <w:rsid w:val="6AF21175"/>
    <w:rsid w:val="6AF66AAF"/>
    <w:rsid w:val="6BD96E9D"/>
    <w:rsid w:val="6BF1E3F5"/>
    <w:rsid w:val="6C0DDE18"/>
    <w:rsid w:val="6C2F7727"/>
    <w:rsid w:val="6D298DD4"/>
    <w:rsid w:val="6D5E6536"/>
    <w:rsid w:val="6D647E9A"/>
    <w:rsid w:val="6D7052EA"/>
    <w:rsid w:val="6D730152"/>
    <w:rsid w:val="6D9EE510"/>
    <w:rsid w:val="6DCB025A"/>
    <w:rsid w:val="6DEC22DA"/>
    <w:rsid w:val="6E18409C"/>
    <w:rsid w:val="6E2B7E89"/>
    <w:rsid w:val="6E9F6D92"/>
    <w:rsid w:val="6EB27187"/>
    <w:rsid w:val="6F045252"/>
    <w:rsid w:val="6F17EB78"/>
    <w:rsid w:val="6F4AC9B3"/>
    <w:rsid w:val="6FBE11EB"/>
    <w:rsid w:val="6FC30CAD"/>
    <w:rsid w:val="6FFC9258"/>
    <w:rsid w:val="7014ABC8"/>
    <w:rsid w:val="7057059F"/>
    <w:rsid w:val="70C676E6"/>
    <w:rsid w:val="716E5644"/>
    <w:rsid w:val="7174FA5F"/>
    <w:rsid w:val="719768C0"/>
    <w:rsid w:val="719BDAC2"/>
    <w:rsid w:val="71B0043B"/>
    <w:rsid w:val="71B926CA"/>
    <w:rsid w:val="720D1B64"/>
    <w:rsid w:val="72360FF6"/>
    <w:rsid w:val="72552FD4"/>
    <w:rsid w:val="72804B58"/>
    <w:rsid w:val="72A9B305"/>
    <w:rsid w:val="72DE6023"/>
    <w:rsid w:val="72FF67D3"/>
    <w:rsid w:val="7338ADB7"/>
    <w:rsid w:val="736CB43C"/>
    <w:rsid w:val="7383BA26"/>
    <w:rsid w:val="7434DFA1"/>
    <w:rsid w:val="745FAA11"/>
    <w:rsid w:val="749825F9"/>
    <w:rsid w:val="749E1579"/>
    <w:rsid w:val="75204BFE"/>
    <w:rsid w:val="754B260F"/>
    <w:rsid w:val="7569397F"/>
    <w:rsid w:val="759753EF"/>
    <w:rsid w:val="75EFF183"/>
    <w:rsid w:val="76606D44"/>
    <w:rsid w:val="76B83536"/>
    <w:rsid w:val="7760D1EF"/>
    <w:rsid w:val="7773B3D4"/>
    <w:rsid w:val="77F025F2"/>
    <w:rsid w:val="77F09176"/>
    <w:rsid w:val="77F71BE7"/>
    <w:rsid w:val="7802BC9B"/>
    <w:rsid w:val="78250F02"/>
    <w:rsid w:val="784A5D2A"/>
    <w:rsid w:val="7856C55F"/>
    <w:rsid w:val="78B7DF87"/>
    <w:rsid w:val="79039318"/>
    <w:rsid w:val="7905FE21"/>
    <w:rsid w:val="79928F7E"/>
    <w:rsid w:val="79BAA40A"/>
    <w:rsid w:val="79CF7D84"/>
    <w:rsid w:val="7AE2F4DA"/>
    <w:rsid w:val="7B0E0B3A"/>
    <w:rsid w:val="7B3A2ECD"/>
    <w:rsid w:val="7B62CE59"/>
    <w:rsid w:val="7B8A6DDD"/>
    <w:rsid w:val="7BDEB368"/>
    <w:rsid w:val="7BF1682A"/>
    <w:rsid w:val="7C3F2F12"/>
    <w:rsid w:val="7D10EA73"/>
    <w:rsid w:val="7D35F9D2"/>
    <w:rsid w:val="7D3AFE09"/>
    <w:rsid w:val="7D571339"/>
    <w:rsid w:val="7D754918"/>
    <w:rsid w:val="7D7E4B0F"/>
    <w:rsid w:val="7D8F949E"/>
    <w:rsid w:val="7DD186CA"/>
    <w:rsid w:val="7DD210B2"/>
    <w:rsid w:val="7DEDF866"/>
    <w:rsid w:val="7E061B8F"/>
    <w:rsid w:val="7E141C07"/>
    <w:rsid w:val="7E1512E9"/>
    <w:rsid w:val="7E591FB5"/>
    <w:rsid w:val="7E5AD24B"/>
    <w:rsid w:val="7E775E52"/>
    <w:rsid w:val="7EB4919A"/>
    <w:rsid w:val="7EE469E6"/>
    <w:rsid w:val="7F0AA91B"/>
    <w:rsid w:val="7F8033AC"/>
    <w:rsid w:val="7FE283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A8EFD91E-4AA7-4110-8ABC-6BD90BFD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7AE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rPr>
  </w:style>
  <w:style w:type="paragraph" w:customStyle="1" w:styleId="paragraph">
    <w:name w:val="paragraph"/>
    <w:basedOn w:val="Normal"/>
    <w:rsid w:val="006E7FFB"/>
    <w:pPr>
      <w:widowControl/>
      <w:spacing w:before="100" w:beforeAutospacing="1" w:after="100" w:afterAutospacing="1"/>
    </w:pPr>
    <w:rPr>
      <w:snapToGrid/>
      <w:szCs w:val="24"/>
    </w:rPr>
  </w:style>
  <w:style w:type="character" w:customStyle="1" w:styleId="normaltextrun">
    <w:name w:val="normaltextrun"/>
    <w:basedOn w:val="DefaultParagraphFont"/>
    <w:rsid w:val="006E7FFB"/>
  </w:style>
  <w:style w:type="character" w:customStyle="1" w:styleId="eop">
    <w:name w:val="eop"/>
    <w:basedOn w:val="DefaultParagraphFont"/>
    <w:rsid w:val="006E7FFB"/>
  </w:style>
  <w:style w:type="character" w:styleId="UnresolvedMention">
    <w:name w:val="Unresolved Mention"/>
    <w:basedOn w:val="DefaultParagraphFont"/>
    <w:uiPriority w:val="99"/>
    <w:semiHidden/>
    <w:unhideWhenUsed/>
    <w:rsid w:val="00A5481E"/>
    <w:rPr>
      <w:color w:val="605E5C"/>
      <w:shd w:val="clear" w:color="auto" w:fill="E1DFDD"/>
    </w:rPr>
  </w:style>
  <w:style w:type="character" w:styleId="FollowedHyperlink">
    <w:name w:val="FollowedHyperlink"/>
    <w:basedOn w:val="DefaultParagraphFont"/>
    <w:rsid w:val="002B0A98"/>
    <w:rPr>
      <w:color w:val="954F72" w:themeColor="followedHyperlink"/>
      <w:u w:val="single"/>
    </w:rPr>
  </w:style>
  <w:style w:type="character" w:styleId="Mention">
    <w:name w:val="Mention"/>
    <w:basedOn w:val="DefaultParagraphFont"/>
    <w:uiPriority w:val="99"/>
    <w:unhideWhenUsed/>
    <w:rsid w:val="003C7E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ncbi.nlm.nih.gov%2Fpmc%2Farticles%2FPMC9844858%2F&amp;data=05%7C02%7CJessica.Hale%40acf.hhs.gov%7Cf8bb1d80d69e497c3b9e08dcaa6a3e5c%7Cd58addea50534a808499ba4d944910df%7C0%7C0%7C638572620492590046%7CUnknown%7CTWFpbGZsb3d8eyJWIjoiMC4wLjAwMDAiLCJQIjoiV2luMzIiLCJBTiI6Ik1haWwiLCJXVCI6Mn0%3D%7C0%7C%7C%7C&amp;sdata=SY5A0pWebeRcHqHOCBCMPTpePYyI8W6q3SCuxg%2BxuKo%3D&amp;reserved=0" TargetMode="External" /><Relationship Id="rId11" Type="http://schemas.openxmlformats.org/officeDocument/2006/relationships/hyperlink" Target="https://gcc02.safelinks.protection.outlook.com/?url=https%3A%2F%2Fwww.bmj.com%2Fcontent%2F324%2F7347%2F1183&amp;data=05%7C02%7CJessica.Hale%40acf.hhs.gov%7Cf8bb1d80d69e497c3b9e08dcaa6a3e5c%7Cd58addea50534a808499ba4d944910df%7C0%7C0%7C638572620492611054%7CUnknown%7CTWFpbGZsb3d8eyJWIjoiMC4wLjAwMDAiLCJQIjoiV2luMzIiLCJBTiI6Ik1haWwiLCJXVCI6Mn0%3D%7C0%7C%7C%7C&amp;sdata=2Wa%2F0DZV67Mw6Voa7icFuTB14aUNxk6TLEAhRp9TNfM%3D&amp;reserved=0" TargetMode="External" /><Relationship Id="rId12" Type="http://schemas.openxmlformats.org/officeDocument/2006/relationships/hyperlink" Target="https://gcc02.safelinks.protection.outlook.com/?url=https%3A%2F%2Fjournals.sagepub.com%2Fdoi%2F10.1177%2F0002716212458082&amp;data=05%7C02%7CJessica.Hale%40acf.hhs.gov%7Cf8bb1d80d69e497c3b9e08dcaa6a3e5c%7Cd58addea50534a808499ba4d944910df%7C0%7C0%7C638572620492627935%7CUnknown%7CTWFpbGZsb3d8eyJWIjoiMC4wLjAwMDAiLCJQIjoiV2luMzIiLCJBTiI6Ik1haWwiLCJXVCI6Mn0%3D%7C0%7C%7C%7C&amp;sdata=tWQUXrRYo4sTgiOhPmRHXML2DD2DT0HuSyIEKLHvXbU%3D&amp;reserved=0" TargetMode="External" /><Relationship Id="rId13" Type="http://schemas.openxmlformats.org/officeDocument/2006/relationships/hyperlink" Target="https://gcc02.safelinks.protection.outlook.com/?url=https%3A%2F%2Fjournals.sagepub.com%2Fdoi%2F10.1177%2F0002716212458082&amp;data=05%7C02%7CJessica.Hale%40acf.hhs.gov%7Cf8bb1d80d69e497c3b9e08dcaa6a3e5c%7Cd58addea50534a808499ba4d944910df%7C0%7C0%7C638572620492642635%7CUnknown%7CTWFpbGZsb3d8eyJWIjoiMC4wLjAwMDAiLCJQIjoiV2luMzIiLCJBTiI6Ik1haWwiLCJXVCI6Mn0%3D%7C0%7C%7C%7C&amp;sdata=WFMuc8D3FG0cRvHpQME6PIg1MTxViVyJJUN4V%2BLSyfg%3D&amp;reserved=0" TargetMode="External" /><Relationship Id="rId14" Type="http://schemas.openxmlformats.org/officeDocument/2006/relationships/hyperlink" Target="https://gcc02.safelinks.protection.outlook.com/?url=https%3A%2F%2Fbmcmedresmethodol.biomedcentral.com%2Farticles%2F10.1186%2Fs12874-017-0353-1&amp;data=05%7C02%7CJessica.Hale%40acf.hhs.gov%7Cf8bb1d80d69e497c3b9e08dcaa6a3e5c%7Cd58addea50534a808499ba4d944910df%7C0%7C0%7C638572620492655524%7CUnknown%7CTWFpbGZsb3d8eyJWIjoiMC4wLjAwMDAiLCJQIjoiV2luMzIiLCJBTiI6Ik1haWwiLCJXVCI6Mn0%3D%7C0%7C%7C%7C&amp;sdata=wNWj3WPyjML3UxaZsCfJu8g36KAv2WpxTY2dECIhfjw%3D&amp;reserved=0" TargetMode="External" /><Relationship Id="rId15" Type="http://schemas.openxmlformats.org/officeDocument/2006/relationships/hyperlink" Target="https://www.bls.gov/oes/current/oes210000.htm" TargetMode="External" /><Relationship Id="rId16" Type="http://schemas.openxmlformats.org/officeDocument/2006/relationships/hyperlink" Target="https://doi.org/10.1177/0002716212458082" TargetMode="External" /><Relationship Id="rId17" Type="http://schemas.openxmlformats.org/officeDocument/2006/relationships/hyperlink" Target="https://doi.org/10.1177/1525822x20901802" TargetMode="External" /><Relationship Id="rId18" Type="http://schemas.openxmlformats.org/officeDocument/2006/relationships/hyperlink" Target="https://doi.org/10.1186/s12874-017-0353-1" TargetMode="External"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CC4E7A3A-3B46-4E18-A552-9336C621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8b356d89-5b8b-4510-8b76-5337e716044f"/>
    <ds:schemaRef ds:uri="http://schemas.microsoft.com/office/2006/documentManagement/types"/>
    <ds:schemaRef ds:uri="7b72a0d3-efc9-4903-a64c-0c2bc5fcdc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5632</Words>
  <Characters>34739</Characters>
  <Application>Microsoft Office Word</Application>
  <DocSecurity>0</DocSecurity>
  <Lines>289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318</cp:revision>
  <dcterms:created xsi:type="dcterms:W3CDTF">2024-08-20T19:31:00Z</dcterms:created>
  <dcterms:modified xsi:type="dcterms:W3CDTF">2024-08-28T19:16:00Z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