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4E000D90">
      <w:pPr>
        <w:pStyle w:val="ReportCover-Title"/>
        <w:jc w:val="center"/>
        <w:rPr>
          <w:rFonts w:ascii="Arial" w:hAnsi="Arial" w:cs="Arial"/>
          <w:color w:val="auto"/>
        </w:rPr>
      </w:pPr>
      <w:r w:rsidRPr="004F7B95">
        <w:rPr>
          <w:rFonts w:ascii="Times New Roman" w:hAnsi="Times New Roman"/>
          <w:sz w:val="24"/>
          <w:szCs w:val="24"/>
        </w:rPr>
        <w:tab/>
      </w:r>
      <w:r w:rsidRPr="001B56D1" w:rsidR="001B56D1">
        <w:rPr>
          <w:rFonts w:ascii="Arial" w:eastAsia="Arial Unicode MS" w:hAnsi="Arial" w:cs="Arial"/>
          <w:bCs/>
          <w:noProof/>
          <w:color w:val="auto"/>
        </w:rPr>
        <w:t>Tribal Maternal, Infant, and Early Childhood Home Visiting Program: Guidance for Submitting an Annual Report to the Secretary</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ABDD058">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2C5FB2">
        <w:rPr>
          <w:rFonts w:ascii="Arial" w:hAnsi="Arial" w:cs="Arial"/>
          <w:color w:val="auto"/>
          <w:sz w:val="32"/>
          <w:szCs w:val="32"/>
        </w:rPr>
        <w:t>0409</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1FF1B3FE">
      <w:pPr>
        <w:pStyle w:val="ReportCover-Date"/>
        <w:jc w:val="center"/>
        <w:rPr>
          <w:rFonts w:ascii="Arial" w:hAnsi="Arial" w:cs="Arial"/>
          <w:color w:val="auto"/>
        </w:rPr>
      </w:pPr>
      <w:r>
        <w:rPr>
          <w:rFonts w:ascii="Arial" w:hAnsi="Arial" w:cs="Arial"/>
          <w:color w:val="auto"/>
        </w:rPr>
        <w:t>September</w:t>
      </w:r>
      <w:r w:rsidRPr="7B0E0B3A">
        <w:rPr>
          <w:rFonts w:ascii="Arial" w:hAnsi="Arial" w:cs="Arial"/>
          <w:color w:val="auto"/>
        </w:rPr>
        <w:t xml:space="preserve"> </w:t>
      </w:r>
      <w:r w:rsidR="002C5FB2">
        <w:rPr>
          <w:rFonts w:ascii="Arial" w:hAnsi="Arial" w:cs="Arial"/>
          <w:color w:val="auto"/>
        </w:rPr>
        <w:t>2024</w:t>
      </w:r>
    </w:p>
    <w:p w:rsidR="00160621" w:rsidP="7B0E0B3A" w14:paraId="753A1E04" w14:textId="7AC0C222">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 xml:space="preserve">Revision </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60439D1C">
      <w:pPr>
        <w:jc w:val="center"/>
        <w:rPr>
          <w:rFonts w:ascii="Arial" w:hAnsi="Arial" w:cs="Arial"/>
        </w:rPr>
      </w:pPr>
      <w:r>
        <w:rPr>
          <w:rFonts w:ascii="Arial" w:hAnsi="Arial" w:cs="Arial"/>
        </w:rPr>
        <w:t xml:space="preserve">Office of </w:t>
      </w:r>
      <w:r w:rsidR="0011007F">
        <w:rPr>
          <w:rFonts w:ascii="Arial" w:hAnsi="Arial" w:cs="Arial"/>
        </w:rPr>
        <w:t>Early Childhood Development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2C3C4F" w:rsidRPr="007669A1"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 xml:space="preserve">Circumstances Making the Collection of Information Necessary </w:t>
      </w:r>
    </w:p>
    <w:p w:rsidR="0083312A" w:rsidRPr="007669A1" w:rsidP="0083312A" w14:paraId="2CFB55FD" w14:textId="77777777">
      <w:pPr>
        <w:widowControl/>
        <w:tabs>
          <w:tab w:val="num" w:pos="360"/>
        </w:tabs>
        <w:ind w:left="360"/>
        <w:rPr>
          <w:rFonts w:ascii="Times New Roman" w:hAnsi="Times New Roman"/>
          <w:snapToGrid/>
          <w:sz w:val="24"/>
          <w:szCs w:val="24"/>
        </w:rPr>
      </w:pPr>
      <w:r w:rsidRPr="007669A1">
        <w:rPr>
          <w:rFonts w:ascii="Times New Roman" w:hAnsi="Times New Roman"/>
          <w:snapToGrid/>
          <w:sz w:val="24"/>
          <w:szCs w:val="24"/>
        </w:rPr>
        <w:t xml:space="preserve">As part of the Consolidated Appropriations Act, 2023 (Public Law 117-328). Section 511 of Title V of the Social Security Act authorizes the Secretary of the Department of Health and Human Services (HHS) to award grants to Indian tribes (or a consortium of Indian tribes), tribal organizations, or urban Indian organizations to conduct an early childhood home visiting program.  The legislation sets aside 6 percent of the total Maternal, Infant, Early Childhood Home Visiting (MIECHV) appropriation for grants to tribal entities and requires that the tribal grants, to the greatest extent practicable, be consistent with the requirements of the MIECHV grants to states and territories and include conducting a needs assessment and establishing benchmarks. </w:t>
      </w:r>
    </w:p>
    <w:p w:rsidR="0083312A" w:rsidRPr="007669A1" w:rsidP="0083312A" w14:paraId="411EA712" w14:textId="77777777">
      <w:pPr>
        <w:widowControl/>
        <w:tabs>
          <w:tab w:val="num" w:pos="360"/>
        </w:tabs>
        <w:ind w:left="360"/>
        <w:rPr>
          <w:rFonts w:ascii="Times New Roman" w:hAnsi="Times New Roman"/>
          <w:snapToGrid/>
          <w:sz w:val="24"/>
          <w:szCs w:val="24"/>
        </w:rPr>
      </w:pPr>
    </w:p>
    <w:p w:rsidR="0083312A" w:rsidRPr="007669A1" w:rsidP="0083312A" w14:paraId="4FFC4769" w14:textId="2BBCFD63">
      <w:pPr>
        <w:widowControl/>
        <w:tabs>
          <w:tab w:val="num" w:pos="360"/>
        </w:tabs>
        <w:ind w:left="360"/>
        <w:rPr>
          <w:rFonts w:ascii="Times New Roman" w:hAnsi="Times New Roman"/>
          <w:snapToGrid/>
          <w:sz w:val="24"/>
          <w:szCs w:val="24"/>
        </w:rPr>
      </w:pPr>
      <w:r w:rsidRPr="007669A1">
        <w:rPr>
          <w:rFonts w:ascii="Times New Roman" w:hAnsi="Times New Roman"/>
          <w:snapToGrid/>
          <w:sz w:val="24"/>
          <w:szCs w:val="24"/>
        </w:rPr>
        <w:t>The goals of the Tribal Home Visiting Program are to support healthy, happy, successful American Indian and Alaska Native (AI</w:t>
      </w:r>
      <w:r w:rsidRPr="007669A1" w:rsidR="00B76FA3">
        <w:rPr>
          <w:rFonts w:ascii="Times New Roman" w:hAnsi="Times New Roman"/>
          <w:snapToGrid/>
          <w:sz w:val="24"/>
          <w:szCs w:val="24"/>
        </w:rPr>
        <w:t>/</w:t>
      </w:r>
      <w:r w:rsidRPr="007669A1">
        <w:rPr>
          <w:rFonts w:ascii="Times New Roman" w:hAnsi="Times New Roman"/>
          <w:snapToGrid/>
          <w:sz w:val="24"/>
          <w:szCs w:val="24"/>
        </w:rPr>
        <w:t xml:space="preserve">AN) children and families through a coordinated, high-quality, evidence-based home visiting strategy, and to continue to build the evidence base for home visiting in tribal communities.  The Administration for Children and Families (ACF) and the Health Resources and Services Administration (HRSA), the agencies collaborating to implement the MIECHV program within HHS, also intend for the program to result in a coordinated system of early childhood home visiting in tribal communities that has the capacity to provide infrastructure and supports to assure high-quality, evidence-based practice. </w:t>
      </w:r>
    </w:p>
    <w:p w:rsidR="0083312A" w:rsidRPr="007669A1" w:rsidP="0083312A" w14:paraId="1C4C7A3D" w14:textId="77777777">
      <w:pPr>
        <w:widowControl/>
        <w:tabs>
          <w:tab w:val="num" w:pos="360"/>
        </w:tabs>
        <w:ind w:left="360"/>
        <w:rPr>
          <w:rFonts w:ascii="Times New Roman" w:hAnsi="Times New Roman"/>
          <w:snapToGrid/>
          <w:sz w:val="24"/>
          <w:szCs w:val="24"/>
        </w:rPr>
      </w:pPr>
    </w:p>
    <w:p w:rsidR="00790D2C" w:rsidRPr="007669A1" w:rsidP="0083312A" w14:paraId="398DDEC3" w14:textId="3CFA29A3">
      <w:pPr>
        <w:widowControl/>
        <w:tabs>
          <w:tab w:val="num" w:pos="360"/>
        </w:tabs>
        <w:ind w:left="360"/>
        <w:rPr>
          <w:rFonts w:ascii="Times New Roman" w:hAnsi="Times New Roman"/>
          <w:snapToGrid/>
          <w:sz w:val="24"/>
          <w:szCs w:val="24"/>
        </w:rPr>
      </w:pPr>
      <w:r w:rsidRPr="007669A1">
        <w:rPr>
          <w:rFonts w:ascii="Times New Roman" w:hAnsi="Times New Roman"/>
          <w:snapToGrid/>
          <w:sz w:val="24"/>
          <w:szCs w:val="24"/>
        </w:rPr>
        <w:t>The Tribal Home Visiting discretionary grants support cooperative agreements to conduct community needs assessments; plan for and implement high-quality, culturally grounded, evidence-based home visiting programs in at-risk tribal communities; establish, measure, and report on progress toward meeting performance measures in six legislatively mandated benchmark areas; and participate in rigorous evaluation activities to build the knowledge base on home visiting among Native populations.</w:t>
      </w:r>
    </w:p>
    <w:p w:rsidR="009E7407" w:rsidRPr="007669A1" w:rsidP="0083312A" w14:paraId="47D7DDF0" w14:textId="77777777">
      <w:pPr>
        <w:widowControl/>
        <w:tabs>
          <w:tab w:val="num" w:pos="360"/>
        </w:tabs>
        <w:ind w:left="360"/>
        <w:rPr>
          <w:rFonts w:ascii="Times New Roman" w:hAnsi="Times New Roman"/>
          <w:snapToGrid/>
          <w:sz w:val="24"/>
          <w:szCs w:val="24"/>
        </w:rPr>
      </w:pPr>
    </w:p>
    <w:p w:rsidR="00EC698B" w:rsidRPr="007669A1" w:rsidP="007669A1" w14:paraId="12A7BA7B" w14:textId="691AEC7B">
      <w:pPr>
        <w:widowControl/>
        <w:tabs>
          <w:tab w:val="num" w:pos="360"/>
        </w:tabs>
        <w:spacing w:after="120"/>
        <w:ind w:left="360"/>
        <w:rPr>
          <w:rFonts w:ascii="Times New Roman" w:hAnsi="Times New Roman"/>
          <w:sz w:val="24"/>
          <w:szCs w:val="24"/>
          <w:shd w:val="clear" w:color="auto" w:fill="FFFFFF"/>
        </w:rPr>
      </w:pPr>
      <w:r w:rsidRPr="007669A1">
        <w:rPr>
          <w:rFonts w:ascii="Times New Roman" w:hAnsi="Times New Roman"/>
          <w:sz w:val="24"/>
          <w:szCs w:val="24"/>
          <w:shd w:val="clear" w:color="auto" w:fill="FFFFFF"/>
        </w:rPr>
        <w:t xml:space="preserve">After the first grant year, Tribal Home Visiting </w:t>
      </w:r>
      <w:r w:rsidRPr="007669A1" w:rsidR="00B76FA3">
        <w:rPr>
          <w:rFonts w:ascii="Times New Roman" w:hAnsi="Times New Roman"/>
          <w:sz w:val="24"/>
          <w:szCs w:val="24"/>
          <w:shd w:val="clear" w:color="auto" w:fill="FFFFFF"/>
        </w:rPr>
        <w:t>grant recipients</w:t>
      </w:r>
      <w:r w:rsidRPr="007669A1">
        <w:rPr>
          <w:rFonts w:ascii="Times New Roman" w:hAnsi="Times New Roman"/>
          <w:sz w:val="24"/>
          <w:szCs w:val="24"/>
          <w:shd w:val="clear" w:color="auto" w:fill="FFFFFF"/>
        </w:rPr>
        <w:t xml:space="preserve"> must comply with the </w:t>
      </w:r>
      <w:r w:rsidRPr="007669A1" w:rsidR="0043597D">
        <w:rPr>
          <w:rFonts w:ascii="Times New Roman" w:hAnsi="Times New Roman"/>
          <w:sz w:val="24"/>
          <w:szCs w:val="24"/>
          <w:shd w:val="clear" w:color="auto" w:fill="FFFFFF"/>
        </w:rPr>
        <w:t xml:space="preserve">legislative </w:t>
      </w:r>
      <w:r w:rsidRPr="007669A1">
        <w:rPr>
          <w:rFonts w:ascii="Times New Roman" w:hAnsi="Times New Roman"/>
          <w:sz w:val="24"/>
          <w:szCs w:val="24"/>
          <w:shd w:val="clear" w:color="auto" w:fill="FFFFFF"/>
        </w:rPr>
        <w:t xml:space="preserve">requirement to submit an Annual Report to the Secretary that should feature activities carried out under the program during the past reporting period.  To assist </w:t>
      </w:r>
      <w:r w:rsidRPr="007669A1" w:rsidR="00B76FA3">
        <w:rPr>
          <w:rFonts w:ascii="Times New Roman" w:hAnsi="Times New Roman"/>
          <w:sz w:val="24"/>
          <w:szCs w:val="24"/>
          <w:shd w:val="clear" w:color="auto" w:fill="FFFFFF"/>
        </w:rPr>
        <w:t>grant recipient</w:t>
      </w:r>
      <w:r w:rsidRPr="007669A1">
        <w:rPr>
          <w:rFonts w:ascii="Times New Roman" w:hAnsi="Times New Roman"/>
          <w:sz w:val="24"/>
          <w:szCs w:val="24"/>
          <w:shd w:val="clear" w:color="auto" w:fill="FFFFFF"/>
        </w:rPr>
        <w:t xml:space="preserve">s with meeting these requirements, ACF created guidance for </w:t>
      </w:r>
      <w:r w:rsidRPr="007669A1" w:rsidR="00B76FA3">
        <w:rPr>
          <w:rFonts w:ascii="Times New Roman" w:hAnsi="Times New Roman"/>
          <w:sz w:val="24"/>
          <w:szCs w:val="24"/>
          <w:shd w:val="clear" w:color="auto" w:fill="FFFFFF"/>
        </w:rPr>
        <w:t>grant recipient</w:t>
      </w:r>
      <w:r w:rsidRPr="007669A1">
        <w:rPr>
          <w:rFonts w:ascii="Times New Roman" w:hAnsi="Times New Roman"/>
          <w:sz w:val="24"/>
          <w:szCs w:val="24"/>
          <w:shd w:val="clear" w:color="auto" w:fill="FFFFFF"/>
        </w:rPr>
        <w:t xml:space="preserve">s to use when writing their annual reports.  The guidance specifies that </w:t>
      </w:r>
      <w:r w:rsidRPr="007669A1" w:rsidR="00B76FA3">
        <w:rPr>
          <w:rFonts w:ascii="Times New Roman" w:hAnsi="Times New Roman"/>
          <w:sz w:val="24"/>
          <w:szCs w:val="24"/>
          <w:shd w:val="clear" w:color="auto" w:fill="FFFFFF"/>
        </w:rPr>
        <w:t>grant recipient</w:t>
      </w:r>
      <w:r w:rsidRPr="007669A1">
        <w:rPr>
          <w:rFonts w:ascii="Times New Roman" w:hAnsi="Times New Roman"/>
          <w:sz w:val="24"/>
          <w:szCs w:val="24"/>
          <w:shd w:val="clear" w:color="auto" w:fill="FFFFFF"/>
        </w:rPr>
        <w:t>s must address the following:</w:t>
      </w:r>
    </w:p>
    <w:p w:rsidR="00B9593F" w:rsidRPr="007669A1" w:rsidP="00B9593F" w14:paraId="01590D33" w14:textId="77777777">
      <w:pPr>
        <w:widowControl/>
        <w:numPr>
          <w:ilvl w:val="0"/>
          <w:numId w:val="22"/>
        </w:numPr>
        <w:tabs>
          <w:tab w:val="num" w:pos="360"/>
        </w:tabs>
        <w:rPr>
          <w:rFonts w:ascii="Times New Roman" w:hAnsi="Times New Roman"/>
          <w:snapToGrid/>
          <w:sz w:val="24"/>
          <w:szCs w:val="24"/>
        </w:rPr>
      </w:pPr>
      <w:r w:rsidRPr="007669A1">
        <w:rPr>
          <w:rFonts w:ascii="Times New Roman" w:hAnsi="Times New Roman"/>
          <w:snapToGrid/>
          <w:sz w:val="24"/>
          <w:szCs w:val="24"/>
        </w:rPr>
        <w:t>Update on the implementation of the Home Visiting Program in targeted community(ies)</w:t>
      </w:r>
    </w:p>
    <w:p w:rsidR="00B9593F" w:rsidRPr="007669A1" w:rsidP="00B9593F" w14:paraId="505C1CC4" w14:textId="77777777">
      <w:pPr>
        <w:widowControl/>
        <w:numPr>
          <w:ilvl w:val="0"/>
          <w:numId w:val="22"/>
        </w:numPr>
        <w:tabs>
          <w:tab w:val="num" w:pos="360"/>
        </w:tabs>
        <w:rPr>
          <w:rFonts w:ascii="Times New Roman" w:hAnsi="Times New Roman"/>
          <w:snapToGrid/>
          <w:sz w:val="24"/>
          <w:szCs w:val="24"/>
        </w:rPr>
      </w:pPr>
      <w:r w:rsidRPr="007669A1">
        <w:rPr>
          <w:rFonts w:ascii="Times New Roman" w:hAnsi="Times New Roman"/>
          <w:snapToGrid/>
          <w:sz w:val="24"/>
          <w:szCs w:val="24"/>
        </w:rPr>
        <w:t>Update on the collection, reporting, and use of data</w:t>
      </w:r>
    </w:p>
    <w:p w:rsidR="00B9593F" w:rsidRPr="007669A1" w:rsidP="00B9593F" w14:paraId="78C870BB" w14:textId="77777777">
      <w:pPr>
        <w:widowControl/>
        <w:numPr>
          <w:ilvl w:val="0"/>
          <w:numId w:val="22"/>
        </w:numPr>
        <w:tabs>
          <w:tab w:val="num" w:pos="360"/>
        </w:tabs>
        <w:rPr>
          <w:rFonts w:ascii="Times New Roman" w:hAnsi="Times New Roman"/>
          <w:snapToGrid/>
          <w:sz w:val="24"/>
          <w:szCs w:val="24"/>
        </w:rPr>
      </w:pPr>
      <w:r w:rsidRPr="007669A1">
        <w:rPr>
          <w:rFonts w:ascii="Times New Roman" w:hAnsi="Times New Roman"/>
          <w:snapToGrid/>
          <w:sz w:val="24"/>
          <w:szCs w:val="24"/>
        </w:rPr>
        <w:t>Progress toward fidelity monitoring, program management, and improvement</w:t>
      </w:r>
    </w:p>
    <w:p w:rsidR="00B9593F" w:rsidRPr="007669A1" w:rsidP="00B9593F" w14:paraId="3C999FF5" w14:textId="77777777">
      <w:pPr>
        <w:widowControl/>
        <w:numPr>
          <w:ilvl w:val="0"/>
          <w:numId w:val="22"/>
        </w:numPr>
        <w:tabs>
          <w:tab w:val="num" w:pos="360"/>
        </w:tabs>
        <w:rPr>
          <w:rFonts w:ascii="Times New Roman" w:hAnsi="Times New Roman"/>
          <w:snapToGrid/>
          <w:sz w:val="24"/>
          <w:szCs w:val="24"/>
        </w:rPr>
      </w:pPr>
      <w:r w:rsidRPr="007669A1">
        <w:rPr>
          <w:rFonts w:ascii="Times New Roman" w:hAnsi="Times New Roman"/>
          <w:snapToGrid/>
          <w:sz w:val="24"/>
          <w:szCs w:val="24"/>
        </w:rPr>
        <w:t>Update on contribution to MIECHV Learning Agenda through participation in research and evaluation projects</w:t>
      </w:r>
    </w:p>
    <w:p w:rsidR="00B9593F" w:rsidRPr="007669A1" w:rsidP="00B9593F" w14:paraId="6C9A54BD" w14:textId="77777777">
      <w:pPr>
        <w:widowControl/>
        <w:numPr>
          <w:ilvl w:val="0"/>
          <w:numId w:val="22"/>
        </w:numPr>
        <w:tabs>
          <w:tab w:val="num" w:pos="360"/>
        </w:tabs>
        <w:rPr>
          <w:rFonts w:ascii="Times New Roman" w:hAnsi="Times New Roman"/>
          <w:snapToGrid/>
          <w:sz w:val="24"/>
          <w:szCs w:val="24"/>
        </w:rPr>
      </w:pPr>
      <w:r w:rsidRPr="007669A1">
        <w:rPr>
          <w:rFonts w:ascii="Times New Roman" w:hAnsi="Times New Roman"/>
          <w:snapToGrid/>
          <w:sz w:val="24"/>
          <w:szCs w:val="24"/>
        </w:rPr>
        <w:t>Dissemination</w:t>
      </w:r>
    </w:p>
    <w:p w:rsidR="00B9593F" w:rsidRPr="007669A1" w:rsidP="00B9593F" w14:paraId="77B1D596" w14:textId="77777777">
      <w:pPr>
        <w:widowControl/>
        <w:numPr>
          <w:ilvl w:val="0"/>
          <w:numId w:val="22"/>
        </w:numPr>
        <w:tabs>
          <w:tab w:val="num" w:pos="360"/>
        </w:tabs>
        <w:rPr>
          <w:rFonts w:ascii="Times New Roman" w:hAnsi="Times New Roman"/>
          <w:snapToGrid/>
          <w:sz w:val="24"/>
          <w:szCs w:val="24"/>
        </w:rPr>
      </w:pPr>
      <w:r w:rsidRPr="007669A1">
        <w:rPr>
          <w:rFonts w:ascii="Times New Roman" w:hAnsi="Times New Roman"/>
          <w:snapToGrid/>
          <w:sz w:val="24"/>
          <w:szCs w:val="24"/>
        </w:rPr>
        <w:t>Technical Assistance Supports</w:t>
      </w:r>
    </w:p>
    <w:p w:rsidR="008B2496" w:rsidRPr="007669A1" w:rsidP="008B2496" w14:paraId="11BEBB81" w14:textId="77777777">
      <w:pPr>
        <w:widowControl/>
        <w:ind w:left="1100"/>
        <w:rPr>
          <w:rFonts w:ascii="Times New Roman" w:hAnsi="Times New Roman"/>
          <w:snapToGrid/>
          <w:sz w:val="24"/>
          <w:szCs w:val="24"/>
        </w:rPr>
      </w:pPr>
    </w:p>
    <w:p w:rsidR="00DE529D" w:rsidRPr="007669A1" w:rsidP="00795A32" w14:paraId="5548F0DE" w14:textId="731F691F">
      <w:pPr>
        <w:widowControl/>
        <w:tabs>
          <w:tab w:val="num" w:pos="360"/>
        </w:tabs>
        <w:ind w:left="360"/>
        <w:rPr>
          <w:rFonts w:ascii="Times New Roman" w:hAnsi="Times New Roman"/>
          <w:snapToGrid/>
          <w:sz w:val="24"/>
          <w:szCs w:val="24"/>
        </w:rPr>
      </w:pPr>
      <w:r w:rsidRPr="007669A1">
        <w:rPr>
          <w:rFonts w:ascii="Times New Roman" w:hAnsi="Times New Roman"/>
          <w:snapToGrid/>
          <w:sz w:val="24"/>
          <w:szCs w:val="24"/>
        </w:rPr>
        <w:t xml:space="preserve">Previously, the guidance included information about both the annual and the final reports from </w:t>
      </w:r>
      <w:r w:rsidRPr="007669A1" w:rsidR="00B76FA3">
        <w:rPr>
          <w:rFonts w:ascii="Times New Roman" w:hAnsi="Times New Roman"/>
          <w:snapToGrid/>
          <w:sz w:val="24"/>
          <w:szCs w:val="24"/>
        </w:rPr>
        <w:t>grant recipient</w:t>
      </w:r>
      <w:r w:rsidRPr="007669A1">
        <w:rPr>
          <w:rFonts w:ascii="Times New Roman" w:hAnsi="Times New Roman"/>
          <w:snapToGrid/>
          <w:sz w:val="24"/>
          <w:szCs w:val="24"/>
        </w:rPr>
        <w:t>s.  This request includes updates to the guidance to make it specific to just the annual reports</w:t>
      </w:r>
      <w:r w:rsidRPr="007669A1" w:rsidR="00951092">
        <w:rPr>
          <w:rFonts w:ascii="Times New Roman" w:hAnsi="Times New Roman"/>
          <w:snapToGrid/>
          <w:sz w:val="24"/>
          <w:szCs w:val="24"/>
        </w:rPr>
        <w:t xml:space="preserve"> while we determine if the annual report guidance could be used for the final report</w:t>
      </w:r>
      <w:r w:rsidRPr="007669A1">
        <w:rPr>
          <w:rFonts w:ascii="Times New Roman" w:hAnsi="Times New Roman"/>
          <w:snapToGrid/>
          <w:sz w:val="24"/>
          <w:szCs w:val="24"/>
        </w:rPr>
        <w:t>.</w:t>
      </w:r>
      <w:r w:rsidRPr="007669A1" w:rsidR="00951092">
        <w:rPr>
          <w:rFonts w:ascii="Times New Roman" w:hAnsi="Times New Roman"/>
          <w:snapToGrid/>
          <w:sz w:val="24"/>
          <w:szCs w:val="24"/>
        </w:rPr>
        <w:t xml:space="preserve"> If it is decided that guidance specific to the final report would be beneficial, we will submit a request to OMB in the future.  </w:t>
      </w:r>
      <w:r w:rsidRPr="007669A1" w:rsidR="0024063A">
        <w:rPr>
          <w:rFonts w:ascii="Times New Roman" w:hAnsi="Times New Roman"/>
          <w:snapToGrid/>
          <w:sz w:val="24"/>
          <w:szCs w:val="24"/>
        </w:rPr>
        <w:t xml:space="preserve">We have also revised the annual report to streamline significantly and align with the previous estimated burden. </w:t>
      </w:r>
      <w:r w:rsidRPr="007669A1" w:rsidR="00951092">
        <w:rPr>
          <w:rFonts w:ascii="Times New Roman" w:hAnsi="Times New Roman"/>
          <w:snapToGrid/>
          <w:sz w:val="24"/>
          <w:szCs w:val="24"/>
        </w:rPr>
        <w:t xml:space="preserve">At this </w:t>
      </w:r>
      <w:r w:rsidRPr="007669A1" w:rsidR="008D6D58">
        <w:rPr>
          <w:rFonts w:ascii="Times New Roman" w:hAnsi="Times New Roman"/>
          <w:snapToGrid/>
          <w:sz w:val="24"/>
          <w:szCs w:val="24"/>
        </w:rPr>
        <w:t>time,</w:t>
      </w:r>
      <w:r w:rsidRPr="007669A1" w:rsidR="00951092">
        <w:rPr>
          <w:rFonts w:ascii="Times New Roman" w:hAnsi="Times New Roman"/>
          <w:snapToGrid/>
          <w:sz w:val="24"/>
          <w:szCs w:val="24"/>
        </w:rPr>
        <w:t xml:space="preserve"> we are requesting to extend approval of this information collection for an additional three years</w:t>
      </w:r>
      <w:r w:rsidRPr="007669A1" w:rsidR="0024063A">
        <w:rPr>
          <w:rFonts w:ascii="Times New Roman" w:hAnsi="Times New Roman"/>
          <w:snapToGrid/>
          <w:sz w:val="24"/>
          <w:szCs w:val="24"/>
        </w:rPr>
        <w:t xml:space="preserve"> with the changes implemented</w:t>
      </w:r>
      <w:r w:rsidRPr="007669A1" w:rsidR="00951092">
        <w:rPr>
          <w:rFonts w:ascii="Times New Roman" w:hAnsi="Times New Roman"/>
          <w:snapToGrid/>
          <w:sz w:val="24"/>
          <w:szCs w:val="24"/>
        </w:rPr>
        <w:t xml:space="preserve">. </w:t>
      </w:r>
    </w:p>
    <w:p w:rsidR="007669A1" w:rsidRPr="007669A1" w:rsidP="004C725E" w14:paraId="0E92DF25" w14:textId="77777777">
      <w:pPr>
        <w:widowControl/>
        <w:tabs>
          <w:tab w:val="num" w:pos="360"/>
        </w:tabs>
        <w:rPr>
          <w:rFonts w:ascii="Times New Roman" w:hAnsi="Times New Roman"/>
          <w:snapToGrid/>
          <w:sz w:val="24"/>
          <w:szCs w:val="24"/>
        </w:rPr>
      </w:pPr>
    </w:p>
    <w:p w:rsidR="002C3C4F" w:rsidRPr="007669A1"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P</w:t>
      </w:r>
      <w:r w:rsidRPr="007669A1">
        <w:rPr>
          <w:rFonts w:ascii="Times New Roman" w:hAnsi="Times New Roman"/>
          <w:b/>
          <w:snapToGrid/>
          <w:sz w:val="24"/>
          <w:szCs w:val="24"/>
        </w:rPr>
        <w:t xml:space="preserve">urpose and Use of the Information Collection </w:t>
      </w:r>
    </w:p>
    <w:p w:rsidR="00D60543" w:rsidP="00D7443D" w14:paraId="3C8C4501" w14:textId="22FAAB4F">
      <w:pPr>
        <w:widowControl/>
        <w:tabs>
          <w:tab w:val="num" w:pos="360"/>
        </w:tabs>
        <w:ind w:left="360"/>
        <w:rPr>
          <w:rFonts w:ascii="Times New Roman" w:hAnsi="Times New Roman"/>
          <w:snapToGrid/>
          <w:sz w:val="24"/>
          <w:szCs w:val="24"/>
        </w:rPr>
      </w:pPr>
      <w:r w:rsidRPr="007669A1">
        <w:rPr>
          <w:rFonts w:ascii="Times New Roman" w:hAnsi="Times New Roman"/>
          <w:snapToGrid/>
          <w:sz w:val="24"/>
          <w:szCs w:val="24"/>
        </w:rPr>
        <w:t xml:space="preserve">The purpose of the guidance is to provide instructions for </w:t>
      </w:r>
      <w:r w:rsidRPr="007669A1" w:rsidR="00B76FA3">
        <w:rPr>
          <w:rFonts w:ascii="Times New Roman" w:hAnsi="Times New Roman"/>
          <w:snapToGrid/>
          <w:sz w:val="24"/>
          <w:szCs w:val="24"/>
        </w:rPr>
        <w:t>grant recipient</w:t>
      </w:r>
      <w:r w:rsidRPr="007669A1">
        <w:rPr>
          <w:rFonts w:ascii="Times New Roman" w:hAnsi="Times New Roman"/>
          <w:snapToGrid/>
          <w:sz w:val="24"/>
          <w:szCs w:val="24"/>
        </w:rPr>
        <w:t xml:space="preserve">s to submit an annual report on the progress of their program to the Secretary. These reports have provided valuable information to HHS and have been used for a number of different purposes including guiding the provision of training and technical assistance to Tribal Home Visiting program </w:t>
      </w:r>
      <w:r w:rsidRPr="007669A1" w:rsidR="00B76FA3">
        <w:rPr>
          <w:rFonts w:ascii="Times New Roman" w:hAnsi="Times New Roman"/>
          <w:snapToGrid/>
          <w:sz w:val="24"/>
          <w:szCs w:val="24"/>
        </w:rPr>
        <w:t>grant recipient</w:t>
      </w:r>
      <w:r w:rsidRPr="007669A1">
        <w:rPr>
          <w:rFonts w:ascii="Times New Roman" w:hAnsi="Times New Roman"/>
          <w:snapToGrid/>
          <w:sz w:val="24"/>
          <w:szCs w:val="24"/>
        </w:rPr>
        <w:t xml:space="preserve">s, a report to Congress on the status of the program, dissemination activities that highlight the successes and lessons learned of the program, as well as information that assists ACF in developing future policy, program, and collaboration efforts with tribal communities. </w:t>
      </w:r>
      <w:r w:rsidRPr="007669A1" w:rsidR="0024063A">
        <w:rPr>
          <w:rFonts w:ascii="Times New Roman" w:hAnsi="Times New Roman"/>
          <w:snapToGrid/>
          <w:sz w:val="24"/>
          <w:szCs w:val="24"/>
        </w:rPr>
        <w:t xml:space="preserve">ACF reviewed the annual report guidance </w:t>
      </w:r>
      <w:r w:rsidRPr="007669A1" w:rsidR="001577DA">
        <w:rPr>
          <w:rFonts w:ascii="Times New Roman" w:hAnsi="Times New Roman"/>
          <w:snapToGrid/>
          <w:sz w:val="24"/>
          <w:szCs w:val="24"/>
        </w:rPr>
        <w:t xml:space="preserve">to identify areas where information could be clarified and/or streamlined while still fulfilling the purpose and use of this data collection. While the purpose and use remains the same, we have significantly streamlined the report. </w:t>
      </w:r>
      <w:r w:rsidRPr="007669A1" w:rsidR="00681ED0">
        <w:rPr>
          <w:rFonts w:ascii="Times New Roman" w:hAnsi="Times New Roman"/>
          <w:snapToGrid/>
          <w:sz w:val="24"/>
          <w:szCs w:val="24"/>
        </w:rPr>
        <w:t>We also plan to remove the final report guidance for now and will either use the annual report guidance for final reports or will submit a request specific to new final report guidance, if</w:t>
      </w:r>
      <w:r w:rsidRPr="007669A1" w:rsidR="00501D07">
        <w:rPr>
          <w:rFonts w:ascii="Times New Roman" w:hAnsi="Times New Roman"/>
          <w:snapToGrid/>
          <w:sz w:val="24"/>
          <w:szCs w:val="24"/>
        </w:rPr>
        <w:t xml:space="preserve"> ACF</w:t>
      </w:r>
      <w:r w:rsidRPr="007669A1" w:rsidR="00681ED0">
        <w:rPr>
          <w:rFonts w:ascii="Times New Roman" w:hAnsi="Times New Roman"/>
          <w:snapToGrid/>
          <w:sz w:val="24"/>
          <w:szCs w:val="24"/>
        </w:rPr>
        <w:t xml:space="preserve"> deems it necessary for the final year. </w:t>
      </w:r>
    </w:p>
    <w:p w:rsidR="007C3A7E" w:rsidRPr="007669A1" w:rsidP="00D7443D" w14:paraId="1DF11ECC" w14:textId="77777777">
      <w:pPr>
        <w:widowControl/>
        <w:tabs>
          <w:tab w:val="num" w:pos="360"/>
        </w:tabs>
        <w:ind w:left="360"/>
        <w:rPr>
          <w:rFonts w:ascii="Times New Roman" w:hAnsi="Times New Roman"/>
          <w:snapToGrid/>
          <w:sz w:val="24"/>
          <w:szCs w:val="24"/>
        </w:rPr>
      </w:pPr>
    </w:p>
    <w:p w:rsidR="002C3C4F" w:rsidRPr="007669A1"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 xml:space="preserve">Use of Improved Information Technology and Burden Reduction </w:t>
      </w:r>
    </w:p>
    <w:p w:rsidR="009C2DE1" w:rsidRPr="007669A1" w:rsidP="00A26F1C" w14:paraId="64C47E67" w14:textId="60DF988A">
      <w:pPr>
        <w:widowControl/>
        <w:ind w:left="360"/>
        <w:rPr>
          <w:rFonts w:ascii="Times New Roman" w:hAnsi="Times New Roman"/>
          <w:bCs/>
          <w:snapToGrid/>
          <w:color w:val="000000"/>
          <w:sz w:val="24"/>
          <w:szCs w:val="24"/>
        </w:rPr>
      </w:pPr>
      <w:r w:rsidRPr="007669A1">
        <w:rPr>
          <w:rFonts w:ascii="Times New Roman" w:hAnsi="Times New Roman"/>
          <w:bCs/>
          <w:color w:val="000000"/>
          <w:sz w:val="24"/>
          <w:szCs w:val="24"/>
        </w:rPr>
        <w:t xml:space="preserve">Reports shall be submitted via GrantSolutions.gov per instructions provided to each </w:t>
      </w:r>
      <w:r w:rsidRPr="007669A1" w:rsidR="00B76FA3">
        <w:rPr>
          <w:rFonts w:ascii="Times New Roman" w:hAnsi="Times New Roman"/>
          <w:bCs/>
          <w:color w:val="000000"/>
          <w:sz w:val="24"/>
          <w:szCs w:val="24"/>
        </w:rPr>
        <w:t>grant recipient</w:t>
      </w:r>
      <w:r w:rsidRPr="007669A1">
        <w:rPr>
          <w:rFonts w:ascii="Times New Roman" w:hAnsi="Times New Roman"/>
          <w:bCs/>
          <w:color w:val="000000"/>
          <w:sz w:val="24"/>
          <w:szCs w:val="24"/>
        </w:rPr>
        <w:t xml:space="preserve"> by the Federal Project Officer.</w:t>
      </w:r>
    </w:p>
    <w:p w:rsidR="007669A1" w:rsidRPr="007669A1" w:rsidP="004C725E" w14:paraId="01C70620" w14:textId="77777777">
      <w:pPr>
        <w:widowControl/>
        <w:tabs>
          <w:tab w:val="num" w:pos="360"/>
        </w:tabs>
        <w:rPr>
          <w:rFonts w:ascii="Times New Roman" w:hAnsi="Times New Roman"/>
          <w:snapToGrid/>
          <w:sz w:val="24"/>
          <w:szCs w:val="24"/>
        </w:rPr>
      </w:pPr>
    </w:p>
    <w:p w:rsidR="002C3C4F" w:rsidRPr="007669A1"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 xml:space="preserve">Efforts to Identify Duplication and Use of Similar Information </w:t>
      </w:r>
    </w:p>
    <w:p w:rsidR="009C2DE1" w:rsidP="007C3A7E" w14:paraId="5BF82A71" w14:textId="46373F11">
      <w:pPr>
        <w:widowControl/>
        <w:tabs>
          <w:tab w:val="num" w:pos="360"/>
        </w:tabs>
        <w:ind w:left="360"/>
        <w:rPr>
          <w:rFonts w:ascii="Times New Roman" w:hAnsi="Times New Roman"/>
          <w:snapToGrid/>
          <w:sz w:val="24"/>
          <w:szCs w:val="24"/>
        </w:rPr>
      </w:pPr>
      <w:r w:rsidRPr="007669A1">
        <w:rPr>
          <w:rFonts w:ascii="Times New Roman" w:hAnsi="Times New Roman"/>
          <w:snapToGrid/>
          <w:sz w:val="24"/>
          <w:szCs w:val="24"/>
        </w:rPr>
        <w:t>This information is not available from any other source and is specific to the Tribal MIECHV program.</w:t>
      </w:r>
    </w:p>
    <w:p w:rsidR="007669A1" w:rsidRPr="007669A1" w:rsidP="00022586" w14:paraId="74213D97" w14:textId="77777777">
      <w:pPr>
        <w:widowControl/>
        <w:tabs>
          <w:tab w:val="num" w:pos="360"/>
        </w:tabs>
        <w:ind w:left="360"/>
        <w:rPr>
          <w:rFonts w:ascii="Times New Roman" w:hAnsi="Times New Roman"/>
          <w:snapToGrid/>
          <w:sz w:val="24"/>
          <w:szCs w:val="24"/>
        </w:rPr>
      </w:pPr>
    </w:p>
    <w:p w:rsidR="002C3C4F" w:rsidRPr="007669A1"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 xml:space="preserve">Impact on Small Businesses or Other Small Entities </w:t>
      </w:r>
    </w:p>
    <w:p w:rsidR="009F5543" w:rsidRPr="007669A1" w:rsidP="00022586" w14:paraId="277C911C" w14:textId="48D4829C">
      <w:pPr>
        <w:widowControl/>
        <w:tabs>
          <w:tab w:val="num" w:pos="360"/>
        </w:tabs>
        <w:ind w:left="360"/>
        <w:rPr>
          <w:rFonts w:ascii="Times New Roman" w:hAnsi="Times New Roman"/>
          <w:snapToGrid/>
          <w:sz w:val="24"/>
          <w:szCs w:val="24"/>
        </w:rPr>
      </w:pPr>
      <w:r w:rsidRPr="007669A1">
        <w:rPr>
          <w:rFonts w:ascii="Times New Roman" w:hAnsi="Times New Roman"/>
          <w:snapToGrid/>
          <w:sz w:val="24"/>
          <w:szCs w:val="24"/>
        </w:rPr>
        <w:t>The information being requested has been held to the absolute minimum required for the intended use and should not have any impact on small businesses or small entities.</w:t>
      </w:r>
    </w:p>
    <w:p w:rsidR="00D60543" w:rsidRPr="007669A1" w:rsidP="00434259" w14:paraId="7A03161C" w14:textId="77777777">
      <w:pPr>
        <w:widowControl/>
        <w:tabs>
          <w:tab w:val="num" w:pos="360"/>
        </w:tabs>
        <w:rPr>
          <w:rFonts w:ascii="Times New Roman" w:hAnsi="Times New Roman"/>
          <w:snapToGrid/>
          <w:sz w:val="24"/>
          <w:szCs w:val="24"/>
        </w:rPr>
      </w:pPr>
    </w:p>
    <w:p w:rsidR="002C3C4F" w:rsidRPr="007669A1"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 xml:space="preserve">Consequences of Collecting the Information Less Frequently </w:t>
      </w:r>
    </w:p>
    <w:p w:rsidR="00D60543" w:rsidRPr="007669A1" w:rsidP="00022586" w14:paraId="0DA9C819" w14:textId="0A4E9207">
      <w:pPr>
        <w:widowControl/>
        <w:tabs>
          <w:tab w:val="num" w:pos="360"/>
        </w:tabs>
        <w:ind w:left="360"/>
        <w:rPr>
          <w:rFonts w:ascii="Times New Roman" w:hAnsi="Times New Roman"/>
          <w:snapToGrid/>
          <w:sz w:val="24"/>
          <w:szCs w:val="24"/>
        </w:rPr>
      </w:pPr>
      <w:r w:rsidRPr="007669A1">
        <w:rPr>
          <w:rFonts w:ascii="Times New Roman" w:hAnsi="Times New Roman"/>
          <w:snapToGrid/>
          <w:sz w:val="24"/>
          <w:szCs w:val="24"/>
        </w:rPr>
        <w:t xml:space="preserve">This is an annual submission that Tribal Home Visiting </w:t>
      </w:r>
      <w:r w:rsidRPr="007669A1" w:rsidR="00B76FA3">
        <w:rPr>
          <w:rFonts w:ascii="Times New Roman" w:hAnsi="Times New Roman"/>
          <w:snapToGrid/>
          <w:sz w:val="24"/>
          <w:szCs w:val="24"/>
        </w:rPr>
        <w:t>grant recipient</w:t>
      </w:r>
      <w:r w:rsidRPr="007669A1">
        <w:rPr>
          <w:rFonts w:ascii="Times New Roman" w:hAnsi="Times New Roman"/>
          <w:snapToGrid/>
          <w:sz w:val="24"/>
          <w:szCs w:val="24"/>
        </w:rPr>
        <w:t xml:space="preserve">s must submit after the first year of their grants. Collecting information less frequently </w:t>
      </w:r>
      <w:r w:rsidRPr="007669A1" w:rsidR="0043597D">
        <w:rPr>
          <w:rFonts w:ascii="Times New Roman" w:hAnsi="Times New Roman"/>
          <w:snapToGrid/>
          <w:sz w:val="24"/>
          <w:szCs w:val="24"/>
        </w:rPr>
        <w:t xml:space="preserve">would violate the MIECHV statute and </w:t>
      </w:r>
      <w:r w:rsidRPr="007669A1">
        <w:rPr>
          <w:rFonts w:ascii="Times New Roman" w:hAnsi="Times New Roman"/>
          <w:snapToGrid/>
          <w:sz w:val="24"/>
          <w:szCs w:val="24"/>
        </w:rPr>
        <w:t xml:space="preserve">would make it difficult to assess </w:t>
      </w:r>
      <w:r w:rsidRPr="007669A1" w:rsidR="00B76FA3">
        <w:rPr>
          <w:rFonts w:ascii="Times New Roman" w:hAnsi="Times New Roman"/>
          <w:snapToGrid/>
          <w:sz w:val="24"/>
          <w:szCs w:val="24"/>
        </w:rPr>
        <w:t>grant recipient</w:t>
      </w:r>
      <w:r w:rsidRPr="007669A1">
        <w:rPr>
          <w:rFonts w:ascii="Times New Roman" w:hAnsi="Times New Roman"/>
          <w:snapToGrid/>
          <w:sz w:val="24"/>
          <w:szCs w:val="24"/>
        </w:rPr>
        <w:t xml:space="preserve"> progress throughout the life of the </w:t>
      </w:r>
      <w:r w:rsidRPr="007669A1" w:rsidR="00FE0128">
        <w:rPr>
          <w:rFonts w:ascii="Times New Roman" w:hAnsi="Times New Roman"/>
          <w:snapToGrid/>
          <w:sz w:val="24"/>
          <w:szCs w:val="24"/>
        </w:rPr>
        <w:t>grant and</w:t>
      </w:r>
      <w:r w:rsidRPr="007669A1">
        <w:rPr>
          <w:rFonts w:ascii="Times New Roman" w:hAnsi="Times New Roman"/>
          <w:snapToGrid/>
          <w:sz w:val="24"/>
          <w:szCs w:val="24"/>
        </w:rPr>
        <w:t xml:space="preserve"> effectively target and provide technical assistance to </w:t>
      </w:r>
      <w:r w:rsidRPr="007669A1" w:rsidR="00B76FA3">
        <w:rPr>
          <w:rFonts w:ascii="Times New Roman" w:hAnsi="Times New Roman"/>
          <w:snapToGrid/>
          <w:sz w:val="24"/>
          <w:szCs w:val="24"/>
        </w:rPr>
        <w:t>grant recipient</w:t>
      </w:r>
      <w:r w:rsidRPr="007669A1">
        <w:rPr>
          <w:rFonts w:ascii="Times New Roman" w:hAnsi="Times New Roman"/>
          <w:snapToGrid/>
          <w:sz w:val="24"/>
          <w:szCs w:val="24"/>
        </w:rPr>
        <w:t xml:space="preserve">s. The guidance provides valuable information to </w:t>
      </w:r>
      <w:r w:rsidRPr="007669A1" w:rsidR="00B76FA3">
        <w:rPr>
          <w:rFonts w:ascii="Times New Roman" w:hAnsi="Times New Roman"/>
          <w:snapToGrid/>
          <w:sz w:val="24"/>
          <w:szCs w:val="24"/>
        </w:rPr>
        <w:t>grant recipient</w:t>
      </w:r>
      <w:r w:rsidRPr="007669A1">
        <w:rPr>
          <w:rFonts w:ascii="Times New Roman" w:hAnsi="Times New Roman"/>
          <w:snapToGrid/>
          <w:sz w:val="24"/>
          <w:szCs w:val="24"/>
        </w:rPr>
        <w:t xml:space="preserve">s to meet the requirement to provide an annual report that summarizes the progress </w:t>
      </w:r>
      <w:r w:rsidRPr="007669A1" w:rsidR="00B76FA3">
        <w:rPr>
          <w:rFonts w:ascii="Times New Roman" w:hAnsi="Times New Roman"/>
          <w:snapToGrid/>
          <w:sz w:val="24"/>
          <w:szCs w:val="24"/>
        </w:rPr>
        <w:t>grant recipient</w:t>
      </w:r>
      <w:r w:rsidRPr="007669A1">
        <w:rPr>
          <w:rFonts w:ascii="Times New Roman" w:hAnsi="Times New Roman"/>
          <w:snapToGrid/>
          <w:sz w:val="24"/>
          <w:szCs w:val="24"/>
        </w:rPr>
        <w:t xml:space="preserve">s made on meeting all the goals and objectives set forth at the beginning of their grants. </w:t>
      </w:r>
    </w:p>
    <w:p w:rsidR="00DE529D" w:rsidRPr="007669A1" w:rsidP="00022586" w14:paraId="2744D4F5" w14:textId="77777777">
      <w:pPr>
        <w:widowControl/>
        <w:tabs>
          <w:tab w:val="num" w:pos="360"/>
        </w:tabs>
        <w:ind w:left="360"/>
        <w:rPr>
          <w:rFonts w:ascii="Times New Roman" w:hAnsi="Times New Roman"/>
          <w:snapToGrid/>
          <w:sz w:val="24"/>
          <w:szCs w:val="24"/>
        </w:rPr>
      </w:pPr>
    </w:p>
    <w:p w:rsidR="002C3C4F" w:rsidRPr="007669A1"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 xml:space="preserve">Special Circumstances Relating to the Guidelines of 5 CFR 1320.5 </w:t>
      </w:r>
    </w:p>
    <w:p w:rsidR="00DE529D" w:rsidRPr="007669A1" w:rsidP="00574C08" w14:paraId="46224D5D" w14:textId="33DF966B">
      <w:pPr>
        <w:widowControl/>
        <w:tabs>
          <w:tab w:val="num" w:pos="360"/>
        </w:tabs>
        <w:ind w:left="360"/>
        <w:rPr>
          <w:rFonts w:ascii="Times New Roman" w:hAnsi="Times New Roman"/>
          <w:snapToGrid/>
          <w:sz w:val="24"/>
          <w:szCs w:val="24"/>
        </w:rPr>
      </w:pPr>
      <w:r w:rsidRPr="007669A1">
        <w:rPr>
          <w:rFonts w:ascii="Times New Roman" w:hAnsi="Times New Roman"/>
          <w:snapToGrid/>
          <w:sz w:val="24"/>
          <w:szCs w:val="24"/>
        </w:rPr>
        <w:t>The collection of information will be conducted in accordance with 5 CFR 1320.5.</w:t>
      </w:r>
    </w:p>
    <w:p w:rsidR="007669A1" w:rsidRPr="007669A1" w:rsidP="004C725E" w14:paraId="59E40BB1" w14:textId="77777777">
      <w:pPr>
        <w:widowControl/>
        <w:tabs>
          <w:tab w:val="num" w:pos="360"/>
        </w:tabs>
        <w:rPr>
          <w:rFonts w:ascii="Times New Roman" w:hAnsi="Times New Roman"/>
          <w:snapToGrid/>
          <w:sz w:val="24"/>
          <w:szCs w:val="24"/>
        </w:rPr>
      </w:pPr>
    </w:p>
    <w:p w:rsidR="0051278C" w:rsidRPr="007669A1"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 xml:space="preserve">Comments in Response to the Federal Register Notice and Efforts to Consult Outside the Agency </w:t>
      </w:r>
    </w:p>
    <w:p w:rsidR="00CB1A12" w:rsidRPr="007669A1" w:rsidP="009B6FA7" w14:paraId="3CF18BF3" w14:textId="174B13F8">
      <w:pPr>
        <w:tabs>
          <w:tab w:val="num" w:pos="360"/>
        </w:tabs>
        <w:ind w:left="360"/>
        <w:rPr>
          <w:rFonts w:ascii="Times New Roman" w:hAnsi="Times New Roman"/>
          <w:sz w:val="24"/>
          <w:szCs w:val="24"/>
        </w:rPr>
      </w:pPr>
      <w:r w:rsidRPr="007669A1">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7669A1" w:rsidR="00541897">
        <w:rPr>
          <w:rFonts w:ascii="Times New Roman" w:hAnsi="Times New Roman"/>
          <w:sz w:val="24"/>
          <w:szCs w:val="24"/>
        </w:rPr>
        <w:t>June</w:t>
      </w:r>
      <w:r w:rsidRPr="007669A1" w:rsidR="00666702">
        <w:rPr>
          <w:rFonts w:ascii="Times New Roman" w:hAnsi="Times New Roman"/>
          <w:sz w:val="24"/>
          <w:szCs w:val="24"/>
        </w:rPr>
        <w:t xml:space="preserve"> 5, 2024</w:t>
      </w:r>
      <w:r w:rsidRPr="007669A1" w:rsidR="00722EC2">
        <w:rPr>
          <w:rFonts w:ascii="Times New Roman" w:hAnsi="Times New Roman"/>
          <w:sz w:val="24"/>
          <w:szCs w:val="24"/>
        </w:rPr>
        <w:t xml:space="preserve"> (</w:t>
      </w:r>
      <w:r w:rsidRPr="007669A1" w:rsidR="00666702">
        <w:rPr>
          <w:rFonts w:ascii="Times New Roman" w:hAnsi="Times New Roman"/>
          <w:sz w:val="24"/>
          <w:szCs w:val="24"/>
        </w:rPr>
        <w:t>89</w:t>
      </w:r>
      <w:r w:rsidRPr="007669A1">
        <w:rPr>
          <w:rFonts w:ascii="Times New Roman" w:hAnsi="Times New Roman"/>
          <w:sz w:val="24"/>
          <w:szCs w:val="24"/>
        </w:rPr>
        <w:t xml:space="preserve"> </w:t>
      </w:r>
      <w:r w:rsidR="009713EA">
        <w:rPr>
          <w:rFonts w:ascii="Times New Roman" w:hAnsi="Times New Roman"/>
          <w:sz w:val="24"/>
          <w:szCs w:val="24"/>
        </w:rPr>
        <w:t xml:space="preserve">FR </w:t>
      </w:r>
      <w:r w:rsidRPr="007669A1" w:rsidR="00835E31">
        <w:rPr>
          <w:rFonts w:ascii="Times New Roman" w:hAnsi="Times New Roman"/>
          <w:sz w:val="24"/>
          <w:szCs w:val="24"/>
        </w:rPr>
        <w:t>48168</w:t>
      </w:r>
      <w:r w:rsidRPr="007669A1" w:rsidR="00722EC2">
        <w:rPr>
          <w:rFonts w:ascii="Times New Roman" w:hAnsi="Times New Roman"/>
          <w:sz w:val="24"/>
          <w:szCs w:val="24"/>
        </w:rPr>
        <w:t>)</w:t>
      </w:r>
      <w:r w:rsidRPr="007669A1">
        <w:rPr>
          <w:rFonts w:ascii="Times New Roman" w:hAnsi="Times New Roman"/>
          <w:sz w:val="24"/>
          <w:szCs w:val="24"/>
        </w:rPr>
        <w:t xml:space="preserve"> and provided a sixty-day period for public comment.  During the notice and comment period, </w:t>
      </w:r>
      <w:r w:rsidRPr="007669A1" w:rsidR="004503A6">
        <w:rPr>
          <w:rFonts w:ascii="Times New Roman" w:hAnsi="Times New Roman"/>
          <w:sz w:val="24"/>
          <w:szCs w:val="24"/>
        </w:rPr>
        <w:t>one</w:t>
      </w:r>
      <w:r w:rsidRPr="007669A1">
        <w:rPr>
          <w:rFonts w:ascii="Times New Roman" w:hAnsi="Times New Roman"/>
          <w:sz w:val="24"/>
          <w:szCs w:val="24"/>
        </w:rPr>
        <w:t xml:space="preserve"> comment was</w:t>
      </w:r>
      <w:r w:rsidRPr="007669A1" w:rsidR="004503A6">
        <w:rPr>
          <w:rFonts w:ascii="Times New Roman" w:hAnsi="Times New Roman"/>
          <w:sz w:val="24"/>
          <w:szCs w:val="24"/>
        </w:rPr>
        <w:t xml:space="preserve"> </w:t>
      </w:r>
      <w:r w:rsidRPr="007669A1">
        <w:rPr>
          <w:rFonts w:ascii="Times New Roman" w:hAnsi="Times New Roman"/>
          <w:sz w:val="24"/>
          <w:szCs w:val="24"/>
        </w:rPr>
        <w:t xml:space="preserve">received, which is </w:t>
      </w:r>
      <w:r w:rsidRPr="007669A1" w:rsidR="00722EC2">
        <w:rPr>
          <w:rFonts w:ascii="Times New Roman" w:hAnsi="Times New Roman"/>
          <w:sz w:val="24"/>
          <w:szCs w:val="24"/>
        </w:rPr>
        <w:t>described below</w:t>
      </w:r>
      <w:r w:rsidRPr="007669A1">
        <w:rPr>
          <w:rFonts w:ascii="Times New Roman" w:hAnsi="Times New Roman"/>
          <w:sz w:val="24"/>
          <w:szCs w:val="24"/>
        </w:rPr>
        <w:t xml:space="preserve">. </w:t>
      </w:r>
    </w:p>
    <w:p w:rsidR="00AF6F02" w:rsidRPr="007669A1" w:rsidP="009B6FA7" w14:paraId="5A1E17EF" w14:textId="77777777">
      <w:pPr>
        <w:tabs>
          <w:tab w:val="num" w:pos="360"/>
        </w:tabs>
        <w:ind w:left="360"/>
        <w:rPr>
          <w:rFonts w:ascii="Times New Roman" w:hAnsi="Times New Roman"/>
          <w:sz w:val="24"/>
          <w:szCs w:val="24"/>
        </w:rPr>
      </w:pPr>
    </w:p>
    <w:p w:rsidR="004F7945" w:rsidRPr="007669A1" w:rsidP="004F7945" w14:paraId="21BF6CEA" w14:textId="7858618E">
      <w:pPr>
        <w:tabs>
          <w:tab w:val="num" w:pos="360"/>
        </w:tabs>
        <w:ind w:left="360"/>
        <w:rPr>
          <w:rFonts w:ascii="Times New Roman" w:hAnsi="Times New Roman"/>
          <w:sz w:val="24"/>
          <w:szCs w:val="24"/>
        </w:rPr>
      </w:pPr>
      <w:r w:rsidRPr="007669A1">
        <w:rPr>
          <w:rFonts w:ascii="Times New Roman" w:hAnsi="Times New Roman"/>
          <w:sz w:val="24"/>
          <w:szCs w:val="24"/>
        </w:rPr>
        <w:t>During the notice and comment period, we received a single public comment from the Association of State and Tribal Home Visiting Initiatives (ASTHVI). The comment covered various aspects of</w:t>
      </w:r>
      <w:r w:rsidRPr="007669A1" w:rsidR="009A5B15">
        <w:rPr>
          <w:rFonts w:ascii="Times New Roman" w:hAnsi="Times New Roman"/>
          <w:sz w:val="24"/>
          <w:szCs w:val="24"/>
        </w:rPr>
        <w:t xml:space="preserve"> the</w:t>
      </w:r>
      <w:r w:rsidRPr="007669A1">
        <w:rPr>
          <w:rFonts w:ascii="Times New Roman" w:hAnsi="Times New Roman"/>
          <w:sz w:val="24"/>
          <w:szCs w:val="24"/>
        </w:rPr>
        <w:t xml:space="preserve"> Guidance for Submitting Annual Reports, such as the estimate of burden hours, duplication among reporting, TA reporting, the timing of reporting, monthly calls, automated reporting opportunities, and feedback considerations. These recommendations were carefully considered, and each one was addressed individually. ACF’s comprehensive response to these comments and the changes being considered for each recommendation can be found in Attachment A, all aimed at improving the Tribal MIECHV Program and addressing the concerns raised in the public comment. </w:t>
      </w:r>
    </w:p>
    <w:p w:rsidR="004F7945" w:rsidRPr="007669A1" w:rsidP="004F7945" w14:paraId="47C20E7F" w14:textId="77777777">
      <w:pPr>
        <w:tabs>
          <w:tab w:val="num" w:pos="360"/>
        </w:tabs>
        <w:ind w:left="360"/>
        <w:rPr>
          <w:rFonts w:ascii="Times New Roman" w:hAnsi="Times New Roman"/>
          <w:sz w:val="24"/>
          <w:szCs w:val="24"/>
        </w:rPr>
      </w:pPr>
    </w:p>
    <w:p w:rsidR="00AF6F02" w:rsidP="004C725E" w14:paraId="56775EC2" w14:textId="55DC8946">
      <w:pPr>
        <w:tabs>
          <w:tab w:val="num" w:pos="360"/>
        </w:tabs>
        <w:ind w:left="360"/>
        <w:rPr>
          <w:rFonts w:ascii="Times New Roman" w:hAnsi="Times New Roman"/>
          <w:sz w:val="24"/>
          <w:szCs w:val="24"/>
        </w:rPr>
      </w:pPr>
      <w:r w:rsidRPr="007669A1">
        <w:rPr>
          <w:rFonts w:ascii="Times New Roman" w:hAnsi="Times New Roman"/>
          <w:sz w:val="24"/>
          <w:szCs w:val="24"/>
        </w:rPr>
        <w:t xml:space="preserve">In </w:t>
      </w:r>
      <w:r w:rsidRPr="007669A1" w:rsidR="00764D95">
        <w:rPr>
          <w:rFonts w:ascii="Times New Roman" w:hAnsi="Times New Roman"/>
          <w:sz w:val="24"/>
          <w:szCs w:val="24"/>
        </w:rPr>
        <w:t xml:space="preserve">addition, as part of </w:t>
      </w:r>
      <w:r w:rsidRPr="007669A1">
        <w:rPr>
          <w:rFonts w:ascii="Times New Roman" w:hAnsi="Times New Roman"/>
          <w:sz w:val="24"/>
          <w:szCs w:val="24"/>
        </w:rPr>
        <w:t>a collaborative effort to improve the Tribal MIECHV Program, Tribal Home Visiting</w:t>
      </w:r>
      <w:r w:rsidRPr="007669A1" w:rsidR="008D6D58">
        <w:rPr>
          <w:rFonts w:ascii="Times New Roman" w:hAnsi="Times New Roman"/>
          <w:sz w:val="24"/>
          <w:szCs w:val="24"/>
        </w:rPr>
        <w:t xml:space="preserve"> ACF</w:t>
      </w:r>
      <w:r w:rsidRPr="007669A1">
        <w:rPr>
          <w:rFonts w:ascii="Times New Roman" w:hAnsi="Times New Roman"/>
          <w:sz w:val="24"/>
          <w:szCs w:val="24"/>
        </w:rPr>
        <w:t xml:space="preserve"> </w:t>
      </w:r>
      <w:r w:rsidRPr="007669A1" w:rsidR="008D6D58">
        <w:rPr>
          <w:rFonts w:ascii="Times New Roman" w:hAnsi="Times New Roman"/>
          <w:sz w:val="24"/>
          <w:szCs w:val="24"/>
        </w:rPr>
        <w:t xml:space="preserve">engaged </w:t>
      </w:r>
      <w:r w:rsidRPr="007669A1">
        <w:rPr>
          <w:rFonts w:ascii="Times New Roman" w:hAnsi="Times New Roman"/>
          <w:sz w:val="24"/>
          <w:szCs w:val="24"/>
        </w:rPr>
        <w:t>grant recipients</w:t>
      </w:r>
      <w:r w:rsidRPr="007669A1" w:rsidR="008D6D58">
        <w:rPr>
          <w:rFonts w:ascii="Times New Roman" w:hAnsi="Times New Roman"/>
          <w:sz w:val="24"/>
          <w:szCs w:val="24"/>
        </w:rPr>
        <w:t xml:space="preserve"> through unstructured and individualized discussions to learn about </w:t>
      </w:r>
      <w:r w:rsidRPr="007669A1">
        <w:rPr>
          <w:rFonts w:ascii="Times New Roman" w:hAnsi="Times New Roman"/>
          <w:sz w:val="24"/>
          <w:szCs w:val="24"/>
        </w:rPr>
        <w:t xml:space="preserve">their experiences and </w:t>
      </w:r>
      <w:r w:rsidRPr="007669A1" w:rsidR="008D6D58">
        <w:rPr>
          <w:rFonts w:ascii="Times New Roman" w:hAnsi="Times New Roman"/>
          <w:sz w:val="24"/>
          <w:szCs w:val="24"/>
        </w:rPr>
        <w:t>gain</w:t>
      </w:r>
      <w:r w:rsidRPr="007669A1">
        <w:rPr>
          <w:rFonts w:ascii="Times New Roman" w:hAnsi="Times New Roman"/>
          <w:sz w:val="24"/>
          <w:szCs w:val="24"/>
        </w:rPr>
        <w:t xml:space="preserve"> valuable feedback. One of the topics discussed was administrative burden, including the challenges associated with the forms and reports of the Tribal MIECHV Program. ACF also </w:t>
      </w:r>
      <w:r w:rsidRPr="007669A1" w:rsidR="00151FB1">
        <w:rPr>
          <w:rFonts w:ascii="Times New Roman" w:hAnsi="Times New Roman"/>
          <w:sz w:val="24"/>
          <w:szCs w:val="24"/>
        </w:rPr>
        <w:t>discussed</w:t>
      </w:r>
      <w:r w:rsidRPr="007669A1">
        <w:rPr>
          <w:rFonts w:ascii="Times New Roman" w:hAnsi="Times New Roman"/>
          <w:sz w:val="24"/>
          <w:szCs w:val="24"/>
        </w:rPr>
        <w:t xml:space="preserve"> with grant recipients </w:t>
      </w:r>
      <w:r w:rsidRPr="007669A1" w:rsidR="00151FB1">
        <w:rPr>
          <w:rFonts w:ascii="Times New Roman" w:hAnsi="Times New Roman"/>
          <w:sz w:val="24"/>
          <w:szCs w:val="24"/>
        </w:rPr>
        <w:t>about</w:t>
      </w:r>
      <w:r w:rsidRPr="007669A1">
        <w:rPr>
          <w:rFonts w:ascii="Times New Roman" w:hAnsi="Times New Roman"/>
          <w:sz w:val="24"/>
          <w:szCs w:val="24"/>
        </w:rPr>
        <w:t xml:space="preserve"> the utility of the annual report, clarity of the instructions, reporting format, and views on the data elements being recorded. The</w:t>
      </w:r>
      <w:r w:rsidRPr="007669A1" w:rsidR="00151FB1">
        <w:rPr>
          <w:rFonts w:ascii="Times New Roman" w:hAnsi="Times New Roman"/>
          <w:sz w:val="24"/>
          <w:szCs w:val="24"/>
        </w:rPr>
        <w:t xml:space="preserve"> information learned through these discussions with </w:t>
      </w:r>
      <w:r w:rsidRPr="007669A1">
        <w:rPr>
          <w:rFonts w:ascii="Times New Roman" w:hAnsi="Times New Roman"/>
          <w:sz w:val="24"/>
          <w:szCs w:val="24"/>
        </w:rPr>
        <w:t>home visiting associations and technical assistance providers w</w:t>
      </w:r>
      <w:r w:rsidRPr="007669A1" w:rsidR="00151FB1">
        <w:rPr>
          <w:rFonts w:ascii="Times New Roman" w:hAnsi="Times New Roman"/>
          <w:sz w:val="24"/>
          <w:szCs w:val="24"/>
        </w:rPr>
        <w:t>as</w:t>
      </w:r>
      <w:r w:rsidRPr="007669A1">
        <w:rPr>
          <w:rFonts w:ascii="Times New Roman" w:hAnsi="Times New Roman"/>
          <w:sz w:val="24"/>
          <w:szCs w:val="24"/>
        </w:rPr>
        <w:t xml:space="preserve"> crucial in shaping our decisions when revising the Guidance for Submitting Annual Reports.</w:t>
      </w:r>
    </w:p>
    <w:p w:rsidR="007669A1" w:rsidRPr="007669A1" w:rsidP="009B6FA7" w14:paraId="51EA2179" w14:textId="77777777">
      <w:pPr>
        <w:tabs>
          <w:tab w:val="num" w:pos="360"/>
        </w:tabs>
        <w:ind w:left="360"/>
        <w:rPr>
          <w:rFonts w:ascii="Times New Roman" w:hAnsi="Times New Roman"/>
          <w:sz w:val="24"/>
          <w:szCs w:val="24"/>
        </w:rPr>
      </w:pPr>
    </w:p>
    <w:p w:rsidR="002C3C4F" w:rsidRPr="007669A1"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 xml:space="preserve">Explanation of Any Payment or Gift to Respondents </w:t>
      </w:r>
    </w:p>
    <w:p w:rsidR="00D60543" w:rsidP="004C725E" w14:paraId="62113040" w14:textId="1C215F68">
      <w:pPr>
        <w:widowControl/>
        <w:tabs>
          <w:tab w:val="num" w:pos="360"/>
        </w:tabs>
        <w:ind w:left="360"/>
        <w:rPr>
          <w:rFonts w:ascii="Times New Roman" w:hAnsi="Times New Roman"/>
          <w:snapToGrid/>
          <w:sz w:val="24"/>
          <w:szCs w:val="24"/>
        </w:rPr>
      </w:pPr>
      <w:r w:rsidRPr="007669A1">
        <w:rPr>
          <w:rFonts w:ascii="Times New Roman" w:hAnsi="Times New Roman"/>
          <w:snapToGrid/>
          <w:sz w:val="24"/>
          <w:szCs w:val="24"/>
        </w:rPr>
        <w:t>No payments or gifts are provided to respondents.</w:t>
      </w:r>
    </w:p>
    <w:p w:rsidR="007669A1" w:rsidP="0030588E" w14:paraId="0798B098" w14:textId="77777777">
      <w:pPr>
        <w:widowControl/>
        <w:tabs>
          <w:tab w:val="num" w:pos="360"/>
        </w:tabs>
        <w:rPr>
          <w:rFonts w:ascii="Times New Roman" w:hAnsi="Times New Roman"/>
          <w:snapToGrid/>
          <w:sz w:val="24"/>
          <w:szCs w:val="24"/>
        </w:rPr>
      </w:pPr>
    </w:p>
    <w:p w:rsidR="004F67F8" w:rsidRPr="007669A1" w:rsidP="0030588E" w14:paraId="61778D82" w14:textId="77777777">
      <w:pPr>
        <w:widowControl/>
        <w:tabs>
          <w:tab w:val="num" w:pos="360"/>
        </w:tabs>
        <w:rPr>
          <w:rFonts w:ascii="Times New Roman" w:hAnsi="Times New Roman"/>
          <w:snapToGrid/>
          <w:sz w:val="24"/>
          <w:szCs w:val="24"/>
        </w:rPr>
      </w:pPr>
    </w:p>
    <w:p w:rsidR="002C3C4F" w:rsidRPr="007669A1" w:rsidP="004C725E"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bCs/>
          <w:snapToGrid/>
          <w:sz w:val="24"/>
          <w:szCs w:val="24"/>
        </w:rPr>
        <w:t xml:space="preserve">Assurance of Confidentiality Provided to Respondents </w:t>
      </w:r>
    </w:p>
    <w:p w:rsidR="00D60543" w:rsidP="004C725E" w14:paraId="1C82E036" w14:textId="4AF64C54">
      <w:pPr>
        <w:widowControl/>
        <w:tabs>
          <w:tab w:val="num" w:pos="360"/>
        </w:tabs>
        <w:ind w:left="360"/>
        <w:rPr>
          <w:rFonts w:ascii="Times New Roman" w:hAnsi="Times New Roman"/>
          <w:snapToGrid/>
          <w:sz w:val="24"/>
          <w:szCs w:val="24"/>
        </w:rPr>
      </w:pPr>
      <w:r w:rsidRPr="007669A1">
        <w:rPr>
          <w:rFonts w:ascii="Times New Roman" w:hAnsi="Times New Roman"/>
          <w:snapToGrid/>
          <w:sz w:val="24"/>
          <w:szCs w:val="24"/>
        </w:rPr>
        <w:t>The information collection is not of a confidential nature, and therefore does not require assurance of confidentiality.</w:t>
      </w:r>
    </w:p>
    <w:p w:rsidR="007669A1" w:rsidRPr="007669A1" w:rsidP="00DE529D" w14:paraId="1F628F41" w14:textId="77777777">
      <w:pPr>
        <w:widowControl/>
        <w:tabs>
          <w:tab w:val="num" w:pos="360"/>
        </w:tabs>
        <w:ind w:left="360"/>
        <w:rPr>
          <w:rFonts w:ascii="Times New Roman" w:hAnsi="Times New Roman"/>
          <w:snapToGrid/>
          <w:sz w:val="24"/>
          <w:szCs w:val="24"/>
        </w:rPr>
      </w:pPr>
    </w:p>
    <w:p w:rsidR="002C3C4F" w:rsidRPr="007669A1" w:rsidP="004C725E"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 xml:space="preserve">Justification for Sensitive Questions </w:t>
      </w:r>
    </w:p>
    <w:p w:rsidR="00DE529D" w:rsidP="004C725E" w14:paraId="710C7355" w14:textId="4EBAB23E">
      <w:pPr>
        <w:widowControl/>
        <w:tabs>
          <w:tab w:val="num" w:pos="360"/>
        </w:tabs>
        <w:ind w:left="360"/>
        <w:rPr>
          <w:rFonts w:ascii="Times New Roman" w:hAnsi="Times New Roman"/>
          <w:snapToGrid/>
          <w:sz w:val="24"/>
          <w:szCs w:val="24"/>
        </w:rPr>
      </w:pPr>
      <w:r w:rsidRPr="007669A1">
        <w:rPr>
          <w:rFonts w:ascii="Times New Roman" w:hAnsi="Times New Roman"/>
          <w:snapToGrid/>
          <w:sz w:val="24"/>
          <w:szCs w:val="24"/>
        </w:rPr>
        <w:t>There are no personal questions of a sensitive nature.</w:t>
      </w:r>
    </w:p>
    <w:p w:rsidR="007669A1" w:rsidRPr="007669A1" w:rsidP="0080723B" w14:paraId="519B74CC" w14:textId="77777777">
      <w:pPr>
        <w:widowControl/>
        <w:tabs>
          <w:tab w:val="num" w:pos="360"/>
        </w:tabs>
        <w:rPr>
          <w:rFonts w:ascii="Times New Roman" w:hAnsi="Times New Roman"/>
          <w:snapToGrid/>
          <w:sz w:val="24"/>
          <w:szCs w:val="24"/>
        </w:rPr>
      </w:pPr>
    </w:p>
    <w:p w:rsidR="002C3C4F" w:rsidRPr="007669A1"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 xml:space="preserve">Estimates of Annualized Burden Hours and Costs </w:t>
      </w:r>
    </w:p>
    <w:p w:rsidR="00CB1A12" w:rsidRPr="007669A1" w:rsidP="00DE529D" w14:paraId="055034F3" w14:textId="1C0B9C28">
      <w:pPr>
        <w:widowControl/>
        <w:ind w:left="360"/>
        <w:rPr>
          <w:rFonts w:ascii="Times New Roman" w:hAnsi="Times New Roman"/>
          <w:snapToGrid/>
          <w:sz w:val="24"/>
          <w:szCs w:val="24"/>
        </w:rPr>
      </w:pPr>
      <w:r w:rsidRPr="007669A1">
        <w:rPr>
          <w:rFonts w:ascii="Times New Roman" w:hAnsi="Times New Roman"/>
          <w:snapToGrid/>
          <w:sz w:val="24"/>
          <w:szCs w:val="24"/>
        </w:rPr>
        <w:t xml:space="preserve">The estimated time per response is based on experience since requiring the reports from </w:t>
      </w:r>
      <w:r w:rsidRPr="007669A1" w:rsidR="00B76FA3">
        <w:rPr>
          <w:rFonts w:ascii="Times New Roman" w:hAnsi="Times New Roman"/>
          <w:snapToGrid/>
          <w:sz w:val="24"/>
          <w:szCs w:val="24"/>
        </w:rPr>
        <w:t>grant recipient</w:t>
      </w:r>
      <w:r w:rsidRPr="007669A1">
        <w:rPr>
          <w:rFonts w:ascii="Times New Roman" w:hAnsi="Times New Roman"/>
          <w:snapToGrid/>
          <w:sz w:val="24"/>
          <w:szCs w:val="24"/>
        </w:rPr>
        <w:t>s. The time includes the number of hours i</w:t>
      </w:r>
      <w:r w:rsidRPr="007669A1" w:rsidR="00F44BDC">
        <w:rPr>
          <w:rFonts w:ascii="Times New Roman" w:hAnsi="Times New Roman"/>
          <w:snapToGrid/>
          <w:sz w:val="24"/>
          <w:szCs w:val="24"/>
        </w:rPr>
        <w:t>t</w:t>
      </w:r>
      <w:r w:rsidRPr="007669A1">
        <w:rPr>
          <w:rFonts w:ascii="Times New Roman" w:hAnsi="Times New Roman"/>
          <w:snapToGrid/>
          <w:sz w:val="24"/>
          <w:szCs w:val="24"/>
        </w:rPr>
        <w:t xml:space="preserve"> takes a respondent to gather and then report information on the topics listed.</w:t>
      </w:r>
      <w:r w:rsidRPr="007669A1" w:rsidR="0047214B">
        <w:rPr>
          <w:rFonts w:ascii="Times New Roman" w:hAnsi="Times New Roman"/>
          <w:snapToGrid/>
          <w:sz w:val="24"/>
          <w:szCs w:val="24"/>
        </w:rPr>
        <w:t xml:space="preserve"> Fifty-</w:t>
      </w:r>
      <w:r w:rsidRPr="007669A1" w:rsidR="00F324F5">
        <w:rPr>
          <w:rFonts w:ascii="Times New Roman" w:hAnsi="Times New Roman"/>
          <w:snapToGrid/>
          <w:sz w:val="24"/>
          <w:szCs w:val="24"/>
        </w:rPr>
        <w:t>three</w:t>
      </w:r>
      <w:r w:rsidRPr="007669A1" w:rsidR="0047214B">
        <w:rPr>
          <w:rFonts w:ascii="Times New Roman" w:hAnsi="Times New Roman"/>
          <w:snapToGrid/>
          <w:sz w:val="24"/>
          <w:szCs w:val="24"/>
        </w:rPr>
        <w:t xml:space="preserve"> total respondents are</w:t>
      </w:r>
      <w:r w:rsidRPr="007669A1" w:rsidR="00765E8E">
        <w:rPr>
          <w:rFonts w:ascii="Times New Roman" w:hAnsi="Times New Roman"/>
          <w:snapToGrid/>
          <w:sz w:val="24"/>
          <w:szCs w:val="24"/>
        </w:rPr>
        <w:t xml:space="preserve"> projected to be implementing </w:t>
      </w:r>
      <w:r w:rsidRPr="007669A1" w:rsidR="00B15CEB">
        <w:rPr>
          <w:rFonts w:ascii="Times New Roman" w:hAnsi="Times New Roman"/>
          <w:snapToGrid/>
          <w:sz w:val="24"/>
          <w:szCs w:val="24"/>
        </w:rPr>
        <w:t xml:space="preserve">home visiting services </w:t>
      </w:r>
      <w:r w:rsidRPr="007669A1" w:rsidR="00947E58">
        <w:rPr>
          <w:rFonts w:ascii="Times New Roman" w:hAnsi="Times New Roman"/>
          <w:snapToGrid/>
          <w:sz w:val="24"/>
          <w:szCs w:val="24"/>
        </w:rPr>
        <w:t>by FY 2027</w:t>
      </w:r>
      <w:r w:rsidRPr="007669A1" w:rsidR="00E13887">
        <w:rPr>
          <w:rFonts w:ascii="Times New Roman" w:hAnsi="Times New Roman"/>
          <w:snapToGrid/>
          <w:sz w:val="24"/>
          <w:szCs w:val="24"/>
        </w:rPr>
        <w:t xml:space="preserve"> and will </w:t>
      </w:r>
      <w:r w:rsidRPr="007669A1" w:rsidR="00EB3A28">
        <w:rPr>
          <w:rFonts w:ascii="Times New Roman" w:hAnsi="Times New Roman"/>
          <w:snapToGrid/>
          <w:sz w:val="24"/>
          <w:szCs w:val="24"/>
        </w:rPr>
        <w:t xml:space="preserve">be required to </w:t>
      </w:r>
      <w:r w:rsidRPr="007669A1" w:rsidR="00211ADB">
        <w:rPr>
          <w:rFonts w:ascii="Times New Roman" w:hAnsi="Times New Roman"/>
          <w:snapToGrid/>
          <w:sz w:val="24"/>
          <w:szCs w:val="24"/>
        </w:rPr>
        <w:t xml:space="preserve">submit an annual report to the Secretary regarding the program and activities carried out under the program. </w:t>
      </w:r>
      <w:r w:rsidRPr="007669A1" w:rsidR="001577DA">
        <w:rPr>
          <w:rFonts w:ascii="Times New Roman" w:hAnsi="Times New Roman"/>
          <w:snapToGrid/>
          <w:sz w:val="24"/>
          <w:szCs w:val="24"/>
        </w:rPr>
        <w:t xml:space="preserve">Although the estimated time per response remains the same as previously estimated, ACF realized that the effort for the previously approved annual report was more than </w:t>
      </w:r>
      <w:r w:rsidRPr="007669A1" w:rsidR="00151FB1">
        <w:rPr>
          <w:rFonts w:ascii="Times New Roman" w:hAnsi="Times New Roman"/>
          <w:snapToGrid/>
          <w:sz w:val="24"/>
          <w:szCs w:val="24"/>
        </w:rPr>
        <w:t>the estimated</w:t>
      </w:r>
      <w:r w:rsidRPr="007669A1" w:rsidR="001577DA">
        <w:rPr>
          <w:rFonts w:ascii="Times New Roman" w:hAnsi="Times New Roman"/>
          <w:snapToGrid/>
          <w:sz w:val="24"/>
          <w:szCs w:val="24"/>
        </w:rPr>
        <w:t xml:space="preserve"> average of 25 hours. As such, ACF made an effort to review the guidance, engage grant recipients, and make substantial edits. With these edits, ACF believes the estimated average time of 25 hours to complete the annual report is now accurate. </w:t>
      </w:r>
    </w:p>
    <w:p w:rsidR="00EB1661" w:rsidRPr="001C4D49" w:rsidP="00DE529D" w14:paraId="4A63CB49" w14:textId="77777777">
      <w:pPr>
        <w:widowControl/>
        <w:ind w:left="360"/>
        <w:rPr>
          <w:rFonts w:ascii="Times New Roman" w:hAnsi="Times New Roman"/>
          <w:snapToGrid/>
          <w:sz w:val="24"/>
          <w:szCs w:val="24"/>
        </w:rPr>
      </w:pPr>
    </w:p>
    <w:tbl>
      <w:tblPr>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10"/>
        <w:gridCol w:w="1350"/>
        <w:gridCol w:w="1530"/>
        <w:gridCol w:w="1260"/>
        <w:gridCol w:w="900"/>
        <w:gridCol w:w="1114"/>
        <w:gridCol w:w="866"/>
      </w:tblGrid>
      <w:tr w14:paraId="230FE56D" w14:textId="77777777" w:rsidTr="004F67F8">
        <w:tblPrEx>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710" w:type="dxa"/>
            <w:shd w:val="clear" w:color="auto" w:fill="BFBFBF"/>
            <w:vAlign w:val="center"/>
          </w:tcPr>
          <w:p w:rsidR="00DE1732" w:rsidRPr="004C725E" w:rsidP="004110F5" w14:paraId="710C0652" w14:textId="77777777">
            <w:pPr>
              <w:jc w:val="center"/>
              <w:rPr>
                <w:rFonts w:ascii="Times New Roman" w:hAnsi="Times New Roman"/>
                <w:b/>
                <w:bCs/>
              </w:rPr>
            </w:pPr>
            <w:r w:rsidRPr="004C725E">
              <w:rPr>
                <w:rFonts w:ascii="Times New Roman" w:hAnsi="Times New Roman"/>
                <w:b/>
                <w:bCs/>
              </w:rPr>
              <w:t>Information Collection Title</w:t>
            </w:r>
          </w:p>
        </w:tc>
        <w:tc>
          <w:tcPr>
            <w:tcW w:w="1350" w:type="dxa"/>
            <w:shd w:val="clear" w:color="auto" w:fill="BFBFBF"/>
            <w:vAlign w:val="center"/>
          </w:tcPr>
          <w:p w:rsidR="00DE1732" w:rsidRPr="004C725E" w:rsidP="004F7B95" w14:paraId="755B72E5" w14:textId="77777777">
            <w:pPr>
              <w:jc w:val="center"/>
              <w:rPr>
                <w:rFonts w:ascii="Times New Roman" w:hAnsi="Times New Roman"/>
                <w:b/>
                <w:bCs/>
              </w:rPr>
            </w:pPr>
            <w:r w:rsidRPr="004C725E">
              <w:rPr>
                <w:rFonts w:ascii="Times New Roman" w:hAnsi="Times New Roman"/>
                <w:b/>
                <w:bCs/>
              </w:rPr>
              <w:t>Total Number of Respondents</w:t>
            </w:r>
          </w:p>
        </w:tc>
        <w:tc>
          <w:tcPr>
            <w:tcW w:w="1530" w:type="dxa"/>
            <w:shd w:val="clear" w:color="auto" w:fill="BFBFBF"/>
            <w:vAlign w:val="center"/>
          </w:tcPr>
          <w:p w:rsidR="00DE1732" w:rsidRPr="004C725E" w:rsidP="004F7B95" w14:paraId="5053A5D0" w14:textId="7AF14748">
            <w:pPr>
              <w:jc w:val="center"/>
              <w:rPr>
                <w:rFonts w:ascii="Times New Roman" w:hAnsi="Times New Roman"/>
                <w:b/>
                <w:bCs/>
              </w:rPr>
            </w:pPr>
            <w:r w:rsidRPr="004C725E">
              <w:rPr>
                <w:rFonts w:ascii="Times New Roman" w:hAnsi="Times New Roman"/>
                <w:b/>
                <w:bCs/>
              </w:rPr>
              <w:t>Annual Number of Responses Per Respondent</w:t>
            </w:r>
          </w:p>
        </w:tc>
        <w:tc>
          <w:tcPr>
            <w:tcW w:w="1260" w:type="dxa"/>
            <w:shd w:val="clear" w:color="auto" w:fill="BFBFBF"/>
            <w:vAlign w:val="center"/>
          </w:tcPr>
          <w:p w:rsidR="00DE1732" w:rsidRPr="004C725E" w:rsidP="004F7B95" w14:paraId="340D08AF" w14:textId="77777777">
            <w:pPr>
              <w:jc w:val="center"/>
              <w:rPr>
                <w:rFonts w:ascii="Times New Roman" w:hAnsi="Times New Roman"/>
                <w:b/>
                <w:bCs/>
              </w:rPr>
            </w:pPr>
            <w:r w:rsidRPr="004C725E">
              <w:rPr>
                <w:rFonts w:ascii="Times New Roman" w:hAnsi="Times New Roman"/>
                <w:b/>
                <w:bCs/>
              </w:rPr>
              <w:t>Average Burden Hours Per Response</w:t>
            </w:r>
          </w:p>
        </w:tc>
        <w:tc>
          <w:tcPr>
            <w:tcW w:w="900" w:type="dxa"/>
            <w:shd w:val="clear" w:color="auto" w:fill="BFBFBF"/>
            <w:vAlign w:val="center"/>
          </w:tcPr>
          <w:p w:rsidR="00DE1732" w:rsidRPr="004C725E" w:rsidP="004F7B95" w14:paraId="3AE1FC11" w14:textId="77777777">
            <w:pPr>
              <w:jc w:val="center"/>
              <w:rPr>
                <w:rFonts w:ascii="Times New Roman" w:hAnsi="Times New Roman"/>
                <w:b/>
                <w:bCs/>
              </w:rPr>
            </w:pPr>
            <w:r w:rsidRPr="004C725E">
              <w:rPr>
                <w:rFonts w:ascii="Times New Roman" w:hAnsi="Times New Roman"/>
                <w:b/>
                <w:bCs/>
              </w:rPr>
              <w:t>Annual Burden Hours</w:t>
            </w:r>
          </w:p>
        </w:tc>
        <w:tc>
          <w:tcPr>
            <w:tcW w:w="1114" w:type="dxa"/>
            <w:shd w:val="clear" w:color="auto" w:fill="BFBFBF"/>
            <w:vAlign w:val="center"/>
          </w:tcPr>
          <w:p w:rsidR="00DE1732" w:rsidRPr="004C725E" w:rsidP="004F7B95" w14:paraId="0A8FF52A" w14:textId="77777777">
            <w:pPr>
              <w:jc w:val="center"/>
              <w:rPr>
                <w:rFonts w:ascii="Times New Roman" w:hAnsi="Times New Roman"/>
                <w:b/>
                <w:bCs/>
              </w:rPr>
            </w:pPr>
            <w:r w:rsidRPr="004C725E">
              <w:rPr>
                <w:rFonts w:ascii="Times New Roman" w:hAnsi="Times New Roman"/>
                <w:b/>
                <w:bCs/>
              </w:rPr>
              <w:t>Average Hourly Wage</w:t>
            </w:r>
          </w:p>
        </w:tc>
        <w:tc>
          <w:tcPr>
            <w:tcW w:w="866" w:type="dxa"/>
            <w:shd w:val="clear" w:color="auto" w:fill="BFBFBF"/>
            <w:vAlign w:val="center"/>
          </w:tcPr>
          <w:p w:rsidR="00DE1732" w:rsidRPr="004C725E" w:rsidP="004F7B95" w14:paraId="4FBD0FB1" w14:textId="77777777">
            <w:pPr>
              <w:jc w:val="center"/>
              <w:rPr>
                <w:rFonts w:ascii="Times New Roman" w:hAnsi="Times New Roman"/>
                <w:b/>
                <w:bCs/>
              </w:rPr>
            </w:pPr>
            <w:r w:rsidRPr="004C725E">
              <w:rPr>
                <w:rFonts w:ascii="Times New Roman" w:hAnsi="Times New Roman"/>
                <w:b/>
                <w:bCs/>
              </w:rPr>
              <w:t>Total Annual Cost</w:t>
            </w:r>
          </w:p>
        </w:tc>
      </w:tr>
      <w:tr w14:paraId="5140B154" w14:textId="77777777" w:rsidTr="004F67F8">
        <w:tblPrEx>
          <w:tblW w:w="8730" w:type="dxa"/>
          <w:jc w:val="center"/>
          <w:tblLook w:val="00A0"/>
        </w:tblPrEx>
        <w:trPr>
          <w:trHeight w:val="432"/>
          <w:jc w:val="center"/>
        </w:trPr>
        <w:tc>
          <w:tcPr>
            <w:tcW w:w="1710" w:type="dxa"/>
            <w:vAlign w:val="center"/>
          </w:tcPr>
          <w:p w:rsidR="00DE1732" w:rsidRPr="001C4D49" w:rsidP="004F7B95" w14:paraId="33E13E32" w14:textId="78C89C0D">
            <w:pPr>
              <w:tabs>
                <w:tab w:val="center" w:pos="4320"/>
                <w:tab w:val="right" w:pos="8640"/>
              </w:tabs>
              <w:rPr>
                <w:rFonts w:ascii="Times New Roman" w:hAnsi="Times New Roman"/>
              </w:rPr>
            </w:pPr>
            <w:r w:rsidRPr="001C4D49">
              <w:rPr>
                <w:rFonts w:ascii="Times New Roman" w:hAnsi="Times New Roman"/>
              </w:rPr>
              <w:t>Guidance for Submitting Annual Reports</w:t>
            </w:r>
            <w:r w:rsidR="009713EA">
              <w:rPr>
                <w:rFonts w:ascii="Times New Roman" w:hAnsi="Times New Roman"/>
              </w:rPr>
              <w:t xml:space="preserve"> to the Secretary</w:t>
            </w:r>
          </w:p>
        </w:tc>
        <w:tc>
          <w:tcPr>
            <w:tcW w:w="1350" w:type="dxa"/>
            <w:vAlign w:val="center"/>
          </w:tcPr>
          <w:p w:rsidR="00DE1732" w:rsidRPr="001C4D49" w:rsidP="00722EC2" w14:paraId="631BD576" w14:textId="56D450D8">
            <w:pPr>
              <w:tabs>
                <w:tab w:val="center" w:pos="4320"/>
                <w:tab w:val="right" w:pos="8640"/>
              </w:tabs>
              <w:jc w:val="center"/>
              <w:rPr>
                <w:rFonts w:ascii="Times New Roman" w:hAnsi="Times New Roman"/>
                <w:highlight w:val="yellow"/>
              </w:rPr>
            </w:pPr>
            <w:r w:rsidRPr="001C4D49">
              <w:rPr>
                <w:rFonts w:ascii="Times New Roman" w:hAnsi="Times New Roman"/>
              </w:rPr>
              <w:t>5</w:t>
            </w:r>
            <w:r w:rsidR="00F324F5">
              <w:rPr>
                <w:rFonts w:ascii="Times New Roman" w:hAnsi="Times New Roman"/>
              </w:rPr>
              <w:t>3</w:t>
            </w:r>
          </w:p>
        </w:tc>
        <w:tc>
          <w:tcPr>
            <w:tcW w:w="1530" w:type="dxa"/>
            <w:vAlign w:val="center"/>
          </w:tcPr>
          <w:p w:rsidR="00DE1732" w:rsidRPr="001C4D49" w:rsidP="00722EC2" w14:paraId="3DD8ECC7" w14:textId="1A090459">
            <w:pPr>
              <w:tabs>
                <w:tab w:val="center" w:pos="4320"/>
                <w:tab w:val="right" w:pos="8640"/>
              </w:tabs>
              <w:jc w:val="center"/>
              <w:rPr>
                <w:rFonts w:ascii="Times New Roman" w:hAnsi="Times New Roman"/>
              </w:rPr>
            </w:pPr>
            <w:r w:rsidRPr="001C4D49">
              <w:rPr>
                <w:rFonts w:ascii="Times New Roman" w:hAnsi="Times New Roman"/>
              </w:rPr>
              <w:t>1</w:t>
            </w:r>
          </w:p>
        </w:tc>
        <w:tc>
          <w:tcPr>
            <w:tcW w:w="1260" w:type="dxa"/>
            <w:vAlign w:val="center"/>
          </w:tcPr>
          <w:p w:rsidR="00DE1732" w:rsidRPr="001C4D49" w:rsidP="00722EC2" w14:paraId="46007120" w14:textId="69D093E6">
            <w:pPr>
              <w:tabs>
                <w:tab w:val="center" w:pos="4320"/>
                <w:tab w:val="right" w:pos="8640"/>
              </w:tabs>
              <w:jc w:val="center"/>
              <w:rPr>
                <w:rFonts w:ascii="Times New Roman" w:hAnsi="Times New Roman"/>
              </w:rPr>
            </w:pPr>
            <w:r w:rsidRPr="001C4D49">
              <w:rPr>
                <w:rFonts w:ascii="Times New Roman" w:hAnsi="Times New Roman"/>
              </w:rPr>
              <w:t>25</w:t>
            </w:r>
          </w:p>
        </w:tc>
        <w:tc>
          <w:tcPr>
            <w:tcW w:w="900" w:type="dxa"/>
            <w:vAlign w:val="center"/>
          </w:tcPr>
          <w:p w:rsidR="00DE1732" w:rsidRPr="001C4D49" w:rsidP="00722EC2" w14:paraId="25670C73" w14:textId="1E639F36">
            <w:pPr>
              <w:tabs>
                <w:tab w:val="center" w:pos="4320"/>
                <w:tab w:val="right" w:pos="8640"/>
              </w:tabs>
              <w:jc w:val="center"/>
              <w:rPr>
                <w:rFonts w:ascii="Times New Roman" w:hAnsi="Times New Roman"/>
              </w:rPr>
            </w:pPr>
            <w:r w:rsidRPr="001C4D49">
              <w:rPr>
                <w:rFonts w:ascii="Times New Roman" w:hAnsi="Times New Roman"/>
              </w:rPr>
              <w:t>1,</w:t>
            </w:r>
            <w:r w:rsidR="00A80387">
              <w:rPr>
                <w:rFonts w:ascii="Times New Roman" w:hAnsi="Times New Roman"/>
              </w:rPr>
              <w:t>325</w:t>
            </w:r>
          </w:p>
        </w:tc>
        <w:tc>
          <w:tcPr>
            <w:tcW w:w="1114" w:type="dxa"/>
            <w:vAlign w:val="center"/>
          </w:tcPr>
          <w:p w:rsidR="00DE1732" w:rsidRPr="001C4D49" w:rsidP="00722EC2" w14:paraId="7D556C98" w14:textId="62C24DFA">
            <w:pPr>
              <w:tabs>
                <w:tab w:val="center" w:pos="4320"/>
                <w:tab w:val="right" w:pos="8640"/>
              </w:tabs>
              <w:jc w:val="center"/>
              <w:rPr>
                <w:rFonts w:ascii="Times New Roman" w:hAnsi="Times New Roman"/>
              </w:rPr>
            </w:pPr>
            <w:r w:rsidRPr="001C4D49">
              <w:rPr>
                <w:rFonts w:ascii="Times New Roman" w:hAnsi="Times New Roman"/>
              </w:rPr>
              <w:t>$42.54</w:t>
            </w:r>
          </w:p>
        </w:tc>
        <w:tc>
          <w:tcPr>
            <w:tcW w:w="866" w:type="dxa"/>
            <w:vAlign w:val="center"/>
          </w:tcPr>
          <w:p w:rsidR="00DE1732" w:rsidRPr="001C4D49" w:rsidP="00722EC2" w14:paraId="5133F4BC" w14:textId="6288183A">
            <w:pPr>
              <w:tabs>
                <w:tab w:val="center" w:pos="4320"/>
                <w:tab w:val="right" w:pos="8640"/>
              </w:tabs>
              <w:jc w:val="center"/>
              <w:rPr>
                <w:rFonts w:ascii="Times New Roman" w:hAnsi="Times New Roman"/>
              </w:rPr>
            </w:pPr>
            <w:r w:rsidRPr="001C4D49">
              <w:rPr>
                <w:rFonts w:ascii="Times New Roman" w:hAnsi="Times New Roman"/>
              </w:rPr>
              <w:t>$5</w:t>
            </w:r>
            <w:r w:rsidR="008D05FC">
              <w:rPr>
                <w:rFonts w:ascii="Times New Roman" w:hAnsi="Times New Roman"/>
              </w:rPr>
              <w:t>6</w:t>
            </w:r>
            <w:r w:rsidRPr="001C4D49">
              <w:rPr>
                <w:rFonts w:ascii="Times New Roman" w:hAnsi="Times New Roman"/>
              </w:rPr>
              <w:t>,</w:t>
            </w:r>
            <w:r w:rsidR="00765E8E">
              <w:rPr>
                <w:rFonts w:ascii="Times New Roman" w:hAnsi="Times New Roman"/>
              </w:rPr>
              <w:t>366</w:t>
            </w:r>
          </w:p>
        </w:tc>
      </w:tr>
    </w:tbl>
    <w:p w:rsidR="00CB1A12" w:rsidRPr="007669A1" w:rsidP="00DE529D" w14:paraId="6967D635" w14:textId="77777777">
      <w:pPr>
        <w:widowControl/>
        <w:ind w:left="360"/>
        <w:rPr>
          <w:rFonts w:ascii="Times New Roman" w:hAnsi="Times New Roman"/>
          <w:snapToGrid/>
          <w:sz w:val="24"/>
          <w:szCs w:val="24"/>
        </w:rPr>
      </w:pPr>
    </w:p>
    <w:p w:rsidR="00001334" w:rsidRPr="007669A1" w:rsidP="004C725E" w14:paraId="3A77C406" w14:textId="77777777">
      <w:pPr>
        <w:widowControl/>
        <w:ind w:left="360"/>
        <w:rPr>
          <w:rFonts w:ascii="Times New Roman" w:hAnsi="Times New Roman"/>
          <w:snapToGrid/>
          <w:sz w:val="24"/>
          <w:szCs w:val="24"/>
        </w:rPr>
      </w:pPr>
      <w:r w:rsidRPr="007669A1">
        <w:rPr>
          <w:rFonts w:ascii="Times New Roman" w:hAnsi="Times New Roman"/>
          <w:snapToGrid/>
          <w:sz w:val="24"/>
          <w:szCs w:val="24"/>
        </w:rPr>
        <w:t xml:space="preserve">The cost to respondents was calculated using the Bureau of Labor Statistics (BLS) job code for Social and Human Service Assistants [21-1093] and wage data from May 2023, which is $21.27 per hour. To account for fringe benefits and overhead the rate was multiplied by two which is $42.54.  </w:t>
      </w:r>
    </w:p>
    <w:p w:rsidR="004C725E" w:rsidP="004C725E" w14:paraId="1D507DD4" w14:textId="33F7F965">
      <w:pPr>
        <w:widowControl/>
        <w:ind w:left="360"/>
        <w:rPr>
          <w:rFonts w:ascii="Times New Roman" w:hAnsi="Times New Roman"/>
          <w:snapToGrid/>
          <w:sz w:val="24"/>
          <w:szCs w:val="24"/>
        </w:rPr>
      </w:pPr>
      <w:hyperlink r:id="rId10" w:history="1">
        <w:r w:rsidRPr="007669A1" w:rsidR="00001334">
          <w:rPr>
            <w:rFonts w:ascii="Times New Roman" w:hAnsi="Times New Roman"/>
            <w:snapToGrid/>
            <w:color w:val="0000FF"/>
            <w:sz w:val="24"/>
            <w:szCs w:val="24"/>
            <w:u w:val="single"/>
          </w:rPr>
          <w:t>https://www.bls.gov/oes/current/oes_stru.htm</w:t>
        </w:r>
      </w:hyperlink>
      <w:r w:rsidRPr="007669A1" w:rsidR="00001334">
        <w:rPr>
          <w:rFonts w:ascii="Times New Roman" w:hAnsi="Times New Roman"/>
          <w:snapToGrid/>
          <w:sz w:val="24"/>
          <w:szCs w:val="24"/>
        </w:rPr>
        <w:t xml:space="preserve"> </w:t>
      </w:r>
    </w:p>
    <w:p w:rsidR="004C725E" w:rsidRPr="004C725E" w:rsidP="004C725E" w14:paraId="41AE91ED" w14:textId="77777777">
      <w:pPr>
        <w:widowControl/>
        <w:ind w:left="360"/>
        <w:rPr>
          <w:rFonts w:ascii="Times New Roman" w:hAnsi="Times New Roman"/>
          <w:snapToGrid/>
          <w:sz w:val="24"/>
          <w:szCs w:val="24"/>
        </w:rPr>
      </w:pPr>
    </w:p>
    <w:p w:rsidR="00D60543" w:rsidRPr="007669A1"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 xml:space="preserve">Estimates of Other Total Annual Cost Burden to Respondents and Record Keepers </w:t>
      </w:r>
    </w:p>
    <w:p w:rsidR="00D60543" w:rsidP="00DE529D" w14:paraId="0BE3C51C" w14:textId="28157B19">
      <w:pPr>
        <w:widowControl/>
        <w:ind w:left="360"/>
        <w:rPr>
          <w:rFonts w:ascii="Times New Roman" w:hAnsi="Times New Roman"/>
          <w:snapToGrid/>
          <w:sz w:val="24"/>
          <w:szCs w:val="24"/>
        </w:rPr>
      </w:pPr>
      <w:r w:rsidRPr="007669A1">
        <w:rPr>
          <w:rFonts w:ascii="Times New Roman" w:hAnsi="Times New Roman"/>
          <w:snapToGrid/>
          <w:sz w:val="24"/>
          <w:szCs w:val="24"/>
        </w:rPr>
        <w:t>There are no additional costs to respondents.</w:t>
      </w:r>
    </w:p>
    <w:p w:rsidR="007C3A7E" w:rsidRPr="007669A1" w:rsidP="00DE529D" w14:paraId="24C10F39" w14:textId="77777777">
      <w:pPr>
        <w:widowControl/>
        <w:ind w:left="360"/>
        <w:rPr>
          <w:rFonts w:ascii="Times New Roman" w:hAnsi="Times New Roman"/>
          <w:snapToGrid/>
          <w:sz w:val="24"/>
          <w:szCs w:val="24"/>
        </w:rPr>
      </w:pPr>
    </w:p>
    <w:p w:rsidR="002C3C4F" w:rsidRPr="007669A1"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A</w:t>
      </w:r>
      <w:r w:rsidRPr="007669A1">
        <w:rPr>
          <w:rFonts w:ascii="Times New Roman" w:hAnsi="Times New Roman"/>
          <w:b/>
          <w:snapToGrid/>
          <w:sz w:val="24"/>
          <w:szCs w:val="24"/>
        </w:rPr>
        <w:t xml:space="preserve">nnualized Cost to the Federal Government </w:t>
      </w:r>
    </w:p>
    <w:p w:rsidR="001C4D49" w:rsidRPr="007669A1" w:rsidP="001C4D49" w14:paraId="7DB42E26" w14:textId="28C16943">
      <w:pPr>
        <w:widowControl/>
        <w:ind w:left="360"/>
        <w:rPr>
          <w:rFonts w:ascii="Times New Roman" w:hAnsi="Times New Roman"/>
          <w:sz w:val="24"/>
          <w:szCs w:val="24"/>
        </w:rPr>
      </w:pPr>
      <w:r w:rsidRPr="004C725E">
        <w:rPr>
          <w:rFonts w:ascii="Times New Roman" w:hAnsi="Times New Roman"/>
          <w:sz w:val="24"/>
          <w:szCs w:val="24"/>
        </w:rPr>
        <w:t xml:space="preserve">Costs to the federal government </w:t>
      </w:r>
      <w:r w:rsidRPr="004C725E">
        <w:rPr>
          <w:rFonts w:ascii="Times New Roman" w:hAnsi="Times New Roman"/>
          <w:sz w:val="24"/>
          <w:szCs w:val="24"/>
        </w:rPr>
        <w:t xml:space="preserve">includes </w:t>
      </w:r>
      <w:r w:rsidRPr="007669A1">
        <w:rPr>
          <w:rFonts w:ascii="Times New Roman" w:hAnsi="Times New Roman"/>
          <w:sz w:val="24"/>
          <w:szCs w:val="24"/>
        </w:rPr>
        <w:t>federal staff time for project oversight and development.</w:t>
      </w:r>
      <w:r w:rsidRPr="007669A1">
        <w:rPr>
          <w:rFonts w:ascii="Times New Roman" w:hAnsi="Times New Roman"/>
          <w:sz w:val="24"/>
          <w:szCs w:val="24"/>
        </w:rPr>
        <w:t xml:space="preserve"> Government costs include personnel costs for federal staff involved in project and contract oversight, instrument design, and analysis which includes approximately 10% of a GS-13 Program Specialist.</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0"/>
        <w:gridCol w:w="4590"/>
        <w:gridCol w:w="900"/>
      </w:tblGrid>
      <w:tr w14:paraId="7F60F768" w14:textId="77777777" w:rsidTr="004C725E">
        <w:tblPrEx>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330" w:type="dxa"/>
            <w:shd w:val="clear" w:color="auto" w:fill="D0CECE" w:themeFill="background2" w:themeFillShade="E6"/>
            <w:vAlign w:val="center"/>
          </w:tcPr>
          <w:p w:rsidR="0094640D" w:rsidRPr="004C725E" w:rsidP="004C725E" w14:paraId="0FA7E750" w14:textId="77777777">
            <w:pPr>
              <w:pStyle w:val="BodyTextIndent"/>
              <w:spacing w:before="120"/>
              <w:ind w:left="0"/>
              <w:jc w:val="center"/>
              <w:rPr>
                <w:rFonts w:ascii="Times New Roman" w:hAnsi="Times New Roman"/>
                <w:b/>
                <w:bCs/>
                <w:sz w:val="20"/>
                <w:szCs w:val="20"/>
              </w:rPr>
            </w:pPr>
            <w:r w:rsidRPr="004C725E">
              <w:rPr>
                <w:rFonts w:ascii="Times New Roman" w:hAnsi="Times New Roman"/>
                <w:b/>
                <w:bCs/>
                <w:sz w:val="20"/>
                <w:szCs w:val="20"/>
              </w:rPr>
              <w:t>Type of Cost</w:t>
            </w:r>
          </w:p>
        </w:tc>
        <w:tc>
          <w:tcPr>
            <w:tcW w:w="4590" w:type="dxa"/>
            <w:shd w:val="clear" w:color="auto" w:fill="D0CECE" w:themeFill="background2" w:themeFillShade="E6"/>
            <w:vAlign w:val="center"/>
          </w:tcPr>
          <w:p w:rsidR="0094640D" w:rsidRPr="004C725E" w:rsidP="004C725E" w14:paraId="376196D2" w14:textId="77777777">
            <w:pPr>
              <w:pStyle w:val="BodyTextIndent"/>
              <w:spacing w:before="120"/>
              <w:ind w:left="0"/>
              <w:jc w:val="center"/>
              <w:rPr>
                <w:rFonts w:ascii="Times New Roman" w:hAnsi="Times New Roman"/>
                <w:b/>
                <w:bCs/>
                <w:sz w:val="20"/>
                <w:szCs w:val="20"/>
              </w:rPr>
            </w:pPr>
            <w:r w:rsidRPr="004C725E">
              <w:rPr>
                <w:rFonts w:ascii="Times New Roman" w:hAnsi="Times New Roman"/>
                <w:b/>
                <w:bCs/>
                <w:sz w:val="20"/>
                <w:szCs w:val="20"/>
              </w:rPr>
              <w:t>Description of Services</w:t>
            </w:r>
          </w:p>
        </w:tc>
        <w:tc>
          <w:tcPr>
            <w:tcW w:w="900" w:type="dxa"/>
            <w:shd w:val="clear" w:color="auto" w:fill="D0CECE" w:themeFill="background2" w:themeFillShade="E6"/>
            <w:vAlign w:val="center"/>
          </w:tcPr>
          <w:p w:rsidR="0094640D" w:rsidRPr="004C725E" w:rsidP="004C725E" w14:paraId="35E3CDF5" w14:textId="77777777">
            <w:pPr>
              <w:pStyle w:val="BodyTextIndent"/>
              <w:spacing w:before="120"/>
              <w:ind w:left="0"/>
              <w:jc w:val="center"/>
              <w:rPr>
                <w:rFonts w:ascii="Times New Roman" w:hAnsi="Times New Roman"/>
                <w:b/>
                <w:bCs/>
                <w:sz w:val="20"/>
                <w:szCs w:val="20"/>
              </w:rPr>
            </w:pPr>
            <w:r w:rsidRPr="004C725E">
              <w:rPr>
                <w:rFonts w:ascii="Times New Roman" w:hAnsi="Times New Roman"/>
                <w:b/>
                <w:bCs/>
                <w:sz w:val="20"/>
                <w:szCs w:val="20"/>
              </w:rPr>
              <w:t>Annual Cost</w:t>
            </w:r>
          </w:p>
        </w:tc>
      </w:tr>
      <w:tr w14:paraId="31F44B45" w14:textId="77777777" w:rsidTr="004C725E">
        <w:tblPrEx>
          <w:tblW w:w="0" w:type="auto"/>
          <w:tblInd w:w="445" w:type="dxa"/>
          <w:tblLook w:val="04A0"/>
        </w:tblPrEx>
        <w:tc>
          <w:tcPr>
            <w:tcW w:w="3330" w:type="dxa"/>
            <w:shd w:val="clear" w:color="auto" w:fill="auto"/>
          </w:tcPr>
          <w:p w:rsidR="0094640D" w:rsidRPr="003B4BDF" w:rsidP="005E5DA4" w14:paraId="460054F4" w14:textId="77777777">
            <w:pPr>
              <w:pStyle w:val="BodyTextIndent"/>
              <w:spacing w:before="120"/>
              <w:ind w:left="0"/>
              <w:rPr>
                <w:rFonts w:ascii="Times New Roman" w:hAnsi="Times New Roman"/>
                <w:sz w:val="20"/>
                <w:szCs w:val="20"/>
              </w:rPr>
            </w:pPr>
            <w:r w:rsidRPr="003B4BDF">
              <w:rPr>
                <w:rFonts w:ascii="Times New Roman" w:hAnsi="Times New Roman"/>
                <w:sz w:val="20"/>
                <w:szCs w:val="20"/>
              </w:rPr>
              <w:t>Government Program Analyst (10%)</w:t>
            </w:r>
          </w:p>
        </w:tc>
        <w:tc>
          <w:tcPr>
            <w:tcW w:w="4590" w:type="dxa"/>
            <w:shd w:val="clear" w:color="auto" w:fill="auto"/>
          </w:tcPr>
          <w:p w:rsidR="0094640D" w:rsidRPr="003B4BDF" w:rsidP="005E5DA4" w14:paraId="15C7FE5E" w14:textId="77777777">
            <w:pPr>
              <w:pStyle w:val="BodyTextIndent"/>
              <w:spacing w:before="120"/>
              <w:ind w:left="0"/>
              <w:rPr>
                <w:rFonts w:ascii="Times New Roman" w:hAnsi="Times New Roman"/>
                <w:sz w:val="20"/>
                <w:szCs w:val="20"/>
              </w:rPr>
            </w:pPr>
            <w:r w:rsidRPr="003B4BDF">
              <w:rPr>
                <w:rFonts w:ascii="Times New Roman" w:hAnsi="Times New Roman"/>
                <w:sz w:val="20"/>
                <w:szCs w:val="20"/>
              </w:rPr>
              <w:t>Project management and oversight, and consultation.</w:t>
            </w:r>
          </w:p>
        </w:tc>
        <w:tc>
          <w:tcPr>
            <w:tcW w:w="900" w:type="dxa"/>
            <w:shd w:val="clear" w:color="auto" w:fill="auto"/>
            <w:vAlign w:val="center"/>
          </w:tcPr>
          <w:p w:rsidR="0094640D" w:rsidRPr="003B4BDF" w:rsidP="007669A1" w14:paraId="34761AF0" w14:textId="77777777">
            <w:pPr>
              <w:pStyle w:val="BodyTextIndent"/>
              <w:spacing w:before="120"/>
              <w:ind w:left="0"/>
              <w:jc w:val="center"/>
              <w:rPr>
                <w:rFonts w:ascii="Times New Roman" w:hAnsi="Times New Roman"/>
                <w:sz w:val="20"/>
                <w:szCs w:val="20"/>
              </w:rPr>
            </w:pPr>
            <w:r w:rsidRPr="003B4BDF">
              <w:rPr>
                <w:rFonts w:ascii="Times New Roman" w:hAnsi="Times New Roman"/>
                <w:sz w:val="20"/>
                <w:szCs w:val="20"/>
              </w:rPr>
              <w:t>$14,295</w:t>
            </w:r>
          </w:p>
        </w:tc>
      </w:tr>
    </w:tbl>
    <w:p w:rsidR="007C3A7E" w:rsidP="004F67F8" w14:paraId="2FA1A5DC" w14:textId="77777777">
      <w:pPr>
        <w:widowControl/>
        <w:rPr>
          <w:rFonts w:ascii="Times New Roman" w:hAnsi="Times New Roman"/>
          <w:b/>
          <w:snapToGrid/>
          <w:sz w:val="24"/>
          <w:szCs w:val="24"/>
        </w:rPr>
      </w:pPr>
    </w:p>
    <w:p w:rsidR="002C3C4F" w:rsidRPr="007669A1" w:rsidP="00817E2B" w14:paraId="34A74A36" w14:textId="79FE6625">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 xml:space="preserve">Explanation for Program Changes or Adjustments </w:t>
      </w:r>
    </w:p>
    <w:p w:rsidR="0019582E" w:rsidRPr="007669A1" w:rsidP="004F7B95" w14:paraId="30A75947" w14:textId="77777777">
      <w:pPr>
        <w:widowControl/>
        <w:ind w:left="360"/>
        <w:rPr>
          <w:rFonts w:ascii="Times New Roman" w:hAnsi="Times New Roman"/>
          <w:snapToGrid/>
          <w:sz w:val="24"/>
          <w:szCs w:val="24"/>
        </w:rPr>
      </w:pPr>
      <w:r w:rsidRPr="007669A1">
        <w:rPr>
          <w:rFonts w:ascii="Times New Roman" w:hAnsi="Times New Roman"/>
          <w:snapToGrid/>
          <w:sz w:val="24"/>
          <w:szCs w:val="24"/>
        </w:rPr>
        <w:t xml:space="preserve">Section 511(h)(6)(A)(iii) of Title V of the Social Security Act requires the Secretary of Health and Human Services to reduce the burden on states and public and private implementing agencies at the local level of administrating MIECHV.  This includes reviewing paperwork and data collection requirements for tribal grant recipients and exploring, in consultation with tribes and tribal organizations, ways to reduce administrative burden, respect tribal sovereignty, and acknowledge the different focus points for tribal recipients.  </w:t>
      </w:r>
      <w:r w:rsidRPr="007669A1" w:rsidR="001577DA">
        <w:rPr>
          <w:rFonts w:ascii="Times New Roman" w:hAnsi="Times New Roman"/>
          <w:snapToGrid/>
          <w:sz w:val="24"/>
          <w:szCs w:val="24"/>
        </w:rPr>
        <w:t>ACF acknowledges that the prior burden estimate under estimated the level of effort for grant recipients and therefore made a concerted effort to reduce the burden by doing a thorough review of the guidance and engaging grant recipients. As a result, substantial edits were made to the annual report</w:t>
      </w:r>
      <w:r w:rsidRPr="007669A1">
        <w:rPr>
          <w:rFonts w:ascii="Times New Roman" w:hAnsi="Times New Roman"/>
          <w:snapToGrid/>
          <w:sz w:val="24"/>
          <w:szCs w:val="24"/>
        </w:rPr>
        <w:t xml:space="preserve"> which have resulted in a version that is in line with the average estimated time to complete of 25 hours</w:t>
      </w:r>
      <w:r w:rsidRPr="007669A1" w:rsidR="001577DA">
        <w:rPr>
          <w:rFonts w:ascii="Times New Roman" w:hAnsi="Times New Roman"/>
          <w:snapToGrid/>
          <w:sz w:val="24"/>
          <w:szCs w:val="24"/>
        </w:rPr>
        <w:t xml:space="preserve">. </w:t>
      </w:r>
    </w:p>
    <w:p w:rsidR="00F4555A" w:rsidRPr="007669A1" w:rsidP="004F7B95" w14:paraId="6EC1FB4E" w14:textId="77777777">
      <w:pPr>
        <w:widowControl/>
        <w:ind w:left="360"/>
        <w:rPr>
          <w:rFonts w:ascii="Times New Roman" w:hAnsi="Times New Roman"/>
          <w:snapToGrid/>
          <w:sz w:val="24"/>
          <w:szCs w:val="24"/>
        </w:rPr>
      </w:pPr>
    </w:p>
    <w:p w:rsidR="38038FE3" w:rsidRPr="004C725E" w:rsidP="004C725E" w14:paraId="5B1A5D00" w14:textId="76E80905">
      <w:pPr>
        <w:widowControl/>
        <w:ind w:left="360"/>
        <w:rPr>
          <w:rFonts w:ascii="Times New Roman" w:hAnsi="Times New Roman"/>
          <w:snapToGrid/>
          <w:sz w:val="24"/>
          <w:szCs w:val="24"/>
        </w:rPr>
      </w:pPr>
      <w:r w:rsidRPr="007669A1">
        <w:rPr>
          <w:rFonts w:ascii="Times New Roman" w:hAnsi="Times New Roman"/>
          <w:snapToGrid/>
          <w:sz w:val="24"/>
          <w:szCs w:val="24"/>
        </w:rPr>
        <w:t xml:space="preserve">The Tribal MIECHV Program is being expanded. For the fiscal years 2023-2027, Congress has increased the Tribal MIECHV set aside from 3 percent to 6 percent as part of the Consolidated Appropriations Act, 2023 (Public Law 117-328). Section 511 of Title V of the Social Security Act gives the Secretary of Health and Human Services (HHS) the authority to provide grants to Indian tribes, tribal organizations, or urban Indian organizations for conducting early childhood home visiting programs. With these new awards, the number of tribal entities implementing home-visiting services </w:t>
      </w:r>
      <w:r w:rsidRPr="007669A1" w:rsidR="00B66E01">
        <w:rPr>
          <w:rFonts w:ascii="Times New Roman" w:hAnsi="Times New Roman"/>
          <w:snapToGrid/>
          <w:sz w:val="24"/>
          <w:szCs w:val="24"/>
        </w:rPr>
        <w:t xml:space="preserve">is estimated to </w:t>
      </w:r>
      <w:r w:rsidRPr="007669A1">
        <w:rPr>
          <w:rFonts w:ascii="Times New Roman" w:hAnsi="Times New Roman"/>
          <w:snapToGrid/>
          <w:sz w:val="24"/>
          <w:szCs w:val="24"/>
        </w:rPr>
        <w:t>increase from 41 to 53 by FY 2027.</w:t>
      </w:r>
    </w:p>
    <w:p w:rsidR="007669A1" w:rsidRPr="007669A1" w:rsidP="0038635D" w14:paraId="00088471" w14:textId="77777777">
      <w:pPr>
        <w:widowControl/>
        <w:rPr>
          <w:rFonts w:ascii="Times New Roman" w:hAnsi="Times New Roman"/>
          <w:sz w:val="24"/>
          <w:szCs w:val="24"/>
        </w:rPr>
      </w:pPr>
    </w:p>
    <w:p w:rsidR="002C3C4F" w:rsidRPr="007669A1"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 xml:space="preserve">Plans for Tabulation and Publication and Project Time Schedule </w:t>
      </w:r>
    </w:p>
    <w:p w:rsidR="00D60543" w:rsidRPr="007669A1" w:rsidP="004F67F8" w14:paraId="20669B59" w14:textId="23945354">
      <w:pPr>
        <w:widowControl/>
        <w:spacing w:after="120"/>
        <w:ind w:left="360"/>
        <w:rPr>
          <w:rFonts w:ascii="Times New Roman" w:hAnsi="Times New Roman"/>
          <w:snapToGrid/>
          <w:sz w:val="24"/>
          <w:szCs w:val="24"/>
        </w:rPr>
      </w:pPr>
      <w:r w:rsidRPr="007669A1">
        <w:rPr>
          <w:rFonts w:ascii="Times New Roman" w:hAnsi="Times New Roman"/>
          <w:snapToGrid/>
          <w:sz w:val="24"/>
          <w:szCs w:val="24"/>
        </w:rPr>
        <w:t xml:space="preserve">Tribal Home Visiting </w:t>
      </w:r>
      <w:r w:rsidRPr="007669A1" w:rsidR="00B76FA3">
        <w:rPr>
          <w:rFonts w:ascii="Times New Roman" w:hAnsi="Times New Roman"/>
          <w:snapToGrid/>
          <w:sz w:val="24"/>
          <w:szCs w:val="24"/>
        </w:rPr>
        <w:t>grant recipient</w:t>
      </w:r>
      <w:r w:rsidRPr="007669A1">
        <w:rPr>
          <w:rFonts w:ascii="Times New Roman" w:hAnsi="Times New Roman"/>
          <w:snapToGrid/>
          <w:sz w:val="24"/>
          <w:szCs w:val="24"/>
        </w:rPr>
        <w:t xml:space="preserve">s were notified that after the first year of their grant, they must comply with the requirement for submission of an Annual Report to the Secretary regarding the program and activities carried out under the program. This report shall be submitted to HHS by Tribal </w:t>
      </w:r>
      <w:r w:rsidRPr="007669A1" w:rsidR="00B76FA3">
        <w:rPr>
          <w:rFonts w:ascii="Times New Roman" w:hAnsi="Times New Roman"/>
          <w:snapToGrid/>
          <w:sz w:val="24"/>
          <w:szCs w:val="24"/>
        </w:rPr>
        <w:t>grant recipient</w:t>
      </w:r>
      <w:r w:rsidRPr="007669A1">
        <w:rPr>
          <w:rFonts w:ascii="Times New Roman" w:hAnsi="Times New Roman"/>
          <w:snapToGrid/>
          <w:sz w:val="24"/>
          <w:szCs w:val="24"/>
        </w:rPr>
        <w:t>s as instructed by ACF at the end of each operating year of the grant (“annual report”)</w:t>
      </w:r>
      <w:r w:rsidRPr="007669A1" w:rsidR="00EB282F">
        <w:rPr>
          <w:rFonts w:ascii="Times New Roman" w:hAnsi="Times New Roman"/>
          <w:snapToGrid/>
          <w:sz w:val="24"/>
          <w:szCs w:val="24"/>
        </w:rPr>
        <w:t>.</w:t>
      </w:r>
      <w:r w:rsidRPr="007669A1">
        <w:rPr>
          <w:rFonts w:ascii="Times New Roman" w:hAnsi="Times New Roman"/>
          <w:snapToGrid/>
          <w:sz w:val="24"/>
          <w:szCs w:val="24"/>
        </w:rPr>
        <w:t xml:space="preserve"> </w:t>
      </w:r>
      <w:r w:rsidRPr="007669A1" w:rsidR="00B76FA3">
        <w:rPr>
          <w:rFonts w:ascii="Times New Roman" w:hAnsi="Times New Roman"/>
          <w:snapToGrid/>
          <w:sz w:val="24"/>
          <w:szCs w:val="24"/>
        </w:rPr>
        <w:t>Grant recipient</w:t>
      </w:r>
      <w:r w:rsidRPr="007669A1">
        <w:rPr>
          <w:rFonts w:ascii="Times New Roman" w:hAnsi="Times New Roman"/>
          <w:snapToGrid/>
          <w:sz w:val="24"/>
          <w:szCs w:val="24"/>
        </w:rPr>
        <w:t>s will continue to submit their reports annually. ACF has no plans to publish the report to the Secretary. However, some aggregate information may be published.</w:t>
      </w:r>
    </w:p>
    <w:p w:rsidR="00D13EDD" w:rsidP="00D13EDD" w14:paraId="7E385C82" w14:textId="77777777">
      <w:pPr>
        <w:ind w:left="360"/>
        <w:rPr>
          <w:rFonts w:ascii="Times New Roman" w:hAnsi="Times New Roman"/>
          <w:sz w:val="24"/>
          <w:szCs w:val="24"/>
        </w:rPr>
      </w:pPr>
      <w:r w:rsidRPr="007669A1">
        <w:rPr>
          <w:rFonts w:ascii="Times New Roman" w:hAnsi="Times New Roman"/>
          <w:sz w:val="24"/>
          <w:szCs w:val="24"/>
        </w:rPr>
        <w:t>Project Timeline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3325"/>
      </w:tblGrid>
      <w:tr w14:paraId="3EDF9582" w14:textId="77777777" w:rsidTr="004C725E">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665" w:type="dxa"/>
            <w:shd w:val="clear" w:color="auto" w:fill="D0CECE" w:themeFill="background2" w:themeFillShade="E6"/>
          </w:tcPr>
          <w:p w:rsidR="00D13EDD" w:rsidRPr="004C725E" w:rsidP="005E5DA4" w14:paraId="20A06C92" w14:textId="77777777">
            <w:pPr>
              <w:spacing w:before="120"/>
              <w:rPr>
                <w:rFonts w:ascii="Times New Roman" w:hAnsi="Times New Roman"/>
                <w:b/>
              </w:rPr>
            </w:pPr>
            <w:r w:rsidRPr="004C725E">
              <w:rPr>
                <w:rFonts w:ascii="Times New Roman" w:hAnsi="Times New Roman"/>
                <w:b/>
              </w:rPr>
              <w:t>Activity</w:t>
            </w:r>
          </w:p>
        </w:tc>
        <w:tc>
          <w:tcPr>
            <w:tcW w:w="3325" w:type="dxa"/>
            <w:shd w:val="clear" w:color="auto" w:fill="D0CECE" w:themeFill="background2" w:themeFillShade="E6"/>
          </w:tcPr>
          <w:p w:rsidR="00D13EDD" w:rsidRPr="004C725E" w:rsidP="005E5DA4" w14:paraId="4571EEB6" w14:textId="77777777">
            <w:pPr>
              <w:spacing w:before="120"/>
              <w:rPr>
                <w:rFonts w:ascii="Times New Roman" w:hAnsi="Times New Roman"/>
                <w:b/>
              </w:rPr>
            </w:pPr>
            <w:r w:rsidRPr="004C725E">
              <w:rPr>
                <w:rFonts w:ascii="Times New Roman" w:hAnsi="Times New Roman"/>
                <w:b/>
              </w:rPr>
              <w:t>Time Schedule</w:t>
            </w:r>
          </w:p>
        </w:tc>
      </w:tr>
      <w:tr w14:paraId="3ED7B02B" w14:textId="77777777" w:rsidTr="004C725E">
        <w:tblPrEx>
          <w:tblW w:w="0" w:type="auto"/>
          <w:tblInd w:w="360" w:type="dxa"/>
          <w:tblLook w:val="04A0"/>
        </w:tblPrEx>
        <w:tc>
          <w:tcPr>
            <w:tcW w:w="5665" w:type="dxa"/>
            <w:shd w:val="clear" w:color="auto" w:fill="auto"/>
          </w:tcPr>
          <w:p w:rsidR="00D13EDD" w:rsidRPr="004C725E" w:rsidP="005E5DA4" w14:paraId="22776A74" w14:textId="76739F30">
            <w:pPr>
              <w:spacing w:before="120"/>
              <w:rPr>
                <w:rFonts w:ascii="Times New Roman" w:hAnsi="Times New Roman"/>
              </w:rPr>
            </w:pPr>
            <w:r w:rsidRPr="004C725E">
              <w:rPr>
                <w:rFonts w:ascii="Times New Roman" w:hAnsi="Times New Roman"/>
              </w:rPr>
              <w:t xml:space="preserve">Continue to distribute guidance to Tribal MIECHV </w:t>
            </w:r>
            <w:r w:rsidRPr="004C725E" w:rsidR="00B76FA3">
              <w:rPr>
                <w:rFonts w:ascii="Times New Roman" w:hAnsi="Times New Roman"/>
              </w:rPr>
              <w:t>grant recipient</w:t>
            </w:r>
            <w:r w:rsidRPr="004C725E">
              <w:rPr>
                <w:rFonts w:ascii="Times New Roman" w:hAnsi="Times New Roman"/>
              </w:rPr>
              <w:t>s</w:t>
            </w:r>
          </w:p>
        </w:tc>
        <w:tc>
          <w:tcPr>
            <w:tcW w:w="3325" w:type="dxa"/>
            <w:shd w:val="clear" w:color="auto" w:fill="auto"/>
          </w:tcPr>
          <w:p w:rsidR="00D13EDD" w:rsidRPr="004C725E" w:rsidP="005E5DA4" w14:paraId="5A3BAFE4" w14:textId="77777777">
            <w:pPr>
              <w:spacing w:before="120"/>
              <w:rPr>
                <w:rFonts w:ascii="Times New Roman" w:hAnsi="Times New Roman"/>
              </w:rPr>
            </w:pPr>
            <w:r w:rsidRPr="004C725E">
              <w:rPr>
                <w:rFonts w:ascii="Times New Roman" w:hAnsi="Times New Roman"/>
              </w:rPr>
              <w:t>Ongoing</w:t>
            </w:r>
          </w:p>
        </w:tc>
      </w:tr>
      <w:tr w14:paraId="3B4C3C3F" w14:textId="77777777" w:rsidTr="004C725E">
        <w:tblPrEx>
          <w:tblW w:w="0" w:type="auto"/>
          <w:tblInd w:w="360" w:type="dxa"/>
          <w:tblLook w:val="04A0"/>
        </w:tblPrEx>
        <w:tc>
          <w:tcPr>
            <w:tcW w:w="5665" w:type="dxa"/>
            <w:shd w:val="clear" w:color="auto" w:fill="auto"/>
          </w:tcPr>
          <w:p w:rsidR="00D13EDD" w:rsidRPr="004C725E" w:rsidP="005E5DA4" w14:paraId="738E4280" w14:textId="11EF11B9">
            <w:pPr>
              <w:spacing w:before="120"/>
              <w:rPr>
                <w:rFonts w:ascii="Times New Roman" w:hAnsi="Times New Roman"/>
              </w:rPr>
            </w:pPr>
            <w:r w:rsidRPr="004C725E">
              <w:rPr>
                <w:rFonts w:ascii="Times New Roman" w:hAnsi="Times New Roman"/>
              </w:rPr>
              <w:t xml:space="preserve">Tribal MIECHV Annual </w:t>
            </w:r>
            <w:r w:rsidRPr="004C725E" w:rsidR="00F8565A">
              <w:rPr>
                <w:rFonts w:ascii="Times New Roman" w:hAnsi="Times New Roman"/>
              </w:rPr>
              <w:t xml:space="preserve">Report </w:t>
            </w:r>
          </w:p>
        </w:tc>
        <w:tc>
          <w:tcPr>
            <w:tcW w:w="3325" w:type="dxa"/>
            <w:shd w:val="clear" w:color="auto" w:fill="auto"/>
          </w:tcPr>
          <w:p w:rsidR="00D13EDD" w:rsidRPr="004C725E" w:rsidP="005E5DA4" w14:paraId="339A2362" w14:textId="36940376">
            <w:pPr>
              <w:spacing w:before="120"/>
              <w:rPr>
                <w:rFonts w:ascii="Times New Roman" w:hAnsi="Times New Roman"/>
              </w:rPr>
            </w:pPr>
            <w:r w:rsidRPr="004C725E">
              <w:rPr>
                <w:rFonts w:ascii="Times New Roman" w:hAnsi="Times New Roman"/>
              </w:rPr>
              <w:t>Due by 12/31/2</w:t>
            </w:r>
            <w:r w:rsidRPr="004C725E" w:rsidR="00102F61">
              <w:rPr>
                <w:rFonts w:ascii="Times New Roman" w:hAnsi="Times New Roman"/>
              </w:rPr>
              <w:t>5</w:t>
            </w:r>
          </w:p>
        </w:tc>
      </w:tr>
      <w:tr w14:paraId="5A2E68B8" w14:textId="77777777" w:rsidTr="005E5DA4">
        <w:tblPrEx>
          <w:tblW w:w="0" w:type="auto"/>
          <w:tblInd w:w="360" w:type="dxa"/>
          <w:tblLook w:val="04A0"/>
        </w:tblPrEx>
        <w:tc>
          <w:tcPr>
            <w:tcW w:w="8990" w:type="dxa"/>
            <w:gridSpan w:val="2"/>
            <w:shd w:val="clear" w:color="auto" w:fill="auto"/>
          </w:tcPr>
          <w:p w:rsidR="00D13EDD" w:rsidRPr="004C725E" w:rsidP="005E5DA4" w14:paraId="76B007F6" w14:textId="0C4D7BB6">
            <w:pPr>
              <w:spacing w:before="120"/>
              <w:rPr>
                <w:rFonts w:ascii="Times New Roman" w:hAnsi="Times New Roman"/>
              </w:rPr>
            </w:pPr>
            <w:r w:rsidRPr="004C725E">
              <w:rPr>
                <w:rFonts w:ascii="Times New Roman" w:hAnsi="Times New Roman"/>
              </w:rPr>
              <w:t xml:space="preserve">Tribal MIECHV </w:t>
            </w:r>
            <w:r w:rsidRPr="004C725E" w:rsidR="00B76FA3">
              <w:rPr>
                <w:rFonts w:ascii="Times New Roman" w:hAnsi="Times New Roman"/>
              </w:rPr>
              <w:t>Grant recipient</w:t>
            </w:r>
            <w:r w:rsidRPr="004C725E">
              <w:rPr>
                <w:rFonts w:ascii="Times New Roman" w:hAnsi="Times New Roman"/>
              </w:rPr>
              <w:t xml:space="preserve"> Annual Reports will continue on an annual schedule throughout the OMB approved clearance timeframe. </w:t>
            </w:r>
          </w:p>
        </w:tc>
      </w:tr>
    </w:tbl>
    <w:p w:rsidR="00D13EDD" w:rsidRPr="007669A1" w:rsidP="004C725E" w14:paraId="0A69218A" w14:textId="77777777">
      <w:pPr>
        <w:widowControl/>
        <w:rPr>
          <w:rFonts w:ascii="Times New Roman" w:hAnsi="Times New Roman"/>
          <w:snapToGrid/>
          <w:sz w:val="24"/>
          <w:szCs w:val="24"/>
        </w:rPr>
      </w:pPr>
    </w:p>
    <w:p w:rsidR="00A04EF3" w:rsidRPr="007669A1" w:rsidP="008C08C6" w14:paraId="14F40E7C" w14:textId="79446D0A">
      <w:pPr>
        <w:widowControl/>
        <w:numPr>
          <w:ilvl w:val="0"/>
          <w:numId w:val="3"/>
        </w:numPr>
        <w:tabs>
          <w:tab w:val="left" w:pos="360"/>
        </w:tabs>
        <w:spacing w:after="120"/>
        <w:ind w:left="360"/>
        <w:rPr>
          <w:rFonts w:ascii="Times New Roman" w:hAnsi="Times New Roman"/>
          <w:b/>
          <w:snapToGrid/>
          <w:sz w:val="24"/>
          <w:szCs w:val="24"/>
        </w:rPr>
      </w:pPr>
      <w:r w:rsidRPr="007669A1">
        <w:rPr>
          <w:rFonts w:ascii="Times New Roman" w:hAnsi="Times New Roman"/>
          <w:b/>
          <w:snapToGrid/>
          <w:sz w:val="24"/>
          <w:szCs w:val="24"/>
        </w:rPr>
        <w:t xml:space="preserve">Reason(s) Display of OMB Expiration Date is Inappropriate </w:t>
      </w:r>
    </w:p>
    <w:p w:rsidR="00D60543" w:rsidP="004C725E" w14:paraId="67DA4836" w14:textId="72243A5B">
      <w:pPr>
        <w:pStyle w:val="BodyTextIndent"/>
        <w:ind w:left="360"/>
        <w:rPr>
          <w:rFonts w:ascii="Times New Roman" w:hAnsi="Times New Roman"/>
        </w:rPr>
      </w:pPr>
      <w:r w:rsidRPr="007669A1">
        <w:rPr>
          <w:rFonts w:ascii="Times New Roman" w:hAnsi="Times New Roman"/>
        </w:rPr>
        <w:t>The OMB number and Expiration date will be displayed on every page of every form/instrument.</w:t>
      </w:r>
    </w:p>
    <w:p w:rsidR="004637C0" w:rsidP="004C725E" w14:paraId="0AA249F8" w14:textId="77777777">
      <w:pPr>
        <w:pStyle w:val="BodyTextIndent"/>
        <w:ind w:left="360"/>
        <w:rPr>
          <w:rFonts w:ascii="Times New Roman" w:hAnsi="Times New Roman"/>
        </w:rPr>
      </w:pPr>
    </w:p>
    <w:p w:rsidR="002C3C4F" w:rsidRPr="007669A1"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7669A1">
        <w:rPr>
          <w:rFonts w:ascii="Times New Roman" w:hAnsi="Times New Roman"/>
          <w:b/>
          <w:snapToGrid/>
          <w:sz w:val="24"/>
          <w:szCs w:val="24"/>
        </w:rPr>
        <w:t>Exceptions to Certification for Paperwork Reduction Act Submissions</w:t>
      </w:r>
    </w:p>
    <w:p w:rsidR="00597E7F" w:rsidP="004C725E" w14:paraId="67CA458C" w14:textId="437ED3D2">
      <w:pPr>
        <w:pStyle w:val="BodyTextIndent"/>
        <w:ind w:left="360"/>
      </w:pPr>
      <w:r w:rsidRPr="007669A1">
        <w:rPr>
          <w:rFonts w:ascii="Times New Roman" w:hAnsi="Times New Roman"/>
        </w:rPr>
        <w:t>There are no exceptions to the certification.</w:t>
      </w: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64574" w14:paraId="2B1E68B4" w14:textId="77777777">
      <w:pPr>
        <w:spacing w:line="20" w:lineRule="exact"/>
        <w:rPr>
          <w:sz w:val="24"/>
        </w:rPr>
      </w:pPr>
    </w:p>
  </w:endnote>
  <w:endnote w:type="continuationSeparator" w:id="1">
    <w:p w:rsidR="00864574" w14:paraId="4667850A" w14:textId="77777777">
      <w:r>
        <w:rPr>
          <w:sz w:val="24"/>
        </w:rPr>
        <w:t xml:space="preserve"> </w:t>
      </w:r>
    </w:p>
  </w:endnote>
  <w:endnote w:type="continuationNotice" w:id="2">
    <w:p w:rsidR="00864574" w14:paraId="7E77077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4574" w14:paraId="2C5F3CCD" w14:textId="77777777">
      <w:r>
        <w:rPr>
          <w:sz w:val="24"/>
        </w:rPr>
        <w:separator/>
      </w:r>
    </w:p>
  </w:footnote>
  <w:footnote w:type="continuationSeparator" w:id="1">
    <w:p w:rsidR="00864574" w14:paraId="5897582B" w14:textId="77777777">
      <w:r>
        <w:continuationSeparator/>
      </w:r>
    </w:p>
  </w:footnote>
  <w:footnote w:type="continuationNotice" w:id="2">
    <w:p w:rsidR="00864574" w14:paraId="437BBB9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A397E4"/>
    <w:multiLevelType w:val="hybridMultilevel"/>
    <w:tmpl w:val="FA52B7E0"/>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A94C4C"/>
    <w:multiLevelType w:val="hybridMultilevel"/>
    <w:tmpl w:val="B116122E"/>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66668879">
    <w:abstractNumId w:val="12"/>
  </w:num>
  <w:num w:numId="2" w16cid:durableId="1390346778">
    <w:abstractNumId w:val="13"/>
  </w:num>
  <w:num w:numId="3" w16cid:durableId="1197546875">
    <w:abstractNumId w:val="15"/>
  </w:num>
  <w:num w:numId="4" w16cid:durableId="1621759884">
    <w:abstractNumId w:val="5"/>
  </w:num>
  <w:num w:numId="5" w16cid:durableId="1843467762">
    <w:abstractNumId w:val="8"/>
  </w:num>
  <w:num w:numId="6" w16cid:durableId="1320646852">
    <w:abstractNumId w:val="11"/>
  </w:num>
  <w:num w:numId="7" w16cid:durableId="1355110655">
    <w:abstractNumId w:val="2"/>
  </w:num>
  <w:num w:numId="8" w16cid:durableId="354310369">
    <w:abstractNumId w:val="10"/>
  </w:num>
  <w:num w:numId="9" w16cid:durableId="1535583559">
    <w:abstractNumId w:val="17"/>
  </w:num>
  <w:num w:numId="10" w16cid:durableId="1112744130">
    <w:abstractNumId w:val="9"/>
  </w:num>
  <w:num w:numId="11" w16cid:durableId="1729187997">
    <w:abstractNumId w:val="7"/>
  </w:num>
  <w:num w:numId="12" w16cid:durableId="457795824">
    <w:abstractNumId w:val="0"/>
  </w:num>
  <w:num w:numId="13" w16cid:durableId="389961067">
    <w:abstractNumId w:val="19"/>
  </w:num>
  <w:num w:numId="14" w16cid:durableId="1551453946">
    <w:abstractNumId w:val="1"/>
  </w:num>
  <w:num w:numId="15" w16cid:durableId="728768263">
    <w:abstractNumId w:val="3"/>
  </w:num>
  <w:num w:numId="16" w16cid:durableId="878515356">
    <w:abstractNumId w:val="14"/>
  </w:num>
  <w:num w:numId="17" w16cid:durableId="304629181">
    <w:abstractNumId w:val="20"/>
  </w:num>
  <w:num w:numId="18" w16cid:durableId="5835198">
    <w:abstractNumId w:val="4"/>
  </w:num>
  <w:num w:numId="19" w16cid:durableId="1935698159">
    <w:abstractNumId w:val="21"/>
  </w:num>
  <w:num w:numId="20" w16cid:durableId="208340591">
    <w:abstractNumId w:val="18"/>
  </w:num>
  <w:num w:numId="21" w16cid:durableId="718433405">
    <w:abstractNumId w:val="16"/>
  </w:num>
  <w:num w:numId="22" w16cid:durableId="1146898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334"/>
    <w:rsid w:val="00022586"/>
    <w:rsid w:val="00022E6C"/>
    <w:rsid w:val="00043993"/>
    <w:rsid w:val="00050808"/>
    <w:rsid w:val="00056C4B"/>
    <w:rsid w:val="0006242A"/>
    <w:rsid w:val="00075889"/>
    <w:rsid w:val="0009007E"/>
    <w:rsid w:val="000A1432"/>
    <w:rsid w:val="000E7036"/>
    <w:rsid w:val="000F069F"/>
    <w:rsid w:val="000F47C5"/>
    <w:rsid w:val="00102200"/>
    <w:rsid w:val="00102F61"/>
    <w:rsid w:val="0011007F"/>
    <w:rsid w:val="001337B5"/>
    <w:rsid w:val="0014145B"/>
    <w:rsid w:val="00151FB1"/>
    <w:rsid w:val="001577DA"/>
    <w:rsid w:val="00160621"/>
    <w:rsid w:val="0016340F"/>
    <w:rsid w:val="00186385"/>
    <w:rsid w:val="0019582E"/>
    <w:rsid w:val="001B56D1"/>
    <w:rsid w:val="001C483C"/>
    <w:rsid w:val="001C4D49"/>
    <w:rsid w:val="001C7FFE"/>
    <w:rsid w:val="001D1651"/>
    <w:rsid w:val="001D2FBE"/>
    <w:rsid w:val="001F59DA"/>
    <w:rsid w:val="001F6A9D"/>
    <w:rsid w:val="00211ADB"/>
    <w:rsid w:val="0021204F"/>
    <w:rsid w:val="00222C7F"/>
    <w:rsid w:val="00226C42"/>
    <w:rsid w:val="00234235"/>
    <w:rsid w:val="0024063A"/>
    <w:rsid w:val="002464EB"/>
    <w:rsid w:val="002509BD"/>
    <w:rsid w:val="00290A1C"/>
    <w:rsid w:val="0029589B"/>
    <w:rsid w:val="00296738"/>
    <w:rsid w:val="002A020C"/>
    <w:rsid w:val="002C3C4F"/>
    <w:rsid w:val="002C5FB2"/>
    <w:rsid w:val="002D5FA4"/>
    <w:rsid w:val="002E10D1"/>
    <w:rsid w:val="002F5368"/>
    <w:rsid w:val="002F6622"/>
    <w:rsid w:val="0030588E"/>
    <w:rsid w:val="003173AB"/>
    <w:rsid w:val="003405A4"/>
    <w:rsid w:val="00354319"/>
    <w:rsid w:val="00365C1C"/>
    <w:rsid w:val="00374F5A"/>
    <w:rsid w:val="0038209B"/>
    <w:rsid w:val="0038635D"/>
    <w:rsid w:val="003B4BDF"/>
    <w:rsid w:val="003B7A50"/>
    <w:rsid w:val="003C1D6E"/>
    <w:rsid w:val="003E6EA3"/>
    <w:rsid w:val="00402D24"/>
    <w:rsid w:val="00405C10"/>
    <w:rsid w:val="004110F5"/>
    <w:rsid w:val="00422E1D"/>
    <w:rsid w:val="00427CB3"/>
    <w:rsid w:val="00434259"/>
    <w:rsid w:val="0043597D"/>
    <w:rsid w:val="004503A6"/>
    <w:rsid w:val="004602FE"/>
    <w:rsid w:val="004637C0"/>
    <w:rsid w:val="00467954"/>
    <w:rsid w:val="0047214B"/>
    <w:rsid w:val="004753BB"/>
    <w:rsid w:val="00476C1F"/>
    <w:rsid w:val="00480072"/>
    <w:rsid w:val="00481CE9"/>
    <w:rsid w:val="00490457"/>
    <w:rsid w:val="0049119A"/>
    <w:rsid w:val="004943E0"/>
    <w:rsid w:val="004A05D5"/>
    <w:rsid w:val="004B3D53"/>
    <w:rsid w:val="004C725E"/>
    <w:rsid w:val="004F45CE"/>
    <w:rsid w:val="004F67F8"/>
    <w:rsid w:val="004F7945"/>
    <w:rsid w:val="004F7B95"/>
    <w:rsid w:val="00501D07"/>
    <w:rsid w:val="00504526"/>
    <w:rsid w:val="00507632"/>
    <w:rsid w:val="0051278C"/>
    <w:rsid w:val="00515E39"/>
    <w:rsid w:val="00517A58"/>
    <w:rsid w:val="00522C18"/>
    <w:rsid w:val="00522EF9"/>
    <w:rsid w:val="00541897"/>
    <w:rsid w:val="00541E51"/>
    <w:rsid w:val="005520C3"/>
    <w:rsid w:val="00556056"/>
    <w:rsid w:val="00567DD3"/>
    <w:rsid w:val="00574C08"/>
    <w:rsid w:val="005824BD"/>
    <w:rsid w:val="005917D0"/>
    <w:rsid w:val="00597E7F"/>
    <w:rsid w:val="005A4C2E"/>
    <w:rsid w:val="005A6D3E"/>
    <w:rsid w:val="005B00FC"/>
    <w:rsid w:val="005B22D4"/>
    <w:rsid w:val="005C60F1"/>
    <w:rsid w:val="005D1B7E"/>
    <w:rsid w:val="005D274E"/>
    <w:rsid w:val="005D61DB"/>
    <w:rsid w:val="005E0B35"/>
    <w:rsid w:val="005E5DA4"/>
    <w:rsid w:val="005F0ED4"/>
    <w:rsid w:val="00603498"/>
    <w:rsid w:val="00614978"/>
    <w:rsid w:val="00634E1D"/>
    <w:rsid w:val="00640565"/>
    <w:rsid w:val="00651F0F"/>
    <w:rsid w:val="00666702"/>
    <w:rsid w:val="00681E38"/>
    <w:rsid w:val="00681ED0"/>
    <w:rsid w:val="006B0033"/>
    <w:rsid w:val="006B1006"/>
    <w:rsid w:val="006B178F"/>
    <w:rsid w:val="006B2726"/>
    <w:rsid w:val="006C3FE4"/>
    <w:rsid w:val="006C7F10"/>
    <w:rsid w:val="006D1643"/>
    <w:rsid w:val="006E6629"/>
    <w:rsid w:val="006F589F"/>
    <w:rsid w:val="006F68BE"/>
    <w:rsid w:val="00707AFB"/>
    <w:rsid w:val="00722EC2"/>
    <w:rsid w:val="00730C37"/>
    <w:rsid w:val="0074405B"/>
    <w:rsid w:val="007516E9"/>
    <w:rsid w:val="00755A95"/>
    <w:rsid w:val="00762C40"/>
    <w:rsid w:val="00764D95"/>
    <w:rsid w:val="00765E8E"/>
    <w:rsid w:val="007669A1"/>
    <w:rsid w:val="00786276"/>
    <w:rsid w:val="00786793"/>
    <w:rsid w:val="00790D2C"/>
    <w:rsid w:val="007935D5"/>
    <w:rsid w:val="00795A32"/>
    <w:rsid w:val="00797C26"/>
    <w:rsid w:val="007A0FBE"/>
    <w:rsid w:val="007A5173"/>
    <w:rsid w:val="007A7345"/>
    <w:rsid w:val="007C3A7E"/>
    <w:rsid w:val="007E48CC"/>
    <w:rsid w:val="0080325F"/>
    <w:rsid w:val="0080723B"/>
    <w:rsid w:val="00816216"/>
    <w:rsid w:val="00817E2B"/>
    <w:rsid w:val="0082788A"/>
    <w:rsid w:val="0083312A"/>
    <w:rsid w:val="00835E31"/>
    <w:rsid w:val="00841BDF"/>
    <w:rsid w:val="0084609A"/>
    <w:rsid w:val="00846E18"/>
    <w:rsid w:val="0085786A"/>
    <w:rsid w:val="00864574"/>
    <w:rsid w:val="00883A85"/>
    <w:rsid w:val="008900A8"/>
    <w:rsid w:val="008955AC"/>
    <w:rsid w:val="008A37DD"/>
    <w:rsid w:val="008B15EF"/>
    <w:rsid w:val="008B2496"/>
    <w:rsid w:val="008C08C6"/>
    <w:rsid w:val="008D05FC"/>
    <w:rsid w:val="008D6D58"/>
    <w:rsid w:val="008F7221"/>
    <w:rsid w:val="009113FF"/>
    <w:rsid w:val="00921D27"/>
    <w:rsid w:val="00936A53"/>
    <w:rsid w:val="0094040C"/>
    <w:rsid w:val="009451B1"/>
    <w:rsid w:val="00945B72"/>
    <w:rsid w:val="0094640D"/>
    <w:rsid w:val="00947E58"/>
    <w:rsid w:val="00951092"/>
    <w:rsid w:val="009527EE"/>
    <w:rsid w:val="00957799"/>
    <w:rsid w:val="00962045"/>
    <w:rsid w:val="00966622"/>
    <w:rsid w:val="009713EA"/>
    <w:rsid w:val="009836D5"/>
    <w:rsid w:val="009A56FE"/>
    <w:rsid w:val="009A5B15"/>
    <w:rsid w:val="009B3498"/>
    <w:rsid w:val="009B6FA7"/>
    <w:rsid w:val="009C2DE1"/>
    <w:rsid w:val="009C5213"/>
    <w:rsid w:val="009D12F6"/>
    <w:rsid w:val="009D365B"/>
    <w:rsid w:val="009D789F"/>
    <w:rsid w:val="009D7F8F"/>
    <w:rsid w:val="009E6157"/>
    <w:rsid w:val="009E7407"/>
    <w:rsid w:val="009F5543"/>
    <w:rsid w:val="009F58E1"/>
    <w:rsid w:val="00A04EF3"/>
    <w:rsid w:val="00A05B31"/>
    <w:rsid w:val="00A10F9F"/>
    <w:rsid w:val="00A160B5"/>
    <w:rsid w:val="00A2007D"/>
    <w:rsid w:val="00A26F1C"/>
    <w:rsid w:val="00A30393"/>
    <w:rsid w:val="00A546CA"/>
    <w:rsid w:val="00A61AC0"/>
    <w:rsid w:val="00A7091A"/>
    <w:rsid w:val="00A77AC0"/>
    <w:rsid w:val="00A80387"/>
    <w:rsid w:val="00A918E4"/>
    <w:rsid w:val="00AA7B9B"/>
    <w:rsid w:val="00AC3F24"/>
    <w:rsid w:val="00AD29C5"/>
    <w:rsid w:val="00AD4C3B"/>
    <w:rsid w:val="00AD5ED7"/>
    <w:rsid w:val="00AF399C"/>
    <w:rsid w:val="00AF4347"/>
    <w:rsid w:val="00AF5FE7"/>
    <w:rsid w:val="00AF6F02"/>
    <w:rsid w:val="00B121B4"/>
    <w:rsid w:val="00B14349"/>
    <w:rsid w:val="00B15CEB"/>
    <w:rsid w:val="00B27347"/>
    <w:rsid w:val="00B45047"/>
    <w:rsid w:val="00B522E4"/>
    <w:rsid w:val="00B60D8A"/>
    <w:rsid w:val="00B66E01"/>
    <w:rsid w:val="00B76FA3"/>
    <w:rsid w:val="00B84243"/>
    <w:rsid w:val="00B863EB"/>
    <w:rsid w:val="00B9593F"/>
    <w:rsid w:val="00BA1FC1"/>
    <w:rsid w:val="00BD378C"/>
    <w:rsid w:val="00BF589F"/>
    <w:rsid w:val="00C02282"/>
    <w:rsid w:val="00C12746"/>
    <w:rsid w:val="00C13BA6"/>
    <w:rsid w:val="00C16F28"/>
    <w:rsid w:val="00C22D3C"/>
    <w:rsid w:val="00C36E5B"/>
    <w:rsid w:val="00C72F85"/>
    <w:rsid w:val="00CA4B26"/>
    <w:rsid w:val="00CB1A12"/>
    <w:rsid w:val="00CC5293"/>
    <w:rsid w:val="00CE53AB"/>
    <w:rsid w:val="00CE6182"/>
    <w:rsid w:val="00D02EF1"/>
    <w:rsid w:val="00D13EDD"/>
    <w:rsid w:val="00D176EB"/>
    <w:rsid w:val="00D203FE"/>
    <w:rsid w:val="00D335E1"/>
    <w:rsid w:val="00D344B2"/>
    <w:rsid w:val="00D60543"/>
    <w:rsid w:val="00D67D80"/>
    <w:rsid w:val="00D70B92"/>
    <w:rsid w:val="00D7443D"/>
    <w:rsid w:val="00D806D3"/>
    <w:rsid w:val="00D820FE"/>
    <w:rsid w:val="00D8688D"/>
    <w:rsid w:val="00D9648C"/>
    <w:rsid w:val="00D9720E"/>
    <w:rsid w:val="00DA64FB"/>
    <w:rsid w:val="00DB2142"/>
    <w:rsid w:val="00DB2443"/>
    <w:rsid w:val="00DC1C23"/>
    <w:rsid w:val="00DC6F24"/>
    <w:rsid w:val="00DE1732"/>
    <w:rsid w:val="00DE529D"/>
    <w:rsid w:val="00DF565D"/>
    <w:rsid w:val="00E01B4E"/>
    <w:rsid w:val="00E13887"/>
    <w:rsid w:val="00E368FB"/>
    <w:rsid w:val="00E4383A"/>
    <w:rsid w:val="00E52CC5"/>
    <w:rsid w:val="00E847EE"/>
    <w:rsid w:val="00EB1661"/>
    <w:rsid w:val="00EB282F"/>
    <w:rsid w:val="00EB3A28"/>
    <w:rsid w:val="00EB7E3F"/>
    <w:rsid w:val="00EC26A5"/>
    <w:rsid w:val="00EC698B"/>
    <w:rsid w:val="00ED782E"/>
    <w:rsid w:val="00F02021"/>
    <w:rsid w:val="00F06F18"/>
    <w:rsid w:val="00F10B17"/>
    <w:rsid w:val="00F210CA"/>
    <w:rsid w:val="00F2775E"/>
    <w:rsid w:val="00F324F5"/>
    <w:rsid w:val="00F3616B"/>
    <w:rsid w:val="00F40869"/>
    <w:rsid w:val="00F44BDC"/>
    <w:rsid w:val="00F4555A"/>
    <w:rsid w:val="00F622F2"/>
    <w:rsid w:val="00F83116"/>
    <w:rsid w:val="00F8565A"/>
    <w:rsid w:val="00F863EB"/>
    <w:rsid w:val="00FA5092"/>
    <w:rsid w:val="00FA53B0"/>
    <w:rsid w:val="00FB10DC"/>
    <w:rsid w:val="00FB4221"/>
    <w:rsid w:val="00FB7547"/>
    <w:rsid w:val="00FE0128"/>
    <w:rsid w:val="00FE0FDC"/>
    <w:rsid w:val="00FF7CE7"/>
    <w:rsid w:val="049BC524"/>
    <w:rsid w:val="0EF57BEA"/>
    <w:rsid w:val="38038FE3"/>
    <w:rsid w:val="3C16D1C5"/>
    <w:rsid w:val="43DCFA87"/>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lockText">
    <w:name w:val="Block Text"/>
    <w:basedOn w:val="Normal"/>
    <w:rsid w:val="007A7345"/>
    <w:pPr>
      <w:widowControl/>
      <w:ind w:left="1890" w:right="720"/>
    </w:pPr>
    <w:rPr>
      <w:rFonts w:ascii="Arial" w:hAnsi="Arial" w:cs="Arial"/>
      <w:snapToGrid/>
      <w:sz w:val="24"/>
    </w:rPr>
  </w:style>
  <w:style w:type="paragraph" w:styleId="BodyTextIndent">
    <w:name w:val="Body Text Indent"/>
    <w:basedOn w:val="Normal"/>
    <w:link w:val="BodyTextIndentChar"/>
    <w:uiPriority w:val="99"/>
    <w:rsid w:val="0094640D"/>
    <w:pPr>
      <w:autoSpaceDE w:val="0"/>
      <w:autoSpaceDN w:val="0"/>
      <w:adjustRightInd w:val="0"/>
      <w:ind w:left="720"/>
    </w:pPr>
    <w:rPr>
      <w:rFonts w:ascii="Baskerville Old Face" w:hAnsi="Baskerville Old Face"/>
      <w:snapToGrid/>
      <w:sz w:val="24"/>
      <w:szCs w:val="24"/>
    </w:rPr>
  </w:style>
  <w:style w:type="character" w:customStyle="1" w:styleId="BodyTextIndentChar">
    <w:name w:val="Body Text Indent Char"/>
    <w:basedOn w:val="DefaultParagraphFont"/>
    <w:link w:val="BodyTextIndent"/>
    <w:uiPriority w:val="99"/>
    <w:rsid w:val="0094640D"/>
    <w:rPr>
      <w:rFonts w:ascii="Baskerville Old Face" w:hAnsi="Baskerville Old Face"/>
      <w:sz w:val="24"/>
      <w:szCs w:val="24"/>
    </w:rPr>
  </w:style>
  <w:style w:type="character" w:styleId="Mention">
    <w:name w:val="Mention"/>
    <w:basedOn w:val="DefaultParagraphFont"/>
    <w:uiPriority w:val="99"/>
    <w:unhideWhenUsed/>
    <w:rsid w:val="004359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adfb91-22f9-4e52-93b5-28af7d234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C21E947DD05409E86C14B597C2122" ma:contentTypeVersion="16" ma:contentTypeDescription="Create a new document." ma:contentTypeScope="" ma:versionID="20ef3ecf4d9cb7be89ecad9e9fad7d37">
  <xsd:schema xmlns:xsd="http://www.w3.org/2001/XMLSchema" xmlns:xs="http://www.w3.org/2001/XMLSchema" xmlns:p="http://schemas.microsoft.com/office/2006/metadata/properties" xmlns:ns3="97adfb91-22f9-4e52-93b5-28af7d234356" xmlns:ns4="8e34bed6-60b0-458e-af2c-0a6ff3f5c312" targetNamespace="http://schemas.microsoft.com/office/2006/metadata/properties" ma:root="true" ma:fieldsID="d663ca2c6349208861a4bac9dedba139" ns3:_="" ns4:_="">
    <xsd:import namespace="97adfb91-22f9-4e52-93b5-28af7d234356"/>
    <xsd:import namespace="8e34bed6-60b0-458e-af2c-0a6ff3f5c31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dfb91-22f9-4e52-93b5-28af7d23435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34bed6-60b0-458e-af2c-0a6ff3f5c31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97adfb91-22f9-4e52-93b5-28af7d234356"/>
  </ds:schemaRefs>
</ds:datastoreItem>
</file>

<file path=customXml/itemProps2.xml><?xml version="1.0" encoding="utf-8"?>
<ds:datastoreItem xmlns:ds="http://schemas.openxmlformats.org/officeDocument/2006/customXml" ds:itemID="{761C060A-CD78-4D24-97BC-E703BE850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dfb91-22f9-4e52-93b5-28af7d234356"/>
    <ds:schemaRef ds:uri="8e34bed6-60b0-458e-af2c-0a6ff3f5c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2122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2024-08-29T09:46:00Z</dcterms:created>
  <dcterms:modified xsi:type="dcterms:W3CDTF">2024-08-29T12:45:00Z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0x010100353C21E947DD05409E86C14B597C2122</vt:lpwstr>
  </property>
</Properties>
</file>