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128" w:rsidRPr="0045722C" w:rsidP="00287128" w14:paraId="13F6A92A" w14:textId="14C25E3D">
      <w:pPr>
        <w:pStyle w:val="NoSpacing"/>
        <w:spacing w:line="360" w:lineRule="auto"/>
        <w:jc w:val="center"/>
        <w:rPr>
          <w:b/>
        </w:rPr>
      </w:pPr>
      <w:r w:rsidRPr="54F6BF81">
        <w:rPr>
          <w:b/>
          <w:bCs/>
        </w:rPr>
        <w:t>Supporting Statement B</w:t>
      </w:r>
    </w:p>
    <w:p w:rsidR="00287128" w:rsidRPr="0045722C" w:rsidP="00287128" w14:paraId="78C45D70" w14:textId="1AE2C078">
      <w:pPr>
        <w:pStyle w:val="NoSpacing"/>
        <w:spacing w:line="360" w:lineRule="auto"/>
        <w:jc w:val="center"/>
        <w:rPr>
          <w:b/>
        </w:rPr>
      </w:pPr>
      <w:r w:rsidRPr="0045722C">
        <w:rPr>
          <w:b/>
        </w:rPr>
        <w:t xml:space="preserve">Socioeconomic Monitoring </w:t>
      </w:r>
      <w:r w:rsidR="00073CC9">
        <w:rPr>
          <w:b/>
        </w:rPr>
        <w:t xml:space="preserve">(SEM) </w:t>
      </w:r>
      <w:r w:rsidRPr="0045722C">
        <w:rPr>
          <w:b/>
        </w:rPr>
        <w:t>Study of National Park Service Visitors</w:t>
      </w:r>
    </w:p>
    <w:p w:rsidR="00287128" w:rsidRPr="0045722C" w:rsidP="00287128" w14:paraId="20417FD6" w14:textId="77777777">
      <w:pPr>
        <w:pStyle w:val="NoSpacing"/>
        <w:spacing w:line="360" w:lineRule="auto"/>
        <w:jc w:val="center"/>
        <w:rPr>
          <w:b/>
        </w:rPr>
      </w:pPr>
      <w:r w:rsidRPr="0045722C">
        <w:rPr>
          <w:b/>
        </w:rPr>
        <w:br/>
        <w:t>OMB Control Number: 1024-NEW</w:t>
      </w:r>
    </w:p>
    <w:p w:rsidR="006143F6" w:rsidRPr="00287128" w:rsidP="004826D0" w14:paraId="6296472A" w14:textId="77777777">
      <w:pPr>
        <w:autoSpaceDE w:val="0"/>
        <w:autoSpaceDN w:val="0"/>
        <w:adjustRightInd w:val="0"/>
        <w:spacing w:line="360" w:lineRule="auto"/>
        <w:rPr>
          <w:rFonts w:eastAsia="Times New Roman" w:cs="Times New Roman"/>
          <w:b/>
          <w:color w:val="C00000"/>
        </w:rPr>
      </w:pPr>
    </w:p>
    <w:p w:rsidR="00D6209E" w:rsidRPr="003D4BEA" w:rsidP="004826D0" w14:paraId="3A350EAB" w14:textId="77777777">
      <w:pPr>
        <w:autoSpaceDE w:val="0"/>
        <w:autoSpaceDN w:val="0"/>
        <w:adjustRightInd w:val="0"/>
        <w:spacing w:line="360" w:lineRule="auto"/>
        <w:rPr>
          <w:rFonts w:eastAsia="Times New Roman" w:cs="Times New Roman"/>
          <w:b/>
        </w:rPr>
      </w:pPr>
      <w:r w:rsidRPr="003D4BEA">
        <w:rPr>
          <w:rFonts w:eastAsia="Times New Roman" w:cs="Times New Roman"/>
          <w:b/>
        </w:rPr>
        <w:t>Collections of Information Employing Statistical Methods</w:t>
      </w:r>
    </w:p>
    <w:p w:rsidR="008B04B2" w:rsidRPr="003D4BEA" w:rsidP="00C7397C" w14:paraId="6E2D8329" w14:textId="630DBD12">
      <w:pPr>
        <w:autoSpaceDE w:val="0"/>
        <w:autoSpaceDN w:val="0"/>
        <w:adjustRightInd w:val="0"/>
        <w:spacing w:line="240" w:lineRule="auto"/>
        <w:rPr>
          <w:rFonts w:eastAsia="Times New Roman" w:cs="Times New Roman"/>
          <w:b/>
          <w:i/>
        </w:rPr>
      </w:pPr>
      <w:r w:rsidRPr="003D4BEA">
        <w:rPr>
          <w:rFonts w:eastAsia="Times New Roman" w:cs="Times New Roman"/>
          <w:b/>
          <w:i/>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3D4BEA">
        <w:rPr>
          <w:rFonts w:eastAsia="Times New Roman" w:cs="Times New Roman"/>
          <w:b/>
          <w:i/>
          <w:u w:val="single"/>
        </w:rPr>
        <w:t>collection as a whole</w:t>
      </w:r>
      <w:r w:rsidRPr="003D4BEA">
        <w:rPr>
          <w:rFonts w:eastAsia="Times New Roman" w:cs="Times New Roman"/>
          <w:b/>
          <w:i/>
        </w:rPr>
        <w:t>. If the collection had been conducted previously, include the actual response rate achieved during the last collection.</w:t>
      </w:r>
    </w:p>
    <w:p w:rsidR="00AA1638" w:rsidRPr="00EB0A47" w:rsidP="004826D0" w14:paraId="5C8FBDC9" w14:textId="6C70584E">
      <w:pPr>
        <w:spacing w:line="360" w:lineRule="auto"/>
        <w:rPr>
          <w:rFonts w:eastAsia="Times New Roman" w:cs="Times New Roman"/>
        </w:rPr>
      </w:pPr>
      <w:r>
        <w:rPr>
          <w:rFonts w:eastAsia="Times New Roman" w:cs="Times New Roman"/>
        </w:rPr>
        <w:t>Each year</w:t>
      </w:r>
      <w:r w:rsidR="00F474C1">
        <w:rPr>
          <w:rFonts w:eastAsia="Times New Roman" w:cs="Times New Roman"/>
        </w:rPr>
        <w:t>,</w:t>
      </w:r>
      <w:r>
        <w:rPr>
          <w:rFonts w:eastAsia="Times New Roman" w:cs="Times New Roman"/>
        </w:rPr>
        <w:t xml:space="preserve"> the socioeconomic monitoring program will </w:t>
      </w:r>
      <w:r w:rsidR="00F474C1">
        <w:rPr>
          <w:rFonts w:eastAsia="Times New Roman" w:cs="Times New Roman"/>
        </w:rPr>
        <w:t xml:space="preserve">survey visitors at </w:t>
      </w:r>
      <w:r w:rsidRPr="00F750C6" w:rsidR="00F474C1">
        <w:rPr>
          <w:rFonts w:eastAsia="Times New Roman" w:cs="Times New Roman"/>
        </w:rPr>
        <w:t>30 National Park Service (NPS) sites</w:t>
      </w:r>
      <w:r w:rsidR="00F474C1">
        <w:rPr>
          <w:rFonts w:eastAsia="Times New Roman" w:cs="Times New Roman"/>
        </w:rPr>
        <w:t xml:space="preserve">; visitors to these sites </w:t>
      </w:r>
      <w:r w:rsidRPr="00EB0A47" w:rsidR="00D6209E">
        <w:rPr>
          <w:rFonts w:eastAsia="Times New Roman" w:cs="Times New Roman"/>
        </w:rPr>
        <w:t>represent the target population</w:t>
      </w:r>
      <w:r w:rsidRPr="00EB0A47" w:rsidR="000C01C4">
        <w:rPr>
          <w:rFonts w:eastAsia="Times New Roman" w:cs="Times New Roman"/>
        </w:rPr>
        <w:t xml:space="preserve"> for this collection</w:t>
      </w:r>
      <w:r w:rsidRPr="00EB0A47" w:rsidR="00D6209E">
        <w:rPr>
          <w:rFonts w:eastAsia="Times New Roman" w:cs="Times New Roman"/>
        </w:rPr>
        <w:t>.</w:t>
      </w:r>
      <w:r w:rsidRPr="00EB0A47" w:rsidR="003F066E">
        <w:rPr>
          <w:rFonts w:eastAsia="Times New Roman" w:cs="Times New Roman"/>
        </w:rPr>
        <w:t xml:space="preserve"> This is inclusive of National Park</w:t>
      </w:r>
      <w:r w:rsidRPr="00EB0A47" w:rsidR="008F0F59">
        <w:rPr>
          <w:rFonts w:eastAsia="Times New Roman" w:cs="Times New Roman"/>
        </w:rPr>
        <w:t>s</w:t>
      </w:r>
      <w:r w:rsidRPr="00EB0A47" w:rsidR="003F066E">
        <w:rPr>
          <w:rFonts w:eastAsia="Times New Roman" w:cs="Times New Roman"/>
        </w:rPr>
        <w:t>, Historic Sites, Memorials</w:t>
      </w:r>
      <w:r w:rsidRPr="00EB0A47" w:rsidR="008F0F59">
        <w:rPr>
          <w:rFonts w:eastAsia="Times New Roman" w:cs="Times New Roman"/>
        </w:rPr>
        <w:t>, Parkways, Seashores,</w:t>
      </w:r>
      <w:r w:rsidRPr="00EB0A47" w:rsidR="003F066E">
        <w:rPr>
          <w:rFonts w:eastAsia="Times New Roman" w:cs="Times New Roman"/>
        </w:rPr>
        <w:t xml:space="preserve"> and other similar units</w:t>
      </w:r>
      <w:r w:rsidRPr="00EB0A47" w:rsidR="008F0F59">
        <w:rPr>
          <w:rFonts w:eastAsia="Times New Roman" w:cs="Times New Roman"/>
        </w:rPr>
        <w:t xml:space="preserve"> (we will use ‘parks’</w:t>
      </w:r>
      <w:r w:rsidR="00345EA3">
        <w:rPr>
          <w:rFonts w:eastAsia="Times New Roman" w:cs="Times New Roman"/>
        </w:rPr>
        <w:t xml:space="preserve"> or ‘units’</w:t>
      </w:r>
      <w:r w:rsidRPr="00EB0A47" w:rsidR="008F0F59">
        <w:rPr>
          <w:rFonts w:eastAsia="Times New Roman" w:cs="Times New Roman"/>
        </w:rPr>
        <w:t xml:space="preserve"> as a generic name for all units containe</w:t>
      </w:r>
      <w:r w:rsidR="00D61615">
        <w:rPr>
          <w:rFonts w:eastAsia="Times New Roman" w:cs="Times New Roman"/>
        </w:rPr>
        <w:t>d in this supporting statement</w:t>
      </w:r>
      <w:r w:rsidRPr="00EB0A47" w:rsidR="008F0F59">
        <w:rPr>
          <w:rFonts w:eastAsia="Times New Roman" w:cs="Times New Roman"/>
        </w:rPr>
        <w:t>)</w:t>
      </w:r>
      <w:r w:rsidRPr="00EB0A47" w:rsidR="003F066E">
        <w:rPr>
          <w:rFonts w:eastAsia="Times New Roman" w:cs="Times New Roman"/>
        </w:rPr>
        <w:t xml:space="preserve">. </w:t>
      </w:r>
      <w:r w:rsidR="001228FA">
        <w:rPr>
          <w:rFonts w:eastAsia="Times New Roman" w:cs="Times New Roman"/>
        </w:rPr>
        <w:t>This collection will</w:t>
      </w:r>
      <w:r w:rsidRPr="00EB0A47" w:rsidR="00327223">
        <w:rPr>
          <w:rFonts w:eastAsia="Times New Roman" w:cs="Times New Roman"/>
        </w:rPr>
        <w:t xml:space="preserve"> establish an ongoing, annual, survey of </w:t>
      </w:r>
      <w:r w:rsidRPr="00EB0A47" w:rsidR="003545A9">
        <w:rPr>
          <w:rFonts w:eastAsia="Times New Roman" w:cs="Times New Roman"/>
        </w:rPr>
        <w:t>park</w:t>
      </w:r>
      <w:r w:rsidRPr="00EB0A47" w:rsidR="00327223">
        <w:rPr>
          <w:rFonts w:eastAsia="Times New Roman" w:cs="Times New Roman"/>
        </w:rPr>
        <w:t>s</w:t>
      </w:r>
      <w:r w:rsidRPr="00EB0A47" w:rsidR="003F066E">
        <w:rPr>
          <w:rFonts w:eastAsia="Times New Roman" w:cs="Times New Roman"/>
        </w:rPr>
        <w:t xml:space="preserve"> that collects information at the unit level and </w:t>
      </w:r>
      <w:r w:rsidR="00891A2C">
        <w:rPr>
          <w:rFonts w:eastAsia="Times New Roman" w:cs="Times New Roman"/>
        </w:rPr>
        <w:t xml:space="preserve">is </w:t>
      </w:r>
      <w:r w:rsidRPr="00EB0A47" w:rsidR="00694AE2">
        <w:rPr>
          <w:rFonts w:eastAsia="Times New Roman" w:cs="Times New Roman"/>
        </w:rPr>
        <w:t xml:space="preserve">consistent across </w:t>
      </w:r>
      <w:r w:rsidR="001228FA">
        <w:rPr>
          <w:rFonts w:eastAsia="Times New Roman" w:cs="Times New Roman"/>
        </w:rPr>
        <w:t xml:space="preserve">all </w:t>
      </w:r>
      <w:r w:rsidRPr="00EB0A47" w:rsidR="00694AE2">
        <w:rPr>
          <w:rFonts w:eastAsia="Times New Roman" w:cs="Times New Roman"/>
        </w:rPr>
        <w:t>parks at a</w:t>
      </w:r>
      <w:r w:rsidRPr="00EB0A47" w:rsidR="003F066E">
        <w:rPr>
          <w:rFonts w:eastAsia="Times New Roman" w:cs="Times New Roman"/>
        </w:rPr>
        <w:t xml:space="preserve"> national level</w:t>
      </w:r>
      <w:r w:rsidRPr="00EB0A47" w:rsidR="00327223">
        <w:rPr>
          <w:rFonts w:eastAsia="Times New Roman" w:cs="Times New Roman"/>
        </w:rPr>
        <w:t xml:space="preserve">. </w:t>
      </w:r>
      <w:r w:rsidRPr="00EB0A47" w:rsidR="00694AE2">
        <w:rPr>
          <w:rFonts w:eastAsia="Times New Roman" w:cs="Times New Roman"/>
        </w:rPr>
        <w:t>Park</w:t>
      </w:r>
      <w:r w:rsidRPr="00EB0A47" w:rsidR="00327223">
        <w:rPr>
          <w:rFonts w:eastAsia="Times New Roman" w:cs="Times New Roman"/>
        </w:rPr>
        <w:t xml:space="preserve"> selection is stratified across </w:t>
      </w:r>
      <w:r w:rsidRPr="00EB0A47" w:rsidR="003814EA">
        <w:rPr>
          <w:rFonts w:eastAsia="Times New Roman" w:cs="Times New Roman"/>
        </w:rPr>
        <w:t xml:space="preserve">(1) </w:t>
      </w:r>
      <w:r w:rsidRPr="00EB0A47" w:rsidR="00327223">
        <w:rPr>
          <w:rFonts w:eastAsia="Times New Roman" w:cs="Times New Roman"/>
        </w:rPr>
        <w:t>size (based on visitation</w:t>
      </w:r>
      <w:r w:rsidRPr="00EB0A47" w:rsidR="00040C9E">
        <w:rPr>
          <w:rFonts w:eastAsia="Times New Roman" w:cs="Times New Roman"/>
        </w:rPr>
        <w:t xml:space="preserve">) and </w:t>
      </w:r>
      <w:r w:rsidRPr="00EB0A47">
        <w:rPr>
          <w:rFonts w:eastAsia="Times New Roman" w:cs="Times New Roman"/>
        </w:rPr>
        <w:t>(2)</w:t>
      </w:r>
      <w:r w:rsidRPr="00EB0A47" w:rsidR="00327223">
        <w:rPr>
          <w:rFonts w:eastAsia="Times New Roman" w:cs="Times New Roman"/>
        </w:rPr>
        <w:t xml:space="preserve"> type (Nature, Historic, and Recreation)</w:t>
      </w:r>
      <w:r w:rsidRPr="00EB0A47">
        <w:rPr>
          <w:rFonts w:eastAsia="Times New Roman" w:cs="Times New Roman"/>
        </w:rPr>
        <w:t xml:space="preserve">. A </w:t>
      </w:r>
      <w:r w:rsidR="00D61615">
        <w:rPr>
          <w:rFonts w:eastAsia="Times New Roman" w:cs="Times New Roman"/>
        </w:rPr>
        <w:t>survey year consists of those</w:t>
      </w:r>
      <w:r w:rsidRPr="00EB0A47" w:rsidR="00694AE2">
        <w:rPr>
          <w:rFonts w:eastAsia="Times New Roman" w:cs="Times New Roman"/>
        </w:rPr>
        <w:t xml:space="preserve"> park</w:t>
      </w:r>
      <w:r w:rsidRPr="00EB0A47">
        <w:rPr>
          <w:rFonts w:eastAsia="Times New Roman" w:cs="Times New Roman"/>
        </w:rPr>
        <w:t>s surveyed</w:t>
      </w:r>
      <w:r w:rsidR="00590195">
        <w:rPr>
          <w:rFonts w:eastAsia="Times New Roman" w:cs="Times New Roman"/>
        </w:rPr>
        <w:t xml:space="preserve"> during their peak visitation month</w:t>
      </w:r>
      <w:r w:rsidR="009D6A1F">
        <w:rPr>
          <w:rFonts w:eastAsia="Times New Roman" w:cs="Times New Roman"/>
        </w:rPr>
        <w:t xml:space="preserve"> within a calendar year</w:t>
      </w:r>
      <w:r w:rsidRPr="00EB0A47">
        <w:rPr>
          <w:rFonts w:eastAsia="Times New Roman" w:cs="Times New Roman"/>
        </w:rPr>
        <w:t xml:space="preserve">. </w:t>
      </w:r>
    </w:p>
    <w:p w:rsidR="009D6A1F" w:rsidRPr="00F00DD3" w:rsidP="009D6A1F" w14:paraId="07380F56" w14:textId="5D025817">
      <w:pPr>
        <w:spacing w:line="360" w:lineRule="auto"/>
        <w:rPr>
          <w:rFonts w:eastAsia="Times New Roman" w:cs="Times New Roman"/>
        </w:rPr>
      </w:pPr>
      <w:r w:rsidRPr="00642826">
        <w:rPr>
          <w:rFonts w:ascii="Calibri" w:hAnsi="Calibri" w:cs="Calibri"/>
          <w:color w:val="000000"/>
          <w:shd w:val="clear" w:color="auto" w:fill="FFFFFF"/>
        </w:rPr>
        <w:t xml:space="preserve">The </w:t>
      </w:r>
      <w:r>
        <w:rPr>
          <w:rFonts w:ascii="Calibri" w:hAnsi="Calibri" w:cs="Calibri"/>
          <w:color w:val="000000"/>
          <w:shd w:val="clear" w:color="auto" w:fill="FFFFFF"/>
        </w:rPr>
        <w:t>SEM program</w:t>
      </w:r>
      <w:r w:rsidRPr="00642826">
        <w:rPr>
          <w:rFonts w:ascii="Calibri" w:hAnsi="Calibri" w:cs="Calibri"/>
          <w:color w:val="000000"/>
          <w:shd w:val="clear" w:color="auto" w:fill="FFFFFF"/>
        </w:rPr>
        <w:t xml:space="preserve"> includes a two-phased survey approach </w:t>
      </w:r>
      <w:r>
        <w:rPr>
          <w:rFonts w:ascii="Calibri" w:hAnsi="Calibri" w:cs="Calibri"/>
          <w:color w:val="000000"/>
          <w:shd w:val="clear" w:color="auto" w:fill="FFFFFF"/>
        </w:rPr>
        <w:t xml:space="preserve">within each selected park unit </w:t>
      </w:r>
      <w:r w:rsidRPr="00642826">
        <w:rPr>
          <w:rFonts w:ascii="Calibri" w:hAnsi="Calibri" w:cs="Calibri"/>
          <w:color w:val="000000"/>
          <w:shd w:val="clear" w:color="auto" w:fill="FFFFFF"/>
        </w:rPr>
        <w:t xml:space="preserve">that includes </w:t>
      </w:r>
      <w:r w:rsidRPr="00642826" w:rsidR="008B0BF0">
        <w:rPr>
          <w:rFonts w:ascii="Calibri" w:hAnsi="Calibri" w:cs="Calibri"/>
          <w:color w:val="000000"/>
          <w:shd w:val="clear" w:color="auto" w:fill="FFFFFF"/>
        </w:rPr>
        <w:t>a</w:t>
      </w:r>
      <w:r w:rsidRPr="00642826">
        <w:rPr>
          <w:rFonts w:ascii="Calibri" w:hAnsi="Calibri" w:cs="Calibri"/>
          <w:color w:val="000000"/>
          <w:shd w:val="clear" w:color="auto" w:fill="FFFFFF"/>
        </w:rPr>
        <w:t xml:space="preserve"> 1) intercept survey with eligible visit</w:t>
      </w:r>
      <w:r>
        <w:rPr>
          <w:rFonts w:ascii="Calibri" w:hAnsi="Calibri" w:cs="Calibri"/>
          <w:color w:val="000000"/>
          <w:shd w:val="clear" w:color="auto" w:fill="FFFFFF"/>
        </w:rPr>
        <w:t>ors</w:t>
      </w:r>
      <w:r w:rsidRPr="00642826">
        <w:rPr>
          <w:rFonts w:ascii="Calibri" w:hAnsi="Calibri" w:cs="Calibri"/>
          <w:color w:val="000000"/>
          <w:shd w:val="clear" w:color="auto" w:fill="FFFFFF"/>
        </w:rPr>
        <w:t xml:space="preserve"> on-site at the park unit</w:t>
      </w:r>
      <w:r>
        <w:rPr>
          <w:rFonts w:ascii="Calibri" w:hAnsi="Calibri" w:cs="Calibri"/>
          <w:color w:val="000000"/>
          <w:shd w:val="clear" w:color="auto" w:fill="FFFFFF"/>
        </w:rPr>
        <w:t>,</w:t>
      </w:r>
      <w:r w:rsidRPr="00642826">
        <w:rPr>
          <w:rFonts w:ascii="Calibri" w:hAnsi="Calibri" w:cs="Calibri"/>
          <w:color w:val="000000"/>
          <w:shd w:val="clear" w:color="auto" w:fill="FFFFFF"/>
        </w:rPr>
        <w:t xml:space="preserve"> and 2) a mail-back survey (with online option) that is </w:t>
      </w:r>
      <w:r>
        <w:rPr>
          <w:rFonts w:ascii="Calibri" w:hAnsi="Calibri" w:cs="Calibri"/>
          <w:color w:val="000000"/>
          <w:shd w:val="clear" w:color="auto" w:fill="FFFFFF"/>
        </w:rPr>
        <w:t>handed</w:t>
      </w:r>
      <w:r w:rsidRPr="00642826">
        <w:rPr>
          <w:rFonts w:ascii="Calibri" w:hAnsi="Calibri" w:cs="Calibri"/>
          <w:color w:val="000000"/>
          <w:shd w:val="clear" w:color="auto" w:fill="FFFFFF"/>
        </w:rPr>
        <w:t xml:space="preserve"> to visitors who participate</w:t>
      </w:r>
      <w:r>
        <w:rPr>
          <w:rFonts w:ascii="Calibri" w:hAnsi="Calibri" w:cs="Calibri"/>
          <w:color w:val="000000"/>
          <w:shd w:val="clear" w:color="auto" w:fill="FFFFFF"/>
        </w:rPr>
        <w:t>d</w:t>
      </w:r>
      <w:r w:rsidRPr="00642826">
        <w:rPr>
          <w:rFonts w:ascii="Calibri" w:hAnsi="Calibri" w:cs="Calibri"/>
          <w:color w:val="000000"/>
          <w:shd w:val="clear" w:color="auto" w:fill="FFFFFF"/>
        </w:rPr>
        <w:t xml:space="preserve"> in the intercept survey</w:t>
      </w:r>
      <w:r>
        <w:rPr>
          <w:rFonts w:ascii="Calibri" w:hAnsi="Calibri" w:cs="Calibri"/>
          <w:color w:val="000000"/>
          <w:shd w:val="clear" w:color="auto" w:fill="FFFFFF"/>
        </w:rPr>
        <w:t xml:space="preserve"> on-stie</w:t>
      </w:r>
      <w:r w:rsidRPr="00642826">
        <w:rPr>
          <w:rFonts w:ascii="Calibri" w:hAnsi="Calibri" w:cs="Calibri"/>
          <w:color w:val="000000"/>
          <w:shd w:val="clear" w:color="auto" w:fill="FFFFFF"/>
        </w:rPr>
        <w:t xml:space="preserve">. </w:t>
      </w:r>
      <w:r w:rsidRPr="002F6C73" w:rsidR="00EB0707">
        <w:rPr>
          <w:rFonts w:ascii="Calibri" w:hAnsi="Calibri" w:cs="Calibri"/>
          <w:color w:val="000000"/>
          <w:shd w:val="clear" w:color="auto" w:fill="FFFFFF"/>
        </w:rPr>
        <w:t>Specific survey administration dates w</w:t>
      </w:r>
      <w:r w:rsidR="00EB0707">
        <w:rPr>
          <w:rFonts w:ascii="Calibri" w:hAnsi="Calibri" w:cs="Calibri"/>
          <w:color w:val="000000"/>
          <w:shd w:val="clear" w:color="auto" w:fill="FFFFFF"/>
        </w:rPr>
        <w:t>ill be</w:t>
      </w:r>
      <w:r w:rsidRPr="002F6C73" w:rsidR="00EB0707">
        <w:rPr>
          <w:rFonts w:ascii="Calibri" w:hAnsi="Calibri" w:cs="Calibri"/>
          <w:color w:val="000000"/>
          <w:shd w:val="clear" w:color="auto" w:fill="FFFFFF"/>
        </w:rPr>
        <w:t xml:space="preserve"> selected to target peak use at each park. </w:t>
      </w:r>
      <w:r w:rsidR="006577B5">
        <w:rPr>
          <w:rFonts w:ascii="Calibri" w:hAnsi="Calibri" w:cs="Calibri"/>
          <w:color w:val="000000"/>
          <w:shd w:val="clear" w:color="auto" w:fill="FFFFFF"/>
        </w:rPr>
        <w:t xml:space="preserve">Peak use will be considered those months within 10% of the peak month, based on a five-year average. </w:t>
      </w:r>
      <w:r w:rsidRPr="002F6C73" w:rsidR="00EB0707">
        <w:rPr>
          <w:rFonts w:ascii="Calibri" w:hAnsi="Calibri" w:cs="Calibri"/>
          <w:color w:val="000000"/>
          <w:shd w:val="clear" w:color="auto" w:fill="FFFFFF"/>
        </w:rPr>
        <w:t xml:space="preserve">Conducting survey administration during peak use at each park unit </w:t>
      </w:r>
      <w:r w:rsidR="005761F3">
        <w:rPr>
          <w:rFonts w:ascii="Calibri" w:hAnsi="Calibri" w:cs="Calibri"/>
          <w:color w:val="000000"/>
          <w:shd w:val="clear" w:color="auto" w:fill="FFFFFF"/>
        </w:rPr>
        <w:t xml:space="preserve">maximizes </w:t>
      </w:r>
      <w:r w:rsidRPr="002F6C73" w:rsidR="00EB0707">
        <w:rPr>
          <w:rFonts w:ascii="Calibri" w:hAnsi="Calibri" w:cs="Calibri"/>
          <w:color w:val="000000"/>
          <w:shd w:val="clear" w:color="auto" w:fill="FFFFFF"/>
        </w:rPr>
        <w:t>sampling efficiency and capture</w:t>
      </w:r>
      <w:r w:rsidR="005761F3">
        <w:rPr>
          <w:rFonts w:ascii="Calibri" w:hAnsi="Calibri" w:cs="Calibri"/>
          <w:color w:val="000000"/>
          <w:shd w:val="clear" w:color="auto" w:fill="FFFFFF"/>
        </w:rPr>
        <w:t>s</w:t>
      </w:r>
      <w:r w:rsidRPr="002F6C73" w:rsidR="00EB0707">
        <w:rPr>
          <w:rFonts w:ascii="Calibri" w:hAnsi="Calibri" w:cs="Calibri"/>
          <w:color w:val="000000"/>
          <w:shd w:val="clear" w:color="auto" w:fill="FFFFFF"/>
        </w:rPr>
        <w:t xml:space="preserve"> a broad range of use and users</w:t>
      </w:r>
      <w:r w:rsidR="006577B5">
        <w:rPr>
          <w:rFonts w:ascii="Calibri" w:hAnsi="Calibri" w:cs="Calibri"/>
          <w:color w:val="000000"/>
          <w:shd w:val="clear" w:color="auto" w:fill="FFFFFF"/>
        </w:rPr>
        <w:t xml:space="preserve">. </w:t>
      </w:r>
      <w:r w:rsidRPr="002F6C73" w:rsidR="00EB0707">
        <w:rPr>
          <w:rFonts w:ascii="Calibri" w:hAnsi="Calibri" w:cs="Calibri"/>
          <w:color w:val="000000"/>
          <w:shd w:val="clear" w:color="auto" w:fill="FFFFFF"/>
        </w:rPr>
        <w:t>This approach helps reach as close to a representative sample as possible</w:t>
      </w:r>
      <w:r w:rsidR="006577B5">
        <w:rPr>
          <w:rFonts w:ascii="Calibri" w:hAnsi="Calibri" w:cs="Calibri"/>
          <w:color w:val="000000"/>
          <w:shd w:val="clear" w:color="auto" w:fill="FFFFFF"/>
        </w:rPr>
        <w:t xml:space="preserve"> and allows for standardization across parks</w:t>
      </w:r>
      <w:r w:rsidRPr="002F6C73" w:rsidR="00EB0707">
        <w:rPr>
          <w:rFonts w:ascii="Calibri" w:hAnsi="Calibri" w:cs="Calibri"/>
          <w:color w:val="000000"/>
          <w:shd w:val="clear" w:color="auto" w:fill="FFFFFF"/>
        </w:rPr>
        <w:t xml:space="preserve">. Months with the most visitors are also more likely to have </w:t>
      </w:r>
      <w:r w:rsidR="002B2B19">
        <w:rPr>
          <w:rFonts w:ascii="Calibri" w:hAnsi="Calibri" w:cs="Calibri"/>
          <w:color w:val="000000"/>
          <w:shd w:val="clear" w:color="auto" w:fill="FFFFFF"/>
        </w:rPr>
        <w:t>enough</w:t>
      </w:r>
      <w:r w:rsidRPr="002F6C73" w:rsidR="00EB0707">
        <w:rPr>
          <w:rFonts w:ascii="Calibri" w:hAnsi="Calibri" w:cs="Calibri"/>
          <w:color w:val="000000"/>
          <w:shd w:val="clear" w:color="auto" w:fill="FFFFFF"/>
        </w:rPr>
        <w:t xml:space="preserve"> survey participants that engage in various activities of interest and fit different </w:t>
      </w:r>
      <w:r w:rsidR="006577B5">
        <w:rPr>
          <w:rFonts w:ascii="Calibri" w:hAnsi="Calibri" w:cs="Calibri"/>
          <w:color w:val="000000"/>
          <w:shd w:val="clear" w:color="auto" w:fill="FFFFFF"/>
        </w:rPr>
        <w:t>group-type segments (e.g., non</w:t>
      </w:r>
      <w:r w:rsidR="00C433FF">
        <w:rPr>
          <w:rFonts w:ascii="Calibri" w:hAnsi="Calibri" w:cs="Calibri"/>
          <w:color w:val="000000"/>
          <w:shd w:val="clear" w:color="auto" w:fill="FFFFFF"/>
        </w:rPr>
        <w:t>-</w:t>
      </w:r>
      <w:r w:rsidR="006577B5">
        <w:rPr>
          <w:rFonts w:ascii="Calibri" w:hAnsi="Calibri" w:cs="Calibri"/>
          <w:color w:val="000000"/>
          <w:shd w:val="clear" w:color="auto" w:fill="FFFFFF"/>
        </w:rPr>
        <w:t>local overnight, local day-use</w:t>
      </w:r>
      <w:r w:rsidR="00C433FF">
        <w:rPr>
          <w:rFonts w:ascii="Calibri" w:hAnsi="Calibri" w:cs="Calibri"/>
          <w:color w:val="000000"/>
          <w:shd w:val="clear" w:color="auto" w:fill="FFFFFF"/>
        </w:rPr>
        <w:t>, etc.</w:t>
      </w:r>
      <w:r w:rsidR="006577B5">
        <w:rPr>
          <w:rFonts w:ascii="Calibri" w:hAnsi="Calibri" w:cs="Calibri"/>
          <w:color w:val="000000"/>
          <w:shd w:val="clear" w:color="auto" w:fill="FFFFFF"/>
        </w:rPr>
        <w:t>)</w:t>
      </w:r>
      <w:r w:rsidR="00634413">
        <w:rPr>
          <w:rFonts w:ascii="Calibri" w:hAnsi="Calibri" w:cs="Calibri"/>
          <w:color w:val="000000"/>
          <w:shd w:val="clear" w:color="auto" w:fill="FFFFFF"/>
        </w:rPr>
        <w:t xml:space="preserve"> to allow</w:t>
      </w:r>
      <w:r w:rsidRPr="002F6C73" w:rsidR="00EB0707">
        <w:rPr>
          <w:rFonts w:ascii="Calibri" w:hAnsi="Calibri" w:cs="Calibri"/>
          <w:color w:val="000000"/>
          <w:shd w:val="clear" w:color="auto" w:fill="FFFFFF"/>
        </w:rPr>
        <w:t xml:space="preserve"> for statistically sufficient data analysis on these topics. </w:t>
      </w:r>
      <w:r w:rsidR="00634413">
        <w:rPr>
          <w:rFonts w:ascii="Calibri" w:hAnsi="Calibri" w:cs="Calibri"/>
          <w:color w:val="000000"/>
          <w:shd w:val="clear" w:color="auto" w:fill="FFFFFF"/>
        </w:rPr>
        <w:t>Further, s</w:t>
      </w:r>
      <w:r w:rsidRPr="002F6C73" w:rsidR="00EB0707">
        <w:rPr>
          <w:rFonts w:ascii="Calibri" w:hAnsi="Calibri" w:cs="Calibri"/>
          <w:color w:val="000000"/>
          <w:shd w:val="clear" w:color="auto" w:fill="FFFFFF"/>
        </w:rPr>
        <w:t xml:space="preserve">ampling during peak visitation </w:t>
      </w:r>
      <w:r w:rsidR="00827ED8">
        <w:rPr>
          <w:rFonts w:ascii="Calibri" w:hAnsi="Calibri" w:cs="Calibri"/>
          <w:color w:val="000000"/>
          <w:shd w:val="clear" w:color="auto" w:fill="FFFFFF"/>
        </w:rPr>
        <w:t>should provide</w:t>
      </w:r>
      <w:r w:rsidR="00C433FF">
        <w:rPr>
          <w:rFonts w:ascii="Calibri" w:hAnsi="Calibri" w:cs="Calibri"/>
          <w:color w:val="000000"/>
          <w:shd w:val="clear" w:color="auto" w:fill="FFFFFF"/>
        </w:rPr>
        <w:t xml:space="preserve"> </w:t>
      </w:r>
      <w:r w:rsidRPr="002F6C73" w:rsidR="00850A9F">
        <w:rPr>
          <w:rFonts w:ascii="Calibri" w:hAnsi="Calibri" w:cs="Calibri"/>
          <w:color w:val="000000"/>
          <w:shd w:val="clear" w:color="auto" w:fill="FFFFFF"/>
        </w:rPr>
        <w:t>enough</w:t>
      </w:r>
      <w:r w:rsidRPr="002F6C73" w:rsidR="00EB0707">
        <w:rPr>
          <w:rFonts w:ascii="Calibri" w:hAnsi="Calibri" w:cs="Calibri"/>
          <w:color w:val="000000"/>
          <w:shd w:val="clear" w:color="auto" w:fill="FFFFFF"/>
        </w:rPr>
        <w:t xml:space="preserve"> participants for two park types: 1) parks </w:t>
      </w:r>
      <w:r w:rsidRPr="002F6C73" w:rsidR="00EB0707">
        <w:rPr>
          <w:rFonts w:ascii="Calibri" w:hAnsi="Calibri" w:cs="Calibri"/>
          <w:color w:val="000000"/>
          <w:shd w:val="clear" w:color="auto" w:fill="FFFFFF"/>
        </w:rPr>
        <w:t>with low overall visitation, and 2) parks with seasonally low visitation. The latter category of parks can have extremely low or non-existent visitation across multiple months of undesirable conditions or inaccessibility.</w:t>
      </w:r>
    </w:p>
    <w:p w:rsidR="00327223" w:rsidRPr="00EB0A47" w:rsidP="004826D0" w14:paraId="3064ED97" w14:textId="3D8E694E">
      <w:pPr>
        <w:spacing w:line="360" w:lineRule="auto"/>
        <w:rPr>
          <w:rFonts w:eastAsia="Times New Roman" w:cs="Times New Roman"/>
        </w:rPr>
      </w:pPr>
      <w:r w:rsidRPr="00EB0A47">
        <w:rPr>
          <w:rFonts w:eastAsia="Times New Roman" w:cs="Times New Roman"/>
        </w:rPr>
        <w:t xml:space="preserve">To provide </w:t>
      </w:r>
      <w:r w:rsidR="00B0457C">
        <w:rPr>
          <w:rFonts w:eastAsia="Times New Roman" w:cs="Times New Roman"/>
        </w:rPr>
        <w:t xml:space="preserve">an </w:t>
      </w:r>
      <w:r w:rsidRPr="00EB0A47">
        <w:rPr>
          <w:rFonts w:eastAsia="Times New Roman" w:cs="Times New Roman"/>
        </w:rPr>
        <w:t xml:space="preserve">example of this process, </w:t>
      </w:r>
      <w:r w:rsidRPr="00F750C6">
        <w:rPr>
          <w:rFonts w:eastAsia="Times New Roman" w:cs="Times New Roman"/>
        </w:rPr>
        <w:t xml:space="preserve">the </w:t>
      </w:r>
      <w:r w:rsidRPr="00F750C6" w:rsidR="00DE7ED5">
        <w:rPr>
          <w:rFonts w:eastAsia="Times New Roman" w:cs="Times New Roman"/>
        </w:rPr>
        <w:t>30</w:t>
      </w:r>
      <w:r w:rsidRPr="00F750C6">
        <w:rPr>
          <w:rFonts w:eastAsia="Times New Roman" w:cs="Times New Roman"/>
        </w:rPr>
        <w:t xml:space="preserve"> </w:t>
      </w:r>
      <w:r w:rsidRPr="00F750C6" w:rsidR="00694AE2">
        <w:rPr>
          <w:rFonts w:eastAsia="Times New Roman" w:cs="Times New Roman"/>
        </w:rPr>
        <w:t>park</w:t>
      </w:r>
      <w:r w:rsidRPr="00F750C6">
        <w:rPr>
          <w:rFonts w:eastAsia="Times New Roman" w:cs="Times New Roman"/>
        </w:rPr>
        <w:t xml:space="preserve">s selected for </w:t>
      </w:r>
      <w:r w:rsidRPr="00F750C6" w:rsidR="00D61615">
        <w:rPr>
          <w:rFonts w:eastAsia="Times New Roman" w:cs="Times New Roman"/>
        </w:rPr>
        <w:t xml:space="preserve">the </w:t>
      </w:r>
      <w:r w:rsidRPr="00F750C6">
        <w:rPr>
          <w:rFonts w:eastAsia="Times New Roman" w:cs="Times New Roman"/>
        </w:rPr>
        <w:t>202</w:t>
      </w:r>
      <w:r w:rsidRPr="00F750C6" w:rsidR="003B318E">
        <w:rPr>
          <w:rFonts w:eastAsia="Times New Roman" w:cs="Times New Roman"/>
        </w:rPr>
        <w:t>4</w:t>
      </w:r>
      <w:r w:rsidR="003B318E">
        <w:rPr>
          <w:rFonts w:eastAsia="Times New Roman" w:cs="Times New Roman"/>
        </w:rPr>
        <w:t xml:space="preserve"> survey year</w:t>
      </w:r>
      <w:r w:rsidRPr="00EB0A47">
        <w:rPr>
          <w:rFonts w:eastAsia="Times New Roman" w:cs="Times New Roman"/>
        </w:rPr>
        <w:t xml:space="preserve"> are shown throughout this supporting statement. </w:t>
      </w:r>
      <w:r w:rsidR="003B318E">
        <w:rPr>
          <w:rFonts w:eastAsia="Times New Roman" w:cs="Times New Roman"/>
        </w:rPr>
        <w:t>In 2022</w:t>
      </w:r>
      <w:r w:rsidR="0068641F">
        <w:rPr>
          <w:rFonts w:eastAsia="Times New Roman" w:cs="Times New Roman"/>
        </w:rPr>
        <w:t>,</w:t>
      </w:r>
      <w:r w:rsidR="006F743F">
        <w:rPr>
          <w:rFonts w:eastAsia="Times New Roman" w:cs="Times New Roman"/>
        </w:rPr>
        <w:t xml:space="preserve"> a systematic sampling methodology was finalized to determine which park units would be sampled annually. This methodology is described in </w:t>
      </w:r>
      <w:r w:rsidR="000764F5">
        <w:rPr>
          <w:rFonts w:eastAsia="Times New Roman" w:cs="Times New Roman"/>
        </w:rPr>
        <w:t>question</w:t>
      </w:r>
      <w:r w:rsidR="006F743F">
        <w:rPr>
          <w:rFonts w:eastAsia="Times New Roman" w:cs="Times New Roman"/>
        </w:rPr>
        <w:t xml:space="preserve"> two. </w:t>
      </w:r>
    </w:p>
    <w:p w:rsidR="00843206" w:rsidRPr="00EB0A47" w:rsidP="00694150" w14:paraId="6A1DA0A8" w14:textId="1DDA50BC">
      <w:pPr>
        <w:spacing w:line="360" w:lineRule="auto"/>
        <w:rPr>
          <w:rFonts w:eastAsia="Times New Roman" w:cs="Times New Roman"/>
          <w:b/>
          <w:bCs/>
        </w:rPr>
      </w:pPr>
      <w:r>
        <w:t xml:space="preserve">Using </w:t>
      </w:r>
      <w:r w:rsidR="00763360">
        <w:t>average annual (201</w:t>
      </w:r>
      <w:r w:rsidR="004E61F2">
        <w:t>3</w:t>
      </w:r>
      <w:r w:rsidR="00763360">
        <w:t>-1</w:t>
      </w:r>
      <w:r w:rsidR="004E61F2">
        <w:t>7</w:t>
      </w:r>
      <w:r w:rsidR="00763360">
        <w:t>)</w:t>
      </w:r>
      <w:r w:rsidR="001E1CB0">
        <w:t xml:space="preserve"> </w:t>
      </w:r>
      <w:r>
        <w:t>NPS Visitation Statistics (</w:t>
      </w:r>
      <w:hyperlink r:id="rId9">
        <w:r w:rsidRPr="4C38FD73">
          <w:rPr>
            <w:rStyle w:val="Hyperlink"/>
            <w:color w:val="auto"/>
          </w:rPr>
          <w:t>https://irma.nps.gov/Stats/Reports/Park</w:t>
        </w:r>
      </w:hyperlink>
      <w:r w:rsidR="0082669D">
        <w:t>)</w:t>
      </w:r>
      <w:r w:rsidR="001E1CB0">
        <w:t>,</w:t>
      </w:r>
      <w:r>
        <w:t xml:space="preserve"> </w:t>
      </w:r>
      <w:r w:rsidR="00912142">
        <w:t xml:space="preserve">total </w:t>
      </w:r>
      <w:r w:rsidR="00D51D55">
        <w:t xml:space="preserve">annual </w:t>
      </w:r>
      <w:r w:rsidR="00912142">
        <w:t>v</w:t>
      </w:r>
      <w:r w:rsidR="00E045F3">
        <w:t xml:space="preserve">isitation to </w:t>
      </w:r>
      <w:r>
        <w:t>the</w:t>
      </w:r>
      <w:r w:rsidR="00E045F3">
        <w:t xml:space="preserve"> target</w:t>
      </w:r>
      <w:r>
        <w:t>ed</w:t>
      </w:r>
      <w:r w:rsidR="00E045F3">
        <w:t xml:space="preserve"> </w:t>
      </w:r>
      <w:r w:rsidRPr="006507D9" w:rsidR="00451528">
        <w:t>30</w:t>
      </w:r>
      <w:r w:rsidRPr="006507D9" w:rsidR="00073CC9">
        <w:t xml:space="preserve"> SEM </w:t>
      </w:r>
      <w:r w:rsidRPr="006507D9" w:rsidR="008B04B2">
        <w:t>parks</w:t>
      </w:r>
      <w:r w:rsidR="00E045F3">
        <w:t xml:space="preserve"> was calculated </w:t>
      </w:r>
      <w:r>
        <w:t xml:space="preserve">to be </w:t>
      </w:r>
      <w:r w:rsidRPr="00B20D2A" w:rsidR="00B20D2A">
        <w:t>45,519,921</w:t>
      </w:r>
      <w:r w:rsidR="002D2C5A">
        <w:t xml:space="preserve"> </w:t>
      </w:r>
      <w:r w:rsidR="00020D7E">
        <w:t>(see Table 1</w:t>
      </w:r>
      <w:r w:rsidR="00973FDE">
        <w:t>.1</w:t>
      </w:r>
      <w:r w:rsidR="00020D7E">
        <w:t>).</w:t>
      </w:r>
      <w:r w:rsidR="0082669D">
        <w:t xml:space="preserve"> </w:t>
      </w:r>
      <w:r w:rsidR="004E61F2">
        <w:t xml:space="preserve"> The five-year average from 2013-17 was used</w:t>
      </w:r>
      <w:r w:rsidR="002E6950">
        <w:t>,</w:t>
      </w:r>
      <w:r w:rsidR="004E61F2">
        <w:t xml:space="preserve"> as this was the time</w:t>
      </w:r>
      <w:r w:rsidR="002E6950">
        <w:t>-</w:t>
      </w:r>
      <w:r w:rsidR="004E61F2">
        <w:t xml:space="preserve">period used for park group segmentation into their respective stratum. </w:t>
      </w:r>
      <w:r w:rsidR="00912142">
        <w:t xml:space="preserve">Each park will be targeted for sampling during its peak month or alternate months within </w:t>
      </w:r>
      <w:r w:rsidR="004E61F2">
        <w:t>10</w:t>
      </w:r>
      <w:r w:rsidR="00912142">
        <w:t>% of th</w:t>
      </w:r>
      <w:r w:rsidR="002E6950">
        <w:t>e</w:t>
      </w:r>
      <w:r w:rsidR="00912142">
        <w:t xml:space="preserve"> peak month</w:t>
      </w:r>
      <w:r w:rsidR="008B04B2">
        <w:t xml:space="preserve"> visitation</w:t>
      </w:r>
      <w:r w:rsidR="00912142">
        <w:t>. Peak monthly average visitation volumes are shown in Table 1</w:t>
      </w:r>
      <w:r w:rsidR="00675E73">
        <w:t>.1</w:t>
      </w:r>
      <w:r w:rsidR="00912142">
        <w:t xml:space="preserve">. Standard survey periods will cover </w:t>
      </w:r>
      <w:r w:rsidR="004120CB">
        <w:t xml:space="preserve">consecutive </w:t>
      </w:r>
      <w:r w:rsidR="00694150">
        <w:t>ten-day</w:t>
      </w:r>
      <w:r w:rsidR="00912142">
        <w:t xml:space="preserve"> periods within this peak month.</w:t>
      </w:r>
      <w:r w:rsidR="00694150">
        <w:t xml:space="preserve"> Average da</w:t>
      </w:r>
      <w:r w:rsidR="008B04B2">
        <w:t>ily</w:t>
      </w:r>
      <w:r w:rsidR="00694150">
        <w:t xml:space="preserve"> visitation in peak months </w:t>
      </w:r>
      <w:r w:rsidR="002E6950">
        <w:t>is</w:t>
      </w:r>
      <w:r w:rsidR="00694150">
        <w:t xml:space="preserve"> calculated based on the number of days in the peak month (30 or 31). Respondent universe is then represented by the estimated number of visitors at each unit during the sampling period.</w:t>
      </w:r>
      <w:r w:rsidR="00E045F3">
        <w:t xml:space="preserve"> Using this method, we estimate that the total </w:t>
      </w:r>
      <w:r w:rsidR="00155563">
        <w:t xml:space="preserve">annual </w:t>
      </w:r>
      <w:r w:rsidR="00E045F3">
        <w:t>respondent universe for th</w:t>
      </w:r>
      <w:r w:rsidR="00B5624E">
        <w:t xml:space="preserve">e </w:t>
      </w:r>
      <w:r w:rsidR="00E045F3">
        <w:t xml:space="preserve">collection </w:t>
      </w:r>
      <w:r w:rsidR="00772D1E">
        <w:t xml:space="preserve">is </w:t>
      </w:r>
      <w:r w:rsidR="008165CC">
        <w:t>2,045,49</w:t>
      </w:r>
      <w:r w:rsidR="00850EEC">
        <w:t>3</w:t>
      </w:r>
      <w:r w:rsidR="00E045F3">
        <w:t>.</w:t>
      </w:r>
      <w:r w:rsidRPr="4C38FD73" w:rsidR="00E045F3">
        <w:rPr>
          <w:rFonts w:eastAsia="Times New Roman" w:cs="Times New Roman"/>
        </w:rPr>
        <w:t xml:space="preserve"> Calculations for each </w:t>
      </w:r>
      <w:r w:rsidRPr="4C38FD73" w:rsidR="00FC642C">
        <w:rPr>
          <w:rFonts w:eastAsia="Times New Roman" w:cs="Times New Roman"/>
        </w:rPr>
        <w:t xml:space="preserve">of the </w:t>
      </w:r>
      <w:r w:rsidR="00B20D2A">
        <w:rPr>
          <w:rFonts w:eastAsia="Times New Roman" w:cs="Times New Roman"/>
        </w:rPr>
        <w:t>30</w:t>
      </w:r>
      <w:r w:rsidRPr="4C38FD73" w:rsidR="00FC642C">
        <w:rPr>
          <w:rFonts w:eastAsia="Times New Roman" w:cs="Times New Roman"/>
        </w:rPr>
        <w:t xml:space="preserve"> parks in 2024</w:t>
      </w:r>
      <w:r w:rsidRPr="4C38FD73" w:rsidR="00E045F3">
        <w:rPr>
          <w:rFonts w:eastAsia="Times New Roman" w:cs="Times New Roman"/>
        </w:rPr>
        <w:t xml:space="preserve"> are shown below in Table </w:t>
      </w:r>
      <w:r w:rsidRPr="4C38FD73" w:rsidR="00B05233">
        <w:rPr>
          <w:rFonts w:eastAsia="Times New Roman" w:cs="Times New Roman"/>
        </w:rPr>
        <w:t>1</w:t>
      </w:r>
      <w:r w:rsidR="00973FDE">
        <w:rPr>
          <w:rFonts w:eastAsia="Times New Roman" w:cs="Times New Roman"/>
        </w:rPr>
        <w:t>.1</w:t>
      </w:r>
      <w:r w:rsidRPr="4C38FD73" w:rsidR="00E045F3">
        <w:rPr>
          <w:rFonts w:eastAsia="Times New Roman" w:cs="Times New Roman"/>
        </w:rPr>
        <w:t>.</w:t>
      </w:r>
      <w:r w:rsidRPr="4C38FD73" w:rsidR="00615870">
        <w:rPr>
          <w:rFonts w:eastAsia="Times New Roman" w:cs="Times New Roman"/>
        </w:rPr>
        <w:t xml:space="preserve"> Given the </w:t>
      </w:r>
      <w:r w:rsidRPr="4C38FD73" w:rsidR="004A5A7B">
        <w:rPr>
          <w:rFonts w:eastAsia="Times New Roman" w:cs="Times New Roman"/>
        </w:rPr>
        <w:t>systematic stratification of NPS units for annual sampling,</w:t>
      </w:r>
      <w:r w:rsidRPr="4C38FD73" w:rsidR="00CE74F1">
        <w:rPr>
          <w:rFonts w:eastAsia="Times New Roman" w:cs="Times New Roman"/>
        </w:rPr>
        <w:t xml:space="preserve"> </w:t>
      </w:r>
      <w:r w:rsidRPr="4C38FD73" w:rsidR="00DD5991">
        <w:rPr>
          <w:rFonts w:eastAsia="Times New Roman" w:cs="Times New Roman"/>
        </w:rPr>
        <w:t>while the respondent universe may fluctuate</w:t>
      </w:r>
      <w:r w:rsidRPr="4C38FD73" w:rsidR="00BB7BB4">
        <w:rPr>
          <w:rFonts w:eastAsia="Times New Roman" w:cs="Times New Roman"/>
        </w:rPr>
        <w:t xml:space="preserve"> slightly</w:t>
      </w:r>
      <w:r w:rsidRPr="4C38FD73" w:rsidR="00DD5991">
        <w:rPr>
          <w:rFonts w:eastAsia="Times New Roman" w:cs="Times New Roman"/>
        </w:rPr>
        <w:t xml:space="preserve"> from year-to-year, the number of intercep</w:t>
      </w:r>
      <w:r w:rsidRPr="4C38FD73" w:rsidR="008928A1">
        <w:rPr>
          <w:rFonts w:eastAsia="Times New Roman" w:cs="Times New Roman"/>
        </w:rPr>
        <w:t>ts</w:t>
      </w:r>
      <w:r w:rsidRPr="4C38FD73" w:rsidR="00BB7BB4">
        <w:rPr>
          <w:rFonts w:eastAsia="Times New Roman" w:cs="Times New Roman"/>
        </w:rPr>
        <w:t xml:space="preserve">, </w:t>
      </w:r>
      <w:r w:rsidRPr="4C38FD73" w:rsidR="008928A1">
        <w:rPr>
          <w:rFonts w:eastAsia="Times New Roman" w:cs="Times New Roman"/>
        </w:rPr>
        <w:t xml:space="preserve">responses </w:t>
      </w:r>
      <w:r w:rsidRPr="4C38FD73" w:rsidR="00BB7BB4">
        <w:rPr>
          <w:rFonts w:eastAsia="Times New Roman" w:cs="Times New Roman"/>
        </w:rPr>
        <w:t xml:space="preserve">and annual burden </w:t>
      </w:r>
      <w:r w:rsidRPr="4C38FD73" w:rsidR="008928A1">
        <w:rPr>
          <w:rFonts w:eastAsia="Times New Roman" w:cs="Times New Roman"/>
        </w:rPr>
        <w:t>will remain consistent.</w:t>
      </w:r>
      <w:r w:rsidRPr="4C38FD73" w:rsidR="00CE74F1">
        <w:rPr>
          <w:rFonts w:eastAsia="Times New Roman" w:cs="Times New Roman"/>
        </w:rPr>
        <w:t xml:space="preserve"> </w:t>
      </w:r>
    </w:p>
    <w:p w:rsidR="00D6209E" w:rsidRPr="00EB0A47" w:rsidP="00073CC9" w14:paraId="0DA939FB" w14:textId="3E1C7E85">
      <w:pPr>
        <w:spacing w:after="0" w:line="360" w:lineRule="auto"/>
        <w:contextualSpacing/>
        <w:rPr>
          <w:rFonts w:eastAsia="Times New Roman" w:cs="Times New Roman"/>
          <w:b/>
          <w:bCs/>
        </w:rPr>
      </w:pPr>
      <w:r w:rsidRPr="00EB0A47">
        <w:rPr>
          <w:rFonts w:eastAsia="Times New Roman" w:cs="Times New Roman"/>
          <w:b/>
          <w:bCs/>
        </w:rPr>
        <w:t xml:space="preserve">Table </w:t>
      </w:r>
      <w:r w:rsidRPr="00EB0A47" w:rsidR="00B05233">
        <w:rPr>
          <w:rFonts w:eastAsia="Times New Roman" w:cs="Times New Roman"/>
          <w:b/>
          <w:bCs/>
        </w:rPr>
        <w:t>1</w:t>
      </w:r>
      <w:r w:rsidR="00973FDE">
        <w:rPr>
          <w:rFonts w:eastAsia="Times New Roman" w:cs="Times New Roman"/>
          <w:b/>
          <w:bCs/>
        </w:rPr>
        <w:t>.1</w:t>
      </w:r>
      <w:r w:rsidRPr="00EB0A47">
        <w:rPr>
          <w:rFonts w:eastAsia="Times New Roman" w:cs="Times New Roman"/>
          <w:b/>
          <w:bCs/>
        </w:rPr>
        <w:t xml:space="preserve">: </w:t>
      </w:r>
      <w:r w:rsidR="000372EC">
        <w:rPr>
          <w:rFonts w:eastAsia="Times New Roman" w:cs="Times New Roman"/>
          <w:b/>
          <w:bCs/>
        </w:rPr>
        <w:t>Respondent Universe</w:t>
      </w:r>
    </w:p>
    <w:tbl>
      <w:tblPr>
        <w:tblStyle w:val="TableGrid"/>
        <w:tblW w:w="0" w:type="auto"/>
        <w:tblLayout w:type="fixed"/>
        <w:tblLook w:val="04A0"/>
      </w:tblPr>
      <w:tblGrid>
        <w:gridCol w:w="535"/>
        <w:gridCol w:w="2790"/>
        <w:gridCol w:w="900"/>
        <w:gridCol w:w="1260"/>
        <w:gridCol w:w="1260"/>
        <w:gridCol w:w="1440"/>
        <w:gridCol w:w="1165"/>
      </w:tblGrid>
      <w:tr w14:paraId="2DD33FCC" w14:textId="77777777" w:rsidTr="00984A28">
        <w:tblPrEx>
          <w:tblW w:w="0" w:type="auto"/>
          <w:tblLayout w:type="fixed"/>
          <w:tblLook w:val="04A0"/>
        </w:tblPrEx>
        <w:trPr>
          <w:trHeight w:val="732"/>
          <w:tblHeader/>
        </w:trPr>
        <w:tc>
          <w:tcPr>
            <w:tcW w:w="535" w:type="dxa"/>
            <w:tcBorders>
              <w:bottom w:val="single" w:sz="4" w:space="0" w:color="auto"/>
              <w:right w:val="nil"/>
            </w:tcBorders>
            <w:shd w:val="clear" w:color="auto" w:fill="95B3D7" w:themeFill="accent1" w:themeFillTint="99"/>
            <w:noWrap/>
            <w:hideMark/>
          </w:tcPr>
          <w:p w:rsidR="00A16602" w:rsidRPr="00B75D66" w:rsidP="00073CC9" w14:paraId="5E2C7C79" w14:textId="5B715A68">
            <w:pPr>
              <w:contextualSpacing/>
              <w:jc w:val="center"/>
              <w:rPr>
                <w:rFonts w:ascii="Calibri" w:eastAsia="Times New Roman" w:hAnsi="Calibri" w:cs="Calibri"/>
                <w:b/>
                <w:bCs/>
                <w:color w:val="000000"/>
              </w:rPr>
            </w:pPr>
          </w:p>
        </w:tc>
        <w:tc>
          <w:tcPr>
            <w:tcW w:w="2790" w:type="dxa"/>
            <w:tcBorders>
              <w:left w:val="nil"/>
              <w:bottom w:val="single" w:sz="4" w:space="0" w:color="auto"/>
            </w:tcBorders>
            <w:shd w:val="clear" w:color="auto" w:fill="95B3D7" w:themeFill="accent1" w:themeFillTint="99"/>
            <w:noWrap/>
            <w:vAlign w:val="center"/>
            <w:hideMark/>
          </w:tcPr>
          <w:p w:rsidR="00A16602" w:rsidRPr="00811833" w:rsidP="002D22F9" w14:paraId="23E0AF56" w14:textId="2931413C">
            <w:pPr>
              <w:contextualSpacing/>
              <w:jc w:val="center"/>
              <w:rPr>
                <w:b/>
                <w:bCs/>
                <w:sz w:val="18"/>
                <w:szCs w:val="18"/>
              </w:rPr>
            </w:pPr>
            <w:r w:rsidRPr="00811833">
              <w:rPr>
                <w:b/>
                <w:bCs/>
                <w:sz w:val="18"/>
                <w:szCs w:val="18"/>
              </w:rPr>
              <w:t>NPS Unit</w:t>
            </w:r>
          </w:p>
        </w:tc>
        <w:tc>
          <w:tcPr>
            <w:tcW w:w="900" w:type="dxa"/>
            <w:tcBorders>
              <w:bottom w:val="single" w:sz="4" w:space="0" w:color="auto"/>
            </w:tcBorders>
            <w:shd w:val="clear" w:color="auto" w:fill="95B3D7" w:themeFill="accent1" w:themeFillTint="99"/>
            <w:vAlign w:val="center"/>
          </w:tcPr>
          <w:p w:rsidR="00A16602" w:rsidRPr="00811833" w:rsidP="009452B0" w14:paraId="478BF349" w14:textId="6611CEBC">
            <w:pPr>
              <w:contextualSpacing/>
              <w:jc w:val="center"/>
              <w:rPr>
                <w:b/>
                <w:bCs/>
                <w:sz w:val="18"/>
                <w:szCs w:val="18"/>
              </w:rPr>
            </w:pPr>
            <w:r w:rsidRPr="00811833">
              <w:rPr>
                <w:b/>
                <w:bCs/>
                <w:sz w:val="18"/>
                <w:szCs w:val="18"/>
              </w:rPr>
              <w:t>Park Size</w:t>
            </w:r>
          </w:p>
        </w:tc>
        <w:tc>
          <w:tcPr>
            <w:tcW w:w="1260" w:type="dxa"/>
            <w:tcBorders>
              <w:bottom w:val="single" w:sz="4" w:space="0" w:color="auto"/>
            </w:tcBorders>
            <w:shd w:val="clear" w:color="auto" w:fill="95B3D7" w:themeFill="accent1" w:themeFillTint="99"/>
            <w:noWrap/>
            <w:vAlign w:val="center"/>
            <w:hideMark/>
          </w:tcPr>
          <w:p w:rsidR="00A16602" w:rsidRPr="00811833" w:rsidP="009452B0" w14:paraId="7A9B7E02" w14:textId="03086093">
            <w:pPr>
              <w:contextualSpacing/>
              <w:jc w:val="center"/>
              <w:rPr>
                <w:b/>
                <w:bCs/>
                <w:sz w:val="18"/>
                <w:szCs w:val="18"/>
              </w:rPr>
            </w:pPr>
            <w:r w:rsidRPr="00811833">
              <w:rPr>
                <w:b/>
                <w:bCs/>
                <w:sz w:val="18"/>
                <w:szCs w:val="18"/>
              </w:rPr>
              <w:t>Annual Visits</w:t>
            </w:r>
          </w:p>
          <w:p w:rsidR="00A16602" w:rsidRPr="00811833" w:rsidP="009452B0" w14:paraId="5CC5DC28" w14:textId="014CCE85">
            <w:pPr>
              <w:contextualSpacing/>
              <w:jc w:val="center"/>
              <w:rPr>
                <w:rFonts w:ascii="Calibri" w:eastAsia="Times New Roman" w:hAnsi="Calibri" w:cs="Calibri"/>
                <w:b/>
                <w:bCs/>
                <w:color w:val="000000"/>
                <w:sz w:val="18"/>
                <w:szCs w:val="18"/>
              </w:rPr>
            </w:pPr>
            <w:r w:rsidRPr="00811833">
              <w:rPr>
                <w:b/>
                <w:bCs/>
                <w:sz w:val="18"/>
                <w:szCs w:val="18"/>
              </w:rPr>
              <w:t>(2013-2017)</w:t>
            </w:r>
          </w:p>
        </w:tc>
        <w:tc>
          <w:tcPr>
            <w:tcW w:w="1260" w:type="dxa"/>
            <w:tcBorders>
              <w:bottom w:val="single" w:sz="4" w:space="0" w:color="auto"/>
            </w:tcBorders>
            <w:shd w:val="clear" w:color="auto" w:fill="95B3D7" w:themeFill="accent1" w:themeFillTint="99"/>
            <w:noWrap/>
            <w:vAlign w:val="center"/>
            <w:hideMark/>
          </w:tcPr>
          <w:p w:rsidR="00A16602" w:rsidRPr="00811833" w:rsidP="009452B0" w14:paraId="6FF91213" w14:textId="77777777">
            <w:pPr>
              <w:contextualSpacing/>
              <w:jc w:val="center"/>
              <w:rPr>
                <w:b/>
                <w:bCs/>
                <w:sz w:val="18"/>
                <w:szCs w:val="18"/>
              </w:rPr>
            </w:pPr>
            <w:r w:rsidRPr="00811833">
              <w:rPr>
                <w:b/>
                <w:bCs/>
                <w:sz w:val="18"/>
                <w:szCs w:val="18"/>
              </w:rPr>
              <w:t xml:space="preserve">Peak Month Visits </w:t>
            </w:r>
          </w:p>
          <w:p w:rsidR="00A16602" w:rsidRPr="00811833" w:rsidP="009452B0" w14:paraId="2D9BD874" w14:textId="0E766B25">
            <w:pPr>
              <w:contextualSpacing/>
              <w:jc w:val="center"/>
              <w:rPr>
                <w:rFonts w:ascii="Calibri" w:eastAsia="Times New Roman" w:hAnsi="Calibri" w:cs="Calibri"/>
                <w:b/>
                <w:bCs/>
                <w:color w:val="000000"/>
                <w:sz w:val="18"/>
                <w:szCs w:val="18"/>
              </w:rPr>
            </w:pPr>
            <w:r w:rsidRPr="00811833">
              <w:rPr>
                <w:b/>
                <w:bCs/>
                <w:sz w:val="18"/>
                <w:szCs w:val="18"/>
              </w:rPr>
              <w:t>(2013-2017)</w:t>
            </w:r>
          </w:p>
        </w:tc>
        <w:tc>
          <w:tcPr>
            <w:tcW w:w="1440" w:type="dxa"/>
            <w:tcBorders>
              <w:bottom w:val="single" w:sz="4" w:space="0" w:color="auto"/>
            </w:tcBorders>
            <w:shd w:val="clear" w:color="auto" w:fill="95B3D7" w:themeFill="accent1" w:themeFillTint="99"/>
            <w:noWrap/>
            <w:vAlign w:val="center"/>
            <w:hideMark/>
          </w:tcPr>
          <w:p w:rsidR="00A16602" w:rsidRPr="00811833" w:rsidP="009452B0" w14:paraId="4ECB9F86" w14:textId="2D79F4A4">
            <w:pPr>
              <w:contextualSpacing/>
              <w:jc w:val="center"/>
              <w:rPr>
                <w:rFonts w:ascii="Calibri" w:eastAsia="Times New Roman" w:hAnsi="Calibri" w:cs="Calibri"/>
                <w:b/>
                <w:bCs/>
                <w:color w:val="000000"/>
                <w:sz w:val="18"/>
                <w:szCs w:val="18"/>
              </w:rPr>
            </w:pPr>
            <w:r w:rsidRPr="00811833">
              <w:rPr>
                <w:b/>
                <w:bCs/>
                <w:sz w:val="18"/>
                <w:szCs w:val="18"/>
              </w:rPr>
              <w:t>Average Daily visits in peak month</w:t>
            </w:r>
          </w:p>
        </w:tc>
        <w:tc>
          <w:tcPr>
            <w:tcW w:w="1165" w:type="dxa"/>
            <w:tcBorders>
              <w:bottom w:val="single" w:sz="4" w:space="0" w:color="auto"/>
            </w:tcBorders>
            <w:shd w:val="clear" w:color="auto" w:fill="95B3D7" w:themeFill="accent1" w:themeFillTint="99"/>
            <w:noWrap/>
            <w:vAlign w:val="center"/>
            <w:hideMark/>
          </w:tcPr>
          <w:p w:rsidR="00D04672" w:rsidP="009452B0" w14:paraId="06C08ADE" w14:textId="77777777">
            <w:pPr>
              <w:contextualSpacing/>
              <w:jc w:val="center"/>
              <w:rPr>
                <w:b/>
                <w:bCs/>
                <w:sz w:val="18"/>
                <w:szCs w:val="18"/>
              </w:rPr>
            </w:pPr>
            <w:r w:rsidRPr="00811833">
              <w:rPr>
                <w:b/>
                <w:bCs/>
                <w:sz w:val="18"/>
                <w:szCs w:val="18"/>
              </w:rPr>
              <w:t xml:space="preserve">Respondent Universe </w:t>
            </w:r>
          </w:p>
          <w:p w:rsidR="00A16602" w:rsidRPr="00811833" w:rsidP="009452B0" w14:paraId="74B3B929" w14:textId="7617B67B">
            <w:pPr>
              <w:contextualSpacing/>
              <w:jc w:val="center"/>
              <w:rPr>
                <w:rFonts w:ascii="Calibri" w:eastAsia="Times New Roman" w:hAnsi="Calibri" w:cs="Calibri"/>
                <w:b/>
                <w:bCs/>
                <w:color w:val="000000"/>
                <w:sz w:val="18"/>
                <w:szCs w:val="18"/>
              </w:rPr>
            </w:pPr>
            <w:r w:rsidRPr="00811833">
              <w:rPr>
                <w:b/>
                <w:bCs/>
                <w:sz w:val="18"/>
                <w:szCs w:val="18"/>
              </w:rPr>
              <w:t>(10 days)</w:t>
            </w:r>
          </w:p>
        </w:tc>
      </w:tr>
      <w:tr w14:paraId="4BD0D452" w14:textId="77777777" w:rsidTr="00D1499E">
        <w:tblPrEx>
          <w:tblW w:w="0" w:type="auto"/>
          <w:tblLayout w:type="fixed"/>
          <w:tblLook w:val="04A0"/>
        </w:tblPrEx>
        <w:trPr>
          <w:trHeight w:val="377"/>
        </w:trPr>
        <w:tc>
          <w:tcPr>
            <w:tcW w:w="9350" w:type="dxa"/>
            <w:gridSpan w:val="7"/>
            <w:tcBorders>
              <w:top w:val="single" w:sz="4" w:space="0" w:color="auto"/>
              <w:left w:val="nil"/>
              <w:right w:val="nil"/>
            </w:tcBorders>
            <w:shd w:val="clear" w:color="auto" w:fill="B8CCE4" w:themeFill="accent1" w:themeFillTint="66"/>
            <w:noWrap/>
            <w:vAlign w:val="center"/>
          </w:tcPr>
          <w:p w:rsidR="00254BC3" w:rsidRPr="007E2E96" w:rsidP="00CB4653" w14:paraId="522AB78F" w14:textId="7977B1E2">
            <w:pPr>
              <w:rPr>
                <w:rFonts w:ascii="Calibri" w:eastAsia="Times New Roman" w:hAnsi="Calibri" w:cs="Calibri"/>
                <w:b/>
                <w:bCs/>
                <w:color w:val="000000"/>
                <w:sz w:val="20"/>
                <w:szCs w:val="20"/>
              </w:rPr>
            </w:pPr>
            <w:r w:rsidRPr="007E2E96">
              <w:rPr>
                <w:b/>
                <w:bCs/>
                <w:sz w:val="20"/>
                <w:szCs w:val="20"/>
              </w:rPr>
              <w:t>Park Type</w:t>
            </w:r>
            <w:r w:rsidRPr="007E2E96" w:rsidR="00A16602">
              <w:rPr>
                <w:b/>
                <w:bCs/>
                <w:sz w:val="20"/>
                <w:szCs w:val="20"/>
              </w:rPr>
              <w:t xml:space="preserve">: </w:t>
            </w:r>
            <w:r w:rsidRPr="007E2E96" w:rsidR="00A16602">
              <w:rPr>
                <w:sz w:val="20"/>
                <w:szCs w:val="20"/>
              </w:rPr>
              <w:t>Nature</w:t>
            </w:r>
          </w:p>
        </w:tc>
      </w:tr>
      <w:tr w14:paraId="58060E86" w14:textId="77777777" w:rsidTr="00D04672">
        <w:tblPrEx>
          <w:tblW w:w="0" w:type="auto"/>
          <w:tblLayout w:type="fixed"/>
          <w:tblLook w:val="04A0"/>
        </w:tblPrEx>
        <w:trPr>
          <w:trHeight w:val="282"/>
        </w:trPr>
        <w:tc>
          <w:tcPr>
            <w:tcW w:w="535" w:type="dxa"/>
            <w:noWrap/>
            <w:hideMark/>
          </w:tcPr>
          <w:p w:rsidR="00A16602" w:rsidRPr="007E2E96" w:rsidP="00CC5303" w14:paraId="064D731D" w14:textId="33B5F66A">
            <w:pPr>
              <w:jc w:val="center"/>
              <w:rPr>
                <w:rFonts w:ascii="Calibri" w:eastAsia="Times New Roman" w:hAnsi="Calibri" w:cs="Calibri"/>
                <w:color w:val="000000"/>
                <w:sz w:val="20"/>
                <w:szCs w:val="20"/>
              </w:rPr>
            </w:pPr>
            <w:r w:rsidRPr="007E2E96">
              <w:rPr>
                <w:sz w:val="20"/>
                <w:szCs w:val="20"/>
              </w:rPr>
              <w:t>1</w:t>
            </w:r>
          </w:p>
        </w:tc>
        <w:tc>
          <w:tcPr>
            <w:tcW w:w="2790" w:type="dxa"/>
            <w:noWrap/>
            <w:vAlign w:val="center"/>
            <w:hideMark/>
          </w:tcPr>
          <w:p w:rsidR="00A16602" w:rsidRPr="007E2E96" w:rsidP="00A16602" w14:paraId="26A5701C" w14:textId="1063AE5D">
            <w:pPr>
              <w:rPr>
                <w:sz w:val="20"/>
                <w:szCs w:val="20"/>
              </w:rPr>
            </w:pPr>
            <w:r w:rsidRPr="007E2E96">
              <w:rPr>
                <w:sz w:val="20"/>
                <w:szCs w:val="20"/>
              </w:rPr>
              <w:t>Mammoth Cave National Park</w:t>
            </w:r>
          </w:p>
        </w:tc>
        <w:tc>
          <w:tcPr>
            <w:tcW w:w="900" w:type="dxa"/>
            <w:vAlign w:val="center"/>
          </w:tcPr>
          <w:p w:rsidR="00A16602" w:rsidRPr="007E2E96" w:rsidP="009452B0" w14:paraId="364B00E8" w14:textId="3FFEF83A">
            <w:pPr>
              <w:jc w:val="center"/>
              <w:rPr>
                <w:sz w:val="20"/>
                <w:szCs w:val="20"/>
              </w:rPr>
            </w:pPr>
            <w:r w:rsidRPr="007E2E96">
              <w:rPr>
                <w:sz w:val="20"/>
                <w:szCs w:val="20"/>
              </w:rPr>
              <w:t>Small</w:t>
            </w:r>
          </w:p>
        </w:tc>
        <w:tc>
          <w:tcPr>
            <w:tcW w:w="1260" w:type="dxa"/>
            <w:noWrap/>
            <w:vAlign w:val="center"/>
            <w:hideMark/>
          </w:tcPr>
          <w:p w:rsidR="00A16602" w:rsidRPr="007E2E96" w:rsidP="002D22F9" w14:paraId="6549F0EF" w14:textId="4E596EF3">
            <w:pPr>
              <w:jc w:val="center"/>
              <w:rPr>
                <w:rFonts w:ascii="Calibri" w:eastAsia="Times New Roman" w:hAnsi="Calibri" w:cs="Calibri"/>
                <w:color w:val="000000"/>
                <w:sz w:val="20"/>
                <w:szCs w:val="20"/>
              </w:rPr>
            </w:pPr>
            <w:r w:rsidRPr="007E2E96">
              <w:rPr>
                <w:sz w:val="20"/>
                <w:szCs w:val="20"/>
              </w:rPr>
              <w:t>551,687</w:t>
            </w:r>
          </w:p>
        </w:tc>
        <w:tc>
          <w:tcPr>
            <w:tcW w:w="1260" w:type="dxa"/>
            <w:noWrap/>
            <w:vAlign w:val="center"/>
            <w:hideMark/>
          </w:tcPr>
          <w:p w:rsidR="00A16602" w:rsidRPr="007E2E96" w:rsidP="002D22F9" w14:paraId="60ACE59A" w14:textId="6ACF67CC">
            <w:pPr>
              <w:jc w:val="center"/>
              <w:rPr>
                <w:rFonts w:ascii="Calibri" w:eastAsia="Times New Roman" w:hAnsi="Calibri" w:cs="Calibri"/>
                <w:color w:val="000000"/>
                <w:sz w:val="20"/>
                <w:szCs w:val="20"/>
              </w:rPr>
            </w:pPr>
            <w:r w:rsidRPr="007E2E96">
              <w:rPr>
                <w:sz w:val="20"/>
                <w:szCs w:val="20"/>
              </w:rPr>
              <w:t>108,686</w:t>
            </w:r>
          </w:p>
        </w:tc>
        <w:tc>
          <w:tcPr>
            <w:tcW w:w="1440" w:type="dxa"/>
            <w:noWrap/>
            <w:vAlign w:val="center"/>
            <w:hideMark/>
          </w:tcPr>
          <w:p w:rsidR="00A16602" w:rsidRPr="007E2E96" w:rsidP="002D22F9" w14:paraId="63F12A8C" w14:textId="4F59F5B9">
            <w:pPr>
              <w:jc w:val="center"/>
              <w:rPr>
                <w:rFonts w:ascii="Calibri" w:eastAsia="Times New Roman" w:hAnsi="Calibri" w:cs="Calibri"/>
                <w:color w:val="000000"/>
                <w:sz w:val="20"/>
                <w:szCs w:val="20"/>
              </w:rPr>
            </w:pPr>
            <w:r w:rsidRPr="007E2E96">
              <w:rPr>
                <w:sz w:val="20"/>
                <w:szCs w:val="20"/>
              </w:rPr>
              <w:t>3,506</w:t>
            </w:r>
          </w:p>
        </w:tc>
        <w:tc>
          <w:tcPr>
            <w:tcW w:w="1165" w:type="dxa"/>
            <w:noWrap/>
            <w:vAlign w:val="center"/>
            <w:hideMark/>
          </w:tcPr>
          <w:p w:rsidR="00A16602" w:rsidRPr="007E2E96" w:rsidP="002D22F9" w14:paraId="35FA2263" w14:textId="232DE46A">
            <w:pPr>
              <w:jc w:val="center"/>
              <w:rPr>
                <w:rFonts w:ascii="Calibri" w:eastAsia="Times New Roman" w:hAnsi="Calibri" w:cs="Calibri"/>
                <w:color w:val="000000"/>
                <w:sz w:val="20"/>
                <w:szCs w:val="20"/>
              </w:rPr>
            </w:pPr>
            <w:r w:rsidRPr="007E2E96">
              <w:rPr>
                <w:sz w:val="20"/>
                <w:szCs w:val="20"/>
              </w:rPr>
              <w:t>35,060</w:t>
            </w:r>
          </w:p>
        </w:tc>
      </w:tr>
      <w:tr w14:paraId="4D53FB54" w14:textId="77777777" w:rsidTr="00200374">
        <w:tblPrEx>
          <w:tblW w:w="0" w:type="auto"/>
          <w:tblLayout w:type="fixed"/>
          <w:tblLook w:val="04A0"/>
        </w:tblPrEx>
        <w:trPr>
          <w:trHeight w:val="282"/>
        </w:trPr>
        <w:tc>
          <w:tcPr>
            <w:tcW w:w="535" w:type="dxa"/>
            <w:shd w:val="clear" w:color="auto" w:fill="auto"/>
            <w:noWrap/>
            <w:hideMark/>
          </w:tcPr>
          <w:p w:rsidR="00A16602" w:rsidRPr="007E2E96" w:rsidP="00CC5303" w14:paraId="7B680D5B" w14:textId="50BB06F3">
            <w:pPr>
              <w:jc w:val="center"/>
              <w:rPr>
                <w:rFonts w:ascii="Calibri" w:eastAsia="Times New Roman" w:hAnsi="Calibri" w:cs="Calibri"/>
                <w:color w:val="000000"/>
                <w:sz w:val="20"/>
                <w:szCs w:val="20"/>
              </w:rPr>
            </w:pPr>
            <w:r w:rsidRPr="007E2E96">
              <w:rPr>
                <w:sz w:val="20"/>
                <w:szCs w:val="20"/>
              </w:rPr>
              <w:t>2</w:t>
            </w:r>
          </w:p>
        </w:tc>
        <w:tc>
          <w:tcPr>
            <w:tcW w:w="2790" w:type="dxa"/>
            <w:shd w:val="clear" w:color="auto" w:fill="auto"/>
            <w:noWrap/>
            <w:vAlign w:val="center"/>
            <w:hideMark/>
          </w:tcPr>
          <w:p w:rsidR="00A16602" w:rsidRPr="007E2E96" w:rsidP="00A16602" w14:paraId="00E9530E" w14:textId="2F927957">
            <w:pPr>
              <w:rPr>
                <w:sz w:val="20"/>
                <w:szCs w:val="20"/>
              </w:rPr>
            </w:pPr>
            <w:r w:rsidRPr="007E2E96">
              <w:rPr>
                <w:sz w:val="20"/>
                <w:szCs w:val="20"/>
              </w:rPr>
              <w:t>Organ Pipe Cactus National Monument</w:t>
            </w:r>
          </w:p>
        </w:tc>
        <w:tc>
          <w:tcPr>
            <w:tcW w:w="900" w:type="dxa"/>
            <w:shd w:val="clear" w:color="auto" w:fill="auto"/>
            <w:vAlign w:val="center"/>
          </w:tcPr>
          <w:p w:rsidR="00A16602" w:rsidRPr="007E2E96" w:rsidP="009452B0" w14:paraId="0BDAE67C" w14:textId="2657D262">
            <w:pPr>
              <w:jc w:val="center"/>
              <w:rPr>
                <w:sz w:val="20"/>
                <w:szCs w:val="20"/>
              </w:rPr>
            </w:pPr>
            <w:r w:rsidRPr="007E2E96">
              <w:rPr>
                <w:sz w:val="20"/>
                <w:szCs w:val="20"/>
              </w:rPr>
              <w:t>Small</w:t>
            </w:r>
          </w:p>
        </w:tc>
        <w:tc>
          <w:tcPr>
            <w:tcW w:w="1260" w:type="dxa"/>
            <w:shd w:val="clear" w:color="auto" w:fill="auto"/>
            <w:noWrap/>
            <w:vAlign w:val="center"/>
            <w:hideMark/>
          </w:tcPr>
          <w:p w:rsidR="00A16602" w:rsidRPr="007E2E96" w:rsidP="002D22F9" w14:paraId="52861966" w14:textId="3280145D">
            <w:pPr>
              <w:jc w:val="center"/>
              <w:rPr>
                <w:rFonts w:ascii="Calibri" w:eastAsia="Times New Roman" w:hAnsi="Calibri" w:cs="Calibri"/>
                <w:color w:val="000000"/>
                <w:sz w:val="20"/>
                <w:szCs w:val="20"/>
              </w:rPr>
            </w:pPr>
            <w:r w:rsidRPr="007E2E96">
              <w:rPr>
                <w:sz w:val="20"/>
                <w:szCs w:val="20"/>
              </w:rPr>
              <w:t>229,771</w:t>
            </w:r>
          </w:p>
        </w:tc>
        <w:tc>
          <w:tcPr>
            <w:tcW w:w="1260" w:type="dxa"/>
            <w:shd w:val="clear" w:color="auto" w:fill="auto"/>
            <w:noWrap/>
            <w:vAlign w:val="center"/>
            <w:hideMark/>
          </w:tcPr>
          <w:p w:rsidR="00A16602" w:rsidRPr="007E2E96" w:rsidP="002D22F9" w14:paraId="7D89321F" w14:textId="0BED48A0">
            <w:pPr>
              <w:jc w:val="center"/>
              <w:rPr>
                <w:rFonts w:ascii="Calibri" w:eastAsia="Times New Roman" w:hAnsi="Calibri" w:cs="Calibri"/>
                <w:color w:val="000000"/>
                <w:sz w:val="20"/>
                <w:szCs w:val="20"/>
              </w:rPr>
            </w:pPr>
            <w:r w:rsidRPr="007E2E96">
              <w:rPr>
                <w:sz w:val="20"/>
                <w:szCs w:val="20"/>
              </w:rPr>
              <w:t>33,852</w:t>
            </w:r>
          </w:p>
        </w:tc>
        <w:tc>
          <w:tcPr>
            <w:tcW w:w="1440" w:type="dxa"/>
            <w:shd w:val="clear" w:color="auto" w:fill="auto"/>
            <w:noWrap/>
            <w:vAlign w:val="center"/>
            <w:hideMark/>
          </w:tcPr>
          <w:p w:rsidR="00A16602" w:rsidRPr="007E2E96" w:rsidP="002D22F9" w14:paraId="1354C7D3" w14:textId="00572B17">
            <w:pPr>
              <w:jc w:val="center"/>
              <w:rPr>
                <w:rFonts w:ascii="Calibri" w:eastAsia="Times New Roman" w:hAnsi="Calibri" w:cs="Calibri"/>
                <w:color w:val="000000"/>
                <w:sz w:val="20"/>
                <w:szCs w:val="20"/>
              </w:rPr>
            </w:pPr>
            <w:r w:rsidRPr="007E2E96">
              <w:rPr>
                <w:sz w:val="20"/>
                <w:szCs w:val="20"/>
              </w:rPr>
              <w:t>1,092</w:t>
            </w:r>
          </w:p>
        </w:tc>
        <w:tc>
          <w:tcPr>
            <w:tcW w:w="1165" w:type="dxa"/>
            <w:shd w:val="clear" w:color="auto" w:fill="auto"/>
            <w:noWrap/>
            <w:vAlign w:val="center"/>
            <w:hideMark/>
          </w:tcPr>
          <w:p w:rsidR="00A16602" w:rsidRPr="007E2E96" w:rsidP="002D22F9" w14:paraId="3682A72B" w14:textId="5B61FD3F">
            <w:pPr>
              <w:jc w:val="center"/>
              <w:rPr>
                <w:rFonts w:ascii="Calibri" w:eastAsia="Times New Roman" w:hAnsi="Calibri" w:cs="Calibri"/>
                <w:color w:val="000000"/>
                <w:sz w:val="20"/>
                <w:szCs w:val="20"/>
              </w:rPr>
            </w:pPr>
            <w:r w:rsidRPr="007E2E96">
              <w:rPr>
                <w:sz w:val="20"/>
                <w:szCs w:val="20"/>
              </w:rPr>
              <w:t>10,920</w:t>
            </w:r>
          </w:p>
        </w:tc>
      </w:tr>
      <w:tr w14:paraId="4ADCB73D" w14:textId="77777777" w:rsidTr="00200374">
        <w:tblPrEx>
          <w:tblW w:w="0" w:type="auto"/>
          <w:tblLayout w:type="fixed"/>
          <w:tblLook w:val="04A0"/>
        </w:tblPrEx>
        <w:trPr>
          <w:trHeight w:val="282"/>
        </w:trPr>
        <w:tc>
          <w:tcPr>
            <w:tcW w:w="535" w:type="dxa"/>
            <w:shd w:val="clear" w:color="auto" w:fill="auto"/>
            <w:noWrap/>
            <w:hideMark/>
          </w:tcPr>
          <w:p w:rsidR="00A16602" w:rsidRPr="007E2E96" w:rsidP="00CC5303" w14:paraId="29DDB622" w14:textId="1F37D2BD">
            <w:pPr>
              <w:jc w:val="center"/>
              <w:rPr>
                <w:rFonts w:ascii="Calibri" w:eastAsia="Times New Roman" w:hAnsi="Calibri" w:cs="Calibri"/>
                <w:color w:val="000000"/>
                <w:sz w:val="20"/>
                <w:szCs w:val="20"/>
              </w:rPr>
            </w:pPr>
            <w:r w:rsidRPr="007E2E96">
              <w:rPr>
                <w:sz w:val="20"/>
                <w:szCs w:val="20"/>
              </w:rPr>
              <w:t>3</w:t>
            </w:r>
          </w:p>
        </w:tc>
        <w:tc>
          <w:tcPr>
            <w:tcW w:w="2790" w:type="dxa"/>
            <w:shd w:val="clear" w:color="auto" w:fill="auto"/>
            <w:noWrap/>
            <w:vAlign w:val="center"/>
            <w:hideMark/>
          </w:tcPr>
          <w:p w:rsidR="00A16602" w:rsidRPr="007E2E96" w:rsidP="00A16602" w14:paraId="1EF316BE" w14:textId="7D5D79D6">
            <w:pPr>
              <w:rPr>
                <w:sz w:val="20"/>
                <w:szCs w:val="20"/>
              </w:rPr>
            </w:pPr>
            <w:r w:rsidRPr="007E2E96">
              <w:rPr>
                <w:sz w:val="20"/>
                <w:szCs w:val="20"/>
              </w:rPr>
              <w:t>John Day Fossil Beds National Monument</w:t>
            </w:r>
          </w:p>
        </w:tc>
        <w:tc>
          <w:tcPr>
            <w:tcW w:w="900" w:type="dxa"/>
            <w:shd w:val="clear" w:color="auto" w:fill="auto"/>
            <w:vAlign w:val="center"/>
          </w:tcPr>
          <w:p w:rsidR="00A16602" w:rsidRPr="007E2E96" w:rsidP="009452B0" w14:paraId="4BDB1AA2" w14:textId="256A7627">
            <w:pPr>
              <w:jc w:val="center"/>
              <w:rPr>
                <w:sz w:val="20"/>
                <w:szCs w:val="20"/>
              </w:rPr>
            </w:pPr>
            <w:r w:rsidRPr="007E2E96">
              <w:rPr>
                <w:sz w:val="20"/>
                <w:szCs w:val="20"/>
              </w:rPr>
              <w:t>Small</w:t>
            </w:r>
          </w:p>
        </w:tc>
        <w:tc>
          <w:tcPr>
            <w:tcW w:w="1260" w:type="dxa"/>
            <w:shd w:val="clear" w:color="auto" w:fill="auto"/>
            <w:noWrap/>
            <w:vAlign w:val="center"/>
            <w:hideMark/>
          </w:tcPr>
          <w:p w:rsidR="00A16602" w:rsidRPr="007E2E96" w:rsidP="002D22F9" w14:paraId="72FF9915" w14:textId="53453B24">
            <w:pPr>
              <w:jc w:val="center"/>
              <w:rPr>
                <w:rFonts w:ascii="Calibri" w:eastAsia="Times New Roman" w:hAnsi="Calibri" w:cs="Calibri"/>
                <w:color w:val="000000"/>
                <w:sz w:val="20"/>
                <w:szCs w:val="20"/>
              </w:rPr>
            </w:pPr>
            <w:r w:rsidRPr="007E2E96">
              <w:rPr>
                <w:sz w:val="20"/>
                <w:szCs w:val="20"/>
              </w:rPr>
              <w:t>192,129</w:t>
            </w:r>
          </w:p>
        </w:tc>
        <w:tc>
          <w:tcPr>
            <w:tcW w:w="1260" w:type="dxa"/>
            <w:shd w:val="clear" w:color="auto" w:fill="auto"/>
            <w:noWrap/>
            <w:vAlign w:val="center"/>
            <w:hideMark/>
          </w:tcPr>
          <w:p w:rsidR="00A16602" w:rsidRPr="007E2E96" w:rsidP="002D22F9" w14:paraId="52A0AE05" w14:textId="2BF41F41">
            <w:pPr>
              <w:jc w:val="center"/>
              <w:rPr>
                <w:rFonts w:ascii="Calibri" w:eastAsia="Times New Roman" w:hAnsi="Calibri" w:cs="Calibri"/>
                <w:color w:val="000000"/>
                <w:sz w:val="20"/>
                <w:szCs w:val="20"/>
              </w:rPr>
            </w:pPr>
            <w:r w:rsidRPr="007E2E96">
              <w:rPr>
                <w:sz w:val="20"/>
                <w:szCs w:val="20"/>
              </w:rPr>
              <w:t>33,110</w:t>
            </w:r>
          </w:p>
        </w:tc>
        <w:tc>
          <w:tcPr>
            <w:tcW w:w="1440" w:type="dxa"/>
            <w:shd w:val="clear" w:color="auto" w:fill="auto"/>
            <w:noWrap/>
            <w:vAlign w:val="center"/>
            <w:hideMark/>
          </w:tcPr>
          <w:p w:rsidR="00A16602" w:rsidRPr="007E2E96" w:rsidP="002D22F9" w14:paraId="7940C52A" w14:textId="06E391A5">
            <w:pPr>
              <w:jc w:val="center"/>
              <w:rPr>
                <w:rFonts w:ascii="Calibri" w:eastAsia="Times New Roman" w:hAnsi="Calibri" w:cs="Calibri"/>
                <w:color w:val="000000"/>
                <w:sz w:val="20"/>
                <w:szCs w:val="20"/>
              </w:rPr>
            </w:pPr>
            <w:r w:rsidRPr="007E2E96">
              <w:rPr>
                <w:sz w:val="20"/>
                <w:szCs w:val="20"/>
              </w:rPr>
              <w:t>1,068</w:t>
            </w:r>
          </w:p>
        </w:tc>
        <w:tc>
          <w:tcPr>
            <w:tcW w:w="1165" w:type="dxa"/>
            <w:shd w:val="clear" w:color="auto" w:fill="auto"/>
            <w:noWrap/>
            <w:vAlign w:val="center"/>
            <w:hideMark/>
          </w:tcPr>
          <w:p w:rsidR="00A16602" w:rsidRPr="007E2E96" w:rsidP="002D22F9" w14:paraId="44D8C3CF" w14:textId="5E55D965">
            <w:pPr>
              <w:jc w:val="center"/>
              <w:rPr>
                <w:rFonts w:ascii="Calibri" w:eastAsia="Times New Roman" w:hAnsi="Calibri" w:cs="Calibri"/>
                <w:color w:val="000000"/>
                <w:sz w:val="20"/>
                <w:szCs w:val="20"/>
              </w:rPr>
            </w:pPr>
            <w:r w:rsidRPr="007E2E96">
              <w:rPr>
                <w:sz w:val="20"/>
                <w:szCs w:val="20"/>
              </w:rPr>
              <w:t>10,681</w:t>
            </w:r>
          </w:p>
        </w:tc>
      </w:tr>
      <w:tr w14:paraId="58796AE3" w14:textId="77777777" w:rsidTr="00200374">
        <w:tblPrEx>
          <w:tblW w:w="0" w:type="auto"/>
          <w:tblLayout w:type="fixed"/>
          <w:tblLook w:val="04A0"/>
        </w:tblPrEx>
        <w:trPr>
          <w:trHeight w:val="282"/>
        </w:trPr>
        <w:tc>
          <w:tcPr>
            <w:tcW w:w="535" w:type="dxa"/>
            <w:shd w:val="clear" w:color="auto" w:fill="auto"/>
            <w:noWrap/>
            <w:hideMark/>
          </w:tcPr>
          <w:p w:rsidR="00A16602" w:rsidRPr="007E2E96" w:rsidP="00CC5303" w14:paraId="106E6D3D" w14:textId="77278ADE">
            <w:pPr>
              <w:jc w:val="center"/>
              <w:rPr>
                <w:rFonts w:ascii="Calibri" w:eastAsia="Times New Roman" w:hAnsi="Calibri" w:cs="Calibri"/>
                <w:color w:val="000000"/>
                <w:sz w:val="20"/>
                <w:szCs w:val="20"/>
              </w:rPr>
            </w:pPr>
            <w:r w:rsidRPr="007E2E96">
              <w:rPr>
                <w:sz w:val="20"/>
                <w:szCs w:val="20"/>
              </w:rPr>
              <w:t>4</w:t>
            </w:r>
          </w:p>
        </w:tc>
        <w:tc>
          <w:tcPr>
            <w:tcW w:w="2790" w:type="dxa"/>
            <w:shd w:val="clear" w:color="auto" w:fill="auto"/>
            <w:noWrap/>
            <w:vAlign w:val="center"/>
            <w:hideMark/>
          </w:tcPr>
          <w:p w:rsidR="00A16602" w:rsidRPr="007E2E96" w:rsidP="00A16602" w14:paraId="3F5CEE2A" w14:textId="31C67428">
            <w:pPr>
              <w:rPr>
                <w:sz w:val="20"/>
                <w:szCs w:val="20"/>
              </w:rPr>
            </w:pPr>
            <w:r w:rsidRPr="007E2E96">
              <w:rPr>
                <w:sz w:val="20"/>
                <w:szCs w:val="20"/>
              </w:rPr>
              <w:t>Great Smoky Mountains National Park</w:t>
            </w:r>
          </w:p>
        </w:tc>
        <w:tc>
          <w:tcPr>
            <w:tcW w:w="900" w:type="dxa"/>
            <w:shd w:val="clear" w:color="auto" w:fill="auto"/>
            <w:vAlign w:val="center"/>
          </w:tcPr>
          <w:p w:rsidR="00A16602" w:rsidRPr="007E2E96" w:rsidP="009452B0" w14:paraId="0BCC72DE" w14:textId="38662C04">
            <w:pPr>
              <w:jc w:val="center"/>
              <w:rPr>
                <w:sz w:val="20"/>
                <w:szCs w:val="20"/>
              </w:rPr>
            </w:pPr>
            <w:r w:rsidRPr="007E2E96">
              <w:rPr>
                <w:sz w:val="20"/>
                <w:szCs w:val="20"/>
              </w:rPr>
              <w:t>Large</w:t>
            </w:r>
          </w:p>
        </w:tc>
        <w:tc>
          <w:tcPr>
            <w:tcW w:w="1260" w:type="dxa"/>
            <w:shd w:val="clear" w:color="auto" w:fill="auto"/>
            <w:noWrap/>
            <w:vAlign w:val="center"/>
            <w:hideMark/>
          </w:tcPr>
          <w:p w:rsidR="00A16602" w:rsidRPr="007E2E96" w:rsidP="002D22F9" w14:paraId="71B79D09" w14:textId="33A41675">
            <w:pPr>
              <w:jc w:val="center"/>
              <w:rPr>
                <w:rFonts w:ascii="Calibri" w:eastAsia="Times New Roman" w:hAnsi="Calibri" w:cs="Calibri"/>
                <w:color w:val="000000"/>
                <w:sz w:val="20"/>
                <w:szCs w:val="20"/>
              </w:rPr>
            </w:pPr>
            <w:r w:rsidRPr="007E2E96">
              <w:rPr>
                <w:sz w:val="20"/>
                <w:szCs w:val="20"/>
              </w:rPr>
              <w:t>10,563,665</w:t>
            </w:r>
          </w:p>
        </w:tc>
        <w:tc>
          <w:tcPr>
            <w:tcW w:w="1260" w:type="dxa"/>
            <w:shd w:val="clear" w:color="auto" w:fill="auto"/>
            <w:noWrap/>
            <w:vAlign w:val="center"/>
            <w:hideMark/>
          </w:tcPr>
          <w:p w:rsidR="00A16602" w:rsidRPr="007E2E96" w:rsidP="002D22F9" w14:paraId="2C1068C4" w14:textId="12EAF453">
            <w:pPr>
              <w:jc w:val="center"/>
              <w:rPr>
                <w:rFonts w:ascii="Calibri" w:eastAsia="Times New Roman" w:hAnsi="Calibri" w:cs="Calibri"/>
                <w:color w:val="000000"/>
                <w:sz w:val="20"/>
                <w:szCs w:val="20"/>
              </w:rPr>
            </w:pPr>
            <w:r w:rsidRPr="007E2E96">
              <w:rPr>
                <w:sz w:val="20"/>
                <w:szCs w:val="20"/>
              </w:rPr>
              <w:t>1,448,692</w:t>
            </w:r>
          </w:p>
        </w:tc>
        <w:tc>
          <w:tcPr>
            <w:tcW w:w="1440" w:type="dxa"/>
            <w:shd w:val="clear" w:color="auto" w:fill="auto"/>
            <w:noWrap/>
            <w:vAlign w:val="center"/>
            <w:hideMark/>
          </w:tcPr>
          <w:p w:rsidR="00A16602" w:rsidRPr="007E2E96" w:rsidP="002D22F9" w14:paraId="0C9002D8" w14:textId="221B6FD6">
            <w:pPr>
              <w:jc w:val="center"/>
              <w:rPr>
                <w:rFonts w:ascii="Calibri" w:eastAsia="Times New Roman" w:hAnsi="Calibri" w:cs="Calibri"/>
                <w:color w:val="000000"/>
                <w:sz w:val="20"/>
                <w:szCs w:val="20"/>
              </w:rPr>
            </w:pPr>
            <w:r w:rsidRPr="007E2E96">
              <w:rPr>
                <w:sz w:val="20"/>
                <w:szCs w:val="20"/>
              </w:rPr>
              <w:t>46,732</w:t>
            </w:r>
          </w:p>
        </w:tc>
        <w:tc>
          <w:tcPr>
            <w:tcW w:w="1165" w:type="dxa"/>
            <w:shd w:val="clear" w:color="auto" w:fill="auto"/>
            <w:noWrap/>
            <w:vAlign w:val="center"/>
            <w:hideMark/>
          </w:tcPr>
          <w:p w:rsidR="00A16602" w:rsidRPr="007E2E96" w:rsidP="002D22F9" w14:paraId="0BC9D191" w14:textId="6490B1D6">
            <w:pPr>
              <w:jc w:val="center"/>
              <w:rPr>
                <w:rFonts w:ascii="Calibri" w:eastAsia="Times New Roman" w:hAnsi="Calibri" w:cs="Calibri"/>
                <w:color w:val="000000"/>
                <w:sz w:val="20"/>
                <w:szCs w:val="20"/>
              </w:rPr>
            </w:pPr>
            <w:bookmarkStart w:id="0" w:name="_Hlk121302784"/>
            <w:r w:rsidRPr="007E2E96">
              <w:rPr>
                <w:sz w:val="20"/>
                <w:szCs w:val="20"/>
              </w:rPr>
              <w:t>467,320</w:t>
            </w:r>
            <w:bookmarkEnd w:id="0"/>
          </w:p>
        </w:tc>
      </w:tr>
      <w:tr w14:paraId="74618A74" w14:textId="77777777" w:rsidTr="00200374">
        <w:tblPrEx>
          <w:tblW w:w="0" w:type="auto"/>
          <w:tblLayout w:type="fixed"/>
          <w:tblLook w:val="04A0"/>
        </w:tblPrEx>
        <w:trPr>
          <w:trHeight w:val="282"/>
        </w:trPr>
        <w:tc>
          <w:tcPr>
            <w:tcW w:w="535" w:type="dxa"/>
            <w:shd w:val="clear" w:color="auto" w:fill="auto"/>
            <w:noWrap/>
            <w:hideMark/>
          </w:tcPr>
          <w:p w:rsidR="00A16602" w:rsidRPr="007E2E96" w:rsidP="00CC5303" w14:paraId="45065DAE" w14:textId="7DD7CFB3">
            <w:pPr>
              <w:jc w:val="center"/>
              <w:rPr>
                <w:rFonts w:ascii="Calibri" w:eastAsia="Times New Roman" w:hAnsi="Calibri" w:cs="Calibri"/>
                <w:color w:val="000000"/>
                <w:sz w:val="20"/>
                <w:szCs w:val="20"/>
              </w:rPr>
            </w:pPr>
            <w:r w:rsidRPr="007E2E96">
              <w:rPr>
                <w:sz w:val="20"/>
                <w:szCs w:val="20"/>
              </w:rPr>
              <w:t>5</w:t>
            </w:r>
          </w:p>
        </w:tc>
        <w:tc>
          <w:tcPr>
            <w:tcW w:w="2790" w:type="dxa"/>
            <w:shd w:val="clear" w:color="auto" w:fill="auto"/>
            <w:noWrap/>
            <w:vAlign w:val="center"/>
            <w:hideMark/>
          </w:tcPr>
          <w:p w:rsidR="00A16602" w:rsidRPr="007E2E96" w:rsidP="00A16602" w14:paraId="05D3DBDE" w14:textId="5BA69BB5">
            <w:pPr>
              <w:rPr>
                <w:sz w:val="20"/>
                <w:szCs w:val="20"/>
              </w:rPr>
            </w:pPr>
            <w:r w:rsidRPr="007E2E96">
              <w:rPr>
                <w:sz w:val="20"/>
                <w:szCs w:val="20"/>
              </w:rPr>
              <w:t>Grand Canyon National Park</w:t>
            </w:r>
          </w:p>
        </w:tc>
        <w:tc>
          <w:tcPr>
            <w:tcW w:w="900" w:type="dxa"/>
            <w:shd w:val="clear" w:color="auto" w:fill="auto"/>
            <w:vAlign w:val="center"/>
          </w:tcPr>
          <w:p w:rsidR="00A16602" w:rsidRPr="007E2E96" w:rsidP="009452B0" w14:paraId="51048C4F" w14:textId="7662EB97">
            <w:pPr>
              <w:jc w:val="center"/>
              <w:rPr>
                <w:sz w:val="20"/>
                <w:szCs w:val="20"/>
              </w:rPr>
            </w:pPr>
            <w:r w:rsidRPr="007E2E96">
              <w:rPr>
                <w:sz w:val="20"/>
                <w:szCs w:val="20"/>
              </w:rPr>
              <w:t>Large</w:t>
            </w:r>
          </w:p>
        </w:tc>
        <w:tc>
          <w:tcPr>
            <w:tcW w:w="1260" w:type="dxa"/>
            <w:shd w:val="clear" w:color="auto" w:fill="auto"/>
            <w:noWrap/>
            <w:vAlign w:val="center"/>
            <w:hideMark/>
          </w:tcPr>
          <w:p w:rsidR="00A16602" w:rsidRPr="007E2E96" w:rsidP="002D22F9" w14:paraId="098145F2" w14:textId="7E4213AD">
            <w:pPr>
              <w:jc w:val="center"/>
              <w:rPr>
                <w:rFonts w:ascii="Calibri" w:eastAsia="Times New Roman" w:hAnsi="Calibri" w:cs="Calibri"/>
                <w:color w:val="000000"/>
                <w:sz w:val="20"/>
                <w:szCs w:val="20"/>
              </w:rPr>
            </w:pPr>
            <w:r w:rsidRPr="007E2E96">
              <w:rPr>
                <w:sz w:val="20"/>
                <w:szCs w:val="20"/>
              </w:rPr>
              <w:t>5,413,278</w:t>
            </w:r>
          </w:p>
        </w:tc>
        <w:tc>
          <w:tcPr>
            <w:tcW w:w="1260" w:type="dxa"/>
            <w:shd w:val="clear" w:color="auto" w:fill="auto"/>
            <w:noWrap/>
            <w:vAlign w:val="center"/>
            <w:hideMark/>
          </w:tcPr>
          <w:p w:rsidR="00A16602" w:rsidRPr="007E2E96" w:rsidP="002D22F9" w14:paraId="3F651607" w14:textId="55A4EFEA">
            <w:pPr>
              <w:jc w:val="center"/>
              <w:rPr>
                <w:rFonts w:ascii="Calibri" w:eastAsia="Times New Roman" w:hAnsi="Calibri" w:cs="Calibri"/>
                <w:color w:val="000000"/>
                <w:sz w:val="20"/>
                <w:szCs w:val="20"/>
              </w:rPr>
            </w:pPr>
            <w:r w:rsidRPr="007E2E96">
              <w:rPr>
                <w:sz w:val="20"/>
                <w:szCs w:val="20"/>
              </w:rPr>
              <w:t>748,350</w:t>
            </w:r>
          </w:p>
        </w:tc>
        <w:tc>
          <w:tcPr>
            <w:tcW w:w="1440" w:type="dxa"/>
            <w:shd w:val="clear" w:color="auto" w:fill="auto"/>
            <w:noWrap/>
            <w:vAlign w:val="center"/>
            <w:hideMark/>
          </w:tcPr>
          <w:p w:rsidR="00A16602" w:rsidRPr="007E2E96" w:rsidP="002D22F9" w14:paraId="240ADE77" w14:textId="79E2E4B3">
            <w:pPr>
              <w:jc w:val="center"/>
              <w:rPr>
                <w:rFonts w:ascii="Calibri" w:eastAsia="Times New Roman" w:hAnsi="Calibri" w:cs="Calibri"/>
                <w:color w:val="000000"/>
                <w:sz w:val="20"/>
                <w:szCs w:val="20"/>
              </w:rPr>
            </w:pPr>
            <w:r w:rsidRPr="007E2E96">
              <w:rPr>
                <w:sz w:val="20"/>
                <w:szCs w:val="20"/>
              </w:rPr>
              <w:t>24,140</w:t>
            </w:r>
          </w:p>
        </w:tc>
        <w:tc>
          <w:tcPr>
            <w:tcW w:w="1165" w:type="dxa"/>
            <w:shd w:val="clear" w:color="auto" w:fill="auto"/>
            <w:noWrap/>
            <w:vAlign w:val="center"/>
            <w:hideMark/>
          </w:tcPr>
          <w:p w:rsidR="00A16602" w:rsidRPr="007E2E96" w:rsidP="002D22F9" w14:paraId="50053F7D" w14:textId="53B19A1C">
            <w:pPr>
              <w:jc w:val="center"/>
              <w:rPr>
                <w:rFonts w:ascii="Calibri" w:eastAsia="Times New Roman" w:hAnsi="Calibri" w:cs="Calibri"/>
                <w:color w:val="000000"/>
                <w:sz w:val="20"/>
                <w:szCs w:val="20"/>
              </w:rPr>
            </w:pPr>
            <w:r w:rsidRPr="007E2E96">
              <w:rPr>
                <w:sz w:val="20"/>
                <w:szCs w:val="20"/>
              </w:rPr>
              <w:t>241,403</w:t>
            </w:r>
          </w:p>
        </w:tc>
      </w:tr>
      <w:tr w14:paraId="647A190B" w14:textId="77777777" w:rsidTr="00200374">
        <w:tblPrEx>
          <w:tblW w:w="0" w:type="auto"/>
          <w:tblLayout w:type="fixed"/>
          <w:tblLook w:val="04A0"/>
        </w:tblPrEx>
        <w:trPr>
          <w:trHeight w:val="282"/>
        </w:trPr>
        <w:tc>
          <w:tcPr>
            <w:tcW w:w="535" w:type="dxa"/>
            <w:shd w:val="clear" w:color="auto" w:fill="auto"/>
            <w:noWrap/>
            <w:hideMark/>
          </w:tcPr>
          <w:p w:rsidR="00A16602" w:rsidRPr="007E2E96" w:rsidP="00CC5303" w14:paraId="5D09817F" w14:textId="350A952A">
            <w:pPr>
              <w:jc w:val="center"/>
              <w:rPr>
                <w:rFonts w:ascii="Calibri" w:eastAsia="Times New Roman" w:hAnsi="Calibri" w:cs="Calibri"/>
                <w:color w:val="000000"/>
                <w:sz w:val="20"/>
                <w:szCs w:val="20"/>
              </w:rPr>
            </w:pPr>
            <w:r w:rsidRPr="007E2E96">
              <w:rPr>
                <w:sz w:val="20"/>
                <w:szCs w:val="20"/>
              </w:rPr>
              <w:t>6</w:t>
            </w:r>
          </w:p>
        </w:tc>
        <w:tc>
          <w:tcPr>
            <w:tcW w:w="2790" w:type="dxa"/>
            <w:shd w:val="clear" w:color="auto" w:fill="auto"/>
            <w:noWrap/>
            <w:vAlign w:val="center"/>
            <w:hideMark/>
          </w:tcPr>
          <w:p w:rsidR="00A16602" w:rsidRPr="007E2E96" w:rsidP="00A16602" w14:paraId="3AA7E0D0" w14:textId="4A57EF3B">
            <w:pPr>
              <w:rPr>
                <w:sz w:val="20"/>
                <w:szCs w:val="20"/>
              </w:rPr>
            </w:pPr>
            <w:r w:rsidRPr="007E2E96">
              <w:rPr>
                <w:sz w:val="20"/>
                <w:szCs w:val="20"/>
              </w:rPr>
              <w:t>Hawai'i Volcanoes National Park</w:t>
            </w:r>
          </w:p>
        </w:tc>
        <w:tc>
          <w:tcPr>
            <w:tcW w:w="900" w:type="dxa"/>
            <w:shd w:val="clear" w:color="auto" w:fill="auto"/>
            <w:vAlign w:val="center"/>
          </w:tcPr>
          <w:p w:rsidR="00A16602" w:rsidRPr="007E2E96" w:rsidP="009452B0" w14:paraId="4DE15DB9" w14:textId="0E5B5071">
            <w:pPr>
              <w:jc w:val="center"/>
              <w:rPr>
                <w:sz w:val="20"/>
                <w:szCs w:val="20"/>
              </w:rPr>
            </w:pPr>
            <w:r w:rsidRPr="007E2E96">
              <w:rPr>
                <w:sz w:val="20"/>
                <w:szCs w:val="20"/>
              </w:rPr>
              <w:t>Large</w:t>
            </w:r>
          </w:p>
        </w:tc>
        <w:tc>
          <w:tcPr>
            <w:tcW w:w="1260" w:type="dxa"/>
            <w:shd w:val="clear" w:color="auto" w:fill="auto"/>
            <w:noWrap/>
            <w:vAlign w:val="center"/>
            <w:hideMark/>
          </w:tcPr>
          <w:p w:rsidR="00A16602" w:rsidRPr="007E2E96" w:rsidP="002D22F9" w14:paraId="003995FF" w14:textId="1430D708">
            <w:pPr>
              <w:jc w:val="center"/>
              <w:rPr>
                <w:rFonts w:ascii="Calibri" w:eastAsia="Times New Roman" w:hAnsi="Calibri" w:cs="Calibri"/>
                <w:color w:val="000000"/>
                <w:sz w:val="20"/>
                <w:szCs w:val="20"/>
              </w:rPr>
            </w:pPr>
            <w:r w:rsidRPr="007E2E96">
              <w:rPr>
                <w:sz w:val="20"/>
                <w:szCs w:val="20"/>
              </w:rPr>
              <w:t>1,802,632</w:t>
            </w:r>
          </w:p>
        </w:tc>
        <w:tc>
          <w:tcPr>
            <w:tcW w:w="1260" w:type="dxa"/>
            <w:shd w:val="clear" w:color="auto" w:fill="auto"/>
            <w:noWrap/>
            <w:vAlign w:val="center"/>
            <w:hideMark/>
          </w:tcPr>
          <w:p w:rsidR="00A16602" w:rsidRPr="007E2E96" w:rsidP="002D22F9" w14:paraId="3C3C1381" w14:textId="52B30F03">
            <w:pPr>
              <w:jc w:val="center"/>
              <w:rPr>
                <w:rFonts w:ascii="Calibri" w:eastAsia="Times New Roman" w:hAnsi="Calibri" w:cs="Calibri"/>
                <w:color w:val="000000"/>
                <w:sz w:val="20"/>
                <w:szCs w:val="20"/>
              </w:rPr>
            </w:pPr>
            <w:r w:rsidRPr="007E2E96">
              <w:rPr>
                <w:sz w:val="20"/>
                <w:szCs w:val="20"/>
              </w:rPr>
              <w:t>177,386</w:t>
            </w:r>
          </w:p>
        </w:tc>
        <w:tc>
          <w:tcPr>
            <w:tcW w:w="1440" w:type="dxa"/>
            <w:shd w:val="clear" w:color="auto" w:fill="auto"/>
            <w:noWrap/>
            <w:vAlign w:val="center"/>
            <w:hideMark/>
          </w:tcPr>
          <w:p w:rsidR="00A16602" w:rsidRPr="007E2E96" w:rsidP="002D22F9" w14:paraId="67C51AB9" w14:textId="34CE035E">
            <w:pPr>
              <w:jc w:val="center"/>
              <w:rPr>
                <w:rFonts w:ascii="Calibri" w:eastAsia="Times New Roman" w:hAnsi="Calibri" w:cs="Calibri"/>
                <w:color w:val="000000"/>
                <w:sz w:val="20"/>
                <w:szCs w:val="20"/>
              </w:rPr>
            </w:pPr>
            <w:r w:rsidRPr="007E2E96">
              <w:rPr>
                <w:sz w:val="20"/>
                <w:szCs w:val="20"/>
              </w:rPr>
              <w:t>5,722</w:t>
            </w:r>
          </w:p>
        </w:tc>
        <w:tc>
          <w:tcPr>
            <w:tcW w:w="1165" w:type="dxa"/>
            <w:shd w:val="clear" w:color="auto" w:fill="auto"/>
            <w:noWrap/>
            <w:vAlign w:val="center"/>
            <w:hideMark/>
          </w:tcPr>
          <w:p w:rsidR="00A16602" w:rsidRPr="007E2E96" w:rsidP="002D22F9" w14:paraId="0F9F11CA" w14:textId="509E0BB1">
            <w:pPr>
              <w:jc w:val="center"/>
              <w:rPr>
                <w:rFonts w:ascii="Calibri" w:eastAsia="Times New Roman" w:hAnsi="Calibri" w:cs="Calibri"/>
                <w:color w:val="000000"/>
                <w:sz w:val="20"/>
                <w:szCs w:val="20"/>
              </w:rPr>
            </w:pPr>
            <w:r w:rsidRPr="007E2E96">
              <w:rPr>
                <w:sz w:val="20"/>
                <w:szCs w:val="20"/>
              </w:rPr>
              <w:t>57,221</w:t>
            </w:r>
          </w:p>
        </w:tc>
      </w:tr>
      <w:tr w14:paraId="0DBE520F" w14:textId="77777777" w:rsidTr="007E2E96">
        <w:tblPrEx>
          <w:tblW w:w="0" w:type="auto"/>
          <w:tblLayout w:type="fixed"/>
          <w:tblLook w:val="04A0"/>
        </w:tblPrEx>
        <w:trPr>
          <w:trHeight w:val="282"/>
        </w:trPr>
        <w:tc>
          <w:tcPr>
            <w:tcW w:w="535" w:type="dxa"/>
            <w:shd w:val="clear" w:color="auto" w:fill="auto"/>
            <w:noWrap/>
          </w:tcPr>
          <w:p w:rsidR="00A16602" w:rsidRPr="007E2E96" w:rsidP="00A16602" w14:paraId="228713C3" w14:textId="68C2737A">
            <w:pPr>
              <w:jc w:val="center"/>
              <w:rPr>
                <w:sz w:val="20"/>
                <w:szCs w:val="20"/>
              </w:rPr>
            </w:pPr>
            <w:r w:rsidRPr="007E2E96">
              <w:rPr>
                <w:sz w:val="20"/>
                <w:szCs w:val="20"/>
              </w:rPr>
              <w:t>7</w:t>
            </w:r>
          </w:p>
        </w:tc>
        <w:tc>
          <w:tcPr>
            <w:tcW w:w="2790" w:type="dxa"/>
            <w:shd w:val="clear" w:color="auto" w:fill="auto"/>
            <w:noWrap/>
            <w:vAlign w:val="center"/>
          </w:tcPr>
          <w:p w:rsidR="00A16602" w:rsidRPr="007E2E96" w:rsidP="00A16602" w14:paraId="35E64B49" w14:textId="0E11AF80">
            <w:pPr>
              <w:rPr>
                <w:sz w:val="20"/>
                <w:szCs w:val="20"/>
              </w:rPr>
            </w:pPr>
            <w:r w:rsidRPr="007E2E96">
              <w:rPr>
                <w:sz w:val="20"/>
                <w:szCs w:val="20"/>
              </w:rPr>
              <w:t xml:space="preserve">El </w:t>
            </w:r>
            <w:r w:rsidRPr="007E2E96">
              <w:rPr>
                <w:sz w:val="20"/>
                <w:szCs w:val="20"/>
              </w:rPr>
              <w:t>Malpais</w:t>
            </w:r>
            <w:r w:rsidRPr="007E2E96">
              <w:rPr>
                <w:sz w:val="20"/>
                <w:szCs w:val="20"/>
              </w:rPr>
              <w:t xml:space="preserve"> National Monument</w:t>
            </w:r>
          </w:p>
        </w:tc>
        <w:tc>
          <w:tcPr>
            <w:tcW w:w="900" w:type="dxa"/>
            <w:shd w:val="clear" w:color="auto" w:fill="auto"/>
            <w:vAlign w:val="center"/>
          </w:tcPr>
          <w:p w:rsidR="00A16602" w:rsidRPr="007E2E96" w:rsidP="00A16602" w14:paraId="5EE30A42" w14:textId="4AFC6560">
            <w:pPr>
              <w:jc w:val="center"/>
              <w:rPr>
                <w:sz w:val="20"/>
                <w:szCs w:val="20"/>
              </w:rPr>
            </w:pPr>
            <w:r w:rsidRPr="007E2E96">
              <w:rPr>
                <w:sz w:val="20"/>
                <w:szCs w:val="20"/>
              </w:rPr>
              <w:t>Small</w:t>
            </w:r>
          </w:p>
        </w:tc>
        <w:tc>
          <w:tcPr>
            <w:tcW w:w="1260" w:type="dxa"/>
            <w:shd w:val="clear" w:color="auto" w:fill="auto"/>
            <w:noWrap/>
            <w:vAlign w:val="center"/>
          </w:tcPr>
          <w:p w:rsidR="00A16602" w:rsidRPr="007E2E96" w:rsidP="00A16602" w14:paraId="470D5E8B" w14:textId="4FC9F535">
            <w:pPr>
              <w:jc w:val="center"/>
              <w:rPr>
                <w:sz w:val="20"/>
                <w:szCs w:val="20"/>
              </w:rPr>
            </w:pPr>
            <w:r w:rsidRPr="007E2E96">
              <w:rPr>
                <w:sz w:val="20"/>
                <w:szCs w:val="20"/>
              </w:rPr>
              <w:t>159,075</w:t>
            </w:r>
          </w:p>
        </w:tc>
        <w:tc>
          <w:tcPr>
            <w:tcW w:w="1260" w:type="dxa"/>
            <w:shd w:val="clear" w:color="auto" w:fill="auto"/>
            <w:noWrap/>
            <w:vAlign w:val="center"/>
          </w:tcPr>
          <w:p w:rsidR="00A16602" w:rsidRPr="007E2E96" w:rsidP="00A16602" w14:paraId="66F0C8CB" w14:textId="11D0CA39">
            <w:pPr>
              <w:jc w:val="center"/>
              <w:rPr>
                <w:sz w:val="20"/>
                <w:szCs w:val="20"/>
              </w:rPr>
            </w:pPr>
            <w:r w:rsidRPr="007E2E96">
              <w:rPr>
                <w:sz w:val="20"/>
                <w:szCs w:val="20"/>
              </w:rPr>
              <w:t>18,819</w:t>
            </w:r>
          </w:p>
        </w:tc>
        <w:tc>
          <w:tcPr>
            <w:tcW w:w="1440" w:type="dxa"/>
            <w:shd w:val="clear" w:color="auto" w:fill="auto"/>
            <w:noWrap/>
            <w:vAlign w:val="center"/>
          </w:tcPr>
          <w:p w:rsidR="00A16602" w:rsidRPr="007E2E96" w:rsidP="00A16602" w14:paraId="3E540CD5" w14:textId="11EAA9A0">
            <w:pPr>
              <w:jc w:val="center"/>
              <w:rPr>
                <w:sz w:val="20"/>
                <w:szCs w:val="20"/>
              </w:rPr>
            </w:pPr>
            <w:r w:rsidRPr="007E2E96">
              <w:rPr>
                <w:sz w:val="20"/>
                <w:szCs w:val="20"/>
              </w:rPr>
              <w:t>627</w:t>
            </w:r>
          </w:p>
        </w:tc>
        <w:tc>
          <w:tcPr>
            <w:tcW w:w="1165" w:type="dxa"/>
            <w:shd w:val="clear" w:color="auto" w:fill="auto"/>
            <w:noWrap/>
            <w:vAlign w:val="center"/>
          </w:tcPr>
          <w:p w:rsidR="00A16602" w:rsidRPr="007E2E96" w:rsidP="00A16602" w14:paraId="397D0F3C" w14:textId="727A2C73">
            <w:pPr>
              <w:jc w:val="center"/>
              <w:rPr>
                <w:sz w:val="20"/>
                <w:szCs w:val="20"/>
              </w:rPr>
            </w:pPr>
            <w:r w:rsidRPr="007E2E96">
              <w:rPr>
                <w:sz w:val="20"/>
                <w:szCs w:val="20"/>
              </w:rPr>
              <w:t>6,273</w:t>
            </w:r>
          </w:p>
        </w:tc>
      </w:tr>
      <w:tr w14:paraId="156C3731" w14:textId="77777777" w:rsidTr="00200374">
        <w:tblPrEx>
          <w:tblW w:w="0" w:type="auto"/>
          <w:tblLayout w:type="fixed"/>
          <w:tblLook w:val="04A0"/>
        </w:tblPrEx>
        <w:trPr>
          <w:trHeight w:val="282"/>
        </w:trPr>
        <w:tc>
          <w:tcPr>
            <w:tcW w:w="535" w:type="dxa"/>
            <w:shd w:val="clear" w:color="auto" w:fill="auto"/>
            <w:noWrap/>
          </w:tcPr>
          <w:p w:rsidR="00A16602" w:rsidRPr="007E2E96" w:rsidP="00A16602" w14:paraId="71DF16E8" w14:textId="35D5A3F5">
            <w:pPr>
              <w:jc w:val="center"/>
              <w:rPr>
                <w:sz w:val="20"/>
                <w:szCs w:val="20"/>
              </w:rPr>
            </w:pPr>
            <w:r w:rsidRPr="007E2E96">
              <w:rPr>
                <w:sz w:val="20"/>
                <w:szCs w:val="20"/>
              </w:rPr>
              <w:t>8</w:t>
            </w:r>
          </w:p>
        </w:tc>
        <w:tc>
          <w:tcPr>
            <w:tcW w:w="2790" w:type="dxa"/>
            <w:shd w:val="clear" w:color="auto" w:fill="auto"/>
            <w:noWrap/>
            <w:vAlign w:val="center"/>
          </w:tcPr>
          <w:p w:rsidR="00A16602" w:rsidRPr="007E2E96" w:rsidP="00A16602" w14:paraId="15C5EA0B" w14:textId="4CEFA217">
            <w:pPr>
              <w:rPr>
                <w:sz w:val="20"/>
                <w:szCs w:val="20"/>
              </w:rPr>
            </w:pPr>
            <w:r w:rsidRPr="007E2E96">
              <w:rPr>
                <w:sz w:val="20"/>
                <w:szCs w:val="20"/>
              </w:rPr>
              <w:t>Arches National Park</w:t>
            </w:r>
          </w:p>
        </w:tc>
        <w:tc>
          <w:tcPr>
            <w:tcW w:w="900" w:type="dxa"/>
            <w:shd w:val="clear" w:color="auto" w:fill="auto"/>
            <w:vAlign w:val="center"/>
          </w:tcPr>
          <w:p w:rsidR="00A16602" w:rsidRPr="007E2E96" w:rsidP="00A16602" w14:paraId="64B05E8B" w14:textId="0E85078C">
            <w:pPr>
              <w:jc w:val="center"/>
              <w:rPr>
                <w:sz w:val="20"/>
                <w:szCs w:val="20"/>
              </w:rPr>
            </w:pPr>
            <w:r w:rsidRPr="007E2E96">
              <w:rPr>
                <w:sz w:val="20"/>
                <w:szCs w:val="20"/>
              </w:rPr>
              <w:t>Large</w:t>
            </w:r>
          </w:p>
        </w:tc>
        <w:tc>
          <w:tcPr>
            <w:tcW w:w="1260" w:type="dxa"/>
            <w:shd w:val="clear" w:color="auto" w:fill="auto"/>
            <w:noWrap/>
            <w:vAlign w:val="center"/>
          </w:tcPr>
          <w:p w:rsidR="00A16602" w:rsidRPr="007E2E96" w:rsidP="00A16602" w14:paraId="5D27DD53" w14:textId="207F37B0">
            <w:pPr>
              <w:jc w:val="center"/>
              <w:rPr>
                <w:sz w:val="20"/>
                <w:szCs w:val="20"/>
              </w:rPr>
            </w:pPr>
            <w:r w:rsidRPr="007E2E96">
              <w:rPr>
                <w:sz w:val="20"/>
                <w:szCs w:val="20"/>
              </w:rPr>
              <w:t>1,378,326</w:t>
            </w:r>
          </w:p>
        </w:tc>
        <w:tc>
          <w:tcPr>
            <w:tcW w:w="1260" w:type="dxa"/>
            <w:shd w:val="clear" w:color="auto" w:fill="auto"/>
            <w:noWrap/>
            <w:vAlign w:val="center"/>
          </w:tcPr>
          <w:p w:rsidR="00A16602" w:rsidRPr="007E2E96" w:rsidP="00A16602" w14:paraId="5D62A965" w14:textId="4B882CC2">
            <w:pPr>
              <w:jc w:val="center"/>
              <w:rPr>
                <w:sz w:val="20"/>
                <w:szCs w:val="20"/>
              </w:rPr>
            </w:pPr>
            <w:r w:rsidRPr="007E2E96">
              <w:rPr>
                <w:sz w:val="20"/>
                <w:szCs w:val="20"/>
              </w:rPr>
              <w:t>184,980</w:t>
            </w:r>
          </w:p>
        </w:tc>
        <w:tc>
          <w:tcPr>
            <w:tcW w:w="1440" w:type="dxa"/>
            <w:shd w:val="clear" w:color="auto" w:fill="auto"/>
            <w:noWrap/>
            <w:vAlign w:val="center"/>
          </w:tcPr>
          <w:p w:rsidR="00A16602" w:rsidRPr="007E2E96" w:rsidP="00A16602" w14:paraId="2D096547" w14:textId="4229F5CE">
            <w:pPr>
              <w:jc w:val="center"/>
              <w:rPr>
                <w:sz w:val="20"/>
                <w:szCs w:val="20"/>
              </w:rPr>
            </w:pPr>
            <w:r w:rsidRPr="007E2E96">
              <w:rPr>
                <w:sz w:val="20"/>
                <w:szCs w:val="20"/>
              </w:rPr>
              <w:t>6,166</w:t>
            </w:r>
          </w:p>
        </w:tc>
        <w:tc>
          <w:tcPr>
            <w:tcW w:w="1165" w:type="dxa"/>
            <w:shd w:val="clear" w:color="auto" w:fill="auto"/>
            <w:noWrap/>
            <w:vAlign w:val="center"/>
          </w:tcPr>
          <w:p w:rsidR="00A16602" w:rsidRPr="007E2E96" w:rsidP="00A16602" w14:paraId="5C7F299C" w14:textId="5EC7A5D1">
            <w:pPr>
              <w:jc w:val="center"/>
              <w:rPr>
                <w:sz w:val="20"/>
                <w:szCs w:val="20"/>
              </w:rPr>
            </w:pPr>
            <w:r w:rsidRPr="007E2E96">
              <w:rPr>
                <w:sz w:val="20"/>
                <w:szCs w:val="20"/>
              </w:rPr>
              <w:t>61,660</w:t>
            </w:r>
          </w:p>
        </w:tc>
      </w:tr>
      <w:tr w14:paraId="191CCAC3" w14:textId="77777777" w:rsidTr="00200374">
        <w:tblPrEx>
          <w:tblW w:w="0" w:type="auto"/>
          <w:tblLayout w:type="fixed"/>
          <w:tblLook w:val="04A0"/>
        </w:tblPrEx>
        <w:trPr>
          <w:trHeight w:val="282"/>
        </w:trPr>
        <w:tc>
          <w:tcPr>
            <w:tcW w:w="4225" w:type="dxa"/>
            <w:gridSpan w:val="3"/>
            <w:tcBorders>
              <w:bottom w:val="single" w:sz="4" w:space="0" w:color="auto"/>
            </w:tcBorders>
            <w:shd w:val="clear" w:color="auto" w:fill="auto"/>
            <w:noWrap/>
          </w:tcPr>
          <w:p w:rsidR="00EB2A9B" w:rsidRPr="007E2E96" w:rsidP="00EB2A9B" w14:paraId="04AD9E65" w14:textId="1BA03B1D">
            <w:pPr>
              <w:jc w:val="right"/>
              <w:rPr>
                <w:sz w:val="20"/>
                <w:szCs w:val="20"/>
              </w:rPr>
            </w:pPr>
            <w:r w:rsidRPr="007E2E96">
              <w:rPr>
                <w:b/>
                <w:bCs/>
                <w:sz w:val="20"/>
                <w:szCs w:val="20"/>
              </w:rPr>
              <w:t>Subtotal</w:t>
            </w:r>
          </w:p>
        </w:tc>
        <w:tc>
          <w:tcPr>
            <w:tcW w:w="1260" w:type="dxa"/>
            <w:tcBorders>
              <w:bottom w:val="single" w:sz="4" w:space="0" w:color="auto"/>
            </w:tcBorders>
            <w:shd w:val="clear" w:color="auto" w:fill="auto"/>
            <w:noWrap/>
            <w:vAlign w:val="center"/>
          </w:tcPr>
          <w:p w:rsidR="00EB2A9B" w:rsidRPr="007E2E96" w:rsidP="00A16602" w14:paraId="13A2367A" w14:textId="1CA29E74">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20,290,563</w:t>
            </w:r>
            <w:r w:rsidRPr="007E2E96">
              <w:rPr>
                <w:i/>
                <w:iCs/>
                <w:sz w:val="20"/>
                <w:szCs w:val="20"/>
              </w:rPr>
              <w:fldChar w:fldCharType="end"/>
            </w:r>
          </w:p>
        </w:tc>
        <w:tc>
          <w:tcPr>
            <w:tcW w:w="1260" w:type="dxa"/>
            <w:tcBorders>
              <w:bottom w:val="single" w:sz="4" w:space="0" w:color="auto"/>
            </w:tcBorders>
            <w:shd w:val="clear" w:color="auto" w:fill="auto"/>
            <w:noWrap/>
            <w:vAlign w:val="center"/>
          </w:tcPr>
          <w:p w:rsidR="00EB2A9B" w:rsidRPr="007E2E96" w:rsidP="00A16602" w14:paraId="5110991F" w14:textId="63A753B6">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2,753,875</w:t>
            </w:r>
            <w:r w:rsidRPr="007E2E96">
              <w:rPr>
                <w:i/>
                <w:iCs/>
                <w:sz w:val="20"/>
                <w:szCs w:val="20"/>
              </w:rPr>
              <w:fldChar w:fldCharType="end"/>
            </w:r>
          </w:p>
        </w:tc>
        <w:tc>
          <w:tcPr>
            <w:tcW w:w="1440" w:type="dxa"/>
            <w:tcBorders>
              <w:bottom w:val="single" w:sz="4" w:space="0" w:color="auto"/>
            </w:tcBorders>
            <w:shd w:val="clear" w:color="auto" w:fill="auto"/>
            <w:noWrap/>
            <w:vAlign w:val="center"/>
          </w:tcPr>
          <w:p w:rsidR="00EB2A9B" w:rsidRPr="007E2E96" w:rsidP="00A16602" w14:paraId="04CF19F3" w14:textId="6233DA30">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89,053</w:t>
            </w:r>
            <w:r w:rsidRPr="007E2E96">
              <w:rPr>
                <w:i/>
                <w:iCs/>
                <w:sz w:val="20"/>
                <w:szCs w:val="20"/>
              </w:rPr>
              <w:fldChar w:fldCharType="end"/>
            </w:r>
          </w:p>
        </w:tc>
        <w:tc>
          <w:tcPr>
            <w:tcW w:w="1165" w:type="dxa"/>
            <w:tcBorders>
              <w:bottom w:val="single" w:sz="4" w:space="0" w:color="auto"/>
            </w:tcBorders>
            <w:shd w:val="clear" w:color="auto" w:fill="auto"/>
            <w:noWrap/>
            <w:vAlign w:val="center"/>
          </w:tcPr>
          <w:p w:rsidR="00EB2A9B" w:rsidRPr="007E2E96" w:rsidP="00A16602" w14:paraId="18233108" w14:textId="24F29897">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890,538</w:t>
            </w:r>
            <w:r w:rsidRPr="007E2E96">
              <w:rPr>
                <w:i/>
                <w:iCs/>
                <w:sz w:val="20"/>
                <w:szCs w:val="20"/>
              </w:rPr>
              <w:fldChar w:fldCharType="end"/>
            </w:r>
          </w:p>
        </w:tc>
      </w:tr>
      <w:tr w14:paraId="7DFE798D" w14:textId="77777777" w:rsidTr="00D1499E">
        <w:tblPrEx>
          <w:tblW w:w="0" w:type="auto"/>
          <w:tblLayout w:type="fixed"/>
          <w:tblLook w:val="04A0"/>
        </w:tblPrEx>
        <w:trPr>
          <w:trHeight w:val="432"/>
        </w:trPr>
        <w:tc>
          <w:tcPr>
            <w:tcW w:w="9350" w:type="dxa"/>
            <w:gridSpan w:val="7"/>
            <w:tcBorders>
              <w:top w:val="single" w:sz="4" w:space="0" w:color="auto"/>
              <w:left w:val="nil"/>
              <w:right w:val="nil"/>
            </w:tcBorders>
            <w:shd w:val="clear" w:color="auto" w:fill="B8CCE4" w:themeFill="accent1" w:themeFillTint="66"/>
            <w:noWrap/>
            <w:vAlign w:val="center"/>
          </w:tcPr>
          <w:p w:rsidR="0047307B" w:rsidRPr="007E2E96" w:rsidP="0047307B" w14:paraId="2F7D8906" w14:textId="16410172">
            <w:pPr>
              <w:rPr>
                <w:sz w:val="20"/>
                <w:szCs w:val="20"/>
              </w:rPr>
            </w:pPr>
            <w:r w:rsidRPr="007E2E96">
              <w:rPr>
                <w:b/>
                <w:bCs/>
                <w:sz w:val="20"/>
                <w:szCs w:val="20"/>
              </w:rPr>
              <w:t xml:space="preserve">Park Type: </w:t>
            </w:r>
            <w:r w:rsidRPr="007E2E96">
              <w:rPr>
                <w:sz w:val="20"/>
                <w:szCs w:val="20"/>
              </w:rPr>
              <w:t>Historic-Urban</w:t>
            </w:r>
          </w:p>
        </w:tc>
      </w:tr>
      <w:tr w14:paraId="2E13F2CB" w14:textId="77777777" w:rsidTr="00D04672">
        <w:tblPrEx>
          <w:tblW w:w="0" w:type="auto"/>
          <w:tblLayout w:type="fixed"/>
          <w:tblLook w:val="04A0"/>
        </w:tblPrEx>
        <w:trPr>
          <w:trHeight w:val="282"/>
        </w:trPr>
        <w:tc>
          <w:tcPr>
            <w:tcW w:w="535" w:type="dxa"/>
            <w:noWrap/>
            <w:vAlign w:val="center"/>
          </w:tcPr>
          <w:p w:rsidR="005479F4" w:rsidRPr="007E2E96" w:rsidP="00A06E1E" w14:paraId="53DDF531" w14:textId="0D4F86A7">
            <w:pPr>
              <w:jc w:val="center"/>
              <w:rPr>
                <w:sz w:val="20"/>
                <w:szCs w:val="20"/>
              </w:rPr>
            </w:pPr>
            <w:r w:rsidRPr="007E2E96">
              <w:rPr>
                <w:sz w:val="20"/>
                <w:szCs w:val="20"/>
              </w:rPr>
              <w:t>9</w:t>
            </w:r>
          </w:p>
        </w:tc>
        <w:tc>
          <w:tcPr>
            <w:tcW w:w="2790" w:type="dxa"/>
            <w:noWrap/>
            <w:vAlign w:val="center"/>
          </w:tcPr>
          <w:p w:rsidR="005479F4" w:rsidRPr="007E2E96" w:rsidP="00BB4535" w14:paraId="71DC3B46" w14:textId="3C28FA7E">
            <w:pPr>
              <w:rPr>
                <w:sz w:val="20"/>
                <w:szCs w:val="20"/>
              </w:rPr>
            </w:pPr>
            <w:r w:rsidRPr="007E2E96">
              <w:rPr>
                <w:sz w:val="20"/>
                <w:szCs w:val="20"/>
              </w:rPr>
              <w:t>Casa Grande Ruins National Monument</w:t>
            </w:r>
          </w:p>
        </w:tc>
        <w:tc>
          <w:tcPr>
            <w:tcW w:w="900" w:type="dxa"/>
            <w:vAlign w:val="center"/>
          </w:tcPr>
          <w:p w:rsidR="005479F4" w:rsidRPr="007E2E96" w:rsidP="0047307B" w14:paraId="28DAEBCF" w14:textId="20AFDE05">
            <w:pPr>
              <w:jc w:val="center"/>
              <w:rPr>
                <w:sz w:val="20"/>
                <w:szCs w:val="20"/>
              </w:rPr>
            </w:pPr>
            <w:r w:rsidRPr="007E2E96">
              <w:rPr>
                <w:sz w:val="20"/>
                <w:szCs w:val="20"/>
              </w:rPr>
              <w:t>Small</w:t>
            </w:r>
          </w:p>
        </w:tc>
        <w:tc>
          <w:tcPr>
            <w:tcW w:w="1260" w:type="dxa"/>
            <w:noWrap/>
            <w:vAlign w:val="center"/>
          </w:tcPr>
          <w:p w:rsidR="005479F4" w:rsidRPr="007E2E96" w:rsidP="0047307B" w14:paraId="719535F1" w14:textId="15E520F0">
            <w:pPr>
              <w:jc w:val="center"/>
              <w:rPr>
                <w:sz w:val="20"/>
                <w:szCs w:val="20"/>
              </w:rPr>
            </w:pPr>
            <w:r w:rsidRPr="007E2E96">
              <w:rPr>
                <w:sz w:val="20"/>
                <w:szCs w:val="20"/>
              </w:rPr>
              <w:t>70,550</w:t>
            </w:r>
          </w:p>
        </w:tc>
        <w:tc>
          <w:tcPr>
            <w:tcW w:w="1260" w:type="dxa"/>
            <w:noWrap/>
            <w:vAlign w:val="center"/>
          </w:tcPr>
          <w:p w:rsidR="005479F4" w:rsidRPr="007E2E96" w:rsidP="0047307B" w14:paraId="04436547" w14:textId="122D56BB">
            <w:pPr>
              <w:jc w:val="center"/>
              <w:rPr>
                <w:sz w:val="20"/>
                <w:szCs w:val="20"/>
              </w:rPr>
            </w:pPr>
            <w:r w:rsidRPr="007E2E96">
              <w:rPr>
                <w:sz w:val="20"/>
                <w:szCs w:val="20"/>
              </w:rPr>
              <w:t>13,037</w:t>
            </w:r>
          </w:p>
        </w:tc>
        <w:tc>
          <w:tcPr>
            <w:tcW w:w="1440" w:type="dxa"/>
            <w:noWrap/>
            <w:vAlign w:val="center"/>
          </w:tcPr>
          <w:p w:rsidR="005479F4" w:rsidRPr="007E2E96" w:rsidP="0047307B" w14:paraId="2890F8AF" w14:textId="7064F89B">
            <w:pPr>
              <w:jc w:val="center"/>
              <w:rPr>
                <w:sz w:val="20"/>
                <w:szCs w:val="20"/>
              </w:rPr>
            </w:pPr>
            <w:r w:rsidRPr="007E2E96">
              <w:rPr>
                <w:sz w:val="20"/>
                <w:szCs w:val="20"/>
              </w:rPr>
              <w:t>421</w:t>
            </w:r>
          </w:p>
        </w:tc>
        <w:tc>
          <w:tcPr>
            <w:tcW w:w="1165" w:type="dxa"/>
            <w:noWrap/>
            <w:vAlign w:val="center"/>
          </w:tcPr>
          <w:p w:rsidR="005479F4" w:rsidRPr="007E2E96" w:rsidP="0047307B" w14:paraId="5CA12BA3" w14:textId="6CA246BF">
            <w:pPr>
              <w:jc w:val="center"/>
              <w:rPr>
                <w:sz w:val="20"/>
                <w:szCs w:val="20"/>
              </w:rPr>
            </w:pPr>
            <w:r w:rsidRPr="007E2E96">
              <w:rPr>
                <w:sz w:val="20"/>
                <w:szCs w:val="20"/>
              </w:rPr>
              <w:t>4,205</w:t>
            </w:r>
          </w:p>
        </w:tc>
      </w:tr>
      <w:tr w14:paraId="187984C0"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363CB46E" w14:textId="76B8659A">
            <w:pPr>
              <w:rPr>
                <w:rFonts w:ascii="Calibri" w:eastAsia="Times New Roman" w:hAnsi="Calibri" w:cs="Calibri"/>
                <w:color w:val="000000"/>
                <w:sz w:val="20"/>
                <w:szCs w:val="20"/>
              </w:rPr>
            </w:pPr>
            <w:r w:rsidRPr="007E2E96">
              <w:rPr>
                <w:sz w:val="20"/>
                <w:szCs w:val="20"/>
              </w:rPr>
              <w:t>10</w:t>
            </w:r>
          </w:p>
        </w:tc>
        <w:tc>
          <w:tcPr>
            <w:tcW w:w="2790" w:type="dxa"/>
            <w:shd w:val="clear" w:color="auto" w:fill="auto"/>
            <w:noWrap/>
            <w:vAlign w:val="center"/>
            <w:hideMark/>
          </w:tcPr>
          <w:p w:rsidR="00BB4535" w:rsidRPr="007E2E96" w:rsidP="00BB4535" w14:paraId="0C8E9564" w14:textId="04BE2B4C">
            <w:pPr>
              <w:rPr>
                <w:sz w:val="20"/>
                <w:szCs w:val="20"/>
              </w:rPr>
            </w:pPr>
            <w:r w:rsidRPr="007E2E96">
              <w:rPr>
                <w:sz w:val="20"/>
                <w:szCs w:val="20"/>
              </w:rPr>
              <w:t>Salem Maritime National Historic Site</w:t>
            </w:r>
          </w:p>
        </w:tc>
        <w:tc>
          <w:tcPr>
            <w:tcW w:w="900" w:type="dxa"/>
            <w:shd w:val="clear" w:color="auto" w:fill="auto"/>
            <w:vAlign w:val="center"/>
          </w:tcPr>
          <w:p w:rsidR="00BB4535" w:rsidRPr="007E2E96" w:rsidP="00BB4535" w14:paraId="34A366FF" w14:textId="5966B92D">
            <w:pPr>
              <w:jc w:val="center"/>
              <w:rPr>
                <w:sz w:val="20"/>
                <w:szCs w:val="20"/>
              </w:rPr>
            </w:pPr>
            <w:r w:rsidRPr="007E2E96">
              <w:rPr>
                <w:sz w:val="20"/>
                <w:szCs w:val="20"/>
              </w:rPr>
              <w:t>Small</w:t>
            </w:r>
          </w:p>
        </w:tc>
        <w:tc>
          <w:tcPr>
            <w:tcW w:w="1260" w:type="dxa"/>
            <w:shd w:val="clear" w:color="auto" w:fill="auto"/>
            <w:noWrap/>
            <w:vAlign w:val="center"/>
            <w:hideMark/>
          </w:tcPr>
          <w:p w:rsidR="00BB4535" w:rsidRPr="007E2E96" w:rsidP="00BB4535" w14:paraId="02469BEA" w14:textId="0B6D5F89">
            <w:pPr>
              <w:jc w:val="center"/>
              <w:rPr>
                <w:rFonts w:ascii="Calibri" w:eastAsia="Times New Roman" w:hAnsi="Calibri" w:cs="Calibri"/>
                <w:color w:val="000000"/>
                <w:sz w:val="20"/>
                <w:szCs w:val="20"/>
              </w:rPr>
            </w:pPr>
            <w:r w:rsidRPr="007E2E96">
              <w:rPr>
                <w:sz w:val="20"/>
                <w:szCs w:val="20"/>
              </w:rPr>
              <w:t>368,097</w:t>
            </w:r>
          </w:p>
        </w:tc>
        <w:tc>
          <w:tcPr>
            <w:tcW w:w="1260" w:type="dxa"/>
            <w:shd w:val="clear" w:color="auto" w:fill="auto"/>
            <w:noWrap/>
            <w:vAlign w:val="center"/>
            <w:hideMark/>
          </w:tcPr>
          <w:p w:rsidR="00BB4535" w:rsidRPr="007E2E96" w:rsidP="00BB4535" w14:paraId="69D81F18" w14:textId="7EB0BFC3">
            <w:pPr>
              <w:jc w:val="center"/>
              <w:rPr>
                <w:rFonts w:ascii="Calibri" w:eastAsia="Times New Roman" w:hAnsi="Calibri" w:cs="Calibri"/>
                <w:color w:val="000000"/>
                <w:sz w:val="20"/>
                <w:szCs w:val="20"/>
              </w:rPr>
            </w:pPr>
            <w:r w:rsidRPr="007E2E96">
              <w:rPr>
                <w:sz w:val="20"/>
                <w:szCs w:val="20"/>
              </w:rPr>
              <w:t>101,569</w:t>
            </w:r>
          </w:p>
        </w:tc>
        <w:tc>
          <w:tcPr>
            <w:tcW w:w="1440" w:type="dxa"/>
            <w:shd w:val="clear" w:color="auto" w:fill="auto"/>
            <w:noWrap/>
            <w:vAlign w:val="center"/>
            <w:hideMark/>
          </w:tcPr>
          <w:p w:rsidR="00BB4535" w:rsidRPr="007E2E96" w:rsidP="00BB4535" w14:paraId="232DD9AD" w14:textId="4C6AEBD5">
            <w:pPr>
              <w:jc w:val="center"/>
              <w:rPr>
                <w:rFonts w:ascii="Calibri" w:eastAsia="Times New Roman" w:hAnsi="Calibri" w:cs="Calibri"/>
                <w:color w:val="000000"/>
                <w:sz w:val="20"/>
                <w:szCs w:val="20"/>
              </w:rPr>
            </w:pPr>
            <w:r w:rsidRPr="007E2E96">
              <w:rPr>
                <w:sz w:val="20"/>
                <w:szCs w:val="20"/>
              </w:rPr>
              <w:t>3,276</w:t>
            </w:r>
          </w:p>
        </w:tc>
        <w:tc>
          <w:tcPr>
            <w:tcW w:w="1165" w:type="dxa"/>
            <w:shd w:val="clear" w:color="auto" w:fill="auto"/>
            <w:noWrap/>
            <w:vAlign w:val="center"/>
            <w:hideMark/>
          </w:tcPr>
          <w:p w:rsidR="00BB4535" w:rsidRPr="007E2E96" w:rsidP="00BB4535" w14:paraId="3104994A" w14:textId="77777777">
            <w:pPr>
              <w:jc w:val="center"/>
              <w:rPr>
                <w:rFonts w:ascii="Calibri" w:eastAsia="Times New Roman" w:hAnsi="Calibri" w:cs="Calibri"/>
                <w:color w:val="000000"/>
                <w:sz w:val="20"/>
                <w:szCs w:val="20"/>
              </w:rPr>
            </w:pPr>
            <w:r w:rsidRPr="007E2E96">
              <w:rPr>
                <w:sz w:val="20"/>
                <w:szCs w:val="20"/>
              </w:rPr>
              <w:t>32,764</w:t>
            </w:r>
          </w:p>
        </w:tc>
      </w:tr>
      <w:tr w14:paraId="666D4883"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08E67D90" w14:textId="1B1EC7FF">
            <w:pPr>
              <w:rPr>
                <w:rFonts w:ascii="Calibri" w:eastAsia="Times New Roman" w:hAnsi="Calibri" w:cs="Calibri"/>
                <w:color w:val="000000"/>
                <w:sz w:val="20"/>
                <w:szCs w:val="20"/>
              </w:rPr>
            </w:pPr>
            <w:r w:rsidRPr="007E2E96">
              <w:rPr>
                <w:sz w:val="20"/>
                <w:szCs w:val="20"/>
              </w:rPr>
              <w:t>11</w:t>
            </w:r>
          </w:p>
        </w:tc>
        <w:tc>
          <w:tcPr>
            <w:tcW w:w="2790" w:type="dxa"/>
            <w:shd w:val="clear" w:color="auto" w:fill="auto"/>
            <w:noWrap/>
            <w:vAlign w:val="center"/>
            <w:hideMark/>
          </w:tcPr>
          <w:p w:rsidR="00BB4535" w:rsidRPr="007E2E96" w:rsidP="00BB4535" w14:paraId="22209D90" w14:textId="307B3DD6">
            <w:pPr>
              <w:rPr>
                <w:sz w:val="20"/>
                <w:szCs w:val="20"/>
              </w:rPr>
            </w:pPr>
            <w:r w:rsidRPr="007E2E96">
              <w:rPr>
                <w:sz w:val="20"/>
                <w:szCs w:val="20"/>
              </w:rPr>
              <w:t>Roger Williams National Memorial</w:t>
            </w:r>
          </w:p>
        </w:tc>
        <w:tc>
          <w:tcPr>
            <w:tcW w:w="900" w:type="dxa"/>
            <w:shd w:val="clear" w:color="auto" w:fill="auto"/>
            <w:vAlign w:val="center"/>
          </w:tcPr>
          <w:p w:rsidR="00BB4535" w:rsidRPr="007E2E96" w:rsidP="00BB4535" w14:paraId="33033393" w14:textId="6AF86558">
            <w:pPr>
              <w:jc w:val="center"/>
              <w:rPr>
                <w:sz w:val="20"/>
                <w:szCs w:val="20"/>
              </w:rPr>
            </w:pPr>
            <w:r w:rsidRPr="007E2E96">
              <w:rPr>
                <w:sz w:val="20"/>
                <w:szCs w:val="20"/>
              </w:rPr>
              <w:t>Small</w:t>
            </w:r>
          </w:p>
        </w:tc>
        <w:tc>
          <w:tcPr>
            <w:tcW w:w="1260" w:type="dxa"/>
            <w:shd w:val="clear" w:color="auto" w:fill="auto"/>
            <w:noWrap/>
            <w:vAlign w:val="center"/>
            <w:hideMark/>
          </w:tcPr>
          <w:p w:rsidR="00BB4535" w:rsidRPr="007E2E96" w:rsidP="00BB4535" w14:paraId="79A04D93" w14:textId="051C27C8">
            <w:pPr>
              <w:jc w:val="center"/>
              <w:rPr>
                <w:rFonts w:ascii="Calibri" w:eastAsia="Times New Roman" w:hAnsi="Calibri" w:cs="Calibri"/>
                <w:color w:val="000000"/>
                <w:sz w:val="20"/>
                <w:szCs w:val="20"/>
              </w:rPr>
            </w:pPr>
            <w:r w:rsidRPr="007E2E96">
              <w:rPr>
                <w:sz w:val="20"/>
                <w:szCs w:val="20"/>
              </w:rPr>
              <w:t>61,451</w:t>
            </w:r>
          </w:p>
        </w:tc>
        <w:tc>
          <w:tcPr>
            <w:tcW w:w="1260" w:type="dxa"/>
            <w:shd w:val="clear" w:color="auto" w:fill="auto"/>
            <w:noWrap/>
            <w:vAlign w:val="center"/>
            <w:hideMark/>
          </w:tcPr>
          <w:p w:rsidR="00BB4535" w:rsidRPr="007E2E96" w:rsidP="00BB4535" w14:paraId="15CCF9F0" w14:textId="3681082F">
            <w:pPr>
              <w:jc w:val="center"/>
              <w:rPr>
                <w:rFonts w:ascii="Calibri" w:eastAsia="Times New Roman" w:hAnsi="Calibri" w:cs="Calibri"/>
                <w:color w:val="000000"/>
                <w:sz w:val="20"/>
                <w:szCs w:val="20"/>
              </w:rPr>
            </w:pPr>
            <w:r w:rsidRPr="007E2E96">
              <w:rPr>
                <w:sz w:val="20"/>
                <w:szCs w:val="20"/>
              </w:rPr>
              <w:t>9,697</w:t>
            </w:r>
          </w:p>
        </w:tc>
        <w:tc>
          <w:tcPr>
            <w:tcW w:w="1440" w:type="dxa"/>
            <w:shd w:val="clear" w:color="auto" w:fill="auto"/>
            <w:noWrap/>
            <w:vAlign w:val="center"/>
            <w:hideMark/>
          </w:tcPr>
          <w:p w:rsidR="00BB4535" w:rsidRPr="007E2E96" w:rsidP="00BB4535" w14:paraId="739D37A3" w14:textId="63FFAA67">
            <w:pPr>
              <w:jc w:val="center"/>
              <w:rPr>
                <w:rFonts w:ascii="Calibri" w:eastAsia="Times New Roman" w:hAnsi="Calibri" w:cs="Calibri"/>
                <w:color w:val="000000"/>
                <w:sz w:val="20"/>
                <w:szCs w:val="20"/>
              </w:rPr>
            </w:pPr>
            <w:r w:rsidRPr="007E2E96">
              <w:rPr>
                <w:sz w:val="20"/>
                <w:szCs w:val="20"/>
              </w:rPr>
              <w:t>313</w:t>
            </w:r>
          </w:p>
        </w:tc>
        <w:tc>
          <w:tcPr>
            <w:tcW w:w="1165" w:type="dxa"/>
            <w:shd w:val="clear" w:color="auto" w:fill="auto"/>
            <w:noWrap/>
            <w:vAlign w:val="center"/>
            <w:hideMark/>
          </w:tcPr>
          <w:p w:rsidR="00BB4535" w:rsidRPr="007E2E96" w:rsidP="00BB4535" w14:paraId="716C650B" w14:textId="2EE65FC5">
            <w:pPr>
              <w:jc w:val="center"/>
              <w:rPr>
                <w:rFonts w:ascii="Calibri" w:eastAsia="Times New Roman" w:hAnsi="Calibri" w:cs="Calibri"/>
                <w:color w:val="000000"/>
                <w:sz w:val="20"/>
                <w:szCs w:val="20"/>
              </w:rPr>
            </w:pPr>
            <w:r w:rsidRPr="007E2E96">
              <w:rPr>
                <w:sz w:val="20"/>
                <w:szCs w:val="20"/>
              </w:rPr>
              <w:t>3,128</w:t>
            </w:r>
          </w:p>
        </w:tc>
      </w:tr>
      <w:tr w14:paraId="46684CB0"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0983AAA0" w14:textId="06EB4FA4">
            <w:pPr>
              <w:rPr>
                <w:rFonts w:ascii="Calibri" w:eastAsia="Times New Roman" w:hAnsi="Calibri" w:cs="Calibri"/>
                <w:color w:val="000000"/>
                <w:sz w:val="20"/>
                <w:szCs w:val="20"/>
              </w:rPr>
            </w:pPr>
            <w:r w:rsidRPr="007E2E96">
              <w:rPr>
                <w:sz w:val="20"/>
                <w:szCs w:val="20"/>
              </w:rPr>
              <w:t>12</w:t>
            </w:r>
          </w:p>
        </w:tc>
        <w:tc>
          <w:tcPr>
            <w:tcW w:w="2790" w:type="dxa"/>
            <w:shd w:val="clear" w:color="auto" w:fill="auto"/>
            <w:noWrap/>
            <w:vAlign w:val="center"/>
            <w:hideMark/>
          </w:tcPr>
          <w:p w:rsidR="00BB4535" w:rsidRPr="007E2E96" w:rsidP="00BB4535" w14:paraId="41906539" w14:textId="712268A3">
            <w:pPr>
              <w:rPr>
                <w:rFonts w:ascii="Calibri" w:eastAsia="Times New Roman" w:hAnsi="Calibri" w:cs="Calibri"/>
                <w:color w:val="000000"/>
                <w:sz w:val="20"/>
                <w:szCs w:val="20"/>
              </w:rPr>
            </w:pPr>
            <w:r w:rsidRPr="007E2E96">
              <w:rPr>
                <w:sz w:val="20"/>
                <w:szCs w:val="20"/>
              </w:rPr>
              <w:t>Boston National Historical Park</w:t>
            </w:r>
          </w:p>
        </w:tc>
        <w:tc>
          <w:tcPr>
            <w:tcW w:w="900" w:type="dxa"/>
            <w:shd w:val="clear" w:color="auto" w:fill="auto"/>
            <w:vAlign w:val="center"/>
          </w:tcPr>
          <w:p w:rsidR="00BB4535" w:rsidRPr="007E2E96" w:rsidP="00BB4535" w14:paraId="218E4018" w14:textId="11C7E14D">
            <w:pPr>
              <w:jc w:val="center"/>
              <w:rPr>
                <w:sz w:val="20"/>
                <w:szCs w:val="20"/>
              </w:rPr>
            </w:pPr>
            <w:r w:rsidRPr="007E2E96">
              <w:rPr>
                <w:sz w:val="20"/>
                <w:szCs w:val="20"/>
              </w:rPr>
              <w:t>Large</w:t>
            </w:r>
          </w:p>
        </w:tc>
        <w:tc>
          <w:tcPr>
            <w:tcW w:w="1260" w:type="dxa"/>
            <w:shd w:val="clear" w:color="auto" w:fill="auto"/>
            <w:noWrap/>
            <w:vAlign w:val="center"/>
            <w:hideMark/>
          </w:tcPr>
          <w:p w:rsidR="00BB4535" w:rsidRPr="007E2E96" w:rsidP="00BB4535" w14:paraId="6D51C9BE" w14:textId="0BFAAA3C">
            <w:pPr>
              <w:jc w:val="center"/>
              <w:rPr>
                <w:rFonts w:ascii="Calibri" w:eastAsia="Times New Roman" w:hAnsi="Calibri" w:cs="Calibri"/>
                <w:color w:val="000000"/>
                <w:sz w:val="20"/>
                <w:szCs w:val="20"/>
              </w:rPr>
            </w:pPr>
            <w:r w:rsidRPr="007E2E96">
              <w:rPr>
                <w:sz w:val="20"/>
                <w:szCs w:val="20"/>
              </w:rPr>
              <w:t>2,600,978</w:t>
            </w:r>
          </w:p>
        </w:tc>
        <w:tc>
          <w:tcPr>
            <w:tcW w:w="1260" w:type="dxa"/>
            <w:shd w:val="clear" w:color="auto" w:fill="auto"/>
            <w:noWrap/>
            <w:vAlign w:val="center"/>
            <w:hideMark/>
          </w:tcPr>
          <w:p w:rsidR="00BB4535" w:rsidRPr="007E2E96" w:rsidP="00BB4535" w14:paraId="75B57036" w14:textId="78480DD2">
            <w:pPr>
              <w:jc w:val="center"/>
              <w:rPr>
                <w:rFonts w:ascii="Calibri" w:eastAsia="Times New Roman" w:hAnsi="Calibri" w:cs="Calibri"/>
                <w:color w:val="000000"/>
                <w:sz w:val="20"/>
                <w:szCs w:val="20"/>
              </w:rPr>
            </w:pPr>
            <w:r w:rsidRPr="007E2E96">
              <w:rPr>
                <w:sz w:val="20"/>
                <w:szCs w:val="20"/>
              </w:rPr>
              <w:t>416,248</w:t>
            </w:r>
          </w:p>
        </w:tc>
        <w:tc>
          <w:tcPr>
            <w:tcW w:w="1440" w:type="dxa"/>
            <w:shd w:val="clear" w:color="auto" w:fill="auto"/>
            <w:noWrap/>
            <w:vAlign w:val="center"/>
            <w:hideMark/>
          </w:tcPr>
          <w:p w:rsidR="00BB4535" w:rsidRPr="007E2E96" w:rsidP="00BB4535" w14:paraId="4C9EC0ED" w14:textId="433AC016">
            <w:pPr>
              <w:jc w:val="center"/>
              <w:rPr>
                <w:rFonts w:ascii="Calibri" w:eastAsia="Times New Roman" w:hAnsi="Calibri" w:cs="Calibri"/>
                <w:color w:val="000000"/>
                <w:sz w:val="20"/>
                <w:szCs w:val="20"/>
              </w:rPr>
            </w:pPr>
            <w:r w:rsidRPr="007E2E96">
              <w:rPr>
                <w:sz w:val="20"/>
                <w:szCs w:val="20"/>
              </w:rPr>
              <w:t>13,427</w:t>
            </w:r>
          </w:p>
        </w:tc>
        <w:tc>
          <w:tcPr>
            <w:tcW w:w="1165" w:type="dxa"/>
            <w:shd w:val="clear" w:color="auto" w:fill="auto"/>
            <w:noWrap/>
            <w:vAlign w:val="center"/>
            <w:hideMark/>
          </w:tcPr>
          <w:p w:rsidR="00BB4535" w:rsidRPr="007E2E96" w:rsidP="00BB4535" w14:paraId="015C20F0" w14:textId="51A91895">
            <w:pPr>
              <w:jc w:val="center"/>
              <w:rPr>
                <w:rFonts w:ascii="Calibri" w:eastAsia="Times New Roman" w:hAnsi="Calibri" w:cs="Calibri"/>
                <w:color w:val="000000"/>
                <w:sz w:val="20"/>
                <w:szCs w:val="20"/>
              </w:rPr>
            </w:pPr>
            <w:r w:rsidRPr="007E2E96">
              <w:rPr>
                <w:sz w:val="20"/>
                <w:szCs w:val="20"/>
              </w:rPr>
              <w:t>134,274</w:t>
            </w:r>
          </w:p>
        </w:tc>
      </w:tr>
      <w:tr w14:paraId="0E4DFCF7"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2A52C9F1" w14:textId="379F7116">
            <w:pPr>
              <w:rPr>
                <w:rFonts w:ascii="Calibri" w:eastAsia="Times New Roman" w:hAnsi="Calibri" w:cs="Calibri"/>
                <w:color w:val="000000"/>
                <w:sz w:val="20"/>
                <w:szCs w:val="20"/>
              </w:rPr>
            </w:pPr>
            <w:r w:rsidRPr="007E2E96">
              <w:rPr>
                <w:rFonts w:ascii="Calibri" w:eastAsia="Times New Roman" w:hAnsi="Calibri" w:cs="Calibri"/>
                <w:color w:val="000000"/>
                <w:sz w:val="20"/>
                <w:szCs w:val="20"/>
              </w:rPr>
              <w:t>13</w:t>
            </w:r>
          </w:p>
        </w:tc>
        <w:tc>
          <w:tcPr>
            <w:tcW w:w="2790" w:type="dxa"/>
            <w:shd w:val="clear" w:color="auto" w:fill="auto"/>
            <w:noWrap/>
            <w:vAlign w:val="center"/>
            <w:hideMark/>
          </w:tcPr>
          <w:p w:rsidR="00BB4535" w:rsidRPr="007E2E96" w:rsidP="00BB4535" w14:paraId="2C990DD3" w14:textId="26DE6DD7">
            <w:pPr>
              <w:rPr>
                <w:sz w:val="20"/>
                <w:szCs w:val="20"/>
              </w:rPr>
            </w:pPr>
            <w:r w:rsidRPr="007E2E96">
              <w:rPr>
                <w:sz w:val="20"/>
                <w:szCs w:val="20"/>
              </w:rPr>
              <w:t>Minute Man National Historical Park</w:t>
            </w:r>
          </w:p>
        </w:tc>
        <w:tc>
          <w:tcPr>
            <w:tcW w:w="900" w:type="dxa"/>
            <w:shd w:val="clear" w:color="auto" w:fill="auto"/>
            <w:vAlign w:val="center"/>
          </w:tcPr>
          <w:p w:rsidR="00BB4535" w:rsidRPr="007E2E96" w:rsidP="00BB4535" w14:paraId="2B6E3C90" w14:textId="75CF93DD">
            <w:pPr>
              <w:jc w:val="center"/>
              <w:rPr>
                <w:sz w:val="20"/>
                <w:szCs w:val="20"/>
              </w:rPr>
            </w:pPr>
            <w:r w:rsidRPr="007E2E96">
              <w:rPr>
                <w:sz w:val="20"/>
                <w:szCs w:val="20"/>
              </w:rPr>
              <w:t>Large</w:t>
            </w:r>
          </w:p>
        </w:tc>
        <w:tc>
          <w:tcPr>
            <w:tcW w:w="1260" w:type="dxa"/>
            <w:shd w:val="clear" w:color="auto" w:fill="auto"/>
            <w:noWrap/>
            <w:vAlign w:val="center"/>
            <w:hideMark/>
          </w:tcPr>
          <w:p w:rsidR="00BB4535" w:rsidRPr="007E2E96" w:rsidP="00BB4535" w14:paraId="0D6DC29D" w14:textId="69673591">
            <w:pPr>
              <w:jc w:val="center"/>
              <w:rPr>
                <w:rFonts w:ascii="Calibri" w:eastAsia="Times New Roman" w:hAnsi="Calibri" w:cs="Calibri"/>
                <w:color w:val="000000"/>
                <w:sz w:val="20"/>
                <w:szCs w:val="20"/>
              </w:rPr>
            </w:pPr>
            <w:r w:rsidRPr="007E2E96">
              <w:rPr>
                <w:sz w:val="20"/>
                <w:szCs w:val="20"/>
              </w:rPr>
              <w:t>1,008,422</w:t>
            </w:r>
          </w:p>
        </w:tc>
        <w:tc>
          <w:tcPr>
            <w:tcW w:w="1260" w:type="dxa"/>
            <w:shd w:val="clear" w:color="auto" w:fill="auto"/>
            <w:noWrap/>
            <w:vAlign w:val="center"/>
            <w:hideMark/>
          </w:tcPr>
          <w:p w:rsidR="00BB4535" w:rsidRPr="007E2E96" w:rsidP="00BB4535" w14:paraId="46CFA9B9" w14:textId="1B7DF057">
            <w:pPr>
              <w:jc w:val="center"/>
              <w:rPr>
                <w:rFonts w:ascii="Calibri" w:eastAsia="Times New Roman" w:hAnsi="Calibri" w:cs="Calibri"/>
                <w:color w:val="000000"/>
                <w:sz w:val="20"/>
                <w:szCs w:val="20"/>
              </w:rPr>
            </w:pPr>
            <w:r w:rsidRPr="007E2E96">
              <w:rPr>
                <w:sz w:val="20"/>
                <w:szCs w:val="20"/>
              </w:rPr>
              <w:t>117,084</w:t>
            </w:r>
          </w:p>
        </w:tc>
        <w:tc>
          <w:tcPr>
            <w:tcW w:w="1440" w:type="dxa"/>
            <w:shd w:val="clear" w:color="auto" w:fill="auto"/>
            <w:noWrap/>
            <w:vAlign w:val="center"/>
            <w:hideMark/>
          </w:tcPr>
          <w:p w:rsidR="00BB4535" w:rsidRPr="007E2E96" w:rsidP="00BB4535" w14:paraId="27AEE9E3" w14:textId="3DE1D421">
            <w:pPr>
              <w:jc w:val="center"/>
              <w:rPr>
                <w:rFonts w:ascii="Calibri" w:eastAsia="Times New Roman" w:hAnsi="Calibri" w:cs="Calibri"/>
                <w:color w:val="000000"/>
                <w:sz w:val="20"/>
                <w:szCs w:val="20"/>
              </w:rPr>
            </w:pPr>
            <w:r w:rsidRPr="007E2E96">
              <w:rPr>
                <w:sz w:val="20"/>
                <w:szCs w:val="20"/>
              </w:rPr>
              <w:t>3,777</w:t>
            </w:r>
          </w:p>
        </w:tc>
        <w:tc>
          <w:tcPr>
            <w:tcW w:w="1165" w:type="dxa"/>
            <w:shd w:val="clear" w:color="auto" w:fill="auto"/>
            <w:noWrap/>
            <w:vAlign w:val="center"/>
            <w:hideMark/>
          </w:tcPr>
          <w:p w:rsidR="00BB4535" w:rsidRPr="007E2E96" w:rsidP="00BB4535" w14:paraId="7C4F6E78" w14:textId="00EC069E">
            <w:pPr>
              <w:jc w:val="center"/>
              <w:rPr>
                <w:rFonts w:ascii="Calibri" w:eastAsia="Times New Roman" w:hAnsi="Calibri" w:cs="Calibri"/>
                <w:color w:val="000000"/>
                <w:sz w:val="20"/>
                <w:szCs w:val="20"/>
              </w:rPr>
            </w:pPr>
            <w:r w:rsidRPr="007E2E96">
              <w:rPr>
                <w:sz w:val="20"/>
                <w:szCs w:val="20"/>
              </w:rPr>
              <w:t>37,769</w:t>
            </w:r>
          </w:p>
        </w:tc>
      </w:tr>
      <w:tr w14:paraId="56129CAE"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60EE3D83" w14:textId="0589D98C">
            <w:pPr>
              <w:rPr>
                <w:rFonts w:ascii="Calibri" w:eastAsia="Times New Roman" w:hAnsi="Calibri" w:cs="Calibri"/>
                <w:color w:val="000000"/>
                <w:sz w:val="20"/>
                <w:szCs w:val="20"/>
              </w:rPr>
            </w:pPr>
            <w:r w:rsidRPr="007E2E96">
              <w:rPr>
                <w:rFonts w:ascii="Calibri" w:eastAsia="Times New Roman" w:hAnsi="Calibri" w:cs="Calibri"/>
                <w:color w:val="000000"/>
                <w:sz w:val="20"/>
                <w:szCs w:val="20"/>
              </w:rPr>
              <w:t>14</w:t>
            </w:r>
          </w:p>
        </w:tc>
        <w:tc>
          <w:tcPr>
            <w:tcW w:w="2790" w:type="dxa"/>
            <w:shd w:val="clear" w:color="auto" w:fill="auto"/>
            <w:noWrap/>
            <w:vAlign w:val="center"/>
            <w:hideMark/>
          </w:tcPr>
          <w:p w:rsidR="00BB4535" w:rsidRPr="007E2E96" w:rsidP="00BB4535" w14:paraId="6EB5C36D" w14:textId="7599D433">
            <w:pPr>
              <w:rPr>
                <w:sz w:val="20"/>
                <w:szCs w:val="20"/>
              </w:rPr>
            </w:pPr>
            <w:r w:rsidRPr="007E2E96">
              <w:rPr>
                <w:sz w:val="20"/>
                <w:szCs w:val="20"/>
              </w:rPr>
              <w:t>Kennesaw Mountain National Battlefield Park</w:t>
            </w:r>
          </w:p>
        </w:tc>
        <w:tc>
          <w:tcPr>
            <w:tcW w:w="900" w:type="dxa"/>
            <w:shd w:val="clear" w:color="auto" w:fill="auto"/>
            <w:vAlign w:val="center"/>
          </w:tcPr>
          <w:p w:rsidR="00BB4535" w:rsidRPr="007E2E96" w:rsidP="00BB4535" w14:paraId="2B8DDF31" w14:textId="3E9C8C54">
            <w:pPr>
              <w:jc w:val="center"/>
              <w:rPr>
                <w:sz w:val="20"/>
                <w:szCs w:val="20"/>
              </w:rPr>
            </w:pPr>
            <w:r w:rsidRPr="007E2E96">
              <w:rPr>
                <w:sz w:val="20"/>
                <w:szCs w:val="20"/>
              </w:rPr>
              <w:t>Large</w:t>
            </w:r>
          </w:p>
        </w:tc>
        <w:tc>
          <w:tcPr>
            <w:tcW w:w="1260" w:type="dxa"/>
            <w:shd w:val="clear" w:color="auto" w:fill="auto"/>
            <w:noWrap/>
            <w:vAlign w:val="center"/>
            <w:hideMark/>
          </w:tcPr>
          <w:p w:rsidR="00BB4535" w:rsidRPr="007E2E96" w:rsidP="00BB4535" w14:paraId="492902CC" w14:textId="2D51699B">
            <w:pPr>
              <w:jc w:val="center"/>
              <w:rPr>
                <w:rFonts w:ascii="Calibri" w:eastAsia="Times New Roman" w:hAnsi="Calibri" w:cs="Calibri"/>
                <w:color w:val="000000"/>
                <w:sz w:val="20"/>
                <w:szCs w:val="20"/>
              </w:rPr>
            </w:pPr>
            <w:r w:rsidRPr="007E2E96">
              <w:rPr>
                <w:sz w:val="20"/>
                <w:szCs w:val="20"/>
              </w:rPr>
              <w:t>2,234,387</w:t>
            </w:r>
          </w:p>
        </w:tc>
        <w:tc>
          <w:tcPr>
            <w:tcW w:w="1260" w:type="dxa"/>
            <w:shd w:val="clear" w:color="auto" w:fill="auto"/>
            <w:noWrap/>
            <w:vAlign w:val="center"/>
            <w:hideMark/>
          </w:tcPr>
          <w:p w:rsidR="00BB4535" w:rsidRPr="007E2E96" w:rsidP="00BB4535" w14:paraId="455D243A" w14:textId="56F84B19">
            <w:pPr>
              <w:jc w:val="center"/>
              <w:rPr>
                <w:rFonts w:ascii="Calibri" w:eastAsia="Times New Roman" w:hAnsi="Calibri" w:cs="Calibri"/>
                <w:color w:val="000000"/>
                <w:sz w:val="20"/>
                <w:szCs w:val="20"/>
              </w:rPr>
            </w:pPr>
            <w:r w:rsidRPr="007E2E96">
              <w:rPr>
                <w:sz w:val="20"/>
                <w:szCs w:val="20"/>
              </w:rPr>
              <w:t>243,666</w:t>
            </w:r>
          </w:p>
        </w:tc>
        <w:tc>
          <w:tcPr>
            <w:tcW w:w="1440" w:type="dxa"/>
            <w:shd w:val="clear" w:color="auto" w:fill="auto"/>
            <w:noWrap/>
            <w:vAlign w:val="center"/>
            <w:hideMark/>
          </w:tcPr>
          <w:p w:rsidR="00BB4535" w:rsidRPr="007E2E96" w:rsidP="00BB4535" w14:paraId="21438FED" w14:textId="10CF673C">
            <w:pPr>
              <w:jc w:val="center"/>
              <w:rPr>
                <w:rFonts w:ascii="Calibri" w:eastAsia="Times New Roman" w:hAnsi="Calibri" w:cs="Calibri"/>
                <w:color w:val="000000"/>
                <w:sz w:val="20"/>
                <w:szCs w:val="20"/>
              </w:rPr>
            </w:pPr>
            <w:r w:rsidRPr="007E2E96">
              <w:rPr>
                <w:sz w:val="20"/>
                <w:szCs w:val="20"/>
              </w:rPr>
              <w:t>7,860</w:t>
            </w:r>
          </w:p>
        </w:tc>
        <w:tc>
          <w:tcPr>
            <w:tcW w:w="1165" w:type="dxa"/>
            <w:shd w:val="clear" w:color="auto" w:fill="auto"/>
            <w:noWrap/>
            <w:vAlign w:val="center"/>
            <w:hideMark/>
          </w:tcPr>
          <w:p w:rsidR="00BB4535" w:rsidRPr="007E2E96" w:rsidP="00BB4535" w14:paraId="37F53C2F" w14:textId="3A2022BC">
            <w:pPr>
              <w:jc w:val="center"/>
              <w:rPr>
                <w:rFonts w:ascii="Calibri" w:eastAsia="Times New Roman" w:hAnsi="Calibri" w:cs="Calibri"/>
                <w:color w:val="000000"/>
                <w:sz w:val="20"/>
                <w:szCs w:val="20"/>
              </w:rPr>
            </w:pPr>
            <w:r w:rsidRPr="007E2E96">
              <w:rPr>
                <w:sz w:val="20"/>
                <w:szCs w:val="20"/>
              </w:rPr>
              <w:t>78,602</w:t>
            </w:r>
          </w:p>
        </w:tc>
      </w:tr>
      <w:tr w14:paraId="1CFB43D6" w14:textId="77777777" w:rsidTr="00D04672">
        <w:tblPrEx>
          <w:tblW w:w="0" w:type="auto"/>
          <w:tblLayout w:type="fixed"/>
          <w:tblLook w:val="04A0"/>
        </w:tblPrEx>
        <w:trPr>
          <w:trHeight w:val="282"/>
        </w:trPr>
        <w:tc>
          <w:tcPr>
            <w:tcW w:w="535" w:type="dxa"/>
            <w:shd w:val="clear" w:color="auto" w:fill="auto"/>
            <w:noWrap/>
            <w:vAlign w:val="center"/>
          </w:tcPr>
          <w:p w:rsidR="00BB4535" w:rsidRPr="007E2E96" w:rsidP="00A06E1E" w14:paraId="362BD5E0" w14:textId="546C60DA">
            <w:pPr>
              <w:rPr>
                <w:sz w:val="20"/>
                <w:szCs w:val="20"/>
              </w:rPr>
            </w:pPr>
            <w:r w:rsidRPr="007E2E96">
              <w:rPr>
                <w:sz w:val="20"/>
                <w:szCs w:val="20"/>
              </w:rPr>
              <w:t>15</w:t>
            </w:r>
          </w:p>
        </w:tc>
        <w:tc>
          <w:tcPr>
            <w:tcW w:w="2790" w:type="dxa"/>
            <w:shd w:val="clear" w:color="auto" w:fill="auto"/>
            <w:noWrap/>
            <w:vAlign w:val="center"/>
          </w:tcPr>
          <w:p w:rsidR="00BB4535" w:rsidRPr="007E2E96" w:rsidP="00BB4535" w14:paraId="2AB6773D" w14:textId="6E4CFCCC">
            <w:pPr>
              <w:rPr>
                <w:sz w:val="20"/>
                <w:szCs w:val="20"/>
              </w:rPr>
            </w:pPr>
            <w:r w:rsidRPr="007E2E96">
              <w:rPr>
                <w:sz w:val="20"/>
                <w:szCs w:val="20"/>
              </w:rPr>
              <w:t>Fort McHenry National Monument and Historic Shrine</w:t>
            </w:r>
          </w:p>
        </w:tc>
        <w:tc>
          <w:tcPr>
            <w:tcW w:w="900" w:type="dxa"/>
            <w:shd w:val="clear" w:color="auto" w:fill="auto"/>
            <w:vAlign w:val="center"/>
          </w:tcPr>
          <w:p w:rsidR="00BB4535" w:rsidRPr="007E2E96" w:rsidP="00BB4535" w14:paraId="350919E8" w14:textId="47D83B5B">
            <w:pPr>
              <w:jc w:val="center"/>
              <w:rPr>
                <w:sz w:val="20"/>
                <w:szCs w:val="20"/>
              </w:rPr>
            </w:pPr>
            <w:r w:rsidRPr="007E2E96">
              <w:rPr>
                <w:sz w:val="20"/>
                <w:szCs w:val="20"/>
              </w:rPr>
              <w:t>Small</w:t>
            </w:r>
          </w:p>
        </w:tc>
        <w:tc>
          <w:tcPr>
            <w:tcW w:w="1260" w:type="dxa"/>
            <w:shd w:val="clear" w:color="auto" w:fill="auto"/>
            <w:noWrap/>
            <w:vAlign w:val="center"/>
          </w:tcPr>
          <w:p w:rsidR="00BB4535" w:rsidRPr="007E2E96" w:rsidP="00BB4535" w14:paraId="39339C58" w14:textId="4D69DEC9">
            <w:pPr>
              <w:jc w:val="center"/>
              <w:rPr>
                <w:sz w:val="20"/>
                <w:szCs w:val="20"/>
              </w:rPr>
            </w:pPr>
            <w:r w:rsidRPr="007E2E96">
              <w:rPr>
                <w:sz w:val="20"/>
                <w:szCs w:val="20"/>
              </w:rPr>
              <w:t>653,694</w:t>
            </w:r>
          </w:p>
        </w:tc>
        <w:tc>
          <w:tcPr>
            <w:tcW w:w="1260" w:type="dxa"/>
            <w:shd w:val="clear" w:color="auto" w:fill="auto"/>
            <w:noWrap/>
            <w:vAlign w:val="center"/>
          </w:tcPr>
          <w:p w:rsidR="00BB4535" w:rsidRPr="007E2E96" w:rsidP="00BB4535" w14:paraId="0C01A541" w14:textId="71949EDB">
            <w:pPr>
              <w:jc w:val="center"/>
              <w:rPr>
                <w:sz w:val="20"/>
                <w:szCs w:val="20"/>
              </w:rPr>
            </w:pPr>
            <w:r w:rsidRPr="007E2E96">
              <w:rPr>
                <w:sz w:val="20"/>
                <w:szCs w:val="20"/>
              </w:rPr>
              <w:t>82,411</w:t>
            </w:r>
          </w:p>
        </w:tc>
        <w:tc>
          <w:tcPr>
            <w:tcW w:w="1440" w:type="dxa"/>
            <w:shd w:val="clear" w:color="auto" w:fill="auto"/>
            <w:noWrap/>
            <w:vAlign w:val="center"/>
          </w:tcPr>
          <w:p w:rsidR="00BB4535" w:rsidRPr="007E2E96" w:rsidP="00BB4535" w14:paraId="362D5474" w14:textId="6D9F2F97">
            <w:pPr>
              <w:jc w:val="center"/>
              <w:rPr>
                <w:sz w:val="20"/>
                <w:szCs w:val="20"/>
              </w:rPr>
            </w:pPr>
            <w:r w:rsidRPr="007E2E96">
              <w:rPr>
                <w:sz w:val="20"/>
                <w:szCs w:val="20"/>
              </w:rPr>
              <w:t>2,747</w:t>
            </w:r>
          </w:p>
        </w:tc>
        <w:tc>
          <w:tcPr>
            <w:tcW w:w="1165" w:type="dxa"/>
            <w:shd w:val="clear" w:color="auto" w:fill="auto"/>
            <w:noWrap/>
            <w:vAlign w:val="center"/>
          </w:tcPr>
          <w:p w:rsidR="00BB4535" w:rsidRPr="007E2E96" w:rsidP="00BB4535" w14:paraId="040DB592" w14:textId="0EF1B3C3">
            <w:pPr>
              <w:jc w:val="center"/>
              <w:rPr>
                <w:sz w:val="20"/>
                <w:szCs w:val="20"/>
              </w:rPr>
            </w:pPr>
            <w:r w:rsidRPr="007E2E96">
              <w:rPr>
                <w:sz w:val="20"/>
                <w:szCs w:val="20"/>
              </w:rPr>
              <w:t>27,470</w:t>
            </w:r>
          </w:p>
        </w:tc>
      </w:tr>
      <w:tr w14:paraId="77216149" w14:textId="77777777" w:rsidTr="00200374">
        <w:tblPrEx>
          <w:tblW w:w="0" w:type="auto"/>
          <w:tblLayout w:type="fixed"/>
          <w:tblLook w:val="04A0"/>
        </w:tblPrEx>
        <w:trPr>
          <w:trHeight w:val="282"/>
        </w:trPr>
        <w:tc>
          <w:tcPr>
            <w:tcW w:w="535" w:type="dxa"/>
            <w:shd w:val="clear" w:color="auto" w:fill="auto"/>
            <w:noWrap/>
            <w:vAlign w:val="center"/>
          </w:tcPr>
          <w:p w:rsidR="00BB4535" w:rsidRPr="007E2E96" w:rsidP="00A06E1E" w14:paraId="36105CB3" w14:textId="763C3B30">
            <w:pPr>
              <w:rPr>
                <w:sz w:val="20"/>
                <w:szCs w:val="20"/>
              </w:rPr>
            </w:pPr>
            <w:r w:rsidRPr="007E2E96">
              <w:rPr>
                <w:sz w:val="20"/>
                <w:szCs w:val="20"/>
              </w:rPr>
              <w:t>16</w:t>
            </w:r>
          </w:p>
        </w:tc>
        <w:tc>
          <w:tcPr>
            <w:tcW w:w="2790" w:type="dxa"/>
            <w:shd w:val="clear" w:color="auto" w:fill="auto"/>
            <w:noWrap/>
            <w:vAlign w:val="center"/>
          </w:tcPr>
          <w:p w:rsidR="00BB4535" w:rsidRPr="007E2E96" w:rsidP="00BB4535" w14:paraId="084E097E" w14:textId="00A17194">
            <w:pPr>
              <w:rPr>
                <w:sz w:val="20"/>
                <w:szCs w:val="20"/>
              </w:rPr>
            </w:pPr>
            <w:r w:rsidRPr="007E2E96">
              <w:rPr>
                <w:sz w:val="20"/>
                <w:szCs w:val="20"/>
              </w:rPr>
              <w:t>President's Park (White House grounds)</w:t>
            </w:r>
          </w:p>
        </w:tc>
        <w:tc>
          <w:tcPr>
            <w:tcW w:w="900" w:type="dxa"/>
            <w:shd w:val="clear" w:color="auto" w:fill="auto"/>
            <w:vAlign w:val="center"/>
          </w:tcPr>
          <w:p w:rsidR="00BB4535" w:rsidRPr="007E2E96" w:rsidP="00BB4535" w14:paraId="34CEE39E" w14:textId="46466444">
            <w:pPr>
              <w:jc w:val="center"/>
              <w:rPr>
                <w:sz w:val="20"/>
                <w:szCs w:val="20"/>
              </w:rPr>
            </w:pPr>
            <w:r w:rsidRPr="007E2E96">
              <w:rPr>
                <w:sz w:val="20"/>
                <w:szCs w:val="20"/>
              </w:rPr>
              <w:t>Large</w:t>
            </w:r>
          </w:p>
        </w:tc>
        <w:tc>
          <w:tcPr>
            <w:tcW w:w="1260" w:type="dxa"/>
            <w:shd w:val="clear" w:color="auto" w:fill="auto"/>
            <w:noWrap/>
            <w:vAlign w:val="center"/>
          </w:tcPr>
          <w:p w:rsidR="00BB4535" w:rsidRPr="007E2E96" w:rsidP="00BB4535" w14:paraId="7FFEEAC1" w14:textId="158169C9">
            <w:pPr>
              <w:jc w:val="center"/>
              <w:rPr>
                <w:sz w:val="20"/>
                <w:szCs w:val="20"/>
              </w:rPr>
            </w:pPr>
            <w:r w:rsidRPr="007E2E96">
              <w:rPr>
                <w:sz w:val="20"/>
                <w:szCs w:val="20"/>
              </w:rPr>
              <w:t>950,497</w:t>
            </w:r>
          </w:p>
        </w:tc>
        <w:tc>
          <w:tcPr>
            <w:tcW w:w="1260" w:type="dxa"/>
            <w:shd w:val="clear" w:color="auto" w:fill="auto"/>
            <w:noWrap/>
            <w:vAlign w:val="center"/>
          </w:tcPr>
          <w:p w:rsidR="00BB4535" w:rsidRPr="007E2E96" w:rsidP="00BB4535" w14:paraId="7180DD74" w14:textId="20C3F8C5">
            <w:pPr>
              <w:jc w:val="center"/>
              <w:rPr>
                <w:sz w:val="20"/>
                <w:szCs w:val="20"/>
              </w:rPr>
            </w:pPr>
            <w:r w:rsidRPr="007E2E96">
              <w:rPr>
                <w:sz w:val="20"/>
                <w:szCs w:val="20"/>
              </w:rPr>
              <w:t>240,735</w:t>
            </w:r>
          </w:p>
        </w:tc>
        <w:tc>
          <w:tcPr>
            <w:tcW w:w="1440" w:type="dxa"/>
            <w:shd w:val="clear" w:color="auto" w:fill="auto"/>
            <w:noWrap/>
            <w:vAlign w:val="center"/>
          </w:tcPr>
          <w:p w:rsidR="00BB4535" w:rsidRPr="007E2E96" w:rsidP="00BB4535" w14:paraId="77BCA858" w14:textId="192B729D">
            <w:pPr>
              <w:jc w:val="center"/>
              <w:rPr>
                <w:sz w:val="20"/>
                <w:szCs w:val="20"/>
              </w:rPr>
            </w:pPr>
            <w:r w:rsidRPr="007E2E96">
              <w:rPr>
                <w:sz w:val="20"/>
                <w:szCs w:val="20"/>
              </w:rPr>
              <w:t>8,025</w:t>
            </w:r>
          </w:p>
        </w:tc>
        <w:tc>
          <w:tcPr>
            <w:tcW w:w="1165" w:type="dxa"/>
            <w:shd w:val="clear" w:color="auto" w:fill="auto"/>
            <w:noWrap/>
            <w:vAlign w:val="center"/>
          </w:tcPr>
          <w:p w:rsidR="00BB4535" w:rsidRPr="007E2E96" w:rsidP="00BB4535" w14:paraId="1B9325E4" w14:textId="32D8AABB">
            <w:pPr>
              <w:jc w:val="center"/>
              <w:rPr>
                <w:sz w:val="20"/>
                <w:szCs w:val="20"/>
              </w:rPr>
            </w:pPr>
            <w:r w:rsidRPr="007E2E96">
              <w:rPr>
                <w:sz w:val="20"/>
                <w:szCs w:val="20"/>
              </w:rPr>
              <w:t>80,245</w:t>
            </w:r>
          </w:p>
        </w:tc>
      </w:tr>
      <w:tr w14:paraId="7316287A" w14:textId="77777777" w:rsidTr="001E7E6D">
        <w:tblPrEx>
          <w:tblW w:w="0" w:type="auto"/>
          <w:tblLayout w:type="fixed"/>
          <w:tblLook w:val="04A0"/>
        </w:tblPrEx>
        <w:trPr>
          <w:trHeight w:val="282"/>
        </w:trPr>
        <w:tc>
          <w:tcPr>
            <w:tcW w:w="4225" w:type="dxa"/>
            <w:gridSpan w:val="3"/>
            <w:shd w:val="clear" w:color="auto" w:fill="auto"/>
            <w:noWrap/>
            <w:vAlign w:val="center"/>
          </w:tcPr>
          <w:p w:rsidR="001E7E6D" w:rsidRPr="007E2E96" w:rsidP="001E7E6D" w14:paraId="386AD490" w14:textId="1FAAEAF1">
            <w:pPr>
              <w:jc w:val="right"/>
              <w:rPr>
                <w:i/>
                <w:iCs/>
                <w:sz w:val="20"/>
                <w:szCs w:val="20"/>
              </w:rPr>
            </w:pPr>
            <w:r w:rsidRPr="007E2E96">
              <w:rPr>
                <w:b/>
                <w:bCs/>
                <w:i/>
                <w:iCs/>
                <w:sz w:val="20"/>
                <w:szCs w:val="20"/>
              </w:rPr>
              <w:t>Subtotal</w:t>
            </w:r>
          </w:p>
        </w:tc>
        <w:tc>
          <w:tcPr>
            <w:tcW w:w="1260" w:type="dxa"/>
            <w:shd w:val="clear" w:color="auto" w:fill="auto"/>
            <w:noWrap/>
            <w:vAlign w:val="center"/>
          </w:tcPr>
          <w:p w:rsidR="001E7E6D" w:rsidRPr="007E2E96" w:rsidP="001E7E6D" w14:paraId="7569572D" w14:textId="266A9EE1">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7,948,076</w:t>
            </w:r>
            <w:r w:rsidRPr="007E2E96">
              <w:rPr>
                <w:i/>
                <w:iCs/>
                <w:sz w:val="20"/>
                <w:szCs w:val="20"/>
              </w:rPr>
              <w:fldChar w:fldCharType="end"/>
            </w:r>
          </w:p>
        </w:tc>
        <w:tc>
          <w:tcPr>
            <w:tcW w:w="1260" w:type="dxa"/>
            <w:shd w:val="clear" w:color="auto" w:fill="auto"/>
            <w:noWrap/>
            <w:vAlign w:val="center"/>
          </w:tcPr>
          <w:p w:rsidR="001E7E6D" w:rsidRPr="007E2E96" w:rsidP="001E7E6D" w14:paraId="65424265" w14:textId="635DE2D2">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1,224,447</w:t>
            </w:r>
            <w:r w:rsidRPr="007E2E96">
              <w:rPr>
                <w:i/>
                <w:iCs/>
                <w:sz w:val="20"/>
                <w:szCs w:val="20"/>
              </w:rPr>
              <w:fldChar w:fldCharType="end"/>
            </w:r>
          </w:p>
        </w:tc>
        <w:tc>
          <w:tcPr>
            <w:tcW w:w="1440" w:type="dxa"/>
            <w:shd w:val="clear" w:color="auto" w:fill="auto"/>
            <w:noWrap/>
            <w:vAlign w:val="center"/>
          </w:tcPr>
          <w:p w:rsidR="001E7E6D" w:rsidRPr="007E2E96" w:rsidP="001E7E6D" w14:paraId="39FA1002" w14:textId="23D37E43">
            <w:pPr>
              <w:jc w:val="center"/>
              <w:rPr>
                <w:i/>
                <w:iCs/>
                <w:sz w:val="20"/>
                <w:szCs w:val="20"/>
              </w:rPr>
            </w:pPr>
            <w:r w:rsidRPr="007E2E96">
              <w:rPr>
                <w:rFonts w:ascii="Calibri" w:eastAsia="Times New Roman" w:hAnsi="Calibri" w:cs="Calibri"/>
                <w:i/>
                <w:iCs/>
                <w:color w:val="000000"/>
                <w:sz w:val="20"/>
                <w:szCs w:val="20"/>
              </w:rPr>
              <w:fldChar w:fldCharType="begin"/>
            </w:r>
            <w:r w:rsidRPr="007E2E96">
              <w:rPr>
                <w:rFonts w:ascii="Calibri" w:eastAsia="Times New Roman" w:hAnsi="Calibri" w:cs="Calibri"/>
                <w:i/>
                <w:iCs/>
                <w:color w:val="000000"/>
                <w:sz w:val="20"/>
                <w:szCs w:val="20"/>
              </w:rPr>
              <w:instrText xml:space="preserve"> =SUM(ABOVE) </w:instrText>
            </w:r>
            <w:r w:rsidRPr="007E2E96">
              <w:rPr>
                <w:rFonts w:ascii="Calibri" w:eastAsia="Times New Roman" w:hAnsi="Calibri" w:cs="Calibri"/>
                <w:i/>
                <w:iCs/>
                <w:color w:val="000000"/>
                <w:sz w:val="20"/>
                <w:szCs w:val="20"/>
              </w:rPr>
              <w:fldChar w:fldCharType="separate"/>
            </w:r>
            <w:r w:rsidRPr="007E2E96">
              <w:rPr>
                <w:rFonts w:ascii="Calibri" w:eastAsia="Times New Roman" w:hAnsi="Calibri" w:cs="Calibri"/>
                <w:i/>
                <w:iCs/>
                <w:noProof/>
                <w:color w:val="000000"/>
                <w:sz w:val="20"/>
                <w:szCs w:val="20"/>
              </w:rPr>
              <w:t>39,846</w:t>
            </w:r>
            <w:r w:rsidRPr="007E2E96">
              <w:rPr>
                <w:rFonts w:ascii="Calibri" w:eastAsia="Times New Roman" w:hAnsi="Calibri" w:cs="Calibri"/>
                <w:i/>
                <w:iCs/>
                <w:color w:val="000000"/>
                <w:sz w:val="20"/>
                <w:szCs w:val="20"/>
              </w:rPr>
              <w:fldChar w:fldCharType="end"/>
            </w:r>
          </w:p>
        </w:tc>
        <w:tc>
          <w:tcPr>
            <w:tcW w:w="1165" w:type="dxa"/>
            <w:shd w:val="clear" w:color="auto" w:fill="auto"/>
            <w:noWrap/>
            <w:vAlign w:val="center"/>
          </w:tcPr>
          <w:p w:rsidR="00173550" w:rsidRPr="007E2E96" w:rsidP="00173550" w14:paraId="4944E51B" w14:textId="0DB39F04">
            <w:pPr>
              <w:jc w:val="center"/>
              <w:rPr>
                <w:i/>
                <w:iCs/>
                <w:sz w:val="20"/>
                <w:szCs w:val="20"/>
              </w:rPr>
            </w:pPr>
            <w:r w:rsidRPr="007E2E96">
              <w:rPr>
                <w:i/>
                <w:iCs/>
                <w:sz w:val="20"/>
                <w:szCs w:val="20"/>
              </w:rPr>
              <w:t>398,457</w:t>
            </w:r>
          </w:p>
        </w:tc>
      </w:tr>
      <w:tr w14:paraId="6175B898" w14:textId="77777777" w:rsidTr="00D1499E">
        <w:tblPrEx>
          <w:tblW w:w="0" w:type="auto"/>
          <w:tblLayout w:type="fixed"/>
          <w:tblLook w:val="04A0"/>
        </w:tblPrEx>
        <w:trPr>
          <w:trHeight w:val="458"/>
        </w:trPr>
        <w:tc>
          <w:tcPr>
            <w:tcW w:w="9350" w:type="dxa"/>
            <w:gridSpan w:val="7"/>
            <w:tcBorders>
              <w:left w:val="nil"/>
              <w:right w:val="nil"/>
            </w:tcBorders>
            <w:shd w:val="clear" w:color="auto" w:fill="B8CCE4" w:themeFill="accent1" w:themeFillTint="66"/>
            <w:noWrap/>
            <w:vAlign w:val="center"/>
          </w:tcPr>
          <w:p w:rsidR="00BB4535" w:rsidRPr="00D1499E" w:rsidP="000801E4" w14:paraId="168E0580" w14:textId="2B5AF19A">
            <w:pPr>
              <w:rPr>
                <w:b/>
                <w:bCs/>
                <w:sz w:val="20"/>
                <w:szCs w:val="20"/>
              </w:rPr>
            </w:pPr>
            <w:r w:rsidRPr="00D1499E">
              <w:rPr>
                <w:b/>
                <w:bCs/>
                <w:sz w:val="20"/>
                <w:szCs w:val="20"/>
              </w:rPr>
              <w:t xml:space="preserve">Park Type: </w:t>
            </w:r>
            <w:r w:rsidRPr="00F15F9E">
              <w:rPr>
                <w:sz w:val="20"/>
                <w:szCs w:val="20"/>
              </w:rPr>
              <w:t>Historic-</w:t>
            </w:r>
            <w:r w:rsidRPr="00F15F9E">
              <w:rPr>
                <w:sz w:val="20"/>
                <w:szCs w:val="20"/>
              </w:rPr>
              <w:t>Non-Urban</w:t>
            </w:r>
          </w:p>
        </w:tc>
      </w:tr>
      <w:tr w14:paraId="676A6F87"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2311B59A" w14:textId="6087EEA3">
            <w:pPr>
              <w:jc w:val="center"/>
              <w:rPr>
                <w:rFonts w:ascii="Calibri" w:eastAsia="Times New Roman" w:hAnsi="Calibri" w:cs="Calibri"/>
                <w:color w:val="000000"/>
                <w:sz w:val="20"/>
                <w:szCs w:val="20"/>
              </w:rPr>
            </w:pPr>
            <w:r w:rsidRPr="007E2E96">
              <w:rPr>
                <w:sz w:val="20"/>
                <w:szCs w:val="20"/>
              </w:rPr>
              <w:t>17</w:t>
            </w:r>
          </w:p>
        </w:tc>
        <w:tc>
          <w:tcPr>
            <w:tcW w:w="2790" w:type="dxa"/>
            <w:shd w:val="clear" w:color="auto" w:fill="auto"/>
            <w:noWrap/>
            <w:vAlign w:val="center"/>
            <w:hideMark/>
          </w:tcPr>
          <w:p w:rsidR="00F342E2" w:rsidRPr="007E2E96" w:rsidP="00F342E2" w14:paraId="1FB728A1" w14:textId="2CA517BE">
            <w:pPr>
              <w:rPr>
                <w:sz w:val="20"/>
                <w:szCs w:val="20"/>
              </w:rPr>
            </w:pPr>
            <w:r w:rsidRPr="007E2E96">
              <w:rPr>
                <w:sz w:val="20"/>
                <w:szCs w:val="20"/>
              </w:rPr>
              <w:t>Grant-Kohrs Ranch National Historic Site</w:t>
            </w:r>
          </w:p>
        </w:tc>
        <w:tc>
          <w:tcPr>
            <w:tcW w:w="900" w:type="dxa"/>
            <w:shd w:val="clear" w:color="auto" w:fill="auto"/>
            <w:vAlign w:val="center"/>
          </w:tcPr>
          <w:p w:rsidR="00F342E2" w:rsidRPr="007E2E96" w:rsidP="00F342E2" w14:paraId="4AB9C377" w14:textId="6A972CB8">
            <w:pPr>
              <w:jc w:val="center"/>
              <w:rPr>
                <w:sz w:val="20"/>
                <w:szCs w:val="20"/>
              </w:rPr>
            </w:pPr>
            <w:r w:rsidRPr="007E2E96">
              <w:rPr>
                <w:sz w:val="20"/>
                <w:szCs w:val="20"/>
              </w:rPr>
              <w:t>Small</w:t>
            </w:r>
          </w:p>
        </w:tc>
        <w:tc>
          <w:tcPr>
            <w:tcW w:w="1260" w:type="dxa"/>
            <w:shd w:val="clear" w:color="auto" w:fill="auto"/>
            <w:noWrap/>
            <w:vAlign w:val="center"/>
            <w:hideMark/>
          </w:tcPr>
          <w:p w:rsidR="00F342E2" w:rsidRPr="007E2E96" w:rsidP="00F342E2" w14:paraId="6D22E96C" w14:textId="377ADA84">
            <w:pPr>
              <w:jc w:val="center"/>
              <w:rPr>
                <w:rFonts w:ascii="Calibri" w:eastAsia="Times New Roman" w:hAnsi="Calibri" w:cs="Calibri"/>
                <w:color w:val="000000"/>
                <w:sz w:val="20"/>
                <w:szCs w:val="20"/>
              </w:rPr>
            </w:pPr>
            <w:r w:rsidRPr="007E2E96">
              <w:rPr>
                <w:sz w:val="20"/>
                <w:szCs w:val="20"/>
              </w:rPr>
              <w:t>21,760</w:t>
            </w:r>
          </w:p>
        </w:tc>
        <w:tc>
          <w:tcPr>
            <w:tcW w:w="1260" w:type="dxa"/>
            <w:shd w:val="clear" w:color="auto" w:fill="auto"/>
            <w:noWrap/>
            <w:vAlign w:val="center"/>
            <w:hideMark/>
          </w:tcPr>
          <w:p w:rsidR="00F342E2" w:rsidRPr="007E2E96" w:rsidP="00F342E2" w14:paraId="6F61BE41" w14:textId="331CC968">
            <w:pPr>
              <w:jc w:val="center"/>
              <w:rPr>
                <w:rFonts w:ascii="Calibri" w:eastAsia="Times New Roman" w:hAnsi="Calibri" w:cs="Calibri"/>
                <w:color w:val="000000"/>
                <w:sz w:val="20"/>
                <w:szCs w:val="20"/>
              </w:rPr>
            </w:pPr>
            <w:r w:rsidRPr="007E2E96">
              <w:rPr>
                <w:sz w:val="20"/>
                <w:szCs w:val="20"/>
              </w:rPr>
              <w:t>4,345</w:t>
            </w:r>
          </w:p>
        </w:tc>
        <w:tc>
          <w:tcPr>
            <w:tcW w:w="1440" w:type="dxa"/>
            <w:shd w:val="clear" w:color="auto" w:fill="auto"/>
            <w:noWrap/>
            <w:vAlign w:val="center"/>
            <w:hideMark/>
          </w:tcPr>
          <w:p w:rsidR="00F342E2" w:rsidRPr="007E2E96" w:rsidP="00F342E2" w14:paraId="13CCC4B8" w14:textId="54D3DE98">
            <w:pPr>
              <w:jc w:val="center"/>
              <w:rPr>
                <w:rFonts w:ascii="Calibri" w:eastAsia="Times New Roman" w:hAnsi="Calibri" w:cs="Calibri"/>
                <w:color w:val="000000"/>
                <w:sz w:val="20"/>
                <w:szCs w:val="20"/>
              </w:rPr>
            </w:pPr>
            <w:r w:rsidRPr="007E2E96">
              <w:rPr>
                <w:sz w:val="20"/>
                <w:szCs w:val="20"/>
              </w:rPr>
              <w:t>140</w:t>
            </w:r>
          </w:p>
        </w:tc>
        <w:tc>
          <w:tcPr>
            <w:tcW w:w="1165" w:type="dxa"/>
            <w:shd w:val="clear" w:color="auto" w:fill="auto"/>
            <w:noWrap/>
            <w:vAlign w:val="center"/>
            <w:hideMark/>
          </w:tcPr>
          <w:p w:rsidR="00F342E2" w:rsidRPr="007E2E96" w:rsidP="00F342E2" w14:paraId="31A3791F" w14:textId="10431C71">
            <w:pPr>
              <w:jc w:val="center"/>
              <w:rPr>
                <w:rFonts w:ascii="Calibri" w:eastAsia="Times New Roman" w:hAnsi="Calibri" w:cs="Calibri"/>
                <w:color w:val="000000"/>
                <w:sz w:val="20"/>
                <w:szCs w:val="20"/>
              </w:rPr>
            </w:pPr>
            <w:r w:rsidRPr="007E2E96">
              <w:rPr>
                <w:sz w:val="20"/>
                <w:szCs w:val="20"/>
              </w:rPr>
              <w:t>1,402</w:t>
            </w:r>
          </w:p>
        </w:tc>
      </w:tr>
      <w:tr w14:paraId="070FD570"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79458301" w14:textId="59DAC957">
            <w:pPr>
              <w:jc w:val="center"/>
              <w:rPr>
                <w:rFonts w:ascii="Calibri" w:eastAsia="Times New Roman" w:hAnsi="Calibri" w:cs="Calibri"/>
                <w:color w:val="000000"/>
                <w:sz w:val="20"/>
                <w:szCs w:val="20"/>
              </w:rPr>
            </w:pPr>
            <w:r w:rsidRPr="007E2E96">
              <w:rPr>
                <w:sz w:val="20"/>
                <w:szCs w:val="20"/>
              </w:rPr>
              <w:t>18</w:t>
            </w:r>
          </w:p>
        </w:tc>
        <w:tc>
          <w:tcPr>
            <w:tcW w:w="2790" w:type="dxa"/>
            <w:shd w:val="clear" w:color="auto" w:fill="auto"/>
            <w:noWrap/>
            <w:vAlign w:val="center"/>
            <w:hideMark/>
          </w:tcPr>
          <w:p w:rsidR="00F342E2" w:rsidRPr="007E2E96" w:rsidP="00F342E2" w14:paraId="15C6A760" w14:textId="135A6C91">
            <w:pPr>
              <w:rPr>
                <w:sz w:val="20"/>
                <w:szCs w:val="20"/>
              </w:rPr>
            </w:pPr>
            <w:r w:rsidRPr="007E2E96">
              <w:rPr>
                <w:sz w:val="20"/>
                <w:szCs w:val="20"/>
              </w:rPr>
              <w:t xml:space="preserve">Fort </w:t>
            </w:r>
            <w:r w:rsidRPr="007E2E96">
              <w:rPr>
                <w:sz w:val="20"/>
                <w:szCs w:val="20"/>
              </w:rPr>
              <w:t>Larned</w:t>
            </w:r>
            <w:r w:rsidRPr="007E2E96">
              <w:rPr>
                <w:sz w:val="20"/>
                <w:szCs w:val="20"/>
              </w:rPr>
              <w:t xml:space="preserve"> National Historic Site</w:t>
            </w:r>
          </w:p>
        </w:tc>
        <w:tc>
          <w:tcPr>
            <w:tcW w:w="900" w:type="dxa"/>
            <w:shd w:val="clear" w:color="auto" w:fill="auto"/>
            <w:vAlign w:val="center"/>
          </w:tcPr>
          <w:p w:rsidR="00F342E2" w:rsidRPr="007E2E96" w:rsidP="00F342E2" w14:paraId="54B254F0" w14:textId="1CD487AA">
            <w:pPr>
              <w:jc w:val="center"/>
              <w:rPr>
                <w:sz w:val="20"/>
                <w:szCs w:val="20"/>
              </w:rPr>
            </w:pPr>
            <w:r w:rsidRPr="007E2E96">
              <w:rPr>
                <w:sz w:val="20"/>
                <w:szCs w:val="20"/>
              </w:rPr>
              <w:t>Small</w:t>
            </w:r>
          </w:p>
        </w:tc>
        <w:tc>
          <w:tcPr>
            <w:tcW w:w="1260" w:type="dxa"/>
            <w:shd w:val="clear" w:color="auto" w:fill="auto"/>
            <w:noWrap/>
            <w:vAlign w:val="center"/>
            <w:hideMark/>
          </w:tcPr>
          <w:p w:rsidR="00F342E2" w:rsidRPr="007E2E96" w:rsidP="00F342E2" w14:paraId="2634B3BE" w14:textId="3402D1CD">
            <w:pPr>
              <w:jc w:val="center"/>
              <w:rPr>
                <w:rFonts w:ascii="Calibri" w:eastAsia="Times New Roman" w:hAnsi="Calibri" w:cs="Calibri"/>
                <w:color w:val="000000"/>
                <w:sz w:val="20"/>
                <w:szCs w:val="20"/>
              </w:rPr>
            </w:pPr>
            <w:r w:rsidRPr="007E2E96">
              <w:rPr>
                <w:sz w:val="20"/>
                <w:szCs w:val="20"/>
              </w:rPr>
              <w:t>28,893</w:t>
            </w:r>
          </w:p>
        </w:tc>
        <w:tc>
          <w:tcPr>
            <w:tcW w:w="1260" w:type="dxa"/>
            <w:shd w:val="clear" w:color="auto" w:fill="auto"/>
            <w:noWrap/>
            <w:vAlign w:val="center"/>
            <w:hideMark/>
          </w:tcPr>
          <w:p w:rsidR="00F342E2" w:rsidRPr="007E2E96" w:rsidP="00F342E2" w14:paraId="4EE03C7D" w14:textId="46FA2154">
            <w:pPr>
              <w:jc w:val="center"/>
              <w:rPr>
                <w:rFonts w:ascii="Calibri" w:eastAsia="Times New Roman" w:hAnsi="Calibri" w:cs="Calibri"/>
                <w:color w:val="000000"/>
                <w:sz w:val="20"/>
                <w:szCs w:val="20"/>
              </w:rPr>
            </w:pPr>
            <w:r w:rsidRPr="007E2E96">
              <w:rPr>
                <w:sz w:val="20"/>
                <w:szCs w:val="20"/>
              </w:rPr>
              <w:t>4,325</w:t>
            </w:r>
          </w:p>
        </w:tc>
        <w:tc>
          <w:tcPr>
            <w:tcW w:w="1440" w:type="dxa"/>
            <w:shd w:val="clear" w:color="auto" w:fill="auto"/>
            <w:noWrap/>
            <w:vAlign w:val="center"/>
            <w:hideMark/>
          </w:tcPr>
          <w:p w:rsidR="00F342E2" w:rsidRPr="007E2E96" w:rsidP="00F342E2" w14:paraId="0B7D77A8" w14:textId="6784E35C">
            <w:pPr>
              <w:jc w:val="center"/>
              <w:rPr>
                <w:rFonts w:ascii="Calibri" w:eastAsia="Times New Roman" w:hAnsi="Calibri" w:cs="Calibri"/>
                <w:color w:val="000000"/>
                <w:sz w:val="20"/>
                <w:szCs w:val="20"/>
              </w:rPr>
            </w:pPr>
            <w:r w:rsidRPr="007E2E96">
              <w:rPr>
                <w:sz w:val="20"/>
                <w:szCs w:val="20"/>
              </w:rPr>
              <w:t>144</w:t>
            </w:r>
          </w:p>
        </w:tc>
        <w:tc>
          <w:tcPr>
            <w:tcW w:w="1165" w:type="dxa"/>
            <w:shd w:val="clear" w:color="auto" w:fill="auto"/>
            <w:noWrap/>
            <w:vAlign w:val="center"/>
            <w:hideMark/>
          </w:tcPr>
          <w:p w:rsidR="00F342E2" w:rsidRPr="007E2E96" w:rsidP="00F342E2" w14:paraId="67641F40" w14:textId="2D3404E7">
            <w:pPr>
              <w:jc w:val="center"/>
              <w:rPr>
                <w:rFonts w:ascii="Calibri" w:eastAsia="Times New Roman" w:hAnsi="Calibri" w:cs="Calibri"/>
                <w:color w:val="000000"/>
                <w:sz w:val="20"/>
                <w:szCs w:val="20"/>
              </w:rPr>
            </w:pPr>
            <w:r w:rsidRPr="007E2E96">
              <w:rPr>
                <w:sz w:val="20"/>
                <w:szCs w:val="20"/>
              </w:rPr>
              <w:t>1,442</w:t>
            </w:r>
          </w:p>
        </w:tc>
      </w:tr>
      <w:tr w14:paraId="6D223D09"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057BCE7B" w14:textId="7EA72EBE">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19</w:t>
            </w:r>
          </w:p>
        </w:tc>
        <w:tc>
          <w:tcPr>
            <w:tcW w:w="2790" w:type="dxa"/>
            <w:shd w:val="clear" w:color="auto" w:fill="auto"/>
            <w:noWrap/>
            <w:vAlign w:val="center"/>
            <w:hideMark/>
          </w:tcPr>
          <w:p w:rsidR="00F342E2" w:rsidRPr="007E2E96" w:rsidP="00F342E2" w14:paraId="01CCA5D5" w14:textId="6CCC62C8">
            <w:pPr>
              <w:rPr>
                <w:sz w:val="20"/>
                <w:szCs w:val="20"/>
              </w:rPr>
            </w:pPr>
            <w:r w:rsidRPr="007E2E96">
              <w:rPr>
                <w:sz w:val="20"/>
                <w:szCs w:val="20"/>
              </w:rPr>
              <w:t>Homestead National Monument of America</w:t>
            </w:r>
          </w:p>
        </w:tc>
        <w:tc>
          <w:tcPr>
            <w:tcW w:w="900" w:type="dxa"/>
            <w:shd w:val="clear" w:color="auto" w:fill="auto"/>
            <w:vAlign w:val="center"/>
          </w:tcPr>
          <w:p w:rsidR="00F342E2" w:rsidRPr="007E2E96" w:rsidP="00F342E2" w14:paraId="25D1EE95" w14:textId="6AB19359">
            <w:pPr>
              <w:jc w:val="center"/>
              <w:rPr>
                <w:sz w:val="20"/>
                <w:szCs w:val="20"/>
              </w:rPr>
            </w:pPr>
            <w:r w:rsidRPr="007E2E96">
              <w:rPr>
                <w:sz w:val="20"/>
                <w:szCs w:val="20"/>
              </w:rPr>
              <w:t>Small</w:t>
            </w:r>
          </w:p>
        </w:tc>
        <w:tc>
          <w:tcPr>
            <w:tcW w:w="1260" w:type="dxa"/>
            <w:shd w:val="clear" w:color="auto" w:fill="auto"/>
            <w:noWrap/>
            <w:vAlign w:val="center"/>
            <w:hideMark/>
          </w:tcPr>
          <w:p w:rsidR="00F342E2" w:rsidRPr="007E2E96" w:rsidP="00F342E2" w14:paraId="7CCA2247" w14:textId="53D4DE1C">
            <w:pPr>
              <w:jc w:val="center"/>
              <w:rPr>
                <w:rFonts w:ascii="Calibri" w:eastAsia="Times New Roman" w:hAnsi="Calibri" w:cs="Calibri"/>
                <w:color w:val="000000"/>
                <w:sz w:val="20"/>
                <w:szCs w:val="20"/>
              </w:rPr>
            </w:pPr>
            <w:r w:rsidRPr="007E2E96">
              <w:rPr>
                <w:sz w:val="20"/>
                <w:szCs w:val="20"/>
              </w:rPr>
              <w:t>85,290</w:t>
            </w:r>
          </w:p>
        </w:tc>
        <w:tc>
          <w:tcPr>
            <w:tcW w:w="1260" w:type="dxa"/>
            <w:shd w:val="clear" w:color="auto" w:fill="auto"/>
            <w:noWrap/>
            <w:vAlign w:val="center"/>
            <w:hideMark/>
          </w:tcPr>
          <w:p w:rsidR="00F342E2" w:rsidRPr="007E2E96" w:rsidP="00F342E2" w14:paraId="7191F5C0" w14:textId="13DB3118">
            <w:pPr>
              <w:jc w:val="center"/>
              <w:rPr>
                <w:rFonts w:ascii="Calibri" w:eastAsia="Times New Roman" w:hAnsi="Calibri" w:cs="Calibri"/>
                <w:color w:val="000000"/>
                <w:sz w:val="20"/>
                <w:szCs w:val="20"/>
              </w:rPr>
            </w:pPr>
            <w:r w:rsidRPr="007E2E96">
              <w:rPr>
                <w:sz w:val="20"/>
                <w:szCs w:val="20"/>
              </w:rPr>
              <w:t>16,225</w:t>
            </w:r>
          </w:p>
        </w:tc>
        <w:tc>
          <w:tcPr>
            <w:tcW w:w="1440" w:type="dxa"/>
            <w:shd w:val="clear" w:color="auto" w:fill="auto"/>
            <w:noWrap/>
            <w:vAlign w:val="center"/>
            <w:hideMark/>
          </w:tcPr>
          <w:p w:rsidR="00F342E2" w:rsidRPr="007E2E96" w:rsidP="00F342E2" w14:paraId="078DBF9D" w14:textId="2DA8CB8A">
            <w:pPr>
              <w:jc w:val="center"/>
              <w:rPr>
                <w:rFonts w:ascii="Calibri" w:eastAsia="Times New Roman" w:hAnsi="Calibri" w:cs="Calibri"/>
                <w:color w:val="000000"/>
                <w:sz w:val="20"/>
                <w:szCs w:val="20"/>
              </w:rPr>
            </w:pPr>
            <w:r w:rsidRPr="007E2E96">
              <w:rPr>
                <w:sz w:val="20"/>
                <w:szCs w:val="20"/>
              </w:rPr>
              <w:t>523</w:t>
            </w:r>
          </w:p>
        </w:tc>
        <w:tc>
          <w:tcPr>
            <w:tcW w:w="1165" w:type="dxa"/>
            <w:shd w:val="clear" w:color="auto" w:fill="auto"/>
            <w:noWrap/>
            <w:vAlign w:val="center"/>
            <w:hideMark/>
          </w:tcPr>
          <w:p w:rsidR="00F342E2" w:rsidRPr="007E2E96" w:rsidP="00F342E2" w14:paraId="63FC9D0F" w14:textId="40F94177">
            <w:pPr>
              <w:jc w:val="center"/>
              <w:rPr>
                <w:rFonts w:ascii="Calibri" w:eastAsia="Times New Roman" w:hAnsi="Calibri" w:cs="Calibri"/>
                <w:color w:val="000000"/>
                <w:sz w:val="20"/>
                <w:szCs w:val="20"/>
              </w:rPr>
            </w:pPr>
            <w:r w:rsidRPr="007E2E96">
              <w:rPr>
                <w:sz w:val="20"/>
                <w:szCs w:val="20"/>
              </w:rPr>
              <w:t>5,234</w:t>
            </w:r>
          </w:p>
        </w:tc>
      </w:tr>
      <w:tr w14:paraId="38DD85B1"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558C7462" w14:textId="517DD401">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20</w:t>
            </w:r>
          </w:p>
        </w:tc>
        <w:tc>
          <w:tcPr>
            <w:tcW w:w="2790" w:type="dxa"/>
            <w:shd w:val="clear" w:color="auto" w:fill="auto"/>
            <w:noWrap/>
            <w:vAlign w:val="center"/>
            <w:hideMark/>
          </w:tcPr>
          <w:p w:rsidR="00F342E2" w:rsidRPr="007E2E96" w:rsidP="00F342E2" w14:paraId="6A816C2B" w14:textId="4D6DBACD">
            <w:pPr>
              <w:rPr>
                <w:sz w:val="20"/>
                <w:szCs w:val="20"/>
              </w:rPr>
            </w:pPr>
            <w:r w:rsidRPr="007E2E96">
              <w:rPr>
                <w:sz w:val="20"/>
                <w:szCs w:val="20"/>
              </w:rPr>
              <w:t>Vicksburg National Military Park</w:t>
            </w:r>
          </w:p>
        </w:tc>
        <w:tc>
          <w:tcPr>
            <w:tcW w:w="900" w:type="dxa"/>
            <w:shd w:val="clear" w:color="auto" w:fill="auto"/>
            <w:vAlign w:val="center"/>
          </w:tcPr>
          <w:p w:rsidR="00F342E2" w:rsidRPr="007E2E96" w:rsidP="00F342E2" w14:paraId="045CD838" w14:textId="66AC767C">
            <w:pPr>
              <w:jc w:val="center"/>
              <w:rPr>
                <w:sz w:val="20"/>
                <w:szCs w:val="20"/>
              </w:rPr>
            </w:pPr>
            <w:r w:rsidRPr="007E2E96">
              <w:rPr>
                <w:sz w:val="20"/>
                <w:szCs w:val="20"/>
              </w:rPr>
              <w:t>Large</w:t>
            </w:r>
          </w:p>
        </w:tc>
        <w:tc>
          <w:tcPr>
            <w:tcW w:w="1260" w:type="dxa"/>
            <w:shd w:val="clear" w:color="auto" w:fill="auto"/>
            <w:noWrap/>
            <w:vAlign w:val="center"/>
            <w:hideMark/>
          </w:tcPr>
          <w:p w:rsidR="00F342E2" w:rsidRPr="007E2E96" w:rsidP="00F342E2" w14:paraId="770E6F4D" w14:textId="52095F26">
            <w:pPr>
              <w:jc w:val="center"/>
              <w:rPr>
                <w:rFonts w:ascii="Calibri" w:eastAsia="Times New Roman" w:hAnsi="Calibri" w:cs="Calibri"/>
                <w:color w:val="000000"/>
                <w:sz w:val="20"/>
                <w:szCs w:val="20"/>
              </w:rPr>
            </w:pPr>
            <w:r w:rsidRPr="007E2E96">
              <w:rPr>
                <w:sz w:val="20"/>
                <w:szCs w:val="20"/>
              </w:rPr>
              <w:t>528,230</w:t>
            </w:r>
          </w:p>
        </w:tc>
        <w:tc>
          <w:tcPr>
            <w:tcW w:w="1260" w:type="dxa"/>
            <w:shd w:val="clear" w:color="auto" w:fill="auto"/>
            <w:noWrap/>
            <w:vAlign w:val="center"/>
            <w:hideMark/>
          </w:tcPr>
          <w:p w:rsidR="00F342E2" w:rsidRPr="007E2E96" w:rsidP="00F342E2" w14:paraId="7FD0D3BB" w14:textId="66E8C2C6">
            <w:pPr>
              <w:jc w:val="center"/>
              <w:rPr>
                <w:rFonts w:ascii="Calibri" w:eastAsia="Times New Roman" w:hAnsi="Calibri" w:cs="Calibri"/>
                <w:color w:val="000000"/>
                <w:sz w:val="20"/>
                <w:szCs w:val="20"/>
              </w:rPr>
            </w:pPr>
            <w:r w:rsidRPr="007E2E96">
              <w:rPr>
                <w:sz w:val="20"/>
                <w:szCs w:val="20"/>
              </w:rPr>
              <w:t>63,679</w:t>
            </w:r>
          </w:p>
        </w:tc>
        <w:tc>
          <w:tcPr>
            <w:tcW w:w="1440" w:type="dxa"/>
            <w:shd w:val="clear" w:color="auto" w:fill="auto"/>
            <w:noWrap/>
            <w:vAlign w:val="center"/>
            <w:hideMark/>
          </w:tcPr>
          <w:p w:rsidR="00F342E2" w:rsidRPr="007E2E96" w:rsidP="00F342E2" w14:paraId="0957A965" w14:textId="5B831F21">
            <w:pPr>
              <w:jc w:val="center"/>
              <w:rPr>
                <w:rFonts w:ascii="Calibri" w:eastAsia="Times New Roman" w:hAnsi="Calibri" w:cs="Calibri"/>
                <w:color w:val="000000"/>
                <w:sz w:val="20"/>
                <w:szCs w:val="20"/>
              </w:rPr>
            </w:pPr>
            <w:r w:rsidRPr="007E2E96">
              <w:rPr>
                <w:sz w:val="20"/>
                <w:szCs w:val="20"/>
              </w:rPr>
              <w:t>2,054</w:t>
            </w:r>
          </w:p>
        </w:tc>
        <w:tc>
          <w:tcPr>
            <w:tcW w:w="1165" w:type="dxa"/>
            <w:shd w:val="clear" w:color="auto" w:fill="auto"/>
            <w:noWrap/>
            <w:vAlign w:val="center"/>
            <w:hideMark/>
          </w:tcPr>
          <w:p w:rsidR="00F342E2" w:rsidRPr="007E2E96" w:rsidP="00F342E2" w14:paraId="030A2FEF" w14:textId="4ABC559A">
            <w:pPr>
              <w:jc w:val="center"/>
              <w:rPr>
                <w:rFonts w:ascii="Calibri" w:eastAsia="Times New Roman" w:hAnsi="Calibri" w:cs="Calibri"/>
                <w:color w:val="000000"/>
                <w:sz w:val="20"/>
                <w:szCs w:val="20"/>
              </w:rPr>
            </w:pPr>
            <w:r w:rsidRPr="007E2E96">
              <w:rPr>
                <w:sz w:val="20"/>
                <w:szCs w:val="20"/>
              </w:rPr>
              <w:t>20,542</w:t>
            </w:r>
          </w:p>
        </w:tc>
      </w:tr>
      <w:tr w14:paraId="4C8CD912"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255EB50A" w14:textId="6DF42455">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21</w:t>
            </w:r>
          </w:p>
        </w:tc>
        <w:tc>
          <w:tcPr>
            <w:tcW w:w="2790" w:type="dxa"/>
            <w:shd w:val="clear" w:color="auto" w:fill="auto"/>
            <w:noWrap/>
            <w:vAlign w:val="center"/>
            <w:hideMark/>
          </w:tcPr>
          <w:p w:rsidR="00F342E2" w:rsidRPr="007E2E96" w:rsidP="00F342E2" w14:paraId="2771368C" w14:textId="434D6F6C">
            <w:pPr>
              <w:rPr>
                <w:sz w:val="20"/>
                <w:szCs w:val="20"/>
              </w:rPr>
            </w:pPr>
            <w:r w:rsidRPr="007E2E96">
              <w:rPr>
                <w:sz w:val="20"/>
                <w:szCs w:val="20"/>
              </w:rPr>
              <w:t>Little Bighorn Battlefield National Monument</w:t>
            </w:r>
          </w:p>
        </w:tc>
        <w:tc>
          <w:tcPr>
            <w:tcW w:w="900" w:type="dxa"/>
            <w:shd w:val="clear" w:color="auto" w:fill="auto"/>
            <w:vAlign w:val="center"/>
          </w:tcPr>
          <w:p w:rsidR="00F342E2" w:rsidRPr="007E2E96" w:rsidP="00F342E2" w14:paraId="67177C81" w14:textId="1E2067D9">
            <w:pPr>
              <w:jc w:val="center"/>
              <w:rPr>
                <w:sz w:val="20"/>
                <w:szCs w:val="20"/>
              </w:rPr>
            </w:pPr>
            <w:r w:rsidRPr="007E2E96">
              <w:rPr>
                <w:sz w:val="20"/>
                <w:szCs w:val="20"/>
              </w:rPr>
              <w:t>Large</w:t>
            </w:r>
          </w:p>
        </w:tc>
        <w:tc>
          <w:tcPr>
            <w:tcW w:w="1260" w:type="dxa"/>
            <w:shd w:val="clear" w:color="auto" w:fill="auto"/>
            <w:noWrap/>
            <w:vAlign w:val="center"/>
            <w:hideMark/>
          </w:tcPr>
          <w:p w:rsidR="00F342E2" w:rsidRPr="007E2E96" w:rsidP="00F342E2" w14:paraId="5D9130C0" w14:textId="52899820">
            <w:pPr>
              <w:jc w:val="center"/>
              <w:rPr>
                <w:rFonts w:ascii="Calibri" w:eastAsia="Times New Roman" w:hAnsi="Calibri" w:cs="Calibri"/>
                <w:color w:val="000000"/>
                <w:sz w:val="20"/>
                <w:szCs w:val="20"/>
              </w:rPr>
            </w:pPr>
            <w:r w:rsidRPr="007E2E96">
              <w:rPr>
                <w:sz w:val="20"/>
                <w:szCs w:val="20"/>
              </w:rPr>
              <w:t>301,110</w:t>
            </w:r>
          </w:p>
        </w:tc>
        <w:tc>
          <w:tcPr>
            <w:tcW w:w="1260" w:type="dxa"/>
            <w:shd w:val="clear" w:color="auto" w:fill="auto"/>
            <w:noWrap/>
            <w:vAlign w:val="center"/>
            <w:hideMark/>
          </w:tcPr>
          <w:p w:rsidR="00F342E2" w:rsidRPr="007E2E96" w:rsidP="00F342E2" w14:paraId="26081848" w14:textId="59295CB4">
            <w:pPr>
              <w:jc w:val="center"/>
              <w:rPr>
                <w:rFonts w:ascii="Calibri" w:eastAsia="Times New Roman" w:hAnsi="Calibri" w:cs="Calibri"/>
                <w:color w:val="000000"/>
                <w:sz w:val="20"/>
                <w:szCs w:val="20"/>
              </w:rPr>
            </w:pPr>
            <w:r w:rsidRPr="007E2E96">
              <w:rPr>
                <w:sz w:val="20"/>
                <w:szCs w:val="20"/>
              </w:rPr>
              <w:t>71,870</w:t>
            </w:r>
          </w:p>
        </w:tc>
        <w:tc>
          <w:tcPr>
            <w:tcW w:w="1440" w:type="dxa"/>
            <w:shd w:val="clear" w:color="auto" w:fill="auto"/>
            <w:noWrap/>
            <w:vAlign w:val="center"/>
            <w:hideMark/>
          </w:tcPr>
          <w:p w:rsidR="00F342E2" w:rsidRPr="007E2E96" w:rsidP="00F342E2" w14:paraId="1F985687" w14:textId="6030CEF1">
            <w:pPr>
              <w:jc w:val="center"/>
              <w:rPr>
                <w:rFonts w:ascii="Calibri" w:eastAsia="Times New Roman" w:hAnsi="Calibri" w:cs="Calibri"/>
                <w:color w:val="000000"/>
                <w:sz w:val="20"/>
                <w:szCs w:val="20"/>
              </w:rPr>
            </w:pPr>
            <w:r w:rsidRPr="007E2E96">
              <w:rPr>
                <w:sz w:val="20"/>
                <w:szCs w:val="20"/>
              </w:rPr>
              <w:t>2,318</w:t>
            </w:r>
          </w:p>
        </w:tc>
        <w:tc>
          <w:tcPr>
            <w:tcW w:w="1165" w:type="dxa"/>
            <w:shd w:val="clear" w:color="auto" w:fill="auto"/>
            <w:noWrap/>
            <w:vAlign w:val="center"/>
            <w:hideMark/>
          </w:tcPr>
          <w:p w:rsidR="00F342E2" w:rsidRPr="007E2E96" w:rsidP="00F342E2" w14:paraId="323C40C0" w14:textId="637B806F">
            <w:pPr>
              <w:jc w:val="center"/>
              <w:rPr>
                <w:rFonts w:ascii="Calibri" w:eastAsia="Times New Roman" w:hAnsi="Calibri" w:cs="Calibri"/>
                <w:color w:val="000000"/>
                <w:sz w:val="20"/>
                <w:szCs w:val="20"/>
              </w:rPr>
            </w:pPr>
            <w:r w:rsidRPr="007E2E96">
              <w:rPr>
                <w:sz w:val="20"/>
                <w:szCs w:val="20"/>
              </w:rPr>
              <w:t>23,184</w:t>
            </w:r>
          </w:p>
        </w:tc>
      </w:tr>
      <w:tr w14:paraId="12AD395B" w14:textId="77777777" w:rsidTr="00200374">
        <w:tblPrEx>
          <w:tblW w:w="0" w:type="auto"/>
          <w:tblLayout w:type="fixed"/>
          <w:tblLook w:val="04A0"/>
        </w:tblPrEx>
        <w:trPr>
          <w:trHeight w:val="282"/>
        </w:trPr>
        <w:tc>
          <w:tcPr>
            <w:tcW w:w="535" w:type="dxa"/>
            <w:shd w:val="clear" w:color="auto" w:fill="auto"/>
            <w:noWrap/>
            <w:vAlign w:val="center"/>
          </w:tcPr>
          <w:p w:rsidR="00F342E2" w:rsidRPr="007E2E96" w:rsidP="00F342E2" w14:paraId="527060C7" w14:textId="306C160A">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22</w:t>
            </w:r>
          </w:p>
        </w:tc>
        <w:tc>
          <w:tcPr>
            <w:tcW w:w="2790" w:type="dxa"/>
            <w:shd w:val="clear" w:color="auto" w:fill="auto"/>
            <w:noWrap/>
            <w:vAlign w:val="center"/>
            <w:hideMark/>
          </w:tcPr>
          <w:p w:rsidR="00F342E2" w:rsidRPr="007E2E96" w:rsidP="00F342E2" w14:paraId="454B56AE" w14:textId="55A3DC16">
            <w:pPr>
              <w:rPr>
                <w:sz w:val="20"/>
                <w:szCs w:val="20"/>
              </w:rPr>
            </w:pPr>
            <w:r w:rsidRPr="007E2E96">
              <w:rPr>
                <w:sz w:val="20"/>
                <w:szCs w:val="20"/>
              </w:rPr>
              <w:t>Wilson's Creek National Battlefield</w:t>
            </w:r>
          </w:p>
        </w:tc>
        <w:tc>
          <w:tcPr>
            <w:tcW w:w="900" w:type="dxa"/>
            <w:shd w:val="clear" w:color="auto" w:fill="auto"/>
            <w:vAlign w:val="center"/>
          </w:tcPr>
          <w:p w:rsidR="00F342E2" w:rsidRPr="007E2E96" w:rsidP="00F342E2" w14:paraId="1FBEC887" w14:textId="224591D8">
            <w:pPr>
              <w:jc w:val="center"/>
              <w:rPr>
                <w:sz w:val="20"/>
                <w:szCs w:val="20"/>
              </w:rPr>
            </w:pPr>
            <w:r w:rsidRPr="007E2E96">
              <w:rPr>
                <w:sz w:val="20"/>
                <w:szCs w:val="20"/>
              </w:rPr>
              <w:t>Large</w:t>
            </w:r>
          </w:p>
        </w:tc>
        <w:tc>
          <w:tcPr>
            <w:tcW w:w="1260" w:type="dxa"/>
            <w:shd w:val="clear" w:color="auto" w:fill="auto"/>
            <w:noWrap/>
            <w:vAlign w:val="center"/>
            <w:hideMark/>
          </w:tcPr>
          <w:p w:rsidR="00F342E2" w:rsidRPr="007E2E96" w:rsidP="00F342E2" w14:paraId="22214FE9" w14:textId="5BF3084A">
            <w:pPr>
              <w:jc w:val="center"/>
              <w:rPr>
                <w:rFonts w:ascii="Calibri" w:eastAsia="Times New Roman" w:hAnsi="Calibri" w:cs="Calibri"/>
                <w:color w:val="000000"/>
                <w:sz w:val="20"/>
                <w:szCs w:val="20"/>
              </w:rPr>
            </w:pPr>
            <w:r w:rsidRPr="007E2E96">
              <w:rPr>
                <w:sz w:val="20"/>
                <w:szCs w:val="20"/>
              </w:rPr>
              <w:t>173,881</w:t>
            </w:r>
          </w:p>
        </w:tc>
        <w:tc>
          <w:tcPr>
            <w:tcW w:w="1260" w:type="dxa"/>
            <w:shd w:val="clear" w:color="auto" w:fill="auto"/>
            <w:noWrap/>
            <w:vAlign w:val="center"/>
            <w:hideMark/>
          </w:tcPr>
          <w:p w:rsidR="00F342E2" w:rsidRPr="007E2E96" w:rsidP="00F342E2" w14:paraId="730368DF" w14:textId="18DA8FDF">
            <w:pPr>
              <w:jc w:val="center"/>
              <w:rPr>
                <w:rFonts w:ascii="Calibri" w:eastAsia="Times New Roman" w:hAnsi="Calibri" w:cs="Calibri"/>
                <w:color w:val="000000"/>
                <w:sz w:val="20"/>
                <w:szCs w:val="20"/>
              </w:rPr>
            </w:pPr>
            <w:r w:rsidRPr="007E2E96">
              <w:rPr>
                <w:sz w:val="20"/>
                <w:szCs w:val="20"/>
              </w:rPr>
              <w:t>21,747</w:t>
            </w:r>
          </w:p>
        </w:tc>
        <w:tc>
          <w:tcPr>
            <w:tcW w:w="1440" w:type="dxa"/>
            <w:shd w:val="clear" w:color="auto" w:fill="auto"/>
            <w:noWrap/>
            <w:vAlign w:val="center"/>
            <w:hideMark/>
          </w:tcPr>
          <w:p w:rsidR="00F342E2" w:rsidRPr="007E2E96" w:rsidP="00F342E2" w14:paraId="64DB1AEF" w14:textId="02953462">
            <w:pPr>
              <w:jc w:val="center"/>
              <w:rPr>
                <w:rFonts w:ascii="Calibri" w:eastAsia="Times New Roman" w:hAnsi="Calibri" w:cs="Calibri"/>
                <w:color w:val="000000"/>
                <w:sz w:val="20"/>
                <w:szCs w:val="20"/>
              </w:rPr>
            </w:pPr>
            <w:r w:rsidRPr="007E2E96">
              <w:rPr>
                <w:sz w:val="20"/>
                <w:szCs w:val="20"/>
              </w:rPr>
              <w:t>702</w:t>
            </w:r>
          </w:p>
        </w:tc>
        <w:tc>
          <w:tcPr>
            <w:tcW w:w="1165" w:type="dxa"/>
            <w:shd w:val="clear" w:color="auto" w:fill="auto"/>
            <w:noWrap/>
            <w:vAlign w:val="center"/>
            <w:hideMark/>
          </w:tcPr>
          <w:p w:rsidR="00F342E2" w:rsidRPr="007E2E96" w:rsidP="00F342E2" w14:paraId="44A540A1" w14:textId="49FFDF85">
            <w:pPr>
              <w:jc w:val="center"/>
              <w:rPr>
                <w:rFonts w:ascii="Calibri" w:eastAsia="Times New Roman" w:hAnsi="Calibri" w:cs="Calibri"/>
                <w:color w:val="000000"/>
                <w:sz w:val="20"/>
                <w:szCs w:val="20"/>
              </w:rPr>
            </w:pPr>
            <w:r w:rsidRPr="007E2E96">
              <w:rPr>
                <w:sz w:val="20"/>
                <w:szCs w:val="20"/>
              </w:rPr>
              <w:t>7,015</w:t>
            </w:r>
          </w:p>
        </w:tc>
      </w:tr>
      <w:tr w14:paraId="3F4E1104" w14:textId="77777777" w:rsidTr="006100A7">
        <w:tblPrEx>
          <w:tblW w:w="0" w:type="auto"/>
          <w:tblLayout w:type="fixed"/>
          <w:tblLook w:val="04A0"/>
        </w:tblPrEx>
        <w:trPr>
          <w:trHeight w:val="282"/>
        </w:trPr>
        <w:tc>
          <w:tcPr>
            <w:tcW w:w="4225" w:type="dxa"/>
            <w:gridSpan w:val="3"/>
            <w:shd w:val="clear" w:color="auto" w:fill="auto"/>
            <w:noWrap/>
            <w:vAlign w:val="center"/>
          </w:tcPr>
          <w:p w:rsidR="0007095A" w:rsidRPr="007E2E96" w:rsidP="0007095A" w14:paraId="61A6D94B" w14:textId="4A5A9C9D">
            <w:pPr>
              <w:jc w:val="right"/>
              <w:rPr>
                <w:i/>
                <w:iCs/>
                <w:sz w:val="20"/>
                <w:szCs w:val="20"/>
              </w:rPr>
            </w:pPr>
            <w:r w:rsidRPr="007E2E96">
              <w:rPr>
                <w:b/>
                <w:bCs/>
                <w:i/>
                <w:iCs/>
                <w:sz w:val="20"/>
                <w:szCs w:val="20"/>
              </w:rPr>
              <w:t>Subtotal</w:t>
            </w:r>
          </w:p>
        </w:tc>
        <w:tc>
          <w:tcPr>
            <w:tcW w:w="1260" w:type="dxa"/>
            <w:shd w:val="clear" w:color="auto" w:fill="auto"/>
            <w:noWrap/>
            <w:vAlign w:val="center"/>
          </w:tcPr>
          <w:p w:rsidR="0007095A" w:rsidRPr="007E2E96" w:rsidP="0007095A" w14:paraId="58EB0D0D" w14:textId="1D45A22C">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1,139,164</w:t>
            </w:r>
            <w:r w:rsidRPr="007E2E96">
              <w:rPr>
                <w:i/>
                <w:iCs/>
                <w:sz w:val="20"/>
                <w:szCs w:val="20"/>
              </w:rPr>
              <w:fldChar w:fldCharType="end"/>
            </w:r>
          </w:p>
        </w:tc>
        <w:tc>
          <w:tcPr>
            <w:tcW w:w="1260" w:type="dxa"/>
            <w:shd w:val="clear" w:color="auto" w:fill="auto"/>
            <w:noWrap/>
            <w:vAlign w:val="center"/>
          </w:tcPr>
          <w:p w:rsidR="0007095A" w:rsidRPr="007E2E96" w:rsidP="0007095A" w14:paraId="4C60A0C3" w14:textId="136B3340">
            <w:pPr>
              <w:jc w:val="center"/>
              <w:rPr>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182,191</w:t>
            </w:r>
            <w:r w:rsidRPr="007E2E96">
              <w:rPr>
                <w:i/>
                <w:iCs/>
                <w:sz w:val="20"/>
                <w:szCs w:val="20"/>
              </w:rPr>
              <w:fldChar w:fldCharType="end"/>
            </w:r>
          </w:p>
        </w:tc>
        <w:tc>
          <w:tcPr>
            <w:tcW w:w="1440" w:type="dxa"/>
            <w:shd w:val="clear" w:color="auto" w:fill="auto"/>
            <w:noWrap/>
            <w:vAlign w:val="center"/>
          </w:tcPr>
          <w:p w:rsidR="0007095A" w:rsidRPr="007E2E96" w:rsidP="0007095A" w14:paraId="3204280A" w14:textId="1299D9BF">
            <w:pPr>
              <w:jc w:val="center"/>
              <w:rPr>
                <w:i/>
                <w:iCs/>
                <w:sz w:val="20"/>
                <w:szCs w:val="20"/>
              </w:rPr>
            </w:pPr>
            <w:r w:rsidRPr="007E2E96">
              <w:rPr>
                <w:rFonts w:ascii="Calibri" w:eastAsia="Times New Roman" w:hAnsi="Calibri" w:cs="Calibri"/>
                <w:i/>
                <w:iCs/>
                <w:color w:val="000000"/>
                <w:sz w:val="20"/>
                <w:szCs w:val="20"/>
              </w:rPr>
              <w:fldChar w:fldCharType="begin"/>
            </w:r>
            <w:r w:rsidRPr="007E2E96">
              <w:rPr>
                <w:rFonts w:ascii="Calibri" w:eastAsia="Times New Roman" w:hAnsi="Calibri" w:cs="Calibri"/>
                <w:i/>
                <w:iCs/>
                <w:color w:val="000000"/>
                <w:sz w:val="20"/>
                <w:szCs w:val="20"/>
              </w:rPr>
              <w:instrText xml:space="preserve"> =SUM(ABOVE) </w:instrText>
            </w:r>
            <w:r w:rsidRPr="007E2E96">
              <w:rPr>
                <w:rFonts w:ascii="Calibri" w:eastAsia="Times New Roman" w:hAnsi="Calibri" w:cs="Calibri"/>
                <w:i/>
                <w:iCs/>
                <w:color w:val="000000"/>
                <w:sz w:val="20"/>
                <w:szCs w:val="20"/>
              </w:rPr>
              <w:fldChar w:fldCharType="separate"/>
            </w:r>
            <w:r w:rsidRPr="007E2E96">
              <w:rPr>
                <w:rFonts w:ascii="Calibri" w:eastAsia="Times New Roman" w:hAnsi="Calibri" w:cs="Calibri"/>
                <w:i/>
                <w:iCs/>
                <w:noProof/>
                <w:color w:val="000000"/>
                <w:sz w:val="20"/>
                <w:szCs w:val="20"/>
              </w:rPr>
              <w:t>5,881</w:t>
            </w:r>
            <w:r w:rsidRPr="007E2E96">
              <w:rPr>
                <w:rFonts w:ascii="Calibri" w:eastAsia="Times New Roman" w:hAnsi="Calibri" w:cs="Calibri"/>
                <w:i/>
                <w:iCs/>
                <w:color w:val="000000"/>
                <w:sz w:val="20"/>
                <w:szCs w:val="20"/>
              </w:rPr>
              <w:fldChar w:fldCharType="end"/>
            </w:r>
          </w:p>
        </w:tc>
        <w:tc>
          <w:tcPr>
            <w:tcW w:w="1165" w:type="dxa"/>
            <w:shd w:val="clear" w:color="auto" w:fill="auto"/>
            <w:noWrap/>
            <w:vAlign w:val="center"/>
          </w:tcPr>
          <w:p w:rsidR="0007095A" w:rsidRPr="007E2E96" w:rsidP="0007095A" w14:paraId="6480E13F" w14:textId="1DD40F47">
            <w:pPr>
              <w:jc w:val="center"/>
              <w:rPr>
                <w:i/>
                <w:iCs/>
                <w:sz w:val="20"/>
                <w:szCs w:val="20"/>
              </w:rPr>
            </w:pPr>
            <w:r w:rsidRPr="007E2E96">
              <w:rPr>
                <w:i/>
                <w:iCs/>
                <w:sz w:val="20"/>
                <w:szCs w:val="20"/>
              </w:rPr>
              <w:t>58,819</w:t>
            </w:r>
          </w:p>
        </w:tc>
      </w:tr>
      <w:tr w14:paraId="4D0759A7" w14:textId="77777777" w:rsidTr="00D1499E">
        <w:tblPrEx>
          <w:tblW w:w="0" w:type="auto"/>
          <w:tblLayout w:type="fixed"/>
          <w:tblLook w:val="04A0"/>
        </w:tblPrEx>
        <w:trPr>
          <w:trHeight w:val="485"/>
        </w:trPr>
        <w:tc>
          <w:tcPr>
            <w:tcW w:w="9350" w:type="dxa"/>
            <w:gridSpan w:val="7"/>
            <w:tcBorders>
              <w:left w:val="nil"/>
              <w:right w:val="nil"/>
            </w:tcBorders>
            <w:shd w:val="clear" w:color="auto" w:fill="B8CCE4" w:themeFill="accent1" w:themeFillTint="66"/>
            <w:noWrap/>
            <w:vAlign w:val="center"/>
          </w:tcPr>
          <w:p w:rsidR="00F342E2" w:rsidRPr="00D1499E" w:rsidP="000801E4" w14:paraId="2D987683" w14:textId="7D8B55E5">
            <w:pPr>
              <w:rPr>
                <w:sz w:val="20"/>
                <w:szCs w:val="20"/>
              </w:rPr>
            </w:pPr>
            <w:r w:rsidRPr="00F15F9E">
              <w:rPr>
                <w:b/>
                <w:bCs/>
                <w:sz w:val="20"/>
                <w:szCs w:val="20"/>
              </w:rPr>
              <w:t>Park Type:</w:t>
            </w:r>
            <w:r w:rsidRPr="00D1499E">
              <w:rPr>
                <w:sz w:val="20"/>
                <w:szCs w:val="20"/>
              </w:rPr>
              <w:t xml:space="preserve"> Recreation </w:t>
            </w:r>
          </w:p>
        </w:tc>
      </w:tr>
      <w:tr w14:paraId="28A66A80" w14:textId="77777777" w:rsidTr="00200374">
        <w:tblPrEx>
          <w:tblW w:w="0" w:type="auto"/>
          <w:tblLayout w:type="fixed"/>
          <w:tblLook w:val="04A0"/>
        </w:tblPrEx>
        <w:trPr>
          <w:trHeight w:val="350"/>
        </w:trPr>
        <w:tc>
          <w:tcPr>
            <w:tcW w:w="535" w:type="dxa"/>
            <w:shd w:val="clear" w:color="auto" w:fill="auto"/>
            <w:noWrap/>
            <w:vAlign w:val="center"/>
          </w:tcPr>
          <w:p w:rsidR="00EC7274" w:rsidRPr="007E2E96" w:rsidP="00F27F9F" w14:paraId="1A7E1BDF" w14:textId="77B2E353">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23</w:t>
            </w:r>
          </w:p>
        </w:tc>
        <w:tc>
          <w:tcPr>
            <w:tcW w:w="2790" w:type="dxa"/>
            <w:shd w:val="clear" w:color="auto" w:fill="auto"/>
            <w:noWrap/>
            <w:vAlign w:val="center"/>
            <w:hideMark/>
          </w:tcPr>
          <w:p w:rsidR="00EC7274" w:rsidRPr="007E2E96" w:rsidP="00EC7274" w14:paraId="0A703C97" w14:textId="5389CFB6">
            <w:pPr>
              <w:rPr>
                <w:sz w:val="20"/>
                <w:szCs w:val="20"/>
              </w:rPr>
            </w:pPr>
            <w:r w:rsidRPr="007E2E96">
              <w:rPr>
                <w:sz w:val="20"/>
                <w:szCs w:val="20"/>
              </w:rPr>
              <w:t>Padre Island National Seashore</w:t>
            </w:r>
          </w:p>
        </w:tc>
        <w:tc>
          <w:tcPr>
            <w:tcW w:w="900" w:type="dxa"/>
            <w:shd w:val="clear" w:color="auto" w:fill="auto"/>
            <w:vAlign w:val="center"/>
          </w:tcPr>
          <w:p w:rsidR="00EC7274" w:rsidRPr="007E2E96" w:rsidP="00F342E2" w14:paraId="1AD6F71C" w14:textId="1EBF3BB8">
            <w:pPr>
              <w:jc w:val="center"/>
              <w:rPr>
                <w:sz w:val="20"/>
                <w:szCs w:val="20"/>
              </w:rPr>
            </w:pPr>
            <w:r w:rsidRPr="007E2E96">
              <w:rPr>
                <w:sz w:val="20"/>
                <w:szCs w:val="20"/>
              </w:rPr>
              <w:t>Small</w:t>
            </w:r>
          </w:p>
        </w:tc>
        <w:tc>
          <w:tcPr>
            <w:tcW w:w="1260" w:type="dxa"/>
            <w:shd w:val="clear" w:color="auto" w:fill="auto"/>
            <w:noWrap/>
            <w:vAlign w:val="center"/>
            <w:hideMark/>
          </w:tcPr>
          <w:p w:rsidR="00EC7274" w:rsidRPr="007E2E96" w:rsidP="00F342E2" w14:paraId="617CEC9A" w14:textId="10421302">
            <w:pPr>
              <w:jc w:val="center"/>
              <w:rPr>
                <w:rFonts w:ascii="Calibri" w:eastAsia="Times New Roman" w:hAnsi="Calibri" w:cs="Calibri"/>
                <w:color w:val="000000"/>
                <w:sz w:val="20"/>
                <w:szCs w:val="20"/>
              </w:rPr>
            </w:pPr>
            <w:r w:rsidRPr="007E2E96">
              <w:rPr>
                <w:sz w:val="20"/>
                <w:szCs w:val="20"/>
              </w:rPr>
              <w:t>592,340</w:t>
            </w:r>
          </w:p>
        </w:tc>
        <w:tc>
          <w:tcPr>
            <w:tcW w:w="1260" w:type="dxa"/>
            <w:shd w:val="clear" w:color="auto" w:fill="auto"/>
            <w:noWrap/>
            <w:vAlign w:val="center"/>
            <w:hideMark/>
          </w:tcPr>
          <w:p w:rsidR="00EC7274" w:rsidRPr="007E2E96" w:rsidP="00F342E2" w14:paraId="108DC98F" w14:textId="1778D343">
            <w:pPr>
              <w:jc w:val="center"/>
              <w:rPr>
                <w:rFonts w:ascii="Calibri" w:eastAsia="Times New Roman" w:hAnsi="Calibri" w:cs="Calibri"/>
                <w:color w:val="000000"/>
                <w:sz w:val="20"/>
                <w:szCs w:val="20"/>
              </w:rPr>
            </w:pPr>
            <w:r w:rsidRPr="007E2E96">
              <w:rPr>
                <w:sz w:val="20"/>
                <w:szCs w:val="20"/>
              </w:rPr>
              <w:t>99,138</w:t>
            </w:r>
          </w:p>
        </w:tc>
        <w:tc>
          <w:tcPr>
            <w:tcW w:w="1440" w:type="dxa"/>
            <w:shd w:val="clear" w:color="auto" w:fill="auto"/>
            <w:noWrap/>
            <w:vAlign w:val="center"/>
            <w:hideMark/>
          </w:tcPr>
          <w:p w:rsidR="00EC7274" w:rsidRPr="007E2E96" w:rsidP="00F342E2" w14:paraId="2A7A1EDC" w14:textId="7C7B7BC0">
            <w:pPr>
              <w:jc w:val="center"/>
              <w:rPr>
                <w:rFonts w:ascii="Calibri" w:eastAsia="Times New Roman" w:hAnsi="Calibri" w:cs="Calibri"/>
                <w:color w:val="000000"/>
                <w:sz w:val="20"/>
                <w:szCs w:val="20"/>
              </w:rPr>
            </w:pPr>
            <w:r w:rsidRPr="007E2E96">
              <w:rPr>
                <w:sz w:val="20"/>
                <w:szCs w:val="20"/>
              </w:rPr>
              <w:t>3,198</w:t>
            </w:r>
          </w:p>
        </w:tc>
        <w:tc>
          <w:tcPr>
            <w:tcW w:w="1165" w:type="dxa"/>
            <w:shd w:val="clear" w:color="auto" w:fill="auto"/>
            <w:noWrap/>
            <w:vAlign w:val="center"/>
            <w:hideMark/>
          </w:tcPr>
          <w:p w:rsidR="00EC7274" w:rsidRPr="007E2E96" w:rsidP="00F342E2" w14:paraId="29FEA255" w14:textId="577E3875">
            <w:pPr>
              <w:jc w:val="center"/>
              <w:rPr>
                <w:rFonts w:ascii="Calibri" w:eastAsia="Times New Roman" w:hAnsi="Calibri" w:cs="Calibri"/>
                <w:color w:val="000000"/>
                <w:sz w:val="20"/>
                <w:szCs w:val="20"/>
              </w:rPr>
            </w:pPr>
            <w:r w:rsidRPr="007E2E96">
              <w:rPr>
                <w:sz w:val="20"/>
                <w:szCs w:val="20"/>
              </w:rPr>
              <w:t>31,980</w:t>
            </w:r>
          </w:p>
        </w:tc>
      </w:tr>
      <w:tr w14:paraId="0A4B23E3" w14:textId="77777777" w:rsidTr="00200374">
        <w:tblPrEx>
          <w:tblW w:w="0" w:type="auto"/>
          <w:tblLayout w:type="fixed"/>
          <w:tblLook w:val="04A0"/>
        </w:tblPrEx>
        <w:trPr>
          <w:trHeight w:val="282"/>
        </w:trPr>
        <w:tc>
          <w:tcPr>
            <w:tcW w:w="535" w:type="dxa"/>
            <w:shd w:val="clear" w:color="auto" w:fill="auto"/>
            <w:noWrap/>
            <w:vAlign w:val="center"/>
          </w:tcPr>
          <w:p w:rsidR="00EC7274" w:rsidRPr="007E2E96" w:rsidP="00F27F9F" w14:paraId="13507F41" w14:textId="207CC86A">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24</w:t>
            </w:r>
          </w:p>
        </w:tc>
        <w:tc>
          <w:tcPr>
            <w:tcW w:w="2790" w:type="dxa"/>
            <w:shd w:val="clear" w:color="auto" w:fill="auto"/>
            <w:noWrap/>
            <w:vAlign w:val="center"/>
            <w:hideMark/>
          </w:tcPr>
          <w:p w:rsidR="00EC7274" w:rsidRPr="007E2E96" w:rsidP="00EC7274" w14:paraId="7084B113" w14:textId="3252E3EA">
            <w:pPr>
              <w:rPr>
                <w:sz w:val="20"/>
                <w:szCs w:val="20"/>
              </w:rPr>
            </w:pPr>
            <w:r w:rsidRPr="007E2E96">
              <w:rPr>
                <w:sz w:val="20"/>
                <w:szCs w:val="20"/>
              </w:rPr>
              <w:t>Bluestone National Scenic River</w:t>
            </w:r>
          </w:p>
        </w:tc>
        <w:tc>
          <w:tcPr>
            <w:tcW w:w="900" w:type="dxa"/>
            <w:shd w:val="clear" w:color="auto" w:fill="auto"/>
            <w:vAlign w:val="center"/>
          </w:tcPr>
          <w:p w:rsidR="00EC7274" w:rsidRPr="007E2E96" w:rsidP="00F342E2" w14:paraId="45374456" w14:textId="4B5FB620">
            <w:pPr>
              <w:jc w:val="center"/>
              <w:rPr>
                <w:sz w:val="20"/>
                <w:szCs w:val="20"/>
              </w:rPr>
            </w:pPr>
            <w:r w:rsidRPr="007E2E96">
              <w:rPr>
                <w:sz w:val="20"/>
                <w:szCs w:val="20"/>
              </w:rPr>
              <w:t>Small</w:t>
            </w:r>
          </w:p>
        </w:tc>
        <w:tc>
          <w:tcPr>
            <w:tcW w:w="1260" w:type="dxa"/>
            <w:shd w:val="clear" w:color="auto" w:fill="auto"/>
            <w:noWrap/>
            <w:vAlign w:val="center"/>
            <w:hideMark/>
          </w:tcPr>
          <w:p w:rsidR="00EC7274" w:rsidRPr="007E2E96" w:rsidP="00F342E2" w14:paraId="1F672E5E" w14:textId="2AFD3B96">
            <w:pPr>
              <w:jc w:val="center"/>
              <w:rPr>
                <w:rFonts w:ascii="Calibri" w:eastAsia="Times New Roman" w:hAnsi="Calibri" w:cs="Calibri"/>
                <w:color w:val="000000"/>
                <w:sz w:val="20"/>
                <w:szCs w:val="20"/>
              </w:rPr>
            </w:pPr>
            <w:r w:rsidRPr="007E2E96">
              <w:rPr>
                <w:sz w:val="20"/>
                <w:szCs w:val="20"/>
              </w:rPr>
              <w:t>35,522</w:t>
            </w:r>
          </w:p>
        </w:tc>
        <w:tc>
          <w:tcPr>
            <w:tcW w:w="1260" w:type="dxa"/>
            <w:shd w:val="clear" w:color="auto" w:fill="auto"/>
            <w:noWrap/>
            <w:vAlign w:val="center"/>
            <w:hideMark/>
          </w:tcPr>
          <w:p w:rsidR="00EC7274" w:rsidRPr="007E2E96" w:rsidP="00F342E2" w14:paraId="546A894A" w14:textId="6CC70835">
            <w:pPr>
              <w:jc w:val="center"/>
              <w:rPr>
                <w:rFonts w:ascii="Calibri" w:eastAsia="Times New Roman" w:hAnsi="Calibri" w:cs="Calibri"/>
                <w:color w:val="000000"/>
                <w:sz w:val="20"/>
                <w:szCs w:val="20"/>
              </w:rPr>
            </w:pPr>
            <w:r w:rsidRPr="007E2E96">
              <w:rPr>
                <w:sz w:val="20"/>
                <w:szCs w:val="20"/>
              </w:rPr>
              <w:t>8,818</w:t>
            </w:r>
          </w:p>
        </w:tc>
        <w:tc>
          <w:tcPr>
            <w:tcW w:w="1440" w:type="dxa"/>
            <w:shd w:val="clear" w:color="auto" w:fill="auto"/>
            <w:noWrap/>
            <w:vAlign w:val="center"/>
            <w:hideMark/>
          </w:tcPr>
          <w:p w:rsidR="00EC7274" w:rsidRPr="007E2E96" w:rsidP="00F342E2" w14:paraId="1621BE1E" w14:textId="5872A58E">
            <w:pPr>
              <w:jc w:val="center"/>
              <w:rPr>
                <w:rFonts w:ascii="Calibri" w:eastAsia="Times New Roman" w:hAnsi="Calibri" w:cs="Calibri"/>
                <w:color w:val="000000"/>
                <w:sz w:val="20"/>
                <w:szCs w:val="20"/>
              </w:rPr>
            </w:pPr>
            <w:r w:rsidRPr="007E2E96">
              <w:rPr>
                <w:sz w:val="20"/>
                <w:szCs w:val="20"/>
              </w:rPr>
              <w:t>284</w:t>
            </w:r>
          </w:p>
        </w:tc>
        <w:tc>
          <w:tcPr>
            <w:tcW w:w="1165" w:type="dxa"/>
            <w:shd w:val="clear" w:color="auto" w:fill="auto"/>
            <w:noWrap/>
            <w:vAlign w:val="center"/>
            <w:hideMark/>
          </w:tcPr>
          <w:p w:rsidR="00EC7274" w:rsidRPr="007E2E96" w:rsidP="00F342E2" w14:paraId="27873D65" w14:textId="12A895AA">
            <w:pPr>
              <w:jc w:val="center"/>
              <w:rPr>
                <w:rFonts w:ascii="Calibri" w:eastAsia="Times New Roman" w:hAnsi="Calibri" w:cs="Calibri"/>
                <w:color w:val="000000"/>
                <w:sz w:val="20"/>
                <w:szCs w:val="20"/>
              </w:rPr>
            </w:pPr>
            <w:r w:rsidRPr="007E2E96">
              <w:rPr>
                <w:sz w:val="20"/>
                <w:szCs w:val="20"/>
              </w:rPr>
              <w:t>2,845</w:t>
            </w:r>
          </w:p>
        </w:tc>
      </w:tr>
      <w:tr w14:paraId="01F734A0" w14:textId="77777777" w:rsidTr="00200374">
        <w:tblPrEx>
          <w:tblW w:w="0" w:type="auto"/>
          <w:tblLayout w:type="fixed"/>
          <w:tblLook w:val="04A0"/>
        </w:tblPrEx>
        <w:trPr>
          <w:trHeight w:val="282"/>
        </w:trPr>
        <w:tc>
          <w:tcPr>
            <w:tcW w:w="535" w:type="dxa"/>
            <w:shd w:val="clear" w:color="auto" w:fill="auto"/>
            <w:noWrap/>
            <w:vAlign w:val="center"/>
          </w:tcPr>
          <w:p w:rsidR="00EC7274" w:rsidRPr="007E2E96" w:rsidP="00F27F9F" w14:paraId="7FAC66EB" w14:textId="1180E29A">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25</w:t>
            </w:r>
          </w:p>
        </w:tc>
        <w:tc>
          <w:tcPr>
            <w:tcW w:w="2790" w:type="dxa"/>
            <w:shd w:val="clear" w:color="auto" w:fill="auto"/>
            <w:noWrap/>
            <w:vAlign w:val="center"/>
            <w:hideMark/>
          </w:tcPr>
          <w:p w:rsidR="00EC7274" w:rsidRPr="007E2E96" w:rsidP="00EC7274" w14:paraId="3D2F277A" w14:textId="0D79FD17">
            <w:pPr>
              <w:rPr>
                <w:sz w:val="20"/>
                <w:szCs w:val="20"/>
              </w:rPr>
            </w:pPr>
            <w:r w:rsidRPr="007E2E96">
              <w:rPr>
                <w:sz w:val="20"/>
                <w:szCs w:val="20"/>
              </w:rPr>
              <w:t>Amistad National Recreation Area</w:t>
            </w:r>
          </w:p>
        </w:tc>
        <w:tc>
          <w:tcPr>
            <w:tcW w:w="900" w:type="dxa"/>
            <w:shd w:val="clear" w:color="auto" w:fill="auto"/>
            <w:vAlign w:val="center"/>
          </w:tcPr>
          <w:p w:rsidR="00EC7274" w:rsidRPr="007E2E96" w:rsidP="00F342E2" w14:paraId="67482EDF" w14:textId="2EF43023">
            <w:pPr>
              <w:jc w:val="center"/>
              <w:rPr>
                <w:sz w:val="20"/>
                <w:szCs w:val="20"/>
              </w:rPr>
            </w:pPr>
            <w:r w:rsidRPr="007E2E96">
              <w:rPr>
                <w:sz w:val="20"/>
                <w:szCs w:val="20"/>
              </w:rPr>
              <w:t>Small</w:t>
            </w:r>
          </w:p>
        </w:tc>
        <w:tc>
          <w:tcPr>
            <w:tcW w:w="1260" w:type="dxa"/>
            <w:shd w:val="clear" w:color="auto" w:fill="auto"/>
            <w:noWrap/>
            <w:vAlign w:val="center"/>
            <w:hideMark/>
          </w:tcPr>
          <w:p w:rsidR="00EC7274" w:rsidRPr="007E2E96" w:rsidP="00F342E2" w14:paraId="458052DF" w14:textId="4632D268">
            <w:pPr>
              <w:jc w:val="center"/>
              <w:rPr>
                <w:rFonts w:ascii="Calibri" w:eastAsia="Times New Roman" w:hAnsi="Calibri" w:cs="Calibri"/>
                <w:color w:val="000000"/>
                <w:sz w:val="20"/>
                <w:szCs w:val="20"/>
              </w:rPr>
            </w:pPr>
            <w:r w:rsidRPr="007E2E96">
              <w:rPr>
                <w:sz w:val="20"/>
                <w:szCs w:val="20"/>
              </w:rPr>
              <w:t>1,158,294</w:t>
            </w:r>
          </w:p>
        </w:tc>
        <w:tc>
          <w:tcPr>
            <w:tcW w:w="1260" w:type="dxa"/>
            <w:shd w:val="clear" w:color="auto" w:fill="auto"/>
            <w:noWrap/>
            <w:vAlign w:val="center"/>
            <w:hideMark/>
          </w:tcPr>
          <w:p w:rsidR="00EC7274" w:rsidRPr="007E2E96" w:rsidP="00F342E2" w14:paraId="66F8087B" w14:textId="7D234318">
            <w:pPr>
              <w:jc w:val="center"/>
              <w:rPr>
                <w:rFonts w:ascii="Calibri" w:eastAsia="Times New Roman" w:hAnsi="Calibri" w:cs="Calibri"/>
                <w:color w:val="000000"/>
                <w:sz w:val="20"/>
                <w:szCs w:val="20"/>
              </w:rPr>
            </w:pPr>
            <w:r w:rsidRPr="007E2E96">
              <w:rPr>
                <w:sz w:val="20"/>
                <w:szCs w:val="20"/>
              </w:rPr>
              <w:t>135,443</w:t>
            </w:r>
          </w:p>
        </w:tc>
        <w:tc>
          <w:tcPr>
            <w:tcW w:w="1440" w:type="dxa"/>
            <w:shd w:val="clear" w:color="auto" w:fill="auto"/>
            <w:noWrap/>
            <w:vAlign w:val="center"/>
            <w:hideMark/>
          </w:tcPr>
          <w:p w:rsidR="00EC7274" w:rsidRPr="007E2E96" w:rsidP="00F342E2" w14:paraId="546A3DDC" w14:textId="3BB02991">
            <w:pPr>
              <w:jc w:val="center"/>
              <w:rPr>
                <w:rFonts w:ascii="Calibri" w:eastAsia="Times New Roman" w:hAnsi="Calibri" w:cs="Calibri"/>
                <w:color w:val="000000"/>
                <w:sz w:val="20"/>
                <w:szCs w:val="20"/>
              </w:rPr>
            </w:pPr>
            <w:r w:rsidRPr="007E2E96">
              <w:rPr>
                <w:sz w:val="20"/>
                <w:szCs w:val="20"/>
              </w:rPr>
              <w:t>4,369</w:t>
            </w:r>
          </w:p>
        </w:tc>
        <w:tc>
          <w:tcPr>
            <w:tcW w:w="1165" w:type="dxa"/>
            <w:shd w:val="clear" w:color="auto" w:fill="auto"/>
            <w:noWrap/>
            <w:vAlign w:val="center"/>
            <w:hideMark/>
          </w:tcPr>
          <w:p w:rsidR="00EC7274" w:rsidRPr="007E2E96" w:rsidP="00F342E2" w14:paraId="0AD3FF56" w14:textId="3F19E241">
            <w:pPr>
              <w:jc w:val="center"/>
              <w:rPr>
                <w:rFonts w:ascii="Calibri" w:eastAsia="Times New Roman" w:hAnsi="Calibri" w:cs="Calibri"/>
                <w:color w:val="000000"/>
                <w:sz w:val="20"/>
                <w:szCs w:val="20"/>
              </w:rPr>
            </w:pPr>
            <w:r w:rsidRPr="007E2E96">
              <w:rPr>
                <w:sz w:val="20"/>
                <w:szCs w:val="20"/>
              </w:rPr>
              <w:t>43,691</w:t>
            </w:r>
          </w:p>
        </w:tc>
      </w:tr>
      <w:tr w14:paraId="52AF5003" w14:textId="77777777" w:rsidTr="00200374">
        <w:tblPrEx>
          <w:tblW w:w="0" w:type="auto"/>
          <w:tblLayout w:type="fixed"/>
          <w:tblLook w:val="04A0"/>
        </w:tblPrEx>
        <w:trPr>
          <w:trHeight w:val="282"/>
        </w:trPr>
        <w:tc>
          <w:tcPr>
            <w:tcW w:w="535" w:type="dxa"/>
            <w:shd w:val="clear" w:color="auto" w:fill="auto"/>
            <w:noWrap/>
            <w:vAlign w:val="center"/>
          </w:tcPr>
          <w:p w:rsidR="00EC7274" w:rsidRPr="007E2E96" w:rsidP="00F27F9F" w14:paraId="03AAA250" w14:textId="4C639EDE">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26</w:t>
            </w:r>
          </w:p>
        </w:tc>
        <w:tc>
          <w:tcPr>
            <w:tcW w:w="2790" w:type="dxa"/>
            <w:shd w:val="clear" w:color="auto" w:fill="auto"/>
            <w:noWrap/>
            <w:vAlign w:val="center"/>
            <w:hideMark/>
          </w:tcPr>
          <w:p w:rsidR="00EC7274" w:rsidRPr="007E2E96" w:rsidP="00EC7274" w14:paraId="69AB7389" w14:textId="716BFB5F">
            <w:pPr>
              <w:rPr>
                <w:sz w:val="20"/>
                <w:szCs w:val="20"/>
              </w:rPr>
            </w:pPr>
            <w:r w:rsidRPr="007E2E96">
              <w:rPr>
                <w:sz w:val="20"/>
                <w:szCs w:val="20"/>
              </w:rPr>
              <w:t>Point Reyes National Seashore</w:t>
            </w:r>
          </w:p>
        </w:tc>
        <w:tc>
          <w:tcPr>
            <w:tcW w:w="900" w:type="dxa"/>
            <w:shd w:val="clear" w:color="auto" w:fill="auto"/>
            <w:vAlign w:val="center"/>
          </w:tcPr>
          <w:p w:rsidR="00EC7274" w:rsidRPr="007E2E96" w:rsidP="00F342E2" w14:paraId="0FF828FA" w14:textId="1634D856">
            <w:pPr>
              <w:jc w:val="center"/>
              <w:rPr>
                <w:sz w:val="20"/>
                <w:szCs w:val="20"/>
              </w:rPr>
            </w:pPr>
            <w:r w:rsidRPr="007E2E96">
              <w:rPr>
                <w:sz w:val="20"/>
                <w:szCs w:val="20"/>
              </w:rPr>
              <w:t>Large</w:t>
            </w:r>
          </w:p>
        </w:tc>
        <w:tc>
          <w:tcPr>
            <w:tcW w:w="1260" w:type="dxa"/>
            <w:shd w:val="clear" w:color="auto" w:fill="auto"/>
            <w:noWrap/>
            <w:vAlign w:val="center"/>
            <w:hideMark/>
          </w:tcPr>
          <w:p w:rsidR="00EC7274" w:rsidRPr="007E2E96" w:rsidP="00F342E2" w14:paraId="577BE566" w14:textId="228347AD">
            <w:pPr>
              <w:jc w:val="center"/>
              <w:rPr>
                <w:rFonts w:ascii="Calibri" w:eastAsia="Times New Roman" w:hAnsi="Calibri" w:cs="Calibri"/>
                <w:color w:val="000000"/>
                <w:sz w:val="20"/>
                <w:szCs w:val="20"/>
              </w:rPr>
            </w:pPr>
            <w:r w:rsidRPr="007E2E96">
              <w:rPr>
                <w:sz w:val="20"/>
                <w:szCs w:val="20"/>
              </w:rPr>
              <w:t>2,494,394</w:t>
            </w:r>
          </w:p>
        </w:tc>
        <w:tc>
          <w:tcPr>
            <w:tcW w:w="1260" w:type="dxa"/>
            <w:shd w:val="clear" w:color="auto" w:fill="auto"/>
            <w:noWrap/>
            <w:vAlign w:val="center"/>
            <w:hideMark/>
          </w:tcPr>
          <w:p w:rsidR="00EC7274" w:rsidRPr="007E2E96" w:rsidP="00F342E2" w14:paraId="471C5D1C" w14:textId="31CC5BE9">
            <w:pPr>
              <w:jc w:val="center"/>
              <w:rPr>
                <w:rFonts w:ascii="Calibri" w:eastAsia="Times New Roman" w:hAnsi="Calibri" w:cs="Calibri"/>
                <w:color w:val="000000"/>
                <w:sz w:val="20"/>
                <w:szCs w:val="20"/>
              </w:rPr>
            </w:pPr>
            <w:r w:rsidRPr="007E2E96">
              <w:rPr>
                <w:sz w:val="20"/>
                <w:szCs w:val="20"/>
              </w:rPr>
              <w:t>264,170</w:t>
            </w:r>
          </w:p>
        </w:tc>
        <w:tc>
          <w:tcPr>
            <w:tcW w:w="1440" w:type="dxa"/>
            <w:shd w:val="clear" w:color="auto" w:fill="auto"/>
            <w:noWrap/>
            <w:vAlign w:val="center"/>
            <w:hideMark/>
          </w:tcPr>
          <w:p w:rsidR="00EC7274" w:rsidRPr="007E2E96" w:rsidP="00F342E2" w14:paraId="262CD9F5" w14:textId="1B4BEDFB">
            <w:pPr>
              <w:jc w:val="center"/>
              <w:rPr>
                <w:rFonts w:ascii="Calibri" w:eastAsia="Times New Roman" w:hAnsi="Calibri" w:cs="Calibri"/>
                <w:color w:val="000000"/>
                <w:sz w:val="20"/>
                <w:szCs w:val="20"/>
              </w:rPr>
            </w:pPr>
            <w:r w:rsidRPr="007E2E96">
              <w:rPr>
                <w:sz w:val="20"/>
                <w:szCs w:val="20"/>
              </w:rPr>
              <w:t>8,522</w:t>
            </w:r>
          </w:p>
        </w:tc>
        <w:tc>
          <w:tcPr>
            <w:tcW w:w="1165" w:type="dxa"/>
            <w:shd w:val="clear" w:color="auto" w:fill="auto"/>
            <w:noWrap/>
            <w:vAlign w:val="center"/>
            <w:hideMark/>
          </w:tcPr>
          <w:p w:rsidR="00EC7274" w:rsidRPr="007E2E96" w:rsidP="00F342E2" w14:paraId="21B25D3A" w14:textId="13F5335E">
            <w:pPr>
              <w:jc w:val="center"/>
              <w:rPr>
                <w:rFonts w:ascii="Calibri" w:eastAsia="Times New Roman" w:hAnsi="Calibri" w:cs="Calibri"/>
                <w:color w:val="000000"/>
                <w:sz w:val="20"/>
                <w:szCs w:val="20"/>
              </w:rPr>
            </w:pPr>
            <w:r w:rsidRPr="007E2E96">
              <w:rPr>
                <w:sz w:val="20"/>
                <w:szCs w:val="20"/>
              </w:rPr>
              <w:t>85,216</w:t>
            </w:r>
          </w:p>
        </w:tc>
      </w:tr>
      <w:tr w14:paraId="4387D685" w14:textId="77777777" w:rsidTr="00200374">
        <w:tblPrEx>
          <w:tblW w:w="0" w:type="auto"/>
          <w:tblLayout w:type="fixed"/>
          <w:tblLook w:val="04A0"/>
        </w:tblPrEx>
        <w:trPr>
          <w:trHeight w:val="282"/>
        </w:trPr>
        <w:tc>
          <w:tcPr>
            <w:tcW w:w="535" w:type="dxa"/>
            <w:tcBorders>
              <w:bottom w:val="single" w:sz="4" w:space="0" w:color="auto"/>
            </w:tcBorders>
            <w:shd w:val="clear" w:color="auto" w:fill="auto"/>
            <w:noWrap/>
            <w:vAlign w:val="center"/>
          </w:tcPr>
          <w:p w:rsidR="00EC7274" w:rsidRPr="007E2E96" w:rsidP="00F27F9F" w14:paraId="2A9D6A0B" w14:textId="3C623360">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27</w:t>
            </w:r>
          </w:p>
        </w:tc>
        <w:tc>
          <w:tcPr>
            <w:tcW w:w="2790" w:type="dxa"/>
            <w:tcBorders>
              <w:bottom w:val="single" w:sz="4" w:space="0" w:color="auto"/>
            </w:tcBorders>
            <w:shd w:val="clear" w:color="auto" w:fill="auto"/>
            <w:noWrap/>
            <w:vAlign w:val="center"/>
            <w:hideMark/>
          </w:tcPr>
          <w:p w:rsidR="00EC7274" w:rsidRPr="007E2E96" w:rsidP="00EC7274" w14:paraId="2FE13A7C" w14:textId="6BD2EDC5">
            <w:pPr>
              <w:rPr>
                <w:sz w:val="20"/>
                <w:szCs w:val="20"/>
              </w:rPr>
            </w:pPr>
            <w:r w:rsidRPr="007E2E96">
              <w:rPr>
                <w:sz w:val="20"/>
                <w:szCs w:val="20"/>
              </w:rPr>
              <w:t>Indiana Dunes National Lakeshore</w:t>
            </w:r>
          </w:p>
        </w:tc>
        <w:tc>
          <w:tcPr>
            <w:tcW w:w="900" w:type="dxa"/>
            <w:tcBorders>
              <w:bottom w:val="single" w:sz="4" w:space="0" w:color="auto"/>
            </w:tcBorders>
            <w:shd w:val="clear" w:color="auto" w:fill="auto"/>
            <w:vAlign w:val="center"/>
          </w:tcPr>
          <w:p w:rsidR="00EC7274" w:rsidRPr="007E2E96" w:rsidP="00F342E2" w14:paraId="792B0885" w14:textId="5DFD745D">
            <w:pPr>
              <w:jc w:val="center"/>
              <w:rPr>
                <w:sz w:val="20"/>
                <w:szCs w:val="20"/>
              </w:rPr>
            </w:pPr>
            <w:r w:rsidRPr="007E2E96">
              <w:rPr>
                <w:sz w:val="20"/>
                <w:szCs w:val="20"/>
              </w:rPr>
              <w:t>Large</w:t>
            </w:r>
          </w:p>
        </w:tc>
        <w:tc>
          <w:tcPr>
            <w:tcW w:w="1260" w:type="dxa"/>
            <w:tcBorders>
              <w:bottom w:val="single" w:sz="4" w:space="0" w:color="auto"/>
            </w:tcBorders>
            <w:shd w:val="clear" w:color="auto" w:fill="auto"/>
            <w:noWrap/>
            <w:vAlign w:val="center"/>
            <w:hideMark/>
          </w:tcPr>
          <w:p w:rsidR="00EC7274" w:rsidRPr="007E2E96" w:rsidP="00F342E2" w14:paraId="56B29C9B" w14:textId="34E5E477">
            <w:pPr>
              <w:jc w:val="center"/>
              <w:rPr>
                <w:rFonts w:ascii="Calibri" w:eastAsia="Times New Roman" w:hAnsi="Calibri" w:cs="Calibri"/>
                <w:color w:val="000000"/>
                <w:sz w:val="20"/>
                <w:szCs w:val="20"/>
              </w:rPr>
            </w:pPr>
            <w:r w:rsidRPr="007E2E96">
              <w:rPr>
                <w:sz w:val="20"/>
                <w:szCs w:val="20"/>
              </w:rPr>
              <w:t>1,746,390</w:t>
            </w:r>
          </w:p>
        </w:tc>
        <w:tc>
          <w:tcPr>
            <w:tcW w:w="1260" w:type="dxa"/>
            <w:tcBorders>
              <w:bottom w:val="single" w:sz="4" w:space="0" w:color="auto"/>
            </w:tcBorders>
            <w:shd w:val="clear" w:color="auto" w:fill="auto"/>
            <w:noWrap/>
            <w:vAlign w:val="center"/>
            <w:hideMark/>
          </w:tcPr>
          <w:p w:rsidR="00EC7274" w:rsidRPr="007E2E96" w:rsidP="00F342E2" w14:paraId="1D2ECFBC" w14:textId="5F932BC3">
            <w:pPr>
              <w:jc w:val="center"/>
              <w:rPr>
                <w:rFonts w:ascii="Calibri" w:eastAsia="Times New Roman" w:hAnsi="Calibri" w:cs="Calibri"/>
                <w:color w:val="000000"/>
                <w:sz w:val="20"/>
                <w:szCs w:val="20"/>
              </w:rPr>
            </w:pPr>
            <w:r w:rsidRPr="007E2E96">
              <w:rPr>
                <w:sz w:val="20"/>
                <w:szCs w:val="20"/>
              </w:rPr>
              <w:t>326,270</w:t>
            </w:r>
          </w:p>
        </w:tc>
        <w:tc>
          <w:tcPr>
            <w:tcW w:w="1440" w:type="dxa"/>
            <w:tcBorders>
              <w:bottom w:val="single" w:sz="4" w:space="0" w:color="auto"/>
            </w:tcBorders>
            <w:shd w:val="clear" w:color="auto" w:fill="auto"/>
            <w:noWrap/>
            <w:vAlign w:val="center"/>
            <w:hideMark/>
          </w:tcPr>
          <w:p w:rsidR="00EC7274" w:rsidRPr="007E2E96" w:rsidP="00F342E2" w14:paraId="27E42894" w14:textId="467E2C10">
            <w:pPr>
              <w:jc w:val="center"/>
              <w:rPr>
                <w:rFonts w:ascii="Calibri" w:eastAsia="Times New Roman" w:hAnsi="Calibri" w:cs="Calibri"/>
                <w:color w:val="000000"/>
                <w:sz w:val="20"/>
                <w:szCs w:val="20"/>
              </w:rPr>
            </w:pPr>
            <w:r w:rsidRPr="007E2E96">
              <w:rPr>
                <w:sz w:val="20"/>
                <w:szCs w:val="20"/>
              </w:rPr>
              <w:t>10,525</w:t>
            </w:r>
          </w:p>
        </w:tc>
        <w:tc>
          <w:tcPr>
            <w:tcW w:w="1165" w:type="dxa"/>
            <w:tcBorders>
              <w:bottom w:val="single" w:sz="4" w:space="0" w:color="auto"/>
            </w:tcBorders>
            <w:shd w:val="clear" w:color="auto" w:fill="auto"/>
            <w:noWrap/>
            <w:vAlign w:val="center"/>
            <w:hideMark/>
          </w:tcPr>
          <w:p w:rsidR="00EC7274" w:rsidRPr="007E2E96" w:rsidP="00F342E2" w14:paraId="76F581F7" w14:textId="4CBBB10D">
            <w:pPr>
              <w:jc w:val="center"/>
              <w:rPr>
                <w:rFonts w:ascii="Calibri" w:eastAsia="Times New Roman" w:hAnsi="Calibri" w:cs="Calibri"/>
                <w:color w:val="000000"/>
                <w:sz w:val="20"/>
                <w:szCs w:val="20"/>
              </w:rPr>
            </w:pPr>
            <w:r w:rsidRPr="007E2E96">
              <w:rPr>
                <w:sz w:val="20"/>
                <w:szCs w:val="20"/>
              </w:rPr>
              <w:t>105,248</w:t>
            </w:r>
          </w:p>
        </w:tc>
      </w:tr>
      <w:tr w14:paraId="4F7C7DD9" w14:textId="77777777" w:rsidTr="00200374">
        <w:tblPrEx>
          <w:tblW w:w="0" w:type="auto"/>
          <w:tblLayout w:type="fixed"/>
          <w:tblLook w:val="04A0"/>
        </w:tblPrEx>
        <w:trPr>
          <w:trHeight w:val="282"/>
        </w:trPr>
        <w:tc>
          <w:tcPr>
            <w:tcW w:w="535" w:type="dxa"/>
            <w:shd w:val="clear" w:color="auto" w:fill="auto"/>
            <w:noWrap/>
            <w:vAlign w:val="center"/>
          </w:tcPr>
          <w:p w:rsidR="00EC7274" w:rsidRPr="007E2E96" w:rsidP="00F27F9F" w14:paraId="4D3D7479" w14:textId="726BAF88">
            <w:pPr>
              <w:jc w:val="center"/>
              <w:rPr>
                <w:rFonts w:ascii="Calibri" w:eastAsia="Times New Roman" w:hAnsi="Calibri" w:cs="Calibri"/>
                <w:color w:val="000000"/>
                <w:sz w:val="20"/>
                <w:szCs w:val="20"/>
              </w:rPr>
            </w:pPr>
            <w:r w:rsidRPr="007E2E96">
              <w:rPr>
                <w:rFonts w:ascii="Calibri" w:eastAsia="Times New Roman" w:hAnsi="Calibri" w:cs="Calibri"/>
                <w:color w:val="000000"/>
                <w:sz w:val="20"/>
                <w:szCs w:val="20"/>
              </w:rPr>
              <w:t>28</w:t>
            </w:r>
          </w:p>
        </w:tc>
        <w:tc>
          <w:tcPr>
            <w:tcW w:w="2790" w:type="dxa"/>
            <w:shd w:val="clear" w:color="auto" w:fill="auto"/>
            <w:noWrap/>
            <w:vAlign w:val="center"/>
            <w:hideMark/>
          </w:tcPr>
          <w:p w:rsidR="00EC7274" w:rsidRPr="007E2E96" w:rsidP="00EC7274" w14:paraId="193DEC34" w14:textId="092AFF02">
            <w:pPr>
              <w:rPr>
                <w:sz w:val="20"/>
                <w:szCs w:val="20"/>
              </w:rPr>
            </w:pPr>
            <w:r w:rsidRPr="007E2E96">
              <w:rPr>
                <w:sz w:val="20"/>
                <w:szCs w:val="20"/>
              </w:rPr>
              <w:t>Lake Mead National Recreation Area</w:t>
            </w:r>
          </w:p>
        </w:tc>
        <w:tc>
          <w:tcPr>
            <w:tcW w:w="900" w:type="dxa"/>
            <w:shd w:val="clear" w:color="auto" w:fill="auto"/>
            <w:vAlign w:val="center"/>
          </w:tcPr>
          <w:p w:rsidR="00EC7274" w:rsidRPr="007E2E96" w:rsidP="00F342E2" w14:paraId="630F7A53" w14:textId="6611B102">
            <w:pPr>
              <w:jc w:val="center"/>
              <w:rPr>
                <w:sz w:val="20"/>
                <w:szCs w:val="20"/>
              </w:rPr>
            </w:pPr>
            <w:r w:rsidRPr="007E2E96">
              <w:rPr>
                <w:sz w:val="20"/>
                <w:szCs w:val="20"/>
              </w:rPr>
              <w:t>Large</w:t>
            </w:r>
          </w:p>
        </w:tc>
        <w:tc>
          <w:tcPr>
            <w:tcW w:w="1260" w:type="dxa"/>
            <w:shd w:val="clear" w:color="auto" w:fill="auto"/>
            <w:noWrap/>
            <w:vAlign w:val="center"/>
            <w:hideMark/>
          </w:tcPr>
          <w:p w:rsidR="00EC7274" w:rsidRPr="007E2E96" w:rsidP="00F342E2" w14:paraId="1E1CCC16" w14:textId="03DBFB52">
            <w:pPr>
              <w:jc w:val="center"/>
              <w:rPr>
                <w:rFonts w:ascii="Calibri" w:eastAsia="Times New Roman" w:hAnsi="Calibri" w:cs="Calibri"/>
                <w:b/>
                <w:color w:val="000000"/>
                <w:sz w:val="20"/>
                <w:szCs w:val="20"/>
              </w:rPr>
            </w:pPr>
            <w:r w:rsidRPr="007E2E96">
              <w:rPr>
                <w:sz w:val="20"/>
                <w:szCs w:val="20"/>
              </w:rPr>
              <w:t>7,128,858</w:t>
            </w:r>
          </w:p>
        </w:tc>
        <w:tc>
          <w:tcPr>
            <w:tcW w:w="1260" w:type="dxa"/>
            <w:shd w:val="clear" w:color="auto" w:fill="auto"/>
            <w:noWrap/>
            <w:vAlign w:val="center"/>
            <w:hideMark/>
          </w:tcPr>
          <w:p w:rsidR="00EC7274" w:rsidRPr="007E2E96" w:rsidP="00F342E2" w14:paraId="51CE2A87" w14:textId="5CBA6A24">
            <w:pPr>
              <w:jc w:val="center"/>
              <w:rPr>
                <w:rFonts w:ascii="Calibri" w:eastAsia="Times New Roman" w:hAnsi="Calibri" w:cs="Calibri"/>
                <w:b/>
                <w:color w:val="000000"/>
                <w:sz w:val="20"/>
                <w:szCs w:val="20"/>
              </w:rPr>
            </w:pPr>
            <w:r w:rsidRPr="007E2E96">
              <w:rPr>
                <w:sz w:val="20"/>
                <w:szCs w:val="20"/>
              </w:rPr>
              <w:t>824,861</w:t>
            </w:r>
          </w:p>
        </w:tc>
        <w:tc>
          <w:tcPr>
            <w:tcW w:w="1440" w:type="dxa"/>
            <w:shd w:val="clear" w:color="auto" w:fill="auto"/>
            <w:noWrap/>
            <w:vAlign w:val="center"/>
            <w:hideMark/>
          </w:tcPr>
          <w:p w:rsidR="00EC7274" w:rsidRPr="007E2E96" w:rsidP="00F342E2" w14:paraId="6D426245" w14:textId="06F802F2">
            <w:pPr>
              <w:jc w:val="center"/>
              <w:rPr>
                <w:rFonts w:ascii="Calibri" w:eastAsia="Times New Roman" w:hAnsi="Calibri" w:cs="Calibri"/>
                <w:b/>
                <w:color w:val="000000"/>
                <w:sz w:val="20"/>
                <w:szCs w:val="20"/>
              </w:rPr>
            </w:pPr>
            <w:r w:rsidRPr="007E2E96">
              <w:rPr>
                <w:sz w:val="20"/>
                <w:szCs w:val="20"/>
              </w:rPr>
              <w:t>26,608</w:t>
            </w:r>
          </w:p>
        </w:tc>
        <w:tc>
          <w:tcPr>
            <w:tcW w:w="1165" w:type="dxa"/>
            <w:shd w:val="clear" w:color="auto" w:fill="auto"/>
            <w:noWrap/>
            <w:vAlign w:val="center"/>
            <w:hideMark/>
          </w:tcPr>
          <w:p w:rsidR="00EC7274" w:rsidRPr="007E2E96" w:rsidP="00F342E2" w14:paraId="26C0DA1E" w14:textId="7CC8F757">
            <w:pPr>
              <w:jc w:val="center"/>
              <w:rPr>
                <w:rFonts w:ascii="Calibri" w:eastAsia="Times New Roman" w:hAnsi="Calibri" w:cs="Calibri"/>
                <w:b/>
                <w:color w:val="000000"/>
                <w:sz w:val="20"/>
                <w:szCs w:val="20"/>
              </w:rPr>
            </w:pPr>
            <w:r w:rsidRPr="007E2E96">
              <w:rPr>
                <w:sz w:val="20"/>
                <w:szCs w:val="20"/>
              </w:rPr>
              <w:t>266,084</w:t>
            </w:r>
          </w:p>
        </w:tc>
      </w:tr>
      <w:tr w14:paraId="39DABF32" w14:textId="77777777" w:rsidTr="00F27F9F">
        <w:tblPrEx>
          <w:tblW w:w="0" w:type="auto"/>
          <w:tblLayout w:type="fixed"/>
          <w:tblLook w:val="04A0"/>
        </w:tblPrEx>
        <w:trPr>
          <w:trHeight w:val="282"/>
        </w:trPr>
        <w:tc>
          <w:tcPr>
            <w:tcW w:w="535" w:type="dxa"/>
            <w:shd w:val="clear" w:color="auto" w:fill="auto"/>
            <w:noWrap/>
            <w:vAlign w:val="center"/>
          </w:tcPr>
          <w:p w:rsidR="00EC7274" w:rsidRPr="007E2E96" w:rsidP="00F27F9F" w14:paraId="6D684E7D" w14:textId="51DA1CE2">
            <w:pPr>
              <w:jc w:val="center"/>
              <w:rPr>
                <w:sz w:val="20"/>
                <w:szCs w:val="20"/>
              </w:rPr>
            </w:pPr>
            <w:r w:rsidRPr="007E2E96">
              <w:rPr>
                <w:sz w:val="20"/>
                <w:szCs w:val="20"/>
              </w:rPr>
              <w:t>29</w:t>
            </w:r>
          </w:p>
        </w:tc>
        <w:tc>
          <w:tcPr>
            <w:tcW w:w="2790" w:type="dxa"/>
            <w:shd w:val="clear" w:color="auto" w:fill="auto"/>
            <w:noWrap/>
            <w:vAlign w:val="center"/>
          </w:tcPr>
          <w:p w:rsidR="00EC7274" w:rsidRPr="007E2E96" w:rsidP="00EC7274" w14:paraId="41AFB669" w14:textId="3245B1D9">
            <w:pPr>
              <w:rPr>
                <w:sz w:val="20"/>
                <w:szCs w:val="20"/>
              </w:rPr>
            </w:pPr>
            <w:r w:rsidRPr="007E2E96">
              <w:rPr>
                <w:sz w:val="20"/>
                <w:szCs w:val="20"/>
              </w:rPr>
              <w:t>Saint Croix National Scenic Riverway</w:t>
            </w:r>
          </w:p>
        </w:tc>
        <w:tc>
          <w:tcPr>
            <w:tcW w:w="900" w:type="dxa"/>
            <w:shd w:val="clear" w:color="auto" w:fill="auto"/>
            <w:vAlign w:val="center"/>
          </w:tcPr>
          <w:p w:rsidR="00EC7274" w:rsidRPr="007E2E96" w:rsidP="00F342E2" w14:paraId="0CF5A321" w14:textId="0E3FA654">
            <w:pPr>
              <w:jc w:val="center"/>
              <w:rPr>
                <w:sz w:val="20"/>
                <w:szCs w:val="20"/>
              </w:rPr>
            </w:pPr>
            <w:r w:rsidRPr="007E2E96">
              <w:rPr>
                <w:sz w:val="20"/>
                <w:szCs w:val="20"/>
              </w:rPr>
              <w:t>Small</w:t>
            </w:r>
          </w:p>
        </w:tc>
        <w:tc>
          <w:tcPr>
            <w:tcW w:w="1260" w:type="dxa"/>
            <w:shd w:val="clear" w:color="auto" w:fill="auto"/>
            <w:noWrap/>
            <w:vAlign w:val="center"/>
          </w:tcPr>
          <w:p w:rsidR="00EC7274" w:rsidRPr="007E2E96" w:rsidP="00F342E2" w14:paraId="467FD951" w14:textId="071E1052">
            <w:pPr>
              <w:jc w:val="center"/>
              <w:rPr>
                <w:sz w:val="20"/>
                <w:szCs w:val="20"/>
              </w:rPr>
            </w:pPr>
            <w:r w:rsidRPr="007E2E96">
              <w:rPr>
                <w:sz w:val="20"/>
                <w:szCs w:val="20"/>
              </w:rPr>
              <w:t>623,674</w:t>
            </w:r>
          </w:p>
        </w:tc>
        <w:tc>
          <w:tcPr>
            <w:tcW w:w="1260" w:type="dxa"/>
            <w:shd w:val="clear" w:color="auto" w:fill="auto"/>
            <w:noWrap/>
            <w:vAlign w:val="center"/>
          </w:tcPr>
          <w:p w:rsidR="00EC7274" w:rsidRPr="007E2E96" w:rsidP="00F342E2" w14:paraId="31C0D856" w14:textId="6955AAB0">
            <w:pPr>
              <w:jc w:val="center"/>
              <w:rPr>
                <w:sz w:val="20"/>
                <w:szCs w:val="20"/>
              </w:rPr>
            </w:pPr>
            <w:r w:rsidRPr="007E2E96">
              <w:rPr>
                <w:sz w:val="20"/>
                <w:szCs w:val="20"/>
              </w:rPr>
              <w:t>205,659</w:t>
            </w:r>
          </w:p>
        </w:tc>
        <w:tc>
          <w:tcPr>
            <w:tcW w:w="1440" w:type="dxa"/>
            <w:shd w:val="clear" w:color="auto" w:fill="auto"/>
            <w:noWrap/>
            <w:vAlign w:val="center"/>
          </w:tcPr>
          <w:p w:rsidR="00EC7274" w:rsidRPr="007E2E96" w:rsidP="00F342E2" w14:paraId="4E3821E6" w14:textId="4F70A4DF">
            <w:pPr>
              <w:jc w:val="center"/>
              <w:rPr>
                <w:sz w:val="20"/>
                <w:szCs w:val="20"/>
              </w:rPr>
            </w:pPr>
            <w:r w:rsidRPr="007E2E96">
              <w:rPr>
                <w:sz w:val="20"/>
                <w:szCs w:val="20"/>
              </w:rPr>
              <w:t>6,855</w:t>
            </w:r>
          </w:p>
        </w:tc>
        <w:tc>
          <w:tcPr>
            <w:tcW w:w="1165" w:type="dxa"/>
            <w:shd w:val="clear" w:color="auto" w:fill="auto"/>
            <w:noWrap/>
            <w:vAlign w:val="center"/>
          </w:tcPr>
          <w:p w:rsidR="00EC7274" w:rsidRPr="007E2E96" w:rsidP="00F342E2" w14:paraId="5A795968" w14:textId="79158384">
            <w:pPr>
              <w:jc w:val="center"/>
              <w:rPr>
                <w:sz w:val="20"/>
                <w:szCs w:val="20"/>
              </w:rPr>
            </w:pPr>
            <w:r w:rsidRPr="007E2E96">
              <w:rPr>
                <w:sz w:val="20"/>
                <w:szCs w:val="20"/>
              </w:rPr>
              <w:t>68,553</w:t>
            </w:r>
          </w:p>
        </w:tc>
      </w:tr>
      <w:tr w14:paraId="17B33B64" w14:textId="77777777" w:rsidTr="00200374">
        <w:tblPrEx>
          <w:tblW w:w="0" w:type="auto"/>
          <w:tblLayout w:type="fixed"/>
          <w:tblLook w:val="04A0"/>
        </w:tblPrEx>
        <w:trPr>
          <w:trHeight w:val="282"/>
        </w:trPr>
        <w:tc>
          <w:tcPr>
            <w:tcW w:w="535" w:type="dxa"/>
            <w:shd w:val="clear" w:color="auto" w:fill="auto"/>
            <w:noWrap/>
            <w:vAlign w:val="center"/>
          </w:tcPr>
          <w:p w:rsidR="00EC7274" w:rsidRPr="007E2E96" w:rsidP="00F27F9F" w14:paraId="36BD791A" w14:textId="1C5BA267">
            <w:pPr>
              <w:jc w:val="center"/>
              <w:rPr>
                <w:sz w:val="20"/>
                <w:szCs w:val="20"/>
              </w:rPr>
            </w:pPr>
            <w:r w:rsidRPr="007E2E96">
              <w:rPr>
                <w:sz w:val="20"/>
                <w:szCs w:val="20"/>
              </w:rPr>
              <w:t>30</w:t>
            </w:r>
          </w:p>
        </w:tc>
        <w:tc>
          <w:tcPr>
            <w:tcW w:w="2790" w:type="dxa"/>
            <w:shd w:val="clear" w:color="auto" w:fill="auto"/>
            <w:noWrap/>
            <w:vAlign w:val="center"/>
          </w:tcPr>
          <w:p w:rsidR="00EC7274" w:rsidRPr="007E2E96" w:rsidP="00EC7274" w14:paraId="11639D66" w14:textId="58AA64AE">
            <w:pPr>
              <w:rPr>
                <w:sz w:val="20"/>
                <w:szCs w:val="20"/>
              </w:rPr>
            </w:pPr>
            <w:r w:rsidRPr="007E2E96">
              <w:rPr>
                <w:sz w:val="20"/>
                <w:szCs w:val="20"/>
              </w:rPr>
              <w:t>Rock Creek Park</w:t>
            </w:r>
          </w:p>
        </w:tc>
        <w:tc>
          <w:tcPr>
            <w:tcW w:w="900" w:type="dxa"/>
            <w:shd w:val="clear" w:color="auto" w:fill="auto"/>
            <w:vAlign w:val="center"/>
          </w:tcPr>
          <w:p w:rsidR="00EC7274" w:rsidRPr="007E2E96" w:rsidP="00F342E2" w14:paraId="359A1FC2" w14:textId="3ADC9B97">
            <w:pPr>
              <w:jc w:val="center"/>
              <w:rPr>
                <w:sz w:val="20"/>
                <w:szCs w:val="20"/>
              </w:rPr>
            </w:pPr>
            <w:r w:rsidRPr="007E2E96">
              <w:rPr>
                <w:sz w:val="20"/>
                <w:szCs w:val="20"/>
              </w:rPr>
              <w:t>Large</w:t>
            </w:r>
          </w:p>
        </w:tc>
        <w:tc>
          <w:tcPr>
            <w:tcW w:w="1260" w:type="dxa"/>
            <w:shd w:val="clear" w:color="auto" w:fill="auto"/>
            <w:noWrap/>
            <w:vAlign w:val="center"/>
          </w:tcPr>
          <w:p w:rsidR="00EC7274" w:rsidRPr="007E2E96" w:rsidP="00F342E2" w14:paraId="74C116D0" w14:textId="05EFB850">
            <w:pPr>
              <w:jc w:val="center"/>
              <w:rPr>
                <w:sz w:val="20"/>
                <w:szCs w:val="20"/>
              </w:rPr>
            </w:pPr>
            <w:r w:rsidRPr="007E2E96">
              <w:rPr>
                <w:sz w:val="20"/>
                <w:szCs w:val="20"/>
              </w:rPr>
              <w:t>2,362,646</w:t>
            </w:r>
          </w:p>
        </w:tc>
        <w:tc>
          <w:tcPr>
            <w:tcW w:w="1260" w:type="dxa"/>
            <w:shd w:val="clear" w:color="auto" w:fill="auto"/>
            <w:noWrap/>
            <w:vAlign w:val="center"/>
          </w:tcPr>
          <w:p w:rsidR="00EC7274" w:rsidRPr="007E2E96" w:rsidP="00F342E2" w14:paraId="2E951263" w14:textId="2D9867DA">
            <w:pPr>
              <w:jc w:val="center"/>
              <w:rPr>
                <w:sz w:val="20"/>
                <w:szCs w:val="20"/>
              </w:rPr>
            </w:pPr>
            <w:r w:rsidRPr="007E2E96">
              <w:rPr>
                <w:sz w:val="20"/>
                <w:szCs w:val="20"/>
              </w:rPr>
              <w:t>282,188</w:t>
            </w:r>
          </w:p>
        </w:tc>
        <w:tc>
          <w:tcPr>
            <w:tcW w:w="1440" w:type="dxa"/>
            <w:shd w:val="clear" w:color="auto" w:fill="auto"/>
            <w:noWrap/>
            <w:vAlign w:val="center"/>
          </w:tcPr>
          <w:p w:rsidR="00EC7274" w:rsidRPr="007E2E96" w:rsidP="00F342E2" w14:paraId="27EF3E4D" w14:textId="13579F19">
            <w:pPr>
              <w:jc w:val="center"/>
              <w:rPr>
                <w:sz w:val="20"/>
                <w:szCs w:val="20"/>
              </w:rPr>
            </w:pPr>
            <w:r w:rsidRPr="007E2E96">
              <w:rPr>
                <w:sz w:val="20"/>
                <w:szCs w:val="20"/>
              </w:rPr>
              <w:t>9,406</w:t>
            </w:r>
          </w:p>
        </w:tc>
        <w:tc>
          <w:tcPr>
            <w:tcW w:w="1165" w:type="dxa"/>
            <w:shd w:val="clear" w:color="auto" w:fill="auto"/>
            <w:noWrap/>
            <w:vAlign w:val="center"/>
          </w:tcPr>
          <w:p w:rsidR="00EC7274" w:rsidRPr="007E2E96" w:rsidP="00F342E2" w14:paraId="2035DDC0" w14:textId="61C576F1">
            <w:pPr>
              <w:jc w:val="center"/>
              <w:rPr>
                <w:sz w:val="20"/>
                <w:szCs w:val="20"/>
              </w:rPr>
            </w:pPr>
            <w:r w:rsidRPr="007E2E96">
              <w:rPr>
                <w:sz w:val="20"/>
                <w:szCs w:val="20"/>
              </w:rPr>
              <w:t>94,062</w:t>
            </w:r>
          </w:p>
        </w:tc>
      </w:tr>
      <w:tr w14:paraId="60C0A687" w14:textId="77777777" w:rsidTr="00C9187B">
        <w:tblPrEx>
          <w:tblW w:w="0" w:type="auto"/>
          <w:tblLayout w:type="fixed"/>
          <w:tblLook w:val="04A0"/>
        </w:tblPrEx>
        <w:trPr>
          <w:trHeight w:val="282"/>
        </w:trPr>
        <w:tc>
          <w:tcPr>
            <w:tcW w:w="4225" w:type="dxa"/>
            <w:gridSpan w:val="3"/>
            <w:noWrap/>
          </w:tcPr>
          <w:p w:rsidR="001A3F7A" w:rsidRPr="007E2E96" w:rsidP="001A3F7A" w14:paraId="5170ADFA" w14:textId="0528E57D">
            <w:pPr>
              <w:jc w:val="right"/>
              <w:rPr>
                <w:b/>
                <w:bCs/>
                <w:i/>
                <w:iCs/>
                <w:sz w:val="20"/>
                <w:szCs w:val="20"/>
              </w:rPr>
            </w:pPr>
            <w:r w:rsidRPr="007E2E96">
              <w:rPr>
                <w:b/>
                <w:bCs/>
                <w:i/>
                <w:iCs/>
                <w:sz w:val="20"/>
                <w:szCs w:val="20"/>
              </w:rPr>
              <w:t>Subtotal</w:t>
            </w:r>
          </w:p>
        </w:tc>
        <w:tc>
          <w:tcPr>
            <w:tcW w:w="1260" w:type="dxa"/>
            <w:noWrap/>
            <w:vAlign w:val="center"/>
          </w:tcPr>
          <w:p w:rsidR="001A3F7A" w:rsidRPr="007E2E96" w:rsidP="001A3F7A" w14:paraId="34D46E9C" w14:textId="20492BCC">
            <w:pPr>
              <w:jc w:val="center"/>
              <w:rPr>
                <w:b/>
                <w:bCs/>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16,142,118</w:t>
            </w:r>
            <w:r w:rsidRPr="007E2E96">
              <w:rPr>
                <w:i/>
                <w:iCs/>
                <w:sz w:val="20"/>
                <w:szCs w:val="20"/>
              </w:rPr>
              <w:fldChar w:fldCharType="end"/>
            </w:r>
          </w:p>
        </w:tc>
        <w:tc>
          <w:tcPr>
            <w:tcW w:w="1260" w:type="dxa"/>
            <w:noWrap/>
            <w:vAlign w:val="center"/>
          </w:tcPr>
          <w:p w:rsidR="001A3F7A" w:rsidRPr="007E2E96" w:rsidP="001A3F7A" w14:paraId="54A424D2" w14:textId="3221FD9D">
            <w:pPr>
              <w:jc w:val="center"/>
              <w:rPr>
                <w:b/>
                <w:bCs/>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2,146,547</w:t>
            </w:r>
            <w:r w:rsidRPr="007E2E96">
              <w:rPr>
                <w:i/>
                <w:iCs/>
                <w:sz w:val="20"/>
                <w:szCs w:val="20"/>
              </w:rPr>
              <w:fldChar w:fldCharType="end"/>
            </w:r>
          </w:p>
        </w:tc>
        <w:tc>
          <w:tcPr>
            <w:tcW w:w="1440" w:type="dxa"/>
            <w:noWrap/>
            <w:vAlign w:val="center"/>
          </w:tcPr>
          <w:p w:rsidR="001A3F7A" w:rsidRPr="007E2E96" w:rsidP="001A3F7A" w14:paraId="38257770" w14:textId="5D0B34F8">
            <w:pPr>
              <w:jc w:val="center"/>
              <w:rPr>
                <w:b/>
                <w:bCs/>
                <w:i/>
                <w:iCs/>
                <w:sz w:val="20"/>
                <w:szCs w:val="20"/>
              </w:rPr>
            </w:pPr>
            <w:r w:rsidRPr="007E2E96">
              <w:rPr>
                <w:rFonts w:ascii="Calibri" w:eastAsia="Times New Roman" w:hAnsi="Calibri" w:cs="Calibri"/>
                <w:i/>
                <w:iCs/>
                <w:color w:val="000000"/>
                <w:sz w:val="20"/>
                <w:szCs w:val="20"/>
              </w:rPr>
              <w:fldChar w:fldCharType="begin"/>
            </w:r>
            <w:r w:rsidRPr="007E2E96">
              <w:rPr>
                <w:rFonts w:ascii="Calibri" w:eastAsia="Times New Roman" w:hAnsi="Calibri" w:cs="Calibri"/>
                <w:i/>
                <w:iCs/>
                <w:color w:val="000000"/>
                <w:sz w:val="20"/>
                <w:szCs w:val="20"/>
              </w:rPr>
              <w:instrText xml:space="preserve"> =SUM(ABOVE) </w:instrText>
            </w:r>
            <w:r w:rsidRPr="007E2E96">
              <w:rPr>
                <w:rFonts w:ascii="Calibri" w:eastAsia="Times New Roman" w:hAnsi="Calibri" w:cs="Calibri"/>
                <w:i/>
                <w:iCs/>
                <w:color w:val="000000"/>
                <w:sz w:val="20"/>
                <w:szCs w:val="20"/>
              </w:rPr>
              <w:fldChar w:fldCharType="separate"/>
            </w:r>
            <w:r w:rsidRPr="007E2E96">
              <w:rPr>
                <w:rFonts w:ascii="Calibri" w:eastAsia="Times New Roman" w:hAnsi="Calibri" w:cs="Calibri"/>
                <w:i/>
                <w:iCs/>
                <w:noProof/>
                <w:color w:val="000000"/>
                <w:sz w:val="20"/>
                <w:szCs w:val="20"/>
              </w:rPr>
              <w:t>69,767</w:t>
            </w:r>
            <w:r w:rsidRPr="007E2E96">
              <w:rPr>
                <w:rFonts w:ascii="Calibri" w:eastAsia="Times New Roman" w:hAnsi="Calibri" w:cs="Calibri"/>
                <w:i/>
                <w:iCs/>
                <w:color w:val="000000"/>
                <w:sz w:val="20"/>
                <w:szCs w:val="20"/>
              </w:rPr>
              <w:fldChar w:fldCharType="end"/>
            </w:r>
          </w:p>
        </w:tc>
        <w:tc>
          <w:tcPr>
            <w:tcW w:w="1165" w:type="dxa"/>
            <w:noWrap/>
            <w:vAlign w:val="center"/>
          </w:tcPr>
          <w:p w:rsidR="001A3F7A" w:rsidRPr="007E2E96" w:rsidP="001A3F7A" w14:paraId="1063D3CA" w14:textId="75B90966">
            <w:pPr>
              <w:jc w:val="center"/>
              <w:rPr>
                <w:b/>
                <w:bCs/>
                <w:i/>
                <w:iCs/>
                <w:sz w:val="20"/>
                <w:szCs w:val="20"/>
              </w:rPr>
            </w:pPr>
            <w:r w:rsidRPr="007E2E96">
              <w:rPr>
                <w:i/>
                <w:iCs/>
                <w:sz w:val="20"/>
                <w:szCs w:val="20"/>
              </w:rPr>
              <w:fldChar w:fldCharType="begin"/>
            </w:r>
            <w:r w:rsidRPr="007E2E96">
              <w:rPr>
                <w:i/>
                <w:iCs/>
                <w:sz w:val="20"/>
                <w:szCs w:val="20"/>
              </w:rPr>
              <w:instrText xml:space="preserve"> =SUM(ABOVE) </w:instrText>
            </w:r>
            <w:r w:rsidRPr="007E2E96">
              <w:rPr>
                <w:i/>
                <w:iCs/>
                <w:sz w:val="20"/>
                <w:szCs w:val="20"/>
              </w:rPr>
              <w:fldChar w:fldCharType="separate"/>
            </w:r>
            <w:r w:rsidRPr="007E2E96">
              <w:rPr>
                <w:i/>
                <w:iCs/>
                <w:noProof/>
                <w:sz w:val="20"/>
                <w:szCs w:val="20"/>
              </w:rPr>
              <w:t>697,679</w:t>
            </w:r>
            <w:r w:rsidRPr="007E2E96">
              <w:rPr>
                <w:i/>
                <w:iCs/>
                <w:sz w:val="20"/>
                <w:szCs w:val="20"/>
              </w:rPr>
              <w:fldChar w:fldCharType="end"/>
            </w:r>
          </w:p>
        </w:tc>
      </w:tr>
      <w:tr w14:paraId="7221CD60" w14:textId="77777777" w:rsidTr="00C9187B">
        <w:tblPrEx>
          <w:tblW w:w="0" w:type="auto"/>
          <w:tblLayout w:type="fixed"/>
          <w:tblLook w:val="04A0"/>
        </w:tblPrEx>
        <w:trPr>
          <w:trHeight w:val="282"/>
        </w:trPr>
        <w:tc>
          <w:tcPr>
            <w:tcW w:w="4225" w:type="dxa"/>
            <w:gridSpan w:val="3"/>
            <w:tcBorders>
              <w:bottom w:val="single" w:sz="4" w:space="0" w:color="auto"/>
            </w:tcBorders>
            <w:noWrap/>
          </w:tcPr>
          <w:p w:rsidR="001A3F7A" w:rsidRPr="007E2E96" w:rsidP="001A3F7A" w14:paraId="7B37C2F2" w14:textId="7BEDFE27">
            <w:pPr>
              <w:jc w:val="right"/>
              <w:rPr>
                <w:b/>
                <w:bCs/>
                <w:sz w:val="20"/>
                <w:szCs w:val="20"/>
              </w:rPr>
            </w:pPr>
            <w:r w:rsidRPr="007E2E96">
              <w:rPr>
                <w:b/>
                <w:bCs/>
                <w:sz w:val="20"/>
                <w:szCs w:val="20"/>
              </w:rPr>
              <w:t>Totals</w:t>
            </w:r>
          </w:p>
        </w:tc>
        <w:tc>
          <w:tcPr>
            <w:tcW w:w="1260" w:type="dxa"/>
            <w:tcBorders>
              <w:bottom w:val="single" w:sz="4" w:space="0" w:color="auto"/>
            </w:tcBorders>
            <w:noWrap/>
            <w:vAlign w:val="center"/>
          </w:tcPr>
          <w:p w:rsidR="001A3F7A" w:rsidRPr="007E2E96" w:rsidP="001A3F7A" w14:paraId="253EC11E" w14:textId="1DF7B107">
            <w:pPr>
              <w:jc w:val="center"/>
              <w:rPr>
                <w:b/>
                <w:bCs/>
                <w:sz w:val="20"/>
                <w:szCs w:val="20"/>
              </w:rPr>
            </w:pPr>
            <w:r w:rsidRPr="007E2E96">
              <w:rPr>
                <w:b/>
                <w:bCs/>
                <w:sz w:val="20"/>
                <w:szCs w:val="20"/>
              </w:rPr>
              <w:t>45,519,921</w:t>
            </w:r>
          </w:p>
        </w:tc>
        <w:tc>
          <w:tcPr>
            <w:tcW w:w="1260" w:type="dxa"/>
            <w:tcBorders>
              <w:bottom w:val="single" w:sz="4" w:space="0" w:color="auto"/>
            </w:tcBorders>
            <w:noWrap/>
            <w:vAlign w:val="center"/>
          </w:tcPr>
          <w:p w:rsidR="001A3F7A" w:rsidRPr="007E2E96" w:rsidP="001A3F7A" w14:paraId="73835D02" w14:textId="424F24B2">
            <w:pPr>
              <w:jc w:val="center"/>
              <w:rPr>
                <w:b/>
                <w:bCs/>
                <w:sz w:val="20"/>
                <w:szCs w:val="20"/>
              </w:rPr>
            </w:pPr>
            <w:r w:rsidRPr="007E2E96">
              <w:rPr>
                <w:b/>
                <w:bCs/>
                <w:sz w:val="20"/>
                <w:szCs w:val="20"/>
              </w:rPr>
              <w:t>6,307,060</w:t>
            </w:r>
          </w:p>
        </w:tc>
        <w:tc>
          <w:tcPr>
            <w:tcW w:w="1440" w:type="dxa"/>
            <w:tcBorders>
              <w:bottom w:val="single" w:sz="4" w:space="0" w:color="auto"/>
            </w:tcBorders>
            <w:noWrap/>
            <w:vAlign w:val="center"/>
          </w:tcPr>
          <w:p w:rsidR="001A3F7A" w:rsidRPr="007E2E96" w:rsidP="001A3F7A" w14:paraId="11941003" w14:textId="1C8CD796">
            <w:pPr>
              <w:jc w:val="center"/>
              <w:rPr>
                <w:b/>
                <w:bCs/>
                <w:sz w:val="20"/>
                <w:szCs w:val="20"/>
              </w:rPr>
            </w:pPr>
            <w:r w:rsidRPr="007E2E96">
              <w:rPr>
                <w:b/>
                <w:bCs/>
                <w:sz w:val="20"/>
                <w:szCs w:val="20"/>
              </w:rPr>
              <w:t>204,</w:t>
            </w:r>
            <w:r w:rsidRPr="007E2E96" w:rsidR="006B057B">
              <w:rPr>
                <w:b/>
                <w:bCs/>
                <w:sz w:val="20"/>
                <w:szCs w:val="20"/>
              </w:rPr>
              <w:t>547</w:t>
            </w:r>
          </w:p>
        </w:tc>
        <w:tc>
          <w:tcPr>
            <w:tcW w:w="1165" w:type="dxa"/>
            <w:tcBorders>
              <w:bottom w:val="single" w:sz="4" w:space="0" w:color="auto"/>
            </w:tcBorders>
            <w:noWrap/>
            <w:vAlign w:val="center"/>
          </w:tcPr>
          <w:p w:rsidR="001A3F7A" w:rsidRPr="007E2E96" w:rsidP="001A3F7A" w14:paraId="78370759" w14:textId="6237460B">
            <w:pPr>
              <w:jc w:val="center"/>
              <w:rPr>
                <w:b/>
                <w:bCs/>
                <w:sz w:val="20"/>
                <w:szCs w:val="20"/>
              </w:rPr>
            </w:pPr>
            <w:r w:rsidRPr="007E2E96">
              <w:rPr>
                <w:b/>
                <w:bCs/>
                <w:sz w:val="20"/>
                <w:szCs w:val="20"/>
              </w:rPr>
              <w:t>2,045,</w:t>
            </w:r>
            <w:r w:rsidRPr="007E2E96" w:rsidR="006B057B">
              <w:rPr>
                <w:b/>
                <w:bCs/>
                <w:sz w:val="20"/>
                <w:szCs w:val="20"/>
              </w:rPr>
              <w:t>493</w:t>
            </w:r>
          </w:p>
        </w:tc>
      </w:tr>
    </w:tbl>
    <w:p w:rsidR="00EB0A2B" w:rsidP="008B04B2" w14:paraId="43B6CD87" w14:textId="77777777">
      <w:pPr>
        <w:spacing w:after="0" w:line="240" w:lineRule="auto"/>
        <w:textAlignment w:val="baseline"/>
        <w:rPr>
          <w:rFonts w:ascii="Calibri" w:eastAsia="Times New Roman" w:hAnsi="Calibri" w:cs="Calibri"/>
          <w:b/>
        </w:rPr>
      </w:pPr>
    </w:p>
    <w:p w:rsidR="00FF6D17" w:rsidP="008B04B2" w14:paraId="363F7400" w14:textId="77777777">
      <w:pPr>
        <w:spacing w:after="0" w:line="240" w:lineRule="auto"/>
        <w:textAlignment w:val="baseline"/>
        <w:rPr>
          <w:rFonts w:ascii="Calibri" w:eastAsia="Times New Roman" w:hAnsi="Calibri" w:cs="Calibri"/>
          <w:b/>
        </w:rPr>
      </w:pPr>
    </w:p>
    <w:p w:rsidR="008B04B2" w:rsidRPr="008B04B2" w:rsidP="008B04B2" w14:paraId="43D7E963" w14:textId="4BC095CB">
      <w:pPr>
        <w:spacing w:after="0" w:line="240" w:lineRule="auto"/>
        <w:textAlignment w:val="baseline"/>
        <w:rPr>
          <w:rFonts w:ascii="Calibri" w:eastAsia="Times New Roman" w:hAnsi="Calibri" w:cs="Calibri"/>
          <w:b/>
        </w:rPr>
      </w:pPr>
      <w:r>
        <w:rPr>
          <w:rFonts w:ascii="Calibri" w:eastAsia="Times New Roman" w:hAnsi="Calibri" w:cs="Calibri"/>
          <w:b/>
        </w:rPr>
        <w:t>Response Rate</w:t>
      </w:r>
    </w:p>
    <w:p w:rsidR="00C23C29" w:rsidP="0045722C" w14:paraId="166AA85D" w14:textId="2FDF87D6">
      <w:pPr>
        <w:spacing w:after="0" w:line="360" w:lineRule="auto"/>
        <w:textAlignment w:val="baseline"/>
        <w:rPr>
          <w:rFonts w:ascii="Calibri" w:eastAsia="Times New Roman" w:hAnsi="Calibri" w:cs="Calibri"/>
        </w:rPr>
      </w:pPr>
      <w:r>
        <w:rPr>
          <w:rFonts w:ascii="Calibri" w:eastAsia="Times New Roman" w:hAnsi="Calibri" w:cs="Calibri"/>
        </w:rPr>
        <w:t>For</w:t>
      </w:r>
      <w:r w:rsidR="00D45003">
        <w:rPr>
          <w:rFonts w:ascii="Calibri" w:eastAsia="Times New Roman" w:hAnsi="Calibri" w:cs="Calibri"/>
        </w:rPr>
        <w:t xml:space="preserve"> completed mail-back survey targets, there are two categories of parks: Normal Effort Units and Increased Effort Units. </w:t>
      </w:r>
      <w:r w:rsidR="002047B3">
        <w:rPr>
          <w:rFonts w:ascii="Calibri" w:eastAsia="Times New Roman" w:hAnsi="Calibri" w:cs="Calibri"/>
        </w:rPr>
        <w:t xml:space="preserve">For </w:t>
      </w:r>
      <w:r w:rsidR="00B82B2F">
        <w:rPr>
          <w:rFonts w:ascii="Calibri" w:eastAsia="Times New Roman" w:hAnsi="Calibri" w:cs="Calibri"/>
        </w:rPr>
        <w:t>27</w:t>
      </w:r>
      <w:r w:rsidR="002047B3">
        <w:rPr>
          <w:rFonts w:ascii="Calibri" w:eastAsia="Times New Roman" w:hAnsi="Calibri" w:cs="Calibri"/>
        </w:rPr>
        <w:t xml:space="preserve"> of </w:t>
      </w:r>
      <w:r w:rsidR="0040124B">
        <w:rPr>
          <w:rFonts w:ascii="Calibri" w:eastAsia="Times New Roman" w:hAnsi="Calibri" w:cs="Calibri"/>
        </w:rPr>
        <w:t xml:space="preserve">the </w:t>
      </w:r>
      <w:r w:rsidR="002047B3">
        <w:rPr>
          <w:rFonts w:ascii="Calibri" w:eastAsia="Times New Roman" w:hAnsi="Calibri" w:cs="Calibri"/>
        </w:rPr>
        <w:t>parks</w:t>
      </w:r>
      <w:r w:rsidR="00612573">
        <w:rPr>
          <w:rFonts w:ascii="Calibri" w:eastAsia="Times New Roman" w:hAnsi="Calibri" w:cs="Calibri"/>
        </w:rPr>
        <w:t>,</w:t>
      </w:r>
      <w:r w:rsidR="002047B3">
        <w:rPr>
          <w:rFonts w:ascii="Calibri" w:eastAsia="Times New Roman" w:hAnsi="Calibri" w:cs="Calibri"/>
        </w:rPr>
        <w:t xml:space="preserve"> </w:t>
      </w:r>
      <w:r w:rsidR="00366EBC">
        <w:rPr>
          <w:rFonts w:ascii="Calibri" w:eastAsia="Times New Roman" w:hAnsi="Calibri" w:cs="Calibri"/>
        </w:rPr>
        <w:t xml:space="preserve">the research team </w:t>
      </w:r>
      <w:r w:rsidR="003B7547">
        <w:rPr>
          <w:rFonts w:ascii="Calibri" w:eastAsia="Times New Roman" w:hAnsi="Calibri" w:cs="Calibri"/>
        </w:rPr>
        <w:t>anticipates receiving</w:t>
      </w:r>
      <w:r w:rsidR="008B04B2">
        <w:rPr>
          <w:rFonts w:ascii="Calibri" w:eastAsia="Times New Roman" w:hAnsi="Calibri" w:cs="Calibri"/>
        </w:rPr>
        <w:t xml:space="preserve"> approximately 40</w:t>
      </w:r>
      <w:r w:rsidR="00BB1352">
        <w:rPr>
          <w:rFonts w:ascii="Calibri" w:eastAsia="Times New Roman" w:hAnsi="Calibri" w:cs="Calibri"/>
        </w:rPr>
        <w:t>0</w:t>
      </w:r>
      <w:r w:rsidR="002047B3">
        <w:rPr>
          <w:rFonts w:ascii="Calibri" w:eastAsia="Times New Roman" w:hAnsi="Calibri" w:cs="Calibri"/>
        </w:rPr>
        <w:t xml:space="preserve"> returned </w:t>
      </w:r>
      <w:r w:rsidR="008B04B2">
        <w:rPr>
          <w:rFonts w:ascii="Calibri" w:eastAsia="Times New Roman" w:hAnsi="Calibri" w:cs="Calibri"/>
        </w:rPr>
        <w:t>mail</w:t>
      </w:r>
      <w:r w:rsidR="00BB7076">
        <w:rPr>
          <w:rFonts w:ascii="Calibri" w:eastAsia="Times New Roman" w:hAnsi="Calibri" w:cs="Calibri"/>
        </w:rPr>
        <w:t>-</w:t>
      </w:r>
      <w:r w:rsidR="008B04B2">
        <w:rPr>
          <w:rFonts w:ascii="Calibri" w:eastAsia="Times New Roman" w:hAnsi="Calibri" w:cs="Calibri"/>
        </w:rPr>
        <w:t>back</w:t>
      </w:r>
      <w:r w:rsidR="002047B3">
        <w:rPr>
          <w:rFonts w:ascii="Calibri" w:eastAsia="Times New Roman" w:hAnsi="Calibri" w:cs="Calibri"/>
        </w:rPr>
        <w:t xml:space="preserve"> surveys </w:t>
      </w:r>
      <w:r w:rsidR="003B7547">
        <w:rPr>
          <w:rFonts w:ascii="Calibri" w:eastAsia="Times New Roman" w:hAnsi="Calibri" w:cs="Calibri"/>
        </w:rPr>
        <w:t xml:space="preserve">from each park </w:t>
      </w:r>
      <w:r w:rsidR="008B04B2">
        <w:rPr>
          <w:rFonts w:ascii="Calibri" w:eastAsia="Times New Roman" w:hAnsi="Calibri" w:cs="Calibri"/>
        </w:rPr>
        <w:t xml:space="preserve">to meet sample size needs; these are considered </w:t>
      </w:r>
      <w:r w:rsidRPr="002047B3" w:rsidR="008B04B2">
        <w:rPr>
          <w:rFonts w:ascii="Calibri" w:eastAsia="Times New Roman" w:hAnsi="Calibri" w:cs="Calibri"/>
        </w:rPr>
        <w:t>Normal Effort Unit</w:t>
      </w:r>
      <w:r w:rsidR="008B04B2">
        <w:rPr>
          <w:rFonts w:ascii="Calibri" w:eastAsia="Times New Roman" w:hAnsi="Calibri" w:cs="Calibri"/>
        </w:rPr>
        <w:t>s</w:t>
      </w:r>
      <w:r w:rsidR="00B5624E">
        <w:rPr>
          <w:rFonts w:ascii="Calibri" w:eastAsia="Times New Roman" w:hAnsi="Calibri" w:cs="Calibri"/>
        </w:rPr>
        <w:t xml:space="preserve">. </w:t>
      </w:r>
      <w:r w:rsidR="00FC5E9B">
        <w:rPr>
          <w:rFonts w:ascii="Calibri" w:eastAsia="Times New Roman" w:hAnsi="Calibri" w:cs="Calibri"/>
        </w:rPr>
        <w:t>Normal Effort Units will yield approximately</w:t>
      </w:r>
      <w:r w:rsidR="00ED2B54">
        <w:rPr>
          <w:rFonts w:ascii="Calibri" w:eastAsia="Times New Roman" w:hAnsi="Calibri" w:cs="Calibri"/>
        </w:rPr>
        <w:t xml:space="preserve"> </w:t>
      </w:r>
      <w:r w:rsidR="008B04B2">
        <w:rPr>
          <w:rFonts w:ascii="Calibri" w:eastAsia="Times New Roman" w:hAnsi="Calibri" w:cs="Calibri"/>
        </w:rPr>
        <w:t>10,886 total mail</w:t>
      </w:r>
      <w:r w:rsidR="00B82C71">
        <w:rPr>
          <w:rFonts w:ascii="Calibri" w:eastAsia="Times New Roman" w:hAnsi="Calibri" w:cs="Calibri"/>
        </w:rPr>
        <w:t>-</w:t>
      </w:r>
      <w:r w:rsidR="008B04B2">
        <w:rPr>
          <w:rFonts w:ascii="Calibri" w:eastAsia="Times New Roman" w:hAnsi="Calibri" w:cs="Calibri"/>
        </w:rPr>
        <w:t>back surveys</w:t>
      </w:r>
      <w:r w:rsidR="00B56737">
        <w:rPr>
          <w:rFonts w:ascii="Calibri" w:eastAsia="Times New Roman" w:hAnsi="Calibri" w:cs="Calibri"/>
        </w:rPr>
        <w:t xml:space="preserve"> annually</w:t>
      </w:r>
      <w:r w:rsidR="008B04B2">
        <w:rPr>
          <w:rFonts w:ascii="Calibri" w:eastAsia="Times New Roman" w:hAnsi="Calibri" w:cs="Calibri"/>
        </w:rPr>
        <w:t>.</w:t>
      </w:r>
      <w:r w:rsidR="002047B3">
        <w:rPr>
          <w:rFonts w:ascii="Calibri" w:eastAsia="Times New Roman" w:hAnsi="Calibri" w:cs="Calibri"/>
        </w:rPr>
        <w:t xml:space="preserve"> </w:t>
      </w:r>
    </w:p>
    <w:p w:rsidR="00C23C29" w:rsidP="0045722C" w14:paraId="0B90F172" w14:textId="77777777">
      <w:pPr>
        <w:spacing w:after="0" w:line="360" w:lineRule="auto"/>
        <w:textAlignment w:val="baseline"/>
        <w:rPr>
          <w:rFonts w:ascii="Calibri" w:eastAsia="Times New Roman" w:hAnsi="Calibri" w:cs="Calibri"/>
        </w:rPr>
      </w:pPr>
    </w:p>
    <w:p w:rsidR="008D5D7C" w:rsidP="0045722C" w14:paraId="7B69ED91" w14:textId="031766AF">
      <w:pPr>
        <w:spacing w:after="0" w:line="360" w:lineRule="auto"/>
        <w:textAlignment w:val="baseline"/>
        <w:rPr>
          <w:rFonts w:ascii="Calibri" w:eastAsia="Times New Roman" w:hAnsi="Calibri" w:cs="Calibri"/>
        </w:rPr>
      </w:pPr>
      <w:r w:rsidRPr="4C38FD73">
        <w:rPr>
          <w:rFonts w:ascii="Calibri" w:eastAsia="Times New Roman" w:hAnsi="Calibri" w:cs="Calibri"/>
        </w:rPr>
        <w:t xml:space="preserve">For the remaining </w:t>
      </w:r>
      <w:r w:rsidR="00F157CA">
        <w:rPr>
          <w:rFonts w:ascii="Calibri" w:eastAsia="Times New Roman" w:hAnsi="Calibri" w:cs="Calibri"/>
        </w:rPr>
        <w:t>three</w:t>
      </w:r>
      <w:r w:rsidRPr="4C38FD73">
        <w:rPr>
          <w:rFonts w:ascii="Calibri" w:eastAsia="Times New Roman" w:hAnsi="Calibri" w:cs="Calibri"/>
        </w:rPr>
        <w:t xml:space="preserve"> parks</w:t>
      </w:r>
      <w:r w:rsidRPr="4C38FD73" w:rsidR="006D1C42">
        <w:rPr>
          <w:rFonts w:ascii="Calibri" w:eastAsia="Times New Roman" w:hAnsi="Calibri" w:cs="Calibri"/>
        </w:rPr>
        <w:t>,</w:t>
      </w:r>
      <w:r w:rsidRPr="4C38FD73">
        <w:rPr>
          <w:rFonts w:ascii="Calibri" w:eastAsia="Times New Roman" w:hAnsi="Calibri" w:cs="Calibri"/>
        </w:rPr>
        <w:t xml:space="preserve"> </w:t>
      </w:r>
      <w:r w:rsidRPr="4C38FD73" w:rsidR="00366EBC">
        <w:rPr>
          <w:rFonts w:ascii="Calibri" w:eastAsia="Times New Roman" w:hAnsi="Calibri" w:cs="Calibri"/>
        </w:rPr>
        <w:t>we will target</w:t>
      </w:r>
      <w:r w:rsidRPr="4C38FD73" w:rsidR="008B04B2">
        <w:rPr>
          <w:rFonts w:ascii="Calibri" w:eastAsia="Times New Roman" w:hAnsi="Calibri" w:cs="Calibri"/>
        </w:rPr>
        <w:t xml:space="preserve"> approximately </w:t>
      </w:r>
      <w:r w:rsidRPr="4C38FD73">
        <w:rPr>
          <w:rFonts w:ascii="Calibri" w:eastAsia="Times New Roman" w:hAnsi="Calibri" w:cs="Calibri"/>
        </w:rPr>
        <w:t xml:space="preserve">800 returned </w:t>
      </w:r>
      <w:r w:rsidRPr="4C38FD73" w:rsidR="008B04B2">
        <w:rPr>
          <w:rFonts w:ascii="Calibri" w:eastAsia="Times New Roman" w:hAnsi="Calibri" w:cs="Calibri"/>
        </w:rPr>
        <w:t>mail</w:t>
      </w:r>
      <w:r w:rsidR="00BB7076">
        <w:rPr>
          <w:rFonts w:ascii="Calibri" w:eastAsia="Times New Roman" w:hAnsi="Calibri" w:cs="Calibri"/>
        </w:rPr>
        <w:t>-</w:t>
      </w:r>
      <w:r w:rsidRPr="4C38FD73" w:rsidR="008B04B2">
        <w:rPr>
          <w:rFonts w:ascii="Calibri" w:eastAsia="Times New Roman" w:hAnsi="Calibri" w:cs="Calibri"/>
        </w:rPr>
        <w:t>back</w:t>
      </w:r>
      <w:r w:rsidRPr="4C38FD73">
        <w:rPr>
          <w:rFonts w:ascii="Calibri" w:eastAsia="Times New Roman" w:hAnsi="Calibri" w:cs="Calibri"/>
        </w:rPr>
        <w:t xml:space="preserve"> surveys</w:t>
      </w:r>
      <w:r w:rsidRPr="4C38FD73" w:rsidR="008B04B2">
        <w:rPr>
          <w:rFonts w:ascii="Calibri" w:eastAsia="Times New Roman" w:hAnsi="Calibri" w:cs="Calibri"/>
        </w:rPr>
        <w:t xml:space="preserve"> per park</w:t>
      </w:r>
      <w:r w:rsidR="00285C83">
        <w:rPr>
          <w:rFonts w:ascii="Calibri" w:eastAsia="Times New Roman" w:hAnsi="Calibri" w:cs="Calibri"/>
        </w:rPr>
        <w:t xml:space="preserve"> </w:t>
      </w:r>
      <w:r w:rsidR="00B56737">
        <w:rPr>
          <w:rFonts w:ascii="Calibri" w:eastAsia="Times New Roman" w:hAnsi="Calibri" w:cs="Calibri"/>
        </w:rPr>
        <w:t xml:space="preserve">with </w:t>
      </w:r>
      <w:r w:rsidR="00285C83">
        <w:rPr>
          <w:rFonts w:ascii="Calibri" w:eastAsia="Times New Roman" w:hAnsi="Calibri" w:cs="Calibri"/>
        </w:rPr>
        <w:t>a</w:t>
      </w:r>
      <w:r w:rsidR="00827A6F">
        <w:rPr>
          <w:rFonts w:ascii="Calibri" w:eastAsia="Times New Roman" w:hAnsi="Calibri" w:cs="Calibri"/>
        </w:rPr>
        <w:t>n estimate</w:t>
      </w:r>
      <w:r w:rsidR="00B56737">
        <w:rPr>
          <w:rFonts w:ascii="Calibri" w:eastAsia="Times New Roman" w:hAnsi="Calibri" w:cs="Calibri"/>
        </w:rPr>
        <w:t>d</w:t>
      </w:r>
      <w:r w:rsidR="00827A6F">
        <w:rPr>
          <w:rFonts w:ascii="Calibri" w:eastAsia="Times New Roman" w:hAnsi="Calibri" w:cs="Calibri"/>
        </w:rPr>
        <w:t xml:space="preserve"> total of 2,411 mail-back surveys</w:t>
      </w:r>
      <w:r w:rsidR="00B56737">
        <w:rPr>
          <w:rFonts w:ascii="Calibri" w:eastAsia="Times New Roman" w:hAnsi="Calibri" w:cs="Calibri"/>
        </w:rPr>
        <w:t xml:space="preserve"> annually.</w:t>
      </w:r>
      <w:r w:rsidRPr="4C38FD73" w:rsidR="008B04B2">
        <w:rPr>
          <w:rFonts w:ascii="Calibri" w:eastAsia="Times New Roman" w:hAnsi="Calibri" w:cs="Calibri"/>
        </w:rPr>
        <w:t xml:space="preserve"> </w:t>
      </w:r>
      <w:r w:rsidR="00B56737">
        <w:rPr>
          <w:rFonts w:ascii="Calibri" w:eastAsia="Times New Roman" w:hAnsi="Calibri" w:cs="Calibri"/>
        </w:rPr>
        <w:t>These three parks</w:t>
      </w:r>
      <w:r w:rsidRPr="4C38FD73" w:rsidR="008B04B2">
        <w:rPr>
          <w:rFonts w:ascii="Calibri" w:eastAsia="Times New Roman" w:hAnsi="Calibri" w:cs="Calibri"/>
        </w:rPr>
        <w:t xml:space="preserve"> are considered Increased Effort Units</w:t>
      </w:r>
      <w:r w:rsidRPr="4C38FD73">
        <w:rPr>
          <w:rFonts w:ascii="Calibri" w:eastAsia="Times New Roman" w:hAnsi="Calibri" w:cs="Calibri"/>
        </w:rPr>
        <w:t xml:space="preserve">. </w:t>
      </w:r>
      <w:r w:rsidRPr="4C38FD73" w:rsidR="008B04B2">
        <w:rPr>
          <w:rFonts w:ascii="Calibri" w:eastAsia="Times New Roman" w:hAnsi="Calibri" w:cs="Calibri"/>
        </w:rPr>
        <w:t xml:space="preserve"> </w:t>
      </w:r>
      <w:r w:rsidR="00BF7A6E">
        <w:rPr>
          <w:rFonts w:ascii="Calibri" w:eastAsia="Times New Roman" w:hAnsi="Calibri" w:cs="Calibri"/>
        </w:rPr>
        <w:t xml:space="preserve">The larger return goal is set to increase the precision and power to best estimate visitor segments within parks. </w:t>
      </w:r>
      <w:r w:rsidRPr="0016497E" w:rsidR="00BF7A6E">
        <w:rPr>
          <w:rFonts w:ascii="Calibri" w:eastAsia="Times New Roman" w:hAnsi="Calibri" w:cs="Calibri"/>
        </w:rPr>
        <w:t xml:space="preserve">The </w:t>
      </w:r>
      <w:r w:rsidR="00BF7A6E">
        <w:rPr>
          <w:rFonts w:ascii="Calibri" w:eastAsia="Times New Roman" w:hAnsi="Calibri" w:cs="Calibri"/>
        </w:rPr>
        <w:t>I</w:t>
      </w:r>
      <w:r w:rsidRPr="0016497E" w:rsidR="00BF7A6E">
        <w:rPr>
          <w:rFonts w:ascii="Calibri" w:eastAsia="Times New Roman" w:hAnsi="Calibri" w:cs="Calibri"/>
        </w:rPr>
        <w:t xml:space="preserve">ncreased </w:t>
      </w:r>
      <w:r w:rsidR="00BF7A6E">
        <w:rPr>
          <w:rFonts w:ascii="Calibri" w:eastAsia="Times New Roman" w:hAnsi="Calibri" w:cs="Calibri"/>
        </w:rPr>
        <w:t>E</w:t>
      </w:r>
      <w:r w:rsidRPr="0016497E" w:rsidR="00BF7A6E">
        <w:rPr>
          <w:rFonts w:ascii="Calibri" w:eastAsia="Times New Roman" w:hAnsi="Calibri" w:cs="Calibri"/>
        </w:rPr>
        <w:t xml:space="preserve">ffort </w:t>
      </w:r>
      <w:r w:rsidR="00BF7A6E">
        <w:rPr>
          <w:rFonts w:ascii="Calibri" w:eastAsia="Times New Roman" w:hAnsi="Calibri" w:cs="Calibri"/>
        </w:rPr>
        <w:t>Units</w:t>
      </w:r>
      <w:r w:rsidRPr="0016497E" w:rsidR="00BF7A6E">
        <w:rPr>
          <w:rFonts w:ascii="Calibri" w:eastAsia="Times New Roman" w:hAnsi="Calibri" w:cs="Calibri"/>
        </w:rPr>
        <w:t xml:space="preserve"> will be identified based on the historical understandings of the complexity of use and likely need for </w:t>
      </w:r>
      <w:r w:rsidR="00BF7A6E">
        <w:rPr>
          <w:rFonts w:ascii="Calibri" w:eastAsia="Times New Roman" w:hAnsi="Calibri" w:cs="Calibri"/>
        </w:rPr>
        <w:t xml:space="preserve">multiple </w:t>
      </w:r>
      <w:r w:rsidRPr="0016497E" w:rsidR="00BF7A6E">
        <w:rPr>
          <w:rFonts w:ascii="Calibri" w:eastAsia="Times New Roman" w:hAnsi="Calibri" w:cs="Calibri"/>
        </w:rPr>
        <w:t>visitor type segmentation</w:t>
      </w:r>
      <w:r w:rsidR="00BF7A6E">
        <w:rPr>
          <w:rFonts w:ascii="Calibri" w:eastAsia="Times New Roman" w:hAnsi="Calibri" w:cs="Calibri"/>
        </w:rPr>
        <w:t>s</w:t>
      </w:r>
      <w:r w:rsidRPr="0016497E" w:rsidR="00BF7A6E">
        <w:rPr>
          <w:rFonts w:ascii="Calibri" w:eastAsia="Times New Roman" w:hAnsi="Calibri" w:cs="Calibri"/>
        </w:rPr>
        <w:t>.</w:t>
      </w:r>
      <w:r w:rsidR="00BF7A6E">
        <w:rPr>
          <w:rFonts w:ascii="Calibri" w:eastAsia="Times New Roman" w:hAnsi="Calibri" w:cs="Calibri"/>
        </w:rPr>
        <w:t xml:space="preserve"> For example, potential units may include those like Natchez Trace Parkway (an Increased Effort Unit in the Pilot Phase II), in which the parkway covers an expansive 444-mile scenic drive across multiple states, or Golden Gate National Recreation Area, which cover numerous sub-units within the San Francisco Bay area. </w:t>
      </w:r>
    </w:p>
    <w:p w:rsidR="00827A6F" w:rsidP="0045722C" w14:paraId="169608D5" w14:textId="77777777">
      <w:pPr>
        <w:spacing w:after="0" w:line="360" w:lineRule="auto"/>
        <w:textAlignment w:val="baseline"/>
        <w:rPr>
          <w:rFonts w:ascii="Calibri" w:eastAsia="Times New Roman" w:hAnsi="Calibri" w:cs="Calibri"/>
        </w:rPr>
      </w:pPr>
    </w:p>
    <w:p w:rsidR="008B04B2" w:rsidP="0045722C" w14:paraId="0319F482" w14:textId="210407E5">
      <w:pPr>
        <w:spacing w:after="0" w:line="360" w:lineRule="auto"/>
        <w:textAlignment w:val="baseline"/>
        <w:rPr>
          <w:rFonts w:ascii="Calibri" w:eastAsia="Times New Roman" w:hAnsi="Calibri" w:cs="Calibri"/>
        </w:rPr>
      </w:pPr>
      <w:r w:rsidRPr="4C38FD73">
        <w:rPr>
          <w:rFonts w:ascii="Calibri" w:eastAsia="Times New Roman" w:hAnsi="Calibri" w:cs="Calibri"/>
        </w:rPr>
        <w:t>Combined, the Normal and Increased Effort Units are expected to yield 13,29</w:t>
      </w:r>
      <w:r w:rsidR="00A73EA6">
        <w:rPr>
          <w:rFonts w:ascii="Calibri" w:eastAsia="Times New Roman" w:hAnsi="Calibri" w:cs="Calibri"/>
        </w:rPr>
        <w:t>8</w:t>
      </w:r>
      <w:r w:rsidRPr="4C38FD73">
        <w:rPr>
          <w:rFonts w:ascii="Calibri" w:eastAsia="Times New Roman" w:hAnsi="Calibri" w:cs="Calibri"/>
        </w:rPr>
        <w:t xml:space="preserve"> mail</w:t>
      </w:r>
      <w:r w:rsidR="00BB7076">
        <w:rPr>
          <w:rFonts w:ascii="Calibri" w:eastAsia="Times New Roman" w:hAnsi="Calibri" w:cs="Calibri"/>
        </w:rPr>
        <w:t>-</w:t>
      </w:r>
      <w:r w:rsidRPr="4C38FD73">
        <w:rPr>
          <w:rFonts w:ascii="Calibri" w:eastAsia="Times New Roman" w:hAnsi="Calibri" w:cs="Calibri"/>
        </w:rPr>
        <w:t>back surveys</w:t>
      </w:r>
      <w:r w:rsidRPr="4C38FD73" w:rsidR="005C1E8F">
        <w:rPr>
          <w:rFonts w:ascii="Calibri" w:eastAsia="Times New Roman" w:hAnsi="Calibri" w:cs="Calibri"/>
        </w:rPr>
        <w:t xml:space="preserve"> annually</w:t>
      </w:r>
      <w:r w:rsidRPr="4C38FD73">
        <w:rPr>
          <w:rFonts w:ascii="Calibri" w:eastAsia="Times New Roman" w:hAnsi="Calibri" w:cs="Calibri"/>
        </w:rPr>
        <w:t>.</w:t>
      </w:r>
      <w:r w:rsidRPr="4C38FD73" w:rsidR="001750CE">
        <w:rPr>
          <w:rFonts w:ascii="Calibri" w:eastAsia="Times New Roman" w:hAnsi="Calibri" w:cs="Calibri"/>
        </w:rPr>
        <w:t xml:space="preserve"> This breakdown of </w:t>
      </w:r>
      <w:r w:rsidRPr="4C38FD73" w:rsidR="00D87E38">
        <w:rPr>
          <w:rFonts w:ascii="Calibri" w:eastAsia="Times New Roman" w:hAnsi="Calibri" w:cs="Calibri"/>
        </w:rPr>
        <w:t xml:space="preserve">27 </w:t>
      </w:r>
      <w:r w:rsidRPr="4C38FD73" w:rsidR="001750CE">
        <w:rPr>
          <w:rFonts w:ascii="Calibri" w:eastAsia="Times New Roman" w:hAnsi="Calibri" w:cs="Calibri"/>
        </w:rPr>
        <w:t xml:space="preserve">Normal Effort Units and </w:t>
      </w:r>
      <w:r w:rsidRPr="4C38FD73" w:rsidR="00D87E38">
        <w:rPr>
          <w:rFonts w:ascii="Calibri" w:eastAsia="Times New Roman" w:hAnsi="Calibri" w:cs="Calibri"/>
        </w:rPr>
        <w:t xml:space="preserve">3 Increased Effort Units will remain the </w:t>
      </w:r>
      <w:r w:rsidRPr="4C38FD73" w:rsidR="00445FA6">
        <w:rPr>
          <w:rFonts w:ascii="Calibri" w:eastAsia="Times New Roman" w:hAnsi="Calibri" w:cs="Calibri"/>
        </w:rPr>
        <w:t>consistent</w:t>
      </w:r>
      <w:r w:rsidRPr="4C38FD73" w:rsidR="00D87E38">
        <w:rPr>
          <w:rFonts w:ascii="Calibri" w:eastAsia="Times New Roman" w:hAnsi="Calibri" w:cs="Calibri"/>
        </w:rPr>
        <w:t xml:space="preserve"> from year-to-year.</w:t>
      </w:r>
      <w:r w:rsidR="00B5624E">
        <w:rPr>
          <w:rFonts w:ascii="Calibri" w:eastAsia="Times New Roman" w:hAnsi="Calibri" w:cs="Calibri"/>
        </w:rPr>
        <w:t xml:space="preserve"> </w:t>
      </w:r>
    </w:p>
    <w:p w:rsidR="00B46473" w:rsidP="0045722C" w14:paraId="18157788" w14:textId="77777777">
      <w:pPr>
        <w:spacing w:after="0" w:line="360" w:lineRule="auto"/>
        <w:textAlignment w:val="baseline"/>
        <w:rPr>
          <w:rFonts w:ascii="Calibri" w:eastAsia="Times New Roman" w:hAnsi="Calibri" w:cs="Calibri"/>
        </w:rPr>
      </w:pPr>
    </w:p>
    <w:p w:rsidR="00D95CDD" w:rsidP="0045722C" w14:paraId="5E5C6232" w14:textId="5D41E4BB">
      <w:pPr>
        <w:spacing w:after="0" w:line="360" w:lineRule="auto"/>
        <w:textAlignment w:val="baseline"/>
        <w:rPr>
          <w:rFonts w:ascii="Calibri" w:eastAsia="Times New Roman" w:hAnsi="Calibri" w:cs="Calibri"/>
        </w:rPr>
      </w:pPr>
      <w:r>
        <w:rPr>
          <w:rFonts w:ascii="Calibri" w:eastAsia="Times New Roman" w:hAnsi="Calibri" w:cs="Calibri"/>
        </w:rPr>
        <w:t xml:space="preserve">Based on the </w:t>
      </w:r>
      <w:r w:rsidR="003E7A11">
        <w:rPr>
          <w:rFonts w:ascii="Calibri" w:eastAsia="Times New Roman" w:hAnsi="Calibri" w:cs="Calibri"/>
        </w:rPr>
        <w:t>Pilot Phase II</w:t>
      </w:r>
      <w:r w:rsidR="00D52223">
        <w:rPr>
          <w:rFonts w:ascii="Calibri" w:eastAsia="Times New Roman" w:hAnsi="Calibri" w:cs="Calibri"/>
        </w:rPr>
        <w:t xml:space="preserve"> (</w:t>
      </w:r>
      <w:r w:rsidRPr="00B46473" w:rsidR="009B0D1C">
        <w:rPr>
          <w:rFonts w:ascii="Calibri" w:eastAsia="Times New Roman" w:hAnsi="Calibri" w:cs="Calibri"/>
          <w:i/>
          <w:iCs/>
        </w:rPr>
        <w:t>Socioeconomic Pilot Survey</w:t>
      </w:r>
      <w:r w:rsidR="00A832E2">
        <w:rPr>
          <w:rFonts w:ascii="Calibri" w:eastAsia="Times New Roman" w:hAnsi="Calibri" w:cs="Calibri"/>
          <w:i/>
          <w:iCs/>
        </w:rPr>
        <w:t>,</w:t>
      </w:r>
      <w:r w:rsidRPr="00B46473" w:rsidR="009B0D1C">
        <w:rPr>
          <w:rFonts w:ascii="Calibri" w:eastAsia="Times New Roman" w:hAnsi="Calibri" w:cs="Calibri"/>
          <w:i/>
          <w:iCs/>
        </w:rPr>
        <w:t xml:space="preserve"> Phase II</w:t>
      </w:r>
      <w:r w:rsidR="009B0D1C">
        <w:rPr>
          <w:rFonts w:ascii="Calibri" w:eastAsia="Times New Roman" w:hAnsi="Calibri" w:cs="Calibri"/>
        </w:rPr>
        <w:t xml:space="preserve">; </w:t>
      </w:r>
      <w:r w:rsidR="00D52223">
        <w:rPr>
          <w:rFonts w:ascii="Calibri" w:eastAsia="Times New Roman" w:hAnsi="Calibri" w:cs="Calibri"/>
        </w:rPr>
        <w:t>OMB</w:t>
      </w:r>
      <w:r w:rsidR="00733749">
        <w:rPr>
          <w:rFonts w:ascii="Calibri" w:eastAsia="Times New Roman" w:hAnsi="Calibri" w:cs="Calibri"/>
        </w:rPr>
        <w:t xml:space="preserve"> Control</w:t>
      </w:r>
      <w:r w:rsidR="00D52223">
        <w:rPr>
          <w:rFonts w:ascii="Calibri" w:eastAsia="Times New Roman" w:hAnsi="Calibri" w:cs="Calibri"/>
        </w:rPr>
        <w:t xml:space="preserve"> #1024-0224; ex. </w:t>
      </w:r>
      <w:r w:rsidR="00733749">
        <w:rPr>
          <w:rFonts w:ascii="Calibri" w:eastAsia="Times New Roman" w:hAnsi="Calibri" w:cs="Calibri"/>
        </w:rPr>
        <w:t>5/31/2023)</w:t>
      </w:r>
      <w:r w:rsidR="003E7A11">
        <w:rPr>
          <w:rFonts w:ascii="Calibri" w:eastAsia="Times New Roman" w:hAnsi="Calibri" w:cs="Calibri"/>
        </w:rPr>
        <w:t xml:space="preserve"> result</w:t>
      </w:r>
      <w:r w:rsidR="00AA491C">
        <w:rPr>
          <w:rFonts w:ascii="Calibri" w:eastAsia="Times New Roman" w:hAnsi="Calibri" w:cs="Calibri"/>
        </w:rPr>
        <w:t>s</w:t>
      </w:r>
      <w:r w:rsidR="003E7A11">
        <w:rPr>
          <w:rFonts w:ascii="Calibri" w:eastAsia="Times New Roman" w:hAnsi="Calibri" w:cs="Calibri"/>
        </w:rPr>
        <w:t xml:space="preserve"> using the same methods, an 80% response rate is e</w:t>
      </w:r>
      <w:r w:rsidR="009C4326">
        <w:rPr>
          <w:rFonts w:ascii="Calibri" w:eastAsia="Times New Roman" w:hAnsi="Calibri" w:cs="Calibri"/>
        </w:rPr>
        <w:t xml:space="preserve">xpected for the Intercept Survey. Combined, the Normal and Increased Effort Units will yield 46,170 visitor contacts and 36,936 completed intercept surveys. </w:t>
      </w:r>
      <w:r w:rsidR="008B04B2">
        <w:rPr>
          <w:rFonts w:ascii="Calibri" w:eastAsia="Times New Roman" w:hAnsi="Calibri" w:cs="Calibri"/>
        </w:rPr>
        <w:t xml:space="preserve">To achieve the goal of 400 </w:t>
      </w:r>
      <w:r w:rsidR="00743B41">
        <w:rPr>
          <w:rFonts w:ascii="Calibri" w:eastAsia="Times New Roman" w:hAnsi="Calibri" w:cs="Calibri"/>
        </w:rPr>
        <w:t xml:space="preserve">mail-back </w:t>
      </w:r>
      <w:r w:rsidR="008B04B2">
        <w:rPr>
          <w:rFonts w:ascii="Calibri" w:eastAsia="Times New Roman" w:hAnsi="Calibri" w:cs="Calibri"/>
        </w:rPr>
        <w:t>surveys</w:t>
      </w:r>
      <w:r w:rsidR="00DB6C80">
        <w:rPr>
          <w:rFonts w:ascii="Calibri" w:eastAsia="Times New Roman" w:hAnsi="Calibri" w:cs="Calibri"/>
        </w:rPr>
        <w:t xml:space="preserve"> per Normal Effort Unit</w:t>
      </w:r>
      <w:r w:rsidR="008B04B2">
        <w:rPr>
          <w:rFonts w:ascii="Calibri" w:eastAsia="Times New Roman" w:hAnsi="Calibri" w:cs="Calibri"/>
        </w:rPr>
        <w:t>,</w:t>
      </w:r>
      <w:r w:rsidR="002047B3">
        <w:rPr>
          <w:rFonts w:ascii="Calibri" w:eastAsia="Times New Roman" w:hAnsi="Calibri" w:cs="Calibri"/>
        </w:rPr>
        <w:t xml:space="preserve"> </w:t>
      </w:r>
      <w:r w:rsidR="00366EBC">
        <w:rPr>
          <w:rFonts w:ascii="Calibri" w:eastAsia="Times New Roman" w:hAnsi="Calibri" w:cs="Calibri"/>
        </w:rPr>
        <w:t>1,400 visitor contacts will</w:t>
      </w:r>
      <w:r w:rsidR="00DB6C80">
        <w:rPr>
          <w:rFonts w:ascii="Calibri" w:eastAsia="Times New Roman" w:hAnsi="Calibri" w:cs="Calibri"/>
        </w:rPr>
        <w:t xml:space="preserve"> be made</w:t>
      </w:r>
      <w:r w:rsidR="003D4779">
        <w:rPr>
          <w:rFonts w:ascii="Calibri" w:eastAsia="Times New Roman" w:hAnsi="Calibri" w:cs="Calibri"/>
        </w:rPr>
        <w:t xml:space="preserve"> </w:t>
      </w:r>
      <w:r w:rsidR="00743B41">
        <w:rPr>
          <w:rFonts w:ascii="Calibri" w:eastAsia="Times New Roman" w:hAnsi="Calibri" w:cs="Calibri"/>
        </w:rPr>
        <w:t xml:space="preserve">on-site, </w:t>
      </w:r>
      <w:r w:rsidR="003D4779">
        <w:rPr>
          <w:rFonts w:ascii="Calibri" w:eastAsia="Times New Roman" w:hAnsi="Calibri" w:cs="Calibri"/>
        </w:rPr>
        <w:t>per park</w:t>
      </w:r>
      <w:r w:rsidR="00366EBC">
        <w:rPr>
          <w:rFonts w:ascii="Calibri" w:eastAsia="Times New Roman" w:hAnsi="Calibri" w:cs="Calibri"/>
        </w:rPr>
        <w:t xml:space="preserve">. Of these contacts </w:t>
      </w:r>
      <w:r w:rsidRPr="002047B3" w:rsidR="002047B3">
        <w:rPr>
          <w:rFonts w:ascii="Calibri" w:eastAsia="Times New Roman" w:hAnsi="Calibri" w:cs="Calibri"/>
        </w:rPr>
        <w:t>1,</w:t>
      </w:r>
      <w:r w:rsidR="008B04B2">
        <w:rPr>
          <w:rFonts w:ascii="Calibri" w:eastAsia="Times New Roman" w:hAnsi="Calibri" w:cs="Calibri"/>
        </w:rPr>
        <w:t>120</w:t>
      </w:r>
      <w:r w:rsidRPr="002047B3" w:rsidR="002047B3">
        <w:rPr>
          <w:rFonts w:ascii="Calibri" w:eastAsia="Times New Roman" w:hAnsi="Calibri" w:cs="Calibri"/>
        </w:rPr>
        <w:t xml:space="preserve"> visitors </w:t>
      </w:r>
      <w:r w:rsidR="00612573">
        <w:rPr>
          <w:rFonts w:ascii="Calibri" w:eastAsia="Times New Roman" w:hAnsi="Calibri" w:cs="Calibri"/>
        </w:rPr>
        <w:t xml:space="preserve">are expected to </w:t>
      </w:r>
      <w:r w:rsidR="008B04B2">
        <w:rPr>
          <w:rFonts w:ascii="Calibri" w:eastAsia="Times New Roman" w:hAnsi="Calibri" w:cs="Calibri"/>
        </w:rPr>
        <w:t xml:space="preserve">participate in the intercept survey per park. </w:t>
      </w:r>
      <w:r w:rsidR="00AA491C">
        <w:rPr>
          <w:rFonts w:ascii="Calibri" w:eastAsia="Times New Roman" w:hAnsi="Calibri" w:cs="Calibri"/>
        </w:rPr>
        <w:t>T</w:t>
      </w:r>
      <w:r w:rsidR="008B04B2">
        <w:rPr>
          <w:rFonts w:ascii="Calibri" w:eastAsia="Times New Roman" w:hAnsi="Calibri" w:cs="Calibri"/>
        </w:rPr>
        <w:t>his yields a</w:t>
      </w:r>
      <w:r w:rsidR="00AF3E80">
        <w:rPr>
          <w:rFonts w:ascii="Calibri" w:eastAsia="Times New Roman" w:hAnsi="Calibri" w:cs="Calibri"/>
        </w:rPr>
        <w:t>n annual</w:t>
      </w:r>
      <w:r w:rsidRPr="002047B3" w:rsidR="002047B3">
        <w:rPr>
          <w:rFonts w:ascii="Calibri" w:eastAsia="Times New Roman" w:hAnsi="Calibri" w:cs="Calibri"/>
        </w:rPr>
        <w:t xml:space="preserve"> total of </w:t>
      </w:r>
      <w:r w:rsidR="008B04B2">
        <w:rPr>
          <w:rFonts w:ascii="Calibri" w:eastAsia="Times New Roman" w:hAnsi="Calibri" w:cs="Calibri"/>
        </w:rPr>
        <w:t>30,240</w:t>
      </w:r>
      <w:r w:rsidRPr="002047B3" w:rsidR="002047B3">
        <w:rPr>
          <w:rFonts w:ascii="Calibri" w:eastAsia="Times New Roman" w:hAnsi="Calibri" w:cs="Calibri"/>
        </w:rPr>
        <w:t xml:space="preserve"> </w:t>
      </w:r>
      <w:r w:rsidR="008B04B2">
        <w:rPr>
          <w:rFonts w:ascii="Calibri" w:eastAsia="Times New Roman" w:hAnsi="Calibri" w:cs="Calibri"/>
        </w:rPr>
        <w:t>completed</w:t>
      </w:r>
      <w:r w:rsidRPr="002047B3" w:rsidR="002047B3">
        <w:rPr>
          <w:rFonts w:ascii="Calibri" w:eastAsia="Times New Roman" w:hAnsi="Calibri" w:cs="Calibri"/>
        </w:rPr>
        <w:t xml:space="preserve"> </w:t>
      </w:r>
      <w:r w:rsidR="008B04B2">
        <w:rPr>
          <w:rFonts w:ascii="Calibri" w:eastAsia="Times New Roman" w:hAnsi="Calibri" w:cs="Calibri"/>
        </w:rPr>
        <w:t xml:space="preserve">intercepts, requiring 37,800 </w:t>
      </w:r>
      <w:r w:rsidR="00612573">
        <w:rPr>
          <w:rFonts w:ascii="Calibri" w:eastAsia="Times New Roman" w:hAnsi="Calibri" w:cs="Calibri"/>
        </w:rPr>
        <w:t xml:space="preserve">total </w:t>
      </w:r>
      <w:r w:rsidR="008B04B2">
        <w:rPr>
          <w:rFonts w:ascii="Calibri" w:eastAsia="Times New Roman" w:hAnsi="Calibri" w:cs="Calibri"/>
        </w:rPr>
        <w:t>contacts</w:t>
      </w:r>
      <w:r w:rsidR="0063784A">
        <w:rPr>
          <w:rFonts w:ascii="Calibri" w:eastAsia="Times New Roman" w:hAnsi="Calibri" w:cs="Calibri"/>
        </w:rPr>
        <w:t xml:space="preserve"> for Normal Effort Units</w:t>
      </w:r>
      <w:r w:rsidR="008B04B2">
        <w:rPr>
          <w:rFonts w:ascii="Calibri" w:eastAsia="Times New Roman" w:hAnsi="Calibri" w:cs="Calibri"/>
        </w:rPr>
        <w:t>.</w:t>
      </w:r>
      <w:r w:rsidRPr="002047B3" w:rsidR="002047B3">
        <w:rPr>
          <w:rFonts w:ascii="Calibri" w:eastAsia="Times New Roman" w:hAnsi="Calibri" w:cs="Calibri"/>
        </w:rPr>
        <w:t> </w:t>
      </w:r>
      <w:r w:rsidR="00307BEA">
        <w:rPr>
          <w:rFonts w:ascii="Calibri" w:eastAsia="Times New Roman" w:hAnsi="Calibri" w:cs="Calibri"/>
        </w:rPr>
        <w:t xml:space="preserve">For the </w:t>
      </w:r>
      <w:r w:rsidR="006E5991">
        <w:rPr>
          <w:rFonts w:ascii="Calibri" w:eastAsia="Times New Roman" w:hAnsi="Calibri" w:cs="Calibri"/>
        </w:rPr>
        <w:t>Increased Effort Units</w:t>
      </w:r>
      <w:r w:rsidR="00307BEA">
        <w:rPr>
          <w:rFonts w:ascii="Calibri" w:eastAsia="Times New Roman" w:hAnsi="Calibri" w:cs="Calibri"/>
        </w:rPr>
        <w:t xml:space="preserve"> </w:t>
      </w:r>
      <w:r w:rsidR="006E5991">
        <w:rPr>
          <w:rFonts w:ascii="Calibri" w:eastAsia="Times New Roman" w:hAnsi="Calibri" w:cs="Calibri"/>
        </w:rPr>
        <w:t>t</w:t>
      </w:r>
      <w:r w:rsidR="008B04B2">
        <w:rPr>
          <w:rFonts w:ascii="Calibri" w:eastAsia="Times New Roman" w:hAnsi="Calibri" w:cs="Calibri"/>
        </w:rPr>
        <w:t xml:space="preserve">o achieve the goal </w:t>
      </w:r>
      <w:r w:rsidR="008B04B2">
        <w:rPr>
          <w:rFonts w:ascii="Calibri" w:eastAsia="Times New Roman" w:hAnsi="Calibri" w:cs="Calibri"/>
        </w:rPr>
        <w:t xml:space="preserve">of 800 returned </w:t>
      </w:r>
      <w:r w:rsidR="00174F5A">
        <w:rPr>
          <w:rFonts w:ascii="Calibri" w:eastAsia="Times New Roman" w:hAnsi="Calibri" w:cs="Calibri"/>
        </w:rPr>
        <w:t xml:space="preserve">mail-back </w:t>
      </w:r>
      <w:r w:rsidR="008B04B2">
        <w:rPr>
          <w:rFonts w:ascii="Calibri" w:eastAsia="Times New Roman" w:hAnsi="Calibri" w:cs="Calibri"/>
        </w:rPr>
        <w:t>surveys</w:t>
      </w:r>
      <w:r w:rsidR="0063784A">
        <w:rPr>
          <w:rFonts w:ascii="Calibri" w:eastAsia="Times New Roman" w:hAnsi="Calibri" w:cs="Calibri"/>
        </w:rPr>
        <w:t xml:space="preserve"> per </w:t>
      </w:r>
      <w:r w:rsidR="006E5991">
        <w:rPr>
          <w:rFonts w:ascii="Calibri" w:eastAsia="Times New Roman" w:hAnsi="Calibri" w:cs="Calibri"/>
        </w:rPr>
        <w:t>unit</w:t>
      </w:r>
      <w:r w:rsidR="008B04B2">
        <w:rPr>
          <w:rFonts w:ascii="Calibri" w:eastAsia="Times New Roman" w:hAnsi="Calibri" w:cs="Calibri"/>
        </w:rPr>
        <w:t xml:space="preserve">, </w:t>
      </w:r>
      <w:r w:rsidR="00366EBC">
        <w:rPr>
          <w:rFonts w:ascii="Calibri" w:eastAsia="Times New Roman" w:hAnsi="Calibri" w:cs="Calibri"/>
        </w:rPr>
        <w:t>2,790 visitor contacts will be made</w:t>
      </w:r>
      <w:r w:rsidR="00743B41">
        <w:rPr>
          <w:rFonts w:ascii="Calibri" w:eastAsia="Times New Roman" w:hAnsi="Calibri" w:cs="Calibri"/>
        </w:rPr>
        <w:t xml:space="preserve"> on-site per park</w:t>
      </w:r>
      <w:r w:rsidR="00366EBC">
        <w:rPr>
          <w:rFonts w:ascii="Calibri" w:eastAsia="Times New Roman" w:hAnsi="Calibri" w:cs="Calibri"/>
        </w:rPr>
        <w:t xml:space="preserve">. </w:t>
      </w:r>
      <w:r w:rsidR="0085064E">
        <w:rPr>
          <w:rFonts w:ascii="Calibri" w:eastAsia="Times New Roman" w:hAnsi="Calibri" w:cs="Calibri"/>
        </w:rPr>
        <w:t>O</w:t>
      </w:r>
      <w:r w:rsidR="00366EBC">
        <w:rPr>
          <w:rFonts w:ascii="Calibri" w:eastAsia="Times New Roman" w:hAnsi="Calibri" w:cs="Calibri"/>
        </w:rPr>
        <w:t>f these contacts</w:t>
      </w:r>
      <w:r w:rsidR="00F33047">
        <w:rPr>
          <w:rFonts w:ascii="Calibri" w:eastAsia="Times New Roman" w:hAnsi="Calibri" w:cs="Calibri"/>
        </w:rPr>
        <w:t>,</w:t>
      </w:r>
      <w:r w:rsidR="00366EBC">
        <w:rPr>
          <w:rFonts w:ascii="Calibri" w:eastAsia="Times New Roman" w:hAnsi="Calibri" w:cs="Calibri"/>
        </w:rPr>
        <w:t xml:space="preserve"> </w:t>
      </w:r>
      <w:r w:rsidR="008B04B2">
        <w:rPr>
          <w:rFonts w:ascii="Calibri" w:eastAsia="Times New Roman" w:hAnsi="Calibri" w:cs="Calibri"/>
        </w:rPr>
        <w:t>2</w:t>
      </w:r>
      <w:r w:rsidRPr="002047B3" w:rsidR="008B04B2">
        <w:rPr>
          <w:rFonts w:ascii="Calibri" w:eastAsia="Times New Roman" w:hAnsi="Calibri" w:cs="Calibri"/>
        </w:rPr>
        <w:t>,</w:t>
      </w:r>
      <w:r w:rsidR="008B04B2">
        <w:rPr>
          <w:rFonts w:ascii="Calibri" w:eastAsia="Times New Roman" w:hAnsi="Calibri" w:cs="Calibri"/>
        </w:rPr>
        <w:t>232</w:t>
      </w:r>
      <w:r w:rsidRPr="002047B3" w:rsidR="008B04B2">
        <w:rPr>
          <w:rFonts w:ascii="Calibri" w:eastAsia="Times New Roman" w:hAnsi="Calibri" w:cs="Calibri"/>
        </w:rPr>
        <w:t xml:space="preserve"> visitors </w:t>
      </w:r>
      <w:r w:rsidR="00366EBC">
        <w:rPr>
          <w:rFonts w:ascii="Calibri" w:eastAsia="Times New Roman" w:hAnsi="Calibri" w:cs="Calibri"/>
        </w:rPr>
        <w:t>are expected</w:t>
      </w:r>
      <w:r w:rsidR="008B04B2">
        <w:rPr>
          <w:rFonts w:ascii="Calibri" w:eastAsia="Times New Roman" w:hAnsi="Calibri" w:cs="Calibri"/>
        </w:rPr>
        <w:t xml:space="preserve"> participate in the intercept survey per park. This yields a</w:t>
      </w:r>
      <w:r w:rsidR="00AF3E80">
        <w:rPr>
          <w:rFonts w:ascii="Calibri" w:eastAsia="Times New Roman" w:hAnsi="Calibri" w:cs="Calibri"/>
        </w:rPr>
        <w:t>n annual</w:t>
      </w:r>
      <w:r w:rsidRPr="002047B3" w:rsidR="008B04B2">
        <w:rPr>
          <w:rFonts w:ascii="Calibri" w:eastAsia="Times New Roman" w:hAnsi="Calibri" w:cs="Calibri"/>
        </w:rPr>
        <w:t xml:space="preserve"> total of </w:t>
      </w:r>
      <w:r w:rsidR="008B04B2">
        <w:rPr>
          <w:rFonts w:ascii="Calibri" w:eastAsia="Times New Roman" w:hAnsi="Calibri" w:cs="Calibri"/>
        </w:rPr>
        <w:t>6,696</w:t>
      </w:r>
      <w:r w:rsidRPr="002047B3" w:rsidR="008B04B2">
        <w:rPr>
          <w:rFonts w:ascii="Calibri" w:eastAsia="Times New Roman" w:hAnsi="Calibri" w:cs="Calibri"/>
        </w:rPr>
        <w:t xml:space="preserve"> </w:t>
      </w:r>
      <w:r w:rsidR="008B04B2">
        <w:rPr>
          <w:rFonts w:ascii="Calibri" w:eastAsia="Times New Roman" w:hAnsi="Calibri" w:cs="Calibri"/>
        </w:rPr>
        <w:t>completed</w:t>
      </w:r>
      <w:r w:rsidRPr="002047B3" w:rsidR="008B04B2">
        <w:rPr>
          <w:rFonts w:ascii="Calibri" w:eastAsia="Times New Roman" w:hAnsi="Calibri" w:cs="Calibri"/>
        </w:rPr>
        <w:t xml:space="preserve"> </w:t>
      </w:r>
      <w:r w:rsidR="008B04B2">
        <w:rPr>
          <w:rFonts w:ascii="Calibri" w:eastAsia="Times New Roman" w:hAnsi="Calibri" w:cs="Calibri"/>
        </w:rPr>
        <w:t>intercepts, requiring 8,370 contacts</w:t>
      </w:r>
      <w:r w:rsidR="00AF3E80">
        <w:rPr>
          <w:rFonts w:ascii="Calibri" w:eastAsia="Times New Roman" w:hAnsi="Calibri" w:cs="Calibri"/>
        </w:rPr>
        <w:t xml:space="preserve"> per Increased Effort Units</w:t>
      </w:r>
      <w:r w:rsidR="008B04B2">
        <w:rPr>
          <w:rFonts w:ascii="Calibri" w:eastAsia="Times New Roman" w:hAnsi="Calibri" w:cs="Calibri"/>
        </w:rPr>
        <w:t>.</w:t>
      </w:r>
      <w:r w:rsidRPr="002047B3" w:rsidR="008B04B2">
        <w:rPr>
          <w:rFonts w:ascii="Calibri" w:eastAsia="Times New Roman" w:hAnsi="Calibri" w:cs="Calibri"/>
        </w:rPr>
        <w:t> </w:t>
      </w:r>
      <w:r w:rsidR="008B04B2">
        <w:rPr>
          <w:rFonts w:ascii="Calibri" w:eastAsia="Times New Roman" w:hAnsi="Calibri" w:cs="Calibri"/>
        </w:rPr>
        <w:t xml:space="preserve"> </w:t>
      </w:r>
    </w:p>
    <w:p w:rsidR="00356357" w:rsidP="0045722C" w14:paraId="4D75494F" w14:textId="77777777">
      <w:pPr>
        <w:spacing w:after="0" w:line="360" w:lineRule="auto"/>
        <w:textAlignment w:val="baseline"/>
        <w:rPr>
          <w:rFonts w:ascii="Calibri" w:eastAsia="Times New Roman" w:hAnsi="Calibri" w:cs="Calibri"/>
        </w:rPr>
      </w:pPr>
    </w:p>
    <w:p w:rsidR="002047B3" w:rsidP="004F4603" w14:paraId="23AC59D2" w14:textId="274B5AAD">
      <w:pPr>
        <w:spacing w:after="0" w:line="360" w:lineRule="auto"/>
        <w:textAlignment w:val="baseline"/>
        <w:rPr>
          <w:rFonts w:ascii="Calibri" w:eastAsia="Times New Roman" w:hAnsi="Calibri" w:cs="Calibri"/>
        </w:rPr>
      </w:pPr>
      <w:r>
        <w:rPr>
          <w:rFonts w:ascii="Calibri" w:eastAsia="Times New Roman" w:hAnsi="Calibri" w:cs="Calibri"/>
        </w:rPr>
        <w:t xml:space="preserve">Of those 20% </w:t>
      </w:r>
      <w:r w:rsidR="0081313C">
        <w:rPr>
          <w:rFonts w:ascii="Calibri" w:eastAsia="Times New Roman" w:hAnsi="Calibri" w:cs="Calibri"/>
        </w:rPr>
        <w:t>(n=</w:t>
      </w:r>
      <w:r w:rsidR="004E6D84">
        <w:rPr>
          <w:rFonts w:ascii="Calibri" w:eastAsia="Times New Roman" w:hAnsi="Calibri" w:cs="Calibri"/>
        </w:rPr>
        <w:t xml:space="preserve">9,234) </w:t>
      </w:r>
      <w:r>
        <w:rPr>
          <w:rFonts w:ascii="Calibri" w:eastAsia="Times New Roman" w:hAnsi="Calibri" w:cs="Calibri"/>
        </w:rPr>
        <w:t>who do not</w:t>
      </w:r>
      <w:r w:rsidR="00D95CDD">
        <w:rPr>
          <w:rFonts w:ascii="Calibri" w:eastAsia="Times New Roman" w:hAnsi="Calibri" w:cs="Calibri"/>
        </w:rPr>
        <w:t xml:space="preserve"> agree to take the intercept</w:t>
      </w:r>
      <w:r w:rsidR="003E33E3">
        <w:rPr>
          <w:rFonts w:ascii="Calibri" w:eastAsia="Times New Roman" w:hAnsi="Calibri" w:cs="Calibri"/>
        </w:rPr>
        <w:t xml:space="preserve"> survey</w:t>
      </w:r>
      <w:r>
        <w:rPr>
          <w:rFonts w:ascii="Calibri" w:eastAsia="Times New Roman" w:hAnsi="Calibri" w:cs="Calibri"/>
        </w:rPr>
        <w:t xml:space="preserve">, </w:t>
      </w:r>
      <w:r w:rsidR="00D95CDD">
        <w:rPr>
          <w:rFonts w:ascii="Calibri" w:eastAsia="Times New Roman" w:hAnsi="Calibri" w:cs="Calibri"/>
        </w:rPr>
        <w:t xml:space="preserve">pilot studies suggest </w:t>
      </w:r>
      <w:r>
        <w:rPr>
          <w:rFonts w:ascii="Calibri" w:eastAsia="Times New Roman" w:hAnsi="Calibri" w:cs="Calibri"/>
        </w:rPr>
        <w:t>90%</w:t>
      </w:r>
      <w:r w:rsidR="004E6D84">
        <w:rPr>
          <w:rFonts w:ascii="Calibri" w:eastAsia="Times New Roman" w:hAnsi="Calibri" w:cs="Calibri"/>
        </w:rPr>
        <w:t xml:space="preserve"> (n=8,310)</w:t>
      </w:r>
      <w:r>
        <w:rPr>
          <w:rFonts w:ascii="Calibri" w:eastAsia="Times New Roman" w:hAnsi="Calibri" w:cs="Calibri"/>
        </w:rPr>
        <w:t xml:space="preserve"> will answer th</w:t>
      </w:r>
      <w:r w:rsidRPr="002047B3">
        <w:rPr>
          <w:rFonts w:ascii="Calibri" w:eastAsia="Times New Roman" w:hAnsi="Calibri" w:cs="Calibri"/>
        </w:rPr>
        <w:t>e</w:t>
      </w:r>
      <w:r>
        <w:rPr>
          <w:rFonts w:ascii="Calibri" w:eastAsia="Times New Roman" w:hAnsi="Calibri" w:cs="Calibri"/>
        </w:rPr>
        <w:t xml:space="preserve"> non-response questions (soft refusals) and 10%</w:t>
      </w:r>
      <w:r w:rsidR="004E6D84">
        <w:rPr>
          <w:rFonts w:ascii="Calibri" w:eastAsia="Times New Roman" w:hAnsi="Calibri" w:cs="Calibri"/>
        </w:rPr>
        <w:t xml:space="preserve"> (n=924)</w:t>
      </w:r>
      <w:r>
        <w:rPr>
          <w:rFonts w:ascii="Calibri" w:eastAsia="Times New Roman" w:hAnsi="Calibri" w:cs="Calibri"/>
        </w:rPr>
        <w:t xml:space="preserve"> will fully refuse (hard refusal). </w:t>
      </w:r>
      <w:r w:rsidR="00D95CDD">
        <w:rPr>
          <w:rFonts w:ascii="Calibri" w:eastAsia="Times New Roman" w:hAnsi="Calibri" w:cs="Calibri"/>
        </w:rPr>
        <w:t>Further, o</w:t>
      </w:r>
      <w:r>
        <w:rPr>
          <w:rFonts w:ascii="Calibri" w:eastAsia="Times New Roman" w:hAnsi="Calibri" w:cs="Calibri"/>
        </w:rPr>
        <w:t xml:space="preserve">f those taking the intercept survey, 90% </w:t>
      </w:r>
      <w:r w:rsidR="00BE5821">
        <w:rPr>
          <w:rFonts w:ascii="Calibri" w:eastAsia="Times New Roman" w:hAnsi="Calibri" w:cs="Calibri"/>
        </w:rPr>
        <w:t>(n=33,24</w:t>
      </w:r>
      <w:r w:rsidR="00A33B00">
        <w:rPr>
          <w:rFonts w:ascii="Calibri" w:eastAsia="Times New Roman" w:hAnsi="Calibri" w:cs="Calibri"/>
        </w:rPr>
        <w:t>3</w:t>
      </w:r>
      <w:r w:rsidR="0029728A">
        <w:rPr>
          <w:rFonts w:ascii="Calibri" w:eastAsia="Times New Roman" w:hAnsi="Calibri" w:cs="Calibri"/>
        </w:rPr>
        <w:t xml:space="preserve">) </w:t>
      </w:r>
      <w:r>
        <w:rPr>
          <w:rFonts w:ascii="Calibri" w:eastAsia="Times New Roman" w:hAnsi="Calibri" w:cs="Calibri"/>
        </w:rPr>
        <w:t>will accept</w:t>
      </w:r>
      <w:r w:rsidRPr="002047B3">
        <w:rPr>
          <w:rFonts w:ascii="Calibri" w:eastAsia="Times New Roman" w:hAnsi="Calibri" w:cs="Calibri"/>
        </w:rPr>
        <w:t xml:space="preserve"> taking the mail-back survey</w:t>
      </w:r>
      <w:r>
        <w:rPr>
          <w:rFonts w:ascii="Calibri" w:eastAsia="Times New Roman" w:hAnsi="Calibri" w:cs="Calibri"/>
        </w:rPr>
        <w:t>. Of those taking the mail back, 40%</w:t>
      </w:r>
      <w:r w:rsidR="0029728A">
        <w:rPr>
          <w:rFonts w:ascii="Calibri" w:eastAsia="Times New Roman" w:hAnsi="Calibri" w:cs="Calibri"/>
        </w:rPr>
        <w:t xml:space="preserve"> (n=13,29</w:t>
      </w:r>
      <w:r w:rsidR="004C04FA">
        <w:rPr>
          <w:rFonts w:ascii="Calibri" w:eastAsia="Times New Roman" w:hAnsi="Calibri" w:cs="Calibri"/>
        </w:rPr>
        <w:t>8)</w:t>
      </w:r>
      <w:r>
        <w:rPr>
          <w:rFonts w:ascii="Calibri" w:eastAsia="Times New Roman" w:hAnsi="Calibri" w:cs="Calibri"/>
        </w:rPr>
        <w:t xml:space="preserve"> will complete it </w:t>
      </w:r>
      <w:r w:rsidRPr="002047B3">
        <w:rPr>
          <w:rFonts w:ascii="Calibri" w:eastAsia="Times New Roman" w:hAnsi="Calibri" w:cs="Calibri"/>
        </w:rPr>
        <w:t>– each of</w:t>
      </w:r>
      <w:r>
        <w:rPr>
          <w:rFonts w:ascii="Calibri" w:eastAsia="Times New Roman" w:hAnsi="Calibri" w:cs="Calibri"/>
        </w:rPr>
        <w:t xml:space="preserve"> these components of response rate is</w:t>
      </w:r>
      <w:r w:rsidRPr="002047B3">
        <w:rPr>
          <w:rFonts w:ascii="Calibri" w:eastAsia="Times New Roman" w:hAnsi="Calibri" w:cs="Calibri"/>
        </w:rPr>
        <w:t xml:space="preserve"> described in further detail </w:t>
      </w:r>
      <w:r w:rsidR="00D95CDD">
        <w:rPr>
          <w:rFonts w:ascii="Calibri" w:eastAsia="Times New Roman" w:hAnsi="Calibri" w:cs="Calibri"/>
        </w:rPr>
        <w:t xml:space="preserve">in Tables </w:t>
      </w:r>
      <w:r w:rsidR="00973FDE">
        <w:rPr>
          <w:rFonts w:ascii="Calibri" w:eastAsia="Times New Roman" w:hAnsi="Calibri" w:cs="Calibri"/>
        </w:rPr>
        <w:t>1.</w:t>
      </w:r>
      <w:r w:rsidR="00D95CDD">
        <w:rPr>
          <w:rFonts w:ascii="Calibri" w:eastAsia="Times New Roman" w:hAnsi="Calibri" w:cs="Calibri"/>
        </w:rPr>
        <w:t xml:space="preserve">2 and </w:t>
      </w:r>
      <w:r w:rsidR="00973FDE">
        <w:rPr>
          <w:rFonts w:ascii="Calibri" w:eastAsia="Times New Roman" w:hAnsi="Calibri" w:cs="Calibri"/>
        </w:rPr>
        <w:t>1.</w:t>
      </w:r>
      <w:r w:rsidR="00D95CDD">
        <w:rPr>
          <w:rFonts w:ascii="Calibri" w:eastAsia="Times New Roman" w:hAnsi="Calibri" w:cs="Calibri"/>
        </w:rPr>
        <w:t xml:space="preserve">3 </w:t>
      </w:r>
      <w:r w:rsidRPr="002047B3">
        <w:rPr>
          <w:rFonts w:ascii="Calibri" w:eastAsia="Times New Roman" w:hAnsi="Calibri" w:cs="Calibri"/>
        </w:rPr>
        <w:t>below. </w:t>
      </w:r>
    </w:p>
    <w:p w:rsidR="008E42BF" w:rsidRPr="002047B3" w:rsidP="008B04B2" w14:paraId="28259814" w14:textId="77777777">
      <w:pPr>
        <w:spacing w:after="0" w:line="240" w:lineRule="auto"/>
        <w:textAlignment w:val="baseline"/>
        <w:rPr>
          <w:rFonts w:ascii="Segoe UI" w:eastAsia="Times New Roman" w:hAnsi="Segoe UI" w:cs="Segoe UI"/>
          <w:sz w:val="18"/>
          <w:szCs w:val="18"/>
        </w:rPr>
      </w:pPr>
    </w:p>
    <w:p w:rsidR="002047B3" w:rsidRPr="002047B3" w:rsidP="008B04B2" w14:paraId="25FE8B8E" w14:textId="4A039251">
      <w:pPr>
        <w:spacing w:after="0" w:line="240" w:lineRule="auto"/>
        <w:textAlignment w:val="baseline"/>
        <w:rPr>
          <w:rFonts w:ascii="Segoe UI" w:eastAsia="Times New Roman" w:hAnsi="Segoe UI" w:cs="Segoe UI"/>
          <w:sz w:val="18"/>
          <w:szCs w:val="18"/>
        </w:rPr>
      </w:pPr>
      <w:r w:rsidRPr="008B04B2">
        <w:rPr>
          <w:rFonts w:ascii="Calibri" w:eastAsia="Times New Roman" w:hAnsi="Calibri" w:cs="Calibri"/>
          <w:b/>
          <w:bCs/>
        </w:rPr>
        <w:t>Table </w:t>
      </w:r>
      <w:r w:rsidRPr="00B46473" w:rsidR="00973FDE">
        <w:rPr>
          <w:rFonts w:ascii="Calibri" w:eastAsia="Times New Roman" w:hAnsi="Calibri" w:cs="Calibri"/>
          <w:b/>
          <w:bCs/>
          <w:shd w:val="clear" w:color="auto" w:fill="FFFFFF" w:themeFill="background1"/>
        </w:rPr>
        <w:t>1.</w:t>
      </w:r>
      <w:r w:rsidRPr="00B46473" w:rsidR="008B04B2">
        <w:rPr>
          <w:rFonts w:ascii="Calibri" w:eastAsia="Times New Roman" w:hAnsi="Calibri" w:cs="Calibri"/>
          <w:b/>
          <w:bCs/>
          <w:color w:val="000000"/>
          <w:shd w:val="clear" w:color="auto" w:fill="FFFFFF" w:themeFill="background1"/>
        </w:rPr>
        <w:t>2</w:t>
      </w:r>
      <w:r w:rsidRPr="00B46473" w:rsidR="00973FDE">
        <w:rPr>
          <w:rFonts w:ascii="Calibri" w:eastAsia="Times New Roman" w:hAnsi="Calibri" w:cs="Calibri"/>
          <w:b/>
          <w:bCs/>
          <w:shd w:val="clear" w:color="auto" w:fill="FFFFFF" w:themeFill="background1"/>
        </w:rPr>
        <w:t>:</w:t>
      </w:r>
      <w:r w:rsidRPr="002047B3">
        <w:rPr>
          <w:rFonts w:ascii="Calibri" w:eastAsia="Times New Roman" w:hAnsi="Calibri" w:cs="Calibri"/>
          <w:b/>
          <w:bCs/>
        </w:rPr>
        <w:t> Anticipated Onsite Survey Response Rate</w:t>
      </w:r>
      <w:r w:rsidR="00EE556B">
        <w:rPr>
          <w:rFonts w:ascii="Calibri" w:eastAsia="Times New Roman" w:hAnsi="Calibri" w:cs="Calibri"/>
          <w:b/>
          <w:bCs/>
        </w:rPr>
        <w:t>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07"/>
        <w:gridCol w:w="1592"/>
        <w:gridCol w:w="1575"/>
        <w:gridCol w:w="1457"/>
        <w:gridCol w:w="1880"/>
        <w:gridCol w:w="1449"/>
      </w:tblGrid>
      <w:tr w14:paraId="005E7E7D" w14:textId="77777777" w:rsidTr="0040121E">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65"/>
        </w:trPr>
        <w:tc>
          <w:tcPr>
            <w:tcW w:w="1407" w:type="dxa"/>
            <w:tcBorders>
              <w:top w:val="single" w:sz="6" w:space="0" w:color="auto"/>
              <w:left w:val="nil"/>
              <w:bottom w:val="single" w:sz="6" w:space="0" w:color="auto"/>
              <w:right w:val="nil"/>
            </w:tcBorders>
            <w:shd w:val="clear" w:color="auto" w:fill="B8CCE4" w:themeFill="accent1" w:themeFillTint="66"/>
            <w:vAlign w:val="center"/>
          </w:tcPr>
          <w:p w:rsidR="007233C8" w:rsidRPr="0040121E" w:rsidP="00F4241E" w14:paraId="4134846C" w14:textId="2CA7351F">
            <w:pPr>
              <w:spacing w:after="0" w:line="240" w:lineRule="auto"/>
              <w:jc w:val="center"/>
              <w:textAlignment w:val="baseline"/>
              <w:rPr>
                <w:rFonts w:ascii="Calibri" w:eastAsia="Times New Roman" w:hAnsi="Calibri" w:cs="Calibri"/>
                <w:b/>
                <w:bCs/>
                <w:sz w:val="18"/>
                <w:szCs w:val="18"/>
              </w:rPr>
            </w:pPr>
            <w:r w:rsidRPr="0040121E">
              <w:rPr>
                <w:rFonts w:ascii="Calibri" w:eastAsia="Times New Roman" w:hAnsi="Calibri" w:cs="Calibri"/>
                <w:b/>
                <w:bCs/>
                <w:sz w:val="18"/>
                <w:szCs w:val="18"/>
              </w:rPr>
              <w:t>Effort Category</w:t>
            </w:r>
          </w:p>
        </w:tc>
        <w:tc>
          <w:tcPr>
            <w:tcW w:w="1592" w:type="dxa"/>
            <w:tcBorders>
              <w:top w:val="single" w:sz="6" w:space="0" w:color="auto"/>
              <w:left w:val="nil"/>
              <w:bottom w:val="single" w:sz="6" w:space="0" w:color="auto"/>
              <w:right w:val="nil"/>
            </w:tcBorders>
            <w:shd w:val="clear" w:color="auto" w:fill="B8CCE4" w:themeFill="accent1" w:themeFillTint="66"/>
            <w:vAlign w:val="center"/>
            <w:hideMark/>
          </w:tcPr>
          <w:p w:rsidR="002D511C" w:rsidRPr="0040121E" w:rsidP="002047B3" w14:paraId="6DE39539" w14:textId="27BC92FF">
            <w:pPr>
              <w:spacing w:after="0" w:line="240" w:lineRule="auto"/>
              <w:jc w:val="center"/>
              <w:textAlignment w:val="baseline"/>
              <w:rPr>
                <w:rFonts w:ascii="Calibri" w:eastAsia="Times New Roman" w:hAnsi="Calibri" w:cs="Calibri"/>
                <w:b/>
                <w:bCs/>
                <w:sz w:val="18"/>
                <w:szCs w:val="18"/>
              </w:rPr>
            </w:pPr>
            <w:bookmarkStart w:id="1" w:name="_Hlk126851242"/>
            <w:r w:rsidRPr="0040121E">
              <w:rPr>
                <w:rFonts w:ascii="Calibri" w:eastAsia="Times New Roman" w:hAnsi="Calibri" w:cs="Calibri"/>
                <w:b/>
                <w:bCs/>
                <w:sz w:val="18"/>
                <w:szCs w:val="18"/>
              </w:rPr>
              <w:t xml:space="preserve">Number of Visitor Contacts </w:t>
            </w:r>
          </w:p>
          <w:p w:rsidR="007233C8" w:rsidRPr="00D1499E" w:rsidP="002047B3" w14:paraId="313C9E41" w14:textId="2E3C7E13">
            <w:pPr>
              <w:spacing w:after="0" w:line="240" w:lineRule="auto"/>
              <w:jc w:val="center"/>
              <w:textAlignment w:val="baseline"/>
              <w:rPr>
                <w:rFonts w:ascii="Times New Roman" w:eastAsia="Times New Roman" w:hAnsi="Times New Roman" w:cs="Times New Roman"/>
                <w:sz w:val="24"/>
                <w:szCs w:val="24"/>
              </w:rPr>
            </w:pPr>
            <w:r w:rsidRPr="0040121E">
              <w:rPr>
                <w:rFonts w:ascii="Calibri" w:eastAsia="Times New Roman" w:hAnsi="Calibri" w:cs="Calibri"/>
                <w:sz w:val="18"/>
                <w:szCs w:val="18"/>
              </w:rPr>
              <w:t> </w:t>
            </w:r>
          </w:p>
        </w:tc>
        <w:tc>
          <w:tcPr>
            <w:tcW w:w="1575" w:type="dxa"/>
            <w:tcBorders>
              <w:top w:val="single" w:sz="6" w:space="0" w:color="auto"/>
              <w:left w:val="nil"/>
              <w:bottom w:val="single" w:sz="6" w:space="0" w:color="auto"/>
              <w:right w:val="nil"/>
            </w:tcBorders>
            <w:shd w:val="clear" w:color="auto" w:fill="B8CCE4" w:themeFill="accent1" w:themeFillTint="66"/>
            <w:vAlign w:val="center"/>
            <w:hideMark/>
          </w:tcPr>
          <w:p w:rsidR="007233C8" w:rsidRPr="00D1499E" w:rsidP="002047B3" w14:paraId="7D8FEB04" w14:textId="02131A34">
            <w:pPr>
              <w:spacing w:after="0" w:line="240" w:lineRule="auto"/>
              <w:jc w:val="center"/>
              <w:textAlignment w:val="baseline"/>
              <w:rPr>
                <w:rFonts w:ascii="Times New Roman" w:eastAsia="Times New Roman" w:hAnsi="Times New Roman" w:cs="Times New Roman"/>
                <w:b/>
                <w:bCs/>
                <w:sz w:val="24"/>
                <w:szCs w:val="24"/>
              </w:rPr>
            </w:pPr>
            <w:r w:rsidRPr="0040121E">
              <w:rPr>
                <w:rFonts w:ascii="Calibri" w:eastAsia="Times New Roman" w:hAnsi="Calibri" w:cs="Calibri"/>
                <w:b/>
                <w:bCs/>
                <w:sz w:val="18"/>
                <w:szCs w:val="18"/>
              </w:rPr>
              <w:t>Completed Onsite Surveys</w:t>
            </w:r>
          </w:p>
          <w:p w:rsidR="007233C8" w:rsidRPr="00D1499E" w:rsidP="002047B3" w14:paraId="1537FCA1" w14:textId="598C8772">
            <w:pPr>
              <w:spacing w:after="0" w:line="240" w:lineRule="auto"/>
              <w:jc w:val="center"/>
              <w:textAlignment w:val="baseline"/>
              <w:rPr>
                <w:rFonts w:ascii="Times New Roman" w:eastAsia="Times New Roman" w:hAnsi="Times New Roman" w:cs="Times New Roman"/>
                <w:b/>
                <w:bCs/>
                <w:sz w:val="24"/>
                <w:szCs w:val="24"/>
              </w:rPr>
            </w:pPr>
            <w:r w:rsidRPr="0040121E">
              <w:rPr>
                <w:rFonts w:ascii="Calibri" w:eastAsia="Times New Roman" w:hAnsi="Calibri" w:cs="Calibri"/>
                <w:b/>
                <w:bCs/>
                <w:sz w:val="18"/>
                <w:szCs w:val="18"/>
              </w:rPr>
              <w:t>(80% of contacts) </w:t>
            </w:r>
          </w:p>
        </w:tc>
        <w:tc>
          <w:tcPr>
            <w:tcW w:w="1457" w:type="dxa"/>
            <w:tcBorders>
              <w:top w:val="single" w:sz="6" w:space="0" w:color="auto"/>
              <w:left w:val="nil"/>
              <w:bottom w:val="single" w:sz="6" w:space="0" w:color="auto"/>
              <w:right w:val="nil"/>
            </w:tcBorders>
            <w:shd w:val="clear" w:color="auto" w:fill="B8CCE4" w:themeFill="accent1" w:themeFillTint="66"/>
            <w:vAlign w:val="center"/>
            <w:hideMark/>
          </w:tcPr>
          <w:p w:rsidR="007233C8" w:rsidRPr="007E32AE" w:rsidP="007E32AE" w14:paraId="1FE36FDA" w14:textId="70C853F5">
            <w:pPr>
              <w:spacing w:after="0" w:line="240" w:lineRule="auto"/>
              <w:jc w:val="center"/>
              <w:textAlignment w:val="baseline"/>
              <w:rPr>
                <w:rFonts w:ascii="Calibri" w:eastAsia="Times New Roman" w:hAnsi="Calibri" w:cs="Calibri"/>
                <w:b/>
                <w:bCs/>
                <w:sz w:val="18"/>
                <w:szCs w:val="18"/>
              </w:rPr>
            </w:pPr>
            <w:r w:rsidRPr="0040121E">
              <w:rPr>
                <w:rFonts w:ascii="Calibri" w:eastAsia="Times New Roman" w:hAnsi="Calibri" w:cs="Calibri"/>
                <w:b/>
                <w:bCs/>
                <w:sz w:val="18"/>
                <w:szCs w:val="18"/>
              </w:rPr>
              <w:t>Refusals</w:t>
            </w:r>
            <w:r w:rsidRPr="0040121E">
              <w:rPr>
                <w:rFonts w:ascii="Calibri" w:eastAsia="Times New Roman" w:hAnsi="Calibri" w:cs="Calibri"/>
                <w:sz w:val="18"/>
                <w:szCs w:val="18"/>
              </w:rPr>
              <w:br/>
            </w:r>
            <w:r w:rsidRPr="0040121E">
              <w:rPr>
                <w:rFonts w:ascii="Calibri" w:eastAsia="Times New Roman" w:hAnsi="Calibri" w:cs="Calibri"/>
                <w:b/>
                <w:bCs/>
                <w:sz w:val="18"/>
                <w:szCs w:val="18"/>
              </w:rPr>
              <w:t>(20% of contacts)</w:t>
            </w:r>
            <w:r w:rsidRPr="0040121E">
              <w:rPr>
                <w:rFonts w:ascii="Calibri" w:eastAsia="Times New Roman" w:hAnsi="Calibri" w:cs="Calibri"/>
                <w:sz w:val="18"/>
                <w:szCs w:val="18"/>
              </w:rPr>
              <w:t> </w:t>
            </w:r>
          </w:p>
        </w:tc>
        <w:tc>
          <w:tcPr>
            <w:tcW w:w="1880" w:type="dxa"/>
            <w:tcBorders>
              <w:top w:val="single" w:sz="6" w:space="0" w:color="auto"/>
              <w:left w:val="nil"/>
              <w:bottom w:val="single" w:sz="6" w:space="0" w:color="auto"/>
              <w:right w:val="nil"/>
            </w:tcBorders>
            <w:shd w:val="clear" w:color="auto" w:fill="B8CCE4" w:themeFill="accent1" w:themeFillTint="66"/>
            <w:vAlign w:val="center"/>
            <w:hideMark/>
          </w:tcPr>
          <w:p w:rsidR="000339AA" w:rsidRPr="0040121E" w:rsidP="002047B3" w14:paraId="0FBE7729" w14:textId="77777777">
            <w:pPr>
              <w:spacing w:after="0" w:line="240" w:lineRule="auto"/>
              <w:jc w:val="center"/>
              <w:textAlignment w:val="baseline"/>
              <w:rPr>
                <w:rFonts w:ascii="Calibri" w:eastAsia="Times New Roman" w:hAnsi="Calibri" w:cs="Calibri"/>
                <w:b/>
                <w:bCs/>
                <w:sz w:val="18"/>
                <w:szCs w:val="18"/>
              </w:rPr>
            </w:pPr>
            <w:r w:rsidRPr="0040121E">
              <w:rPr>
                <w:rFonts w:ascii="Calibri" w:eastAsia="Times New Roman" w:hAnsi="Calibri" w:cs="Calibri"/>
                <w:b/>
                <w:bCs/>
                <w:sz w:val="18"/>
                <w:szCs w:val="18"/>
              </w:rPr>
              <w:t>Soft Refusal</w:t>
            </w:r>
          </w:p>
          <w:p w:rsidR="007233C8" w:rsidRPr="007E32AE" w:rsidP="007E32AE" w14:paraId="7346BCFB" w14:textId="51572F92">
            <w:pPr>
              <w:spacing w:after="0" w:line="240" w:lineRule="auto"/>
              <w:jc w:val="center"/>
              <w:textAlignment w:val="baseline"/>
              <w:rPr>
                <w:rFonts w:ascii="Calibri" w:eastAsia="Times New Roman" w:hAnsi="Calibri" w:cs="Calibri"/>
                <w:b/>
                <w:bCs/>
                <w:sz w:val="18"/>
                <w:szCs w:val="18"/>
              </w:rPr>
            </w:pPr>
            <w:r w:rsidRPr="0040121E">
              <w:rPr>
                <w:rFonts w:ascii="Calibri" w:eastAsia="Times New Roman" w:hAnsi="Calibri" w:cs="Calibri"/>
                <w:b/>
                <w:bCs/>
                <w:sz w:val="18"/>
                <w:szCs w:val="18"/>
              </w:rPr>
              <w:t>Completed </w:t>
            </w:r>
            <w:r w:rsidRPr="0040121E">
              <w:rPr>
                <w:rFonts w:ascii="Calibri" w:eastAsia="Times New Roman" w:hAnsi="Calibri" w:cs="Calibri"/>
                <w:sz w:val="18"/>
                <w:szCs w:val="18"/>
              </w:rPr>
              <w:t> </w:t>
            </w:r>
            <w:r w:rsidRPr="0040121E">
              <w:rPr>
                <w:rFonts w:ascii="Calibri" w:eastAsia="Times New Roman" w:hAnsi="Calibri" w:cs="Calibri"/>
                <w:sz w:val="18"/>
                <w:szCs w:val="18"/>
              </w:rPr>
              <w:br/>
            </w:r>
            <w:r w:rsidRPr="0040121E">
              <w:rPr>
                <w:rFonts w:ascii="Calibri" w:eastAsia="Times New Roman" w:hAnsi="Calibri" w:cs="Calibri"/>
                <w:b/>
                <w:bCs/>
                <w:sz w:val="18"/>
                <w:szCs w:val="18"/>
              </w:rPr>
              <w:t>Non-Response</w:t>
            </w:r>
            <w:r w:rsidRPr="0040121E">
              <w:rPr>
                <w:rFonts w:ascii="Calibri" w:eastAsia="Times New Roman" w:hAnsi="Calibri" w:cs="Calibri"/>
                <w:b/>
                <w:bCs/>
                <w:sz w:val="18"/>
                <w:szCs w:val="18"/>
              </w:rPr>
              <w:t xml:space="preserve"> </w:t>
            </w:r>
            <w:r w:rsidRPr="0040121E">
              <w:rPr>
                <w:rFonts w:ascii="Calibri" w:eastAsia="Times New Roman" w:hAnsi="Calibri" w:cs="Calibri"/>
                <w:sz w:val="18"/>
                <w:szCs w:val="18"/>
              </w:rPr>
              <w:br/>
            </w:r>
            <w:r w:rsidRPr="0040121E">
              <w:rPr>
                <w:rFonts w:ascii="Calibri" w:eastAsia="Times New Roman" w:hAnsi="Calibri" w:cs="Calibri"/>
                <w:b/>
                <w:bCs/>
                <w:sz w:val="18"/>
                <w:szCs w:val="18"/>
              </w:rPr>
              <w:t xml:space="preserve">(90% </w:t>
            </w:r>
            <w:r w:rsidRPr="0040121E" w:rsidR="006958E9">
              <w:rPr>
                <w:rFonts w:ascii="Calibri" w:eastAsia="Times New Roman" w:hAnsi="Calibri" w:cs="Calibri"/>
                <w:b/>
                <w:bCs/>
                <w:sz w:val="18"/>
                <w:szCs w:val="18"/>
              </w:rPr>
              <w:t>of</w:t>
            </w:r>
            <w:r w:rsidRPr="0040121E">
              <w:rPr>
                <w:rFonts w:ascii="Calibri" w:eastAsia="Times New Roman" w:hAnsi="Calibri" w:cs="Calibri"/>
                <w:b/>
                <w:bCs/>
                <w:sz w:val="18"/>
                <w:szCs w:val="18"/>
              </w:rPr>
              <w:t xml:space="preserve"> refusals)</w:t>
            </w:r>
            <w:r w:rsidRPr="0040121E">
              <w:rPr>
                <w:rFonts w:ascii="Calibri" w:eastAsia="Times New Roman" w:hAnsi="Calibri" w:cs="Calibri"/>
                <w:sz w:val="18"/>
                <w:szCs w:val="18"/>
              </w:rPr>
              <w:t> </w:t>
            </w:r>
          </w:p>
        </w:tc>
        <w:tc>
          <w:tcPr>
            <w:tcW w:w="1449" w:type="dxa"/>
            <w:tcBorders>
              <w:top w:val="single" w:sz="6" w:space="0" w:color="auto"/>
              <w:left w:val="nil"/>
              <w:bottom w:val="single" w:sz="6" w:space="0" w:color="auto"/>
              <w:right w:val="nil"/>
            </w:tcBorders>
            <w:shd w:val="clear" w:color="auto" w:fill="B8CCE4" w:themeFill="accent1" w:themeFillTint="66"/>
            <w:vAlign w:val="center"/>
            <w:hideMark/>
          </w:tcPr>
          <w:p w:rsidR="007233C8" w:rsidRPr="007E32AE" w:rsidP="007E32AE" w14:paraId="7BCCF1A0" w14:textId="454D1103">
            <w:pPr>
              <w:spacing w:after="0" w:line="240" w:lineRule="auto"/>
              <w:jc w:val="center"/>
              <w:textAlignment w:val="baseline"/>
              <w:rPr>
                <w:rFonts w:ascii="Calibri" w:eastAsia="Times New Roman" w:hAnsi="Calibri" w:cs="Calibri"/>
                <w:b/>
                <w:bCs/>
                <w:sz w:val="18"/>
                <w:szCs w:val="18"/>
              </w:rPr>
            </w:pPr>
            <w:r w:rsidRPr="0040121E">
              <w:rPr>
                <w:rFonts w:ascii="Calibri" w:eastAsia="Times New Roman" w:hAnsi="Calibri" w:cs="Calibri"/>
                <w:b/>
                <w:bCs/>
                <w:sz w:val="18"/>
                <w:szCs w:val="18"/>
              </w:rPr>
              <w:t>Hard Refusals</w:t>
            </w:r>
            <w:r w:rsidRPr="0040121E">
              <w:rPr>
                <w:rFonts w:ascii="Calibri" w:eastAsia="Times New Roman" w:hAnsi="Calibri" w:cs="Calibri"/>
                <w:sz w:val="18"/>
                <w:szCs w:val="18"/>
              </w:rPr>
              <w:br/>
            </w:r>
            <w:r w:rsidRPr="0040121E">
              <w:rPr>
                <w:rFonts w:ascii="Calibri" w:eastAsia="Times New Roman" w:hAnsi="Calibri" w:cs="Calibri"/>
                <w:b/>
                <w:bCs/>
                <w:sz w:val="18"/>
                <w:szCs w:val="18"/>
              </w:rPr>
              <w:t>(10%</w:t>
            </w:r>
            <w:r w:rsidRPr="0040121E" w:rsidR="000339AA">
              <w:rPr>
                <w:rFonts w:ascii="Calibri" w:eastAsia="Times New Roman" w:hAnsi="Calibri" w:cs="Calibri"/>
                <w:b/>
                <w:bCs/>
                <w:sz w:val="18"/>
                <w:szCs w:val="18"/>
              </w:rPr>
              <w:t xml:space="preserve"> of</w:t>
            </w:r>
            <w:r w:rsidRPr="0040121E">
              <w:rPr>
                <w:rFonts w:ascii="Calibri" w:eastAsia="Times New Roman" w:hAnsi="Calibri" w:cs="Calibri"/>
                <w:b/>
                <w:bCs/>
                <w:sz w:val="18"/>
                <w:szCs w:val="18"/>
              </w:rPr>
              <w:t xml:space="preserve"> refusals)</w:t>
            </w:r>
            <w:r w:rsidRPr="0040121E">
              <w:rPr>
                <w:rFonts w:ascii="Calibri" w:eastAsia="Times New Roman" w:hAnsi="Calibri" w:cs="Calibri"/>
                <w:sz w:val="18"/>
                <w:szCs w:val="18"/>
              </w:rPr>
              <w:t> </w:t>
            </w:r>
          </w:p>
        </w:tc>
      </w:tr>
      <w:tr w14:paraId="093DEE02" w14:textId="77777777" w:rsidTr="0040121E">
        <w:tblPrEx>
          <w:tblW w:w="9360" w:type="dxa"/>
          <w:tblCellMar>
            <w:left w:w="0" w:type="dxa"/>
            <w:right w:w="0" w:type="dxa"/>
          </w:tblCellMar>
          <w:tblLook w:val="04A0"/>
        </w:tblPrEx>
        <w:trPr>
          <w:trHeight w:val="330"/>
        </w:trPr>
        <w:tc>
          <w:tcPr>
            <w:tcW w:w="1407" w:type="dxa"/>
            <w:tcBorders>
              <w:top w:val="single" w:sz="6" w:space="0" w:color="auto"/>
              <w:left w:val="nil"/>
              <w:bottom w:val="single" w:sz="6" w:space="0" w:color="auto"/>
              <w:right w:val="nil"/>
            </w:tcBorders>
          </w:tcPr>
          <w:p w:rsidR="00463475" w:rsidRPr="00BC7E4F" w:rsidP="008B04B2" w14:paraId="69CE8BF0" w14:textId="2D703E39">
            <w:pPr>
              <w:spacing w:after="0" w:line="240" w:lineRule="auto"/>
              <w:jc w:val="center"/>
              <w:textAlignment w:val="baseline"/>
            </w:pPr>
            <w:r>
              <w:t>Normal Effort</w:t>
            </w:r>
            <w:r w:rsidR="00C911B4">
              <w:t xml:space="preserve"> </w:t>
            </w:r>
            <w:r w:rsidR="00817442">
              <w:t>(27 parks)</w:t>
            </w:r>
          </w:p>
        </w:tc>
        <w:tc>
          <w:tcPr>
            <w:tcW w:w="1592" w:type="dxa"/>
            <w:tcBorders>
              <w:top w:val="single" w:sz="6" w:space="0" w:color="auto"/>
              <w:left w:val="nil"/>
              <w:bottom w:val="single" w:sz="6" w:space="0" w:color="auto"/>
              <w:right w:val="nil"/>
            </w:tcBorders>
            <w:shd w:val="clear" w:color="auto" w:fill="auto"/>
            <w:vAlign w:val="center"/>
          </w:tcPr>
          <w:p w:rsidR="00817442" w:rsidP="00D26E72" w14:paraId="4A743918" w14:textId="5778D0EC">
            <w:pPr>
              <w:spacing w:after="0" w:line="240" w:lineRule="auto"/>
              <w:jc w:val="center"/>
              <w:textAlignment w:val="baseline"/>
            </w:pPr>
            <w:r>
              <w:t>37,800</w:t>
            </w:r>
          </w:p>
          <w:p w:rsidR="00463475" w:rsidRPr="00BC7E4F" w:rsidP="00D26E72" w14:paraId="33DB786A" w14:textId="09A2899E">
            <w:pPr>
              <w:spacing w:after="0" w:line="240" w:lineRule="auto"/>
              <w:jc w:val="center"/>
              <w:textAlignment w:val="baseline"/>
            </w:pPr>
            <w:r>
              <w:t>(1,400/park)</w:t>
            </w:r>
          </w:p>
        </w:tc>
        <w:tc>
          <w:tcPr>
            <w:tcW w:w="1575" w:type="dxa"/>
            <w:tcBorders>
              <w:top w:val="single" w:sz="6" w:space="0" w:color="auto"/>
              <w:left w:val="nil"/>
              <w:bottom w:val="single" w:sz="6" w:space="0" w:color="auto"/>
              <w:right w:val="nil"/>
            </w:tcBorders>
            <w:shd w:val="clear" w:color="auto" w:fill="B8CCE4" w:themeFill="accent1" w:themeFillTint="66"/>
            <w:vAlign w:val="center"/>
          </w:tcPr>
          <w:p w:rsidR="00F933CA" w:rsidP="00F933CA" w14:paraId="2AC86162" w14:textId="77777777">
            <w:pPr>
              <w:spacing w:after="0" w:line="240" w:lineRule="auto"/>
              <w:jc w:val="center"/>
              <w:textAlignment w:val="baseline"/>
            </w:pPr>
            <w:r>
              <w:t>30,240</w:t>
            </w:r>
          </w:p>
          <w:p w:rsidR="00D13CE6" w:rsidRPr="00BC7E4F" w:rsidP="00F933CA" w14:paraId="05A74883" w14:textId="01252A9F">
            <w:pPr>
              <w:spacing w:after="0" w:line="240" w:lineRule="auto"/>
              <w:jc w:val="center"/>
              <w:textAlignment w:val="baseline"/>
            </w:pPr>
            <w:r>
              <w:t>(1,120/park)</w:t>
            </w:r>
          </w:p>
        </w:tc>
        <w:tc>
          <w:tcPr>
            <w:tcW w:w="1457" w:type="dxa"/>
            <w:tcBorders>
              <w:top w:val="single" w:sz="6" w:space="0" w:color="auto"/>
              <w:left w:val="nil"/>
              <w:bottom w:val="single" w:sz="6" w:space="0" w:color="auto"/>
              <w:right w:val="nil"/>
            </w:tcBorders>
            <w:shd w:val="clear" w:color="auto" w:fill="auto"/>
            <w:vAlign w:val="center"/>
          </w:tcPr>
          <w:p w:rsidR="00463475" w:rsidP="00F933CA" w14:paraId="39FCF437" w14:textId="6F4104FB">
            <w:pPr>
              <w:spacing w:after="0" w:line="240" w:lineRule="auto"/>
              <w:jc w:val="center"/>
              <w:textAlignment w:val="baseline"/>
            </w:pPr>
            <w:r>
              <w:t>7,560</w:t>
            </w:r>
          </w:p>
          <w:p w:rsidR="00D13CE6" w:rsidRPr="00BC7E4F" w:rsidP="00F933CA" w14:paraId="7D95806F" w14:textId="6068C724">
            <w:pPr>
              <w:spacing w:after="0" w:line="240" w:lineRule="auto"/>
              <w:jc w:val="center"/>
              <w:textAlignment w:val="baseline"/>
            </w:pPr>
            <w:r>
              <w:t>(280/park)</w:t>
            </w:r>
          </w:p>
        </w:tc>
        <w:tc>
          <w:tcPr>
            <w:tcW w:w="1880" w:type="dxa"/>
            <w:tcBorders>
              <w:top w:val="single" w:sz="6" w:space="0" w:color="auto"/>
              <w:left w:val="nil"/>
              <w:bottom w:val="single" w:sz="6" w:space="0" w:color="auto"/>
              <w:right w:val="nil"/>
            </w:tcBorders>
            <w:shd w:val="clear" w:color="auto" w:fill="B8CCE4" w:themeFill="accent1" w:themeFillTint="66"/>
            <w:vAlign w:val="center"/>
          </w:tcPr>
          <w:p w:rsidR="00463475" w:rsidP="00F933CA" w14:paraId="5835CEC2" w14:textId="77777777">
            <w:pPr>
              <w:spacing w:after="0" w:line="240" w:lineRule="auto"/>
              <w:jc w:val="center"/>
              <w:textAlignment w:val="baseline"/>
            </w:pPr>
            <w:r>
              <w:t>6,804</w:t>
            </w:r>
          </w:p>
          <w:p w:rsidR="00D13CE6" w:rsidRPr="00BC7E4F" w:rsidP="00F933CA" w14:paraId="6B6D2107" w14:textId="39983172">
            <w:pPr>
              <w:spacing w:after="0" w:line="240" w:lineRule="auto"/>
              <w:jc w:val="center"/>
              <w:textAlignment w:val="baseline"/>
            </w:pPr>
            <w:r>
              <w:t>(252/park)</w:t>
            </w:r>
          </w:p>
        </w:tc>
        <w:tc>
          <w:tcPr>
            <w:tcW w:w="1449" w:type="dxa"/>
            <w:tcBorders>
              <w:top w:val="single" w:sz="6" w:space="0" w:color="auto"/>
              <w:left w:val="nil"/>
              <w:bottom w:val="single" w:sz="6" w:space="0" w:color="auto"/>
              <w:right w:val="nil"/>
            </w:tcBorders>
            <w:shd w:val="clear" w:color="auto" w:fill="auto"/>
            <w:vAlign w:val="center"/>
          </w:tcPr>
          <w:p w:rsidR="00463475" w:rsidP="00604F4A" w14:paraId="5E3AEF7E" w14:textId="77777777">
            <w:pPr>
              <w:spacing w:after="0" w:line="240" w:lineRule="auto"/>
              <w:jc w:val="center"/>
              <w:textAlignment w:val="baseline"/>
            </w:pPr>
            <w:r>
              <w:t>756</w:t>
            </w:r>
          </w:p>
          <w:p w:rsidR="00D13CE6" w:rsidRPr="00BC7E4F" w:rsidP="00604F4A" w14:paraId="5498E960" w14:textId="42A30D8A">
            <w:pPr>
              <w:spacing w:after="0" w:line="240" w:lineRule="auto"/>
              <w:jc w:val="center"/>
              <w:textAlignment w:val="baseline"/>
            </w:pPr>
            <w:r>
              <w:t>(28/park)</w:t>
            </w:r>
          </w:p>
        </w:tc>
      </w:tr>
      <w:tr w14:paraId="5D3EC7D6" w14:textId="77777777" w:rsidTr="0040121E">
        <w:tblPrEx>
          <w:tblW w:w="9360" w:type="dxa"/>
          <w:tblCellMar>
            <w:left w:w="0" w:type="dxa"/>
            <w:right w:w="0" w:type="dxa"/>
          </w:tblCellMar>
          <w:tblLook w:val="04A0"/>
        </w:tblPrEx>
        <w:trPr>
          <w:trHeight w:val="330"/>
        </w:trPr>
        <w:tc>
          <w:tcPr>
            <w:tcW w:w="1407" w:type="dxa"/>
            <w:tcBorders>
              <w:top w:val="single" w:sz="6" w:space="0" w:color="auto"/>
              <w:left w:val="nil"/>
              <w:bottom w:val="single" w:sz="6" w:space="0" w:color="auto"/>
              <w:right w:val="nil"/>
            </w:tcBorders>
          </w:tcPr>
          <w:p w:rsidR="00A533F6" w:rsidP="008B04B2" w14:paraId="7A9CC015" w14:textId="77777777">
            <w:pPr>
              <w:spacing w:after="0" w:line="240" w:lineRule="auto"/>
              <w:jc w:val="center"/>
              <w:textAlignment w:val="baseline"/>
            </w:pPr>
            <w:r>
              <w:t xml:space="preserve">Extra </w:t>
            </w:r>
            <w:r w:rsidR="007F55A1">
              <w:t>Effort</w:t>
            </w:r>
            <w:r w:rsidR="00C911B4">
              <w:t xml:space="preserve"> </w:t>
            </w:r>
          </w:p>
          <w:p w:rsidR="00463475" w:rsidRPr="00BC7E4F" w:rsidP="008B04B2" w14:paraId="726D62C3" w14:textId="1AFC609B">
            <w:pPr>
              <w:spacing w:after="0" w:line="240" w:lineRule="auto"/>
              <w:jc w:val="center"/>
              <w:textAlignment w:val="baseline"/>
            </w:pPr>
            <w:r>
              <w:t>(</w:t>
            </w:r>
            <w:r w:rsidR="00817442">
              <w:t>3 parks</w:t>
            </w:r>
            <w:r>
              <w:t>)</w:t>
            </w:r>
          </w:p>
        </w:tc>
        <w:tc>
          <w:tcPr>
            <w:tcW w:w="1592" w:type="dxa"/>
            <w:tcBorders>
              <w:top w:val="single" w:sz="6" w:space="0" w:color="auto"/>
              <w:left w:val="nil"/>
              <w:bottom w:val="single" w:sz="6" w:space="0" w:color="auto"/>
              <w:right w:val="nil"/>
            </w:tcBorders>
            <w:shd w:val="clear" w:color="auto" w:fill="auto"/>
            <w:vAlign w:val="center"/>
          </w:tcPr>
          <w:p w:rsidR="00463475" w:rsidP="00D26E72" w14:paraId="308720EE" w14:textId="77777777">
            <w:pPr>
              <w:spacing w:after="0" w:line="240" w:lineRule="auto"/>
              <w:jc w:val="center"/>
              <w:textAlignment w:val="baseline"/>
            </w:pPr>
            <w:r>
              <w:t>8,370</w:t>
            </w:r>
          </w:p>
          <w:p w:rsidR="00817442" w:rsidRPr="00BC7E4F" w:rsidP="00D26E72" w14:paraId="6972C601" w14:textId="0B7D98B0">
            <w:pPr>
              <w:spacing w:after="0" w:line="240" w:lineRule="auto"/>
              <w:jc w:val="center"/>
              <w:textAlignment w:val="baseline"/>
            </w:pPr>
            <w:r>
              <w:t>(2,790/park)</w:t>
            </w:r>
          </w:p>
        </w:tc>
        <w:tc>
          <w:tcPr>
            <w:tcW w:w="1575" w:type="dxa"/>
            <w:tcBorders>
              <w:top w:val="single" w:sz="6" w:space="0" w:color="auto"/>
              <w:left w:val="nil"/>
              <w:bottom w:val="single" w:sz="6" w:space="0" w:color="auto"/>
              <w:right w:val="nil"/>
            </w:tcBorders>
            <w:shd w:val="clear" w:color="auto" w:fill="B8CCE4" w:themeFill="accent1" w:themeFillTint="66"/>
            <w:vAlign w:val="center"/>
          </w:tcPr>
          <w:p w:rsidR="00463475" w:rsidP="00F933CA" w14:paraId="1D8EA86B" w14:textId="77777777">
            <w:pPr>
              <w:spacing w:after="0" w:line="240" w:lineRule="auto"/>
              <w:jc w:val="center"/>
              <w:textAlignment w:val="baseline"/>
            </w:pPr>
            <w:r>
              <w:t>6,696</w:t>
            </w:r>
          </w:p>
          <w:p w:rsidR="00B67446" w:rsidRPr="00BC7E4F" w:rsidP="00F933CA" w14:paraId="7322F53E" w14:textId="6970370C">
            <w:pPr>
              <w:spacing w:after="0" w:line="240" w:lineRule="auto"/>
              <w:jc w:val="center"/>
              <w:textAlignment w:val="baseline"/>
            </w:pPr>
            <w:r>
              <w:t>(2,232/park)</w:t>
            </w:r>
          </w:p>
        </w:tc>
        <w:tc>
          <w:tcPr>
            <w:tcW w:w="1457" w:type="dxa"/>
            <w:tcBorders>
              <w:top w:val="single" w:sz="6" w:space="0" w:color="auto"/>
              <w:left w:val="nil"/>
              <w:bottom w:val="single" w:sz="6" w:space="0" w:color="auto"/>
              <w:right w:val="nil"/>
            </w:tcBorders>
            <w:shd w:val="clear" w:color="auto" w:fill="auto"/>
            <w:vAlign w:val="center"/>
          </w:tcPr>
          <w:p w:rsidR="00463475" w:rsidP="00F933CA" w14:paraId="296DFE49" w14:textId="77777777">
            <w:pPr>
              <w:spacing w:after="0" w:line="240" w:lineRule="auto"/>
              <w:jc w:val="center"/>
              <w:textAlignment w:val="baseline"/>
            </w:pPr>
            <w:r>
              <w:t>1,674</w:t>
            </w:r>
          </w:p>
          <w:p w:rsidR="00B67446" w:rsidRPr="00BC7E4F" w:rsidP="00F933CA" w14:paraId="1F274668" w14:textId="66FDB043">
            <w:pPr>
              <w:spacing w:after="0" w:line="240" w:lineRule="auto"/>
              <w:jc w:val="center"/>
              <w:textAlignment w:val="baseline"/>
            </w:pPr>
            <w:r>
              <w:t>(558/park)</w:t>
            </w:r>
          </w:p>
        </w:tc>
        <w:tc>
          <w:tcPr>
            <w:tcW w:w="1880" w:type="dxa"/>
            <w:tcBorders>
              <w:top w:val="single" w:sz="6" w:space="0" w:color="auto"/>
              <w:left w:val="nil"/>
              <w:bottom w:val="single" w:sz="6" w:space="0" w:color="auto"/>
              <w:right w:val="nil"/>
            </w:tcBorders>
            <w:shd w:val="clear" w:color="auto" w:fill="B8CCE4" w:themeFill="accent1" w:themeFillTint="66"/>
            <w:vAlign w:val="center"/>
          </w:tcPr>
          <w:p w:rsidR="00463475" w:rsidP="00604F4A" w14:paraId="43C3BF5E" w14:textId="06189DE8">
            <w:pPr>
              <w:spacing w:after="0" w:line="240" w:lineRule="auto"/>
              <w:jc w:val="center"/>
              <w:textAlignment w:val="baseline"/>
            </w:pPr>
            <w:r>
              <w:t>1</w:t>
            </w:r>
            <w:r w:rsidR="00604F4A">
              <w:t>,</w:t>
            </w:r>
            <w:r>
              <w:t>50</w:t>
            </w:r>
            <w:r w:rsidR="00A87092">
              <w:t>6</w:t>
            </w:r>
          </w:p>
          <w:p w:rsidR="000D3B98" w:rsidRPr="00BC7E4F" w:rsidP="00604F4A" w14:paraId="40C4D96D" w14:textId="0688FF09">
            <w:pPr>
              <w:spacing w:after="0" w:line="240" w:lineRule="auto"/>
              <w:jc w:val="center"/>
              <w:textAlignment w:val="baseline"/>
            </w:pPr>
            <w:r>
              <w:t>(502/park)</w:t>
            </w:r>
          </w:p>
        </w:tc>
        <w:tc>
          <w:tcPr>
            <w:tcW w:w="1449" w:type="dxa"/>
            <w:tcBorders>
              <w:top w:val="single" w:sz="6" w:space="0" w:color="auto"/>
              <w:left w:val="nil"/>
              <w:bottom w:val="single" w:sz="6" w:space="0" w:color="auto"/>
              <w:right w:val="nil"/>
            </w:tcBorders>
            <w:shd w:val="clear" w:color="auto" w:fill="auto"/>
            <w:vAlign w:val="center"/>
          </w:tcPr>
          <w:p w:rsidR="00463475" w:rsidP="00604F4A" w14:paraId="15DFF359" w14:textId="77777777">
            <w:pPr>
              <w:spacing w:after="0" w:line="240" w:lineRule="auto"/>
              <w:jc w:val="center"/>
              <w:textAlignment w:val="baseline"/>
            </w:pPr>
            <w:r>
              <w:t>168</w:t>
            </w:r>
          </w:p>
          <w:p w:rsidR="000D3B98" w:rsidRPr="00BC7E4F" w:rsidP="00604F4A" w14:paraId="5AD5F5AD" w14:textId="44C7AB14">
            <w:pPr>
              <w:spacing w:after="0" w:line="240" w:lineRule="auto"/>
              <w:jc w:val="center"/>
              <w:textAlignment w:val="baseline"/>
            </w:pPr>
            <w:r>
              <w:t>(56/park)</w:t>
            </w:r>
          </w:p>
        </w:tc>
      </w:tr>
      <w:tr w14:paraId="47B8570F" w14:textId="77777777" w:rsidTr="0040121E">
        <w:tblPrEx>
          <w:tblW w:w="9360" w:type="dxa"/>
          <w:tblCellMar>
            <w:left w:w="0" w:type="dxa"/>
            <w:right w:w="0" w:type="dxa"/>
          </w:tblCellMar>
          <w:tblLook w:val="04A0"/>
        </w:tblPrEx>
        <w:trPr>
          <w:trHeight w:val="330"/>
        </w:trPr>
        <w:tc>
          <w:tcPr>
            <w:tcW w:w="1407" w:type="dxa"/>
            <w:tcBorders>
              <w:top w:val="single" w:sz="6" w:space="0" w:color="auto"/>
              <w:left w:val="nil"/>
              <w:bottom w:val="single" w:sz="6" w:space="0" w:color="auto"/>
              <w:right w:val="nil"/>
            </w:tcBorders>
          </w:tcPr>
          <w:p w:rsidR="00D26E72" w:rsidP="008B04B2" w14:paraId="297DCC9A" w14:textId="5A64E451">
            <w:pPr>
              <w:spacing w:after="0" w:line="240" w:lineRule="auto"/>
              <w:jc w:val="center"/>
              <w:textAlignment w:val="baseline"/>
              <w:rPr>
                <w:b/>
                <w:bCs/>
              </w:rPr>
            </w:pPr>
            <w:r w:rsidRPr="002D22F9">
              <w:rPr>
                <w:b/>
                <w:bCs/>
              </w:rPr>
              <w:t>Total</w:t>
            </w:r>
          </w:p>
          <w:p w:rsidR="007233C8" w:rsidRPr="002D22F9" w:rsidP="008B04B2" w14:paraId="47AE9466" w14:textId="5C224354">
            <w:pPr>
              <w:spacing w:after="0" w:line="240" w:lineRule="auto"/>
              <w:jc w:val="center"/>
              <w:textAlignment w:val="baseline"/>
              <w:rPr>
                <w:b/>
                <w:bCs/>
              </w:rPr>
            </w:pPr>
            <w:r w:rsidRPr="002D22F9">
              <w:rPr>
                <w:b/>
                <w:bCs/>
              </w:rPr>
              <w:t>(All Parks)</w:t>
            </w:r>
          </w:p>
        </w:tc>
        <w:tc>
          <w:tcPr>
            <w:tcW w:w="1592" w:type="dxa"/>
            <w:tcBorders>
              <w:top w:val="single" w:sz="6" w:space="0" w:color="auto"/>
              <w:left w:val="nil"/>
              <w:bottom w:val="single" w:sz="6" w:space="0" w:color="auto"/>
              <w:right w:val="nil"/>
            </w:tcBorders>
            <w:shd w:val="clear" w:color="auto" w:fill="auto"/>
            <w:vAlign w:val="center"/>
            <w:hideMark/>
          </w:tcPr>
          <w:p w:rsidR="007233C8" w:rsidRPr="002D22F9" w:rsidP="00D26E72" w14:paraId="44274286" w14:textId="114964D9">
            <w:pPr>
              <w:spacing w:after="0" w:line="240" w:lineRule="auto"/>
              <w:jc w:val="center"/>
              <w:textAlignment w:val="baseline"/>
              <w:rPr>
                <w:rFonts w:ascii="Times New Roman" w:eastAsia="Times New Roman" w:hAnsi="Times New Roman" w:cs="Times New Roman"/>
                <w:b/>
                <w:bCs/>
                <w:sz w:val="24"/>
                <w:szCs w:val="24"/>
              </w:rPr>
            </w:pPr>
            <w:r w:rsidRPr="002D22F9">
              <w:rPr>
                <w:b/>
                <w:bCs/>
              </w:rPr>
              <w:t>46,170</w:t>
            </w:r>
          </w:p>
        </w:tc>
        <w:tc>
          <w:tcPr>
            <w:tcW w:w="1575" w:type="dxa"/>
            <w:tcBorders>
              <w:top w:val="single" w:sz="6" w:space="0" w:color="auto"/>
              <w:left w:val="nil"/>
              <w:bottom w:val="single" w:sz="6" w:space="0" w:color="auto"/>
              <w:right w:val="nil"/>
            </w:tcBorders>
            <w:shd w:val="clear" w:color="auto" w:fill="B8CCE4" w:themeFill="accent1" w:themeFillTint="66"/>
            <w:vAlign w:val="center"/>
            <w:hideMark/>
          </w:tcPr>
          <w:p w:rsidR="007233C8" w:rsidRPr="002D22F9" w:rsidP="00D26E72" w14:paraId="312FE29A" w14:textId="5D622B79">
            <w:pPr>
              <w:spacing w:after="0" w:line="240" w:lineRule="auto"/>
              <w:jc w:val="center"/>
              <w:textAlignment w:val="baseline"/>
              <w:rPr>
                <w:rFonts w:eastAsia="Times New Roman" w:cstheme="minorHAnsi"/>
                <w:b/>
                <w:bCs/>
                <w:sz w:val="20"/>
                <w:szCs w:val="20"/>
              </w:rPr>
            </w:pPr>
            <w:r w:rsidRPr="002D22F9">
              <w:rPr>
                <w:b/>
                <w:bCs/>
              </w:rPr>
              <w:t>36,936</w:t>
            </w:r>
          </w:p>
        </w:tc>
        <w:tc>
          <w:tcPr>
            <w:tcW w:w="1457" w:type="dxa"/>
            <w:tcBorders>
              <w:top w:val="single" w:sz="6" w:space="0" w:color="auto"/>
              <w:left w:val="nil"/>
              <w:bottom w:val="single" w:sz="6" w:space="0" w:color="auto"/>
              <w:right w:val="nil"/>
            </w:tcBorders>
            <w:shd w:val="clear" w:color="auto" w:fill="auto"/>
            <w:vAlign w:val="center"/>
            <w:hideMark/>
          </w:tcPr>
          <w:p w:rsidR="007233C8" w:rsidRPr="002D22F9" w:rsidP="00D26E72" w14:paraId="15150098" w14:textId="6EE8FCA2">
            <w:pPr>
              <w:spacing w:after="0" w:line="240" w:lineRule="auto"/>
              <w:jc w:val="center"/>
              <w:textAlignment w:val="baseline"/>
              <w:rPr>
                <w:rFonts w:ascii="Times New Roman" w:eastAsia="Times New Roman" w:hAnsi="Times New Roman" w:cs="Times New Roman"/>
                <w:b/>
                <w:bCs/>
                <w:sz w:val="24"/>
                <w:szCs w:val="24"/>
              </w:rPr>
            </w:pPr>
            <w:r w:rsidRPr="002D22F9">
              <w:rPr>
                <w:b/>
                <w:bCs/>
              </w:rPr>
              <w:t>9,234</w:t>
            </w:r>
          </w:p>
        </w:tc>
        <w:tc>
          <w:tcPr>
            <w:tcW w:w="1880" w:type="dxa"/>
            <w:tcBorders>
              <w:top w:val="single" w:sz="6" w:space="0" w:color="auto"/>
              <w:left w:val="nil"/>
              <w:bottom w:val="single" w:sz="6" w:space="0" w:color="auto"/>
              <w:right w:val="nil"/>
            </w:tcBorders>
            <w:shd w:val="clear" w:color="auto" w:fill="B8CCE4" w:themeFill="accent1" w:themeFillTint="66"/>
            <w:vAlign w:val="center"/>
            <w:hideMark/>
          </w:tcPr>
          <w:p w:rsidR="007233C8" w:rsidRPr="002D22F9" w:rsidP="00D26E72" w14:paraId="61C4881B" w14:textId="0F32B3D6">
            <w:pPr>
              <w:spacing w:after="0" w:line="240" w:lineRule="auto"/>
              <w:jc w:val="center"/>
              <w:textAlignment w:val="baseline"/>
              <w:rPr>
                <w:rFonts w:ascii="Times New Roman" w:eastAsia="Times New Roman" w:hAnsi="Times New Roman" w:cs="Times New Roman"/>
                <w:b/>
                <w:bCs/>
                <w:sz w:val="24"/>
                <w:szCs w:val="24"/>
              </w:rPr>
            </w:pPr>
            <w:r w:rsidRPr="002D22F9">
              <w:rPr>
                <w:b/>
                <w:bCs/>
              </w:rPr>
              <w:t>8,31</w:t>
            </w:r>
            <w:r w:rsidR="00A87092">
              <w:rPr>
                <w:b/>
                <w:bCs/>
              </w:rPr>
              <w:t>0</w:t>
            </w:r>
          </w:p>
        </w:tc>
        <w:tc>
          <w:tcPr>
            <w:tcW w:w="1449" w:type="dxa"/>
            <w:tcBorders>
              <w:top w:val="single" w:sz="6" w:space="0" w:color="auto"/>
              <w:left w:val="nil"/>
              <w:bottom w:val="single" w:sz="6" w:space="0" w:color="auto"/>
              <w:right w:val="nil"/>
            </w:tcBorders>
            <w:shd w:val="clear" w:color="auto" w:fill="auto"/>
            <w:vAlign w:val="center"/>
            <w:hideMark/>
          </w:tcPr>
          <w:p w:rsidR="007233C8" w:rsidRPr="002D22F9" w:rsidP="00D26E72" w14:paraId="4BA65930" w14:textId="65FA19B1">
            <w:pPr>
              <w:spacing w:after="0" w:line="240" w:lineRule="auto"/>
              <w:jc w:val="center"/>
              <w:textAlignment w:val="baseline"/>
              <w:rPr>
                <w:rFonts w:ascii="Times New Roman" w:eastAsia="Times New Roman" w:hAnsi="Times New Roman" w:cs="Times New Roman"/>
                <w:b/>
                <w:bCs/>
                <w:sz w:val="24"/>
                <w:szCs w:val="24"/>
              </w:rPr>
            </w:pPr>
            <w:r w:rsidRPr="002D22F9">
              <w:rPr>
                <w:b/>
                <w:bCs/>
              </w:rPr>
              <w:t>924</w:t>
            </w:r>
          </w:p>
        </w:tc>
      </w:tr>
    </w:tbl>
    <w:bookmarkEnd w:id="1"/>
    <w:p w:rsidR="008B04B2" w:rsidRPr="002917FC" w:rsidP="008B04B2" w14:paraId="3041576B" w14:textId="22430CFB">
      <w:pPr>
        <w:spacing w:after="0" w:line="240" w:lineRule="auto"/>
        <w:textAlignment w:val="baseline"/>
        <w:rPr>
          <w:rFonts w:ascii="Times New Roman" w:eastAsia="Times New Roman" w:hAnsi="Times New Roman" w:cs="Times New Roman"/>
          <w:sz w:val="24"/>
          <w:szCs w:val="24"/>
        </w:rPr>
      </w:pPr>
      <w:r w:rsidRPr="002047B3">
        <w:rPr>
          <w:rFonts w:ascii="Times New Roman" w:eastAsia="Times New Roman" w:hAnsi="Times New Roman" w:cs="Times New Roman"/>
          <w:sz w:val="24"/>
          <w:szCs w:val="24"/>
        </w:rPr>
        <w:t> </w:t>
      </w:r>
    </w:p>
    <w:p w:rsidR="0045722C" w:rsidP="0045722C" w14:paraId="7E7642AC" w14:textId="7EACBD2E">
      <w:pPr>
        <w:spacing w:after="0" w:line="360" w:lineRule="auto"/>
        <w:textAlignment w:val="baseline"/>
        <w:rPr>
          <w:rFonts w:ascii="Calibri" w:eastAsia="Times New Roman" w:hAnsi="Calibri" w:cs="Calibri"/>
        </w:rPr>
      </w:pPr>
      <w:r>
        <w:rPr>
          <w:rFonts w:ascii="Calibri" w:eastAsia="Times New Roman" w:hAnsi="Calibri" w:cs="Calibri"/>
        </w:rPr>
        <w:t>T</w:t>
      </w:r>
      <w:r w:rsidRPr="002047B3" w:rsidR="002047B3">
        <w:rPr>
          <w:rFonts w:ascii="Calibri" w:eastAsia="Times New Roman" w:hAnsi="Calibri" w:cs="Calibri"/>
        </w:rPr>
        <w:t>he following estimates for the mail-back/on-line survey </w:t>
      </w:r>
      <w:r w:rsidR="001905E6">
        <w:rPr>
          <w:rFonts w:ascii="Calibri" w:eastAsia="Times New Roman" w:hAnsi="Calibri" w:cs="Calibri"/>
        </w:rPr>
        <w:t>is</w:t>
      </w:r>
      <w:r>
        <w:rPr>
          <w:rFonts w:ascii="Calibri" w:eastAsia="Times New Roman" w:hAnsi="Calibri" w:cs="Calibri"/>
        </w:rPr>
        <w:t xml:space="preserve"> </w:t>
      </w:r>
      <w:r w:rsidRPr="002047B3" w:rsidR="002047B3">
        <w:rPr>
          <w:rFonts w:ascii="Calibri" w:eastAsia="Times New Roman" w:hAnsi="Calibri" w:cs="Calibri"/>
        </w:rPr>
        <w:t>assumed based on visitor contacts from the intercept survey. All visitors who are given a mail-back/online survey will have already taken the intercept survey, which includes non-response bias questions. Thus, there is no extra effort necessary to collect non-response bias responses from respondents who do not participate in the mail-back/online survey</w:t>
      </w:r>
      <w:r w:rsidR="008B04B2">
        <w:rPr>
          <w:rFonts w:ascii="Calibri" w:eastAsia="Times New Roman" w:hAnsi="Calibri" w:cs="Calibri"/>
        </w:rPr>
        <w:t xml:space="preserve"> (Table </w:t>
      </w:r>
      <w:r w:rsidR="00973FDE">
        <w:rPr>
          <w:rFonts w:ascii="Calibri" w:eastAsia="Times New Roman" w:hAnsi="Calibri" w:cs="Calibri"/>
        </w:rPr>
        <w:t>1.3</w:t>
      </w:r>
      <w:r w:rsidR="008B04B2">
        <w:rPr>
          <w:rFonts w:ascii="Calibri" w:eastAsia="Times New Roman" w:hAnsi="Calibri" w:cs="Calibri"/>
        </w:rPr>
        <w:t>)</w:t>
      </w:r>
      <w:r w:rsidRPr="002047B3" w:rsidR="002047B3">
        <w:rPr>
          <w:rFonts w:ascii="Calibri" w:eastAsia="Times New Roman" w:hAnsi="Calibri" w:cs="Calibri"/>
        </w:rPr>
        <w:t>. </w:t>
      </w:r>
    </w:p>
    <w:p w:rsidR="008B04B2" w:rsidRPr="002047B3" w:rsidP="008B04B2" w14:paraId="16485D7D" w14:textId="77777777">
      <w:pPr>
        <w:spacing w:after="0" w:line="240" w:lineRule="auto"/>
        <w:textAlignment w:val="baseline"/>
        <w:rPr>
          <w:rFonts w:ascii="Segoe UI" w:eastAsia="Times New Roman" w:hAnsi="Segoe UI" w:cs="Segoe UI"/>
          <w:sz w:val="18"/>
          <w:szCs w:val="18"/>
        </w:rPr>
      </w:pPr>
    </w:p>
    <w:p w:rsidR="002047B3" w:rsidRPr="002047B3" w:rsidP="008B04B2" w14:paraId="01AFFF48" w14:textId="6545BD82">
      <w:pPr>
        <w:spacing w:after="0" w:line="240" w:lineRule="auto"/>
        <w:textAlignment w:val="baseline"/>
        <w:rPr>
          <w:rFonts w:ascii="Segoe UI" w:eastAsia="Times New Roman" w:hAnsi="Segoe UI" w:cs="Segoe UI"/>
          <w:sz w:val="18"/>
          <w:szCs w:val="18"/>
        </w:rPr>
      </w:pPr>
      <w:r w:rsidRPr="002047B3">
        <w:rPr>
          <w:rFonts w:ascii="Calibri" w:eastAsia="Times New Roman" w:hAnsi="Calibri" w:cs="Calibri"/>
          <w:b/>
          <w:bCs/>
        </w:rPr>
        <w:t>Table </w:t>
      </w:r>
      <w:r w:rsidRPr="00B46473" w:rsidR="00973FDE">
        <w:rPr>
          <w:rFonts w:ascii="Calibri" w:eastAsia="Times New Roman" w:hAnsi="Calibri" w:cs="Calibri"/>
          <w:b/>
          <w:bCs/>
          <w:shd w:val="clear" w:color="auto" w:fill="FFFFFF" w:themeFill="background1"/>
        </w:rPr>
        <w:t>1.</w:t>
      </w:r>
      <w:r w:rsidRPr="00B46473" w:rsidR="008B04B2">
        <w:rPr>
          <w:rFonts w:ascii="Calibri" w:eastAsia="Times New Roman" w:hAnsi="Calibri" w:cs="Calibri"/>
          <w:b/>
          <w:bCs/>
          <w:color w:val="000000"/>
          <w:shd w:val="clear" w:color="auto" w:fill="FFFFFF" w:themeFill="background1"/>
        </w:rPr>
        <w:t>3</w:t>
      </w:r>
      <w:r w:rsidR="00973FDE">
        <w:rPr>
          <w:rFonts w:ascii="Calibri" w:eastAsia="Times New Roman" w:hAnsi="Calibri" w:cs="Calibri"/>
          <w:b/>
          <w:bCs/>
        </w:rPr>
        <w:t>:</w:t>
      </w:r>
      <w:r w:rsidRPr="002047B3">
        <w:rPr>
          <w:rFonts w:ascii="Calibri" w:eastAsia="Times New Roman" w:hAnsi="Calibri" w:cs="Calibri"/>
          <w:b/>
          <w:bCs/>
        </w:rPr>
        <w:t> Anticipated Follow-up Survey Response Rates</w:t>
      </w:r>
      <w:r w:rsidRPr="002047B3">
        <w:rPr>
          <w:rFonts w:ascii="Calibri" w:eastAsia="Times New Roman" w:hAnsi="Calibri" w:cs="Calibri"/>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17"/>
        <w:gridCol w:w="1799"/>
        <w:gridCol w:w="1981"/>
        <w:gridCol w:w="45"/>
        <w:gridCol w:w="2069"/>
        <w:gridCol w:w="1919"/>
      </w:tblGrid>
      <w:tr w14:paraId="438FE048" w14:textId="77777777" w:rsidTr="003E33E3">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17" w:type="dxa"/>
            <w:tcBorders>
              <w:top w:val="single" w:sz="6" w:space="0" w:color="auto"/>
              <w:left w:val="nil"/>
              <w:bottom w:val="single" w:sz="4" w:space="0" w:color="auto"/>
              <w:right w:val="nil"/>
            </w:tcBorders>
            <w:shd w:val="clear" w:color="auto" w:fill="B8CCE4" w:themeFill="accent1" w:themeFillTint="66"/>
            <w:vAlign w:val="center"/>
            <w:hideMark/>
          </w:tcPr>
          <w:p w:rsidR="0045118B" w:rsidRPr="00ED2105" w:rsidP="0045118B" w14:paraId="0CB11381"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Effort Category</w:t>
            </w:r>
            <w:r w:rsidRPr="00ED2105">
              <w:rPr>
                <w:rStyle w:val="eop"/>
                <w:rFonts w:asciiTheme="minorHAnsi" w:hAnsiTheme="minorHAnsi" w:cstheme="minorHAnsi"/>
                <w:sz w:val="18"/>
                <w:szCs w:val="18"/>
              </w:rPr>
              <w:t> </w:t>
            </w:r>
          </w:p>
        </w:tc>
        <w:tc>
          <w:tcPr>
            <w:tcW w:w="1799" w:type="dxa"/>
            <w:tcBorders>
              <w:top w:val="single" w:sz="6" w:space="0" w:color="auto"/>
              <w:left w:val="nil"/>
              <w:bottom w:val="single" w:sz="4" w:space="0" w:color="auto"/>
              <w:right w:val="nil"/>
            </w:tcBorders>
            <w:shd w:val="clear" w:color="auto" w:fill="B8CCE4" w:themeFill="accent1" w:themeFillTint="66"/>
            <w:vAlign w:val="center"/>
            <w:hideMark/>
          </w:tcPr>
          <w:p w:rsidR="0045118B" w:rsidRPr="00ED2105" w:rsidP="0045118B" w14:paraId="0045FC88"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Completed </w:t>
            </w:r>
            <w:r w:rsidRPr="00ED2105">
              <w:rPr>
                <w:rStyle w:val="normaltextrun"/>
                <w:rFonts w:asciiTheme="minorHAnsi" w:hAnsiTheme="minorHAnsi" w:cstheme="minorHAnsi"/>
                <w:sz w:val="18"/>
                <w:szCs w:val="18"/>
              </w:rPr>
              <w:t> </w:t>
            </w:r>
            <w:r w:rsidRPr="00ED2105">
              <w:rPr>
                <w:rStyle w:val="scxw25875571"/>
                <w:rFonts w:asciiTheme="minorHAnsi" w:hAnsiTheme="minorHAnsi" w:cstheme="minorHAnsi"/>
                <w:sz w:val="18"/>
                <w:szCs w:val="18"/>
              </w:rPr>
              <w:t> </w:t>
            </w:r>
            <w:r w:rsidRPr="00ED2105">
              <w:rPr>
                <w:rFonts w:asciiTheme="minorHAnsi" w:hAnsiTheme="minorHAnsi" w:cstheme="minorHAnsi"/>
                <w:sz w:val="18"/>
                <w:szCs w:val="18"/>
              </w:rPr>
              <w:br/>
            </w:r>
            <w:r w:rsidRPr="00ED2105">
              <w:rPr>
                <w:rStyle w:val="normaltextrun"/>
                <w:rFonts w:asciiTheme="minorHAnsi" w:hAnsiTheme="minorHAnsi" w:cstheme="minorHAnsi"/>
                <w:b/>
                <w:bCs/>
                <w:sz w:val="18"/>
                <w:szCs w:val="18"/>
              </w:rPr>
              <w:t>Onsite Surveys</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p w:rsidR="0045118B" w:rsidRPr="00ED2105" w:rsidP="0045118B" w14:paraId="17F59785"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w:t>
            </w:r>
            <w:r w:rsidRPr="00ED2105">
              <w:rPr>
                <w:rStyle w:val="contextualspellingandgrammarerror"/>
                <w:rFonts w:eastAsia="MS Mincho" w:asciiTheme="minorHAnsi" w:hAnsiTheme="minorHAnsi" w:cstheme="minorHAnsi"/>
                <w:b/>
                <w:bCs/>
                <w:sz w:val="18"/>
                <w:szCs w:val="18"/>
              </w:rPr>
              <w:t>see</w:t>
            </w:r>
            <w:r w:rsidRPr="00ED2105">
              <w:rPr>
                <w:rStyle w:val="normaltextrun"/>
                <w:rFonts w:asciiTheme="minorHAnsi" w:hAnsiTheme="minorHAnsi" w:cstheme="minorHAnsi"/>
                <w:b/>
                <w:bCs/>
                <w:sz w:val="18"/>
                <w:szCs w:val="18"/>
              </w:rPr>
              <w:t xml:space="preserve"> Table 1.2)</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tc>
        <w:tc>
          <w:tcPr>
            <w:tcW w:w="2026" w:type="dxa"/>
            <w:gridSpan w:val="2"/>
            <w:tcBorders>
              <w:top w:val="single" w:sz="6" w:space="0" w:color="auto"/>
              <w:left w:val="nil"/>
              <w:bottom w:val="single" w:sz="4" w:space="0" w:color="auto"/>
              <w:right w:val="nil"/>
            </w:tcBorders>
            <w:shd w:val="clear" w:color="auto" w:fill="B8CCE4" w:themeFill="accent1" w:themeFillTint="66"/>
            <w:vAlign w:val="center"/>
            <w:hideMark/>
          </w:tcPr>
          <w:p w:rsidR="0045118B" w:rsidRPr="00ED2105" w:rsidP="0045118B" w14:paraId="43C27FF1"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Accepted Follow-up Surveys</w:t>
            </w:r>
            <w:r w:rsidRPr="00ED2105">
              <w:rPr>
                <w:rStyle w:val="normaltextrun"/>
                <w:rFonts w:asciiTheme="minorHAnsi" w:hAnsiTheme="minorHAnsi" w:cstheme="minorHAnsi"/>
                <w:sz w:val="18"/>
                <w:szCs w:val="18"/>
              </w:rPr>
              <w:t> </w:t>
            </w:r>
            <w:r w:rsidRPr="00ED2105">
              <w:rPr>
                <w:rStyle w:val="scxw25875571"/>
                <w:rFonts w:asciiTheme="minorHAnsi" w:hAnsiTheme="minorHAnsi" w:cstheme="minorHAnsi"/>
                <w:sz w:val="18"/>
                <w:szCs w:val="18"/>
              </w:rPr>
              <w:t> </w:t>
            </w:r>
            <w:r w:rsidRPr="00ED2105">
              <w:rPr>
                <w:rFonts w:asciiTheme="minorHAnsi" w:hAnsiTheme="minorHAnsi" w:cstheme="minorHAnsi"/>
                <w:sz w:val="18"/>
                <w:szCs w:val="18"/>
              </w:rPr>
              <w:br/>
            </w:r>
            <w:r w:rsidRPr="00ED2105">
              <w:rPr>
                <w:rStyle w:val="normaltextrun"/>
                <w:rFonts w:asciiTheme="minorHAnsi" w:hAnsiTheme="minorHAnsi" w:cstheme="minorHAnsi"/>
                <w:b/>
                <w:bCs/>
                <w:sz w:val="18"/>
                <w:szCs w:val="18"/>
              </w:rPr>
              <w:t>(90% of onsite completes)</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tc>
        <w:tc>
          <w:tcPr>
            <w:tcW w:w="2069" w:type="dxa"/>
            <w:tcBorders>
              <w:top w:val="single" w:sz="6" w:space="0" w:color="auto"/>
              <w:left w:val="nil"/>
              <w:bottom w:val="single" w:sz="4" w:space="0" w:color="auto"/>
              <w:right w:val="nil"/>
            </w:tcBorders>
            <w:shd w:val="clear" w:color="auto" w:fill="B8CCE4" w:themeFill="accent1" w:themeFillTint="66"/>
            <w:vAlign w:val="center"/>
            <w:hideMark/>
          </w:tcPr>
          <w:p w:rsidR="0045118B" w:rsidRPr="00ED2105" w:rsidP="0045118B" w14:paraId="17B3125B"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Completed Follow-up Surveys</w:t>
            </w:r>
            <w:r w:rsidRPr="00ED2105">
              <w:rPr>
                <w:rStyle w:val="normaltextrun"/>
                <w:rFonts w:asciiTheme="minorHAnsi" w:hAnsiTheme="minorHAnsi" w:cstheme="minorHAnsi"/>
                <w:sz w:val="18"/>
                <w:szCs w:val="18"/>
              </w:rPr>
              <w:t> </w:t>
            </w:r>
            <w:r w:rsidRPr="00ED2105">
              <w:rPr>
                <w:rStyle w:val="scxw25875571"/>
                <w:rFonts w:asciiTheme="minorHAnsi" w:hAnsiTheme="minorHAnsi" w:cstheme="minorHAnsi"/>
                <w:sz w:val="18"/>
                <w:szCs w:val="18"/>
              </w:rPr>
              <w:t> </w:t>
            </w:r>
            <w:r w:rsidRPr="00ED2105">
              <w:rPr>
                <w:rFonts w:asciiTheme="minorHAnsi" w:hAnsiTheme="minorHAnsi" w:cstheme="minorHAnsi"/>
                <w:sz w:val="18"/>
                <w:szCs w:val="18"/>
              </w:rPr>
              <w:br/>
            </w:r>
            <w:r w:rsidRPr="00ED2105">
              <w:rPr>
                <w:rStyle w:val="normaltextrun"/>
                <w:rFonts w:asciiTheme="minorHAnsi" w:hAnsiTheme="minorHAnsi" w:cstheme="minorHAnsi"/>
                <w:b/>
                <w:bCs/>
                <w:sz w:val="18"/>
                <w:szCs w:val="18"/>
              </w:rPr>
              <w:t>(40% of accepted surveys)</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tc>
        <w:tc>
          <w:tcPr>
            <w:tcW w:w="1919" w:type="dxa"/>
            <w:tcBorders>
              <w:top w:val="single" w:sz="6" w:space="0" w:color="auto"/>
              <w:left w:val="nil"/>
              <w:bottom w:val="single" w:sz="4" w:space="0" w:color="auto"/>
              <w:right w:val="nil"/>
            </w:tcBorders>
            <w:shd w:val="clear" w:color="auto" w:fill="B8CCE4" w:themeFill="accent1" w:themeFillTint="66"/>
            <w:hideMark/>
          </w:tcPr>
          <w:p w:rsidR="0045118B" w:rsidRPr="00ED2105" w:rsidP="0045118B" w14:paraId="4BD3F5E3"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Follow-up Survey Non-respondents</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p w:rsidR="0045118B" w:rsidRPr="00ED2105" w:rsidP="0045118B" w14:paraId="1D8CF496" w14:textId="77777777">
            <w:pPr>
              <w:pStyle w:val="paragraph"/>
              <w:spacing w:before="0" w:beforeAutospacing="0" w:after="0" w:afterAutospacing="0"/>
              <w:jc w:val="center"/>
              <w:textAlignment w:val="baseline"/>
              <w:rPr>
                <w:rFonts w:asciiTheme="minorHAnsi" w:hAnsiTheme="minorHAnsi" w:cstheme="minorHAnsi"/>
                <w:sz w:val="18"/>
                <w:szCs w:val="18"/>
              </w:rPr>
            </w:pPr>
            <w:r w:rsidRPr="00ED2105">
              <w:rPr>
                <w:rStyle w:val="normaltextrun"/>
                <w:rFonts w:asciiTheme="minorHAnsi" w:hAnsiTheme="minorHAnsi" w:cstheme="minorHAnsi"/>
                <w:b/>
                <w:bCs/>
                <w:sz w:val="18"/>
                <w:szCs w:val="18"/>
              </w:rPr>
              <w:t>(60% of accepted surveys)</w:t>
            </w:r>
            <w:r w:rsidRPr="00ED2105">
              <w:rPr>
                <w:rStyle w:val="normaltextrun"/>
                <w:rFonts w:asciiTheme="minorHAnsi" w:hAnsiTheme="minorHAnsi" w:cstheme="minorHAnsi"/>
                <w:sz w:val="18"/>
                <w:szCs w:val="18"/>
              </w:rPr>
              <w:t> </w:t>
            </w:r>
            <w:r w:rsidRPr="00ED2105">
              <w:rPr>
                <w:rStyle w:val="eop"/>
                <w:rFonts w:asciiTheme="minorHAnsi" w:hAnsiTheme="minorHAnsi" w:cstheme="minorHAnsi"/>
                <w:sz w:val="18"/>
                <w:szCs w:val="18"/>
              </w:rPr>
              <w:t> </w:t>
            </w:r>
          </w:p>
        </w:tc>
      </w:tr>
      <w:tr w14:paraId="4DC6A655" w14:textId="77777777" w:rsidTr="003E33E3">
        <w:tblPrEx>
          <w:tblW w:w="9330" w:type="dxa"/>
          <w:tblCellMar>
            <w:left w:w="0" w:type="dxa"/>
            <w:right w:w="0" w:type="dxa"/>
          </w:tblCellMar>
          <w:tblLook w:val="04A0"/>
        </w:tblPrEx>
        <w:trPr>
          <w:trHeight w:val="315"/>
        </w:trPr>
        <w:tc>
          <w:tcPr>
            <w:tcW w:w="1517" w:type="dxa"/>
            <w:tcBorders>
              <w:top w:val="single" w:sz="4" w:space="0" w:color="auto"/>
              <w:left w:val="nil"/>
              <w:bottom w:val="single" w:sz="6" w:space="0" w:color="auto"/>
              <w:right w:val="nil"/>
            </w:tcBorders>
            <w:shd w:val="clear" w:color="auto" w:fill="auto"/>
            <w:hideMark/>
          </w:tcPr>
          <w:p w:rsidR="0045118B" w:rsidRPr="00243666" w:rsidP="0045118B" w14:paraId="019BF012" w14:textId="77777777">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sz w:val="22"/>
                <w:szCs w:val="22"/>
              </w:rPr>
              <w:t>Normal Effort </w:t>
            </w:r>
            <w:r w:rsidRPr="00243666">
              <w:rPr>
                <w:rStyle w:val="eop"/>
                <w:rFonts w:asciiTheme="minorHAnsi" w:hAnsiTheme="minorHAnsi" w:cstheme="minorHAnsi"/>
                <w:sz w:val="22"/>
                <w:szCs w:val="22"/>
              </w:rPr>
              <w:t> </w:t>
            </w:r>
          </w:p>
          <w:p w:rsidR="0045118B" w:rsidRPr="00243666" w:rsidP="0045118B" w14:paraId="565581B5" w14:textId="49C9BC81">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sz w:val="22"/>
                <w:szCs w:val="22"/>
              </w:rPr>
              <w:t>(</w:t>
            </w:r>
            <w:r w:rsidR="00A3080E">
              <w:rPr>
                <w:rStyle w:val="normaltextrun"/>
                <w:rFonts w:asciiTheme="minorHAnsi" w:hAnsiTheme="minorHAnsi" w:cstheme="minorHAnsi"/>
                <w:sz w:val="22"/>
                <w:szCs w:val="22"/>
              </w:rPr>
              <w:t>27 parks</w:t>
            </w:r>
            <w:r w:rsidRPr="00243666">
              <w:rPr>
                <w:rStyle w:val="normaltextrun"/>
                <w:rFonts w:asciiTheme="minorHAnsi" w:hAnsiTheme="minorHAnsi" w:cstheme="minorHAnsi"/>
                <w:sz w:val="22"/>
                <w:szCs w:val="22"/>
              </w:rPr>
              <w:t>)</w:t>
            </w:r>
            <w:r w:rsidRPr="00243666">
              <w:rPr>
                <w:rStyle w:val="eop"/>
                <w:rFonts w:asciiTheme="minorHAnsi" w:hAnsiTheme="minorHAnsi" w:cstheme="minorHAnsi"/>
                <w:sz w:val="22"/>
                <w:szCs w:val="22"/>
              </w:rPr>
              <w:t> </w:t>
            </w:r>
          </w:p>
        </w:tc>
        <w:tc>
          <w:tcPr>
            <w:tcW w:w="1799" w:type="dxa"/>
            <w:tcBorders>
              <w:top w:val="single" w:sz="4" w:space="0" w:color="auto"/>
              <w:left w:val="nil"/>
              <w:bottom w:val="single" w:sz="6" w:space="0" w:color="auto"/>
              <w:right w:val="nil"/>
            </w:tcBorders>
            <w:shd w:val="clear" w:color="auto" w:fill="auto"/>
            <w:vAlign w:val="center"/>
            <w:hideMark/>
          </w:tcPr>
          <w:p w:rsidR="0045118B" w:rsidRPr="00243666" w:rsidP="0045118B" w14:paraId="35DC3DCD" w14:textId="39F5F307">
            <w:pPr>
              <w:pStyle w:val="paragraph"/>
              <w:spacing w:before="0" w:beforeAutospacing="0" w:after="0" w:afterAutospacing="0"/>
              <w:jc w:val="center"/>
              <w:textAlignment w:val="baseline"/>
              <w:rPr>
                <w:rStyle w:val="eop"/>
                <w:rFonts w:asciiTheme="minorHAnsi" w:hAnsiTheme="minorHAnsi" w:cstheme="minorHAnsi"/>
                <w:sz w:val="22"/>
                <w:szCs w:val="22"/>
              </w:rPr>
            </w:pPr>
            <w:r w:rsidRPr="00243666">
              <w:rPr>
                <w:rStyle w:val="normaltextrun"/>
                <w:rFonts w:asciiTheme="minorHAnsi" w:hAnsiTheme="minorHAnsi" w:cstheme="minorHAnsi"/>
                <w:sz w:val="22"/>
                <w:szCs w:val="22"/>
              </w:rPr>
              <w:t>30,24</w:t>
            </w:r>
            <w:r w:rsidRPr="00243666" w:rsidR="000D3B98">
              <w:rPr>
                <w:rStyle w:val="normaltextrun"/>
                <w:rFonts w:asciiTheme="minorHAnsi" w:hAnsiTheme="minorHAnsi" w:cstheme="minorHAnsi"/>
                <w:sz w:val="22"/>
                <w:szCs w:val="22"/>
              </w:rPr>
              <w:t>0</w:t>
            </w:r>
          </w:p>
          <w:p w:rsidR="000D3B98" w:rsidRPr="00243666" w:rsidP="0045118B" w14:paraId="295DEC2D" w14:textId="1EE83E04">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eop"/>
                <w:rFonts w:asciiTheme="minorHAnsi" w:hAnsiTheme="minorHAnsi" w:cstheme="minorHAnsi"/>
                <w:sz w:val="22"/>
                <w:szCs w:val="22"/>
              </w:rPr>
              <w:t>(1,120/park)</w:t>
            </w:r>
          </w:p>
        </w:tc>
        <w:tc>
          <w:tcPr>
            <w:tcW w:w="1981" w:type="dxa"/>
            <w:tcBorders>
              <w:top w:val="single" w:sz="4" w:space="0" w:color="auto"/>
              <w:left w:val="nil"/>
              <w:bottom w:val="single" w:sz="6" w:space="0" w:color="auto"/>
              <w:right w:val="nil"/>
            </w:tcBorders>
            <w:shd w:val="clear" w:color="auto" w:fill="B8CCE4" w:themeFill="accent1" w:themeFillTint="66"/>
            <w:vAlign w:val="center"/>
            <w:hideMark/>
          </w:tcPr>
          <w:p w:rsidR="0045118B" w:rsidRPr="00243666" w:rsidP="000D3B98" w14:paraId="72DB9BBE" w14:textId="26141812">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243666">
              <w:rPr>
                <w:rStyle w:val="normaltextrun"/>
                <w:rFonts w:asciiTheme="minorHAnsi" w:hAnsiTheme="minorHAnsi" w:cstheme="minorHAnsi"/>
                <w:sz w:val="22"/>
                <w:szCs w:val="22"/>
              </w:rPr>
              <w:t>27,216</w:t>
            </w:r>
          </w:p>
          <w:p w:rsidR="000D3B98" w:rsidRPr="00243666" w:rsidP="0045118B" w14:paraId="133A3D1D" w14:textId="7D1EBAFF">
            <w:pPr>
              <w:pStyle w:val="paragraph"/>
              <w:spacing w:before="0" w:beforeAutospacing="0" w:after="0" w:afterAutospacing="0"/>
              <w:jc w:val="center"/>
              <w:textAlignment w:val="baseline"/>
              <w:rPr>
                <w:rFonts w:asciiTheme="minorHAnsi" w:hAnsiTheme="minorHAnsi" w:cstheme="minorHAnsi"/>
                <w:sz w:val="22"/>
                <w:szCs w:val="22"/>
              </w:rPr>
            </w:pPr>
            <w:r w:rsidRPr="00243666">
              <w:rPr>
                <w:rFonts w:asciiTheme="minorHAnsi" w:hAnsiTheme="minorHAnsi" w:cstheme="minorHAnsi"/>
                <w:sz w:val="22"/>
                <w:szCs w:val="22"/>
              </w:rPr>
              <w:t>(1,008/park)</w:t>
            </w:r>
          </w:p>
        </w:tc>
        <w:tc>
          <w:tcPr>
            <w:tcW w:w="2114" w:type="dxa"/>
            <w:gridSpan w:val="2"/>
            <w:tcBorders>
              <w:top w:val="single" w:sz="4" w:space="0" w:color="auto"/>
              <w:left w:val="nil"/>
              <w:bottom w:val="single" w:sz="6" w:space="0" w:color="auto"/>
              <w:right w:val="nil"/>
            </w:tcBorders>
            <w:shd w:val="clear" w:color="auto" w:fill="auto"/>
            <w:vAlign w:val="center"/>
            <w:hideMark/>
          </w:tcPr>
          <w:p w:rsidR="0045118B" w:rsidRPr="00243666" w:rsidP="0045118B" w14:paraId="28E21869" w14:textId="046FE791">
            <w:pPr>
              <w:pStyle w:val="paragraph"/>
              <w:spacing w:before="0" w:beforeAutospacing="0" w:after="0" w:afterAutospacing="0"/>
              <w:jc w:val="center"/>
              <w:textAlignment w:val="baseline"/>
              <w:rPr>
                <w:rStyle w:val="eop"/>
                <w:rFonts w:asciiTheme="minorHAnsi" w:hAnsiTheme="minorHAnsi" w:cstheme="minorHAnsi"/>
                <w:sz w:val="22"/>
                <w:szCs w:val="22"/>
              </w:rPr>
            </w:pPr>
            <w:r w:rsidRPr="00243666">
              <w:rPr>
                <w:rStyle w:val="normaltextrun"/>
                <w:rFonts w:asciiTheme="minorHAnsi" w:hAnsiTheme="minorHAnsi" w:cstheme="minorHAnsi"/>
                <w:sz w:val="22"/>
                <w:szCs w:val="22"/>
              </w:rPr>
              <w:t>10,88</w:t>
            </w:r>
            <w:r w:rsidRPr="00243666" w:rsidR="000D3B98">
              <w:rPr>
                <w:rStyle w:val="normaltextrun"/>
                <w:rFonts w:asciiTheme="minorHAnsi" w:hAnsiTheme="minorHAnsi" w:cstheme="minorHAnsi"/>
                <w:sz w:val="22"/>
                <w:szCs w:val="22"/>
              </w:rPr>
              <w:t>7</w:t>
            </w:r>
            <w:r w:rsidRPr="00243666">
              <w:rPr>
                <w:rStyle w:val="eop"/>
                <w:rFonts w:asciiTheme="minorHAnsi" w:hAnsiTheme="minorHAnsi" w:cstheme="minorHAnsi"/>
                <w:sz w:val="22"/>
                <w:szCs w:val="22"/>
              </w:rPr>
              <w:t> </w:t>
            </w:r>
          </w:p>
          <w:p w:rsidR="000D3B98" w:rsidRPr="00243666" w:rsidP="0045118B" w14:paraId="11E0B03D" w14:textId="02789468">
            <w:pPr>
              <w:pStyle w:val="paragraph"/>
              <w:spacing w:before="0" w:beforeAutospacing="0" w:after="0" w:afterAutospacing="0"/>
              <w:jc w:val="center"/>
              <w:textAlignment w:val="baseline"/>
              <w:rPr>
                <w:rFonts w:asciiTheme="minorHAnsi" w:hAnsiTheme="minorHAnsi" w:cstheme="minorHAnsi"/>
                <w:sz w:val="22"/>
                <w:szCs w:val="22"/>
              </w:rPr>
            </w:pPr>
            <w:r w:rsidRPr="00243666">
              <w:rPr>
                <w:rFonts w:asciiTheme="minorHAnsi" w:hAnsiTheme="minorHAnsi" w:cstheme="minorHAnsi"/>
                <w:sz w:val="22"/>
                <w:szCs w:val="22"/>
              </w:rPr>
              <w:t>(403/park)</w:t>
            </w:r>
          </w:p>
        </w:tc>
        <w:tc>
          <w:tcPr>
            <w:tcW w:w="1919" w:type="dxa"/>
            <w:tcBorders>
              <w:top w:val="single" w:sz="4" w:space="0" w:color="auto"/>
              <w:left w:val="nil"/>
              <w:bottom w:val="single" w:sz="6" w:space="0" w:color="auto"/>
              <w:right w:val="nil"/>
            </w:tcBorders>
            <w:shd w:val="clear" w:color="auto" w:fill="B8CCE4" w:themeFill="accent1" w:themeFillTint="66"/>
            <w:vAlign w:val="center"/>
            <w:hideMark/>
          </w:tcPr>
          <w:p w:rsidR="0045118B" w:rsidRPr="00243666" w:rsidP="0045118B" w14:paraId="0CE6F53E" w14:textId="1B12101B">
            <w:pPr>
              <w:pStyle w:val="paragraph"/>
              <w:spacing w:before="0" w:beforeAutospacing="0" w:after="0" w:afterAutospacing="0"/>
              <w:jc w:val="center"/>
              <w:textAlignment w:val="baseline"/>
              <w:rPr>
                <w:rStyle w:val="eop"/>
                <w:rFonts w:asciiTheme="minorHAnsi" w:hAnsiTheme="minorHAnsi" w:cstheme="minorHAnsi"/>
                <w:sz w:val="22"/>
                <w:szCs w:val="22"/>
              </w:rPr>
            </w:pPr>
            <w:r w:rsidRPr="00243666">
              <w:rPr>
                <w:rStyle w:val="normaltextrun"/>
                <w:rFonts w:asciiTheme="minorHAnsi" w:hAnsiTheme="minorHAnsi" w:cstheme="minorHAnsi"/>
                <w:sz w:val="22"/>
                <w:szCs w:val="22"/>
              </w:rPr>
              <w:t>16,</w:t>
            </w:r>
            <w:r w:rsidRPr="00243666" w:rsidR="002E2B70">
              <w:rPr>
                <w:rStyle w:val="normaltextrun"/>
                <w:rFonts w:asciiTheme="minorHAnsi" w:hAnsiTheme="minorHAnsi" w:cstheme="minorHAnsi"/>
                <w:sz w:val="22"/>
                <w:szCs w:val="22"/>
              </w:rPr>
              <w:t>329</w:t>
            </w:r>
          </w:p>
          <w:p w:rsidR="00212DB2" w:rsidRPr="00243666" w:rsidP="0045118B" w14:paraId="6F4F3C3B" w14:textId="18CC3BC0">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eop"/>
                <w:rFonts w:asciiTheme="minorHAnsi" w:hAnsiTheme="minorHAnsi" w:cstheme="minorHAnsi"/>
                <w:sz w:val="22"/>
                <w:szCs w:val="22"/>
              </w:rPr>
              <w:t>(605/park)</w:t>
            </w:r>
          </w:p>
        </w:tc>
      </w:tr>
      <w:tr w14:paraId="254C7264" w14:textId="77777777" w:rsidTr="003E33E3">
        <w:tblPrEx>
          <w:tblW w:w="9330" w:type="dxa"/>
          <w:tblCellMar>
            <w:left w:w="0" w:type="dxa"/>
            <w:right w:w="0" w:type="dxa"/>
          </w:tblCellMar>
          <w:tblLook w:val="04A0"/>
        </w:tblPrEx>
        <w:trPr>
          <w:trHeight w:val="315"/>
        </w:trPr>
        <w:tc>
          <w:tcPr>
            <w:tcW w:w="1517" w:type="dxa"/>
            <w:tcBorders>
              <w:top w:val="nil"/>
              <w:left w:val="nil"/>
              <w:bottom w:val="single" w:sz="6" w:space="0" w:color="auto"/>
              <w:right w:val="nil"/>
            </w:tcBorders>
            <w:shd w:val="clear" w:color="auto" w:fill="auto"/>
            <w:hideMark/>
          </w:tcPr>
          <w:p w:rsidR="0045118B" w:rsidRPr="00243666" w:rsidP="0045118B" w14:paraId="58E7F14E" w14:textId="67C9F608">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sz w:val="22"/>
                <w:szCs w:val="22"/>
              </w:rPr>
              <w:t xml:space="preserve">Extra Effort </w:t>
            </w:r>
            <w:r w:rsidRPr="00243666">
              <w:rPr>
                <w:rStyle w:val="scxw25875571"/>
                <w:rFonts w:asciiTheme="minorHAnsi" w:hAnsiTheme="minorHAnsi" w:cstheme="minorHAnsi"/>
                <w:sz w:val="22"/>
                <w:szCs w:val="22"/>
              </w:rPr>
              <w:t> </w:t>
            </w:r>
            <w:r w:rsidRPr="00243666">
              <w:rPr>
                <w:rFonts w:asciiTheme="minorHAnsi" w:hAnsiTheme="minorHAnsi" w:cstheme="minorHAnsi"/>
                <w:sz w:val="22"/>
                <w:szCs w:val="22"/>
              </w:rPr>
              <w:br/>
            </w:r>
            <w:r w:rsidRPr="00243666">
              <w:rPr>
                <w:rStyle w:val="normaltextrun"/>
                <w:rFonts w:asciiTheme="minorHAnsi" w:hAnsiTheme="minorHAnsi" w:cstheme="minorHAnsi"/>
                <w:sz w:val="22"/>
                <w:szCs w:val="22"/>
              </w:rPr>
              <w:t>(</w:t>
            </w:r>
            <w:r w:rsidR="00A3080E">
              <w:rPr>
                <w:rStyle w:val="normaltextrun"/>
                <w:rFonts w:asciiTheme="minorHAnsi" w:hAnsiTheme="minorHAnsi" w:cstheme="minorHAnsi"/>
                <w:sz w:val="22"/>
                <w:szCs w:val="22"/>
              </w:rPr>
              <w:t>3 parks</w:t>
            </w:r>
            <w:r w:rsidRPr="00243666">
              <w:rPr>
                <w:rStyle w:val="normaltextrun"/>
                <w:rFonts w:asciiTheme="minorHAnsi" w:hAnsiTheme="minorHAnsi" w:cstheme="minorHAnsi"/>
                <w:sz w:val="22"/>
                <w:szCs w:val="22"/>
              </w:rPr>
              <w:t>)</w:t>
            </w:r>
            <w:r w:rsidRPr="00243666">
              <w:rPr>
                <w:rStyle w:val="eop"/>
                <w:rFonts w:asciiTheme="minorHAnsi" w:hAnsiTheme="minorHAnsi" w:cstheme="minorHAnsi"/>
                <w:sz w:val="22"/>
                <w:szCs w:val="22"/>
              </w:rPr>
              <w:t> </w:t>
            </w:r>
          </w:p>
        </w:tc>
        <w:tc>
          <w:tcPr>
            <w:tcW w:w="1799" w:type="dxa"/>
            <w:tcBorders>
              <w:top w:val="nil"/>
              <w:left w:val="nil"/>
              <w:bottom w:val="single" w:sz="6" w:space="0" w:color="auto"/>
              <w:right w:val="nil"/>
            </w:tcBorders>
            <w:shd w:val="clear" w:color="auto" w:fill="auto"/>
            <w:vAlign w:val="center"/>
            <w:hideMark/>
          </w:tcPr>
          <w:p w:rsidR="0045118B" w:rsidP="0045118B" w14:paraId="7E9315E2" w14:textId="77777777">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243666">
              <w:rPr>
                <w:rStyle w:val="normaltextrun"/>
                <w:rFonts w:asciiTheme="minorHAnsi" w:hAnsiTheme="minorHAnsi" w:cstheme="minorHAnsi"/>
                <w:sz w:val="22"/>
                <w:szCs w:val="22"/>
              </w:rPr>
              <w:t>6,696</w:t>
            </w:r>
          </w:p>
          <w:p w:rsidR="00243666" w:rsidRPr="00243666" w:rsidP="0045118B" w14:paraId="734076F9" w14:textId="115E89E1">
            <w:pPr>
              <w:pStyle w:val="paragraph"/>
              <w:spacing w:before="0" w:beforeAutospacing="0" w:after="0" w:afterAutospacing="0"/>
              <w:jc w:val="center"/>
              <w:textAlignment w:val="baseline"/>
              <w:rPr>
                <w:rFonts w:asciiTheme="minorHAnsi" w:hAnsiTheme="minorHAnsi" w:cstheme="minorHAnsi"/>
                <w:sz w:val="22"/>
                <w:szCs w:val="22"/>
              </w:rPr>
            </w:pPr>
            <w:r w:rsidRPr="00243666">
              <w:rPr>
                <w:rFonts w:asciiTheme="minorHAnsi" w:hAnsiTheme="minorHAnsi" w:cstheme="minorHAnsi"/>
                <w:sz w:val="22"/>
                <w:szCs w:val="22"/>
              </w:rPr>
              <w:t>(2,232/park)</w:t>
            </w:r>
          </w:p>
        </w:tc>
        <w:tc>
          <w:tcPr>
            <w:tcW w:w="1981" w:type="dxa"/>
            <w:tcBorders>
              <w:top w:val="nil"/>
              <w:left w:val="nil"/>
              <w:bottom w:val="single" w:sz="6" w:space="0" w:color="auto"/>
              <w:right w:val="nil"/>
            </w:tcBorders>
            <w:shd w:val="clear" w:color="auto" w:fill="B8CCE4" w:themeFill="accent1" w:themeFillTint="66"/>
            <w:vAlign w:val="center"/>
            <w:hideMark/>
          </w:tcPr>
          <w:p w:rsidR="0045118B" w:rsidRPr="00243666" w:rsidP="0045118B" w14:paraId="38717C95" w14:textId="77777777">
            <w:pPr>
              <w:pStyle w:val="paragraph"/>
              <w:spacing w:before="0" w:beforeAutospacing="0" w:after="0" w:afterAutospacing="0"/>
              <w:jc w:val="center"/>
              <w:textAlignment w:val="baseline"/>
              <w:rPr>
                <w:rStyle w:val="normaltextrun"/>
                <w:rFonts w:asciiTheme="minorHAnsi" w:hAnsiTheme="minorHAnsi" w:cstheme="minorHAnsi"/>
                <w:sz w:val="22"/>
                <w:szCs w:val="22"/>
              </w:rPr>
            </w:pPr>
            <w:r w:rsidRPr="00243666">
              <w:rPr>
                <w:rStyle w:val="normaltextrun"/>
                <w:rFonts w:asciiTheme="minorHAnsi" w:hAnsiTheme="minorHAnsi" w:cstheme="minorHAnsi"/>
                <w:sz w:val="22"/>
                <w:szCs w:val="22"/>
              </w:rPr>
              <w:t>6,027</w:t>
            </w:r>
          </w:p>
          <w:p w:rsidR="00243666" w:rsidRPr="00243666" w:rsidP="0045118B" w14:paraId="0F3966E9" w14:textId="03EBD8DE">
            <w:pPr>
              <w:pStyle w:val="paragraph"/>
              <w:spacing w:before="0" w:beforeAutospacing="0" w:after="0" w:afterAutospacing="0"/>
              <w:jc w:val="center"/>
              <w:textAlignment w:val="baseline"/>
              <w:rPr>
                <w:rFonts w:asciiTheme="minorHAnsi" w:hAnsiTheme="minorHAnsi" w:cstheme="minorHAnsi"/>
                <w:sz w:val="22"/>
                <w:szCs w:val="22"/>
              </w:rPr>
            </w:pPr>
            <w:r w:rsidRPr="00243666">
              <w:rPr>
                <w:rFonts w:asciiTheme="minorHAnsi" w:hAnsiTheme="minorHAnsi" w:cstheme="minorHAnsi"/>
                <w:sz w:val="22"/>
                <w:szCs w:val="22"/>
              </w:rPr>
              <w:t>(2,009/park)</w:t>
            </w:r>
          </w:p>
        </w:tc>
        <w:tc>
          <w:tcPr>
            <w:tcW w:w="2114" w:type="dxa"/>
            <w:gridSpan w:val="2"/>
            <w:tcBorders>
              <w:top w:val="nil"/>
              <w:left w:val="nil"/>
              <w:bottom w:val="single" w:sz="6" w:space="0" w:color="auto"/>
              <w:right w:val="nil"/>
            </w:tcBorders>
            <w:shd w:val="clear" w:color="auto" w:fill="auto"/>
            <w:vAlign w:val="center"/>
            <w:hideMark/>
          </w:tcPr>
          <w:p w:rsidR="0045118B" w:rsidRPr="00243666" w:rsidP="0045118B" w14:paraId="6E074384" w14:textId="23740B18">
            <w:pPr>
              <w:pStyle w:val="paragraph"/>
              <w:spacing w:before="0" w:beforeAutospacing="0" w:after="0" w:afterAutospacing="0"/>
              <w:jc w:val="center"/>
              <w:textAlignment w:val="baseline"/>
              <w:rPr>
                <w:rStyle w:val="eop"/>
                <w:rFonts w:asciiTheme="minorHAnsi" w:hAnsiTheme="minorHAnsi" w:cstheme="minorHAnsi"/>
                <w:sz w:val="22"/>
                <w:szCs w:val="22"/>
              </w:rPr>
            </w:pPr>
            <w:r w:rsidRPr="00243666">
              <w:rPr>
                <w:rStyle w:val="normaltextrun"/>
                <w:rFonts w:asciiTheme="minorHAnsi" w:hAnsiTheme="minorHAnsi" w:cstheme="minorHAnsi"/>
                <w:sz w:val="22"/>
                <w:szCs w:val="22"/>
              </w:rPr>
              <w:t>2,41</w:t>
            </w:r>
            <w:r w:rsidRPr="00243666" w:rsidR="00B83910">
              <w:rPr>
                <w:rStyle w:val="normaltextrun"/>
                <w:rFonts w:asciiTheme="minorHAnsi" w:hAnsiTheme="minorHAnsi" w:cstheme="minorHAnsi"/>
                <w:sz w:val="22"/>
                <w:szCs w:val="22"/>
              </w:rPr>
              <w:t>1</w:t>
            </w:r>
            <w:r w:rsidRPr="00243666">
              <w:rPr>
                <w:rStyle w:val="eop"/>
                <w:rFonts w:asciiTheme="minorHAnsi" w:hAnsiTheme="minorHAnsi" w:cstheme="minorHAnsi"/>
                <w:sz w:val="22"/>
                <w:szCs w:val="22"/>
              </w:rPr>
              <w:t> </w:t>
            </w:r>
          </w:p>
          <w:p w:rsidR="00243666" w:rsidRPr="00243666" w:rsidP="0045118B" w14:paraId="7D83F829" w14:textId="78215816">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eop"/>
                <w:rFonts w:asciiTheme="minorHAnsi" w:hAnsiTheme="minorHAnsi" w:cstheme="minorHAnsi"/>
                <w:sz w:val="22"/>
                <w:szCs w:val="22"/>
              </w:rPr>
              <w:t>(804/park)</w:t>
            </w:r>
          </w:p>
        </w:tc>
        <w:tc>
          <w:tcPr>
            <w:tcW w:w="1919" w:type="dxa"/>
            <w:tcBorders>
              <w:top w:val="nil"/>
              <w:left w:val="nil"/>
              <w:bottom w:val="single" w:sz="6" w:space="0" w:color="auto"/>
              <w:right w:val="nil"/>
            </w:tcBorders>
            <w:shd w:val="clear" w:color="auto" w:fill="B8CCE4" w:themeFill="accent1" w:themeFillTint="66"/>
            <w:vAlign w:val="center"/>
            <w:hideMark/>
          </w:tcPr>
          <w:p w:rsidR="0045118B" w:rsidRPr="00243666" w:rsidP="0045118B" w14:paraId="2B281EC5" w14:textId="7EB6FFA2">
            <w:pPr>
              <w:pStyle w:val="paragraph"/>
              <w:spacing w:before="0" w:beforeAutospacing="0" w:after="0" w:afterAutospacing="0"/>
              <w:jc w:val="center"/>
              <w:textAlignment w:val="baseline"/>
              <w:rPr>
                <w:rStyle w:val="eop"/>
                <w:rFonts w:asciiTheme="minorHAnsi" w:hAnsiTheme="minorHAnsi" w:cstheme="minorHAnsi"/>
                <w:sz w:val="22"/>
                <w:szCs w:val="22"/>
              </w:rPr>
            </w:pPr>
            <w:r w:rsidRPr="00243666">
              <w:rPr>
                <w:rStyle w:val="normaltextrun"/>
                <w:rFonts w:asciiTheme="minorHAnsi" w:hAnsiTheme="minorHAnsi" w:cstheme="minorHAnsi"/>
                <w:sz w:val="22"/>
                <w:szCs w:val="22"/>
              </w:rPr>
              <w:t>3,61</w:t>
            </w:r>
            <w:r w:rsidRPr="00243666" w:rsidR="00A57221">
              <w:rPr>
                <w:rStyle w:val="normaltextrun"/>
                <w:rFonts w:asciiTheme="minorHAnsi" w:hAnsiTheme="minorHAnsi" w:cstheme="minorHAnsi"/>
                <w:sz w:val="22"/>
                <w:szCs w:val="22"/>
              </w:rPr>
              <w:t>6</w:t>
            </w:r>
          </w:p>
          <w:p w:rsidR="00243666" w:rsidRPr="00243666" w:rsidP="0045118B" w14:paraId="49CBAA2E" w14:textId="2641BD70">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eop"/>
                <w:rFonts w:asciiTheme="minorHAnsi" w:hAnsiTheme="minorHAnsi" w:cstheme="minorHAnsi"/>
                <w:sz w:val="22"/>
                <w:szCs w:val="22"/>
              </w:rPr>
              <w:t>(1,205/park)</w:t>
            </w:r>
          </w:p>
        </w:tc>
      </w:tr>
      <w:tr w14:paraId="5CB1EA6B" w14:textId="77777777" w:rsidTr="003E33E3">
        <w:tblPrEx>
          <w:tblW w:w="9330" w:type="dxa"/>
          <w:tblCellMar>
            <w:left w:w="0" w:type="dxa"/>
            <w:right w:w="0" w:type="dxa"/>
          </w:tblCellMar>
          <w:tblLook w:val="04A0"/>
        </w:tblPrEx>
        <w:trPr>
          <w:trHeight w:val="315"/>
        </w:trPr>
        <w:tc>
          <w:tcPr>
            <w:tcW w:w="1517" w:type="dxa"/>
            <w:tcBorders>
              <w:top w:val="nil"/>
              <w:left w:val="nil"/>
              <w:bottom w:val="single" w:sz="6" w:space="0" w:color="auto"/>
              <w:right w:val="nil"/>
            </w:tcBorders>
            <w:shd w:val="clear" w:color="auto" w:fill="auto"/>
            <w:hideMark/>
          </w:tcPr>
          <w:p w:rsidR="0045118B" w:rsidRPr="00243666" w:rsidP="0045118B" w14:paraId="00CD2B57" w14:textId="77777777">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Total </w:t>
            </w:r>
            <w:r w:rsidRPr="00243666">
              <w:rPr>
                <w:rStyle w:val="eop"/>
                <w:rFonts w:asciiTheme="minorHAnsi" w:hAnsiTheme="minorHAnsi" w:cstheme="minorHAnsi"/>
                <w:sz w:val="22"/>
                <w:szCs w:val="22"/>
              </w:rPr>
              <w:t> </w:t>
            </w:r>
          </w:p>
          <w:p w:rsidR="0045118B" w:rsidRPr="00243666" w:rsidP="0045118B" w14:paraId="5A04673F" w14:textId="77777777">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(All Parks)</w:t>
            </w:r>
            <w:r w:rsidRPr="00243666">
              <w:rPr>
                <w:rStyle w:val="eop"/>
                <w:rFonts w:asciiTheme="minorHAnsi" w:hAnsiTheme="minorHAnsi" w:cstheme="minorHAnsi"/>
                <w:sz w:val="22"/>
                <w:szCs w:val="22"/>
              </w:rPr>
              <w:t> </w:t>
            </w:r>
          </w:p>
        </w:tc>
        <w:tc>
          <w:tcPr>
            <w:tcW w:w="1799" w:type="dxa"/>
            <w:tcBorders>
              <w:top w:val="nil"/>
              <w:left w:val="nil"/>
              <w:bottom w:val="single" w:sz="6" w:space="0" w:color="auto"/>
              <w:right w:val="nil"/>
            </w:tcBorders>
            <w:shd w:val="clear" w:color="auto" w:fill="auto"/>
            <w:vAlign w:val="center"/>
            <w:hideMark/>
          </w:tcPr>
          <w:p w:rsidR="0045118B" w:rsidRPr="00243666" w:rsidP="0045118B" w14:paraId="75F9B008" w14:textId="77777777">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36,936</w:t>
            </w:r>
            <w:r w:rsidRPr="00243666">
              <w:rPr>
                <w:rStyle w:val="eop"/>
                <w:rFonts w:asciiTheme="minorHAnsi" w:hAnsiTheme="minorHAnsi" w:cstheme="minorHAnsi"/>
                <w:sz w:val="22"/>
                <w:szCs w:val="22"/>
              </w:rPr>
              <w:t> </w:t>
            </w:r>
          </w:p>
        </w:tc>
        <w:tc>
          <w:tcPr>
            <w:tcW w:w="1981" w:type="dxa"/>
            <w:tcBorders>
              <w:top w:val="nil"/>
              <w:left w:val="nil"/>
              <w:bottom w:val="single" w:sz="6" w:space="0" w:color="auto"/>
              <w:right w:val="nil"/>
            </w:tcBorders>
            <w:shd w:val="clear" w:color="auto" w:fill="B8CCE4" w:themeFill="accent1" w:themeFillTint="66"/>
            <w:vAlign w:val="center"/>
            <w:hideMark/>
          </w:tcPr>
          <w:p w:rsidR="0045118B" w:rsidRPr="00243666" w:rsidP="0045118B" w14:paraId="06E3078A" w14:textId="77777777">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33,243</w:t>
            </w:r>
            <w:r w:rsidRPr="00243666">
              <w:rPr>
                <w:rStyle w:val="eop"/>
                <w:rFonts w:asciiTheme="minorHAnsi" w:hAnsiTheme="minorHAnsi" w:cstheme="minorHAnsi"/>
                <w:sz w:val="22"/>
                <w:szCs w:val="22"/>
              </w:rPr>
              <w:t> </w:t>
            </w:r>
          </w:p>
        </w:tc>
        <w:tc>
          <w:tcPr>
            <w:tcW w:w="2114" w:type="dxa"/>
            <w:gridSpan w:val="2"/>
            <w:tcBorders>
              <w:top w:val="nil"/>
              <w:left w:val="nil"/>
              <w:bottom w:val="single" w:sz="6" w:space="0" w:color="auto"/>
              <w:right w:val="nil"/>
            </w:tcBorders>
            <w:shd w:val="clear" w:color="auto" w:fill="auto"/>
            <w:vAlign w:val="center"/>
            <w:hideMark/>
          </w:tcPr>
          <w:p w:rsidR="0045118B" w:rsidRPr="00243666" w:rsidP="0045118B" w14:paraId="4EA4EA83" w14:textId="17C87072">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13,29</w:t>
            </w:r>
            <w:r w:rsidRPr="00243666" w:rsidR="00E75D80">
              <w:rPr>
                <w:rStyle w:val="normaltextrun"/>
                <w:rFonts w:asciiTheme="minorHAnsi" w:hAnsiTheme="minorHAnsi" w:cstheme="minorHAnsi"/>
                <w:b/>
                <w:bCs/>
                <w:sz w:val="22"/>
                <w:szCs w:val="22"/>
              </w:rPr>
              <w:t>8</w:t>
            </w:r>
            <w:r w:rsidRPr="00243666">
              <w:rPr>
                <w:rStyle w:val="eop"/>
                <w:rFonts w:asciiTheme="minorHAnsi" w:hAnsiTheme="minorHAnsi" w:cstheme="minorHAnsi"/>
                <w:sz w:val="22"/>
                <w:szCs w:val="22"/>
              </w:rPr>
              <w:t> </w:t>
            </w:r>
          </w:p>
        </w:tc>
        <w:tc>
          <w:tcPr>
            <w:tcW w:w="1919" w:type="dxa"/>
            <w:tcBorders>
              <w:top w:val="nil"/>
              <w:left w:val="nil"/>
              <w:bottom w:val="single" w:sz="6" w:space="0" w:color="auto"/>
              <w:right w:val="nil"/>
            </w:tcBorders>
            <w:shd w:val="clear" w:color="auto" w:fill="B8CCE4" w:themeFill="accent1" w:themeFillTint="66"/>
            <w:vAlign w:val="center"/>
            <w:hideMark/>
          </w:tcPr>
          <w:p w:rsidR="0045118B" w:rsidRPr="00243666" w:rsidP="0045118B" w14:paraId="27C571F7" w14:textId="3A385A28">
            <w:pPr>
              <w:pStyle w:val="paragraph"/>
              <w:spacing w:before="0" w:beforeAutospacing="0" w:after="0" w:afterAutospacing="0"/>
              <w:jc w:val="center"/>
              <w:textAlignment w:val="baseline"/>
              <w:rPr>
                <w:rFonts w:asciiTheme="minorHAnsi" w:hAnsiTheme="minorHAnsi" w:cstheme="minorHAnsi"/>
                <w:sz w:val="22"/>
                <w:szCs w:val="22"/>
              </w:rPr>
            </w:pPr>
            <w:r w:rsidRPr="00243666">
              <w:rPr>
                <w:rStyle w:val="normaltextrun"/>
                <w:rFonts w:asciiTheme="minorHAnsi" w:hAnsiTheme="minorHAnsi" w:cstheme="minorHAnsi"/>
                <w:b/>
                <w:bCs/>
                <w:sz w:val="22"/>
                <w:szCs w:val="22"/>
              </w:rPr>
              <w:t>19,9</w:t>
            </w:r>
            <w:r w:rsidRPr="00243666" w:rsidR="00CF1CC0">
              <w:rPr>
                <w:rStyle w:val="normaltextrun"/>
                <w:rFonts w:asciiTheme="minorHAnsi" w:hAnsiTheme="minorHAnsi" w:cstheme="minorHAnsi"/>
                <w:b/>
                <w:bCs/>
                <w:sz w:val="22"/>
                <w:szCs w:val="22"/>
              </w:rPr>
              <w:t>45</w:t>
            </w:r>
          </w:p>
        </w:tc>
      </w:tr>
    </w:tbl>
    <w:p w:rsidR="002047B3" w:rsidP="002047B3" w14:paraId="3C80D553" w14:textId="77777777">
      <w:pPr>
        <w:spacing w:after="0" w:line="240" w:lineRule="auto"/>
        <w:ind w:left="450"/>
        <w:textAlignment w:val="baseline"/>
        <w:rPr>
          <w:rFonts w:ascii="Calibri" w:eastAsia="Times New Roman" w:hAnsi="Calibri" w:cs="Calibri"/>
        </w:rPr>
      </w:pPr>
      <w:r w:rsidRPr="002047B3">
        <w:rPr>
          <w:rFonts w:ascii="Calibri" w:eastAsia="Times New Roman" w:hAnsi="Calibri" w:cs="Calibri"/>
        </w:rPr>
        <w:t> </w:t>
      </w:r>
    </w:p>
    <w:p w:rsidR="00C069B7" w:rsidP="00B840CD" w14:paraId="2EAFB4D1" w14:textId="77777777">
      <w:pPr>
        <w:spacing w:after="0" w:line="240" w:lineRule="auto"/>
        <w:textAlignment w:val="baseline"/>
        <w:rPr>
          <w:rFonts w:ascii="Segoe UI" w:eastAsia="Times New Roman" w:hAnsi="Segoe UI" w:cs="Segoe UI"/>
          <w:sz w:val="18"/>
          <w:szCs w:val="18"/>
        </w:rPr>
      </w:pPr>
    </w:p>
    <w:p w:rsidR="00597C62" w:rsidRPr="002047B3" w:rsidP="00B840CD" w14:paraId="54CDE5E9" w14:textId="77777777">
      <w:pPr>
        <w:spacing w:after="0" w:line="240" w:lineRule="auto"/>
        <w:textAlignment w:val="baseline"/>
        <w:rPr>
          <w:rFonts w:ascii="Segoe UI" w:eastAsia="Times New Roman" w:hAnsi="Segoe UI" w:cs="Segoe UI"/>
          <w:sz w:val="18"/>
          <w:szCs w:val="18"/>
        </w:rPr>
      </w:pPr>
    </w:p>
    <w:p w:rsidR="00D6209E" w:rsidRPr="0045722C" w:rsidP="002D22F9" w14:paraId="61428C40" w14:textId="55E1DB6D">
      <w:pPr>
        <w:autoSpaceDE w:val="0"/>
        <w:autoSpaceDN w:val="0"/>
        <w:adjustRightInd w:val="0"/>
        <w:spacing w:line="240" w:lineRule="auto"/>
        <w:rPr>
          <w:rFonts w:eastAsia="Times New Roman" w:cs="Times New Roman"/>
          <w:b/>
          <w:i/>
        </w:rPr>
      </w:pPr>
      <w:r w:rsidRPr="0045722C">
        <w:rPr>
          <w:rFonts w:eastAsia="Times New Roman" w:cs="Times New Roman"/>
          <w:b/>
        </w:rPr>
        <w:t xml:space="preserve">2. </w:t>
      </w:r>
      <w:r w:rsidRPr="0045722C">
        <w:rPr>
          <w:rFonts w:eastAsia="Times New Roman" w:cs="Times New Roman"/>
          <w:b/>
          <w:i/>
        </w:rPr>
        <w:t>Describe the procedures for the collection of information including:</w:t>
      </w:r>
    </w:p>
    <w:p w:rsidR="00D6209E" w:rsidRPr="0045722C" w:rsidP="002D22F9" w14:paraId="510B5841" w14:textId="4499B135">
      <w:pPr>
        <w:numPr>
          <w:ilvl w:val="0"/>
          <w:numId w:val="1"/>
        </w:numPr>
        <w:autoSpaceDE w:val="0"/>
        <w:autoSpaceDN w:val="0"/>
        <w:adjustRightInd w:val="0"/>
        <w:spacing w:after="0" w:line="240" w:lineRule="auto"/>
        <w:jc w:val="both"/>
        <w:rPr>
          <w:rFonts w:eastAsia="Times New Roman" w:cs="Times New Roman"/>
          <w:b/>
          <w:i/>
        </w:rPr>
      </w:pPr>
      <w:r>
        <w:rPr>
          <w:rFonts w:eastAsia="Times New Roman" w:cs="Times New Roman"/>
          <w:b/>
          <w:i/>
        </w:rPr>
        <w:t xml:space="preserve">2.1 </w:t>
      </w:r>
      <w:r w:rsidRPr="0045722C">
        <w:rPr>
          <w:rFonts w:eastAsia="Times New Roman" w:cs="Times New Roman"/>
          <w:b/>
          <w:i/>
        </w:rPr>
        <w:t>Statistical methodology for stratification and sample selection,</w:t>
      </w:r>
    </w:p>
    <w:p w:rsidR="0074226D" w:rsidRPr="00683675" w:rsidP="002D22F9" w14:paraId="63FBF819" w14:textId="50C895AA">
      <w:pPr>
        <w:numPr>
          <w:ilvl w:val="0"/>
          <w:numId w:val="1"/>
        </w:numPr>
        <w:autoSpaceDE w:val="0"/>
        <w:autoSpaceDN w:val="0"/>
        <w:adjustRightInd w:val="0"/>
        <w:spacing w:after="0" w:line="240" w:lineRule="auto"/>
        <w:jc w:val="both"/>
        <w:rPr>
          <w:rFonts w:eastAsia="Times New Roman" w:cs="Times New Roman"/>
          <w:b/>
          <w:i/>
        </w:rPr>
      </w:pPr>
      <w:r w:rsidRPr="00683675">
        <w:rPr>
          <w:rFonts w:eastAsia="Times New Roman" w:cs="Times New Roman"/>
          <w:b/>
          <w:i/>
        </w:rPr>
        <w:t xml:space="preserve">2.2 Unusual problems requiring specialized sampling </w:t>
      </w:r>
      <w:r w:rsidRPr="00683675">
        <w:rPr>
          <w:rFonts w:eastAsia="Times New Roman" w:cs="Times New Roman"/>
          <w:b/>
          <w:i/>
        </w:rPr>
        <w:t>procedures</w:t>
      </w:r>
    </w:p>
    <w:p w:rsidR="0074226D" w:rsidRPr="00683675" w:rsidP="002D22F9" w14:paraId="5175D802" w14:textId="664BB068">
      <w:pPr>
        <w:numPr>
          <w:ilvl w:val="0"/>
          <w:numId w:val="1"/>
        </w:numPr>
        <w:autoSpaceDE w:val="0"/>
        <w:autoSpaceDN w:val="0"/>
        <w:adjustRightInd w:val="0"/>
        <w:spacing w:after="0" w:line="240" w:lineRule="auto"/>
        <w:jc w:val="both"/>
        <w:rPr>
          <w:rFonts w:eastAsia="Times New Roman" w:cs="Times New Roman"/>
          <w:b/>
          <w:i/>
        </w:rPr>
      </w:pPr>
      <w:r w:rsidRPr="00683675">
        <w:rPr>
          <w:rFonts w:eastAsia="Times New Roman" w:cs="Times New Roman"/>
          <w:b/>
          <w:i/>
        </w:rPr>
        <w:t xml:space="preserve">2.3 </w:t>
      </w:r>
      <w:r w:rsidRPr="00683675" w:rsidR="00D6209E">
        <w:rPr>
          <w:rFonts w:eastAsia="Times New Roman" w:cs="Times New Roman"/>
          <w:b/>
          <w:i/>
        </w:rPr>
        <w:t>Estimation procedure,</w:t>
      </w:r>
      <w:r w:rsidRPr="00683675" w:rsidR="00D9390D">
        <w:rPr>
          <w:rFonts w:eastAsia="Times New Roman" w:cs="Times New Roman"/>
          <w:b/>
          <w:i/>
        </w:rPr>
        <w:t xml:space="preserve"> and</w:t>
      </w:r>
      <w:r w:rsidRPr="00683675">
        <w:rPr>
          <w:rFonts w:eastAsia="Times New Roman" w:cs="Times New Roman"/>
          <w:b/>
          <w:i/>
        </w:rPr>
        <w:t xml:space="preserve"> </w:t>
      </w:r>
      <w:r w:rsidRPr="00683675" w:rsidR="00D9390D">
        <w:rPr>
          <w:rFonts w:eastAsia="Times New Roman" w:cs="Times New Roman"/>
          <w:b/>
          <w:i/>
        </w:rPr>
        <w:t>d</w:t>
      </w:r>
      <w:r w:rsidRPr="00683675" w:rsidR="00D6209E">
        <w:rPr>
          <w:rFonts w:eastAsia="Times New Roman" w:cs="Times New Roman"/>
          <w:b/>
          <w:i/>
        </w:rPr>
        <w:t>egree of accuracy needed for the purpose described in the justification,</w:t>
      </w:r>
      <w:r w:rsidRPr="00683675">
        <w:rPr>
          <w:rFonts w:eastAsia="Times New Roman" w:cs="Times New Roman"/>
          <w:b/>
          <w:i/>
        </w:rPr>
        <w:t xml:space="preserve"> and</w:t>
      </w:r>
    </w:p>
    <w:p w:rsidR="00D6209E" w:rsidRPr="00683675" w:rsidP="002D22F9" w14:paraId="088FD989" w14:textId="4925AAD3">
      <w:pPr>
        <w:numPr>
          <w:ilvl w:val="0"/>
          <w:numId w:val="1"/>
        </w:numPr>
        <w:autoSpaceDE w:val="0"/>
        <w:autoSpaceDN w:val="0"/>
        <w:adjustRightInd w:val="0"/>
        <w:spacing w:after="0" w:line="240" w:lineRule="auto"/>
        <w:jc w:val="both"/>
        <w:rPr>
          <w:rFonts w:eastAsia="Times New Roman" w:cs="Times New Roman"/>
          <w:b/>
          <w:i/>
        </w:rPr>
      </w:pPr>
      <w:r w:rsidRPr="00683675">
        <w:rPr>
          <w:rFonts w:eastAsia="Times New Roman" w:cs="Times New Roman"/>
          <w:b/>
          <w:i/>
        </w:rPr>
        <w:t>2.</w:t>
      </w:r>
      <w:r w:rsidRPr="00683675" w:rsidR="00D9390D">
        <w:rPr>
          <w:rFonts w:eastAsia="Times New Roman" w:cs="Times New Roman"/>
          <w:b/>
          <w:i/>
        </w:rPr>
        <w:t>4</w:t>
      </w:r>
      <w:r w:rsidRPr="00683675">
        <w:rPr>
          <w:rFonts w:eastAsia="Times New Roman" w:cs="Times New Roman"/>
          <w:b/>
          <w:i/>
        </w:rPr>
        <w:t xml:space="preserve"> Any use of periodic (less frequent than annual) data collection cycles to reduce burden.</w:t>
      </w:r>
    </w:p>
    <w:p w:rsidR="00D6209E" w:rsidRPr="00287128" w:rsidP="00843206" w14:paraId="1199083B" w14:textId="77777777">
      <w:pPr>
        <w:pStyle w:val="NoSpacing"/>
        <w:rPr>
          <w:color w:val="C00000"/>
        </w:rPr>
      </w:pPr>
    </w:p>
    <w:p w:rsidR="00C266DF" w:rsidP="0045722C" w14:paraId="41365EF4" w14:textId="2B25F0AB">
      <w:pPr>
        <w:spacing w:after="0" w:line="360" w:lineRule="auto"/>
        <w:textAlignment w:val="baseline"/>
        <w:rPr>
          <w:rFonts w:ascii="Calibri" w:eastAsia="Times New Roman" w:hAnsi="Calibri" w:cs="Calibri"/>
        </w:rPr>
      </w:pPr>
      <w:r>
        <w:rPr>
          <w:rFonts w:ascii="Calibri" w:eastAsia="Times New Roman" w:hAnsi="Calibri" w:cs="Calibri"/>
        </w:rPr>
        <w:t xml:space="preserve">Within the above key bullets, the sections that follow include several </w:t>
      </w:r>
      <w:r w:rsidR="008B46F2">
        <w:rPr>
          <w:rFonts w:ascii="Calibri" w:eastAsia="Times New Roman" w:hAnsi="Calibri" w:cs="Calibri"/>
        </w:rPr>
        <w:t>important</w:t>
      </w:r>
      <w:r>
        <w:rPr>
          <w:rFonts w:ascii="Calibri" w:eastAsia="Times New Roman" w:hAnsi="Calibri" w:cs="Calibri"/>
        </w:rPr>
        <w:t xml:space="preserve"> aspects of this information collection:</w:t>
      </w:r>
    </w:p>
    <w:p w:rsidR="00C266DF" w:rsidP="00875405" w14:paraId="6E92EFAD" w14:textId="7919E326">
      <w:pPr>
        <w:pStyle w:val="ListParagraph"/>
        <w:numPr>
          <w:ilvl w:val="0"/>
          <w:numId w:val="35"/>
        </w:numPr>
        <w:spacing w:line="360" w:lineRule="auto"/>
        <w:textAlignment w:val="baseline"/>
        <w:rPr>
          <w:rFonts w:eastAsia="Times New Roman"/>
        </w:rPr>
      </w:pPr>
      <w:r>
        <w:rPr>
          <w:rFonts w:eastAsia="Times New Roman"/>
        </w:rPr>
        <w:t xml:space="preserve">Annual site </w:t>
      </w:r>
      <w:r>
        <w:rPr>
          <w:rFonts w:eastAsia="Times New Roman"/>
        </w:rPr>
        <w:t>selection;</w:t>
      </w:r>
    </w:p>
    <w:p w:rsidR="00C266DF" w:rsidP="00875405" w14:paraId="2C3D082F" w14:textId="72E2D2F9">
      <w:pPr>
        <w:pStyle w:val="ListParagraph"/>
        <w:numPr>
          <w:ilvl w:val="0"/>
          <w:numId w:val="35"/>
        </w:numPr>
        <w:spacing w:line="360" w:lineRule="auto"/>
        <w:textAlignment w:val="baseline"/>
        <w:rPr>
          <w:rFonts w:eastAsia="Times New Roman"/>
        </w:rPr>
      </w:pPr>
      <w:r>
        <w:rPr>
          <w:rFonts w:eastAsia="Times New Roman"/>
        </w:rPr>
        <w:t xml:space="preserve">Sampling of visitors within standard </w:t>
      </w:r>
      <w:r>
        <w:rPr>
          <w:rFonts w:eastAsia="Times New Roman"/>
        </w:rPr>
        <w:t>sites;</w:t>
      </w:r>
    </w:p>
    <w:p w:rsidR="00C266DF" w:rsidP="00875405" w14:paraId="1C1A658D" w14:textId="4166D2F8">
      <w:pPr>
        <w:pStyle w:val="ListParagraph"/>
        <w:numPr>
          <w:ilvl w:val="0"/>
          <w:numId w:val="35"/>
        </w:numPr>
        <w:spacing w:line="360" w:lineRule="auto"/>
        <w:textAlignment w:val="baseline"/>
        <w:rPr>
          <w:rFonts w:eastAsia="Times New Roman"/>
        </w:rPr>
      </w:pPr>
      <w:r>
        <w:rPr>
          <w:rFonts w:eastAsia="Times New Roman"/>
        </w:rPr>
        <w:t xml:space="preserve">Sampling of visitors within non-standard (small volume) </w:t>
      </w:r>
      <w:r>
        <w:rPr>
          <w:rFonts w:eastAsia="Times New Roman"/>
        </w:rPr>
        <w:t>sites;</w:t>
      </w:r>
    </w:p>
    <w:p w:rsidR="00C266DF" w:rsidRPr="00BF369E" w:rsidP="00875405" w14:paraId="1B14DB8B" w14:textId="348B3A69">
      <w:pPr>
        <w:pStyle w:val="ListParagraph"/>
        <w:numPr>
          <w:ilvl w:val="0"/>
          <w:numId w:val="35"/>
        </w:numPr>
        <w:spacing w:line="360" w:lineRule="auto"/>
        <w:textAlignment w:val="baseline"/>
        <w:rPr>
          <w:rFonts w:eastAsia="Times New Roman"/>
        </w:rPr>
      </w:pPr>
      <w:r>
        <w:rPr>
          <w:rFonts w:eastAsia="Times New Roman"/>
        </w:rPr>
        <w:t>Estimation p</w:t>
      </w:r>
      <w:r w:rsidRPr="00BF369E">
        <w:rPr>
          <w:rFonts w:eastAsia="Times New Roman"/>
        </w:rPr>
        <w:t xml:space="preserve">rocedures deployed for </w:t>
      </w:r>
      <w:r w:rsidR="002E3215">
        <w:rPr>
          <w:rFonts w:eastAsia="Times New Roman"/>
        </w:rPr>
        <w:t xml:space="preserve">payment card </w:t>
      </w:r>
      <w:r w:rsidR="002E3215">
        <w:rPr>
          <w:rFonts w:eastAsia="Times New Roman"/>
        </w:rPr>
        <w:t>question</w:t>
      </w:r>
    </w:p>
    <w:p w:rsidR="009F6016" w:rsidP="00C266DF" w14:paraId="2F62A7F0" w14:textId="77777777">
      <w:pPr>
        <w:spacing w:line="240" w:lineRule="auto"/>
        <w:textAlignment w:val="baseline"/>
        <w:rPr>
          <w:rFonts w:eastAsia="Times New Roman" w:cs="Times New Roman"/>
          <w:b/>
          <w:i/>
        </w:rPr>
      </w:pPr>
    </w:p>
    <w:p w:rsidR="00A96C31" w:rsidRPr="007E4F7D" w:rsidP="00C266DF" w14:paraId="05B618DB" w14:textId="3AF5956D">
      <w:pPr>
        <w:spacing w:line="240" w:lineRule="auto"/>
        <w:textAlignment w:val="baseline"/>
        <w:rPr>
          <w:rFonts w:eastAsia="Times New Roman"/>
          <w:iCs/>
          <w:u w:val="single"/>
        </w:rPr>
      </w:pPr>
      <w:r w:rsidRPr="007E4F7D">
        <w:rPr>
          <w:rFonts w:eastAsia="Times New Roman" w:cs="Times New Roman"/>
          <w:b/>
          <w:iCs/>
          <w:u w:val="single"/>
        </w:rPr>
        <w:t xml:space="preserve">2.1 </w:t>
      </w:r>
      <w:r w:rsidRPr="007E4F7D">
        <w:rPr>
          <w:rFonts w:eastAsia="Times New Roman" w:cs="Times New Roman"/>
          <w:b/>
          <w:iCs/>
          <w:u w:val="single"/>
        </w:rPr>
        <w:tab/>
      </w:r>
      <w:r w:rsidRPr="007E4F7D" w:rsidR="009F6016">
        <w:rPr>
          <w:rFonts w:eastAsia="Times New Roman" w:cs="Times New Roman"/>
          <w:b/>
          <w:iCs/>
          <w:u w:val="single"/>
        </w:rPr>
        <w:t>Statistical methodology for stratification and sample selection</w:t>
      </w:r>
      <w:r w:rsidRPr="007E4F7D" w:rsidR="009F6016">
        <w:rPr>
          <w:rFonts w:eastAsia="Times New Roman"/>
          <w:iCs/>
          <w:u w:val="single"/>
        </w:rPr>
        <w:t xml:space="preserve"> </w:t>
      </w:r>
    </w:p>
    <w:p w:rsidR="00C266DF" w:rsidRPr="00683675" w:rsidP="00C266DF" w14:paraId="66319686" w14:textId="64B2AEC5">
      <w:pPr>
        <w:spacing w:line="240" w:lineRule="auto"/>
        <w:textAlignment w:val="baseline"/>
        <w:rPr>
          <w:rFonts w:eastAsia="Times New Roman"/>
          <w:b/>
          <w:i/>
          <w:iCs/>
        </w:rPr>
      </w:pPr>
      <w:r>
        <w:rPr>
          <w:rFonts w:eastAsia="Times New Roman"/>
          <w:b/>
          <w:i/>
          <w:iCs/>
        </w:rPr>
        <w:t>2.1.</w:t>
      </w:r>
      <w:r w:rsidR="00875405">
        <w:rPr>
          <w:rFonts w:eastAsia="Times New Roman"/>
          <w:b/>
          <w:i/>
          <w:iCs/>
        </w:rPr>
        <w:t>1</w:t>
      </w:r>
      <w:r>
        <w:rPr>
          <w:rFonts w:eastAsia="Times New Roman"/>
          <w:b/>
          <w:i/>
          <w:iCs/>
        </w:rPr>
        <w:t xml:space="preserve"> </w:t>
      </w:r>
      <w:r>
        <w:rPr>
          <w:rFonts w:eastAsia="Times New Roman"/>
          <w:b/>
          <w:i/>
          <w:iCs/>
        </w:rPr>
        <w:tab/>
      </w:r>
      <w:r w:rsidRPr="00683675">
        <w:rPr>
          <w:rFonts w:eastAsia="Times New Roman"/>
          <w:b/>
          <w:i/>
          <w:iCs/>
        </w:rPr>
        <w:t>Annual Site Selection</w:t>
      </w:r>
    </w:p>
    <w:p w:rsidR="00CE1DFA" w:rsidP="00D61BDB" w14:paraId="49367E54" w14:textId="70D81E2C">
      <w:pPr>
        <w:spacing w:after="0" w:line="360" w:lineRule="auto"/>
        <w:textAlignment w:val="baseline"/>
        <w:rPr>
          <w:rFonts w:ascii="Calibri" w:eastAsia="Times New Roman" w:hAnsi="Calibri" w:cs="Calibri"/>
        </w:rPr>
      </w:pPr>
      <w:r w:rsidRPr="00694150">
        <w:rPr>
          <w:rFonts w:ascii="Calibri" w:eastAsia="Times New Roman" w:hAnsi="Calibri" w:cs="Calibri"/>
        </w:rPr>
        <w:t xml:space="preserve">The sites for this collection </w:t>
      </w:r>
      <w:r w:rsidR="00C266DF">
        <w:rPr>
          <w:rFonts w:ascii="Calibri" w:eastAsia="Times New Roman" w:hAnsi="Calibri" w:cs="Calibri"/>
        </w:rPr>
        <w:t>are</w:t>
      </w:r>
      <w:r w:rsidRPr="00694150">
        <w:rPr>
          <w:rFonts w:ascii="Calibri" w:eastAsia="Times New Roman" w:hAnsi="Calibri" w:cs="Calibri"/>
        </w:rPr>
        <w:t xml:space="preserve"> selected based on a randomized selection of park units, stratified by unit type and size</w:t>
      </w:r>
      <w:r w:rsidR="00B27799">
        <w:rPr>
          <w:rFonts w:ascii="Calibri" w:eastAsia="Times New Roman" w:hAnsi="Calibri" w:cs="Calibri"/>
        </w:rPr>
        <w:t xml:space="preserve"> </w:t>
      </w:r>
      <w:r w:rsidR="00B27799">
        <w:rPr>
          <w:rFonts w:ascii="Calibri" w:eastAsia="Times New Roman" w:hAnsi="Calibri" w:cs="Calibri"/>
        </w:rPr>
        <w:t>in order to</w:t>
      </w:r>
      <w:r w:rsidR="00B27799">
        <w:rPr>
          <w:rFonts w:ascii="Calibri" w:eastAsia="Times New Roman" w:hAnsi="Calibri" w:cs="Calibri"/>
        </w:rPr>
        <w:t xml:space="preserve"> </w:t>
      </w:r>
      <w:r w:rsidR="00A67A3A">
        <w:rPr>
          <w:rFonts w:ascii="Calibri" w:eastAsia="Times New Roman" w:hAnsi="Calibri" w:cs="Calibri"/>
        </w:rPr>
        <w:t xml:space="preserve">achieve a representative sample with </w:t>
      </w:r>
      <w:r w:rsidR="006A50CC">
        <w:rPr>
          <w:rFonts w:ascii="Calibri" w:eastAsia="Times New Roman" w:hAnsi="Calibri" w:cs="Calibri"/>
        </w:rPr>
        <w:t xml:space="preserve">results that are generalizable across the </w:t>
      </w:r>
      <w:r w:rsidR="005C5F19">
        <w:rPr>
          <w:rFonts w:ascii="Calibri" w:eastAsia="Times New Roman" w:hAnsi="Calibri" w:cs="Calibri"/>
        </w:rPr>
        <w:t>NPS System</w:t>
      </w:r>
      <w:r w:rsidR="00C266DF">
        <w:rPr>
          <w:rFonts w:ascii="Calibri" w:eastAsia="Times New Roman" w:hAnsi="Calibri" w:cs="Calibri"/>
        </w:rPr>
        <w:t>. A</w:t>
      </w:r>
      <w:r w:rsidRPr="00694150" w:rsidR="00C266DF">
        <w:rPr>
          <w:rFonts w:ascii="Calibri" w:eastAsia="Times New Roman" w:hAnsi="Calibri" w:cs="Calibri"/>
        </w:rPr>
        <w:t xml:space="preserve"> </w:t>
      </w:r>
      <w:r w:rsidRPr="00694150">
        <w:rPr>
          <w:rFonts w:ascii="Calibri" w:eastAsia="Times New Roman" w:hAnsi="Calibri" w:cs="Calibri"/>
        </w:rPr>
        <w:t>blend of natural/urban/historic sites</w:t>
      </w:r>
      <w:r w:rsidR="00C266DF">
        <w:rPr>
          <w:rFonts w:ascii="Calibri" w:eastAsia="Times New Roman" w:hAnsi="Calibri" w:cs="Calibri"/>
        </w:rPr>
        <w:t>,</w:t>
      </w:r>
      <w:r w:rsidRPr="00694150" w:rsidR="00C266DF">
        <w:rPr>
          <w:rFonts w:ascii="Calibri" w:eastAsia="Times New Roman" w:hAnsi="Calibri" w:cs="Calibri"/>
        </w:rPr>
        <w:t xml:space="preserve"> </w:t>
      </w:r>
      <w:r w:rsidRPr="00694150">
        <w:rPr>
          <w:rFonts w:ascii="Calibri" w:eastAsia="Times New Roman" w:hAnsi="Calibri" w:cs="Calibri"/>
        </w:rPr>
        <w:t>along with units of varying annual visitor volumes</w:t>
      </w:r>
      <w:r w:rsidR="00C266DF">
        <w:rPr>
          <w:rFonts w:ascii="Calibri" w:eastAsia="Times New Roman" w:hAnsi="Calibri" w:cs="Calibri"/>
          <w:color w:val="881798"/>
        </w:rPr>
        <w:t xml:space="preserve"> </w:t>
      </w:r>
      <w:r w:rsidRPr="00C266DF">
        <w:rPr>
          <w:rFonts w:ascii="Calibri" w:eastAsia="Times New Roman" w:hAnsi="Calibri" w:cs="Calibri"/>
        </w:rPr>
        <w:t xml:space="preserve">are included in the sample. </w:t>
      </w:r>
      <w:r w:rsidR="00E25744">
        <w:rPr>
          <w:rFonts w:ascii="Calibri" w:eastAsia="Times New Roman" w:hAnsi="Calibri" w:cs="Calibri"/>
        </w:rPr>
        <w:t xml:space="preserve"> </w:t>
      </w:r>
      <w:r w:rsidRPr="00694150">
        <w:rPr>
          <w:rFonts w:ascii="Calibri" w:eastAsia="Times New Roman" w:hAnsi="Calibri" w:cs="Calibri"/>
        </w:rPr>
        <w:t>The sites</w:t>
      </w:r>
      <w:r w:rsidR="00485F7F">
        <w:rPr>
          <w:rFonts w:ascii="Calibri" w:eastAsia="Times New Roman" w:hAnsi="Calibri" w:cs="Calibri"/>
        </w:rPr>
        <w:t xml:space="preserve"> to be considered</w:t>
      </w:r>
      <w:r w:rsidRPr="00694150">
        <w:rPr>
          <w:rFonts w:ascii="Calibri" w:eastAsia="Times New Roman" w:hAnsi="Calibri" w:cs="Calibri"/>
        </w:rPr>
        <w:t xml:space="preserve"> for sampling fit into eight mutually exclusive strata based on a matrix of unit type and area population class (four categories) and </w:t>
      </w:r>
      <w:r w:rsidR="008F0F59">
        <w:rPr>
          <w:rFonts w:ascii="Calibri" w:eastAsia="Times New Roman" w:hAnsi="Calibri" w:cs="Calibri"/>
        </w:rPr>
        <w:t>visitation volume</w:t>
      </w:r>
      <w:r w:rsidRPr="00694150" w:rsidR="008F0F59">
        <w:rPr>
          <w:rFonts w:ascii="Calibri" w:eastAsia="Times New Roman" w:hAnsi="Calibri" w:cs="Calibri"/>
        </w:rPr>
        <w:t xml:space="preserve"> </w:t>
      </w:r>
      <w:r w:rsidRPr="00694150">
        <w:rPr>
          <w:rFonts w:ascii="Calibri" w:eastAsia="Times New Roman" w:hAnsi="Calibri" w:cs="Calibri"/>
        </w:rPr>
        <w:t>(two categories</w:t>
      </w:r>
      <w:r w:rsidR="008F0F59">
        <w:rPr>
          <w:rFonts w:ascii="Calibri" w:eastAsia="Times New Roman" w:hAnsi="Calibri" w:cs="Calibri"/>
        </w:rPr>
        <w:t>)</w:t>
      </w:r>
      <w:r w:rsidRPr="00694150">
        <w:rPr>
          <w:rFonts w:ascii="Calibri" w:eastAsia="Times New Roman" w:hAnsi="Calibri" w:cs="Calibri"/>
        </w:rPr>
        <w:t xml:space="preserve">. Each </w:t>
      </w:r>
      <w:r w:rsidR="00733348">
        <w:rPr>
          <w:rFonts w:ascii="Calibri" w:eastAsia="Times New Roman" w:hAnsi="Calibri" w:cs="Calibri"/>
        </w:rPr>
        <w:t>qualifying</w:t>
      </w:r>
      <w:r w:rsidRPr="00694150">
        <w:rPr>
          <w:rFonts w:ascii="Calibri" w:eastAsia="Times New Roman" w:hAnsi="Calibri" w:cs="Calibri"/>
        </w:rPr>
        <w:t xml:space="preserve"> NPS unit within the sampling frame </w:t>
      </w:r>
      <w:r w:rsidR="008F0F59">
        <w:rPr>
          <w:rFonts w:ascii="Calibri" w:eastAsia="Times New Roman" w:hAnsi="Calibri" w:cs="Calibri"/>
        </w:rPr>
        <w:t>i</w:t>
      </w:r>
      <w:r w:rsidRPr="00694150">
        <w:rPr>
          <w:rFonts w:ascii="Calibri" w:eastAsia="Times New Roman" w:hAnsi="Calibri" w:cs="Calibri"/>
        </w:rPr>
        <w:t>s assigned to a stratum using these classifications. </w:t>
      </w:r>
      <w:r w:rsidR="00733348">
        <w:rPr>
          <w:rFonts w:ascii="Calibri" w:eastAsia="Times New Roman" w:hAnsi="Calibri" w:cs="Calibri"/>
        </w:rPr>
        <w:t>To qualify for sampling, a park unit must have five years of available visitor use statistics, such that they may be appropriately assigned to the high or low visitation strata.</w:t>
      </w:r>
      <w:r w:rsidR="00733348">
        <w:t xml:space="preserve"> </w:t>
      </w:r>
      <w:r w:rsidR="00DB788C">
        <w:t>As of January 2025, t</w:t>
      </w:r>
      <w:r w:rsidRPr="00DB788C" w:rsidR="00DB788C">
        <w:rPr>
          <w:rFonts w:ascii="Calibri" w:eastAsia="Times New Roman" w:hAnsi="Calibri" w:cs="Calibri"/>
        </w:rPr>
        <w:t>here are 433 units of the National Park System</w:t>
      </w:r>
      <w:r w:rsidR="00761680">
        <w:rPr>
          <w:rFonts w:ascii="Calibri" w:eastAsia="Times New Roman" w:hAnsi="Calibri" w:cs="Calibri"/>
        </w:rPr>
        <w:t xml:space="preserve"> and 387 of these </w:t>
      </w:r>
      <w:r w:rsidRPr="00DB788C" w:rsidR="00DB788C">
        <w:rPr>
          <w:rFonts w:ascii="Calibri" w:eastAsia="Times New Roman" w:hAnsi="Calibri" w:cs="Calibri"/>
        </w:rPr>
        <w:t xml:space="preserve">have the required </w:t>
      </w:r>
      <w:r w:rsidR="00761680">
        <w:rPr>
          <w:rFonts w:ascii="Calibri" w:eastAsia="Times New Roman" w:hAnsi="Calibri" w:cs="Calibri"/>
        </w:rPr>
        <w:t>five</w:t>
      </w:r>
      <w:r w:rsidRPr="00DB788C" w:rsidR="00DB788C">
        <w:rPr>
          <w:rFonts w:ascii="Calibri" w:eastAsia="Times New Roman" w:hAnsi="Calibri" w:cs="Calibri"/>
        </w:rPr>
        <w:t xml:space="preserve"> complete years of reported visitor use stats available.</w:t>
      </w:r>
      <w:r w:rsidR="00D23FF7">
        <w:rPr>
          <w:rFonts w:ascii="Calibri" w:eastAsia="Times New Roman" w:hAnsi="Calibri" w:cs="Calibri"/>
        </w:rPr>
        <w:t xml:space="preserve"> This means j</w:t>
      </w:r>
      <w:r w:rsidRPr="00DB788C" w:rsidR="00DB788C">
        <w:rPr>
          <w:rFonts w:ascii="Calibri" w:eastAsia="Times New Roman" w:hAnsi="Calibri" w:cs="Calibri"/>
        </w:rPr>
        <w:t xml:space="preserve">ust over 10% </w:t>
      </w:r>
      <w:r w:rsidR="00D23FF7">
        <w:rPr>
          <w:rFonts w:ascii="Calibri" w:eastAsia="Times New Roman" w:hAnsi="Calibri" w:cs="Calibri"/>
        </w:rPr>
        <w:t xml:space="preserve">of NPS units are </w:t>
      </w:r>
      <w:r w:rsidRPr="00DB788C" w:rsidR="00DB788C">
        <w:rPr>
          <w:rFonts w:ascii="Calibri" w:eastAsia="Times New Roman" w:hAnsi="Calibri" w:cs="Calibri"/>
        </w:rPr>
        <w:t>not eligible</w:t>
      </w:r>
      <w:r w:rsidR="00D23FF7">
        <w:rPr>
          <w:rFonts w:ascii="Calibri" w:eastAsia="Times New Roman" w:hAnsi="Calibri" w:cs="Calibri"/>
        </w:rPr>
        <w:t>.</w:t>
      </w:r>
      <w:r w:rsidR="00733348">
        <w:rPr>
          <w:rFonts w:ascii="Calibri" w:eastAsia="Times New Roman" w:hAnsi="Calibri" w:cs="Calibri"/>
        </w:rPr>
        <w:t xml:space="preserve"> </w:t>
      </w:r>
      <w:r w:rsidRPr="00694150">
        <w:rPr>
          <w:rFonts w:ascii="Calibri" w:eastAsia="Times New Roman" w:hAnsi="Calibri" w:cs="Calibri"/>
        </w:rPr>
        <w:t xml:space="preserve">Using a random number generator, a proportional number of parks </w:t>
      </w:r>
      <w:r w:rsidR="008F0F59">
        <w:rPr>
          <w:rFonts w:ascii="Calibri" w:eastAsia="Times New Roman" w:hAnsi="Calibri" w:cs="Calibri"/>
        </w:rPr>
        <w:t>a</w:t>
      </w:r>
      <w:r w:rsidRPr="00694150">
        <w:rPr>
          <w:rFonts w:ascii="Calibri" w:eastAsia="Times New Roman" w:hAnsi="Calibri" w:cs="Calibri"/>
        </w:rPr>
        <w:t>re randomly selected from each of the eight strata to create a stratified random sample of</w:t>
      </w:r>
      <w:r w:rsidR="00517AA1">
        <w:rPr>
          <w:rFonts w:ascii="Calibri" w:eastAsia="Times New Roman" w:hAnsi="Calibri" w:cs="Calibri"/>
        </w:rPr>
        <w:t xml:space="preserve"> the </w:t>
      </w:r>
      <w:r w:rsidRPr="00694150">
        <w:rPr>
          <w:rFonts w:ascii="Calibri" w:eastAsia="Times New Roman" w:hAnsi="Calibri" w:cs="Calibri"/>
        </w:rPr>
        <w:t>parks</w:t>
      </w:r>
      <w:r w:rsidR="00385E9F">
        <w:rPr>
          <w:rFonts w:ascii="Calibri" w:eastAsia="Times New Roman" w:hAnsi="Calibri" w:cs="Calibri"/>
        </w:rPr>
        <w:t xml:space="preserve"> </w:t>
      </w:r>
      <w:r w:rsidR="00517AA1">
        <w:rPr>
          <w:rFonts w:ascii="Calibri" w:eastAsia="Times New Roman" w:hAnsi="Calibri" w:cs="Calibri"/>
        </w:rPr>
        <w:t>to be</w:t>
      </w:r>
      <w:r w:rsidR="005D491B">
        <w:rPr>
          <w:rFonts w:ascii="Calibri" w:eastAsia="Times New Roman" w:hAnsi="Calibri" w:cs="Calibri"/>
        </w:rPr>
        <w:t xml:space="preserve"> sampled</w:t>
      </w:r>
      <w:r w:rsidRPr="00694150">
        <w:rPr>
          <w:rFonts w:ascii="Calibri" w:eastAsia="Times New Roman" w:hAnsi="Calibri" w:cs="Calibri"/>
        </w:rPr>
        <w:t>. Those parks are listed in Table 1</w:t>
      </w:r>
      <w:r w:rsidR="008C4A3C">
        <w:rPr>
          <w:rFonts w:ascii="Calibri" w:eastAsia="Times New Roman" w:hAnsi="Calibri" w:cs="Calibri"/>
        </w:rPr>
        <w:t>.1</w:t>
      </w:r>
      <w:r w:rsidRPr="00694150">
        <w:rPr>
          <w:rFonts w:ascii="Calibri" w:eastAsia="Times New Roman" w:hAnsi="Calibri" w:cs="Calibri"/>
        </w:rPr>
        <w:t xml:space="preserve"> above and are proportional to the eight strata. </w:t>
      </w:r>
    </w:p>
    <w:p w:rsidR="00CE1DFA" w:rsidP="0045722C" w14:paraId="503DEEDD" w14:textId="77777777">
      <w:pPr>
        <w:spacing w:after="0" w:line="360" w:lineRule="auto"/>
        <w:ind w:left="360"/>
        <w:textAlignment w:val="baseline"/>
        <w:rPr>
          <w:rFonts w:ascii="Calibri" w:eastAsia="Times New Roman" w:hAnsi="Calibri" w:cs="Calibri"/>
        </w:rPr>
      </w:pPr>
    </w:p>
    <w:p w:rsidR="00694150" w:rsidRPr="00694150" w:rsidP="0045722C" w14:paraId="28822937" w14:textId="52A8421E">
      <w:pPr>
        <w:spacing w:after="0" w:line="360" w:lineRule="auto"/>
        <w:textAlignment w:val="baseline"/>
        <w:rPr>
          <w:rFonts w:ascii="Segoe UI" w:eastAsia="Times New Roman" w:hAnsi="Segoe UI" w:cs="Segoe UI"/>
          <w:sz w:val="18"/>
          <w:szCs w:val="18"/>
        </w:rPr>
      </w:pPr>
      <w:r w:rsidRPr="4C38FD73">
        <w:rPr>
          <w:rFonts w:ascii="Calibri" w:eastAsia="Times New Roman" w:hAnsi="Calibri" w:cs="Calibri"/>
          <w:b/>
          <w:bCs/>
          <w:i/>
          <w:iCs/>
        </w:rPr>
        <w:t>2.1.</w:t>
      </w:r>
      <w:r w:rsidRPr="4C38FD73">
        <w:rPr>
          <w:rFonts w:ascii="Calibri" w:eastAsia="Times New Roman" w:hAnsi="Calibri" w:cs="Calibri"/>
          <w:b/>
          <w:bCs/>
          <w:i/>
          <w:iCs/>
        </w:rPr>
        <w:t>1.a</w:t>
      </w:r>
      <w:r>
        <w:tab/>
      </w:r>
      <w:r w:rsidRPr="4C38FD73">
        <w:rPr>
          <w:rFonts w:ascii="Calibri" w:eastAsia="Times New Roman" w:hAnsi="Calibri" w:cs="Calibri"/>
          <w:b/>
          <w:bCs/>
          <w:i/>
          <w:iCs/>
        </w:rPr>
        <w:t>Park Unit Type &amp; Class (four categories)</w:t>
      </w:r>
      <w:r w:rsidRPr="4C38FD73">
        <w:rPr>
          <w:rFonts w:ascii="Calibri" w:eastAsia="Times New Roman" w:hAnsi="Calibri" w:cs="Calibri"/>
        </w:rPr>
        <w:t> </w:t>
      </w:r>
    </w:p>
    <w:p w:rsidR="00694150" w:rsidP="0045722C" w14:paraId="2473F999" w14:textId="638D3509">
      <w:pPr>
        <w:spacing w:after="0" w:line="360" w:lineRule="auto"/>
        <w:textAlignment w:val="baseline"/>
        <w:rPr>
          <w:rFonts w:ascii="Calibri" w:eastAsia="Times New Roman" w:hAnsi="Calibri" w:cs="Calibri"/>
        </w:rPr>
      </w:pPr>
      <w:r w:rsidRPr="00694150">
        <w:rPr>
          <w:rFonts w:ascii="Calibri" w:eastAsia="Times New Roman" w:hAnsi="Calibri" w:cs="Calibri"/>
        </w:rPr>
        <w:t>Each unit is designated into one of three types (nature, historic, recreation) adapted from </w:t>
      </w:r>
      <w:r w:rsidRPr="00694150">
        <w:rPr>
          <w:rFonts w:ascii="Calibri" w:eastAsia="Times New Roman" w:hAnsi="Calibri" w:cs="Calibri"/>
        </w:rPr>
        <w:t>Haefele</w:t>
      </w:r>
      <w:r w:rsidRPr="00694150">
        <w:rPr>
          <w:rFonts w:ascii="Calibri" w:eastAsia="Times New Roman" w:hAnsi="Calibri" w:cs="Calibri"/>
        </w:rPr>
        <w:t>, Loomis, &amp; </w:t>
      </w:r>
      <w:r w:rsidRPr="00694150">
        <w:rPr>
          <w:rFonts w:ascii="Calibri" w:eastAsia="Times New Roman" w:hAnsi="Calibri" w:cs="Calibri"/>
        </w:rPr>
        <w:t>Bilmes</w:t>
      </w:r>
      <w:r w:rsidRPr="00694150">
        <w:rPr>
          <w:rFonts w:ascii="Calibri" w:eastAsia="Times New Roman" w:hAnsi="Calibri" w:cs="Calibri"/>
        </w:rPr>
        <w:t xml:space="preserve">, 2016; historic parks are further subdivided into urban and non-urban based </w:t>
      </w:r>
      <w:r w:rsidRPr="008B04B2">
        <w:rPr>
          <w:rFonts w:ascii="Calibri" w:eastAsia="Times New Roman" w:hAnsi="Calibri" w:cs="Calibri"/>
        </w:rPr>
        <w:t>on NPS Visitor Use Statistics (VUS) population class</w:t>
      </w:r>
      <w:r w:rsidR="00496F22">
        <w:rPr>
          <w:rFonts w:ascii="Calibri" w:eastAsia="Times New Roman" w:hAnsi="Calibri" w:cs="Calibri"/>
        </w:rPr>
        <w:t>, resulting in four possible designation categories</w:t>
      </w:r>
      <w:r w:rsidR="00A1132E">
        <w:rPr>
          <w:rFonts w:ascii="Calibri" w:eastAsia="Times New Roman" w:hAnsi="Calibri" w:cs="Calibri"/>
        </w:rPr>
        <w:t>.</w:t>
      </w:r>
      <w:r w:rsidR="00064ED3">
        <w:rPr>
          <w:rFonts w:ascii="Calibri" w:eastAsia="Times New Roman" w:hAnsi="Calibri" w:cs="Calibri"/>
        </w:rPr>
        <w:t xml:space="preserve"> </w:t>
      </w:r>
    </w:p>
    <w:p w:rsidR="008B04B2" w:rsidRPr="008B04B2" w:rsidP="0045722C" w14:paraId="6F24EE2E" w14:textId="77777777">
      <w:pPr>
        <w:spacing w:after="0" w:line="360" w:lineRule="auto"/>
        <w:textAlignment w:val="baseline"/>
        <w:rPr>
          <w:rFonts w:ascii="Segoe UI" w:eastAsia="Times New Roman" w:hAnsi="Segoe UI" w:cs="Segoe UI"/>
          <w:sz w:val="18"/>
          <w:szCs w:val="18"/>
        </w:rPr>
      </w:pPr>
    </w:p>
    <w:p w:rsidR="00694150" w:rsidRPr="00694150" w:rsidP="0045722C" w14:paraId="103B3B86" w14:textId="006E4769">
      <w:pPr>
        <w:numPr>
          <w:ilvl w:val="0"/>
          <w:numId w:val="15"/>
        </w:numPr>
        <w:spacing w:after="0" w:line="360" w:lineRule="auto"/>
        <w:ind w:left="1260" w:firstLine="0"/>
        <w:textAlignment w:val="baseline"/>
        <w:rPr>
          <w:rFonts w:ascii="Calibri" w:eastAsia="Times New Roman" w:hAnsi="Calibri" w:cs="Calibri"/>
        </w:rPr>
      </w:pPr>
      <w:r w:rsidRPr="008B04B2">
        <w:rPr>
          <w:rFonts w:ascii="Calibri" w:eastAsia="Times New Roman" w:hAnsi="Calibri" w:cs="Calibri"/>
          <w:b/>
          <w:bCs/>
        </w:rPr>
        <w:t>(1) Nature</w:t>
      </w:r>
      <w:r w:rsidRPr="008B04B2">
        <w:rPr>
          <w:rFonts w:ascii="Calibri" w:eastAsia="Times New Roman" w:hAnsi="Calibri" w:cs="Calibri"/>
        </w:rPr>
        <w:t xml:space="preserve"> – National </w:t>
      </w:r>
      <w:r w:rsidRPr="00694150">
        <w:rPr>
          <w:rFonts w:ascii="Calibri" w:eastAsia="Times New Roman" w:hAnsi="Calibri" w:cs="Calibri"/>
        </w:rPr>
        <w:t xml:space="preserve">Park </w:t>
      </w:r>
      <w:r w:rsidR="00A01645">
        <w:rPr>
          <w:rFonts w:ascii="Calibri" w:eastAsia="Times New Roman" w:hAnsi="Calibri" w:cs="Calibri"/>
        </w:rPr>
        <w:t>units</w:t>
      </w:r>
      <w:r w:rsidRPr="00694150">
        <w:rPr>
          <w:rFonts w:ascii="Calibri" w:eastAsia="Times New Roman" w:hAnsi="Calibri" w:cs="Calibri"/>
        </w:rPr>
        <w:t xml:space="preserve"> that focus on the preservation of natural environments and features, shorelines, and bodies of water. </w:t>
      </w:r>
    </w:p>
    <w:p w:rsidR="00694150" w:rsidRPr="00694150" w:rsidP="0045722C" w14:paraId="4B674E75" w14:textId="21B628DD">
      <w:pPr>
        <w:numPr>
          <w:ilvl w:val="0"/>
          <w:numId w:val="15"/>
        </w:numPr>
        <w:spacing w:after="0" w:line="360" w:lineRule="auto"/>
        <w:ind w:left="1260" w:firstLine="0"/>
        <w:textAlignment w:val="baseline"/>
        <w:rPr>
          <w:rFonts w:ascii="Calibri" w:eastAsia="Times New Roman" w:hAnsi="Calibri" w:cs="Calibri"/>
        </w:rPr>
      </w:pPr>
      <w:r w:rsidRPr="00694150">
        <w:rPr>
          <w:rFonts w:ascii="Calibri" w:eastAsia="Times New Roman" w:hAnsi="Calibri" w:cs="Calibri"/>
          <w:b/>
          <w:bCs/>
        </w:rPr>
        <w:t>Historic </w:t>
      </w:r>
      <w:r w:rsidRPr="00694150">
        <w:rPr>
          <w:rFonts w:ascii="Calibri" w:eastAsia="Times New Roman" w:hAnsi="Calibri" w:cs="Calibri"/>
        </w:rPr>
        <w:t xml:space="preserve">– National Park </w:t>
      </w:r>
      <w:r w:rsidR="00A01645">
        <w:rPr>
          <w:rFonts w:ascii="Calibri" w:eastAsia="Times New Roman" w:hAnsi="Calibri" w:cs="Calibri"/>
        </w:rPr>
        <w:t>units</w:t>
      </w:r>
      <w:r w:rsidRPr="00694150">
        <w:rPr>
          <w:rFonts w:ascii="Calibri" w:eastAsia="Times New Roman" w:hAnsi="Calibri" w:cs="Calibri"/>
        </w:rPr>
        <w:t xml:space="preserve"> that focus on the preservation of American history and culture or the commemoration and remembrance of significant events and people. </w:t>
      </w:r>
    </w:p>
    <w:p w:rsidR="00694150" w:rsidRPr="00694150" w:rsidP="0045722C" w14:paraId="5539C2FB" w14:textId="644A7615">
      <w:pPr>
        <w:numPr>
          <w:ilvl w:val="0"/>
          <w:numId w:val="16"/>
        </w:numPr>
        <w:spacing w:after="0" w:line="360" w:lineRule="auto"/>
        <w:ind w:left="1800" w:firstLine="0"/>
        <w:textAlignment w:val="baseline"/>
        <w:rPr>
          <w:rFonts w:ascii="Calibri" w:eastAsia="Times New Roman" w:hAnsi="Calibri" w:cs="Calibri"/>
        </w:rPr>
      </w:pPr>
      <w:r w:rsidRPr="00694150">
        <w:rPr>
          <w:rFonts w:ascii="Calibri" w:eastAsia="Times New Roman" w:hAnsi="Calibri" w:cs="Calibri"/>
          <w:b/>
          <w:bCs/>
        </w:rPr>
        <w:t>(2) </w:t>
      </w:r>
      <w:r w:rsidRPr="00694150">
        <w:rPr>
          <w:rFonts w:ascii="Calibri" w:eastAsia="Times New Roman" w:hAnsi="Calibri" w:cs="Calibri"/>
          <w:b/>
          <w:bCs/>
          <w:u w:val="single"/>
        </w:rPr>
        <w:t>Historic Urban</w:t>
      </w:r>
      <w:r w:rsidRPr="00694150">
        <w:rPr>
          <w:rFonts w:ascii="Calibri" w:eastAsia="Times New Roman" w:hAnsi="Calibri" w:cs="Calibri"/>
        </w:rPr>
        <w:t> – historic </w:t>
      </w:r>
      <w:r w:rsidR="00A01645">
        <w:rPr>
          <w:rFonts w:ascii="Calibri" w:eastAsia="Times New Roman" w:hAnsi="Calibri" w:cs="Calibri"/>
        </w:rPr>
        <w:t>units</w:t>
      </w:r>
      <w:r w:rsidRPr="00694150">
        <w:rPr>
          <w:rFonts w:ascii="Calibri" w:eastAsia="Times New Roman" w:hAnsi="Calibri" w:cs="Calibri"/>
        </w:rPr>
        <w:t xml:space="preserve"> with a</w:t>
      </w:r>
      <w:r w:rsidRPr="00694150" w:rsidR="008B04B2">
        <w:rPr>
          <w:rFonts w:ascii="Calibri" w:eastAsia="Times New Roman" w:hAnsi="Calibri" w:cs="Calibri"/>
        </w:rPr>
        <w:t xml:space="preserve"> </w:t>
      </w:r>
      <w:r w:rsidRPr="00694150">
        <w:rPr>
          <w:rFonts w:ascii="Calibri" w:eastAsia="Times New Roman" w:hAnsi="Calibri" w:cs="Calibri"/>
        </w:rPr>
        <w:t>population class of Urban; Suburban; or Mixed, with most of the surrounding population class considered Urban or Suburban. </w:t>
      </w:r>
    </w:p>
    <w:p w:rsidR="00694150" w:rsidRPr="00694150" w:rsidP="0045722C" w14:paraId="23FA0747" w14:textId="17A0FA21">
      <w:pPr>
        <w:numPr>
          <w:ilvl w:val="0"/>
          <w:numId w:val="17"/>
        </w:numPr>
        <w:spacing w:after="0" w:line="360" w:lineRule="auto"/>
        <w:ind w:left="1800" w:firstLine="0"/>
        <w:textAlignment w:val="baseline"/>
        <w:rPr>
          <w:rFonts w:ascii="Calibri" w:eastAsia="Times New Roman" w:hAnsi="Calibri" w:cs="Calibri"/>
        </w:rPr>
      </w:pPr>
      <w:r w:rsidRPr="00694150">
        <w:rPr>
          <w:rFonts w:ascii="Calibri" w:eastAsia="Times New Roman" w:hAnsi="Calibri" w:cs="Calibri"/>
          <w:b/>
          <w:bCs/>
        </w:rPr>
        <w:t>(3) </w:t>
      </w:r>
      <w:r w:rsidRPr="00694150">
        <w:rPr>
          <w:rFonts w:ascii="Calibri" w:eastAsia="Times New Roman" w:hAnsi="Calibri" w:cs="Calibri"/>
          <w:b/>
          <w:bCs/>
          <w:u w:val="single"/>
        </w:rPr>
        <w:t xml:space="preserve">Historic </w:t>
      </w:r>
      <w:r w:rsidRPr="00694150">
        <w:rPr>
          <w:rFonts w:ascii="Calibri" w:eastAsia="Times New Roman" w:hAnsi="Calibri" w:cs="Calibri"/>
          <w:b/>
          <w:bCs/>
          <w:u w:val="single"/>
        </w:rPr>
        <w:t>Non-urban</w:t>
      </w:r>
      <w:r w:rsidRPr="00694150">
        <w:rPr>
          <w:rFonts w:ascii="Calibri" w:eastAsia="Times New Roman" w:hAnsi="Calibri" w:cs="Calibri"/>
        </w:rPr>
        <w:t xml:space="preserve"> – historic </w:t>
      </w:r>
      <w:r w:rsidR="007D3E39">
        <w:rPr>
          <w:rFonts w:ascii="Calibri" w:eastAsia="Times New Roman" w:hAnsi="Calibri" w:cs="Calibri"/>
        </w:rPr>
        <w:t>unit</w:t>
      </w:r>
      <w:r w:rsidRPr="00694150">
        <w:rPr>
          <w:rFonts w:ascii="Calibri" w:eastAsia="Times New Roman" w:hAnsi="Calibri" w:cs="Calibri"/>
        </w:rPr>
        <w:t>s with a population class of Rural; Outlying; Remote; Mixed, with most of the surrounding population class considered Rural or Outlying; or No Boundary Data. </w:t>
      </w:r>
    </w:p>
    <w:p w:rsidR="00694150" w:rsidRPr="00694150" w:rsidP="0045722C" w14:paraId="49F5FE71" w14:textId="15A894C4">
      <w:pPr>
        <w:numPr>
          <w:ilvl w:val="0"/>
          <w:numId w:val="18"/>
        </w:numPr>
        <w:spacing w:after="0" w:line="360" w:lineRule="auto"/>
        <w:ind w:left="1260" w:firstLine="0"/>
        <w:textAlignment w:val="baseline"/>
        <w:rPr>
          <w:rFonts w:ascii="Calibri" w:eastAsia="Times New Roman" w:hAnsi="Calibri" w:cs="Calibri"/>
        </w:rPr>
      </w:pPr>
      <w:r w:rsidRPr="00694150">
        <w:rPr>
          <w:rFonts w:ascii="Calibri" w:eastAsia="Times New Roman" w:hAnsi="Calibri" w:cs="Calibri"/>
          <w:b/>
          <w:bCs/>
        </w:rPr>
        <w:t>(4) </w:t>
      </w:r>
      <w:r w:rsidRPr="00694150">
        <w:rPr>
          <w:rFonts w:ascii="Calibri" w:eastAsia="Times New Roman" w:hAnsi="Calibri" w:cs="Calibri"/>
          <w:b/>
          <w:bCs/>
          <w:u w:val="single"/>
        </w:rPr>
        <w:t>Recreation</w:t>
      </w:r>
      <w:r w:rsidRPr="00694150">
        <w:rPr>
          <w:rFonts w:ascii="Calibri" w:eastAsia="Times New Roman" w:hAnsi="Calibri" w:cs="Calibri"/>
          <w:u w:val="single"/>
        </w:rPr>
        <w:t> </w:t>
      </w:r>
      <w:r w:rsidRPr="00694150">
        <w:rPr>
          <w:rFonts w:ascii="Calibri" w:eastAsia="Times New Roman" w:hAnsi="Calibri" w:cs="Calibri"/>
        </w:rPr>
        <w:t>– National Park s that focus on nature-based recreation opportunities</w:t>
      </w:r>
      <w:r w:rsidR="009416D0">
        <w:rPr>
          <w:rFonts w:ascii="Calibri" w:eastAsia="Times New Roman" w:hAnsi="Calibri" w:cs="Calibri"/>
        </w:rPr>
        <w:t>.</w:t>
      </w:r>
      <w:r w:rsidRPr="00694150">
        <w:rPr>
          <w:rFonts w:ascii="Calibri" w:eastAsia="Times New Roman" w:hAnsi="Calibri" w:cs="Calibri"/>
        </w:rPr>
        <w:t> </w:t>
      </w:r>
    </w:p>
    <w:p w:rsidR="008B04B2" w:rsidP="0045722C" w14:paraId="0959F7D6" w14:textId="0F89FF83">
      <w:pPr>
        <w:spacing w:after="0" w:line="360" w:lineRule="auto"/>
        <w:textAlignment w:val="baseline"/>
        <w:rPr>
          <w:rFonts w:ascii="Calibri" w:eastAsia="Times New Roman" w:hAnsi="Calibri" w:cs="Calibri"/>
          <w:b/>
          <w:bCs/>
          <w:i/>
          <w:iCs/>
        </w:rPr>
      </w:pPr>
    </w:p>
    <w:p w:rsidR="00694150" w:rsidRPr="00694150" w:rsidP="0045722C" w14:paraId="7D2F121C" w14:textId="3E785980">
      <w:pPr>
        <w:spacing w:after="0" w:line="360" w:lineRule="auto"/>
        <w:textAlignment w:val="baseline"/>
        <w:rPr>
          <w:rFonts w:ascii="Segoe UI" w:eastAsia="Times New Roman" w:hAnsi="Segoe UI" w:cs="Segoe UI"/>
          <w:sz w:val="18"/>
          <w:szCs w:val="18"/>
        </w:rPr>
      </w:pPr>
      <w:r>
        <w:rPr>
          <w:rFonts w:ascii="Calibri" w:eastAsia="Times New Roman" w:hAnsi="Calibri" w:cs="Calibri"/>
          <w:b/>
          <w:bCs/>
          <w:i/>
          <w:iCs/>
        </w:rPr>
        <w:t>2.1.</w:t>
      </w:r>
      <w:r>
        <w:rPr>
          <w:rFonts w:ascii="Calibri" w:eastAsia="Times New Roman" w:hAnsi="Calibri" w:cs="Calibri"/>
          <w:b/>
          <w:bCs/>
          <w:i/>
          <w:iCs/>
        </w:rPr>
        <w:t>1.b</w:t>
      </w:r>
      <w:r>
        <w:rPr>
          <w:rFonts w:ascii="Calibri" w:eastAsia="Times New Roman" w:hAnsi="Calibri" w:cs="Calibri"/>
          <w:b/>
          <w:bCs/>
          <w:i/>
          <w:iCs/>
        </w:rPr>
        <w:tab/>
      </w:r>
      <w:r w:rsidRPr="00694150">
        <w:rPr>
          <w:rFonts w:ascii="Calibri" w:eastAsia="Times New Roman" w:hAnsi="Calibri" w:cs="Calibri"/>
          <w:b/>
          <w:bCs/>
          <w:i/>
          <w:iCs/>
        </w:rPr>
        <w:t>Park Unit Size (two categories)</w:t>
      </w:r>
      <w:r w:rsidRPr="00694150">
        <w:rPr>
          <w:rFonts w:ascii="Calibri" w:eastAsia="Times New Roman" w:hAnsi="Calibri" w:cs="Calibri"/>
        </w:rPr>
        <w:t> </w:t>
      </w:r>
    </w:p>
    <w:p w:rsidR="00694150" w:rsidRPr="00064ED3" w:rsidP="0045722C" w14:paraId="11D6ACF1" w14:textId="7040B361">
      <w:pPr>
        <w:spacing w:after="0" w:line="360" w:lineRule="auto"/>
        <w:textAlignment w:val="baseline"/>
        <w:rPr>
          <w:rFonts w:ascii="Calibri" w:eastAsia="Times New Roman" w:hAnsi="Calibri" w:cs="Calibri"/>
        </w:rPr>
      </w:pPr>
      <w:r w:rsidRPr="00694150">
        <w:rPr>
          <w:rFonts w:ascii="Calibri" w:eastAsia="Times New Roman" w:hAnsi="Calibri" w:cs="Calibri"/>
        </w:rPr>
        <w:t>The list of park units within each of the four Unit Type and Population Class categories described above (nature, historic urban, historic non-urban, recreation) was sorted in descending order (highest to lowest) by average annual visitation across the five-year period from 2013 through 2017. Within each category, the top </w:t>
      </w:r>
      <w:r w:rsidRPr="00694150">
        <w:rPr>
          <w:rFonts w:ascii="Calibri" w:eastAsia="Times New Roman" w:hAnsi="Calibri" w:cs="Calibri"/>
          <w:i/>
          <w:iCs/>
        </w:rPr>
        <w:t>n</w:t>
      </w:r>
      <w:r w:rsidRPr="00694150">
        <w:rPr>
          <w:rFonts w:ascii="Calibri" w:eastAsia="Times New Roman" w:hAnsi="Calibri" w:cs="Calibri"/>
        </w:rPr>
        <w:t> parks that together account for 80% of the category’s total annual visitation are designated “large” parks, with the remaining parks designated “small” parks. </w:t>
      </w:r>
      <w:r w:rsidR="00064ED3">
        <w:rPr>
          <w:rFonts w:ascii="Calibri" w:eastAsia="Times New Roman" w:hAnsi="Calibri" w:cs="Calibri"/>
        </w:rPr>
        <w:t xml:space="preserve"> </w:t>
      </w:r>
    </w:p>
    <w:p w:rsidR="00A96C31" w:rsidP="0045722C" w14:paraId="5BE80700" w14:textId="77777777">
      <w:pPr>
        <w:spacing w:after="0" w:line="360" w:lineRule="auto"/>
        <w:ind w:right="120"/>
        <w:textAlignment w:val="baseline"/>
        <w:rPr>
          <w:rFonts w:ascii="Calibri" w:eastAsia="Times New Roman" w:hAnsi="Calibri" w:cs="Calibri"/>
          <w:b/>
          <w:bCs/>
          <w:u w:val="single"/>
        </w:rPr>
      </w:pPr>
    </w:p>
    <w:p w:rsidR="00694150" w:rsidRPr="00683675" w:rsidP="0045722C" w14:paraId="73B55B43" w14:textId="7F4D38AE">
      <w:pPr>
        <w:spacing w:after="0" w:line="360" w:lineRule="auto"/>
        <w:ind w:right="120"/>
        <w:textAlignment w:val="baseline"/>
        <w:rPr>
          <w:rFonts w:ascii="Segoe UI" w:eastAsia="Times New Roman" w:hAnsi="Segoe UI" w:cs="Segoe UI"/>
          <w:i/>
          <w:iCs/>
          <w:sz w:val="18"/>
          <w:szCs w:val="18"/>
        </w:rPr>
      </w:pPr>
      <w:r>
        <w:rPr>
          <w:rFonts w:ascii="Calibri" w:eastAsia="Times New Roman" w:hAnsi="Calibri" w:cs="Calibri"/>
          <w:b/>
          <w:bCs/>
          <w:i/>
          <w:iCs/>
        </w:rPr>
        <w:t>2.1.2</w:t>
      </w:r>
      <w:r>
        <w:rPr>
          <w:rFonts w:ascii="Calibri" w:eastAsia="Times New Roman" w:hAnsi="Calibri" w:cs="Calibri"/>
          <w:b/>
          <w:bCs/>
          <w:i/>
          <w:iCs/>
        </w:rPr>
        <w:tab/>
      </w:r>
      <w:r w:rsidRPr="00683675">
        <w:rPr>
          <w:rFonts w:ascii="Calibri" w:eastAsia="Times New Roman" w:hAnsi="Calibri" w:cs="Calibri"/>
          <w:b/>
          <w:bCs/>
          <w:i/>
          <w:iCs/>
        </w:rPr>
        <w:t>Sampling of Visitors within </w:t>
      </w:r>
      <w:r w:rsidRPr="00683675" w:rsidR="008B04B2">
        <w:rPr>
          <w:rFonts w:ascii="Calibri" w:eastAsia="Times New Roman" w:hAnsi="Calibri" w:cs="Calibri"/>
          <w:b/>
          <w:bCs/>
          <w:i/>
          <w:iCs/>
        </w:rPr>
        <w:t>Standard Park Sites</w:t>
      </w:r>
      <w:r w:rsidRPr="00683675">
        <w:rPr>
          <w:rFonts w:ascii="Calibri" w:eastAsia="Times New Roman" w:hAnsi="Calibri" w:cs="Calibri"/>
          <w:b/>
          <w:bCs/>
          <w:i/>
          <w:iCs/>
        </w:rPr>
        <w:t> </w:t>
      </w:r>
      <w:r w:rsidRPr="00683675">
        <w:rPr>
          <w:rFonts w:ascii="Calibri" w:eastAsia="Times New Roman" w:hAnsi="Calibri" w:cs="Calibri"/>
          <w:i/>
          <w:iCs/>
        </w:rPr>
        <w:t> </w:t>
      </w:r>
    </w:p>
    <w:p w:rsidR="0080714F" w:rsidP="0080714F" w14:paraId="75281D49" w14:textId="6B6A9D0E">
      <w:pPr>
        <w:spacing w:after="0" w:line="360" w:lineRule="auto"/>
        <w:textAlignment w:val="baseline"/>
        <w:rPr>
          <w:rFonts w:ascii="Calibri" w:eastAsia="Times New Roman" w:hAnsi="Calibri" w:cs="Calibri"/>
        </w:rPr>
      </w:pPr>
      <w:r>
        <w:rPr>
          <w:rFonts w:ascii="Calibri" w:eastAsia="Times New Roman" w:hAnsi="Calibri" w:cs="Calibri"/>
        </w:rPr>
        <w:t>At each site, v</w:t>
      </w:r>
      <w:r w:rsidRPr="00694150">
        <w:rPr>
          <w:rFonts w:ascii="Calibri" w:eastAsia="Times New Roman" w:hAnsi="Calibri" w:cs="Calibri"/>
        </w:rPr>
        <w:t xml:space="preserve">isitors will be </w:t>
      </w:r>
      <w:r w:rsidR="00597C62">
        <w:rPr>
          <w:rFonts w:ascii="Calibri" w:eastAsia="Times New Roman" w:hAnsi="Calibri" w:cs="Calibri"/>
        </w:rPr>
        <w:t xml:space="preserve">randomly </w:t>
      </w:r>
      <w:r w:rsidRPr="00694150">
        <w:rPr>
          <w:rFonts w:ascii="Calibri" w:eastAsia="Times New Roman" w:hAnsi="Calibri" w:cs="Calibri"/>
        </w:rPr>
        <w:t>contacted onsite to participate in a short</w:t>
      </w:r>
      <w:r>
        <w:rPr>
          <w:rFonts w:ascii="Calibri" w:eastAsia="Times New Roman" w:hAnsi="Calibri" w:cs="Calibri"/>
        </w:rPr>
        <w:t xml:space="preserve">, </w:t>
      </w:r>
      <w:r w:rsidR="003738E7">
        <w:rPr>
          <w:rFonts w:ascii="Calibri" w:eastAsia="Times New Roman" w:hAnsi="Calibri" w:cs="Calibri"/>
        </w:rPr>
        <w:t>6</w:t>
      </w:r>
      <w:r>
        <w:rPr>
          <w:rFonts w:ascii="Calibri" w:eastAsia="Times New Roman" w:hAnsi="Calibri" w:cs="Calibri"/>
        </w:rPr>
        <w:t>-minute,</w:t>
      </w:r>
      <w:r w:rsidRPr="00694150">
        <w:rPr>
          <w:rFonts w:ascii="Calibri" w:eastAsia="Times New Roman" w:hAnsi="Calibri" w:cs="Calibri"/>
        </w:rPr>
        <w:t xml:space="preserve"> intercept survey about their current NPS trip</w:t>
      </w:r>
      <w:r>
        <w:rPr>
          <w:rFonts w:ascii="Calibri" w:eastAsia="Times New Roman" w:hAnsi="Calibri" w:cs="Calibri"/>
        </w:rPr>
        <w:t xml:space="preserve">. Verification of potential respondent eligibility will be first established, ensuring they are at least 18, have not already taken the survey at the specific park, and are not a park employee. Where groups are encountered, the adult with the most recent birthday will be the requested respondent. </w:t>
      </w:r>
      <w:r w:rsidRPr="005D66F5">
        <w:rPr>
          <w:rFonts w:ascii="Calibri" w:eastAsia="Times New Roman" w:hAnsi="Calibri" w:cs="Calibri"/>
        </w:rPr>
        <w:t xml:space="preserve">The same visitor </w:t>
      </w:r>
      <w:r w:rsidRPr="00694150">
        <w:rPr>
          <w:rFonts w:ascii="Calibri" w:eastAsia="Times New Roman" w:hAnsi="Calibri" w:cs="Calibri"/>
        </w:rPr>
        <w:t>will be asked to complete a </w:t>
      </w:r>
      <w:r w:rsidRPr="005D66F5">
        <w:rPr>
          <w:rFonts w:ascii="Calibri" w:eastAsia="Times New Roman" w:hAnsi="Calibri" w:cs="Calibri"/>
        </w:rPr>
        <w:t>follow-up survey (mail</w:t>
      </w:r>
      <w:r w:rsidR="001A256B">
        <w:rPr>
          <w:rFonts w:ascii="Calibri" w:eastAsia="Times New Roman" w:hAnsi="Calibri" w:cs="Calibri"/>
        </w:rPr>
        <w:t>-</w:t>
      </w:r>
      <w:r w:rsidRPr="00694150">
        <w:rPr>
          <w:rFonts w:ascii="Calibri" w:eastAsia="Times New Roman" w:hAnsi="Calibri" w:cs="Calibri"/>
        </w:rPr>
        <w:t xml:space="preserve">back or </w:t>
      </w:r>
      <w:r w:rsidRPr="005D66F5">
        <w:rPr>
          <w:rFonts w:ascii="Calibri" w:eastAsia="Times New Roman" w:hAnsi="Calibri" w:cs="Calibri"/>
        </w:rPr>
        <w:t>online</w:t>
      </w:r>
      <w:r>
        <w:rPr>
          <w:rFonts w:ascii="Calibri" w:eastAsia="Times New Roman" w:hAnsi="Calibri" w:cs="Calibri"/>
        </w:rPr>
        <w:t xml:space="preserve">) </w:t>
      </w:r>
      <w:r w:rsidRPr="005D66F5">
        <w:rPr>
          <w:rFonts w:ascii="Calibri" w:eastAsia="Times New Roman" w:hAnsi="Calibri" w:cs="Calibri"/>
        </w:rPr>
        <w:t>upon</w:t>
      </w:r>
      <w:r w:rsidRPr="00694150">
        <w:rPr>
          <w:rFonts w:ascii="Calibri" w:eastAsia="Times New Roman" w:hAnsi="Calibri" w:cs="Calibri"/>
        </w:rPr>
        <w:t xml:space="preserve"> completion of their trip. The follow-up survey </w:t>
      </w:r>
      <w:r w:rsidRPr="00485F7F">
        <w:rPr>
          <w:rFonts w:ascii="Calibri" w:eastAsia="Times New Roman" w:hAnsi="Calibri" w:cs="Calibri"/>
        </w:rPr>
        <w:t>will capture</w:t>
      </w:r>
      <w:r>
        <w:rPr>
          <w:rFonts w:ascii="Calibri" w:eastAsia="Times New Roman" w:hAnsi="Calibri" w:cs="Calibri"/>
        </w:rPr>
        <w:t xml:space="preserve"> d</w:t>
      </w:r>
      <w:r w:rsidRPr="00694150">
        <w:rPr>
          <w:rFonts w:ascii="Calibri" w:eastAsia="Times New Roman" w:hAnsi="Calibri" w:cs="Calibri"/>
        </w:rPr>
        <w:t>etails about the respondents’ trip</w:t>
      </w:r>
      <w:r w:rsidRPr="00485F7F">
        <w:rPr>
          <w:rFonts w:ascii="Calibri" w:eastAsia="Times New Roman" w:hAnsi="Calibri" w:cs="Calibri"/>
        </w:rPr>
        <w:t> and time</w:t>
      </w:r>
      <w:r w:rsidRPr="00694150">
        <w:rPr>
          <w:rFonts w:ascii="Calibri" w:eastAsia="Times New Roman" w:hAnsi="Calibri" w:cs="Calibri"/>
        </w:rPr>
        <w:t xml:space="preserve"> at the NPS site. </w:t>
      </w:r>
      <w:r>
        <w:rPr>
          <w:rFonts w:ascii="Calibri" w:eastAsia="Times New Roman" w:hAnsi="Calibri" w:cs="Calibri"/>
        </w:rPr>
        <w:t xml:space="preserve"> </w:t>
      </w:r>
      <w:r w:rsidR="00657413">
        <w:rPr>
          <w:rFonts w:ascii="Calibri" w:eastAsia="Times New Roman" w:hAnsi="Calibri" w:cs="Calibri"/>
        </w:rPr>
        <w:t>The only variations that will occur will be</w:t>
      </w:r>
      <w:r>
        <w:rPr>
          <w:rFonts w:ascii="Calibri" w:eastAsia="Times New Roman" w:hAnsi="Calibri" w:cs="Calibri"/>
        </w:rPr>
        <w:t xml:space="preserve"> based on park logistics for intercepting visitors and specific park attributes and needs within questio</w:t>
      </w:r>
      <w:r w:rsidR="00D24876">
        <w:rPr>
          <w:rFonts w:ascii="Calibri" w:eastAsia="Times New Roman" w:hAnsi="Calibri" w:cs="Calibri"/>
        </w:rPr>
        <w:t>ns.</w:t>
      </w:r>
      <w:r w:rsidRPr="00694150">
        <w:rPr>
          <w:rFonts w:ascii="Calibri" w:eastAsia="Times New Roman" w:hAnsi="Calibri" w:cs="Calibri"/>
        </w:rPr>
        <w:t> </w:t>
      </w:r>
      <w:r w:rsidR="00FC3906">
        <w:rPr>
          <w:rFonts w:ascii="Calibri" w:eastAsia="Times New Roman" w:hAnsi="Calibri" w:cs="Calibri"/>
        </w:rPr>
        <w:t xml:space="preserve">For example, </w:t>
      </w:r>
      <w:r w:rsidR="00FC3906">
        <w:rPr>
          <w:rFonts w:ascii="Calibri" w:eastAsia="Times New Roman" w:hAnsi="Calibri" w:cs="Calibri"/>
        </w:rPr>
        <w:t>s</w:t>
      </w:r>
      <w:r w:rsidR="00FE225C">
        <w:rPr>
          <w:rFonts w:ascii="Calibri" w:eastAsia="Times New Roman" w:hAnsi="Calibri" w:cs="Calibri"/>
        </w:rPr>
        <w:t xml:space="preserve">maller parks with a single entrance may only require sampling at </w:t>
      </w:r>
      <w:r w:rsidR="00D24876">
        <w:rPr>
          <w:rFonts w:ascii="Calibri" w:eastAsia="Times New Roman" w:hAnsi="Calibri" w:cs="Calibri"/>
        </w:rPr>
        <w:t>one</w:t>
      </w:r>
      <w:r w:rsidR="00FE225C">
        <w:rPr>
          <w:rFonts w:ascii="Calibri" w:eastAsia="Times New Roman" w:hAnsi="Calibri" w:cs="Calibri"/>
        </w:rPr>
        <w:t xml:space="preserve"> entry/exit point, whereas other parks will have multiple intercept locations. Similarly,</w:t>
      </w:r>
      <w:r w:rsidR="00742E77">
        <w:rPr>
          <w:rFonts w:ascii="Calibri" w:eastAsia="Times New Roman" w:hAnsi="Calibri" w:cs="Calibri"/>
        </w:rPr>
        <w:t xml:space="preserve"> individual questions on the surveys will be made applicable to park circumstances</w:t>
      </w:r>
      <w:r w:rsidR="00C2728A">
        <w:rPr>
          <w:rFonts w:ascii="Calibri" w:eastAsia="Times New Roman" w:hAnsi="Calibri" w:cs="Calibri"/>
        </w:rPr>
        <w:t xml:space="preserve">. For example, questions about mode of transportation for entering the park will </w:t>
      </w:r>
      <w:r w:rsidR="00E1164D">
        <w:rPr>
          <w:rFonts w:ascii="Calibri" w:eastAsia="Times New Roman" w:hAnsi="Calibri" w:cs="Calibri"/>
        </w:rPr>
        <w:t>only reflect those options available at a park (e.g., land-based parks won’t have an option for entering by watercraft, etc.)</w:t>
      </w:r>
      <w:r w:rsidR="00C74168">
        <w:rPr>
          <w:rFonts w:ascii="Calibri" w:eastAsia="Times New Roman" w:hAnsi="Calibri" w:cs="Calibri"/>
        </w:rPr>
        <w:t>.</w:t>
      </w:r>
      <w:r w:rsidR="002842DF">
        <w:rPr>
          <w:rFonts w:ascii="Calibri" w:eastAsia="Times New Roman" w:hAnsi="Calibri" w:cs="Calibri"/>
        </w:rPr>
        <w:t xml:space="preserve"> </w:t>
      </w:r>
    </w:p>
    <w:p w:rsidR="0080714F" w:rsidP="0080714F" w14:paraId="3CE9C563" w14:textId="77777777">
      <w:pPr>
        <w:spacing w:after="0" w:line="360" w:lineRule="auto"/>
        <w:textAlignment w:val="baseline"/>
        <w:rPr>
          <w:rFonts w:ascii="Calibri" w:eastAsia="Times New Roman" w:hAnsi="Calibri" w:cs="Calibri"/>
        </w:rPr>
      </w:pPr>
    </w:p>
    <w:p w:rsidR="00694150" w:rsidRPr="00694150" w:rsidP="0080714F" w14:paraId="0F7AFEA5" w14:textId="79E61147">
      <w:pPr>
        <w:spacing w:after="0" w:line="360" w:lineRule="auto"/>
        <w:textAlignment w:val="baseline"/>
        <w:rPr>
          <w:rFonts w:ascii="Segoe UI" w:eastAsia="Times New Roman" w:hAnsi="Segoe UI" w:cs="Segoe UI"/>
          <w:sz w:val="18"/>
          <w:szCs w:val="18"/>
        </w:rPr>
      </w:pPr>
      <w:r w:rsidRPr="00694150">
        <w:rPr>
          <w:rFonts w:ascii="Calibri" w:eastAsia="Times New Roman" w:hAnsi="Calibri" w:cs="Calibri"/>
        </w:rPr>
        <w:t xml:space="preserve">The park type and size strata described above </w:t>
      </w:r>
      <w:r w:rsidR="008B04B2">
        <w:rPr>
          <w:rFonts w:ascii="Calibri" w:eastAsia="Times New Roman" w:hAnsi="Calibri" w:cs="Calibri"/>
        </w:rPr>
        <w:t>a</w:t>
      </w:r>
      <w:r w:rsidRPr="00694150">
        <w:rPr>
          <w:rFonts w:ascii="Calibri" w:eastAsia="Times New Roman" w:hAnsi="Calibri" w:cs="Calibri"/>
        </w:rPr>
        <w:t>re </w:t>
      </w:r>
      <w:r w:rsidRPr="008B04B2">
        <w:rPr>
          <w:rFonts w:ascii="Calibri" w:eastAsia="Times New Roman" w:hAnsi="Calibri" w:cs="Calibri"/>
        </w:rPr>
        <w:t>exclusively</w:t>
      </w:r>
      <w:r w:rsidR="008B04B2">
        <w:rPr>
          <w:rFonts w:ascii="Calibri" w:eastAsia="Times New Roman" w:hAnsi="Calibri" w:cs="Calibri"/>
        </w:rPr>
        <w:t xml:space="preserve"> </w:t>
      </w:r>
      <w:r w:rsidRPr="00694150">
        <w:rPr>
          <w:rFonts w:ascii="Calibri" w:eastAsia="Times New Roman" w:hAnsi="Calibri" w:cs="Calibri"/>
        </w:rPr>
        <w:t>used</w:t>
      </w:r>
      <w:r w:rsidRPr="00694150" w:rsidR="008B04B2">
        <w:rPr>
          <w:rFonts w:ascii="Calibri" w:eastAsia="Times New Roman" w:hAnsi="Calibri" w:cs="Calibri"/>
        </w:rPr>
        <w:t xml:space="preserve"> </w:t>
      </w:r>
      <w:r w:rsidRPr="00694150">
        <w:rPr>
          <w:rFonts w:ascii="Calibri" w:eastAsia="Times New Roman" w:hAnsi="Calibri" w:cs="Calibri"/>
        </w:rPr>
        <w:t>to select the park sites for inclusion in the study</w:t>
      </w:r>
      <w:r w:rsidR="008B04B2">
        <w:rPr>
          <w:rFonts w:ascii="Calibri" w:eastAsia="Times New Roman" w:hAnsi="Calibri" w:cs="Calibri"/>
        </w:rPr>
        <w:t xml:space="preserve"> in each year</w:t>
      </w:r>
      <w:r w:rsidRPr="00694150">
        <w:rPr>
          <w:rFonts w:ascii="Calibri" w:eastAsia="Times New Roman" w:hAnsi="Calibri" w:cs="Calibri"/>
        </w:rPr>
        <w:t>; the sampling plan, instruments, and procedures used to contact visitors within each park will remain consistent across all park units.  </w:t>
      </w:r>
    </w:p>
    <w:p w:rsidR="008B04B2" w:rsidP="0045722C" w14:paraId="56B6642B" w14:textId="77777777">
      <w:pPr>
        <w:spacing w:after="0" w:line="360" w:lineRule="auto"/>
        <w:ind w:right="120"/>
        <w:textAlignment w:val="baseline"/>
        <w:rPr>
          <w:rFonts w:ascii="Calibri" w:eastAsia="Times New Roman" w:hAnsi="Calibri" w:cs="Calibri"/>
        </w:rPr>
      </w:pPr>
    </w:p>
    <w:p w:rsidR="00694150" w:rsidRPr="00694150" w:rsidP="0045722C" w14:paraId="7C87C998" w14:textId="2393FF0B">
      <w:pPr>
        <w:spacing w:after="0" w:line="360" w:lineRule="auto"/>
        <w:ind w:right="120"/>
        <w:textAlignment w:val="baseline"/>
        <w:rPr>
          <w:rFonts w:ascii="Segoe UI" w:eastAsia="Times New Roman" w:hAnsi="Segoe UI" w:cs="Segoe UI"/>
          <w:sz w:val="18"/>
          <w:szCs w:val="18"/>
        </w:rPr>
      </w:pPr>
      <w:r w:rsidRPr="00694150">
        <w:rPr>
          <w:rFonts w:ascii="Calibri" w:eastAsia="Times New Roman" w:hAnsi="Calibri" w:cs="Calibri"/>
        </w:rPr>
        <w:t xml:space="preserve">A random sampling of visitors will be intercepted while visiting one of the selected NPS sites </w:t>
      </w:r>
      <w:r w:rsidR="008B04B2">
        <w:rPr>
          <w:rFonts w:ascii="Calibri" w:eastAsia="Times New Roman" w:hAnsi="Calibri" w:cs="Calibri"/>
        </w:rPr>
        <w:t xml:space="preserve">during a </w:t>
      </w:r>
      <w:r w:rsidR="00A720EB">
        <w:rPr>
          <w:rFonts w:ascii="Calibri" w:eastAsia="Times New Roman" w:hAnsi="Calibri" w:cs="Calibri"/>
        </w:rPr>
        <w:t xml:space="preserve">consecutive </w:t>
      </w:r>
      <w:r w:rsidRPr="00694150">
        <w:rPr>
          <w:rFonts w:ascii="Calibri" w:eastAsia="Times New Roman" w:hAnsi="Calibri" w:cs="Calibri"/>
        </w:rPr>
        <w:t>10-day sampling period</w:t>
      </w:r>
      <w:r w:rsidR="008B04B2">
        <w:rPr>
          <w:rFonts w:ascii="Calibri" w:eastAsia="Times New Roman" w:hAnsi="Calibri" w:cs="Calibri"/>
        </w:rPr>
        <w:t>.</w:t>
      </w:r>
      <w:r w:rsidR="003C602D">
        <w:rPr>
          <w:rFonts w:ascii="Calibri" w:eastAsia="Times New Roman" w:hAnsi="Calibri" w:cs="Calibri"/>
        </w:rPr>
        <w:t xml:space="preserve"> Intercept times of day will be varied by park and established via communication with park staff regarding typical visitation hours.</w:t>
      </w:r>
      <w:r w:rsidR="008B04B2">
        <w:rPr>
          <w:rFonts w:ascii="Calibri" w:eastAsia="Times New Roman" w:hAnsi="Calibri" w:cs="Calibri"/>
        </w:rPr>
        <w:t xml:space="preserve"> Typically, 3-5 s</w:t>
      </w:r>
      <w:r w:rsidRPr="00694150">
        <w:rPr>
          <w:rFonts w:ascii="Calibri" w:eastAsia="Times New Roman" w:hAnsi="Calibri" w:cs="Calibri"/>
        </w:rPr>
        <w:t>urveyors will be stationed at </w:t>
      </w:r>
      <w:r w:rsidRPr="008B04B2">
        <w:rPr>
          <w:rFonts w:ascii="Calibri" w:eastAsia="Times New Roman" w:hAnsi="Calibri" w:cs="Calibri"/>
        </w:rPr>
        <w:t>specific intercept locations within each NPS unit (e.g., visitor centers, attraction areas, trailheads, and near park entrances)</w:t>
      </w:r>
      <w:r w:rsidRPr="008B04B2" w:rsidR="008B04B2">
        <w:rPr>
          <w:rFonts w:ascii="Calibri" w:eastAsia="Times New Roman" w:hAnsi="Calibri" w:cs="Calibri"/>
        </w:rPr>
        <w:t xml:space="preserve"> </w:t>
      </w:r>
      <w:r w:rsidRPr="008B04B2">
        <w:rPr>
          <w:rFonts w:ascii="Calibri" w:eastAsia="Times New Roman" w:hAnsi="Calibri" w:cs="Calibri"/>
        </w:rPr>
        <w:t>based on insights from park staff, NPS visitor use statistics, prior research, and professional experience</w:t>
      </w:r>
      <w:r w:rsidRPr="008B04B2" w:rsidR="008B04B2">
        <w:rPr>
          <w:rFonts w:ascii="Calibri" w:eastAsia="Times New Roman" w:hAnsi="Calibri" w:cs="Calibri"/>
        </w:rPr>
        <w:t>.</w:t>
      </w:r>
      <w:r w:rsidR="0074226D">
        <w:rPr>
          <w:rFonts w:ascii="Calibri" w:eastAsia="Times New Roman" w:hAnsi="Calibri" w:cs="Calibri"/>
        </w:rPr>
        <w:t xml:space="preserve"> </w:t>
      </w:r>
      <w:r w:rsidR="00950980">
        <w:rPr>
          <w:rFonts w:ascii="Calibri" w:eastAsia="Times New Roman" w:hAnsi="Calibri" w:cs="Calibri"/>
        </w:rPr>
        <w:t xml:space="preserve">Depending on park circumstances, these surveyors may be spread out across locations or </w:t>
      </w:r>
      <w:r w:rsidR="000442C9">
        <w:rPr>
          <w:rFonts w:ascii="Calibri" w:eastAsia="Times New Roman" w:hAnsi="Calibri" w:cs="Calibri"/>
        </w:rPr>
        <w:t xml:space="preserve">stationed at a single location (e.g., single entry/exit point). </w:t>
      </w:r>
      <w:r w:rsidR="0074226D">
        <w:rPr>
          <w:rFonts w:ascii="Calibri" w:eastAsia="Times New Roman" w:hAnsi="Calibri" w:cs="Calibri"/>
        </w:rPr>
        <w:t>An example 10-day visitor contact schedule is displayed below for Great Smoky Mountains National Park</w:t>
      </w:r>
      <w:r w:rsidR="0080714F">
        <w:rPr>
          <w:rFonts w:ascii="Calibri" w:eastAsia="Times New Roman" w:hAnsi="Calibri" w:cs="Calibri"/>
        </w:rPr>
        <w:t xml:space="preserve"> (Table </w:t>
      </w:r>
      <w:r w:rsidR="00A1132E">
        <w:rPr>
          <w:rFonts w:ascii="Calibri" w:eastAsia="Times New Roman" w:hAnsi="Calibri" w:cs="Calibri"/>
        </w:rPr>
        <w:t>2.1</w:t>
      </w:r>
      <w:r w:rsidR="0080714F">
        <w:rPr>
          <w:rFonts w:ascii="Calibri" w:eastAsia="Times New Roman" w:hAnsi="Calibri" w:cs="Calibri"/>
        </w:rPr>
        <w:t>)</w:t>
      </w:r>
      <w:r w:rsidR="0074226D">
        <w:rPr>
          <w:rFonts w:ascii="Calibri" w:eastAsia="Times New Roman" w:hAnsi="Calibri" w:cs="Calibri"/>
        </w:rPr>
        <w:t>.</w:t>
      </w:r>
    </w:p>
    <w:p w:rsidR="0074226D" w:rsidP="0074226D" w14:paraId="5364D44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Arial" w:hAnsi="Arial" w:cs="Arial"/>
          <w:b/>
          <w:bCs/>
          <w:sz w:val="20"/>
          <w:szCs w:val="20"/>
        </w:rPr>
      </w:pPr>
    </w:p>
    <w:p w:rsidR="0074226D" w:rsidP="0074226D" w14:paraId="7F6E2ACB" w14:textId="6414377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hanging="360"/>
        <w:rPr>
          <w:rFonts w:ascii="Arial" w:eastAsia="Arial" w:hAnsi="Arial" w:cs="Arial"/>
          <w:b/>
          <w:bCs/>
          <w:sz w:val="20"/>
          <w:szCs w:val="20"/>
        </w:rPr>
      </w:pPr>
      <w:r>
        <w:rPr>
          <w:rFonts w:ascii="Arial" w:eastAsia="Arial" w:hAnsi="Arial" w:cs="Arial"/>
          <w:b/>
          <w:bCs/>
          <w:sz w:val="20"/>
          <w:szCs w:val="20"/>
        </w:rPr>
        <w:t xml:space="preserve">Table </w:t>
      </w:r>
      <w:r w:rsidR="00A1132E">
        <w:rPr>
          <w:rFonts w:ascii="Arial" w:eastAsia="Arial" w:hAnsi="Arial" w:cs="Arial"/>
          <w:b/>
          <w:bCs/>
          <w:sz w:val="20"/>
          <w:szCs w:val="20"/>
        </w:rPr>
        <w:t>2</w:t>
      </w:r>
      <w:r>
        <w:rPr>
          <w:rFonts w:ascii="Arial" w:eastAsia="Arial" w:hAnsi="Arial" w:cs="Arial"/>
          <w:b/>
          <w:bCs/>
          <w:sz w:val="20"/>
          <w:szCs w:val="20"/>
        </w:rPr>
        <w:t>.</w:t>
      </w:r>
      <w:r w:rsidR="00A1132E">
        <w:rPr>
          <w:rFonts w:ascii="Arial" w:eastAsia="Arial" w:hAnsi="Arial" w:cs="Arial"/>
          <w:b/>
          <w:bCs/>
          <w:sz w:val="20"/>
          <w:szCs w:val="20"/>
        </w:rPr>
        <w:t>1:</w:t>
      </w:r>
      <w:r>
        <w:rPr>
          <w:rFonts w:ascii="Arial" w:eastAsia="Arial" w:hAnsi="Arial" w:cs="Arial"/>
          <w:b/>
          <w:bCs/>
          <w:sz w:val="20"/>
          <w:szCs w:val="20"/>
        </w:rPr>
        <w:t xml:space="preserve"> Example ten-day sample schedule</w:t>
      </w:r>
    </w:p>
    <w:tbl>
      <w:tblPr>
        <w:tblStyle w:val="TableGrid"/>
        <w:tblW w:w="0" w:type="auto"/>
        <w:tblInd w:w="-5" w:type="dxa"/>
        <w:tblLook w:val="04A0"/>
      </w:tblPr>
      <w:tblGrid>
        <w:gridCol w:w="1980"/>
        <w:gridCol w:w="608"/>
        <w:gridCol w:w="562"/>
        <w:gridCol w:w="645"/>
        <w:gridCol w:w="559"/>
        <w:gridCol w:w="645"/>
        <w:gridCol w:w="562"/>
        <w:gridCol w:w="551"/>
        <w:gridCol w:w="630"/>
        <w:gridCol w:w="630"/>
        <w:gridCol w:w="645"/>
        <w:gridCol w:w="1080"/>
      </w:tblGrid>
      <w:tr w14:paraId="13886A8A" w14:textId="77777777" w:rsidTr="0080714F">
        <w:tblPrEx>
          <w:tblW w:w="0" w:type="auto"/>
          <w:tblInd w:w="-5" w:type="dxa"/>
          <w:tblLook w:val="04A0"/>
        </w:tblPrEx>
        <w:trPr>
          <w:trHeight w:val="377"/>
        </w:trPr>
        <w:tc>
          <w:tcPr>
            <w:tcW w:w="1980" w:type="dxa"/>
            <w:shd w:val="clear" w:color="auto" w:fill="B8CCE4" w:themeFill="accent1" w:themeFillTint="66"/>
          </w:tcPr>
          <w:p w:rsidR="0074226D" w:rsidRPr="00474FF3" w14:paraId="22042FE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b/>
                <w:bCs/>
              </w:rPr>
            </w:pPr>
            <w:bookmarkStart w:id="2" w:name="_Hlk121313940"/>
          </w:p>
        </w:tc>
        <w:tc>
          <w:tcPr>
            <w:tcW w:w="6037" w:type="dxa"/>
            <w:gridSpan w:val="10"/>
            <w:shd w:val="clear" w:color="auto" w:fill="B8CCE4" w:themeFill="accent1" w:themeFillTint="66"/>
            <w:vAlign w:val="center"/>
          </w:tcPr>
          <w:p w:rsidR="0074226D" w:rsidRPr="00474FF3" w14:paraId="15AF5E4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Number of initial contacts: Great Smoky Mountains NP</w:t>
            </w:r>
          </w:p>
        </w:tc>
        <w:tc>
          <w:tcPr>
            <w:tcW w:w="1080" w:type="dxa"/>
            <w:shd w:val="clear" w:color="auto" w:fill="B8CCE4" w:themeFill="accent1" w:themeFillTint="66"/>
          </w:tcPr>
          <w:p w:rsidR="0074226D" w:rsidRPr="00474FF3" w14:paraId="03C0B91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b/>
                <w:bCs/>
              </w:rPr>
            </w:pPr>
          </w:p>
        </w:tc>
      </w:tr>
      <w:tr w14:paraId="643FEFFD" w14:textId="77777777" w:rsidTr="0080714F">
        <w:tblPrEx>
          <w:tblW w:w="0" w:type="auto"/>
          <w:tblInd w:w="-5" w:type="dxa"/>
          <w:tblLook w:val="04A0"/>
        </w:tblPrEx>
        <w:tc>
          <w:tcPr>
            <w:tcW w:w="1980" w:type="dxa"/>
          </w:tcPr>
          <w:p w:rsidR="0074226D" w:rsidRPr="00474FF3" w14:paraId="736BEDC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b/>
                <w:bCs/>
              </w:rPr>
            </w:pPr>
          </w:p>
        </w:tc>
        <w:tc>
          <w:tcPr>
            <w:tcW w:w="608" w:type="dxa"/>
            <w:shd w:val="clear" w:color="auto" w:fill="DBE5F1" w:themeFill="accent1" w:themeFillTint="33"/>
          </w:tcPr>
          <w:p w:rsidR="0074226D" w:rsidRPr="00474FF3" w14:paraId="0E8E97C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Sat</w:t>
            </w:r>
          </w:p>
        </w:tc>
        <w:tc>
          <w:tcPr>
            <w:tcW w:w="562" w:type="dxa"/>
            <w:shd w:val="clear" w:color="auto" w:fill="DBE5F1" w:themeFill="accent1" w:themeFillTint="33"/>
          </w:tcPr>
          <w:p w:rsidR="0074226D" w:rsidRPr="00474FF3" w14:paraId="0F60AFA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Sun</w:t>
            </w:r>
          </w:p>
        </w:tc>
        <w:tc>
          <w:tcPr>
            <w:tcW w:w="645" w:type="dxa"/>
          </w:tcPr>
          <w:p w:rsidR="0074226D" w:rsidRPr="00474FF3" w14:paraId="0B3EE8F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Mon</w:t>
            </w:r>
          </w:p>
        </w:tc>
        <w:tc>
          <w:tcPr>
            <w:tcW w:w="559" w:type="dxa"/>
          </w:tcPr>
          <w:p w:rsidR="0074226D" w:rsidRPr="00474FF3" w14:paraId="077C230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Tue</w:t>
            </w:r>
          </w:p>
        </w:tc>
        <w:tc>
          <w:tcPr>
            <w:tcW w:w="645" w:type="dxa"/>
          </w:tcPr>
          <w:p w:rsidR="0074226D" w:rsidRPr="00474FF3" w14:paraId="4058681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Wed</w:t>
            </w:r>
          </w:p>
        </w:tc>
        <w:tc>
          <w:tcPr>
            <w:tcW w:w="562" w:type="dxa"/>
          </w:tcPr>
          <w:p w:rsidR="0074226D" w:rsidRPr="00474FF3" w14:paraId="1A9EC63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Thu</w:t>
            </w:r>
          </w:p>
        </w:tc>
        <w:tc>
          <w:tcPr>
            <w:tcW w:w="551" w:type="dxa"/>
          </w:tcPr>
          <w:p w:rsidR="0074226D" w:rsidRPr="00474FF3" w14:paraId="5827608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Fri</w:t>
            </w:r>
          </w:p>
        </w:tc>
        <w:tc>
          <w:tcPr>
            <w:tcW w:w="630" w:type="dxa"/>
            <w:shd w:val="clear" w:color="auto" w:fill="DBE5F1" w:themeFill="accent1" w:themeFillTint="33"/>
          </w:tcPr>
          <w:p w:rsidR="0074226D" w:rsidRPr="00474FF3" w14:paraId="79B01E5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Sat</w:t>
            </w:r>
          </w:p>
        </w:tc>
        <w:tc>
          <w:tcPr>
            <w:tcW w:w="630" w:type="dxa"/>
            <w:shd w:val="clear" w:color="auto" w:fill="DBE5F1" w:themeFill="accent1" w:themeFillTint="33"/>
          </w:tcPr>
          <w:p w:rsidR="0074226D" w:rsidRPr="00474FF3" w14:paraId="74891259"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Sun</w:t>
            </w:r>
          </w:p>
        </w:tc>
        <w:tc>
          <w:tcPr>
            <w:tcW w:w="645" w:type="dxa"/>
            <w:shd w:val="clear" w:color="auto" w:fill="auto"/>
          </w:tcPr>
          <w:p w:rsidR="0074226D" w:rsidRPr="00474FF3" w14:paraId="4991CE4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Mon</w:t>
            </w:r>
          </w:p>
        </w:tc>
        <w:tc>
          <w:tcPr>
            <w:tcW w:w="1080" w:type="dxa"/>
            <w:shd w:val="clear" w:color="auto" w:fill="B8CCE4" w:themeFill="accent1" w:themeFillTint="66"/>
          </w:tcPr>
          <w:p w:rsidR="0074226D" w:rsidRPr="00474FF3" w14:paraId="79A25912" w14:textId="4855A56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Pr>
                <w:rFonts w:eastAsia="Arial" w:cstheme="minorHAnsi"/>
                <w:b/>
                <w:bCs/>
              </w:rPr>
              <w:t xml:space="preserve">Site </w:t>
            </w:r>
            <w:r w:rsidRPr="00474FF3">
              <w:rPr>
                <w:rFonts w:eastAsia="Arial" w:cstheme="minorHAnsi"/>
                <w:b/>
                <w:bCs/>
              </w:rPr>
              <w:t>Total</w:t>
            </w:r>
          </w:p>
        </w:tc>
      </w:tr>
      <w:tr w14:paraId="16688001" w14:textId="77777777" w:rsidTr="00AB1E13">
        <w:tblPrEx>
          <w:tblW w:w="0" w:type="auto"/>
          <w:tblInd w:w="-5" w:type="dxa"/>
          <w:tblLook w:val="04A0"/>
        </w:tblPrEx>
        <w:trPr>
          <w:trHeight w:val="323"/>
        </w:trPr>
        <w:tc>
          <w:tcPr>
            <w:tcW w:w="1980" w:type="dxa"/>
          </w:tcPr>
          <w:p w:rsidR="00C86F07" w:rsidRPr="00474FF3" w:rsidP="00C86F07" w14:paraId="03E69ED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Sugarlands</w:t>
            </w:r>
            <w:r w:rsidRPr="00474FF3">
              <w:rPr>
                <w:rFonts w:eastAsia="Arial" w:cstheme="minorHAnsi"/>
              </w:rPr>
              <w:t xml:space="preserve"> VC</w:t>
            </w:r>
          </w:p>
        </w:tc>
        <w:tc>
          <w:tcPr>
            <w:tcW w:w="608" w:type="dxa"/>
            <w:shd w:val="clear" w:color="auto" w:fill="DBE5F1" w:themeFill="accent1" w:themeFillTint="33"/>
            <w:vAlign w:val="center"/>
          </w:tcPr>
          <w:p w:rsidR="00C86F07" w:rsidRPr="00474FF3" w:rsidP="00C86F07" w14:paraId="41688774" w14:textId="4FA2748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X</w:t>
            </w:r>
          </w:p>
        </w:tc>
        <w:tc>
          <w:tcPr>
            <w:tcW w:w="562" w:type="dxa"/>
            <w:shd w:val="clear" w:color="auto" w:fill="DBE5F1" w:themeFill="accent1" w:themeFillTint="33"/>
            <w:vAlign w:val="center"/>
          </w:tcPr>
          <w:p w:rsidR="00C86F07" w:rsidRPr="00474FF3" w:rsidP="00C86F07" w14:paraId="622155D0" w14:textId="00C9CBE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F175D">
              <w:rPr>
                <w:rFonts w:eastAsia="Arial" w:cstheme="minorHAnsi"/>
              </w:rPr>
              <w:t>X</w:t>
            </w:r>
          </w:p>
        </w:tc>
        <w:tc>
          <w:tcPr>
            <w:tcW w:w="645" w:type="dxa"/>
            <w:vAlign w:val="center"/>
          </w:tcPr>
          <w:p w:rsidR="00C86F07" w:rsidRPr="00474FF3" w:rsidP="00C86F07" w14:paraId="33E60340" w14:textId="58A0A8D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F175D">
              <w:rPr>
                <w:rFonts w:eastAsia="Arial" w:cstheme="minorHAnsi"/>
              </w:rPr>
              <w:t>X</w:t>
            </w:r>
          </w:p>
        </w:tc>
        <w:tc>
          <w:tcPr>
            <w:tcW w:w="559" w:type="dxa"/>
            <w:vAlign w:val="center"/>
          </w:tcPr>
          <w:p w:rsidR="00C86F07" w:rsidRPr="00474FF3" w:rsidP="00C86F07" w14:paraId="1A177D4D" w14:textId="267B5D3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F175D">
              <w:rPr>
                <w:rFonts w:eastAsia="Arial" w:cstheme="minorHAnsi"/>
              </w:rPr>
              <w:t>X</w:t>
            </w:r>
          </w:p>
        </w:tc>
        <w:tc>
          <w:tcPr>
            <w:tcW w:w="645" w:type="dxa"/>
            <w:vAlign w:val="center"/>
          </w:tcPr>
          <w:p w:rsidR="00C86F07" w:rsidRPr="00474FF3" w:rsidP="00C86F07" w14:paraId="122EBEA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62" w:type="dxa"/>
            <w:vAlign w:val="center"/>
          </w:tcPr>
          <w:p w:rsidR="00C86F07" w:rsidRPr="00474FF3" w:rsidP="00C86F07" w14:paraId="2654D1A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51" w:type="dxa"/>
            <w:vAlign w:val="center"/>
          </w:tcPr>
          <w:p w:rsidR="00C86F07" w:rsidRPr="00474FF3" w:rsidP="00C86F07" w14:paraId="1EFCBEDA" w14:textId="7B42E14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073286">
              <w:rPr>
                <w:rFonts w:eastAsia="Arial" w:cstheme="minorHAnsi"/>
              </w:rPr>
              <w:t>X</w:t>
            </w:r>
          </w:p>
        </w:tc>
        <w:tc>
          <w:tcPr>
            <w:tcW w:w="630" w:type="dxa"/>
            <w:shd w:val="clear" w:color="auto" w:fill="DBE5F1" w:themeFill="accent1" w:themeFillTint="33"/>
            <w:vAlign w:val="center"/>
          </w:tcPr>
          <w:p w:rsidR="00C86F07" w:rsidRPr="00474FF3" w:rsidP="00C86F07" w14:paraId="61328557" w14:textId="4FCA3B5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073286">
              <w:rPr>
                <w:rFonts w:eastAsia="Arial" w:cstheme="minorHAnsi"/>
              </w:rPr>
              <w:t>X</w:t>
            </w:r>
          </w:p>
        </w:tc>
        <w:tc>
          <w:tcPr>
            <w:tcW w:w="630" w:type="dxa"/>
            <w:shd w:val="clear" w:color="auto" w:fill="DBE5F1" w:themeFill="accent1" w:themeFillTint="33"/>
            <w:vAlign w:val="center"/>
          </w:tcPr>
          <w:p w:rsidR="00C86F07" w:rsidRPr="00474FF3" w:rsidP="00C86F07" w14:paraId="6A3233C5" w14:textId="1C532F8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073286">
              <w:rPr>
                <w:rFonts w:eastAsia="Arial" w:cstheme="minorHAnsi"/>
              </w:rPr>
              <w:t>X</w:t>
            </w:r>
          </w:p>
        </w:tc>
        <w:tc>
          <w:tcPr>
            <w:tcW w:w="645" w:type="dxa"/>
            <w:shd w:val="clear" w:color="auto" w:fill="auto"/>
            <w:vAlign w:val="center"/>
          </w:tcPr>
          <w:p w:rsidR="00C86F07" w:rsidRPr="00474FF3" w:rsidP="00C86F07" w14:paraId="22F8EC40" w14:textId="3E532D5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073286">
              <w:rPr>
                <w:rFonts w:eastAsia="Arial" w:cstheme="minorHAnsi"/>
              </w:rPr>
              <w:t>X</w:t>
            </w:r>
          </w:p>
        </w:tc>
        <w:tc>
          <w:tcPr>
            <w:tcW w:w="1080" w:type="dxa"/>
            <w:shd w:val="clear" w:color="auto" w:fill="B8CCE4" w:themeFill="accent1" w:themeFillTint="66"/>
            <w:vAlign w:val="center"/>
          </w:tcPr>
          <w:p w:rsidR="00C86F07" w:rsidRPr="00474FF3" w:rsidP="00C86F07" w14:paraId="428C2B5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r>
      <w:tr w14:paraId="5279C486" w14:textId="77777777" w:rsidTr="00AB1E13">
        <w:tblPrEx>
          <w:tblW w:w="0" w:type="auto"/>
          <w:tblInd w:w="-5" w:type="dxa"/>
          <w:tblLook w:val="04A0"/>
        </w:tblPrEx>
        <w:tc>
          <w:tcPr>
            <w:tcW w:w="1980" w:type="dxa"/>
          </w:tcPr>
          <w:p w:rsidR="0074226D" w:rsidRPr="00474FF3" w14:paraId="42036B7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Gatlinburg Entrance</w:t>
            </w:r>
          </w:p>
        </w:tc>
        <w:tc>
          <w:tcPr>
            <w:tcW w:w="608" w:type="dxa"/>
            <w:shd w:val="clear" w:color="auto" w:fill="DBE5F1" w:themeFill="accent1" w:themeFillTint="33"/>
            <w:vAlign w:val="center"/>
          </w:tcPr>
          <w:p w:rsidR="0074226D" w:rsidRPr="00474FF3" w14:paraId="183DE06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62" w:type="dxa"/>
            <w:shd w:val="clear" w:color="auto" w:fill="DBE5F1" w:themeFill="accent1" w:themeFillTint="33"/>
            <w:vAlign w:val="center"/>
          </w:tcPr>
          <w:p w:rsidR="0074226D" w:rsidRPr="00474FF3" w14:paraId="18D605F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45" w:type="dxa"/>
            <w:vAlign w:val="center"/>
          </w:tcPr>
          <w:p w:rsidR="0074226D" w:rsidRPr="00474FF3" w14:paraId="65B09473" w14:textId="1AA3426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559" w:type="dxa"/>
            <w:vAlign w:val="center"/>
          </w:tcPr>
          <w:p w:rsidR="0074226D" w:rsidRPr="00474FF3" w14:paraId="423BDBF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40</w:t>
            </w:r>
          </w:p>
        </w:tc>
        <w:tc>
          <w:tcPr>
            <w:tcW w:w="645" w:type="dxa"/>
            <w:vAlign w:val="center"/>
          </w:tcPr>
          <w:p w:rsidR="0074226D" w:rsidRPr="00474FF3" w14:paraId="0D717011" w14:textId="0110A83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X</w:t>
            </w:r>
          </w:p>
        </w:tc>
        <w:tc>
          <w:tcPr>
            <w:tcW w:w="562" w:type="dxa"/>
            <w:vAlign w:val="center"/>
          </w:tcPr>
          <w:p w:rsidR="0074226D" w:rsidRPr="00474FF3" w14:paraId="53E4E28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40</w:t>
            </w:r>
          </w:p>
        </w:tc>
        <w:tc>
          <w:tcPr>
            <w:tcW w:w="551" w:type="dxa"/>
            <w:vAlign w:val="center"/>
          </w:tcPr>
          <w:p w:rsidR="0074226D" w:rsidRPr="00474FF3" w14:paraId="0ED3A1F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40</w:t>
            </w:r>
          </w:p>
        </w:tc>
        <w:tc>
          <w:tcPr>
            <w:tcW w:w="630" w:type="dxa"/>
            <w:shd w:val="clear" w:color="auto" w:fill="DBE5F1" w:themeFill="accent1" w:themeFillTint="33"/>
            <w:vAlign w:val="center"/>
          </w:tcPr>
          <w:p w:rsidR="0074226D" w:rsidRPr="00474FF3" w14:paraId="67F99F20" w14:textId="2B9D01D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630" w:type="dxa"/>
            <w:shd w:val="clear" w:color="auto" w:fill="DBE5F1" w:themeFill="accent1" w:themeFillTint="33"/>
            <w:vAlign w:val="center"/>
          </w:tcPr>
          <w:p w:rsidR="0074226D" w:rsidRPr="00474FF3" w14:paraId="6E5A8E6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40</w:t>
            </w:r>
          </w:p>
        </w:tc>
        <w:tc>
          <w:tcPr>
            <w:tcW w:w="645" w:type="dxa"/>
            <w:shd w:val="clear" w:color="auto" w:fill="auto"/>
            <w:vAlign w:val="center"/>
          </w:tcPr>
          <w:p w:rsidR="0074226D" w:rsidRPr="00474FF3" w14:paraId="2314ED7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1080" w:type="dxa"/>
            <w:shd w:val="clear" w:color="auto" w:fill="B8CCE4" w:themeFill="accent1" w:themeFillTint="66"/>
            <w:vAlign w:val="center"/>
          </w:tcPr>
          <w:p w:rsidR="0074226D" w:rsidRPr="00474FF3" w14:paraId="74E6B9F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370</w:t>
            </w:r>
          </w:p>
        </w:tc>
      </w:tr>
      <w:bookmarkEnd w:id="2"/>
      <w:tr w14:paraId="71E6157B" w14:textId="77777777" w:rsidTr="00AB1E13">
        <w:tblPrEx>
          <w:tblW w:w="0" w:type="auto"/>
          <w:tblInd w:w="-5" w:type="dxa"/>
          <w:tblLook w:val="04A0"/>
        </w:tblPrEx>
        <w:tc>
          <w:tcPr>
            <w:tcW w:w="1980" w:type="dxa"/>
          </w:tcPr>
          <w:p w:rsidR="00C86F07" w:rsidRPr="00474FF3" w:rsidP="00C86F07" w14:paraId="247529B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Townsend Entrance</w:t>
            </w:r>
          </w:p>
        </w:tc>
        <w:tc>
          <w:tcPr>
            <w:tcW w:w="608" w:type="dxa"/>
            <w:shd w:val="clear" w:color="auto" w:fill="DBE5F1" w:themeFill="accent1" w:themeFillTint="33"/>
            <w:vAlign w:val="center"/>
          </w:tcPr>
          <w:p w:rsidR="00C86F07" w:rsidRPr="00474FF3" w:rsidP="00C86F07" w14:paraId="3DCE0D93" w14:textId="66D4831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92835">
              <w:rPr>
                <w:rFonts w:eastAsia="Arial" w:cstheme="minorHAnsi"/>
              </w:rPr>
              <w:t>X</w:t>
            </w:r>
          </w:p>
        </w:tc>
        <w:tc>
          <w:tcPr>
            <w:tcW w:w="562" w:type="dxa"/>
            <w:shd w:val="clear" w:color="auto" w:fill="DBE5F1" w:themeFill="accent1" w:themeFillTint="33"/>
            <w:vAlign w:val="center"/>
          </w:tcPr>
          <w:p w:rsidR="00C86F07" w:rsidRPr="00474FF3" w:rsidP="00C86F07" w14:paraId="24EB8DCE" w14:textId="01B67B1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92835">
              <w:rPr>
                <w:rFonts w:eastAsia="Arial" w:cstheme="minorHAnsi"/>
              </w:rPr>
              <w:t>X</w:t>
            </w:r>
          </w:p>
        </w:tc>
        <w:tc>
          <w:tcPr>
            <w:tcW w:w="645" w:type="dxa"/>
            <w:vAlign w:val="center"/>
          </w:tcPr>
          <w:p w:rsidR="00C86F07" w:rsidRPr="00474FF3" w:rsidP="00C86F07" w14:paraId="7BABE3A9"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59" w:type="dxa"/>
            <w:vAlign w:val="center"/>
          </w:tcPr>
          <w:p w:rsidR="00C86F07" w:rsidRPr="00474FF3" w:rsidP="00C86F07" w14:paraId="0C49C3B5" w14:textId="3D27B0C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522F3">
              <w:rPr>
                <w:rFonts w:eastAsia="Arial" w:cstheme="minorHAnsi"/>
              </w:rPr>
              <w:t>X</w:t>
            </w:r>
          </w:p>
        </w:tc>
        <w:tc>
          <w:tcPr>
            <w:tcW w:w="645" w:type="dxa"/>
            <w:vAlign w:val="center"/>
          </w:tcPr>
          <w:p w:rsidR="00C86F07" w:rsidRPr="00474FF3" w:rsidP="00C86F07" w14:paraId="04E5AD3B" w14:textId="36B48D6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522F3">
              <w:rPr>
                <w:rFonts w:eastAsia="Arial" w:cstheme="minorHAnsi"/>
              </w:rPr>
              <w:t>X</w:t>
            </w:r>
          </w:p>
        </w:tc>
        <w:tc>
          <w:tcPr>
            <w:tcW w:w="562" w:type="dxa"/>
            <w:vAlign w:val="center"/>
          </w:tcPr>
          <w:p w:rsidR="00C86F07" w:rsidRPr="00474FF3" w:rsidP="00C86F07" w14:paraId="7A3365EE" w14:textId="47A2094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522F3">
              <w:rPr>
                <w:rFonts w:eastAsia="Arial" w:cstheme="minorHAnsi"/>
              </w:rPr>
              <w:t>X</w:t>
            </w:r>
          </w:p>
        </w:tc>
        <w:tc>
          <w:tcPr>
            <w:tcW w:w="551" w:type="dxa"/>
            <w:vAlign w:val="center"/>
          </w:tcPr>
          <w:p w:rsidR="00C86F07" w:rsidRPr="00474FF3" w:rsidP="00C86F07" w14:paraId="20DA4FD4" w14:textId="2E4AC69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522F3">
              <w:rPr>
                <w:rFonts w:eastAsia="Arial" w:cstheme="minorHAnsi"/>
              </w:rPr>
              <w:t>X</w:t>
            </w:r>
          </w:p>
        </w:tc>
        <w:tc>
          <w:tcPr>
            <w:tcW w:w="630" w:type="dxa"/>
            <w:shd w:val="clear" w:color="auto" w:fill="DBE5F1" w:themeFill="accent1" w:themeFillTint="33"/>
            <w:vAlign w:val="center"/>
          </w:tcPr>
          <w:p w:rsidR="00C86F07" w:rsidRPr="00474FF3" w:rsidP="00C86F07" w14:paraId="72352EE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40</w:t>
            </w:r>
          </w:p>
        </w:tc>
        <w:tc>
          <w:tcPr>
            <w:tcW w:w="630" w:type="dxa"/>
            <w:shd w:val="clear" w:color="auto" w:fill="DBE5F1" w:themeFill="accent1" w:themeFillTint="33"/>
            <w:vAlign w:val="center"/>
          </w:tcPr>
          <w:p w:rsidR="00C86F07" w:rsidRPr="00474FF3" w:rsidP="00C86F07" w14:paraId="7D568C7E" w14:textId="13D8EB0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B3F40">
              <w:rPr>
                <w:rFonts w:eastAsia="Arial" w:cstheme="minorHAnsi"/>
              </w:rPr>
              <w:t>X</w:t>
            </w:r>
          </w:p>
        </w:tc>
        <w:tc>
          <w:tcPr>
            <w:tcW w:w="645" w:type="dxa"/>
            <w:shd w:val="clear" w:color="auto" w:fill="auto"/>
            <w:vAlign w:val="center"/>
          </w:tcPr>
          <w:p w:rsidR="00C86F07" w:rsidRPr="00474FF3" w:rsidP="00C86F07" w14:paraId="7C58BFC5" w14:textId="03BCB35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B3F40">
              <w:rPr>
                <w:rFonts w:eastAsia="Arial" w:cstheme="minorHAnsi"/>
              </w:rPr>
              <w:t>X</w:t>
            </w:r>
          </w:p>
        </w:tc>
        <w:tc>
          <w:tcPr>
            <w:tcW w:w="1080" w:type="dxa"/>
            <w:shd w:val="clear" w:color="auto" w:fill="B8CCE4" w:themeFill="accent1" w:themeFillTint="66"/>
            <w:vAlign w:val="center"/>
          </w:tcPr>
          <w:p w:rsidR="00C86F07" w:rsidRPr="00474FF3" w:rsidP="00C86F07" w14:paraId="73C1EE7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110</w:t>
            </w:r>
          </w:p>
        </w:tc>
      </w:tr>
      <w:tr w14:paraId="6351F252" w14:textId="77777777" w:rsidTr="00AB1E13">
        <w:tblPrEx>
          <w:tblW w:w="0" w:type="auto"/>
          <w:tblInd w:w="-5" w:type="dxa"/>
          <w:tblLook w:val="04A0"/>
        </w:tblPrEx>
        <w:tc>
          <w:tcPr>
            <w:tcW w:w="1980" w:type="dxa"/>
          </w:tcPr>
          <w:p w:rsidR="00C86F07" w:rsidRPr="00474FF3" w:rsidP="00C86F07" w14:paraId="22D3103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Cherokee Orchard Turnaround</w:t>
            </w:r>
          </w:p>
        </w:tc>
        <w:tc>
          <w:tcPr>
            <w:tcW w:w="608" w:type="dxa"/>
            <w:shd w:val="clear" w:color="auto" w:fill="DBE5F1" w:themeFill="accent1" w:themeFillTint="33"/>
            <w:vAlign w:val="center"/>
          </w:tcPr>
          <w:p w:rsidR="00C86F07" w:rsidRPr="00474FF3" w:rsidP="00C86F07" w14:paraId="1620C8B2" w14:textId="1C1CB11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E848DA">
              <w:rPr>
                <w:rFonts w:eastAsia="Arial" w:cstheme="minorHAnsi"/>
              </w:rPr>
              <w:t>X</w:t>
            </w:r>
          </w:p>
        </w:tc>
        <w:tc>
          <w:tcPr>
            <w:tcW w:w="562" w:type="dxa"/>
            <w:shd w:val="clear" w:color="auto" w:fill="DBE5F1" w:themeFill="accent1" w:themeFillTint="33"/>
            <w:vAlign w:val="center"/>
          </w:tcPr>
          <w:p w:rsidR="00C86F07" w:rsidRPr="00474FF3" w:rsidP="00C86F07" w14:paraId="02C0248B" w14:textId="13C30F6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E848DA">
              <w:rPr>
                <w:rFonts w:eastAsia="Arial" w:cstheme="minorHAnsi"/>
              </w:rPr>
              <w:t>X</w:t>
            </w:r>
          </w:p>
        </w:tc>
        <w:tc>
          <w:tcPr>
            <w:tcW w:w="645" w:type="dxa"/>
            <w:vAlign w:val="center"/>
          </w:tcPr>
          <w:p w:rsidR="00C86F07" w:rsidRPr="00474FF3" w:rsidP="00C86F07" w14:paraId="20468DBD" w14:textId="3D33D8C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E848DA">
              <w:rPr>
                <w:rFonts w:eastAsia="Arial" w:cstheme="minorHAnsi"/>
              </w:rPr>
              <w:t>X</w:t>
            </w:r>
          </w:p>
        </w:tc>
        <w:tc>
          <w:tcPr>
            <w:tcW w:w="559" w:type="dxa"/>
            <w:vAlign w:val="center"/>
          </w:tcPr>
          <w:p w:rsidR="00C86F07" w:rsidRPr="00474FF3" w:rsidP="00C86F07" w14:paraId="4DB849B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30</w:t>
            </w:r>
          </w:p>
        </w:tc>
        <w:tc>
          <w:tcPr>
            <w:tcW w:w="645" w:type="dxa"/>
            <w:vAlign w:val="center"/>
          </w:tcPr>
          <w:p w:rsidR="00C86F07" w:rsidRPr="00474FF3" w:rsidP="00C86F07" w14:paraId="31F05828" w14:textId="121159A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562" w:type="dxa"/>
            <w:vAlign w:val="center"/>
          </w:tcPr>
          <w:p w:rsidR="00C86F07" w:rsidRPr="00474FF3" w:rsidP="00C86F07" w14:paraId="6C72C13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30</w:t>
            </w:r>
          </w:p>
        </w:tc>
        <w:tc>
          <w:tcPr>
            <w:tcW w:w="551" w:type="dxa"/>
            <w:vAlign w:val="center"/>
          </w:tcPr>
          <w:p w:rsidR="00C86F07" w:rsidRPr="00474FF3" w:rsidP="00C86F07" w14:paraId="096BF850" w14:textId="19C42E0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X</w:t>
            </w:r>
          </w:p>
        </w:tc>
        <w:tc>
          <w:tcPr>
            <w:tcW w:w="630" w:type="dxa"/>
            <w:shd w:val="clear" w:color="auto" w:fill="DBE5F1" w:themeFill="accent1" w:themeFillTint="33"/>
            <w:vAlign w:val="center"/>
          </w:tcPr>
          <w:p w:rsidR="00C86F07" w:rsidRPr="00474FF3" w:rsidP="00C86F07" w14:paraId="0E21BC8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30</w:t>
            </w:r>
          </w:p>
        </w:tc>
        <w:tc>
          <w:tcPr>
            <w:tcW w:w="630" w:type="dxa"/>
            <w:shd w:val="clear" w:color="auto" w:fill="DBE5F1" w:themeFill="accent1" w:themeFillTint="33"/>
            <w:vAlign w:val="center"/>
          </w:tcPr>
          <w:p w:rsidR="00C86F07" w:rsidRPr="00474FF3" w:rsidP="00C86F07" w14:paraId="3F4B3C7F" w14:textId="3C08EB8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7D624C">
              <w:rPr>
                <w:rFonts w:eastAsia="Arial" w:cstheme="minorHAnsi"/>
              </w:rPr>
              <w:t>X</w:t>
            </w:r>
          </w:p>
        </w:tc>
        <w:tc>
          <w:tcPr>
            <w:tcW w:w="645" w:type="dxa"/>
            <w:shd w:val="clear" w:color="auto" w:fill="auto"/>
            <w:vAlign w:val="center"/>
          </w:tcPr>
          <w:p w:rsidR="00C86F07" w:rsidRPr="00474FF3" w:rsidP="00C86F07" w14:paraId="445CB4B8" w14:textId="3D40820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7D624C">
              <w:rPr>
                <w:rFonts w:eastAsia="Arial" w:cstheme="minorHAnsi"/>
              </w:rPr>
              <w:t>X</w:t>
            </w:r>
          </w:p>
        </w:tc>
        <w:tc>
          <w:tcPr>
            <w:tcW w:w="1080" w:type="dxa"/>
            <w:shd w:val="clear" w:color="auto" w:fill="B8CCE4" w:themeFill="accent1" w:themeFillTint="66"/>
            <w:vAlign w:val="center"/>
          </w:tcPr>
          <w:p w:rsidR="00C86F07" w:rsidRPr="00474FF3" w:rsidP="00C86F07" w14:paraId="338DD5D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90</w:t>
            </w:r>
          </w:p>
        </w:tc>
      </w:tr>
      <w:tr w14:paraId="44FACD4F" w14:textId="77777777" w:rsidTr="00AB1E13">
        <w:tblPrEx>
          <w:tblW w:w="0" w:type="auto"/>
          <w:tblInd w:w="-5" w:type="dxa"/>
          <w:tblLook w:val="04A0"/>
        </w:tblPrEx>
        <w:tc>
          <w:tcPr>
            <w:tcW w:w="1980" w:type="dxa"/>
          </w:tcPr>
          <w:p w:rsidR="00C86F07" w:rsidRPr="00474FF3" w:rsidP="00C86F07" w14:paraId="59CA23B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Greenbrier</w:t>
            </w:r>
          </w:p>
        </w:tc>
        <w:tc>
          <w:tcPr>
            <w:tcW w:w="608" w:type="dxa"/>
            <w:shd w:val="clear" w:color="auto" w:fill="DBE5F1" w:themeFill="accent1" w:themeFillTint="33"/>
            <w:vAlign w:val="center"/>
          </w:tcPr>
          <w:p w:rsidR="00C86F07" w:rsidRPr="00474FF3" w:rsidP="00C86F07" w14:paraId="3AC9A502" w14:textId="0A08F61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562" w:type="dxa"/>
            <w:shd w:val="clear" w:color="auto" w:fill="DBE5F1" w:themeFill="accent1" w:themeFillTint="33"/>
            <w:vAlign w:val="center"/>
          </w:tcPr>
          <w:p w:rsidR="00C86F07" w:rsidRPr="00474FF3" w:rsidP="00C86F07" w14:paraId="64CC2307" w14:textId="14D47ED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645" w:type="dxa"/>
            <w:vAlign w:val="center"/>
          </w:tcPr>
          <w:p w:rsidR="00C86F07" w:rsidRPr="00474FF3" w:rsidP="00C86F07" w14:paraId="0668B391" w14:textId="3713767E">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559" w:type="dxa"/>
            <w:vAlign w:val="center"/>
          </w:tcPr>
          <w:p w:rsidR="00C86F07" w:rsidRPr="00474FF3" w:rsidP="00C86F07" w14:paraId="79BD63FD" w14:textId="00B59EF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645" w:type="dxa"/>
            <w:vAlign w:val="center"/>
          </w:tcPr>
          <w:p w:rsidR="00C86F07" w:rsidRPr="00474FF3" w:rsidP="00C86F07" w14:paraId="71B1E874" w14:textId="529F048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562" w:type="dxa"/>
            <w:vAlign w:val="center"/>
          </w:tcPr>
          <w:p w:rsidR="00C86F07" w:rsidRPr="00474FF3" w:rsidP="00C86F07" w14:paraId="512F9A9B" w14:textId="397D706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A17B68">
              <w:rPr>
                <w:rFonts w:eastAsia="Arial" w:cstheme="minorHAnsi"/>
              </w:rPr>
              <w:t>X</w:t>
            </w:r>
          </w:p>
        </w:tc>
        <w:tc>
          <w:tcPr>
            <w:tcW w:w="551" w:type="dxa"/>
            <w:vAlign w:val="center"/>
          </w:tcPr>
          <w:p w:rsidR="00C86F07" w:rsidRPr="00474FF3" w:rsidP="00C86F07" w14:paraId="2A4B1EE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30</w:t>
            </w:r>
          </w:p>
        </w:tc>
        <w:tc>
          <w:tcPr>
            <w:tcW w:w="630" w:type="dxa"/>
            <w:shd w:val="clear" w:color="auto" w:fill="DBE5F1" w:themeFill="accent1" w:themeFillTint="33"/>
            <w:vAlign w:val="center"/>
          </w:tcPr>
          <w:p w:rsidR="00C86F07" w:rsidRPr="00474FF3" w:rsidP="00C86F07" w14:paraId="1EEC46CD" w14:textId="4C33E86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525124">
              <w:rPr>
                <w:rFonts w:eastAsia="Arial" w:cstheme="minorHAnsi"/>
              </w:rPr>
              <w:t>X</w:t>
            </w:r>
          </w:p>
        </w:tc>
        <w:tc>
          <w:tcPr>
            <w:tcW w:w="630" w:type="dxa"/>
            <w:shd w:val="clear" w:color="auto" w:fill="DBE5F1" w:themeFill="accent1" w:themeFillTint="33"/>
            <w:vAlign w:val="center"/>
          </w:tcPr>
          <w:p w:rsidR="00C86F07" w:rsidRPr="00474FF3" w:rsidP="00C86F07" w14:paraId="6964EEA0" w14:textId="7983C3C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30</w:t>
            </w:r>
          </w:p>
        </w:tc>
        <w:tc>
          <w:tcPr>
            <w:tcW w:w="645" w:type="dxa"/>
            <w:shd w:val="clear" w:color="auto" w:fill="auto"/>
            <w:vAlign w:val="center"/>
          </w:tcPr>
          <w:p w:rsidR="00C86F07" w:rsidRPr="00474FF3" w:rsidP="00C86F07" w14:paraId="60236D41" w14:textId="6A1E551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525124">
              <w:rPr>
                <w:rFonts w:eastAsia="Arial" w:cstheme="minorHAnsi"/>
              </w:rPr>
              <w:t>X</w:t>
            </w:r>
          </w:p>
        </w:tc>
        <w:tc>
          <w:tcPr>
            <w:tcW w:w="1080" w:type="dxa"/>
            <w:shd w:val="clear" w:color="auto" w:fill="B8CCE4" w:themeFill="accent1" w:themeFillTint="66"/>
            <w:vAlign w:val="center"/>
          </w:tcPr>
          <w:p w:rsidR="00C86F07" w:rsidRPr="00474FF3" w:rsidP="00C86F07" w14:paraId="4A233D7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60</w:t>
            </w:r>
          </w:p>
        </w:tc>
      </w:tr>
      <w:tr w14:paraId="7926135D" w14:textId="77777777" w:rsidTr="00AB1E13">
        <w:tblPrEx>
          <w:tblW w:w="0" w:type="auto"/>
          <w:tblInd w:w="-5" w:type="dxa"/>
          <w:tblLook w:val="04A0"/>
        </w:tblPrEx>
        <w:trPr>
          <w:trHeight w:val="305"/>
        </w:trPr>
        <w:tc>
          <w:tcPr>
            <w:tcW w:w="1980" w:type="dxa"/>
          </w:tcPr>
          <w:p w:rsidR="0074226D" w:rsidRPr="00474FF3" w14:paraId="64A334E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Cherokee Entrance</w:t>
            </w:r>
          </w:p>
        </w:tc>
        <w:tc>
          <w:tcPr>
            <w:tcW w:w="608" w:type="dxa"/>
            <w:shd w:val="clear" w:color="auto" w:fill="DBE5F1" w:themeFill="accent1" w:themeFillTint="33"/>
            <w:vAlign w:val="center"/>
          </w:tcPr>
          <w:p w:rsidR="0074226D" w:rsidRPr="00474FF3" w14:paraId="6432512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62" w:type="dxa"/>
            <w:shd w:val="clear" w:color="auto" w:fill="DBE5F1" w:themeFill="accent1" w:themeFillTint="33"/>
            <w:vAlign w:val="center"/>
          </w:tcPr>
          <w:p w:rsidR="0074226D" w:rsidRPr="00474FF3" w14:paraId="795FEB9A" w14:textId="7157C91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645" w:type="dxa"/>
            <w:vAlign w:val="center"/>
          </w:tcPr>
          <w:p w:rsidR="0074226D" w:rsidRPr="00474FF3" w14:paraId="6FDE7A1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59" w:type="dxa"/>
            <w:vAlign w:val="center"/>
          </w:tcPr>
          <w:p w:rsidR="0074226D" w:rsidRPr="00474FF3" w14:paraId="44FF9E73" w14:textId="7BBC259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645" w:type="dxa"/>
            <w:vAlign w:val="center"/>
          </w:tcPr>
          <w:p w:rsidR="0074226D" w:rsidRPr="00474FF3" w14:paraId="1D6E7B9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62" w:type="dxa"/>
            <w:vAlign w:val="center"/>
          </w:tcPr>
          <w:p w:rsidR="0074226D" w:rsidRPr="00474FF3" w14:paraId="32892E12" w14:textId="7AA19F0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X</w:t>
            </w:r>
          </w:p>
        </w:tc>
        <w:tc>
          <w:tcPr>
            <w:tcW w:w="551" w:type="dxa"/>
            <w:vAlign w:val="center"/>
          </w:tcPr>
          <w:p w:rsidR="0074226D" w:rsidRPr="00474FF3" w14:paraId="53B941E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30" w:type="dxa"/>
            <w:shd w:val="clear" w:color="auto" w:fill="DBE5F1" w:themeFill="accent1" w:themeFillTint="33"/>
            <w:vAlign w:val="center"/>
          </w:tcPr>
          <w:p w:rsidR="0074226D" w:rsidRPr="00474FF3" w14:paraId="052315B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30" w:type="dxa"/>
            <w:shd w:val="clear" w:color="auto" w:fill="DBE5F1" w:themeFill="accent1" w:themeFillTint="33"/>
            <w:vAlign w:val="center"/>
          </w:tcPr>
          <w:p w:rsidR="0074226D" w:rsidRPr="00474FF3" w14:paraId="2E03CCB1" w14:textId="17939D4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X</w:t>
            </w:r>
          </w:p>
        </w:tc>
        <w:tc>
          <w:tcPr>
            <w:tcW w:w="645" w:type="dxa"/>
            <w:shd w:val="clear" w:color="auto" w:fill="auto"/>
            <w:vAlign w:val="center"/>
          </w:tcPr>
          <w:p w:rsidR="0074226D" w:rsidRPr="00474FF3" w14:paraId="62D06E4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1080" w:type="dxa"/>
            <w:shd w:val="clear" w:color="auto" w:fill="B8CCE4" w:themeFill="accent1" w:themeFillTint="66"/>
            <w:vAlign w:val="center"/>
          </w:tcPr>
          <w:p w:rsidR="0074226D" w:rsidRPr="00474FF3" w14:paraId="71237AA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420</w:t>
            </w:r>
          </w:p>
        </w:tc>
      </w:tr>
      <w:tr w14:paraId="707399A8" w14:textId="77777777" w:rsidTr="00AB1E13">
        <w:tblPrEx>
          <w:tblW w:w="0" w:type="auto"/>
          <w:tblInd w:w="-5" w:type="dxa"/>
          <w:tblLook w:val="04A0"/>
        </w:tblPrEx>
        <w:trPr>
          <w:trHeight w:val="350"/>
        </w:trPr>
        <w:tc>
          <w:tcPr>
            <w:tcW w:w="1980" w:type="dxa"/>
          </w:tcPr>
          <w:p w:rsidR="00C86F07" w:rsidRPr="00474FF3" w:rsidP="00C86F07" w14:paraId="44C1D2C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Cataloochee</w:t>
            </w:r>
          </w:p>
        </w:tc>
        <w:tc>
          <w:tcPr>
            <w:tcW w:w="608" w:type="dxa"/>
            <w:shd w:val="clear" w:color="auto" w:fill="DBE5F1" w:themeFill="accent1" w:themeFillTint="33"/>
            <w:vAlign w:val="center"/>
          </w:tcPr>
          <w:p w:rsidR="00C86F07" w:rsidRPr="00474FF3" w:rsidP="00C86F07" w14:paraId="5AC080E6" w14:textId="286257C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638CA">
              <w:rPr>
                <w:rFonts w:eastAsia="Arial" w:cstheme="minorHAnsi"/>
              </w:rPr>
              <w:t>X</w:t>
            </w:r>
          </w:p>
        </w:tc>
        <w:tc>
          <w:tcPr>
            <w:tcW w:w="562" w:type="dxa"/>
            <w:shd w:val="clear" w:color="auto" w:fill="DBE5F1" w:themeFill="accent1" w:themeFillTint="33"/>
            <w:vAlign w:val="center"/>
          </w:tcPr>
          <w:p w:rsidR="00C86F07" w:rsidRPr="00474FF3" w:rsidP="00C86F07" w14:paraId="261DD88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45" w:type="dxa"/>
            <w:vAlign w:val="center"/>
          </w:tcPr>
          <w:p w:rsidR="00C86F07" w:rsidRPr="00474FF3" w:rsidP="00C86F07" w14:paraId="6207F513" w14:textId="725544B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559" w:type="dxa"/>
            <w:vAlign w:val="center"/>
          </w:tcPr>
          <w:p w:rsidR="00C86F07" w:rsidRPr="00474FF3" w:rsidP="00C86F07" w14:paraId="6651D1C9" w14:textId="554F7B4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645" w:type="dxa"/>
            <w:vAlign w:val="center"/>
          </w:tcPr>
          <w:p w:rsidR="00C86F07" w:rsidRPr="00474FF3" w:rsidP="00C86F07" w14:paraId="6BE9FDD5" w14:textId="4728F4D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562" w:type="dxa"/>
            <w:vAlign w:val="center"/>
          </w:tcPr>
          <w:p w:rsidR="00C86F07" w:rsidRPr="00474FF3" w:rsidP="00C86F07" w14:paraId="0ABBD137" w14:textId="2A9C60A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551" w:type="dxa"/>
            <w:vAlign w:val="center"/>
          </w:tcPr>
          <w:p w:rsidR="00C86F07" w:rsidRPr="00474FF3" w:rsidP="00C86F07" w14:paraId="6255CFC5" w14:textId="27472B2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630" w:type="dxa"/>
            <w:shd w:val="clear" w:color="auto" w:fill="DBE5F1" w:themeFill="accent1" w:themeFillTint="33"/>
            <w:vAlign w:val="center"/>
          </w:tcPr>
          <w:p w:rsidR="00C86F07" w:rsidRPr="00474FF3" w:rsidP="00C86F07" w14:paraId="11109987" w14:textId="0A1D676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630" w:type="dxa"/>
            <w:shd w:val="clear" w:color="auto" w:fill="DBE5F1" w:themeFill="accent1" w:themeFillTint="33"/>
            <w:vAlign w:val="center"/>
          </w:tcPr>
          <w:p w:rsidR="00C86F07" w:rsidRPr="00474FF3" w:rsidP="00C86F07" w14:paraId="44DE852B" w14:textId="782DEF4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F17B26">
              <w:rPr>
                <w:rFonts w:eastAsia="Arial" w:cstheme="minorHAnsi"/>
              </w:rPr>
              <w:t>X</w:t>
            </w:r>
          </w:p>
        </w:tc>
        <w:tc>
          <w:tcPr>
            <w:tcW w:w="645" w:type="dxa"/>
            <w:shd w:val="clear" w:color="auto" w:fill="auto"/>
            <w:vAlign w:val="center"/>
          </w:tcPr>
          <w:p w:rsidR="00C86F07" w:rsidRPr="00474FF3" w:rsidP="00C86F07" w14:paraId="27A79425" w14:textId="15424C8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F17B26">
              <w:rPr>
                <w:rFonts w:eastAsia="Arial" w:cstheme="minorHAnsi"/>
              </w:rPr>
              <w:t>X</w:t>
            </w:r>
          </w:p>
        </w:tc>
        <w:tc>
          <w:tcPr>
            <w:tcW w:w="1080" w:type="dxa"/>
            <w:shd w:val="clear" w:color="auto" w:fill="B8CCE4" w:themeFill="accent1" w:themeFillTint="66"/>
            <w:vAlign w:val="center"/>
          </w:tcPr>
          <w:p w:rsidR="00C86F07" w:rsidRPr="00474FF3" w:rsidP="00C86F07" w14:paraId="62EB1AE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70</w:t>
            </w:r>
          </w:p>
        </w:tc>
      </w:tr>
      <w:tr w14:paraId="24D9E6D9" w14:textId="77777777" w:rsidTr="00AB1E13">
        <w:tblPrEx>
          <w:tblW w:w="0" w:type="auto"/>
          <w:tblInd w:w="-5" w:type="dxa"/>
          <w:tblLook w:val="04A0"/>
        </w:tblPrEx>
        <w:trPr>
          <w:trHeight w:val="350"/>
        </w:trPr>
        <w:tc>
          <w:tcPr>
            <w:tcW w:w="1980" w:type="dxa"/>
          </w:tcPr>
          <w:p w:rsidR="00C86F07" w:rsidRPr="00474FF3" w:rsidP="00C86F07" w14:paraId="1DDAB36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sidRPr="00474FF3">
              <w:rPr>
                <w:rFonts w:eastAsia="Arial" w:cstheme="minorHAnsi"/>
              </w:rPr>
              <w:t>Deep Creek</w:t>
            </w:r>
          </w:p>
        </w:tc>
        <w:tc>
          <w:tcPr>
            <w:tcW w:w="608" w:type="dxa"/>
            <w:shd w:val="clear" w:color="auto" w:fill="DBE5F1" w:themeFill="accent1" w:themeFillTint="33"/>
            <w:vAlign w:val="center"/>
          </w:tcPr>
          <w:p w:rsidR="00C86F07" w:rsidRPr="00474FF3" w:rsidP="00C86F07" w14:paraId="6A212326" w14:textId="5FCD7BC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638CA">
              <w:rPr>
                <w:rFonts w:eastAsia="Arial" w:cstheme="minorHAnsi"/>
              </w:rPr>
              <w:t>X</w:t>
            </w:r>
          </w:p>
        </w:tc>
        <w:tc>
          <w:tcPr>
            <w:tcW w:w="562" w:type="dxa"/>
            <w:shd w:val="clear" w:color="auto" w:fill="DBE5F1" w:themeFill="accent1" w:themeFillTint="33"/>
            <w:vAlign w:val="center"/>
          </w:tcPr>
          <w:p w:rsidR="00C86F07" w:rsidRPr="00474FF3" w:rsidP="00C86F07" w14:paraId="144E5381" w14:textId="3311248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F14678">
              <w:rPr>
                <w:rFonts w:eastAsia="Arial" w:cstheme="minorHAnsi"/>
              </w:rPr>
              <w:t>X</w:t>
            </w:r>
          </w:p>
        </w:tc>
        <w:tc>
          <w:tcPr>
            <w:tcW w:w="645" w:type="dxa"/>
            <w:vAlign w:val="center"/>
          </w:tcPr>
          <w:p w:rsidR="00C86F07" w:rsidRPr="00474FF3" w:rsidP="00C86F07" w14:paraId="1BE64884" w14:textId="33B3F5D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F14678">
              <w:rPr>
                <w:rFonts w:eastAsia="Arial" w:cstheme="minorHAnsi"/>
              </w:rPr>
              <w:t>X</w:t>
            </w:r>
          </w:p>
        </w:tc>
        <w:tc>
          <w:tcPr>
            <w:tcW w:w="559" w:type="dxa"/>
            <w:vAlign w:val="center"/>
          </w:tcPr>
          <w:p w:rsidR="00C86F07" w:rsidRPr="00474FF3" w:rsidP="00C86F07" w14:paraId="6C78C2D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45" w:type="dxa"/>
            <w:vAlign w:val="center"/>
          </w:tcPr>
          <w:p w:rsidR="00C86F07" w:rsidRPr="00474FF3" w:rsidP="00C86F07" w14:paraId="6FD6EE71" w14:textId="0944AC8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562" w:type="dxa"/>
            <w:vAlign w:val="center"/>
          </w:tcPr>
          <w:p w:rsidR="00C86F07" w:rsidRPr="00474FF3" w:rsidP="00C86F07" w14:paraId="23866482" w14:textId="4C34F92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551" w:type="dxa"/>
            <w:vAlign w:val="center"/>
          </w:tcPr>
          <w:p w:rsidR="00C86F07" w:rsidRPr="00474FF3" w:rsidP="00C86F07" w14:paraId="75CA81A6" w14:textId="704E624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630" w:type="dxa"/>
            <w:shd w:val="clear" w:color="auto" w:fill="DBE5F1" w:themeFill="accent1" w:themeFillTint="33"/>
            <w:vAlign w:val="center"/>
          </w:tcPr>
          <w:p w:rsidR="00C86F07" w:rsidRPr="00474FF3" w:rsidP="00C86F07" w14:paraId="74DCC6DF" w14:textId="2515C9C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326DA7">
              <w:rPr>
                <w:rFonts w:eastAsia="Arial" w:cstheme="minorHAnsi"/>
              </w:rPr>
              <w:t>X</w:t>
            </w:r>
          </w:p>
        </w:tc>
        <w:tc>
          <w:tcPr>
            <w:tcW w:w="630" w:type="dxa"/>
            <w:shd w:val="clear" w:color="auto" w:fill="DBE5F1" w:themeFill="accent1" w:themeFillTint="33"/>
            <w:vAlign w:val="center"/>
          </w:tcPr>
          <w:p w:rsidR="00C86F07" w:rsidRPr="00474FF3" w:rsidP="00C86F07" w14:paraId="54C645BB"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45" w:type="dxa"/>
            <w:shd w:val="clear" w:color="auto" w:fill="auto"/>
            <w:vAlign w:val="center"/>
          </w:tcPr>
          <w:p w:rsidR="00C86F07" w:rsidRPr="00474FF3" w:rsidP="00C86F07" w14:paraId="556E065A" w14:textId="21554D2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C86F07">
              <w:rPr>
                <w:rFonts w:eastAsia="Arial" w:cstheme="minorHAnsi"/>
              </w:rPr>
              <w:t>X</w:t>
            </w:r>
          </w:p>
        </w:tc>
        <w:tc>
          <w:tcPr>
            <w:tcW w:w="1080" w:type="dxa"/>
            <w:shd w:val="clear" w:color="auto" w:fill="B8CCE4" w:themeFill="accent1" w:themeFillTint="66"/>
            <w:vAlign w:val="center"/>
          </w:tcPr>
          <w:p w:rsidR="00C86F07" w:rsidRPr="00474FF3" w:rsidP="00C86F07" w14:paraId="78F6885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r>
      <w:tr w14:paraId="6DB94130" w14:textId="77777777" w:rsidTr="00AB1E13">
        <w:tblPrEx>
          <w:tblW w:w="0" w:type="auto"/>
          <w:tblInd w:w="-5" w:type="dxa"/>
          <w:tblLook w:val="04A0"/>
        </w:tblPrEx>
        <w:trPr>
          <w:trHeight w:val="350"/>
        </w:trPr>
        <w:tc>
          <w:tcPr>
            <w:tcW w:w="1980" w:type="dxa"/>
          </w:tcPr>
          <w:p w:rsidR="0074226D" w:rsidRPr="00474FF3" w:rsidP="0040121E" w14:paraId="5679D9F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Daily Total</w:t>
            </w:r>
          </w:p>
        </w:tc>
        <w:tc>
          <w:tcPr>
            <w:tcW w:w="608" w:type="dxa"/>
            <w:shd w:val="clear" w:color="auto" w:fill="DBE5F1" w:themeFill="accent1" w:themeFillTint="33"/>
            <w:vAlign w:val="center"/>
          </w:tcPr>
          <w:p w:rsidR="0074226D" w:rsidRPr="00474FF3" w14:paraId="1BAAB47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562" w:type="dxa"/>
            <w:shd w:val="clear" w:color="auto" w:fill="DBE5F1" w:themeFill="accent1" w:themeFillTint="33"/>
            <w:vAlign w:val="center"/>
          </w:tcPr>
          <w:p w:rsidR="0074226D" w:rsidRPr="00474FF3" w14:paraId="7EDAF34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645" w:type="dxa"/>
            <w:vAlign w:val="center"/>
          </w:tcPr>
          <w:p w:rsidR="0074226D" w:rsidRPr="00474FF3" w14:paraId="30B2E84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559" w:type="dxa"/>
            <w:vAlign w:val="center"/>
          </w:tcPr>
          <w:p w:rsidR="0074226D" w:rsidRPr="00474FF3" w14:paraId="5A85690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645" w:type="dxa"/>
            <w:vAlign w:val="center"/>
          </w:tcPr>
          <w:p w:rsidR="0074226D" w:rsidRPr="00474FF3" w14:paraId="4B1AC95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562" w:type="dxa"/>
            <w:vAlign w:val="center"/>
          </w:tcPr>
          <w:p w:rsidR="0074226D" w:rsidRPr="00474FF3" w14:paraId="5DAC123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551" w:type="dxa"/>
            <w:vAlign w:val="center"/>
          </w:tcPr>
          <w:p w:rsidR="0074226D" w:rsidRPr="00474FF3" w14:paraId="2D436D2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630" w:type="dxa"/>
            <w:shd w:val="clear" w:color="auto" w:fill="DBE5F1" w:themeFill="accent1" w:themeFillTint="33"/>
            <w:vAlign w:val="center"/>
          </w:tcPr>
          <w:p w:rsidR="0074226D" w:rsidRPr="00474FF3" w14:paraId="0EBF01E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630" w:type="dxa"/>
            <w:shd w:val="clear" w:color="auto" w:fill="DBE5F1" w:themeFill="accent1" w:themeFillTint="33"/>
            <w:vAlign w:val="center"/>
          </w:tcPr>
          <w:p w:rsidR="0074226D" w:rsidRPr="00474FF3" w14:paraId="50B7DB9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645" w:type="dxa"/>
            <w:shd w:val="clear" w:color="auto" w:fill="auto"/>
            <w:vAlign w:val="center"/>
          </w:tcPr>
          <w:p w:rsidR="0074226D" w:rsidRPr="00474FF3" w14:paraId="38713628"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w:t>
            </w:r>
          </w:p>
        </w:tc>
        <w:tc>
          <w:tcPr>
            <w:tcW w:w="1080" w:type="dxa"/>
            <w:shd w:val="clear" w:color="auto" w:fill="B8CCE4" w:themeFill="accent1" w:themeFillTint="66"/>
            <w:vAlign w:val="center"/>
          </w:tcPr>
          <w:p w:rsidR="0074226D" w:rsidRPr="00474FF3" w14:paraId="6A377CB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1,400</w:t>
            </w:r>
          </w:p>
        </w:tc>
      </w:tr>
    </w:tbl>
    <w:p w:rsidR="008B04B2" w:rsidP="0045722C" w14:paraId="62BA121C" w14:textId="77777777">
      <w:pPr>
        <w:spacing w:after="0" w:line="360" w:lineRule="auto"/>
        <w:ind w:right="105"/>
        <w:textAlignment w:val="baseline"/>
        <w:rPr>
          <w:rFonts w:ascii="Calibri" w:eastAsia="Times New Roman" w:hAnsi="Calibri" w:cs="Calibri"/>
          <w:color w:val="881798"/>
          <w:u w:val="single"/>
        </w:rPr>
      </w:pPr>
    </w:p>
    <w:p w:rsidR="00EB3474" w:rsidP="0045722C" w14:paraId="7DF09EBC" w14:textId="04D84836">
      <w:pPr>
        <w:spacing w:after="0" w:line="360" w:lineRule="auto"/>
        <w:ind w:right="105"/>
        <w:textAlignment w:val="baseline"/>
        <w:rPr>
          <w:rFonts w:ascii="Calibri" w:eastAsia="Times New Roman" w:hAnsi="Calibri" w:cs="Calibri"/>
        </w:rPr>
      </w:pPr>
      <w:r>
        <w:rPr>
          <w:rFonts w:ascii="Calibri" w:eastAsia="Times New Roman" w:hAnsi="Calibri" w:cs="Calibri"/>
        </w:rPr>
        <w:t>Su</w:t>
      </w:r>
      <w:r w:rsidRPr="00694150" w:rsidR="00694150">
        <w:rPr>
          <w:rFonts w:ascii="Calibri" w:eastAsia="Times New Roman" w:hAnsi="Calibri" w:cs="Calibri"/>
        </w:rPr>
        <w:t>rvey</w:t>
      </w:r>
      <w:r>
        <w:rPr>
          <w:rFonts w:ascii="Calibri" w:eastAsia="Times New Roman" w:hAnsi="Calibri" w:cs="Calibri"/>
        </w:rPr>
        <w:t>s that</w:t>
      </w:r>
      <w:r>
        <w:rPr>
          <w:rFonts w:ascii="Calibri" w:eastAsia="Times New Roman" w:hAnsi="Calibri" w:cs="Calibri"/>
          <w:color w:val="881798"/>
        </w:rPr>
        <w:t xml:space="preserve"> </w:t>
      </w:r>
      <w:r>
        <w:rPr>
          <w:rFonts w:ascii="Calibri" w:eastAsia="Times New Roman" w:hAnsi="Calibri" w:cs="Calibri"/>
        </w:rPr>
        <w:t>r</w:t>
      </w:r>
      <w:r w:rsidRPr="00694150" w:rsidR="00694150">
        <w:rPr>
          <w:rFonts w:ascii="Calibri" w:eastAsia="Times New Roman" w:hAnsi="Calibri" w:cs="Calibri"/>
        </w:rPr>
        <w:t>equire intercepting </w:t>
      </w:r>
      <w:r w:rsidRPr="008B04B2" w:rsidR="00694150">
        <w:rPr>
          <w:rFonts w:ascii="Calibri" w:eastAsia="Times New Roman" w:hAnsi="Calibri" w:cs="Calibri"/>
        </w:rPr>
        <w:t>visitors in</w:t>
      </w:r>
      <w:r w:rsidR="000416AE">
        <w:rPr>
          <w:rFonts w:ascii="Calibri" w:eastAsia="Times New Roman" w:hAnsi="Calibri" w:cs="Calibri"/>
        </w:rPr>
        <w:t xml:space="preserve"> vehicles</w:t>
      </w:r>
      <w:r>
        <w:rPr>
          <w:rFonts w:ascii="Calibri" w:eastAsia="Times New Roman" w:hAnsi="Calibri" w:cs="Calibri"/>
        </w:rPr>
        <w:t xml:space="preserve"> </w:t>
      </w:r>
      <w:r w:rsidRPr="00694150" w:rsidR="00694150">
        <w:rPr>
          <w:rFonts w:ascii="Calibri" w:eastAsia="Times New Roman" w:hAnsi="Calibri" w:cs="Calibri"/>
        </w:rPr>
        <w:t>will be </w:t>
      </w:r>
      <w:r w:rsidRPr="008B04B2" w:rsidR="00694150">
        <w:rPr>
          <w:rFonts w:ascii="Calibri" w:eastAsia="Times New Roman" w:hAnsi="Calibri" w:cs="Calibri"/>
        </w:rPr>
        <w:t xml:space="preserve">conducted </w:t>
      </w:r>
      <w:r>
        <w:rPr>
          <w:rFonts w:ascii="Calibri" w:eastAsia="Times New Roman" w:hAnsi="Calibri" w:cs="Calibri"/>
        </w:rPr>
        <w:t xml:space="preserve">by </w:t>
      </w:r>
      <w:r w:rsidRPr="00694150" w:rsidR="00694150">
        <w:rPr>
          <w:rFonts w:ascii="Calibri" w:eastAsia="Times New Roman" w:hAnsi="Calibri" w:cs="Calibri"/>
        </w:rPr>
        <w:t>safely </w:t>
      </w:r>
      <w:r w:rsidRPr="008B04B2" w:rsidR="00694150">
        <w:rPr>
          <w:rFonts w:ascii="Calibri" w:eastAsia="Times New Roman" w:hAnsi="Calibri" w:cs="Calibri"/>
        </w:rPr>
        <w:t>flagging them</w:t>
      </w:r>
      <w:r>
        <w:rPr>
          <w:rFonts w:ascii="Calibri" w:eastAsia="Times New Roman" w:hAnsi="Calibri" w:cs="Calibri"/>
        </w:rPr>
        <w:t xml:space="preserve"> </w:t>
      </w:r>
      <w:r w:rsidRPr="008B04B2" w:rsidR="00694150">
        <w:rPr>
          <w:rFonts w:ascii="Calibri" w:eastAsia="Times New Roman" w:hAnsi="Calibri" w:cs="Calibri"/>
        </w:rPr>
        <w:t>into</w:t>
      </w:r>
      <w:r w:rsidRPr="00694150" w:rsidR="00694150">
        <w:rPr>
          <w:rFonts w:ascii="Calibri" w:eastAsia="Times New Roman" w:hAnsi="Calibri" w:cs="Calibri"/>
        </w:rPr>
        <w:t xml:space="preserve"> a designated</w:t>
      </w:r>
      <w:r w:rsidR="000416AE">
        <w:rPr>
          <w:rFonts w:ascii="Calibri" w:eastAsia="Times New Roman" w:hAnsi="Calibri" w:cs="Calibri"/>
        </w:rPr>
        <w:t xml:space="preserve"> (traffic-coned off)</w:t>
      </w:r>
      <w:r w:rsidRPr="00694150" w:rsidR="00694150">
        <w:rPr>
          <w:rFonts w:ascii="Calibri" w:eastAsia="Times New Roman" w:hAnsi="Calibri" w:cs="Calibri"/>
        </w:rPr>
        <w:t xml:space="preserve"> survey area. </w:t>
      </w:r>
      <w:r w:rsidR="00B4001E">
        <w:rPr>
          <w:rFonts w:ascii="Calibri" w:eastAsia="Times New Roman" w:hAnsi="Calibri" w:cs="Calibri"/>
        </w:rPr>
        <w:t xml:space="preserve">Site safety measures will be reviewed with appropriate park staff at each site to ensure both visitor and surveyor safety. </w:t>
      </w:r>
      <w:r w:rsidRPr="00694150" w:rsidR="00694150">
        <w:rPr>
          <w:rFonts w:ascii="Calibri" w:eastAsia="Times New Roman" w:hAnsi="Calibri" w:cs="Calibri"/>
        </w:rPr>
        <w:t xml:space="preserve">Surveyors will be instructed to attempt to intercept </w:t>
      </w:r>
      <w:r w:rsidRPr="008B04B2" w:rsidR="00694150">
        <w:rPr>
          <w:rFonts w:ascii="Calibri" w:eastAsia="Times New Roman" w:hAnsi="Calibri" w:cs="Calibri"/>
        </w:rPr>
        <w:t>every</w:t>
      </w:r>
      <w:r w:rsidRPr="008B04B2">
        <w:rPr>
          <w:rFonts w:ascii="Calibri" w:eastAsia="Times New Roman" w:hAnsi="Calibri" w:cs="Calibri"/>
          <w:i/>
          <w:iCs/>
        </w:rPr>
        <w:t xml:space="preserve"> </w:t>
      </w:r>
      <w:r w:rsidRPr="008B04B2" w:rsidR="00694150">
        <w:rPr>
          <w:rFonts w:ascii="Calibri" w:eastAsia="Times New Roman" w:hAnsi="Calibri" w:cs="Calibri"/>
          <w:i/>
          <w:iCs/>
        </w:rPr>
        <w:t>nth</w:t>
      </w:r>
      <w:r w:rsidRPr="008B04B2" w:rsidR="00694150">
        <w:rPr>
          <w:rFonts w:ascii="Calibri" w:eastAsia="Times New Roman" w:hAnsi="Calibri" w:cs="Calibri"/>
        </w:rPr>
        <w:t xml:space="preserve"> vehicle </w:t>
      </w:r>
      <w:r w:rsidRPr="00694150" w:rsidR="00694150">
        <w:rPr>
          <w:rFonts w:ascii="Calibri" w:eastAsia="Times New Roman" w:hAnsi="Calibri" w:cs="Calibri"/>
        </w:rPr>
        <w:t>passing</w:t>
      </w:r>
      <w:r w:rsidRPr="00694150">
        <w:rPr>
          <w:rFonts w:ascii="Calibri" w:eastAsia="Times New Roman" w:hAnsi="Calibri" w:cs="Calibri"/>
        </w:rPr>
        <w:t xml:space="preserve"> </w:t>
      </w:r>
      <w:r w:rsidRPr="00694150" w:rsidR="00694150">
        <w:rPr>
          <w:rFonts w:ascii="Calibri" w:eastAsia="Times New Roman" w:hAnsi="Calibri" w:cs="Calibri"/>
        </w:rPr>
        <w:t xml:space="preserve">based on the anticipated volume and number of visitor contacts required at each NPS unit. Where surveying requires intercepting individuals on foot or otherwise outside of their vehicles, visitors traveling past the intercept locations or within the designated survey area will be randomly approached. Surveyors will be instructed to attempt to intercept </w:t>
      </w:r>
      <w:r w:rsidRPr="008B04B2" w:rsidR="00694150">
        <w:rPr>
          <w:rFonts w:ascii="Calibri" w:eastAsia="Times New Roman" w:hAnsi="Calibri" w:cs="Calibri"/>
        </w:rPr>
        <w:t>every</w:t>
      </w:r>
      <w:r w:rsidRPr="008B04B2">
        <w:rPr>
          <w:rFonts w:ascii="Calibri" w:eastAsia="Times New Roman" w:hAnsi="Calibri" w:cs="Calibri"/>
          <w:i/>
          <w:iCs/>
        </w:rPr>
        <w:t xml:space="preserve"> </w:t>
      </w:r>
      <w:r w:rsidRPr="008B04B2" w:rsidR="00694150">
        <w:rPr>
          <w:rFonts w:ascii="Calibri" w:eastAsia="Times New Roman" w:hAnsi="Calibri" w:cs="Calibri"/>
          <w:i/>
          <w:iCs/>
        </w:rPr>
        <w:t>nth</w:t>
      </w:r>
      <w:r>
        <w:rPr>
          <w:rFonts w:ascii="Calibri" w:eastAsia="Times New Roman" w:hAnsi="Calibri" w:cs="Calibri"/>
        </w:rPr>
        <w:t xml:space="preserve"> </w:t>
      </w:r>
      <w:r w:rsidRPr="00694150" w:rsidR="00694150">
        <w:rPr>
          <w:rFonts w:ascii="Calibri" w:eastAsia="Times New Roman" w:hAnsi="Calibri" w:cs="Calibri"/>
        </w:rPr>
        <w:t>group passing</w:t>
      </w:r>
      <w:r w:rsidRPr="00694150">
        <w:rPr>
          <w:rFonts w:ascii="Calibri" w:eastAsia="Times New Roman" w:hAnsi="Calibri" w:cs="Calibri"/>
        </w:rPr>
        <w:t xml:space="preserve"> </w:t>
      </w:r>
      <w:r w:rsidRPr="00694150" w:rsidR="00694150">
        <w:rPr>
          <w:rFonts w:ascii="Calibri" w:eastAsia="Times New Roman" w:hAnsi="Calibri" w:cs="Calibri"/>
        </w:rPr>
        <w:t>based on the anticipated volume and number of visitor contacts required at each NPS unit.  </w:t>
      </w:r>
      <w:r w:rsidR="000416AE">
        <w:rPr>
          <w:rFonts w:ascii="Calibri" w:eastAsia="Times New Roman" w:hAnsi="Calibri" w:cs="Calibri"/>
        </w:rPr>
        <w:t>Again, the adult with the most recent birthday will be requested.</w:t>
      </w:r>
    </w:p>
    <w:p w:rsidR="00CE1DFA" w:rsidP="007F136F" w14:paraId="790B469A" w14:textId="77777777">
      <w:pPr>
        <w:spacing w:after="0" w:line="360" w:lineRule="auto"/>
        <w:ind w:right="105"/>
        <w:textAlignment w:val="baseline"/>
        <w:rPr>
          <w:rFonts w:eastAsia="Times New Roman" w:cs="Times New Roman"/>
          <w:b/>
          <w:i/>
        </w:rPr>
      </w:pPr>
    </w:p>
    <w:p w:rsidR="00694150" w:rsidRPr="00EB3474" w:rsidP="007F136F" w14:paraId="7E72D073" w14:textId="2F29C0F5">
      <w:pPr>
        <w:spacing w:after="0" w:line="360" w:lineRule="auto"/>
        <w:ind w:right="105"/>
        <w:textAlignment w:val="baseline"/>
        <w:rPr>
          <w:rFonts w:ascii="Segoe UI" w:eastAsia="Times New Roman" w:hAnsi="Segoe UI" w:cs="Segoe UI"/>
          <w:iCs/>
          <w:sz w:val="18"/>
          <w:szCs w:val="18"/>
          <w:u w:val="single"/>
        </w:rPr>
      </w:pPr>
      <w:r w:rsidRPr="00EB3474">
        <w:rPr>
          <w:rFonts w:eastAsia="Times New Roman" w:cs="Times New Roman"/>
          <w:b/>
          <w:iCs/>
          <w:u w:val="single"/>
        </w:rPr>
        <w:t>2.2</w:t>
      </w:r>
      <w:r w:rsidRPr="00EB3474">
        <w:rPr>
          <w:rFonts w:eastAsia="Times New Roman" w:cs="Times New Roman"/>
          <w:b/>
          <w:iCs/>
          <w:u w:val="single"/>
        </w:rPr>
        <w:tab/>
      </w:r>
      <w:r w:rsidRPr="00EB3474" w:rsidR="009F6016">
        <w:rPr>
          <w:rFonts w:eastAsia="Times New Roman" w:cs="Times New Roman"/>
          <w:b/>
          <w:iCs/>
          <w:u w:val="single"/>
        </w:rPr>
        <w:t xml:space="preserve">Unusual problems requiring specialized sampling </w:t>
      </w:r>
      <w:r w:rsidRPr="00EB3474" w:rsidR="009F6016">
        <w:rPr>
          <w:rFonts w:eastAsia="Times New Roman" w:cs="Times New Roman"/>
          <w:b/>
          <w:iCs/>
          <w:u w:val="single"/>
        </w:rPr>
        <w:t>procedures</w:t>
      </w:r>
    </w:p>
    <w:p w:rsidR="008B04B2" w:rsidRPr="008B04B2" w:rsidP="00FC6284" w14:paraId="2BA3B17E" w14:textId="0A31D259">
      <w:pPr>
        <w:tabs>
          <w:tab w:val="left" w:pos="2520"/>
        </w:tabs>
        <w:spacing w:line="240" w:lineRule="auto"/>
        <w:textAlignment w:val="baseline"/>
        <w:rPr>
          <w:rFonts w:eastAsia="Times New Roman"/>
          <w:b/>
        </w:rPr>
      </w:pPr>
      <w:r w:rsidRPr="00683675">
        <w:rPr>
          <w:rFonts w:eastAsia="Times New Roman"/>
          <w:b/>
          <w:i/>
          <w:iCs/>
        </w:rPr>
        <w:t>Sampling of visitors within non-standard (small volume) sites</w:t>
      </w:r>
    </w:p>
    <w:p w:rsidR="00694150" w:rsidP="0045722C" w14:paraId="60258023" w14:textId="768EB10C">
      <w:pPr>
        <w:tabs>
          <w:tab w:val="left" w:pos="2520"/>
        </w:tabs>
        <w:spacing w:line="360" w:lineRule="auto"/>
      </w:pPr>
      <w:r>
        <w:t>As can be viewed in Table 1</w:t>
      </w:r>
      <w:r w:rsidR="00A1132E">
        <w:t>.1</w:t>
      </w:r>
      <w:r>
        <w:t xml:space="preserve">, several parks have rather small visitation levels, even in peak visitation months. As such, changes to the standard 10-day sampling window must be made. For example, </w:t>
      </w:r>
      <w:r w:rsidRPr="000416AE" w:rsidR="000416AE">
        <w:t>Grant-Kohrs Ranch National Historic Site</w:t>
      </w:r>
      <w:r w:rsidR="000416AE">
        <w:t xml:space="preserve"> </w:t>
      </w:r>
      <w:r>
        <w:t>(#1</w:t>
      </w:r>
      <w:r w:rsidR="00A10A60">
        <w:t>7</w:t>
      </w:r>
      <w:r>
        <w:t xml:space="preserve"> from Table 1</w:t>
      </w:r>
      <w:r w:rsidR="00A1132E">
        <w:t>.1</w:t>
      </w:r>
      <w:r>
        <w:t xml:space="preserve">) has a total average annual visitation of </w:t>
      </w:r>
      <w:r w:rsidR="000416AE">
        <w:t>21,760</w:t>
      </w:r>
      <w:r>
        <w:t xml:space="preserve"> and a peak month of </w:t>
      </w:r>
      <w:r w:rsidR="000416AE">
        <w:t>4,345</w:t>
      </w:r>
      <w:r>
        <w:t xml:space="preserve"> visitors. This yields only </w:t>
      </w:r>
      <w:r w:rsidR="000416AE">
        <w:t>1,402</w:t>
      </w:r>
      <w:r>
        <w:t xml:space="preserve"> </w:t>
      </w:r>
      <w:r w:rsidR="000416AE">
        <w:t xml:space="preserve">total </w:t>
      </w:r>
      <w:r>
        <w:t xml:space="preserve">visitors contained in the standard estimate of the respondent universe. </w:t>
      </w:r>
      <w:r w:rsidR="000416AE">
        <w:t xml:space="preserve">Given protocols call for surveying only one member per group, and limited to adults, this volume would not meet the </w:t>
      </w:r>
      <w:r w:rsidR="002C62FA">
        <w:t xml:space="preserve">targeted 1,400 contacts as previously outlined. </w:t>
      </w:r>
      <w:r>
        <w:t>To accommodate small visitation levels, the sampling period will be extended beyond the 10-day period, while attempting to stay within the peak month</w:t>
      </w:r>
      <w:r w:rsidR="00E753BC">
        <w:t>(</w:t>
      </w:r>
      <w:r>
        <w:t>s</w:t>
      </w:r>
      <w:r w:rsidR="00E753BC">
        <w:t>)</w:t>
      </w:r>
      <w:r>
        <w:t xml:space="preserve"> or those within </w:t>
      </w:r>
      <w:r w:rsidR="002C62FA">
        <w:t>10</w:t>
      </w:r>
      <w:r>
        <w:t>% of the peak month. Further, surveyors on site at any given time will be reduced and spread across the increased day</w:t>
      </w:r>
      <w:r w:rsidR="002C62FA">
        <w:t>s</w:t>
      </w:r>
      <w:r>
        <w:t>. The total duration and number of surveyors will be site specific for these non-standards parks. Deviations from the standard calculation of the respondent universe will be reported in park</w:t>
      </w:r>
      <w:r w:rsidR="005F31C6">
        <w:t>-</w:t>
      </w:r>
      <w:r>
        <w:t xml:space="preserve">specific final reports. </w:t>
      </w:r>
    </w:p>
    <w:p w:rsidR="00CF13D0" w:rsidP="0045722C" w14:paraId="6D91892B" w14:textId="594F0A69">
      <w:pPr>
        <w:tabs>
          <w:tab w:val="left" w:pos="2520"/>
        </w:tabs>
        <w:spacing w:line="360" w:lineRule="auto"/>
      </w:pPr>
      <w:r>
        <w:t>A</w:t>
      </w:r>
      <w:r w:rsidR="00C37D43">
        <w:t xml:space="preserve"> </w:t>
      </w:r>
      <w:r>
        <w:t>sampling schedule for a small park</w:t>
      </w:r>
      <w:r w:rsidR="004C3DB4">
        <w:t xml:space="preserve"> such as Grant-Kohrs is displayed below. It is preliminarily estimated that the onsite time for this park would be 20 day</w:t>
      </w:r>
      <w:r w:rsidR="002A6939">
        <w:t xml:space="preserve">s, thus </w:t>
      </w:r>
      <w:r w:rsidR="00A778AA">
        <w:t xml:space="preserve">increasing </w:t>
      </w:r>
      <w:r w:rsidR="002A6939">
        <w:t xml:space="preserve">the </w:t>
      </w:r>
      <w:r w:rsidR="00A778AA">
        <w:t xml:space="preserve">estimated </w:t>
      </w:r>
      <w:r w:rsidR="002A6939">
        <w:t>respondent universe to 2,804.</w:t>
      </w:r>
      <w:r w:rsidR="00FC1ACA">
        <w:t xml:space="preserve"> As can be seen in </w:t>
      </w:r>
      <w:r w:rsidR="00BE1178">
        <w:t xml:space="preserve">Table </w:t>
      </w:r>
      <w:r w:rsidR="00A1132E">
        <w:t>2.2</w:t>
      </w:r>
      <w:r w:rsidR="00FC1ACA">
        <w:t>, it is expected that roughly half the typical daily volume of visitor contacts will be made</w:t>
      </w:r>
      <w:r w:rsidR="00C8753E">
        <w:t xml:space="preserve"> (and half the number of surveyors (i.e.</w:t>
      </w:r>
      <w:r w:rsidR="000C2435">
        <w:t>,</w:t>
      </w:r>
      <w:r w:rsidR="00C8753E">
        <w:t xml:space="preserve"> </w:t>
      </w:r>
      <w:r w:rsidR="00656FE5">
        <w:t>2</w:t>
      </w:r>
      <w:r w:rsidR="000C2435">
        <w:t>) will be on-site at any one time)</w:t>
      </w:r>
      <w:r w:rsidR="00FC1ACA">
        <w:t>, but the overall number of contacts will remain cons</w:t>
      </w:r>
      <w:r w:rsidR="00E753BC">
        <w:t>istent with those in the standard 10-day sample</w:t>
      </w:r>
      <w:r w:rsidR="00BE1178">
        <w:t xml:space="preserve"> (n=1,400)</w:t>
      </w:r>
      <w:r w:rsidR="00FC1ACA">
        <w:t xml:space="preserve">. </w:t>
      </w:r>
    </w:p>
    <w:p w:rsidR="0080714F" w:rsidRPr="0080714F" w:rsidP="0080714F" w14:paraId="0E3DB18E" w14:textId="098D4A3C">
      <w:pPr>
        <w:tabs>
          <w:tab w:val="left" w:pos="2520"/>
        </w:tabs>
        <w:spacing w:after="0" w:line="360" w:lineRule="auto"/>
        <w:contextualSpacing/>
        <w:rPr>
          <w:b/>
          <w:bCs/>
        </w:rPr>
      </w:pPr>
      <w:r>
        <w:rPr>
          <w:b/>
          <w:bCs/>
        </w:rPr>
        <w:t xml:space="preserve">Table </w:t>
      </w:r>
      <w:r w:rsidR="00A1132E">
        <w:rPr>
          <w:b/>
          <w:bCs/>
        </w:rPr>
        <w:t>2</w:t>
      </w:r>
      <w:r>
        <w:rPr>
          <w:b/>
          <w:bCs/>
        </w:rPr>
        <w:t>.</w:t>
      </w:r>
      <w:r w:rsidR="00A1132E">
        <w:rPr>
          <w:b/>
          <w:bCs/>
        </w:rPr>
        <w:t>2:</w:t>
      </w:r>
      <w:r>
        <w:rPr>
          <w:b/>
          <w:bCs/>
        </w:rPr>
        <w:t xml:space="preserve"> Example Schedule for low-volume park requiring extended surveying period. </w:t>
      </w:r>
    </w:p>
    <w:tbl>
      <w:tblPr>
        <w:tblStyle w:val="TableGrid"/>
        <w:tblW w:w="0" w:type="auto"/>
        <w:tblInd w:w="-5" w:type="dxa"/>
        <w:tblLook w:val="04A0"/>
      </w:tblPr>
      <w:tblGrid>
        <w:gridCol w:w="1350"/>
        <w:gridCol w:w="626"/>
        <w:gridCol w:w="557"/>
        <w:gridCol w:w="645"/>
        <w:gridCol w:w="554"/>
        <w:gridCol w:w="678"/>
        <w:gridCol w:w="562"/>
        <w:gridCol w:w="551"/>
        <w:gridCol w:w="551"/>
        <w:gridCol w:w="557"/>
        <w:gridCol w:w="645"/>
        <w:gridCol w:w="1094"/>
      </w:tblGrid>
      <w:tr w14:paraId="0A62781A" w14:textId="77777777">
        <w:tblPrEx>
          <w:tblW w:w="0" w:type="auto"/>
          <w:tblInd w:w="-5" w:type="dxa"/>
          <w:tblLook w:val="04A0"/>
        </w:tblPrEx>
        <w:trPr>
          <w:trHeight w:val="377"/>
        </w:trPr>
        <w:tc>
          <w:tcPr>
            <w:tcW w:w="1350" w:type="dxa"/>
            <w:shd w:val="clear" w:color="auto" w:fill="B8CCE4" w:themeFill="accent1" w:themeFillTint="66"/>
          </w:tcPr>
          <w:p w:rsidR="002A6939" w:rsidRPr="00474FF3" w:rsidP="0080714F" w14:paraId="3A971C0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Arial" w:cstheme="minorHAnsi"/>
                <w:b/>
                <w:bCs/>
              </w:rPr>
            </w:pPr>
          </w:p>
        </w:tc>
        <w:tc>
          <w:tcPr>
            <w:tcW w:w="5926" w:type="dxa"/>
            <w:gridSpan w:val="10"/>
            <w:shd w:val="clear" w:color="auto" w:fill="B8CCE4" w:themeFill="accent1" w:themeFillTint="66"/>
            <w:vAlign w:val="center"/>
          </w:tcPr>
          <w:p w:rsidR="002A6939" w:rsidRPr="00474FF3" w:rsidP="0080714F" w14:paraId="521A7076" w14:textId="69ED39C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eastAsia="Arial" w:cstheme="minorHAnsi"/>
                <w:b/>
                <w:bCs/>
              </w:rPr>
            </w:pPr>
            <w:r w:rsidRPr="00474FF3">
              <w:rPr>
                <w:rFonts w:eastAsia="Arial" w:cstheme="minorHAnsi"/>
                <w:b/>
                <w:bCs/>
              </w:rPr>
              <w:t xml:space="preserve">Number of initial contacts: </w:t>
            </w:r>
            <w:r w:rsidR="00DA4C96">
              <w:rPr>
                <w:rFonts w:eastAsia="Arial" w:cstheme="minorHAnsi"/>
                <w:b/>
                <w:bCs/>
              </w:rPr>
              <w:t>Grant Kohrs Ranch NHS</w:t>
            </w:r>
          </w:p>
        </w:tc>
        <w:tc>
          <w:tcPr>
            <w:tcW w:w="1094" w:type="dxa"/>
            <w:shd w:val="clear" w:color="auto" w:fill="B8CCE4" w:themeFill="accent1" w:themeFillTint="66"/>
          </w:tcPr>
          <w:p w:rsidR="002A6939" w:rsidRPr="00474FF3" w:rsidP="0080714F" w14:paraId="5B5942B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Arial" w:cstheme="minorHAnsi"/>
                <w:b/>
                <w:bCs/>
              </w:rPr>
            </w:pPr>
          </w:p>
        </w:tc>
      </w:tr>
      <w:tr w14:paraId="0DF428F3" w14:textId="77777777">
        <w:tblPrEx>
          <w:tblW w:w="0" w:type="auto"/>
          <w:tblInd w:w="-5" w:type="dxa"/>
          <w:tblLook w:val="04A0"/>
        </w:tblPrEx>
        <w:tc>
          <w:tcPr>
            <w:tcW w:w="1350" w:type="dxa"/>
          </w:tcPr>
          <w:p w:rsidR="002A6939" w:rsidRPr="00474FF3" w14:paraId="7EA62155"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b/>
                <w:bCs/>
              </w:rPr>
            </w:pPr>
          </w:p>
        </w:tc>
        <w:tc>
          <w:tcPr>
            <w:tcW w:w="626" w:type="dxa"/>
            <w:shd w:val="clear" w:color="auto" w:fill="DBE5F1" w:themeFill="accent1" w:themeFillTint="33"/>
          </w:tcPr>
          <w:p w:rsidR="002A6939" w:rsidRPr="00474FF3" w14:paraId="4659BA4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Sat</w:t>
            </w:r>
          </w:p>
        </w:tc>
        <w:tc>
          <w:tcPr>
            <w:tcW w:w="557" w:type="dxa"/>
            <w:shd w:val="clear" w:color="auto" w:fill="DBE5F1" w:themeFill="accent1" w:themeFillTint="33"/>
          </w:tcPr>
          <w:p w:rsidR="002A6939" w:rsidRPr="00474FF3" w14:paraId="7B4D290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Sun</w:t>
            </w:r>
          </w:p>
        </w:tc>
        <w:tc>
          <w:tcPr>
            <w:tcW w:w="645" w:type="dxa"/>
          </w:tcPr>
          <w:p w:rsidR="002A6939" w:rsidRPr="00474FF3" w14:paraId="5A2D25C6"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Mon</w:t>
            </w:r>
          </w:p>
        </w:tc>
        <w:tc>
          <w:tcPr>
            <w:tcW w:w="554" w:type="dxa"/>
          </w:tcPr>
          <w:p w:rsidR="002A6939" w:rsidRPr="00474FF3" w14:paraId="110F0A8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Tue</w:t>
            </w:r>
          </w:p>
        </w:tc>
        <w:tc>
          <w:tcPr>
            <w:tcW w:w="678" w:type="dxa"/>
          </w:tcPr>
          <w:p w:rsidR="002A6939" w:rsidRPr="00474FF3" w14:paraId="0914931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Wed</w:t>
            </w:r>
          </w:p>
        </w:tc>
        <w:tc>
          <w:tcPr>
            <w:tcW w:w="562" w:type="dxa"/>
          </w:tcPr>
          <w:p w:rsidR="002A6939" w:rsidRPr="00474FF3" w14:paraId="755BF1AF"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Thu</w:t>
            </w:r>
          </w:p>
        </w:tc>
        <w:tc>
          <w:tcPr>
            <w:tcW w:w="551" w:type="dxa"/>
          </w:tcPr>
          <w:p w:rsidR="002A6939" w:rsidRPr="00474FF3" w14:paraId="6353AAFA"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Fri</w:t>
            </w:r>
          </w:p>
        </w:tc>
        <w:tc>
          <w:tcPr>
            <w:tcW w:w="551" w:type="dxa"/>
            <w:shd w:val="clear" w:color="auto" w:fill="DBE5F1" w:themeFill="accent1" w:themeFillTint="33"/>
          </w:tcPr>
          <w:p w:rsidR="002A6939" w:rsidRPr="00474FF3" w14:paraId="1BD321F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Sat</w:t>
            </w:r>
          </w:p>
        </w:tc>
        <w:tc>
          <w:tcPr>
            <w:tcW w:w="557" w:type="dxa"/>
            <w:shd w:val="clear" w:color="auto" w:fill="DBE5F1" w:themeFill="accent1" w:themeFillTint="33"/>
          </w:tcPr>
          <w:p w:rsidR="002A6939" w:rsidRPr="00474FF3" w14:paraId="0DCA14B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Sun</w:t>
            </w:r>
          </w:p>
        </w:tc>
        <w:tc>
          <w:tcPr>
            <w:tcW w:w="645" w:type="dxa"/>
            <w:shd w:val="clear" w:color="auto" w:fill="auto"/>
          </w:tcPr>
          <w:p w:rsidR="002A6939" w:rsidRPr="00474FF3" w14:paraId="1C885A4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sidRPr="00474FF3">
              <w:rPr>
                <w:rFonts w:eastAsia="Arial" w:cstheme="minorHAnsi"/>
                <w:b/>
                <w:bCs/>
              </w:rPr>
              <w:t>Mon</w:t>
            </w:r>
          </w:p>
        </w:tc>
        <w:tc>
          <w:tcPr>
            <w:tcW w:w="1094" w:type="dxa"/>
            <w:shd w:val="clear" w:color="auto" w:fill="B8CCE4" w:themeFill="accent1" w:themeFillTint="66"/>
          </w:tcPr>
          <w:p w:rsidR="002A6939" w:rsidRPr="00474FF3" w14:paraId="35FB8A4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Pr>
                <w:rFonts w:eastAsia="Arial" w:cstheme="minorHAnsi"/>
                <w:b/>
                <w:bCs/>
              </w:rPr>
              <w:t xml:space="preserve">Site </w:t>
            </w:r>
            <w:r w:rsidRPr="00474FF3">
              <w:rPr>
                <w:rFonts w:eastAsia="Arial" w:cstheme="minorHAnsi"/>
                <w:b/>
                <w:bCs/>
              </w:rPr>
              <w:t>Total</w:t>
            </w:r>
          </w:p>
        </w:tc>
      </w:tr>
      <w:tr w14:paraId="20E81511" w14:textId="77777777">
        <w:tblPrEx>
          <w:tblW w:w="0" w:type="auto"/>
          <w:tblInd w:w="-5" w:type="dxa"/>
          <w:tblLook w:val="04A0"/>
        </w:tblPrEx>
        <w:tc>
          <w:tcPr>
            <w:tcW w:w="1350" w:type="dxa"/>
          </w:tcPr>
          <w:p w:rsidR="002A6939" w:rsidRPr="00474FF3" w14:paraId="6AD3A860" w14:textId="5B96FCF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Pr>
                <w:rFonts w:eastAsia="Arial" w:cstheme="minorHAnsi"/>
              </w:rPr>
              <w:t>Grant Kohrs VC/Parking</w:t>
            </w:r>
          </w:p>
        </w:tc>
        <w:tc>
          <w:tcPr>
            <w:tcW w:w="626" w:type="dxa"/>
            <w:shd w:val="clear" w:color="auto" w:fill="DBE5F1" w:themeFill="accent1" w:themeFillTint="33"/>
            <w:vAlign w:val="center"/>
          </w:tcPr>
          <w:p w:rsidR="002A6939" w:rsidRPr="00474FF3" w14:paraId="54EF4A42" w14:textId="77580DD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7" w:type="dxa"/>
            <w:shd w:val="clear" w:color="auto" w:fill="DBE5F1" w:themeFill="accent1" w:themeFillTint="33"/>
            <w:vAlign w:val="center"/>
          </w:tcPr>
          <w:p w:rsidR="002A6939" w:rsidRPr="00474FF3" w14:paraId="7B00A8A7" w14:textId="7400D6A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645" w:type="dxa"/>
            <w:vAlign w:val="center"/>
          </w:tcPr>
          <w:p w:rsidR="002A6939" w:rsidRPr="00474FF3" w14:paraId="63531756" w14:textId="4593DEC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4" w:type="dxa"/>
            <w:vAlign w:val="center"/>
          </w:tcPr>
          <w:p w:rsidR="002A6939" w:rsidRPr="00474FF3" w14:paraId="05B32413" w14:textId="78AE69A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678" w:type="dxa"/>
            <w:vAlign w:val="center"/>
          </w:tcPr>
          <w:p w:rsidR="002A6939" w:rsidRPr="00474FF3" w14:paraId="447B9A9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62" w:type="dxa"/>
            <w:vAlign w:val="center"/>
          </w:tcPr>
          <w:p w:rsidR="002A6939" w:rsidRPr="00474FF3" w14:paraId="54E724D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51" w:type="dxa"/>
            <w:vAlign w:val="center"/>
          </w:tcPr>
          <w:p w:rsidR="002A6939" w:rsidRPr="00474FF3" w14:paraId="427E3C74" w14:textId="38AAF4A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1" w:type="dxa"/>
            <w:shd w:val="clear" w:color="auto" w:fill="DBE5F1" w:themeFill="accent1" w:themeFillTint="33"/>
            <w:vAlign w:val="center"/>
          </w:tcPr>
          <w:p w:rsidR="002A6939" w:rsidRPr="00474FF3" w14:paraId="7FE205E1" w14:textId="33904199">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7" w:type="dxa"/>
            <w:shd w:val="clear" w:color="auto" w:fill="DBE5F1" w:themeFill="accent1" w:themeFillTint="33"/>
            <w:vAlign w:val="center"/>
          </w:tcPr>
          <w:p w:rsidR="002A6939" w:rsidRPr="00474FF3" w14:paraId="1D087D7B" w14:textId="5FD9D74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645" w:type="dxa"/>
            <w:shd w:val="clear" w:color="auto" w:fill="auto"/>
            <w:vAlign w:val="center"/>
          </w:tcPr>
          <w:p w:rsidR="002A6939" w:rsidRPr="00474FF3" w14:paraId="69C28B28" w14:textId="44D2C81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1094" w:type="dxa"/>
            <w:shd w:val="clear" w:color="auto" w:fill="B8CCE4" w:themeFill="accent1" w:themeFillTint="66"/>
            <w:vAlign w:val="center"/>
          </w:tcPr>
          <w:p w:rsidR="002A6939" w:rsidRPr="00474FF3" w14:paraId="67617590" w14:textId="2087460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Pr>
                <w:rFonts w:eastAsia="Arial" w:cstheme="minorHAnsi"/>
                <w:b/>
                <w:bCs/>
              </w:rPr>
              <w:t>700</w:t>
            </w:r>
          </w:p>
        </w:tc>
      </w:tr>
      <w:tr w14:paraId="79E36E0B" w14:textId="77777777" w:rsidTr="00683675">
        <w:tblPrEx>
          <w:tblW w:w="0" w:type="auto"/>
          <w:tblInd w:w="-5" w:type="dxa"/>
          <w:tblLook w:val="04A0"/>
        </w:tblPrEx>
        <w:tc>
          <w:tcPr>
            <w:tcW w:w="1350" w:type="dxa"/>
          </w:tcPr>
          <w:p w:rsidR="002A6939" w:rsidRPr="00474FF3" w:rsidP="002A6939" w14:paraId="48CA354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p>
        </w:tc>
        <w:tc>
          <w:tcPr>
            <w:tcW w:w="626" w:type="dxa"/>
            <w:shd w:val="clear" w:color="auto" w:fill="DBE5F1" w:themeFill="accent1" w:themeFillTint="33"/>
          </w:tcPr>
          <w:p w:rsidR="002A6939" w:rsidRPr="00474FF3" w:rsidP="002A6939" w14:paraId="1069E378" w14:textId="0B71329B">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Sat</w:t>
            </w:r>
          </w:p>
        </w:tc>
        <w:tc>
          <w:tcPr>
            <w:tcW w:w="557" w:type="dxa"/>
            <w:shd w:val="clear" w:color="auto" w:fill="DBE5F1" w:themeFill="accent1" w:themeFillTint="33"/>
          </w:tcPr>
          <w:p w:rsidR="002A6939" w:rsidRPr="00474FF3" w:rsidP="002A6939" w14:paraId="494838CD" w14:textId="10AF0834">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Sun</w:t>
            </w:r>
          </w:p>
        </w:tc>
        <w:tc>
          <w:tcPr>
            <w:tcW w:w="645" w:type="dxa"/>
          </w:tcPr>
          <w:p w:rsidR="002A6939" w:rsidRPr="00474FF3" w:rsidP="002A6939" w14:paraId="72B7F1E0" w14:textId="25DA6698">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Mon</w:t>
            </w:r>
          </w:p>
        </w:tc>
        <w:tc>
          <w:tcPr>
            <w:tcW w:w="554" w:type="dxa"/>
          </w:tcPr>
          <w:p w:rsidR="002A6939" w:rsidRPr="00474FF3" w:rsidP="002A6939" w14:paraId="15C723AD" w14:textId="469E956F">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Tue</w:t>
            </w:r>
          </w:p>
        </w:tc>
        <w:tc>
          <w:tcPr>
            <w:tcW w:w="678" w:type="dxa"/>
          </w:tcPr>
          <w:p w:rsidR="002A6939" w:rsidRPr="00474FF3" w:rsidP="002A6939" w14:paraId="13B05CB9" w14:textId="4CD7905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Wed</w:t>
            </w:r>
          </w:p>
        </w:tc>
        <w:tc>
          <w:tcPr>
            <w:tcW w:w="562" w:type="dxa"/>
          </w:tcPr>
          <w:p w:rsidR="002A6939" w:rsidRPr="00474FF3" w:rsidP="002A6939" w14:paraId="6FE1D383" w14:textId="04C99C0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Thu</w:t>
            </w:r>
          </w:p>
        </w:tc>
        <w:tc>
          <w:tcPr>
            <w:tcW w:w="551" w:type="dxa"/>
          </w:tcPr>
          <w:p w:rsidR="002A6939" w:rsidRPr="00474FF3" w:rsidP="002A6939" w14:paraId="457C2C2B" w14:textId="4574398C">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Fri</w:t>
            </w:r>
          </w:p>
        </w:tc>
        <w:tc>
          <w:tcPr>
            <w:tcW w:w="551" w:type="dxa"/>
            <w:shd w:val="clear" w:color="auto" w:fill="DBE5F1" w:themeFill="accent1" w:themeFillTint="33"/>
          </w:tcPr>
          <w:p w:rsidR="002A6939" w:rsidRPr="00474FF3" w:rsidP="002A6939" w14:paraId="47B756E5" w14:textId="16D08AC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Sat</w:t>
            </w:r>
          </w:p>
        </w:tc>
        <w:tc>
          <w:tcPr>
            <w:tcW w:w="557" w:type="dxa"/>
            <w:shd w:val="clear" w:color="auto" w:fill="DBE5F1" w:themeFill="accent1" w:themeFillTint="33"/>
          </w:tcPr>
          <w:p w:rsidR="002A6939" w:rsidRPr="00474FF3" w:rsidP="002A6939" w14:paraId="5F8D70E5" w14:textId="5967A7E3">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Sun</w:t>
            </w:r>
          </w:p>
        </w:tc>
        <w:tc>
          <w:tcPr>
            <w:tcW w:w="645" w:type="dxa"/>
            <w:shd w:val="clear" w:color="auto" w:fill="auto"/>
          </w:tcPr>
          <w:p w:rsidR="002A6939" w:rsidRPr="00474FF3" w:rsidP="002A6939" w14:paraId="5030FC00" w14:textId="78A09BE2">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b/>
                <w:bCs/>
              </w:rPr>
              <w:t>Mon</w:t>
            </w:r>
          </w:p>
        </w:tc>
        <w:tc>
          <w:tcPr>
            <w:tcW w:w="1094" w:type="dxa"/>
            <w:shd w:val="clear" w:color="auto" w:fill="B8CCE4" w:themeFill="accent1" w:themeFillTint="66"/>
            <w:vAlign w:val="center"/>
          </w:tcPr>
          <w:p w:rsidR="002A6939" w:rsidRPr="00474FF3" w:rsidP="002A6939" w14:paraId="02405AAE"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p>
        </w:tc>
      </w:tr>
      <w:tr w14:paraId="2BC12CD9" w14:textId="77777777">
        <w:tblPrEx>
          <w:tblW w:w="0" w:type="auto"/>
          <w:tblInd w:w="-5" w:type="dxa"/>
          <w:tblLook w:val="04A0"/>
        </w:tblPrEx>
        <w:tc>
          <w:tcPr>
            <w:tcW w:w="1350" w:type="dxa"/>
          </w:tcPr>
          <w:p w:rsidR="002A6939" w:rsidRPr="00474FF3" w:rsidP="002A6939" w14:paraId="027CFB68" w14:textId="080B389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Pr>
                <w:rFonts w:eastAsia="Arial" w:cstheme="minorHAnsi"/>
              </w:rPr>
              <w:t>Grant Kohrs VC/Parking</w:t>
            </w:r>
          </w:p>
        </w:tc>
        <w:tc>
          <w:tcPr>
            <w:tcW w:w="626" w:type="dxa"/>
            <w:shd w:val="clear" w:color="auto" w:fill="DBE5F1" w:themeFill="accent1" w:themeFillTint="33"/>
            <w:vAlign w:val="center"/>
          </w:tcPr>
          <w:p w:rsidR="002A6939" w:rsidRPr="00474FF3" w:rsidP="002A6939" w14:paraId="0FC56A2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557" w:type="dxa"/>
            <w:shd w:val="clear" w:color="auto" w:fill="DBE5F1" w:themeFill="accent1" w:themeFillTint="33"/>
            <w:vAlign w:val="center"/>
          </w:tcPr>
          <w:p w:rsidR="002A6939" w:rsidRPr="00474FF3" w:rsidP="002A6939" w14:paraId="2386E5F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645" w:type="dxa"/>
            <w:vAlign w:val="center"/>
          </w:tcPr>
          <w:p w:rsidR="002A6939" w:rsidRPr="00474FF3" w:rsidP="002A6939" w14:paraId="09310642" w14:textId="063222C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4" w:type="dxa"/>
            <w:vAlign w:val="center"/>
          </w:tcPr>
          <w:p w:rsidR="002A6939" w:rsidRPr="00474FF3" w:rsidP="002A6939" w14:paraId="38C9B711" w14:textId="594E65E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w:t>
            </w:r>
            <w:r w:rsidRPr="00474FF3">
              <w:rPr>
                <w:rFonts w:eastAsia="Arial" w:cstheme="minorHAnsi"/>
              </w:rPr>
              <w:t>0</w:t>
            </w:r>
          </w:p>
        </w:tc>
        <w:tc>
          <w:tcPr>
            <w:tcW w:w="678" w:type="dxa"/>
            <w:vAlign w:val="center"/>
          </w:tcPr>
          <w:p w:rsidR="002A6939" w:rsidRPr="00474FF3" w:rsidP="002A6939" w14:paraId="2D80DDA5" w14:textId="67189D7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62" w:type="dxa"/>
            <w:vAlign w:val="center"/>
          </w:tcPr>
          <w:p w:rsidR="002A6939" w:rsidRPr="00474FF3" w:rsidP="002A6939" w14:paraId="43C3CDF2" w14:textId="46EDC766">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w:t>
            </w:r>
            <w:r w:rsidRPr="00474FF3">
              <w:rPr>
                <w:rFonts w:eastAsia="Arial" w:cstheme="minorHAnsi"/>
              </w:rPr>
              <w:t>0</w:t>
            </w:r>
          </w:p>
        </w:tc>
        <w:tc>
          <w:tcPr>
            <w:tcW w:w="551" w:type="dxa"/>
            <w:vAlign w:val="center"/>
          </w:tcPr>
          <w:p w:rsidR="002A6939" w:rsidRPr="00474FF3" w:rsidP="002A6939" w14:paraId="49C08FEF" w14:textId="00F45300">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w:t>
            </w:r>
            <w:r w:rsidRPr="00474FF3">
              <w:rPr>
                <w:rFonts w:eastAsia="Arial" w:cstheme="minorHAnsi"/>
              </w:rPr>
              <w:t>0</w:t>
            </w:r>
          </w:p>
        </w:tc>
        <w:tc>
          <w:tcPr>
            <w:tcW w:w="551" w:type="dxa"/>
            <w:shd w:val="clear" w:color="auto" w:fill="DBE5F1" w:themeFill="accent1" w:themeFillTint="33"/>
            <w:vAlign w:val="center"/>
          </w:tcPr>
          <w:p w:rsidR="002A6939" w:rsidRPr="00474FF3" w:rsidP="002A6939" w14:paraId="7B5EA78D" w14:textId="11F866ED">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70</w:t>
            </w:r>
          </w:p>
        </w:tc>
        <w:tc>
          <w:tcPr>
            <w:tcW w:w="557" w:type="dxa"/>
            <w:shd w:val="clear" w:color="auto" w:fill="DBE5F1" w:themeFill="accent1" w:themeFillTint="33"/>
            <w:vAlign w:val="center"/>
          </w:tcPr>
          <w:p w:rsidR="002A6939" w:rsidRPr="00474FF3" w:rsidP="002A6939" w14:paraId="794EC35B" w14:textId="721FCB81">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Pr>
                <w:rFonts w:eastAsia="Arial" w:cstheme="minorHAnsi"/>
              </w:rPr>
              <w:t>7</w:t>
            </w:r>
            <w:r w:rsidRPr="00474FF3">
              <w:rPr>
                <w:rFonts w:eastAsia="Arial" w:cstheme="minorHAnsi"/>
              </w:rPr>
              <w:t>0</w:t>
            </w:r>
          </w:p>
        </w:tc>
        <w:tc>
          <w:tcPr>
            <w:tcW w:w="645" w:type="dxa"/>
            <w:shd w:val="clear" w:color="auto" w:fill="auto"/>
            <w:vAlign w:val="center"/>
          </w:tcPr>
          <w:p w:rsidR="002A6939" w:rsidRPr="00474FF3" w:rsidP="002A6939" w14:paraId="5DA9731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r w:rsidRPr="00474FF3">
              <w:rPr>
                <w:rFonts w:eastAsia="Arial" w:cstheme="minorHAnsi"/>
              </w:rPr>
              <w:t>70</w:t>
            </w:r>
          </w:p>
        </w:tc>
        <w:tc>
          <w:tcPr>
            <w:tcW w:w="1094" w:type="dxa"/>
            <w:shd w:val="clear" w:color="auto" w:fill="B8CCE4" w:themeFill="accent1" w:themeFillTint="66"/>
            <w:vAlign w:val="center"/>
          </w:tcPr>
          <w:p w:rsidR="002A6939" w:rsidRPr="00474FF3" w:rsidP="002A6939" w14:paraId="48B03A80" w14:textId="0D17E80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Pr>
                <w:rFonts w:eastAsia="Arial" w:cstheme="minorHAnsi"/>
                <w:b/>
                <w:bCs/>
              </w:rPr>
              <w:t>700</w:t>
            </w:r>
          </w:p>
        </w:tc>
      </w:tr>
      <w:tr w14:paraId="274EEA09" w14:textId="77777777">
        <w:tblPrEx>
          <w:tblW w:w="0" w:type="auto"/>
          <w:tblInd w:w="-5" w:type="dxa"/>
          <w:tblLook w:val="04A0"/>
        </w:tblPrEx>
        <w:tc>
          <w:tcPr>
            <w:tcW w:w="1350" w:type="dxa"/>
          </w:tcPr>
          <w:p w:rsidR="006E03C0" w:rsidP="002A6939" w14:paraId="23EFAD34" w14:textId="7F27F74A">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Arial" w:cstheme="minorHAnsi"/>
              </w:rPr>
            </w:pPr>
            <w:r>
              <w:rPr>
                <w:rFonts w:eastAsia="Arial" w:cstheme="minorHAnsi"/>
              </w:rPr>
              <w:t xml:space="preserve">TOTAL </w:t>
            </w:r>
          </w:p>
        </w:tc>
        <w:tc>
          <w:tcPr>
            <w:tcW w:w="626" w:type="dxa"/>
            <w:shd w:val="clear" w:color="auto" w:fill="DBE5F1" w:themeFill="accent1" w:themeFillTint="33"/>
            <w:vAlign w:val="center"/>
          </w:tcPr>
          <w:p w:rsidR="006E03C0" w:rsidRPr="00474FF3" w:rsidP="002A6939" w14:paraId="3CD45B5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57" w:type="dxa"/>
            <w:shd w:val="clear" w:color="auto" w:fill="DBE5F1" w:themeFill="accent1" w:themeFillTint="33"/>
            <w:vAlign w:val="center"/>
          </w:tcPr>
          <w:p w:rsidR="006E03C0" w:rsidRPr="00474FF3" w:rsidP="002A6939" w14:paraId="39C0DBF7"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645" w:type="dxa"/>
            <w:vAlign w:val="center"/>
          </w:tcPr>
          <w:p w:rsidR="006E03C0" w:rsidP="002A6939" w14:paraId="36C377E2"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54" w:type="dxa"/>
            <w:vAlign w:val="center"/>
          </w:tcPr>
          <w:p w:rsidR="006E03C0" w:rsidP="002A6939" w14:paraId="03DAFB3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678" w:type="dxa"/>
            <w:vAlign w:val="center"/>
          </w:tcPr>
          <w:p w:rsidR="006E03C0" w:rsidP="002A6939" w14:paraId="02E30B0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62" w:type="dxa"/>
            <w:vAlign w:val="center"/>
          </w:tcPr>
          <w:p w:rsidR="006E03C0" w:rsidP="002A6939" w14:paraId="5B29B911"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51" w:type="dxa"/>
            <w:vAlign w:val="center"/>
          </w:tcPr>
          <w:p w:rsidR="006E03C0" w:rsidP="002A6939" w14:paraId="6AADB89D"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51" w:type="dxa"/>
            <w:shd w:val="clear" w:color="auto" w:fill="DBE5F1" w:themeFill="accent1" w:themeFillTint="33"/>
            <w:vAlign w:val="center"/>
          </w:tcPr>
          <w:p w:rsidR="006E03C0" w:rsidP="002A6939" w14:paraId="25903E0C"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557" w:type="dxa"/>
            <w:shd w:val="clear" w:color="auto" w:fill="DBE5F1" w:themeFill="accent1" w:themeFillTint="33"/>
            <w:vAlign w:val="center"/>
          </w:tcPr>
          <w:p w:rsidR="006E03C0" w:rsidP="002A6939" w14:paraId="29A91220"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645" w:type="dxa"/>
            <w:shd w:val="clear" w:color="auto" w:fill="auto"/>
            <w:vAlign w:val="center"/>
          </w:tcPr>
          <w:p w:rsidR="006E03C0" w:rsidRPr="00474FF3" w:rsidP="002A6939" w14:paraId="56291F34"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rPr>
            </w:pPr>
          </w:p>
        </w:tc>
        <w:tc>
          <w:tcPr>
            <w:tcW w:w="1094" w:type="dxa"/>
            <w:shd w:val="clear" w:color="auto" w:fill="B8CCE4" w:themeFill="accent1" w:themeFillTint="66"/>
            <w:vAlign w:val="center"/>
          </w:tcPr>
          <w:p w:rsidR="006E03C0" w:rsidP="002A6939" w14:paraId="029EF5F8" w14:textId="436B096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eastAsia="Arial" w:cstheme="minorHAnsi"/>
                <w:b/>
                <w:bCs/>
              </w:rPr>
            </w:pPr>
            <w:r>
              <w:rPr>
                <w:rFonts w:eastAsia="Arial" w:cstheme="minorHAnsi"/>
                <w:b/>
                <w:bCs/>
              </w:rPr>
              <w:t>1,400</w:t>
            </w:r>
          </w:p>
        </w:tc>
      </w:tr>
    </w:tbl>
    <w:p w:rsidR="00386455" w:rsidP="0045722C" w14:paraId="16DD9924" w14:textId="77777777">
      <w:pPr>
        <w:spacing w:line="360" w:lineRule="auto"/>
        <w:textAlignment w:val="baseline"/>
        <w:rPr>
          <w:rFonts w:eastAsia="Times New Roman"/>
          <w:b/>
          <w:u w:val="single"/>
        </w:rPr>
      </w:pPr>
      <w:bookmarkStart w:id="3" w:name="_Hlk85382671"/>
    </w:p>
    <w:p w:rsidR="00215FD6" w:rsidRPr="00676BAB" w:rsidP="0045722C" w14:paraId="6606E43D" w14:textId="4F6BBEAD">
      <w:pPr>
        <w:spacing w:line="360" w:lineRule="auto"/>
        <w:textAlignment w:val="baseline"/>
        <w:rPr>
          <w:rFonts w:eastAsia="Times New Roman"/>
          <w:b/>
          <w:u w:val="single"/>
        </w:rPr>
      </w:pPr>
      <w:r w:rsidRPr="00676BAB">
        <w:rPr>
          <w:rFonts w:eastAsia="Times New Roman"/>
          <w:b/>
          <w:u w:val="single"/>
        </w:rPr>
        <w:t>2.3</w:t>
      </w:r>
      <w:r w:rsidRPr="00676BAB" w:rsidR="00E753BC">
        <w:rPr>
          <w:rFonts w:eastAsia="Times New Roman"/>
          <w:b/>
          <w:u w:val="single"/>
        </w:rPr>
        <w:t xml:space="preserve"> </w:t>
      </w:r>
      <w:r w:rsidRPr="00676BAB" w:rsidR="00297551">
        <w:rPr>
          <w:rFonts w:eastAsia="Times New Roman"/>
          <w:b/>
          <w:u w:val="single"/>
        </w:rPr>
        <w:t xml:space="preserve">Estimation procedure, and degree of accuracy needed for the purpose described in the </w:t>
      </w:r>
      <w:r w:rsidRPr="00676BAB" w:rsidR="00297551">
        <w:rPr>
          <w:rFonts w:eastAsia="Times New Roman"/>
          <w:b/>
          <w:u w:val="single"/>
        </w:rPr>
        <w:t>justification</w:t>
      </w:r>
    </w:p>
    <w:bookmarkEnd w:id="3"/>
    <w:p w:rsidR="00BB6D53" w:rsidP="00BB6D53" w14:paraId="1DD932B3" w14:textId="0E2FA263">
      <w:pPr>
        <w:spacing w:after="0" w:line="360" w:lineRule="auto"/>
        <w:textAlignment w:val="baseline"/>
        <w:rPr>
          <w:rFonts w:ascii="Calibri" w:eastAsia="Times New Roman" w:hAnsi="Calibri" w:cs="Calibri"/>
        </w:rPr>
      </w:pPr>
      <w:r>
        <w:rPr>
          <w:rFonts w:ascii="Calibri" w:eastAsia="Times New Roman" w:hAnsi="Calibri" w:cs="Calibri"/>
        </w:rPr>
        <w:t xml:space="preserve">For </w:t>
      </w:r>
      <w:r w:rsidR="007479A8">
        <w:rPr>
          <w:rFonts w:ascii="Calibri" w:eastAsia="Times New Roman" w:hAnsi="Calibri" w:cs="Calibri"/>
        </w:rPr>
        <w:t>27</w:t>
      </w:r>
      <w:r>
        <w:rPr>
          <w:rFonts w:ascii="Calibri" w:eastAsia="Times New Roman" w:hAnsi="Calibri" w:cs="Calibri"/>
        </w:rPr>
        <w:t xml:space="preserve"> of parks contained in the collection effort, the research team will target approximately 400 returned mail</w:t>
      </w:r>
      <w:r w:rsidR="0054364E">
        <w:rPr>
          <w:rFonts w:ascii="Calibri" w:eastAsia="Times New Roman" w:hAnsi="Calibri" w:cs="Calibri"/>
        </w:rPr>
        <w:t>-</w:t>
      </w:r>
      <w:r>
        <w:rPr>
          <w:rFonts w:ascii="Calibri" w:eastAsia="Times New Roman" w:hAnsi="Calibri" w:cs="Calibri"/>
        </w:rPr>
        <w:t xml:space="preserve">back surveys to meet sample size needs (Sample Equation Below); these are considered </w:t>
      </w:r>
      <w:r w:rsidRPr="002047B3">
        <w:rPr>
          <w:rFonts w:ascii="Calibri" w:eastAsia="Times New Roman" w:hAnsi="Calibri" w:cs="Calibri"/>
        </w:rPr>
        <w:t>Normal Effort Unit</w:t>
      </w:r>
      <w:r>
        <w:rPr>
          <w:rFonts w:ascii="Calibri" w:eastAsia="Times New Roman" w:hAnsi="Calibri" w:cs="Calibri"/>
        </w:rPr>
        <w:t>s.</w:t>
      </w:r>
    </w:p>
    <w:p w:rsidR="00BB6D53" w:rsidP="00BB6D53" w14:paraId="307AC376" w14:textId="77777777">
      <w:pPr>
        <w:spacing w:after="0" w:line="360" w:lineRule="auto"/>
        <w:textAlignment w:val="baseline"/>
        <w:rPr>
          <w:rFonts w:ascii="Calibri" w:eastAsia="Times New Roman" w:hAnsi="Calibri" w:cs="Calibri"/>
        </w:rPr>
      </w:pPr>
    </w:p>
    <w:p w:rsidR="00BB6D53" w:rsidP="00BB6D53" w14:paraId="70A955D0" w14:textId="7D5ABDC4">
      <w:pPr>
        <w:spacing w:after="0" w:line="360" w:lineRule="auto"/>
        <w:textAlignment w:val="baseline"/>
        <w:rPr>
          <w:rFonts w:ascii="Calibri" w:eastAsia="Times New Roman" w:hAnsi="Calibri" w:cs="Calibri"/>
        </w:rPr>
      </w:pPr>
      <w:r w:rsidRPr="001007CC">
        <w:rPr>
          <w:rFonts w:ascii="Calibri" w:eastAsia="Times New Roman" w:hAnsi="Calibri" w:cs="Calibri"/>
        </w:rPr>
        <w:t xml:space="preserve">The example sample size (n) </w:t>
      </w:r>
      <w:r>
        <w:rPr>
          <w:rFonts w:ascii="Calibri" w:eastAsia="Times New Roman" w:hAnsi="Calibri" w:cs="Calibri"/>
        </w:rPr>
        <w:t>using Great Smoky Mountains National Park</w:t>
      </w:r>
      <w:r w:rsidRPr="001007CC">
        <w:rPr>
          <w:rFonts w:ascii="Calibri" w:eastAsia="Times New Roman" w:hAnsi="Calibri" w:cs="Calibri"/>
        </w:rPr>
        <w:t xml:space="preserve"> was calculated using to the following formula</w:t>
      </w:r>
      <w:r>
        <w:rPr>
          <w:rStyle w:val="FootnoteReference"/>
          <w:rFonts w:ascii="Calibri" w:eastAsia="Times New Roman" w:hAnsi="Calibri" w:cs="Calibri"/>
        </w:rPr>
        <w:footnoteReference w:id="3"/>
      </w:r>
      <w:r w:rsidRPr="001007CC">
        <w:rPr>
          <w:rFonts w:ascii="Calibri" w:eastAsia="Times New Roman" w:hAnsi="Calibri" w:cs="Calibri"/>
        </w:rPr>
        <w:t xml:space="preserve">:  </w:t>
      </w:r>
    </w:p>
    <w:p w:rsidR="00BB6D53" w:rsidRPr="001007CC" w:rsidP="00BB6D53" w14:paraId="6B35B991" w14:textId="77777777">
      <w:pPr>
        <w:spacing w:after="0" w:line="360" w:lineRule="auto"/>
        <w:textAlignment w:val="baseline"/>
        <w:rPr>
          <w:rFonts w:ascii="Calibri" w:eastAsia="Times New Roman" w:hAnsi="Calibri" w:cs="Calibri"/>
        </w:rPr>
      </w:pPr>
      <w:r>
        <w:rPr>
          <w:rFonts w:ascii="Calibri" w:eastAsia="Times New Roman" w:hAnsi="Calibri" w:cs="Calibri"/>
        </w:rPr>
        <w:t xml:space="preserve">Unlimited Population -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m:oMath>
        <m:r>
          <w:rPr>
            <w:rFonts w:ascii="Cambria Math" w:eastAsia="Times New Roman" w:hAnsi="Cambria Math" w:cs="Calibri"/>
          </w:rPr>
          <m:t>n=</m:t>
        </m:r>
        <m:f>
          <m:fPr>
            <m:ctrlPr>
              <w:rPr>
                <w:rFonts w:ascii="Cambria Math" w:eastAsia="Times New Roman" w:hAnsi="Cambria Math" w:cs="Calibri"/>
                <w:i/>
              </w:rPr>
            </m:ctrlPr>
          </m:fPr>
          <m:num>
            <m:sSup>
              <m:sSupPr>
                <m:ctrlPr>
                  <w:rPr>
                    <w:rFonts w:ascii="Cambria Math" w:eastAsia="Times New Roman" w:hAnsi="Cambria Math" w:cs="Calibri"/>
                    <w:i/>
                  </w:rPr>
                </m:ctrlPr>
              </m:sSupPr>
              <m:e>
                <m:r>
                  <w:rPr>
                    <w:rFonts w:ascii="Cambria Math" w:eastAsia="Times New Roman" w:hAnsi="Cambria Math" w:cs="Calibri"/>
                  </w:rPr>
                  <m:t>z</m:t>
                </m:r>
              </m:e>
              <m:sup>
                <m:r>
                  <w:rPr>
                    <w:rFonts w:ascii="Cambria Math" w:eastAsia="Times New Roman" w:hAnsi="Cambria Math" w:cs="Calibri"/>
                  </w:rPr>
                  <m:t>2</m:t>
                </m:r>
              </m:sup>
            </m:sSup>
            <m:r>
              <w:rPr>
                <w:rFonts w:ascii="Cambria Math" w:eastAsia="Times New Roman" w:hAnsi="Cambria Math" w:cs="Calibri"/>
              </w:rPr>
              <m:t>*</m:t>
            </m:r>
            <m:acc>
              <m:accPr>
                <m:ctrlPr>
                  <w:rPr>
                    <w:rFonts w:ascii="Cambria Math" w:eastAsia="Times New Roman" w:hAnsi="Cambria Math" w:cs="Calibri"/>
                    <w:i/>
                  </w:rPr>
                </m:ctrlPr>
              </m:accPr>
              <m:e>
                <m:r>
                  <w:rPr>
                    <w:rFonts w:ascii="Cambria Math" w:eastAsia="Times New Roman" w:hAnsi="Cambria Math" w:cs="Calibri"/>
                  </w:rPr>
                  <m:t>p</m:t>
                </m:r>
              </m:e>
            </m:acc>
            <m:r>
              <w:rPr>
                <w:rFonts w:ascii="Cambria Math" w:eastAsia="Times New Roman" w:hAnsi="Cambria Math" w:cs="Calibri"/>
              </w:rPr>
              <m:t>(1-</m:t>
            </m:r>
            <m:acc>
              <m:accPr>
                <m:ctrlPr>
                  <w:rPr>
                    <w:rFonts w:ascii="Cambria Math" w:eastAsia="Times New Roman" w:hAnsi="Cambria Math" w:cs="Calibri"/>
                    <w:i/>
                  </w:rPr>
                </m:ctrlPr>
              </m:accPr>
              <m:e>
                <m:r>
                  <w:rPr>
                    <w:rFonts w:ascii="Cambria Math" w:eastAsia="Times New Roman" w:hAnsi="Cambria Math" w:cs="Calibri"/>
                  </w:rPr>
                  <m:t>p</m:t>
                </m:r>
              </m:e>
            </m:acc>
            <m:r>
              <w:rPr>
                <w:rFonts w:ascii="Cambria Math" w:eastAsia="Times New Roman" w:hAnsi="Cambria Math" w:cs="Calibri"/>
              </w:rPr>
              <m:t>)</m:t>
            </m:r>
          </m:num>
          <m:den>
            <m:sSup>
              <m:sSupPr>
                <m:ctrlPr>
                  <w:rPr>
                    <w:rFonts w:ascii="Cambria Math" w:eastAsia="Times New Roman" w:hAnsi="Cambria Math" w:cs="Calibri"/>
                    <w:i/>
                  </w:rPr>
                </m:ctrlPr>
              </m:sSupPr>
              <m:e>
                <m:r>
                  <w:rPr>
                    <w:rFonts w:ascii="Cambria Math" w:eastAsia="Times New Roman" w:hAnsi="Cambria Math" w:cs="Calibri"/>
                  </w:rPr>
                  <m:t>ε</m:t>
                </m:r>
              </m:e>
              <m:sup>
                <m:r>
                  <w:rPr>
                    <w:rFonts w:ascii="Cambria Math" w:eastAsia="Times New Roman" w:hAnsi="Cambria Math" w:cs="Calibri"/>
                  </w:rPr>
                  <m:t>2</m:t>
                </m:r>
              </m:sup>
            </m:sSup>
          </m:den>
        </m:f>
      </m:oMath>
    </w:p>
    <w:p w:rsidR="00BB6D53" w:rsidP="00BB6D53" w14:paraId="071CE71E" w14:textId="77777777">
      <w:pPr>
        <w:spacing w:after="0" w:line="360" w:lineRule="auto"/>
        <w:textAlignment w:val="baseline"/>
        <w:rPr>
          <w:rFonts w:ascii="Calibri" w:eastAsia="Times New Roman" w:hAnsi="Calibri" w:cs="Calibri"/>
        </w:rPr>
      </w:pPr>
    </w:p>
    <w:p w:rsidR="00BB6D53" w:rsidP="00BB6D53" w14:paraId="7ADB0BB0" w14:textId="77777777">
      <w:pPr>
        <w:spacing w:after="0" w:line="360" w:lineRule="auto"/>
        <w:textAlignment w:val="baseline"/>
        <w:rPr>
          <w:rFonts w:ascii="Calibri" w:eastAsia="Times New Roman" w:hAnsi="Calibri" w:cs="Calibri"/>
        </w:rPr>
      </w:pPr>
      <w:r>
        <w:rPr>
          <w:rFonts w:ascii="Calibri" w:eastAsia="Times New Roman" w:hAnsi="Calibri" w:cs="Calibri"/>
        </w:rPr>
        <w:t xml:space="preserve">Finite Population Correction - </w:t>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m:oMath>
        <m:sSup>
          <m:sSupPr>
            <m:ctrlPr>
              <w:rPr>
                <w:rFonts w:ascii="Cambria Math" w:eastAsia="Times New Roman" w:hAnsi="Cambria Math" w:cs="Calibri"/>
                <w:i/>
              </w:rPr>
            </m:ctrlPr>
          </m:sSupPr>
          <m:e>
            <m:r>
              <w:rPr>
                <w:rFonts w:ascii="Cambria Math" w:eastAsia="Times New Roman" w:hAnsi="Cambria Math" w:cs="Calibri"/>
              </w:rPr>
              <m:t>n</m:t>
            </m:r>
          </m:e>
          <m:sup>
            <m:r>
              <w:rPr>
                <w:rFonts w:ascii="Cambria Math" w:eastAsia="Times New Roman" w:hAnsi="Cambria Math" w:cs="Calibri"/>
              </w:rPr>
              <m:t>'</m:t>
            </m:r>
          </m:sup>
        </m:sSup>
        <m:r>
          <w:rPr>
            <w:rFonts w:ascii="Cambria Math" w:eastAsia="Times New Roman" w:hAnsi="Cambria Math" w:cs="Calibri"/>
          </w:rPr>
          <m:t>=</m:t>
        </m:r>
        <m:f>
          <m:fPr>
            <m:ctrlPr>
              <w:rPr>
                <w:rFonts w:ascii="Cambria Math" w:eastAsia="Times New Roman" w:hAnsi="Cambria Math" w:cs="Calibri"/>
                <w:i/>
              </w:rPr>
            </m:ctrlPr>
          </m:fPr>
          <m:num>
            <m:r>
              <w:rPr>
                <w:rFonts w:ascii="Cambria Math" w:eastAsia="Times New Roman" w:hAnsi="Cambria Math" w:cs="Calibri"/>
              </w:rPr>
              <m:t>n</m:t>
            </m:r>
          </m:num>
          <m:den>
            <m:r>
              <w:rPr>
                <w:rFonts w:ascii="Cambria Math" w:eastAsia="Times New Roman" w:hAnsi="Cambria Math" w:cs="Calibri"/>
              </w:rPr>
              <m:t>1+</m:t>
            </m:r>
            <m:f>
              <m:fPr>
                <m:ctrlPr>
                  <w:rPr>
                    <w:rFonts w:ascii="Cambria Math" w:eastAsia="Times New Roman" w:hAnsi="Cambria Math" w:cs="Calibri"/>
                    <w:i/>
                  </w:rPr>
                </m:ctrlPr>
              </m:fPr>
              <m:num>
                <m:sSup>
                  <m:sSupPr>
                    <m:ctrlPr>
                      <w:rPr>
                        <w:rFonts w:ascii="Cambria Math" w:eastAsia="Times New Roman" w:hAnsi="Cambria Math" w:cs="Calibri"/>
                        <w:i/>
                      </w:rPr>
                    </m:ctrlPr>
                  </m:sSupPr>
                  <m:e>
                    <m:r>
                      <w:rPr>
                        <w:rFonts w:ascii="Cambria Math" w:eastAsia="Times New Roman" w:hAnsi="Cambria Math" w:cs="Calibri"/>
                      </w:rPr>
                      <m:t>z</m:t>
                    </m:r>
                  </m:e>
                  <m:sup>
                    <m:r>
                      <w:rPr>
                        <w:rFonts w:ascii="Cambria Math" w:eastAsia="Times New Roman" w:hAnsi="Cambria Math" w:cs="Calibri"/>
                      </w:rPr>
                      <m:t>2*</m:t>
                    </m:r>
                  </m:sup>
                </m:sSup>
                <m:acc>
                  <m:accPr>
                    <m:ctrlPr>
                      <w:rPr>
                        <w:rFonts w:ascii="Cambria Math" w:eastAsia="Times New Roman" w:hAnsi="Cambria Math" w:cs="Calibri"/>
                        <w:i/>
                      </w:rPr>
                    </m:ctrlPr>
                  </m:accPr>
                  <m:e>
                    <m:r>
                      <w:rPr>
                        <w:rFonts w:ascii="Cambria Math" w:eastAsia="Times New Roman" w:hAnsi="Cambria Math" w:cs="Calibri"/>
                      </w:rPr>
                      <m:t>p</m:t>
                    </m:r>
                  </m:e>
                </m:acc>
                <m:r>
                  <w:rPr>
                    <w:rFonts w:ascii="Cambria Math" w:eastAsia="Times New Roman" w:hAnsi="Cambria Math" w:cs="Calibri"/>
                  </w:rPr>
                  <m:t>(1-</m:t>
                </m:r>
                <m:acc>
                  <m:accPr>
                    <m:ctrlPr>
                      <w:rPr>
                        <w:rFonts w:ascii="Cambria Math" w:eastAsia="Times New Roman" w:hAnsi="Cambria Math" w:cs="Calibri"/>
                        <w:i/>
                      </w:rPr>
                    </m:ctrlPr>
                  </m:accPr>
                  <m:e>
                    <m:r>
                      <w:rPr>
                        <w:rFonts w:ascii="Cambria Math" w:eastAsia="Times New Roman" w:hAnsi="Cambria Math" w:cs="Calibri"/>
                      </w:rPr>
                      <m:t>p</m:t>
                    </m:r>
                  </m:e>
                </m:acc>
                <m:r>
                  <w:rPr>
                    <w:rFonts w:ascii="Cambria Math" w:eastAsia="Times New Roman" w:hAnsi="Cambria Math" w:cs="Calibri"/>
                  </w:rPr>
                  <m:t>)</m:t>
                </m:r>
              </m:num>
              <m:den>
                <m:sSup>
                  <m:sSupPr>
                    <m:ctrlPr>
                      <w:rPr>
                        <w:rFonts w:ascii="Cambria Math" w:eastAsia="Times New Roman" w:hAnsi="Cambria Math" w:cs="Calibri"/>
                        <w:i/>
                      </w:rPr>
                    </m:ctrlPr>
                  </m:sSupPr>
                  <m:e>
                    <m:r>
                      <w:rPr>
                        <w:rFonts w:ascii="Cambria Math" w:eastAsia="Times New Roman" w:hAnsi="Cambria Math" w:cs="Calibri"/>
                      </w:rPr>
                      <m:t>ε</m:t>
                    </m:r>
                  </m:e>
                  <m:sup>
                    <m:r>
                      <w:rPr>
                        <w:rFonts w:ascii="Cambria Math" w:eastAsia="Times New Roman" w:hAnsi="Cambria Math" w:cs="Calibri"/>
                      </w:rPr>
                      <m:t>2</m:t>
                    </m:r>
                  </m:sup>
                </m:sSup>
                <m:r>
                  <w:rPr>
                    <w:rFonts w:ascii="Cambria Math" w:eastAsia="Times New Roman" w:hAnsi="Cambria Math" w:cs="Calibri"/>
                  </w:rPr>
                  <m:t>N</m:t>
                </m:r>
              </m:den>
            </m:f>
          </m:den>
        </m:f>
      </m:oMath>
    </w:p>
    <w:p w:rsidR="00BB6D53" w:rsidRPr="001007CC" w:rsidP="00BB6D53" w14:paraId="3244DF34" w14:textId="77777777">
      <w:pPr>
        <w:spacing w:after="0" w:line="360" w:lineRule="auto"/>
        <w:textAlignment w:val="baseline"/>
        <w:rPr>
          <w:rFonts w:ascii="Calibri" w:eastAsia="Times New Roman" w:hAnsi="Calibri" w:cs="Calibri"/>
        </w:rPr>
      </w:pPr>
      <w:r w:rsidRPr="001007CC">
        <w:rPr>
          <w:rFonts w:ascii="Calibri" w:eastAsia="Times New Roman" w:hAnsi="Calibri" w:cs="Calibri"/>
        </w:rPr>
        <w:t xml:space="preserve">Where: </w:t>
      </w:r>
    </w:p>
    <w:p w:rsidR="00BB6D53" w:rsidP="00BB6D53" w14:paraId="17339E5E" w14:textId="77777777">
      <w:pPr>
        <w:pStyle w:val="ListParagraph"/>
        <w:numPr>
          <w:ilvl w:val="0"/>
          <w:numId w:val="34"/>
        </w:numPr>
        <w:spacing w:line="360" w:lineRule="auto"/>
        <w:textAlignment w:val="baseline"/>
        <w:rPr>
          <w:rFonts w:eastAsia="Times New Roman"/>
        </w:rPr>
      </w:pPr>
      <w:r w:rsidRPr="003D4BB9">
        <w:rPr>
          <w:rFonts w:eastAsia="Times New Roman"/>
        </w:rPr>
        <w:t>Z score</w:t>
      </w:r>
      <w:r>
        <w:rPr>
          <w:rFonts w:eastAsia="Times New Roman"/>
        </w:rPr>
        <w:t xml:space="preserve"> (based on 0.95 Confidence Level):</w:t>
      </w:r>
      <w:r w:rsidRPr="003D4BB9">
        <w:rPr>
          <w:rFonts w:eastAsia="Times New Roman"/>
        </w:rPr>
        <w:t xml:space="preserve"> </w:t>
      </w:r>
      <w:r>
        <w:rPr>
          <w:rFonts w:eastAsia="Times New Roman"/>
        </w:rPr>
        <w:tab/>
      </w:r>
      <w:r>
        <w:rPr>
          <w:rFonts w:eastAsia="Times New Roman"/>
        </w:rPr>
        <w:tab/>
      </w:r>
      <w:r>
        <w:rPr>
          <w:rFonts w:eastAsia="Times New Roman"/>
        </w:rPr>
        <w:tab/>
      </w:r>
      <w:r w:rsidRPr="003D4BB9">
        <w:rPr>
          <w:rFonts w:eastAsia="Times New Roman"/>
        </w:rPr>
        <w:t xml:space="preserve">z = 1.96 </w:t>
      </w:r>
    </w:p>
    <w:p w:rsidR="00BB6D53" w:rsidP="00BB6D53" w14:paraId="324F32C6" w14:textId="77777777">
      <w:pPr>
        <w:pStyle w:val="ListParagraph"/>
        <w:numPr>
          <w:ilvl w:val="0"/>
          <w:numId w:val="34"/>
        </w:numPr>
        <w:spacing w:line="360" w:lineRule="auto"/>
        <w:textAlignment w:val="baseline"/>
        <w:rPr>
          <w:rFonts w:eastAsia="Times New Roman"/>
        </w:rPr>
      </w:pPr>
      <w:r>
        <w:rPr>
          <w:rFonts w:eastAsia="Times New Roman"/>
        </w:rPr>
        <w:t>Population Proportion:</w:t>
      </w:r>
      <w:r>
        <w:rPr>
          <w:rFonts w:eastAsia="Times New Roman"/>
        </w:rPr>
        <w:tab/>
      </w:r>
      <w:r>
        <w:rPr>
          <w:rFonts w:eastAsia="Times New Roman"/>
        </w:rPr>
        <w:tab/>
      </w:r>
      <w:r>
        <w:rPr>
          <w:rFonts w:eastAsia="Times New Roman"/>
        </w:rPr>
        <w:tab/>
      </w:r>
      <w:r>
        <w:rPr>
          <w:rFonts w:eastAsia="Times New Roman"/>
        </w:rPr>
        <w:tab/>
      </w:r>
      <w:r>
        <w:rPr>
          <w:rFonts w:eastAsia="Times New Roman"/>
        </w:rPr>
        <w:tab/>
      </w:r>
      <m:oMath>
        <m:acc>
          <m:accPr>
            <m:ctrlPr>
              <w:rPr>
                <w:rFonts w:ascii="Cambria Math" w:eastAsia="Times New Roman" w:hAnsi="Cambria Math"/>
                <w:i/>
              </w:rPr>
            </m:ctrlPr>
          </m:accPr>
          <m:e>
            <m:r>
              <w:rPr>
                <w:rFonts w:ascii="Cambria Math" w:eastAsia="Times New Roman" w:hAnsi="Cambria Math"/>
              </w:rPr>
              <m:t>p</m:t>
            </m:r>
          </m:e>
        </m:acc>
      </m:oMath>
      <w:r w:rsidRPr="003D4BB9">
        <w:rPr>
          <w:rFonts w:eastAsia="Times New Roman"/>
        </w:rPr>
        <w:t xml:space="preserve"> = 0.5 </w:t>
      </w:r>
    </w:p>
    <w:p w:rsidR="00BB6D53" w:rsidRPr="00683675" w:rsidP="00BB6D53" w14:paraId="235B995E" w14:textId="77777777">
      <w:pPr>
        <w:pStyle w:val="ListParagraph"/>
        <w:numPr>
          <w:ilvl w:val="0"/>
          <w:numId w:val="34"/>
        </w:numPr>
        <w:spacing w:line="360" w:lineRule="auto"/>
        <w:textAlignment w:val="baseline"/>
        <w:rPr>
          <w:rFonts w:eastAsia="Times New Roman"/>
        </w:rPr>
      </w:pPr>
      <w:r>
        <w:rPr>
          <w:rFonts w:eastAsia="Times New Roman"/>
        </w:rPr>
        <w:t xml:space="preserve">Population Size: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474FF3">
        <w:rPr>
          <w:rFonts w:eastAsia="Times New Roman"/>
        </w:rPr>
        <w:t>N = 467,320</w:t>
      </w:r>
    </w:p>
    <w:p w:rsidR="00BB6D53" w:rsidRPr="00683675" w:rsidP="00BB6D53" w14:paraId="0C1770E9" w14:textId="77777777">
      <w:pPr>
        <w:pStyle w:val="ListParagraph"/>
        <w:numPr>
          <w:ilvl w:val="0"/>
          <w:numId w:val="32"/>
        </w:numPr>
        <w:spacing w:line="360" w:lineRule="auto"/>
        <w:textAlignment w:val="baseline"/>
        <w:rPr>
          <w:rFonts w:eastAsia="Times New Roman"/>
        </w:rPr>
      </w:pPr>
      <w:r>
        <w:rPr>
          <w:rFonts w:eastAsia="Times New Roman"/>
        </w:rPr>
        <w:t xml:space="preserve">       Margin of error: </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ɛ</w:t>
      </w:r>
      <w:r w:rsidRPr="00683675">
        <w:rPr>
          <w:rFonts w:eastAsia="Times New Roman"/>
        </w:rPr>
        <w:t xml:space="preserve"> = 0.05</w:t>
      </w:r>
    </w:p>
    <w:p w:rsidR="00BB6D53" w:rsidRPr="001007CC" w:rsidP="00BB6D53" w14:paraId="7A53523D" w14:textId="77777777">
      <w:pPr>
        <w:spacing w:after="0" w:line="360" w:lineRule="auto"/>
        <w:textAlignment w:val="baseline"/>
        <w:rPr>
          <w:rFonts w:ascii="Calibri" w:eastAsia="Times New Roman" w:hAnsi="Calibri" w:cs="Calibri"/>
        </w:rPr>
      </w:pPr>
    </w:p>
    <w:p w:rsidR="00BB6D53" w:rsidP="00BB6D53" w14:paraId="6986E5D2" w14:textId="77777777">
      <w:pPr>
        <w:spacing w:after="0" w:line="360" w:lineRule="auto"/>
        <w:textAlignment w:val="baseline"/>
        <w:rPr>
          <w:rFonts w:ascii="Calibri" w:eastAsia="Times New Roman" w:hAnsi="Calibri" w:cs="Calibri"/>
        </w:rPr>
      </w:pPr>
      <w:r>
        <w:rPr>
          <w:rFonts w:ascii="Calibri" w:eastAsia="Times New Roman" w:hAnsi="Calibri" w:cs="Calibri"/>
        </w:rPr>
        <w:t xml:space="preserve">Given the equations and values above the finite population correction </w:t>
      </w:r>
      <w:r w:rsidRPr="00683675">
        <w:rPr>
          <w:rFonts w:ascii="Calibri" w:eastAsia="Times New Roman" w:hAnsi="Calibri" w:cs="Calibri"/>
          <w:i/>
          <w:iCs/>
        </w:rPr>
        <w:t>n’</w:t>
      </w:r>
      <w:r>
        <w:rPr>
          <w:rFonts w:ascii="Calibri" w:eastAsia="Times New Roman" w:hAnsi="Calibri" w:cs="Calibri"/>
        </w:rPr>
        <w:t xml:space="preserve"> = 384.</w:t>
      </w:r>
    </w:p>
    <w:p w:rsidR="00BB6D53" w:rsidP="00BB6D53" w14:paraId="772B8646" w14:textId="77777777">
      <w:pPr>
        <w:spacing w:after="0" w:line="360" w:lineRule="auto"/>
        <w:textAlignment w:val="baseline"/>
        <w:rPr>
          <w:rFonts w:ascii="Calibri" w:eastAsia="Times New Roman" w:hAnsi="Calibri" w:cs="Calibri"/>
        </w:rPr>
      </w:pPr>
    </w:p>
    <w:p w:rsidR="0054364E" w:rsidP="00900BC0" w14:paraId="673D1858" w14:textId="635436CD">
      <w:pPr>
        <w:spacing w:after="0" w:line="360" w:lineRule="auto"/>
        <w:textAlignment w:val="baseline"/>
        <w:rPr>
          <w:rFonts w:ascii="Calibri" w:eastAsia="Times New Roman" w:hAnsi="Calibri" w:cs="Calibri"/>
        </w:rPr>
      </w:pPr>
      <w:r>
        <w:rPr>
          <w:rFonts w:ascii="Calibri" w:eastAsia="Times New Roman" w:hAnsi="Calibri" w:cs="Calibri"/>
        </w:rPr>
        <w:t xml:space="preserve">For the remaining </w:t>
      </w:r>
      <w:r w:rsidR="007479A8">
        <w:rPr>
          <w:rFonts w:ascii="Calibri" w:eastAsia="Times New Roman" w:hAnsi="Calibri" w:cs="Calibri"/>
        </w:rPr>
        <w:t>three</w:t>
      </w:r>
      <w:r>
        <w:rPr>
          <w:rFonts w:ascii="Calibri" w:eastAsia="Times New Roman" w:hAnsi="Calibri" w:cs="Calibri"/>
        </w:rPr>
        <w:t xml:space="preserve"> parks, we will target approximately 800 returned mail-back surveys per park; these are considered Increased Effort Units.</w:t>
      </w:r>
      <w:r w:rsidR="005D1C54">
        <w:rPr>
          <w:rFonts w:ascii="Calibri" w:eastAsia="Times New Roman" w:hAnsi="Calibri" w:cs="Calibri"/>
        </w:rPr>
        <w:t xml:space="preserve"> A discussion </w:t>
      </w:r>
      <w:r w:rsidR="008E7536">
        <w:rPr>
          <w:rFonts w:ascii="Calibri" w:eastAsia="Times New Roman" w:hAnsi="Calibri" w:cs="Calibri"/>
        </w:rPr>
        <w:t>Normal and Increase Efforts Units was included in question 1 above.</w:t>
      </w:r>
      <w:r>
        <w:rPr>
          <w:rFonts w:ascii="Calibri" w:eastAsia="Times New Roman" w:hAnsi="Calibri" w:cs="Calibri"/>
        </w:rPr>
        <w:t xml:space="preserve">  </w:t>
      </w:r>
      <w:r w:rsidR="00900BC0">
        <w:rPr>
          <w:rFonts w:ascii="Calibri" w:eastAsia="Times New Roman" w:hAnsi="Calibri" w:cs="Calibri"/>
        </w:rPr>
        <w:t>In both cases, these</w:t>
      </w:r>
      <w:r w:rsidR="00D130D9">
        <w:rPr>
          <w:rFonts w:ascii="Calibri" w:eastAsia="Times New Roman" w:hAnsi="Calibri" w:cs="Calibri"/>
        </w:rPr>
        <w:t xml:space="preserve"> sample sizes are large enough to achieve a 95% confidence level with sampling errors at +</w:t>
      </w:r>
      <w:r w:rsidR="001D4111">
        <w:rPr>
          <w:rFonts w:ascii="Calibri" w:eastAsia="Times New Roman" w:hAnsi="Calibri" w:cs="Calibri"/>
        </w:rPr>
        <w:t>/- 5% for each park unit</w:t>
      </w:r>
      <w:r w:rsidR="005E32D5">
        <w:rPr>
          <w:rFonts w:ascii="Calibri" w:eastAsia="Times New Roman" w:hAnsi="Calibri" w:cs="Calibri"/>
        </w:rPr>
        <w:t xml:space="preserve"> (or subsections within Increased Effort Units)</w:t>
      </w:r>
      <w:r w:rsidR="001D4111">
        <w:rPr>
          <w:rFonts w:ascii="Calibri" w:eastAsia="Times New Roman" w:hAnsi="Calibri" w:cs="Calibri"/>
        </w:rPr>
        <w:t xml:space="preserve">. For </w:t>
      </w:r>
      <w:r w:rsidR="001D4111">
        <w:rPr>
          <w:rFonts w:ascii="Calibri" w:eastAsia="Times New Roman" w:hAnsi="Calibri" w:cs="Calibri"/>
        </w:rPr>
        <w:t xml:space="preserve">human dimensions of natural resource studies, this </w:t>
      </w:r>
      <w:r w:rsidR="00422B0E">
        <w:rPr>
          <w:rFonts w:ascii="Calibri" w:eastAsia="Times New Roman" w:hAnsi="Calibri" w:cs="Calibri"/>
        </w:rPr>
        <w:t>confidence level and sampling error is sufficient for creating reliable data that can be generalized to the larger population of interest</w:t>
      </w:r>
      <w:r w:rsidR="000C6002">
        <w:rPr>
          <w:rFonts w:ascii="Calibri" w:eastAsia="Times New Roman" w:hAnsi="Calibri" w:cs="Calibri"/>
        </w:rPr>
        <w:t xml:space="preserve"> (</w:t>
      </w:r>
      <w:r w:rsidR="000C6002">
        <w:rPr>
          <w:rFonts w:ascii="Calibri" w:eastAsia="Times New Roman" w:hAnsi="Calibri" w:cs="Calibri"/>
        </w:rPr>
        <w:t>Vaske</w:t>
      </w:r>
      <w:r w:rsidR="000C6002">
        <w:rPr>
          <w:rFonts w:ascii="Calibri" w:eastAsia="Times New Roman" w:hAnsi="Calibri" w:cs="Calibri"/>
        </w:rPr>
        <w:t>, 2019)</w:t>
      </w:r>
      <w:r w:rsidR="00422B0E">
        <w:rPr>
          <w:rFonts w:ascii="Calibri" w:eastAsia="Times New Roman" w:hAnsi="Calibri" w:cs="Calibri"/>
        </w:rPr>
        <w:t xml:space="preserve">. </w:t>
      </w:r>
    </w:p>
    <w:p w:rsidR="0030601C" w:rsidP="00900BC0" w14:paraId="53758649" w14:textId="77777777">
      <w:pPr>
        <w:spacing w:after="0" w:line="360" w:lineRule="auto"/>
        <w:textAlignment w:val="baseline"/>
        <w:rPr>
          <w:rFonts w:ascii="Calibri" w:eastAsia="Times New Roman" w:hAnsi="Calibri" w:cs="Calibri"/>
        </w:rPr>
      </w:pPr>
    </w:p>
    <w:p w:rsidR="008C2A4C" w:rsidRPr="00E100E3" w:rsidP="00900BC0" w14:paraId="611F4CD9" w14:textId="208028AB">
      <w:pPr>
        <w:spacing w:after="0" w:line="360" w:lineRule="auto"/>
        <w:textAlignment w:val="baseline"/>
        <w:rPr>
          <w:rFonts w:ascii="Calibri" w:eastAsia="Times New Roman" w:hAnsi="Calibri" w:cs="Calibri"/>
          <w:b/>
          <w:bCs/>
          <w:i/>
          <w:iCs/>
        </w:rPr>
      </w:pPr>
      <w:r>
        <w:rPr>
          <w:rFonts w:ascii="Calibri" w:eastAsia="Times New Roman" w:hAnsi="Calibri" w:cs="Calibri"/>
          <w:b/>
          <w:bCs/>
          <w:i/>
          <w:iCs/>
        </w:rPr>
        <w:t>2</w:t>
      </w:r>
      <w:r w:rsidRPr="00676BAB" w:rsidR="00DE3169">
        <w:rPr>
          <w:rFonts w:ascii="Calibri" w:eastAsia="Times New Roman" w:hAnsi="Calibri" w:cs="Calibri"/>
          <w:b/>
          <w:bCs/>
          <w:i/>
          <w:iCs/>
        </w:rPr>
        <w:t xml:space="preserve">.3.1 </w:t>
      </w:r>
      <w:r w:rsidR="00CC11F0">
        <w:rPr>
          <w:rFonts w:ascii="Calibri" w:eastAsia="Times New Roman" w:hAnsi="Calibri" w:cs="Calibri"/>
          <w:b/>
          <w:bCs/>
          <w:i/>
          <w:iCs/>
        </w:rPr>
        <w:t>Willingness to Pay (WTP)</w:t>
      </w:r>
      <w:r w:rsidRPr="00676BAB" w:rsidR="002B6029">
        <w:rPr>
          <w:rFonts w:ascii="Calibri" w:eastAsia="Times New Roman" w:hAnsi="Calibri" w:cs="Calibri"/>
          <w:b/>
          <w:bCs/>
          <w:i/>
          <w:iCs/>
        </w:rPr>
        <w:t xml:space="preserve"> Question</w:t>
      </w:r>
    </w:p>
    <w:p w:rsidR="00503220" w:rsidRPr="00BF369E" w:rsidP="0045722C" w14:paraId="2DD261A9" w14:textId="6FA4E6C2">
      <w:pPr>
        <w:pStyle w:val="NoSpacing"/>
        <w:spacing w:line="360" w:lineRule="auto"/>
      </w:pPr>
      <w:r>
        <w:t xml:space="preserve">The exception to the above </w:t>
      </w:r>
      <w:r w:rsidR="00CD5FFC">
        <w:t>estimation and degree of accuracy information is t</w:t>
      </w:r>
      <w:r w:rsidR="00B36562">
        <w:t xml:space="preserve">he </w:t>
      </w:r>
      <w:r w:rsidR="00607921">
        <w:t>willingness to pay</w:t>
      </w:r>
      <w:r w:rsidR="00B36562">
        <w:t xml:space="preserve"> question</w:t>
      </w:r>
      <w:r w:rsidR="00047B86">
        <w:t xml:space="preserve">. </w:t>
      </w:r>
      <w:r w:rsidR="009717AA">
        <w:t>The question, i</w:t>
      </w:r>
      <w:r w:rsidR="00DA4C96">
        <w:t>ts method of estimation</w:t>
      </w:r>
      <w:r w:rsidR="00676BAB">
        <w:t>,</w:t>
      </w:r>
      <w:r w:rsidR="00E753BC">
        <w:t xml:space="preserve"> and </w:t>
      </w:r>
      <w:r w:rsidR="00B36562">
        <w:t>associated justification is presented below:</w:t>
      </w:r>
    </w:p>
    <w:p w:rsidR="00843B70" w:rsidRPr="00047B86" w:rsidP="00047B86" w14:paraId="4F01E5BB" w14:textId="7BC9E97A">
      <w:pPr>
        <w:keepNext/>
        <w:keepLines/>
        <w:pBdr>
          <w:top w:val="single" w:sz="4" w:space="1" w:color="auto"/>
          <w:left w:val="single" w:sz="4" w:space="4" w:color="auto"/>
          <w:bottom w:val="single" w:sz="4" w:space="1" w:color="auto"/>
          <w:right w:val="single" w:sz="4" w:space="4" w:color="auto"/>
        </w:pBdr>
        <w:shd w:val="clear" w:color="auto" w:fill="B6DDE8" w:themeFill="accent5" w:themeFillTint="66"/>
        <w:spacing w:before="360"/>
        <w:rPr>
          <w:rFonts w:eastAsia="MS Mincho"/>
          <w:i/>
          <w:iCs/>
        </w:rPr>
      </w:pPr>
      <w:bookmarkStart w:id="4" w:name="_Hlk121722696"/>
      <w:r>
        <w:rPr>
          <w:rFonts w:eastAsia="MS Mincho"/>
          <w:i/>
          <w:iCs/>
        </w:rPr>
        <w:t xml:space="preserve">Willingness to pay </w:t>
      </w:r>
      <w:r w:rsidR="003E05EB">
        <w:rPr>
          <w:rFonts w:eastAsia="MS Mincho"/>
          <w:i/>
          <w:iCs/>
        </w:rPr>
        <w:t xml:space="preserve">(WTP) </w:t>
      </w:r>
      <w:r>
        <w:rPr>
          <w:rFonts w:eastAsia="MS Mincho"/>
          <w:i/>
          <w:iCs/>
        </w:rPr>
        <w:t xml:space="preserve">questions are used to determine the overall valuation respondents place on their visit to </w:t>
      </w:r>
      <w:r w:rsidR="00533FC6">
        <w:rPr>
          <w:rFonts w:eastAsia="MS Mincho"/>
          <w:i/>
          <w:iCs/>
        </w:rPr>
        <w:t>an</w:t>
      </w:r>
      <w:r>
        <w:rPr>
          <w:rFonts w:eastAsia="MS Mincho"/>
          <w:i/>
          <w:iCs/>
        </w:rPr>
        <w:t xml:space="preserve"> NPS unit.</w:t>
      </w:r>
      <w:r w:rsidR="00533FC6">
        <w:rPr>
          <w:rFonts w:eastAsia="MS Mincho"/>
          <w:i/>
          <w:iCs/>
        </w:rPr>
        <w:t xml:space="preserve"> No other question contained in the survey </w:t>
      </w:r>
      <w:r w:rsidR="00607921">
        <w:rPr>
          <w:rFonts w:eastAsia="MS Mincho"/>
          <w:i/>
          <w:iCs/>
        </w:rPr>
        <w:t>can</w:t>
      </w:r>
      <w:r w:rsidR="00533FC6">
        <w:rPr>
          <w:rFonts w:eastAsia="MS Mincho"/>
          <w:i/>
          <w:iCs/>
        </w:rPr>
        <w:t xml:space="preserve"> effectively achieve the level of economic information as the </w:t>
      </w:r>
      <w:r w:rsidR="00533FC6">
        <w:rPr>
          <w:rFonts w:eastAsia="MS Mincho"/>
          <w:i/>
          <w:iCs/>
        </w:rPr>
        <w:t xml:space="preserve">proposed </w:t>
      </w:r>
      <w:r w:rsidRPr="51602319" w:rsidR="4974892F">
        <w:rPr>
          <w:rFonts w:eastAsia="MS Mincho"/>
          <w:i/>
          <w:iCs/>
        </w:rPr>
        <w:t xml:space="preserve"> </w:t>
      </w:r>
      <w:r w:rsidR="003E05EB">
        <w:rPr>
          <w:rFonts w:eastAsia="MS Mincho"/>
          <w:i/>
          <w:iCs/>
        </w:rPr>
        <w:t>WTP</w:t>
      </w:r>
      <w:r w:rsidR="003E05EB">
        <w:rPr>
          <w:rFonts w:eastAsia="MS Mincho"/>
          <w:i/>
          <w:iCs/>
        </w:rPr>
        <w:t xml:space="preserve"> </w:t>
      </w:r>
      <w:r w:rsidRPr="51602319" w:rsidR="4974892F">
        <w:rPr>
          <w:rFonts w:eastAsia="MS Mincho"/>
          <w:i/>
          <w:iCs/>
        </w:rPr>
        <w:t>question</w:t>
      </w:r>
      <w:r w:rsidRPr="51602319" w:rsidR="00533FC6">
        <w:rPr>
          <w:rFonts w:eastAsia="MS Mincho"/>
          <w:i/>
          <w:iCs/>
        </w:rPr>
        <w:t>.</w:t>
      </w:r>
      <w:r w:rsidR="00533FC6">
        <w:rPr>
          <w:rFonts w:eastAsia="MS Mincho"/>
          <w:i/>
          <w:iCs/>
        </w:rPr>
        <w:t xml:space="preserve"> </w:t>
      </w:r>
      <w:r>
        <w:rPr>
          <w:rFonts w:eastAsia="MS Mincho"/>
          <w:i/>
          <w:iCs/>
        </w:rPr>
        <w:t>The information collected in this question will provide</w:t>
      </w:r>
      <w:r w:rsidR="00A81F97">
        <w:rPr>
          <w:rFonts w:eastAsia="MS Mincho"/>
          <w:i/>
          <w:iCs/>
        </w:rPr>
        <w:t xml:space="preserve"> the</w:t>
      </w:r>
      <w:r>
        <w:rPr>
          <w:rFonts w:eastAsia="MS Mincho"/>
          <w:i/>
          <w:iCs/>
        </w:rPr>
        <w:t xml:space="preserve"> NPS with a more complete understanding of the value park visitors </w:t>
      </w:r>
      <w:r w:rsidR="001E7EEB">
        <w:rPr>
          <w:rFonts w:eastAsia="MS Mincho"/>
          <w:i/>
          <w:iCs/>
        </w:rPr>
        <w:t xml:space="preserve">place </w:t>
      </w:r>
      <w:r>
        <w:rPr>
          <w:rFonts w:eastAsia="MS Mincho"/>
          <w:i/>
          <w:iCs/>
        </w:rPr>
        <w:t>on their trips</w:t>
      </w:r>
      <w:r w:rsidR="00785DCD">
        <w:rPr>
          <w:rFonts w:eastAsia="MS Mincho"/>
          <w:i/>
          <w:iCs/>
        </w:rPr>
        <w:t>. Furthermore, it will provide NPS managers with</w:t>
      </w:r>
      <w:r w:rsidR="00533FC6">
        <w:rPr>
          <w:rFonts w:eastAsia="MS Mincho"/>
          <w:i/>
          <w:iCs/>
        </w:rPr>
        <w:t xml:space="preserve"> </w:t>
      </w:r>
      <w:r w:rsidR="001E7EEB">
        <w:rPr>
          <w:rFonts w:eastAsia="MS Mincho"/>
          <w:i/>
          <w:iCs/>
        </w:rPr>
        <w:t>vital</w:t>
      </w:r>
      <w:r w:rsidR="00533FC6">
        <w:rPr>
          <w:rFonts w:eastAsia="MS Mincho"/>
          <w:i/>
          <w:iCs/>
        </w:rPr>
        <w:t xml:space="preserve"> information leading to a demonstration of return on investment in preserving and maintaining various park units</w:t>
      </w:r>
      <w:r>
        <w:rPr>
          <w:rFonts w:eastAsia="MS Mincho"/>
          <w:i/>
          <w:iCs/>
        </w:rPr>
        <w:t>. The question format used (</w:t>
      </w:r>
      <w:r w:rsidRPr="4E2108FE" w:rsidR="61359B06">
        <w:rPr>
          <w:rFonts w:eastAsia="MS Mincho"/>
          <w:i/>
          <w:iCs/>
        </w:rPr>
        <w:t>dichotomous choice</w:t>
      </w:r>
      <w:r>
        <w:rPr>
          <w:rFonts w:eastAsia="MS Mincho"/>
          <w:i/>
          <w:iCs/>
        </w:rPr>
        <w:t>) is a familiar construct that imposes little in the way of cognitive burden on respondents.</w:t>
      </w:r>
      <w:bookmarkEnd w:id="4"/>
      <w:r w:rsidR="00E23848">
        <w:rPr>
          <w:rFonts w:eastAsia="MS Mincho"/>
          <w:i/>
          <w:iCs/>
        </w:rPr>
        <w:t xml:space="preserve"> </w:t>
      </w:r>
      <w:r w:rsidRPr="0065307A" w:rsidR="0065307A">
        <w:rPr>
          <w:rFonts w:eastAsia="MS Mincho"/>
          <w:i/>
          <w:iCs/>
        </w:rPr>
        <w:t>Two sets of bid amounts were developed for thi</w:t>
      </w:r>
      <w:r w:rsidR="00773865">
        <w:rPr>
          <w:rFonts w:eastAsia="MS Mincho"/>
          <w:i/>
          <w:iCs/>
        </w:rPr>
        <w:t>s</w:t>
      </w:r>
      <w:r w:rsidRPr="0065307A" w:rsidR="0065307A">
        <w:rPr>
          <w:rFonts w:eastAsia="MS Mincho"/>
          <w:i/>
          <w:iCs/>
        </w:rPr>
        <w:t xml:space="preserve"> question - one characterized by slightly </w:t>
      </w:r>
      <w:r w:rsidR="00773865">
        <w:rPr>
          <w:rFonts w:eastAsia="MS Mincho"/>
          <w:i/>
          <w:iCs/>
        </w:rPr>
        <w:t>higher</w:t>
      </w:r>
      <w:r w:rsidRPr="0065307A" w:rsidR="0065307A">
        <w:rPr>
          <w:rFonts w:eastAsia="MS Mincho"/>
          <w:i/>
          <w:iCs/>
        </w:rPr>
        <w:t xml:space="preserve"> dollar amounts ranging from $</w:t>
      </w:r>
      <w:r w:rsidR="006656B4">
        <w:rPr>
          <w:rFonts w:eastAsia="MS Mincho"/>
          <w:i/>
          <w:iCs/>
        </w:rPr>
        <w:t>5</w:t>
      </w:r>
      <w:r w:rsidRPr="0065307A" w:rsidR="0065307A">
        <w:rPr>
          <w:rFonts w:eastAsia="MS Mincho"/>
          <w:i/>
          <w:iCs/>
        </w:rPr>
        <w:t xml:space="preserve"> to $</w:t>
      </w:r>
      <w:r w:rsidR="00773865">
        <w:rPr>
          <w:rFonts w:eastAsia="MS Mincho"/>
          <w:i/>
          <w:iCs/>
        </w:rPr>
        <w:t xml:space="preserve">2000 </w:t>
      </w:r>
      <w:r w:rsidRPr="0065307A" w:rsidR="0065307A">
        <w:rPr>
          <w:rFonts w:eastAsia="MS Mincho"/>
          <w:i/>
          <w:iCs/>
        </w:rPr>
        <w:t xml:space="preserve">to be </w:t>
      </w:r>
      <w:r w:rsidR="00773865">
        <w:rPr>
          <w:rFonts w:eastAsia="MS Mincho"/>
          <w:i/>
          <w:iCs/>
        </w:rPr>
        <w:t>asked at</w:t>
      </w:r>
      <w:r w:rsidRPr="0065307A" w:rsidR="0065307A">
        <w:rPr>
          <w:rFonts w:eastAsia="MS Mincho"/>
          <w:i/>
          <w:iCs/>
        </w:rPr>
        <w:t xml:space="preserve"> parks that have</w:t>
      </w:r>
      <w:r w:rsidR="00773865">
        <w:rPr>
          <w:rFonts w:eastAsia="MS Mincho"/>
          <w:i/>
          <w:iCs/>
        </w:rPr>
        <w:t xml:space="preserve"> overnight use</w:t>
      </w:r>
      <w:r w:rsidR="008309C0">
        <w:rPr>
          <w:rFonts w:eastAsia="MS Mincho"/>
          <w:i/>
          <w:iCs/>
        </w:rPr>
        <w:t xml:space="preserve"> (version A)</w:t>
      </w:r>
      <w:r w:rsidRPr="0065307A" w:rsidR="0065307A">
        <w:rPr>
          <w:rFonts w:eastAsia="MS Mincho"/>
          <w:i/>
          <w:iCs/>
        </w:rPr>
        <w:t xml:space="preserve">, and another with slightly </w:t>
      </w:r>
      <w:r w:rsidR="00773865">
        <w:rPr>
          <w:rFonts w:eastAsia="MS Mincho"/>
          <w:i/>
          <w:iCs/>
        </w:rPr>
        <w:t>lower</w:t>
      </w:r>
      <w:r w:rsidRPr="0065307A" w:rsidR="0065307A">
        <w:rPr>
          <w:rFonts w:eastAsia="MS Mincho"/>
          <w:i/>
          <w:iCs/>
        </w:rPr>
        <w:t xml:space="preserve"> dollar amounts ranging from $</w:t>
      </w:r>
      <w:r w:rsidR="006656B4">
        <w:rPr>
          <w:rFonts w:eastAsia="MS Mincho"/>
          <w:i/>
          <w:iCs/>
        </w:rPr>
        <w:t>5</w:t>
      </w:r>
      <w:r w:rsidRPr="0065307A" w:rsidR="0065307A">
        <w:rPr>
          <w:rFonts w:eastAsia="MS Mincho"/>
          <w:i/>
          <w:iCs/>
        </w:rPr>
        <w:t xml:space="preserve"> to </w:t>
      </w:r>
      <w:r w:rsidR="008309C0">
        <w:rPr>
          <w:rFonts w:eastAsia="MS Mincho"/>
          <w:i/>
          <w:iCs/>
        </w:rPr>
        <w:t>$</w:t>
      </w:r>
      <w:r w:rsidR="00773865">
        <w:rPr>
          <w:rFonts w:eastAsia="MS Mincho"/>
          <w:i/>
          <w:iCs/>
        </w:rPr>
        <w:t>750</w:t>
      </w:r>
      <w:r w:rsidRPr="0065307A" w:rsidR="0065307A">
        <w:rPr>
          <w:rFonts w:eastAsia="MS Mincho"/>
          <w:i/>
          <w:iCs/>
        </w:rPr>
        <w:t xml:space="preserve"> to be </w:t>
      </w:r>
      <w:r w:rsidR="00773865">
        <w:rPr>
          <w:rFonts w:eastAsia="MS Mincho"/>
          <w:i/>
          <w:iCs/>
        </w:rPr>
        <w:t>asked at</w:t>
      </w:r>
      <w:r w:rsidRPr="0065307A" w:rsidR="0065307A">
        <w:rPr>
          <w:rFonts w:eastAsia="MS Mincho"/>
          <w:i/>
          <w:iCs/>
        </w:rPr>
        <w:t xml:space="preserve"> parks </w:t>
      </w:r>
      <w:r w:rsidR="00773865">
        <w:rPr>
          <w:rFonts w:eastAsia="MS Mincho"/>
          <w:i/>
          <w:iCs/>
        </w:rPr>
        <w:t>that have primarily day use</w:t>
      </w:r>
      <w:r w:rsidR="008309C0">
        <w:rPr>
          <w:rFonts w:eastAsia="MS Mincho"/>
          <w:i/>
          <w:iCs/>
        </w:rPr>
        <w:t xml:space="preserve"> (version B)</w:t>
      </w:r>
      <w:r w:rsidRPr="0065307A" w:rsidR="0065307A">
        <w:rPr>
          <w:rFonts w:eastAsia="MS Mincho"/>
          <w:i/>
          <w:iCs/>
        </w:rPr>
        <w:t>.</w:t>
      </w:r>
      <w:r w:rsidRPr="00B90DD7" w:rsidR="00B90DD7">
        <w:t xml:space="preserve"> </w:t>
      </w:r>
      <w:r w:rsidRPr="00B90DD7" w:rsidR="00B90DD7">
        <w:rPr>
          <w:rFonts w:eastAsia="MS Mincho"/>
          <w:i/>
          <w:iCs/>
        </w:rPr>
        <w:t xml:space="preserve">The full list of bid amounts for each version (A and B) are </w:t>
      </w:r>
      <w:r w:rsidR="00B90DD7">
        <w:rPr>
          <w:rFonts w:eastAsia="MS Mincho"/>
          <w:i/>
          <w:iCs/>
        </w:rPr>
        <w:t xml:space="preserve">also </w:t>
      </w:r>
      <w:r w:rsidRPr="00B90DD7" w:rsidR="00B90DD7">
        <w:rPr>
          <w:rFonts w:eastAsia="MS Mincho"/>
          <w:i/>
          <w:iCs/>
        </w:rPr>
        <w:t xml:space="preserve">included in the grayed annotation box </w:t>
      </w:r>
      <w:r w:rsidR="005775A6">
        <w:rPr>
          <w:rFonts w:eastAsia="MS Mincho"/>
          <w:i/>
          <w:iCs/>
        </w:rPr>
        <w:t>preceding</w:t>
      </w:r>
      <w:r w:rsidRPr="00B90DD7" w:rsidR="00B90DD7">
        <w:rPr>
          <w:rFonts w:eastAsia="MS Mincho"/>
          <w:i/>
          <w:iCs/>
        </w:rPr>
        <w:t xml:space="preserve"> Question 17 on the intercept survey</w:t>
      </w:r>
      <w:r w:rsidR="002F200D">
        <w:rPr>
          <w:rFonts w:eastAsia="MS Mincho"/>
          <w:i/>
          <w:iCs/>
        </w:rPr>
        <w:t>.</w:t>
      </w:r>
    </w:p>
    <w:p w:rsidR="00ED7F69" w:rsidP="00FF2D2A" w14:paraId="23002300" w14:textId="231655F8">
      <w:pPr>
        <w:tabs>
          <w:tab w:val="left" w:pos="540"/>
          <w:tab w:val="left" w:pos="1440"/>
        </w:tabs>
        <w:spacing w:line="252" w:lineRule="auto"/>
        <w:ind w:left="540" w:right="20" w:hanging="540"/>
        <w:rPr>
          <w:rFonts w:eastAsia="Calibri"/>
          <w:b/>
          <w:bCs/>
        </w:rPr>
      </w:pPr>
      <w:bookmarkStart w:id="5" w:name="_Hlk187160676"/>
      <w:r>
        <w:rPr>
          <w:rFonts w:eastAsia="Calibri"/>
          <w:b/>
          <w:bCs/>
        </w:rPr>
        <w:t>Version A</w:t>
      </w:r>
      <w:r>
        <w:rPr>
          <w:rFonts w:eastAsia="Calibri"/>
          <w:b/>
          <w:bCs/>
        </w:rPr>
        <w:t xml:space="preserve"> of the question (for </w:t>
      </w:r>
      <w:r w:rsidR="008C5C69">
        <w:rPr>
          <w:rFonts w:eastAsia="Calibri"/>
          <w:b/>
          <w:bCs/>
        </w:rPr>
        <w:t xml:space="preserve">parks </w:t>
      </w:r>
      <w:r w:rsidR="009E365A">
        <w:rPr>
          <w:rFonts w:eastAsia="Calibri"/>
          <w:b/>
          <w:bCs/>
        </w:rPr>
        <w:t>that have</w:t>
      </w:r>
      <w:r w:rsidR="008C5C69">
        <w:rPr>
          <w:rFonts w:eastAsia="Calibri"/>
          <w:b/>
          <w:bCs/>
        </w:rPr>
        <w:t xml:space="preserve"> </w:t>
      </w:r>
      <w:r w:rsidR="009E365A">
        <w:rPr>
          <w:rFonts w:eastAsia="Calibri"/>
          <w:b/>
          <w:bCs/>
        </w:rPr>
        <w:t>overnight use</w:t>
      </w:r>
      <w:r w:rsidR="008C5C69">
        <w:rPr>
          <w:rFonts w:eastAsia="Calibri"/>
          <w:b/>
          <w:bCs/>
        </w:rPr>
        <w:t xml:space="preserve">) </w:t>
      </w:r>
      <w:r>
        <w:rPr>
          <w:rFonts w:eastAsia="Calibri"/>
          <w:b/>
          <w:bCs/>
        </w:rPr>
        <w:t>is as follows:</w:t>
      </w:r>
      <w:r w:rsidR="008B2016">
        <w:rPr>
          <w:rFonts w:eastAsia="Calibri"/>
          <w:b/>
          <w:bCs/>
        </w:rPr>
        <w:tab/>
      </w:r>
    </w:p>
    <w:p w:rsidR="0005382B" w:rsidP="00FF2D2A" w14:paraId="4B1891BA" w14:textId="32F98484">
      <w:pPr>
        <w:tabs>
          <w:tab w:val="left" w:pos="540"/>
          <w:tab w:val="left" w:pos="1440"/>
        </w:tabs>
        <w:spacing w:line="252" w:lineRule="auto"/>
        <w:ind w:left="540" w:right="20" w:hanging="540"/>
        <w:rPr>
          <w:rFonts w:eastAsia="Calibri"/>
        </w:rPr>
      </w:pPr>
      <w:r w:rsidRPr="00B36562">
        <w:rPr>
          <w:rFonts w:eastAsia="Calibri"/>
          <w:b/>
          <w:bCs/>
        </w:rPr>
        <w:t>QUESTION</w:t>
      </w:r>
      <w:r>
        <w:rPr>
          <w:rFonts w:eastAsia="Calibri"/>
        </w:rPr>
        <w:t xml:space="preserve">: </w:t>
      </w:r>
      <w:r w:rsidR="00440597">
        <w:rPr>
          <w:rFonts w:eastAsia="Calibri"/>
        </w:rPr>
        <w:t>As you know, s</w:t>
      </w:r>
      <w:r w:rsidR="00D81403">
        <w:rPr>
          <w:rFonts w:eastAsia="Calibri"/>
        </w:rPr>
        <w:t xml:space="preserve">ome </w:t>
      </w:r>
      <w:r w:rsidR="00440597">
        <w:rPr>
          <w:rFonts w:eastAsia="Calibri"/>
        </w:rPr>
        <w:t>of the</w:t>
      </w:r>
      <w:r w:rsidR="00D81403">
        <w:rPr>
          <w:rFonts w:eastAsia="Calibri"/>
        </w:rPr>
        <w:t xml:space="preserve"> costs of travel such as gasoline, hotels, rental cars, and airline tickets </w:t>
      </w:r>
      <w:r w:rsidR="00440597">
        <w:rPr>
          <w:rFonts w:eastAsia="Calibri"/>
        </w:rPr>
        <w:t>often</w:t>
      </w:r>
      <w:r w:rsidR="00D81403">
        <w:rPr>
          <w:rFonts w:eastAsia="Calibri"/>
        </w:rPr>
        <w:t xml:space="preserve"> increase. If your </w:t>
      </w:r>
      <w:r w:rsidR="00D37C41">
        <w:rPr>
          <w:rFonts w:eastAsia="Calibri"/>
        </w:rPr>
        <w:t xml:space="preserve">share of the </w:t>
      </w:r>
      <w:r w:rsidR="00D81403">
        <w:rPr>
          <w:rFonts w:eastAsia="Calibri"/>
        </w:rPr>
        <w:t xml:space="preserve">total trip costs were </w:t>
      </w:r>
      <w:r w:rsidR="003A0261">
        <w:rPr>
          <w:rFonts w:eastAsia="Calibri"/>
        </w:rPr>
        <w:t xml:space="preserve">$X more, </w:t>
      </w:r>
      <w:r w:rsidR="00D81403">
        <w:rPr>
          <w:rFonts w:eastAsia="Calibri"/>
        </w:rPr>
        <w:t xml:space="preserve">would </w:t>
      </w:r>
      <w:r w:rsidR="003A0261">
        <w:rPr>
          <w:rFonts w:eastAsia="Calibri"/>
        </w:rPr>
        <w:t>you still have taken</w:t>
      </w:r>
      <w:r w:rsidR="00D81403">
        <w:rPr>
          <w:rFonts w:eastAsia="Calibri"/>
        </w:rPr>
        <w:t xml:space="preserve"> this trip to [NPS site]? </w:t>
      </w:r>
      <w:r w:rsidR="00D81403">
        <w:rPr>
          <w:rFonts w:eastAsia="Calibri"/>
          <w:b/>
          <w:bCs/>
        </w:rPr>
        <w:t>Please mark (●) one</w:t>
      </w:r>
      <w:r w:rsidR="00D81403">
        <w:rPr>
          <w:rFonts w:eastAsia="Calibri"/>
        </w:rPr>
        <w:t>.</w:t>
      </w:r>
      <w:bookmarkEnd w:id="5"/>
    </w:p>
    <w:p w:rsidR="00103887" w:rsidP="00103887" w14:paraId="61748E82" w14:textId="77777777">
      <w:pPr>
        <w:numPr>
          <w:ilvl w:val="1"/>
          <w:numId w:val="25"/>
        </w:numPr>
        <w:spacing w:after="0" w:line="240" w:lineRule="auto"/>
        <w:ind w:left="1080"/>
        <w:outlineLvl w:val="3"/>
        <w:rPr>
          <w:rFonts w:cs="Times New Roman"/>
        </w:rPr>
      </w:pPr>
      <w:r w:rsidRPr="27FFC58D">
        <w:rPr>
          <w:rFonts w:eastAsia="Times New Roman" w:cs="Times New Roman"/>
        </w:rPr>
        <w:t xml:space="preserve">Yes, I would still take this trip. </w:t>
      </w:r>
    </w:p>
    <w:p w:rsidR="00103887" w:rsidP="00103887" w14:paraId="4F8BEE10" w14:textId="77777777">
      <w:pPr>
        <w:numPr>
          <w:ilvl w:val="1"/>
          <w:numId w:val="25"/>
        </w:numPr>
        <w:spacing w:after="0" w:line="240" w:lineRule="auto"/>
        <w:ind w:left="1080"/>
        <w:outlineLvl w:val="3"/>
        <w:rPr>
          <w:rFonts w:cs="Times New Roman"/>
        </w:rPr>
      </w:pPr>
      <w:r w:rsidRPr="27FFC58D">
        <w:rPr>
          <w:rFonts w:cs="Times New Roman"/>
        </w:rPr>
        <w:t xml:space="preserve">No, I would not take this trip. </w:t>
      </w:r>
    </w:p>
    <w:p w:rsidR="00103887" w:rsidP="005F3526" w14:paraId="2C9AFC48" w14:textId="77777777">
      <w:pPr>
        <w:tabs>
          <w:tab w:val="left" w:pos="540"/>
          <w:tab w:val="left" w:pos="1440"/>
        </w:tabs>
        <w:spacing w:after="0" w:line="240" w:lineRule="auto"/>
        <w:ind w:right="14"/>
        <w:rPr>
          <w:rFonts w:eastAsia="Calibri"/>
        </w:rPr>
      </w:pPr>
    </w:p>
    <w:p w:rsidR="00876CFB" w:rsidP="005F3526" w14:paraId="57EAFBE9" w14:textId="07F96B67">
      <w:pPr>
        <w:tabs>
          <w:tab w:val="left" w:pos="540"/>
          <w:tab w:val="left" w:pos="1440"/>
        </w:tabs>
        <w:spacing w:after="0" w:line="240" w:lineRule="auto"/>
        <w:ind w:right="14"/>
        <w:rPr>
          <w:rFonts w:eastAsia="Calibri"/>
        </w:rPr>
      </w:pPr>
      <w:r>
        <w:rPr>
          <w:rFonts w:eastAsia="Calibri"/>
        </w:rPr>
        <w:t>[</w:t>
      </w:r>
      <w:r w:rsidR="00ED7F69">
        <w:rPr>
          <w:rFonts w:eastAsia="Calibri"/>
        </w:rPr>
        <w:t xml:space="preserve">The $X would be randomly </w:t>
      </w:r>
      <w:r w:rsidR="00E54EAD">
        <w:rPr>
          <w:rFonts w:eastAsia="Calibri"/>
        </w:rPr>
        <w:t xml:space="preserve">filled in with one of </w:t>
      </w:r>
      <w:r w:rsidR="00003C9E">
        <w:rPr>
          <w:rFonts w:eastAsia="Calibri"/>
        </w:rPr>
        <w:t xml:space="preserve">ten bid amounts ranging from $5 to $2,000 </w:t>
      </w:r>
      <w:r w:rsidR="004A1EDC">
        <w:rPr>
          <w:rFonts w:eastAsia="Calibri"/>
        </w:rPr>
        <w:t xml:space="preserve">- </w:t>
      </w:r>
      <w:r w:rsidR="00003C9E">
        <w:rPr>
          <w:rFonts w:eastAsia="Calibri"/>
        </w:rPr>
        <w:t xml:space="preserve">specifically, </w:t>
      </w:r>
    </w:p>
    <w:p w:rsidR="00003C9E" w:rsidP="00F15F9E" w14:paraId="33B5F07A" w14:textId="1108D20A">
      <w:pPr>
        <w:tabs>
          <w:tab w:val="left" w:pos="540"/>
          <w:tab w:val="left" w:pos="1440"/>
        </w:tabs>
        <w:spacing w:after="0" w:line="240" w:lineRule="auto"/>
        <w:ind w:right="14"/>
        <w:rPr>
          <w:rFonts w:eastAsia="Calibri"/>
        </w:rPr>
      </w:pPr>
      <w:r>
        <w:rPr>
          <w:rFonts w:eastAsia="Calibri"/>
        </w:rPr>
        <w:t>$5</w:t>
      </w:r>
      <w:r w:rsidR="00985B64">
        <w:rPr>
          <w:rFonts w:eastAsia="Calibri"/>
        </w:rPr>
        <w:t xml:space="preserve">, </w:t>
      </w:r>
      <w:r w:rsidR="000A3760">
        <w:rPr>
          <w:rFonts w:eastAsia="Calibri"/>
        </w:rPr>
        <w:t>$20, $</w:t>
      </w:r>
      <w:r w:rsidR="0054323C">
        <w:rPr>
          <w:rFonts w:eastAsia="Calibri"/>
        </w:rPr>
        <w:t>50,</w:t>
      </w:r>
      <w:r w:rsidR="00516821">
        <w:rPr>
          <w:rFonts w:eastAsia="Calibri"/>
        </w:rPr>
        <w:t xml:space="preserve"> $100</w:t>
      </w:r>
      <w:r w:rsidR="00C12309">
        <w:rPr>
          <w:rFonts w:eastAsia="Calibri"/>
        </w:rPr>
        <w:t>, $200, $350, $500, $750, $1,</w:t>
      </w:r>
      <w:r w:rsidR="00CB3FB2">
        <w:rPr>
          <w:rFonts w:eastAsia="Calibri"/>
        </w:rPr>
        <w:t>200</w:t>
      </w:r>
      <w:r w:rsidR="00C12309">
        <w:rPr>
          <w:rFonts w:eastAsia="Calibri"/>
        </w:rPr>
        <w:t>, $2,000</w:t>
      </w:r>
      <w:r w:rsidR="004A1EDC">
        <w:rPr>
          <w:rFonts w:eastAsia="Calibri"/>
        </w:rPr>
        <w:t>]</w:t>
      </w:r>
    </w:p>
    <w:p w:rsidR="009E0A3B" w:rsidP="00F15F9E" w14:paraId="449211D5" w14:textId="77777777">
      <w:pPr>
        <w:tabs>
          <w:tab w:val="left" w:pos="540"/>
          <w:tab w:val="left" w:pos="1440"/>
        </w:tabs>
        <w:spacing w:line="252" w:lineRule="auto"/>
        <w:ind w:right="20"/>
        <w:rPr>
          <w:rFonts w:eastAsia="Calibri"/>
          <w:b/>
          <w:bCs/>
        </w:rPr>
      </w:pPr>
    </w:p>
    <w:p w:rsidR="00003C9E" w:rsidP="009E365A" w14:paraId="3B73DE8D" w14:textId="4083AEA7">
      <w:pPr>
        <w:tabs>
          <w:tab w:val="left" w:pos="540"/>
          <w:tab w:val="left" w:pos="1440"/>
        </w:tabs>
        <w:spacing w:line="252" w:lineRule="auto"/>
        <w:ind w:left="540" w:right="20" w:hanging="540"/>
        <w:rPr>
          <w:rFonts w:eastAsia="Calibri"/>
          <w:b/>
          <w:bCs/>
        </w:rPr>
      </w:pPr>
      <w:r>
        <w:rPr>
          <w:rFonts w:eastAsia="Calibri"/>
          <w:b/>
          <w:bCs/>
        </w:rPr>
        <w:t>Version B of the question (for parks that have primarily day use) is as follows:</w:t>
      </w:r>
    </w:p>
    <w:p w:rsidR="00003C9E" w:rsidP="00003C9E" w14:paraId="3B4DC048" w14:textId="61457023">
      <w:pPr>
        <w:tabs>
          <w:tab w:val="left" w:pos="540"/>
          <w:tab w:val="left" w:pos="1440"/>
        </w:tabs>
        <w:spacing w:line="252" w:lineRule="auto"/>
        <w:ind w:left="540" w:right="20" w:hanging="540"/>
        <w:rPr>
          <w:rFonts w:eastAsia="Calibri"/>
        </w:rPr>
      </w:pPr>
      <w:r w:rsidRPr="00B36562">
        <w:rPr>
          <w:rFonts w:eastAsia="Calibri"/>
          <w:b/>
          <w:bCs/>
        </w:rPr>
        <w:t>QUESTION</w:t>
      </w:r>
      <w:r>
        <w:rPr>
          <w:rFonts w:eastAsia="Calibri"/>
        </w:rPr>
        <w:t>:</w:t>
      </w:r>
      <w:r>
        <w:rPr>
          <w:rFonts w:eastAsia="Calibri"/>
          <w:b/>
          <w:bCs/>
        </w:rPr>
        <w:t xml:space="preserve"> </w:t>
      </w:r>
      <w:r>
        <w:rPr>
          <w:rFonts w:eastAsia="Calibri"/>
        </w:rPr>
        <w:t xml:space="preserve">As you know, some of the costs of travel such as gasoline, hotels, rental cars, and airline tickets often increase. If your share of the total trip costs were $X more, would you still have taken this trip to [NPS site]? </w:t>
      </w:r>
      <w:r>
        <w:rPr>
          <w:rFonts w:eastAsia="Calibri"/>
          <w:b/>
          <w:bCs/>
        </w:rPr>
        <w:t>Please mark (●) one</w:t>
      </w:r>
      <w:r>
        <w:rPr>
          <w:rFonts w:eastAsia="Calibri"/>
        </w:rPr>
        <w:t>.</w:t>
      </w:r>
    </w:p>
    <w:p w:rsidR="00003C9E" w:rsidP="00003C9E" w14:paraId="30D66618" w14:textId="77777777">
      <w:pPr>
        <w:numPr>
          <w:ilvl w:val="1"/>
          <w:numId w:val="25"/>
        </w:numPr>
        <w:spacing w:after="0" w:line="240" w:lineRule="auto"/>
        <w:ind w:left="1080"/>
        <w:outlineLvl w:val="3"/>
        <w:rPr>
          <w:rFonts w:cs="Times New Roman"/>
        </w:rPr>
      </w:pPr>
      <w:r w:rsidRPr="27FFC58D">
        <w:rPr>
          <w:rFonts w:eastAsia="Times New Roman" w:cs="Times New Roman"/>
        </w:rPr>
        <w:t xml:space="preserve">Yes, I would still take this trip. </w:t>
      </w:r>
    </w:p>
    <w:p w:rsidR="00003C9E" w:rsidP="00003C9E" w14:paraId="2C177BB0" w14:textId="77777777">
      <w:pPr>
        <w:numPr>
          <w:ilvl w:val="1"/>
          <w:numId w:val="25"/>
        </w:numPr>
        <w:spacing w:after="0" w:line="240" w:lineRule="auto"/>
        <w:ind w:left="1080"/>
        <w:outlineLvl w:val="3"/>
        <w:rPr>
          <w:rFonts w:cs="Times New Roman"/>
        </w:rPr>
      </w:pPr>
      <w:r w:rsidRPr="27FFC58D">
        <w:rPr>
          <w:rFonts w:cs="Times New Roman"/>
        </w:rPr>
        <w:t xml:space="preserve">No, I would not take this trip. </w:t>
      </w:r>
    </w:p>
    <w:p w:rsidR="00B900B3" w:rsidP="00B900B3" w14:paraId="74D0105E" w14:textId="77777777">
      <w:pPr>
        <w:spacing w:after="0" w:line="240" w:lineRule="auto"/>
        <w:ind w:left="1080"/>
        <w:outlineLvl w:val="3"/>
        <w:rPr>
          <w:rFonts w:cs="Times New Roman"/>
        </w:rPr>
      </w:pPr>
    </w:p>
    <w:p w:rsidR="002A72AA" w:rsidP="005F3526" w14:paraId="45730B65" w14:textId="7269A1CB">
      <w:pPr>
        <w:tabs>
          <w:tab w:val="left" w:pos="540"/>
          <w:tab w:val="left" w:pos="1440"/>
        </w:tabs>
        <w:spacing w:after="0" w:line="240" w:lineRule="auto"/>
        <w:ind w:right="14"/>
        <w:rPr>
          <w:rFonts w:eastAsia="Calibri"/>
        </w:rPr>
      </w:pPr>
      <w:r>
        <w:rPr>
          <w:rFonts w:eastAsia="Calibri"/>
        </w:rPr>
        <w:t>[</w:t>
      </w:r>
      <w:r w:rsidR="00A4527D">
        <w:rPr>
          <w:rFonts w:eastAsia="Calibri"/>
        </w:rPr>
        <w:t>The $X would be randomly filled in with one of ten bid amounts ranging from $5 to $</w:t>
      </w:r>
      <w:r w:rsidRPr="13E8B8B0" w:rsidR="0E68A831">
        <w:rPr>
          <w:rFonts w:eastAsia="Calibri"/>
        </w:rPr>
        <w:t>750</w:t>
      </w:r>
      <w:r w:rsidR="00A4527D">
        <w:rPr>
          <w:rFonts w:eastAsia="Calibri"/>
        </w:rPr>
        <w:t xml:space="preserve"> </w:t>
      </w:r>
      <w:r>
        <w:rPr>
          <w:rFonts w:eastAsia="Calibri"/>
        </w:rPr>
        <w:t xml:space="preserve">- </w:t>
      </w:r>
      <w:r w:rsidR="00A4527D">
        <w:rPr>
          <w:rFonts w:eastAsia="Calibri"/>
        </w:rPr>
        <w:t>specifically, $5,</w:t>
      </w:r>
      <w:r w:rsidR="000F78EB">
        <w:rPr>
          <w:rFonts w:eastAsia="Calibri"/>
        </w:rPr>
        <w:t xml:space="preserve"> </w:t>
      </w:r>
      <w:r w:rsidR="009637B7">
        <w:rPr>
          <w:rFonts w:eastAsia="Calibri"/>
        </w:rPr>
        <w:t>$20,</w:t>
      </w:r>
      <w:r>
        <w:rPr>
          <w:rFonts w:eastAsia="Calibri"/>
        </w:rPr>
        <w:t xml:space="preserve"> </w:t>
      </w:r>
      <w:r w:rsidR="009B6965">
        <w:rPr>
          <w:rFonts w:eastAsia="Calibri"/>
        </w:rPr>
        <w:t>$35, $50, $75,</w:t>
      </w:r>
      <w:r>
        <w:rPr>
          <w:rFonts w:eastAsia="Calibri"/>
        </w:rPr>
        <w:t xml:space="preserve"> </w:t>
      </w:r>
      <w:r w:rsidR="002A54D3">
        <w:rPr>
          <w:rFonts w:eastAsia="Calibri"/>
        </w:rPr>
        <w:t>$100,</w:t>
      </w:r>
      <w:r>
        <w:rPr>
          <w:rFonts w:eastAsia="Calibri"/>
        </w:rPr>
        <w:t xml:space="preserve"> $200, $350, $500, </w:t>
      </w:r>
      <w:r w:rsidR="009637B7">
        <w:rPr>
          <w:rFonts w:eastAsia="Calibri"/>
        </w:rPr>
        <w:t>$7</w:t>
      </w:r>
      <w:r>
        <w:rPr>
          <w:rFonts w:eastAsia="Calibri"/>
        </w:rPr>
        <w:t>50</w:t>
      </w:r>
      <w:r>
        <w:rPr>
          <w:rFonts w:eastAsia="Calibri"/>
        </w:rPr>
        <w:t>].</w:t>
      </w:r>
      <w:r w:rsidR="009B6965">
        <w:rPr>
          <w:rFonts w:eastAsia="Calibri"/>
        </w:rPr>
        <w:t xml:space="preserve"> </w:t>
      </w:r>
    </w:p>
    <w:p w:rsidR="00716D24" w:rsidP="00D81403" w14:paraId="6D74B9F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rPr>
      </w:pPr>
    </w:p>
    <w:p w:rsidR="00D81403" w:rsidP="00D81403" w14:paraId="25A48EFE" w14:textId="5CDA95B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rPr>
      </w:pPr>
      <w:r>
        <w:rPr>
          <w:rFonts w:eastAsia="Times New Roman"/>
        </w:rPr>
        <w:t xml:space="preserve">The above question, found on the </w:t>
      </w:r>
      <w:r w:rsidR="00003C9E">
        <w:rPr>
          <w:rFonts w:eastAsia="Times New Roman"/>
        </w:rPr>
        <w:t xml:space="preserve">intercept </w:t>
      </w:r>
      <w:r w:rsidR="007A3AE1">
        <w:rPr>
          <w:rFonts w:eastAsia="Times New Roman"/>
        </w:rPr>
        <w:t>survey</w:t>
      </w:r>
      <w:r w:rsidR="00003C9E">
        <w:rPr>
          <w:rFonts w:eastAsia="Times New Roman"/>
        </w:rPr>
        <w:t xml:space="preserve"> </w:t>
      </w:r>
      <w:r>
        <w:rPr>
          <w:rFonts w:eastAsia="Times New Roman"/>
        </w:rPr>
        <w:t xml:space="preserve">instrument, immediately follows </w:t>
      </w:r>
      <w:r w:rsidR="00003C9E">
        <w:rPr>
          <w:rFonts w:eastAsia="Times New Roman"/>
        </w:rPr>
        <w:t>a question about the number of people splitting the trip expenses</w:t>
      </w:r>
      <w:r>
        <w:rPr>
          <w:rFonts w:eastAsia="Times New Roman"/>
        </w:rPr>
        <w:t xml:space="preserve">. As such, it is readily apparent to the respondent that the trip is the commodity to be evaluated and that the listed values are </w:t>
      </w:r>
      <w:r w:rsidR="008B5806">
        <w:rPr>
          <w:rFonts w:eastAsia="Times New Roman"/>
        </w:rPr>
        <w:t>related to current trip expenditures</w:t>
      </w:r>
      <w:r>
        <w:rPr>
          <w:rFonts w:eastAsia="Times New Roman"/>
        </w:rPr>
        <w:t xml:space="preserve">. Key considerations for the appropriate deployment and scaling of the WTP </w:t>
      </w:r>
      <w:r w:rsidR="004F4457">
        <w:rPr>
          <w:rFonts w:eastAsia="Times New Roman"/>
        </w:rPr>
        <w:t xml:space="preserve">question </w:t>
      </w:r>
      <w:r>
        <w:rPr>
          <w:rFonts w:eastAsia="Times New Roman"/>
        </w:rPr>
        <w:t>include:</w:t>
      </w:r>
    </w:p>
    <w:p w:rsidR="00D81403" w:rsidP="00345EA3" w14:paraId="350E6C08" w14:textId="4E1BB6B1">
      <w:pPr>
        <w:pStyle w:val="ListParagraph"/>
        <w:numPr>
          <w:ilvl w:val="0"/>
          <w:numId w:val="3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b/>
        </w:rPr>
      </w:pPr>
      <w:r>
        <w:rPr>
          <w:rFonts w:eastAsia="Times New Roman"/>
        </w:rPr>
        <w:t>Consideration of the wide range of expected total trip</w:t>
      </w:r>
      <w:r w:rsidR="0011501D">
        <w:rPr>
          <w:rFonts w:eastAsia="Times New Roman"/>
        </w:rPr>
        <w:t xml:space="preserve"> expenses</w:t>
      </w:r>
      <w:r>
        <w:rPr>
          <w:rFonts w:eastAsia="Times New Roman"/>
        </w:rPr>
        <w:t xml:space="preserve">. This expectation is based on if respondent is local, length of trip, type of park unit visited, and group size, among other visitor attributes. As such, </w:t>
      </w:r>
      <w:r w:rsidR="003137A9">
        <w:rPr>
          <w:rFonts w:eastAsia="Times New Roman"/>
        </w:rPr>
        <w:t>possible bid amounts presented</w:t>
      </w:r>
      <w:r>
        <w:rPr>
          <w:rFonts w:eastAsia="Times New Roman"/>
        </w:rPr>
        <w:t xml:space="preserve"> must cover reasonable ranges for a variety of trip types and initial trip costs</w:t>
      </w:r>
      <w:r w:rsidR="00676BAB">
        <w:rPr>
          <w:rFonts w:eastAsia="Times New Roman"/>
        </w:rPr>
        <w:t>.</w:t>
      </w:r>
    </w:p>
    <w:p w:rsidR="00D81403" w:rsidP="00345EA3" w14:paraId="05534CDF" w14:textId="6463D560">
      <w:pPr>
        <w:pStyle w:val="ListParagraph"/>
        <w:numPr>
          <w:ilvl w:val="0"/>
          <w:numId w:val="3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b/>
        </w:rPr>
      </w:pPr>
      <w:r>
        <w:rPr>
          <w:rFonts w:eastAsia="Times New Roman"/>
        </w:rPr>
        <w:t xml:space="preserve">Consideration of </w:t>
      </w:r>
      <w:r w:rsidR="001707C8">
        <w:rPr>
          <w:rFonts w:eastAsia="Times New Roman"/>
        </w:rPr>
        <w:t xml:space="preserve">response formats that are incentive compatible. </w:t>
      </w:r>
    </w:p>
    <w:p w:rsidR="008C2A4C" w:rsidRPr="00676BAB" w:rsidP="00D81403" w14:paraId="4B6C114F" w14:textId="70C7BA1E">
      <w:pPr>
        <w:pStyle w:val="ListParagraph"/>
        <w:numPr>
          <w:ilvl w:val="0"/>
          <w:numId w:val="30"/>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b/>
        </w:rPr>
      </w:pPr>
      <w:r>
        <w:rPr>
          <w:rFonts w:eastAsia="Times New Roman"/>
        </w:rPr>
        <w:t xml:space="preserve">Consideration of how many </w:t>
      </w:r>
      <w:r w:rsidR="000340BB">
        <w:rPr>
          <w:rFonts w:eastAsia="Times New Roman"/>
        </w:rPr>
        <w:t xml:space="preserve">bid amounts </w:t>
      </w:r>
      <w:r>
        <w:rPr>
          <w:rFonts w:eastAsia="Times New Roman"/>
        </w:rPr>
        <w:t>to include and the nature in which the values increase</w:t>
      </w:r>
      <w:r w:rsidR="00676BAB">
        <w:rPr>
          <w:rFonts w:eastAsia="Times New Roman"/>
        </w:rPr>
        <w:t>.</w:t>
      </w:r>
    </w:p>
    <w:p w:rsidR="00931FD5" w:rsidP="007958E0" w14:paraId="41B79889" w14:textId="77777777">
      <w:pPr>
        <w:spacing w:after="0" w:line="480" w:lineRule="auto"/>
        <w:rPr>
          <w:rFonts w:eastAsia="Times New Roman"/>
        </w:rPr>
      </w:pPr>
    </w:p>
    <w:p w:rsidR="007958E0" w:rsidRPr="00B67011" w:rsidP="007958E0" w14:paraId="56D11CF8" w14:textId="105E8285">
      <w:pPr>
        <w:spacing w:after="0" w:line="480" w:lineRule="auto"/>
        <w:rPr>
          <w:rFonts w:eastAsia="Times New Roman"/>
        </w:rPr>
      </w:pPr>
      <w:r>
        <w:rPr>
          <w:rFonts w:eastAsia="Times New Roman"/>
        </w:rPr>
        <w:t xml:space="preserve">The proposed </w:t>
      </w:r>
      <w:r w:rsidR="00BD6A0E">
        <w:rPr>
          <w:rFonts w:eastAsia="Times New Roman"/>
        </w:rPr>
        <w:t xml:space="preserve">WTP question </w:t>
      </w:r>
      <w:r>
        <w:rPr>
          <w:rFonts w:eastAsia="Times New Roman"/>
        </w:rPr>
        <w:t>addresses the above considerations</w:t>
      </w:r>
      <w:r w:rsidR="00F27A44">
        <w:rPr>
          <w:rFonts w:eastAsia="Times New Roman"/>
        </w:rPr>
        <w:t xml:space="preserve">. </w:t>
      </w:r>
      <w:r w:rsidR="00BD6A0E">
        <w:rPr>
          <w:rFonts w:eastAsia="Times New Roman"/>
        </w:rPr>
        <w:t>Following best practices, a dichotomous choice response format is used to address issues of</w:t>
      </w:r>
      <w:r w:rsidR="00407E30">
        <w:rPr>
          <w:rFonts w:eastAsia="Times New Roman"/>
        </w:rPr>
        <w:t xml:space="preserve"> </w:t>
      </w:r>
      <w:r w:rsidR="00812C92">
        <w:rPr>
          <w:rFonts w:eastAsia="Times New Roman"/>
        </w:rPr>
        <w:t xml:space="preserve">incentive compatibility </w:t>
      </w:r>
      <w:r w:rsidR="00407E30">
        <w:rPr>
          <w:rFonts w:eastAsia="Times New Roman"/>
        </w:rPr>
        <w:t xml:space="preserve">(Boyle, 2017; Johnston et al., 2017). </w:t>
      </w:r>
      <w:r>
        <w:rPr>
          <w:rFonts w:eastAsia="Times New Roman"/>
        </w:rPr>
        <w:t xml:space="preserve"> </w:t>
      </w:r>
      <w:r w:rsidR="00B834DB">
        <w:rPr>
          <w:rFonts w:eastAsia="Times New Roman"/>
        </w:rPr>
        <w:t xml:space="preserve">One of ten bid amounts is randomly selected and presented to </w:t>
      </w:r>
      <w:r w:rsidR="00812C92">
        <w:rPr>
          <w:rFonts w:eastAsia="Times New Roman"/>
        </w:rPr>
        <w:t xml:space="preserve">each </w:t>
      </w:r>
      <w:r w:rsidR="00B834DB">
        <w:rPr>
          <w:rFonts w:eastAsia="Times New Roman"/>
        </w:rPr>
        <w:t>respondent</w:t>
      </w:r>
      <w:r>
        <w:rPr>
          <w:rFonts w:eastAsia="Times New Roman"/>
        </w:rPr>
        <w:t>, ranging from $</w:t>
      </w:r>
      <w:r w:rsidR="00CC3A89">
        <w:rPr>
          <w:rFonts w:eastAsia="Times New Roman"/>
        </w:rPr>
        <w:t>5</w:t>
      </w:r>
      <w:r w:rsidR="000E3BB4">
        <w:rPr>
          <w:rFonts w:eastAsia="Times New Roman"/>
        </w:rPr>
        <w:t xml:space="preserve"> to </w:t>
      </w:r>
      <w:r>
        <w:rPr>
          <w:rFonts w:eastAsia="Times New Roman"/>
        </w:rPr>
        <w:t>$2,000</w:t>
      </w:r>
      <w:r w:rsidR="00DE44CE">
        <w:rPr>
          <w:rFonts w:eastAsia="Times New Roman"/>
        </w:rPr>
        <w:t xml:space="preserve"> in version A and $</w:t>
      </w:r>
      <w:r w:rsidR="00CC3A89">
        <w:rPr>
          <w:rFonts w:eastAsia="Times New Roman"/>
        </w:rPr>
        <w:t>5</w:t>
      </w:r>
      <w:r w:rsidR="000E3BB4">
        <w:rPr>
          <w:rFonts w:eastAsia="Times New Roman"/>
        </w:rPr>
        <w:t xml:space="preserve"> to </w:t>
      </w:r>
      <w:r w:rsidR="00DE44CE">
        <w:rPr>
          <w:rFonts w:eastAsia="Times New Roman"/>
        </w:rPr>
        <w:t xml:space="preserve">$750 in version </w:t>
      </w:r>
      <w:r w:rsidR="0057229E">
        <w:rPr>
          <w:rFonts w:eastAsia="Times New Roman"/>
        </w:rPr>
        <w:t>B</w:t>
      </w:r>
      <w:r>
        <w:rPr>
          <w:rFonts w:eastAsia="Times New Roman"/>
        </w:rPr>
        <w:t xml:space="preserve">. A response of </w:t>
      </w:r>
      <w:r w:rsidR="005C7245">
        <w:rPr>
          <w:rFonts w:eastAsia="Times New Roman"/>
        </w:rPr>
        <w:t>‘yes’</w:t>
      </w:r>
      <w:r>
        <w:rPr>
          <w:rFonts w:eastAsia="Times New Roman"/>
        </w:rPr>
        <w:t xml:space="preserve"> indicates that the true WTP of the respondent is some amount </w:t>
      </w:r>
      <w:r w:rsidR="005C7245">
        <w:rPr>
          <w:rFonts w:eastAsia="Times New Roman"/>
        </w:rPr>
        <w:t>greater than or equal to</w:t>
      </w:r>
      <w:r>
        <w:rPr>
          <w:rFonts w:eastAsia="Times New Roman"/>
        </w:rPr>
        <w:t xml:space="preserve"> </w:t>
      </w:r>
      <w:r w:rsidR="005C7245">
        <w:rPr>
          <w:rFonts w:eastAsia="Times New Roman"/>
        </w:rPr>
        <w:t>the bid amount presented</w:t>
      </w:r>
      <w:r>
        <w:rPr>
          <w:rFonts w:eastAsia="Times New Roman"/>
        </w:rPr>
        <w:t xml:space="preserve">. This relationship extends to all indicated responses; </w:t>
      </w:r>
      <w:r w:rsidR="00CC3A89">
        <w:rPr>
          <w:rFonts w:eastAsia="Times New Roman"/>
        </w:rPr>
        <w:t>for respon</w:t>
      </w:r>
      <w:r w:rsidR="00863576">
        <w:rPr>
          <w:rFonts w:eastAsia="Times New Roman"/>
        </w:rPr>
        <w:t xml:space="preserve">dents that answer ‘yes’ to the WTP question, </w:t>
      </w:r>
      <w:r>
        <w:rPr>
          <w:rFonts w:eastAsia="Times New Roman"/>
        </w:rPr>
        <w:t>the</w:t>
      </w:r>
      <w:r w:rsidR="00863576">
        <w:rPr>
          <w:rFonts w:eastAsia="Times New Roman"/>
        </w:rPr>
        <w:t>ir</w:t>
      </w:r>
      <w:r>
        <w:rPr>
          <w:rFonts w:eastAsia="Times New Roman"/>
        </w:rPr>
        <w:t xml:space="preserve"> true WTP is </w:t>
      </w:r>
      <w:r w:rsidR="005C7245">
        <w:rPr>
          <w:rFonts w:eastAsia="Times New Roman"/>
        </w:rPr>
        <w:t xml:space="preserve">greater than or equal to </w:t>
      </w:r>
      <w:r w:rsidR="00863576">
        <w:rPr>
          <w:rFonts w:eastAsia="Times New Roman"/>
        </w:rPr>
        <w:t>the present bid amount</w:t>
      </w:r>
      <w:r>
        <w:rPr>
          <w:rFonts w:eastAsia="Times New Roman"/>
        </w:rPr>
        <w:t xml:space="preserve">. </w:t>
      </w:r>
      <w:r w:rsidR="00863576">
        <w:rPr>
          <w:rFonts w:eastAsia="Times New Roman"/>
        </w:rPr>
        <w:t>For respondents that answer ‘no’ to the WTP question, their true WTP is less than the presented bid amount.</w:t>
      </w:r>
      <w:r>
        <w:rPr>
          <w:rFonts w:eastAsia="Times New Roman"/>
        </w:rPr>
        <w:t xml:space="preserve"> </w:t>
      </w:r>
      <w:r w:rsidR="00C22E37">
        <w:rPr>
          <w:rFonts w:eastAsia="Times New Roman"/>
        </w:rPr>
        <w:t xml:space="preserve">More formally, </w:t>
      </w:r>
      <w:r w:rsidRPr="00B67011" w:rsidR="00C22E37">
        <w:rPr>
          <w:rFonts w:eastAsia="Times New Roman"/>
        </w:rPr>
        <w:t>f</w:t>
      </w:r>
      <w:r w:rsidRPr="00B67011">
        <w:rPr>
          <w:rFonts w:eastAsia="Times New Roman"/>
        </w:rPr>
        <w:t>ollowing Haab and McConnell (2002), a linear WTP function can be defined as:</w:t>
      </w:r>
    </w:p>
    <w:p w:rsidR="007958E0" w:rsidRPr="00B67011" w:rsidP="007958E0" w14:paraId="2F513388" w14:textId="6700F69B">
      <w:pPr>
        <w:spacing w:after="0" w:line="480" w:lineRule="auto"/>
        <w:ind w:firstLine="720"/>
        <w:rPr>
          <w:rFonts w:cstheme="minorHAnsi"/>
        </w:rPr>
      </w:pPr>
      <w:bookmarkStart w:id="6" w:name="_Hlk69194879"/>
      <w:r w:rsidRPr="00B67011">
        <w:rPr>
          <w:rFonts w:cstheme="minorHAnsi"/>
        </w:rPr>
        <w:t>WTP (</w:t>
      </w:r>
      <w:r w:rsidRPr="0057567B">
        <w:rPr>
          <w:rFonts w:cstheme="minorHAnsi"/>
          <w:b/>
        </w:rPr>
        <w:t>z</w:t>
      </w:r>
      <w:r w:rsidRPr="0057567B">
        <w:rPr>
          <w:rFonts w:cstheme="minorHAnsi"/>
          <w:b/>
          <w:vertAlign w:val="subscript"/>
        </w:rPr>
        <w:t>i</w:t>
      </w:r>
      <w:r w:rsidRPr="00B67011">
        <w:rPr>
          <w:rFonts w:cstheme="minorHAnsi"/>
        </w:rPr>
        <w:t xml:space="preserve">, </w:t>
      </w:r>
      <w:r w:rsidRPr="00B67011">
        <w:rPr>
          <w:rFonts w:cstheme="minorHAnsi"/>
        </w:rPr>
        <w:t>η</w:t>
      </w:r>
      <w:r w:rsidRPr="00B67011">
        <w:rPr>
          <w:rFonts w:cstheme="minorHAnsi"/>
          <w:vertAlign w:val="subscript"/>
        </w:rPr>
        <w:t>i</w:t>
      </w:r>
      <w:r w:rsidRPr="00B67011">
        <w:rPr>
          <w:rFonts w:cstheme="minorHAnsi"/>
        </w:rPr>
        <w:t xml:space="preserve">) </w:t>
      </w:r>
      <w:bookmarkEnd w:id="6"/>
      <w:r w:rsidRPr="00B67011">
        <w:rPr>
          <w:rFonts w:cstheme="minorHAnsi"/>
        </w:rPr>
        <w:t xml:space="preserve">= </w:t>
      </w:r>
      <w:r w:rsidRPr="00B67011">
        <w:rPr>
          <w:rFonts w:cstheme="minorHAnsi"/>
        </w:rPr>
        <w:t>γ</w:t>
      </w:r>
      <w:r w:rsidRPr="0057567B">
        <w:rPr>
          <w:rFonts w:cstheme="minorHAnsi"/>
          <w:b/>
        </w:rPr>
        <w:t>z</w:t>
      </w:r>
      <w:r w:rsidRPr="0057567B">
        <w:rPr>
          <w:rFonts w:cstheme="minorHAnsi"/>
          <w:b/>
          <w:vertAlign w:val="subscript"/>
        </w:rPr>
        <w:t>i</w:t>
      </w:r>
      <w:r w:rsidRPr="0057567B">
        <w:rPr>
          <w:rFonts w:cstheme="minorHAnsi"/>
          <w:b/>
          <w:vertAlign w:val="subscript"/>
        </w:rPr>
        <w:t xml:space="preserve"> </w:t>
      </w:r>
      <w:r w:rsidRPr="00B67011">
        <w:rPr>
          <w:rFonts w:cstheme="minorHAnsi"/>
        </w:rPr>
        <w:t xml:space="preserve">+ </w:t>
      </w:r>
      <w:r w:rsidRPr="00B67011">
        <w:rPr>
          <w:rFonts w:cstheme="minorHAnsi"/>
        </w:rPr>
        <w:t>η</w:t>
      </w:r>
      <w:r w:rsidRPr="00B67011">
        <w:rPr>
          <w:rFonts w:cstheme="minorHAnsi"/>
          <w:vertAlign w:val="subscript"/>
        </w:rPr>
        <w:t>i</w:t>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vertAlign w:val="subscript"/>
        </w:rPr>
        <w:tab/>
      </w:r>
      <w:r w:rsidRPr="00B67011">
        <w:rPr>
          <w:rFonts w:cstheme="minorHAnsi"/>
        </w:rPr>
        <w:t>(1)</w:t>
      </w:r>
    </w:p>
    <w:p w:rsidR="007958E0" w:rsidRPr="00B67011" w:rsidP="007958E0" w14:paraId="5932AF4A" w14:textId="3C6D8E32">
      <w:pPr>
        <w:spacing w:after="0" w:line="480" w:lineRule="auto"/>
        <w:rPr>
          <w:rFonts w:cstheme="minorHAnsi"/>
        </w:rPr>
      </w:pPr>
      <w:r w:rsidRPr="00B67011">
        <w:rPr>
          <w:rFonts w:cstheme="minorHAnsi"/>
        </w:rPr>
        <w:t xml:space="preserve">where γ and </w:t>
      </w:r>
      <w:r w:rsidRPr="007E595D">
        <w:rPr>
          <w:rFonts w:cstheme="minorHAnsi"/>
          <w:b/>
        </w:rPr>
        <w:t>z</w:t>
      </w:r>
      <w:r w:rsidRPr="007E595D">
        <w:rPr>
          <w:rFonts w:cstheme="minorHAnsi"/>
          <w:b/>
          <w:vertAlign w:val="subscript"/>
        </w:rPr>
        <w:t>i</w:t>
      </w:r>
      <w:r w:rsidRPr="00B67011">
        <w:rPr>
          <w:rFonts w:cstheme="minorHAnsi"/>
        </w:rPr>
        <w:t xml:space="preserve"> are a matrix of parameters and covariates associated with respondent i and </w:t>
      </w:r>
      <w:r w:rsidRPr="00B67011">
        <w:rPr>
          <w:rFonts w:cstheme="minorHAnsi"/>
        </w:rPr>
        <w:t>η</w:t>
      </w:r>
      <w:r w:rsidRPr="00B67011">
        <w:rPr>
          <w:rFonts w:cstheme="minorHAnsi"/>
          <w:vertAlign w:val="subscript"/>
        </w:rPr>
        <w:t>i</w:t>
      </w:r>
      <w:r w:rsidRPr="00B67011">
        <w:rPr>
          <w:rFonts w:cstheme="minorHAnsi"/>
        </w:rPr>
        <w:t xml:space="preserve"> is symmetric, </w:t>
      </w:r>
      <w:r w:rsidRPr="00B67011" w:rsidR="00BE4BE5">
        <w:rPr>
          <w:rFonts w:cstheme="minorHAnsi"/>
        </w:rPr>
        <w:t>independe</w:t>
      </w:r>
      <w:r w:rsidRPr="00B67011" w:rsidR="00A13B44">
        <w:rPr>
          <w:rFonts w:cstheme="minorHAnsi"/>
        </w:rPr>
        <w:t>nt</w:t>
      </w:r>
      <w:r w:rsidRPr="00B67011" w:rsidR="00A13B44">
        <w:rPr>
          <w:rFonts w:cstheme="minorHAnsi"/>
        </w:rPr>
        <w:t xml:space="preserve"> and identically distributed</w:t>
      </w:r>
      <w:r w:rsidRPr="00B67011">
        <w:rPr>
          <w:rFonts w:cstheme="minorHAnsi"/>
        </w:rPr>
        <w:t xml:space="preserve"> with mean zero. The respondent answers </w:t>
      </w:r>
      <w:r w:rsidRPr="00B67011" w:rsidR="00C95319">
        <w:rPr>
          <w:rFonts w:cstheme="minorHAnsi"/>
        </w:rPr>
        <w:t>‘</w:t>
      </w:r>
      <w:r w:rsidRPr="00B67011">
        <w:rPr>
          <w:rFonts w:cstheme="minorHAnsi"/>
        </w:rPr>
        <w:t>yes</w:t>
      </w:r>
      <w:r w:rsidRPr="00B67011" w:rsidR="00C95319">
        <w:rPr>
          <w:rFonts w:cstheme="minorHAnsi"/>
        </w:rPr>
        <w:t>’</w:t>
      </w:r>
      <w:r w:rsidRPr="00B67011">
        <w:rPr>
          <w:rFonts w:cstheme="minorHAnsi"/>
        </w:rPr>
        <w:t xml:space="preserve"> to an </w:t>
      </w:r>
      <w:r w:rsidRPr="00B67011">
        <w:rPr>
          <w:rFonts w:cstheme="minorHAnsi"/>
        </w:rPr>
        <w:t xml:space="preserve">offered bid </w:t>
      </w:r>
      <w:r w:rsidRPr="00B67011">
        <w:rPr>
          <w:rFonts w:cstheme="minorHAnsi"/>
        </w:rPr>
        <w:t>A</w:t>
      </w:r>
      <w:r w:rsidRPr="00B67011">
        <w:rPr>
          <w:rFonts w:cstheme="minorHAnsi"/>
          <w:vertAlign w:val="subscript"/>
        </w:rPr>
        <w:t>j</w:t>
      </w:r>
      <w:r w:rsidRPr="00B67011">
        <w:rPr>
          <w:rFonts w:cstheme="minorHAnsi"/>
        </w:rPr>
        <w:t xml:space="preserve"> if </w:t>
      </w:r>
      <w:r w:rsidRPr="00B67011">
        <w:rPr>
          <w:rFonts w:cstheme="minorHAnsi"/>
        </w:rPr>
        <w:t>WTP</w:t>
      </w:r>
      <w:r w:rsidRPr="00B67011">
        <w:rPr>
          <w:rFonts w:cstheme="minorHAnsi"/>
          <w:vertAlign w:val="subscript"/>
        </w:rPr>
        <w:t>i</w:t>
      </w:r>
      <w:r w:rsidRPr="00B67011">
        <w:rPr>
          <w:rFonts w:cstheme="minorHAnsi"/>
        </w:rPr>
        <w:t xml:space="preserve"> &gt; </w:t>
      </w:r>
      <w:r w:rsidRPr="00B67011">
        <w:rPr>
          <w:rFonts w:cstheme="minorHAnsi"/>
        </w:rPr>
        <w:t>A</w:t>
      </w:r>
      <w:r w:rsidRPr="00B67011">
        <w:rPr>
          <w:rFonts w:cstheme="minorHAnsi"/>
          <w:vertAlign w:val="subscript"/>
        </w:rPr>
        <w:t>j</w:t>
      </w:r>
      <w:r w:rsidRPr="00B67011">
        <w:rPr>
          <w:rFonts w:cstheme="minorHAnsi"/>
        </w:rPr>
        <w:t xml:space="preserve">. When η is </w:t>
      </w:r>
      <w:r w:rsidRPr="00B67011">
        <w:rPr>
          <w:rFonts w:cstheme="minorHAnsi"/>
        </w:rPr>
        <w:t>N(</w:t>
      </w:r>
      <w:r w:rsidRPr="00B67011">
        <w:rPr>
          <w:rFonts w:cstheme="minorHAnsi"/>
        </w:rPr>
        <w:t>0, σ</w:t>
      </w:r>
      <w:r w:rsidRPr="00B67011">
        <w:rPr>
          <w:rFonts w:cstheme="minorHAnsi"/>
          <w:vertAlign w:val="superscript"/>
        </w:rPr>
        <w:t>2</w:t>
      </w:r>
      <w:r w:rsidRPr="00B67011">
        <w:rPr>
          <w:rFonts w:cstheme="minorHAnsi"/>
        </w:rPr>
        <w:t>) it can be converted to a standard probit. The probability of a yes response is:</w:t>
      </w:r>
    </w:p>
    <w:p w:rsidR="007958E0" w:rsidRPr="00B67011" w:rsidP="007958E0" w14:paraId="087B7D48" w14:textId="4180B60E">
      <w:pPr>
        <w:spacing w:after="0" w:line="480" w:lineRule="auto"/>
        <w:ind w:firstLine="720"/>
        <w:rPr>
          <w:rFonts w:cstheme="minorHAnsi"/>
        </w:rPr>
      </w:pPr>
      <w:r w:rsidRPr="00B67011">
        <w:rPr>
          <w:rFonts w:cstheme="minorHAnsi"/>
        </w:rPr>
        <w:t>Pr</w:t>
      </w:r>
      <w:r w:rsidRPr="00B67011">
        <w:rPr>
          <w:rFonts w:cstheme="minorHAnsi"/>
        </w:rPr>
        <w:t>(</w:t>
      </w:r>
      <w:r w:rsidRPr="00B67011">
        <w:rPr>
          <w:rFonts w:cstheme="minorHAnsi"/>
          <w:i/>
        </w:rPr>
        <w:t>yes</w:t>
      </w:r>
      <w:r w:rsidRPr="00B67011">
        <w:rPr>
          <w:rFonts w:cstheme="minorHAnsi"/>
          <w:i/>
          <w:vertAlign w:val="subscript"/>
        </w:rPr>
        <w:t>i</w:t>
      </w:r>
      <w:r w:rsidRPr="00B67011">
        <w:rPr>
          <w:rFonts w:cstheme="minorHAnsi"/>
        </w:rPr>
        <w:t xml:space="preserve">) = </w:t>
      </w:r>
      <w:r w:rsidRPr="00B67011">
        <w:rPr>
          <w:rFonts w:cstheme="minorHAnsi"/>
        </w:rPr>
        <w:t>Pr</w:t>
      </w:r>
      <w:r w:rsidRPr="00B67011">
        <w:rPr>
          <w:rFonts w:cstheme="minorHAnsi"/>
        </w:rPr>
        <w:t>(</w:t>
      </w:r>
      <w:r w:rsidRPr="00B67011">
        <w:rPr>
          <w:rFonts w:cstheme="minorHAnsi"/>
        </w:rPr>
        <w:t>WTP</w:t>
      </w:r>
      <w:r w:rsidRPr="00B67011">
        <w:rPr>
          <w:rFonts w:cstheme="minorHAnsi"/>
          <w:vertAlign w:val="subscript"/>
        </w:rPr>
        <w:t>i</w:t>
      </w:r>
      <w:r w:rsidRPr="00B67011">
        <w:rPr>
          <w:rFonts w:cstheme="minorHAnsi"/>
        </w:rPr>
        <w:t xml:space="preserve"> &gt; </w:t>
      </w:r>
      <w:r w:rsidRPr="00B67011">
        <w:rPr>
          <w:rFonts w:cstheme="minorHAnsi"/>
        </w:rPr>
        <w:t>A</w:t>
      </w:r>
      <w:r w:rsidRPr="00B67011">
        <w:rPr>
          <w:rFonts w:cstheme="minorHAnsi"/>
          <w:vertAlign w:val="subscript"/>
        </w:rPr>
        <w:t>j</w:t>
      </w:r>
      <w:r w:rsidRPr="00B67011">
        <w:rPr>
          <w:rFonts w:cstheme="minorHAnsi"/>
        </w:rPr>
        <w:t xml:space="preserve">) = </w:t>
      </w:r>
      <w:r w:rsidRPr="00B67011">
        <w:rPr>
          <w:rFonts w:cstheme="minorHAnsi"/>
        </w:rPr>
        <w:t>Pr</w:t>
      </w:r>
      <w:r w:rsidRPr="00B67011">
        <w:rPr>
          <w:rFonts w:cstheme="minorHAnsi"/>
        </w:rPr>
        <w:t>((</w:t>
      </w:r>
      <w:r w:rsidRPr="00B67011">
        <w:rPr>
          <w:rFonts w:cstheme="minorHAnsi"/>
        </w:rPr>
        <w:t>γ</w:t>
      </w:r>
      <w:r w:rsidRPr="00B67011">
        <w:rPr>
          <w:rFonts w:cstheme="minorHAnsi"/>
          <w:b/>
        </w:rPr>
        <w:t>z</w:t>
      </w:r>
      <w:r w:rsidRPr="00B67011">
        <w:rPr>
          <w:rFonts w:cstheme="minorHAnsi"/>
          <w:vertAlign w:val="subscript"/>
        </w:rPr>
        <w:t>i</w:t>
      </w:r>
      <w:r w:rsidRPr="00B67011">
        <w:rPr>
          <w:rFonts w:cstheme="minorHAnsi"/>
        </w:rPr>
        <w:t xml:space="preserve"> – </w:t>
      </w:r>
      <w:r w:rsidRPr="00B67011">
        <w:rPr>
          <w:rFonts w:cstheme="minorHAnsi"/>
        </w:rPr>
        <w:t>A</w:t>
      </w:r>
      <w:r w:rsidRPr="00B67011">
        <w:rPr>
          <w:rFonts w:cstheme="minorHAnsi"/>
          <w:vertAlign w:val="subscript"/>
        </w:rPr>
        <w:t>j</w:t>
      </w:r>
      <w:r w:rsidRPr="00B67011">
        <w:rPr>
          <w:rFonts w:cstheme="minorHAnsi"/>
        </w:rPr>
        <w:t xml:space="preserve">) &gt; </w:t>
      </w:r>
      <w:r w:rsidRPr="00B67011">
        <w:rPr>
          <w:rFonts w:cstheme="minorHAnsi"/>
        </w:rPr>
        <w:t>η</w:t>
      </w:r>
      <w:r w:rsidRPr="00B67011">
        <w:rPr>
          <w:rFonts w:cstheme="minorHAnsi"/>
          <w:vertAlign w:val="subscript"/>
        </w:rPr>
        <w:t>i</w:t>
      </w:r>
      <w:r w:rsidRPr="00B67011">
        <w:rPr>
          <w:rFonts w:cstheme="minorHAnsi"/>
        </w:rPr>
        <w:t xml:space="preserve">) = </w:t>
      </w:r>
      <w:r w:rsidRPr="00B67011">
        <w:rPr>
          <w:rFonts w:cstheme="minorHAnsi"/>
        </w:rPr>
        <w:t>Pr</w:t>
      </w:r>
      <w:r w:rsidRPr="00B67011">
        <w:rPr>
          <w:rFonts w:cstheme="minorHAnsi"/>
        </w:rPr>
        <w:t>(</w:t>
      </w:r>
      <w:r w:rsidRPr="00B67011">
        <w:rPr>
          <w:rFonts w:cstheme="minorHAnsi"/>
        </w:rPr>
        <w:t>γ</w:t>
      </w:r>
      <w:r w:rsidRPr="00B67011">
        <w:rPr>
          <w:rFonts w:cstheme="minorHAnsi"/>
          <w:b/>
        </w:rPr>
        <w:t>z</w:t>
      </w:r>
      <w:r w:rsidRPr="00B67011">
        <w:rPr>
          <w:rFonts w:cstheme="minorHAnsi"/>
          <w:vertAlign w:val="subscript"/>
        </w:rPr>
        <w:t>i</w:t>
      </w:r>
      <w:r w:rsidRPr="00B67011">
        <w:rPr>
          <w:rFonts w:cstheme="minorHAnsi"/>
        </w:rPr>
        <w:t xml:space="preserve"> – </w:t>
      </w:r>
      <w:r w:rsidRPr="00B67011">
        <w:rPr>
          <w:rFonts w:cstheme="minorHAnsi"/>
        </w:rPr>
        <w:t>A</w:t>
      </w:r>
      <w:r w:rsidRPr="00B67011">
        <w:rPr>
          <w:rFonts w:cstheme="minorHAnsi"/>
          <w:vertAlign w:val="subscript"/>
        </w:rPr>
        <w:t>j</w:t>
      </w:r>
      <w:r w:rsidRPr="00B67011">
        <w:rPr>
          <w:rFonts w:cstheme="minorHAnsi"/>
        </w:rPr>
        <w:t xml:space="preserve">) / σ &gt; </w:t>
      </w:r>
      <w:r w:rsidRPr="00B67011">
        <w:rPr>
          <w:rFonts w:cstheme="minorHAnsi"/>
        </w:rPr>
        <w:t>θ</w:t>
      </w:r>
      <w:r w:rsidRPr="00B67011">
        <w:rPr>
          <w:rFonts w:cstheme="minorHAnsi"/>
          <w:vertAlign w:val="subscript"/>
        </w:rPr>
        <w:t>i</w:t>
      </w:r>
      <w:r w:rsidRPr="00B67011">
        <w:rPr>
          <w:rFonts w:cstheme="minorHAnsi"/>
          <w:vertAlign w:val="subscript"/>
        </w:rPr>
        <w:tab/>
      </w:r>
      <w:r w:rsidRPr="00B67011">
        <w:rPr>
          <w:rFonts w:cstheme="minorHAnsi"/>
          <w:vertAlign w:val="subscript"/>
        </w:rPr>
        <w:tab/>
      </w:r>
      <w:r w:rsidR="008C03A1">
        <w:rPr>
          <w:rFonts w:cstheme="minorHAnsi"/>
          <w:bCs/>
          <w:vertAlign w:val="subscript"/>
        </w:rPr>
        <w:tab/>
      </w:r>
      <w:r w:rsidRPr="00B67011">
        <w:rPr>
          <w:rFonts w:cstheme="minorHAnsi"/>
        </w:rPr>
        <w:t>(2)</w:t>
      </w:r>
    </w:p>
    <w:p w:rsidR="007958E0" w:rsidRPr="00B67011" w:rsidP="007958E0" w14:paraId="0481ED01" w14:textId="77777777">
      <w:pPr>
        <w:spacing w:after="0" w:line="480" w:lineRule="auto"/>
        <w:rPr>
          <w:rFonts w:cstheme="minorHAnsi"/>
        </w:rPr>
      </w:pPr>
      <w:r w:rsidRPr="00B67011">
        <w:rPr>
          <w:rFonts w:cstheme="minorHAnsi"/>
        </w:rPr>
        <w:t xml:space="preserve">where </w:t>
      </w:r>
      <w:r w:rsidRPr="00B67011">
        <w:rPr>
          <w:rFonts w:cstheme="minorHAnsi"/>
        </w:rPr>
        <w:t>θ</w:t>
      </w:r>
      <w:r w:rsidRPr="00B67011">
        <w:rPr>
          <w:rFonts w:cstheme="minorHAnsi"/>
          <w:vertAlign w:val="subscript"/>
        </w:rPr>
        <w:t>i</w:t>
      </w:r>
      <w:r w:rsidRPr="00B67011">
        <w:rPr>
          <w:rFonts w:cstheme="minorHAnsi"/>
        </w:rPr>
        <w:t xml:space="preserve"> is </w:t>
      </w:r>
      <w:r w:rsidRPr="00B67011">
        <w:rPr>
          <w:rFonts w:cstheme="minorHAnsi"/>
        </w:rPr>
        <w:t>N(</w:t>
      </w:r>
      <w:r w:rsidRPr="00B67011">
        <w:rPr>
          <w:rFonts w:cstheme="minorHAnsi"/>
        </w:rPr>
        <w:t>0,1). In this dichotomous choice model, (</w:t>
      </w:r>
      <w:r w:rsidRPr="00B67011">
        <w:rPr>
          <w:rFonts w:cstheme="minorHAnsi"/>
          <w:b/>
        </w:rPr>
        <w:t>z</w:t>
      </w:r>
      <w:r w:rsidRPr="00B67011">
        <w:rPr>
          <w:rFonts w:cstheme="minorHAnsi"/>
        </w:rPr>
        <w:t>, A) are covariates with coefficients γ/σ, -1/σ. An estimate of γ can be obtained using the estimated coefficients from a probit model. A consistent estimate of expected WTP and a consistent estimate of the median can then be calculated as:</w:t>
      </w:r>
    </w:p>
    <w:p w:rsidR="007958E0" w:rsidRPr="00B67011" w:rsidP="007958E0" w14:paraId="076DFB89" w14:textId="37A57A63">
      <w:pPr>
        <w:spacing w:after="0" w:line="480" w:lineRule="auto"/>
        <w:ind w:firstLine="720"/>
        <w:rPr>
          <w:rFonts w:cstheme="minorHAnsi"/>
        </w:rPr>
      </w:pPr>
      <w:bookmarkStart w:id="7" w:name="_Hlk69305958"/>
      <w:r w:rsidRPr="00B67011">
        <w:rPr>
          <w:rFonts w:cstheme="minorHAnsi"/>
        </w:rPr>
        <w:t>E</w:t>
      </w:r>
      <w:r w:rsidRPr="00B67011">
        <w:rPr>
          <w:rFonts w:cstheme="minorHAnsi"/>
          <w:vertAlign w:val="subscript"/>
        </w:rPr>
        <w:t>η</w:t>
      </w:r>
      <w:r w:rsidRPr="00B67011">
        <w:rPr>
          <w:rFonts w:cstheme="minorHAnsi"/>
        </w:rPr>
        <w:t>(</w:t>
      </w:r>
      <w:r w:rsidRPr="00B67011">
        <w:rPr>
          <w:rFonts w:cstheme="minorHAnsi"/>
        </w:rPr>
        <w:t>WTP</w:t>
      </w:r>
      <w:r w:rsidRPr="00B67011">
        <w:rPr>
          <w:rFonts w:cstheme="minorHAnsi"/>
          <w:lang w:bidi="he-IL"/>
        </w:rPr>
        <w:t>│</w:t>
      </w:r>
      <w:r w:rsidRPr="005D26D7">
        <w:rPr>
          <w:rFonts w:cstheme="minorHAnsi"/>
          <w:b/>
          <w:lang w:bidi="he-IL"/>
        </w:rPr>
        <w:t>z</w:t>
      </w:r>
      <w:r w:rsidRPr="005D26D7">
        <w:rPr>
          <w:rFonts w:cstheme="minorHAnsi"/>
          <w:b/>
          <w:vertAlign w:val="subscript"/>
          <w:lang w:bidi="he-IL"/>
        </w:rPr>
        <w:t>i</w:t>
      </w:r>
      <w:r w:rsidRPr="00B67011">
        <w:rPr>
          <w:rFonts w:cstheme="minorHAnsi"/>
          <w:lang w:bidi="he-IL"/>
        </w:rPr>
        <w:t xml:space="preserve">, γ) = </w:t>
      </w:r>
      <w:r w:rsidRPr="00B67011">
        <w:rPr>
          <w:rFonts w:cstheme="minorHAnsi"/>
          <w:lang w:bidi="he-IL"/>
        </w:rPr>
        <w:t>MD</w:t>
      </w:r>
      <w:r w:rsidRPr="00B67011">
        <w:rPr>
          <w:rFonts w:cstheme="minorHAnsi"/>
          <w:vertAlign w:val="subscript"/>
        </w:rPr>
        <w:t>η</w:t>
      </w:r>
      <w:r w:rsidRPr="00B67011">
        <w:rPr>
          <w:rFonts w:cstheme="minorHAnsi"/>
          <w:lang w:bidi="he-IL"/>
        </w:rPr>
        <w:t xml:space="preserve"> (</w:t>
      </w:r>
      <w:r w:rsidRPr="00B67011">
        <w:rPr>
          <w:rFonts w:cstheme="minorHAnsi"/>
        </w:rPr>
        <w:t>WTP</w:t>
      </w:r>
      <w:r w:rsidRPr="00B67011">
        <w:rPr>
          <w:rFonts w:cstheme="minorHAnsi"/>
          <w:lang w:bidi="he-IL"/>
        </w:rPr>
        <w:t>│</w:t>
      </w:r>
      <w:r w:rsidRPr="005D26D7">
        <w:rPr>
          <w:rFonts w:cstheme="minorHAnsi"/>
          <w:b/>
          <w:lang w:bidi="he-IL"/>
        </w:rPr>
        <w:t>z</w:t>
      </w:r>
      <w:r w:rsidRPr="005D26D7">
        <w:rPr>
          <w:rFonts w:cstheme="minorHAnsi"/>
          <w:b/>
          <w:vertAlign w:val="subscript"/>
          <w:lang w:bidi="he-IL"/>
        </w:rPr>
        <w:t>i</w:t>
      </w:r>
      <w:r w:rsidRPr="00B67011">
        <w:rPr>
          <w:rFonts w:cstheme="minorHAnsi"/>
          <w:lang w:bidi="he-IL"/>
        </w:rPr>
        <w:t xml:space="preserve">, γ) =  </w:t>
      </w:r>
      <w:r w:rsidRPr="00B67011">
        <w:rPr>
          <w:rFonts w:eastAsiaTheme="minorEastAsia" w:cstheme="minorHAnsi"/>
          <w:lang w:bidi="he-IL"/>
        </w:rPr>
        <w:t>(</w:t>
      </w:r>
      <m:oMath>
        <m:f>
          <m:fPr>
            <m:ctrlPr>
              <w:rPr>
                <w:rFonts w:ascii="Cambria Math" w:hAnsi="Cambria Math" w:cstheme="minorHAnsi"/>
                <w:i/>
                <w:lang w:bidi="he-IL"/>
              </w:rPr>
            </m:ctrlPr>
          </m:fPr>
          <m:num>
            <m:acc>
              <m:accPr>
                <m:ctrlPr>
                  <w:rPr>
                    <w:rFonts w:ascii="Cambria Math" w:hAnsi="Cambria Math" w:cstheme="minorHAnsi"/>
                    <w:i/>
                    <w:lang w:bidi="he-IL"/>
                  </w:rPr>
                </m:ctrlPr>
              </m:accPr>
              <m:e>
                <m:r>
                  <w:rPr>
                    <w:rFonts w:ascii="Cambria Math" w:hAnsi="Cambria Math" w:cstheme="minorHAnsi"/>
                    <w:lang w:bidi="he-IL"/>
                  </w:rPr>
                  <m:t>γ</m:t>
                </m:r>
              </m:e>
            </m:acc>
          </m:num>
          <m:den>
            <m:r>
              <w:rPr>
                <w:rFonts w:ascii="Cambria Math" w:hAnsi="Cambria Math" w:cstheme="minorHAnsi"/>
                <w:lang w:bidi="he-IL"/>
              </w:rPr>
              <m:t>σ</m:t>
            </m:r>
          </m:den>
        </m:f>
        <m:r>
          <w:rPr>
            <w:rFonts w:ascii="Cambria Math" w:hAnsi="Cambria Math" w:eastAsiaTheme="minorEastAsia" w:cstheme="minorHAnsi"/>
            <w:lang w:bidi="he-IL"/>
          </w:rPr>
          <m:t>/</m:t>
        </m:r>
      </m:oMath>
      <w:r w:rsidRPr="00B67011">
        <w:rPr>
          <w:rFonts w:eastAsiaTheme="minorEastAsia" w:cstheme="minorHAnsi"/>
          <w:b/>
          <w:lang w:bidi="he-IL"/>
        </w:rPr>
        <w:t xml:space="preserve"> </w:t>
      </w:r>
      <m:oMath>
        <m:f>
          <m:fPr>
            <m:ctrlPr>
              <w:rPr>
                <w:rFonts w:ascii="Cambria Math" w:hAnsi="Cambria Math" w:cstheme="minorHAnsi"/>
                <w:i/>
                <w:lang w:bidi="he-IL"/>
              </w:rPr>
            </m:ctrlPr>
          </m:fPr>
          <m:num>
            <m:acc>
              <m:accPr>
                <m:ctrlPr>
                  <w:rPr>
                    <w:rFonts w:ascii="Cambria Math" w:hAnsi="Cambria Math" w:cstheme="minorHAnsi"/>
                    <w:i/>
                    <w:lang w:bidi="he-IL"/>
                  </w:rPr>
                </m:ctrlPr>
              </m:accPr>
              <m:e>
                <m:r>
                  <w:rPr>
                    <w:rFonts w:ascii="Cambria Math" w:hAnsi="Cambria Math" w:cstheme="minorHAnsi"/>
                    <w:lang w:bidi="he-IL"/>
                  </w:rPr>
                  <m:t>1</m:t>
                </m:r>
              </m:e>
            </m:acc>
          </m:num>
          <m:den>
            <m:r>
              <w:rPr>
                <w:rFonts w:ascii="Cambria Math" w:hAnsi="Cambria Math" w:cstheme="minorHAnsi"/>
                <w:lang w:bidi="he-IL"/>
              </w:rPr>
              <m:t>σ</m:t>
            </m:r>
          </m:den>
        </m:f>
        <m:r>
          <w:rPr>
            <w:rFonts w:ascii="Cambria Math" w:hAnsi="Cambria Math" w:cstheme="minorHAnsi"/>
            <w:lang w:bidi="he-IL"/>
          </w:rPr>
          <m:t>)</m:t>
        </m:r>
        <m:r>
          <m:rPr>
            <m:sty m:val="bi"/>
          </m:rPr>
          <w:rPr>
            <w:rFonts w:ascii="Cambria Math" w:hAnsi="Cambria Math" w:cstheme="minorHAnsi"/>
            <w:lang w:bidi="he-IL"/>
          </w:rPr>
          <m:t>z</m:t>
        </m:r>
      </m:oMath>
      <w:r w:rsidRPr="00B67011">
        <w:rPr>
          <w:rFonts w:eastAsiaTheme="minorEastAsia" w:cstheme="minorHAnsi"/>
          <w:b/>
          <w:lang w:bidi="he-IL"/>
        </w:rPr>
        <w:tab/>
      </w:r>
      <w:r w:rsidRPr="00B67011">
        <w:rPr>
          <w:rFonts w:eastAsiaTheme="minorEastAsia" w:cstheme="minorHAnsi"/>
          <w:b/>
          <w:lang w:bidi="he-IL"/>
        </w:rPr>
        <w:tab/>
      </w:r>
      <w:r w:rsidRPr="00B67011">
        <w:rPr>
          <w:rFonts w:eastAsiaTheme="minorEastAsia" w:cstheme="minorHAnsi"/>
          <w:b/>
          <w:lang w:bidi="he-IL"/>
        </w:rPr>
        <w:tab/>
      </w:r>
      <w:r w:rsidRPr="00B67011">
        <w:rPr>
          <w:rFonts w:eastAsiaTheme="minorEastAsia" w:cstheme="minorHAnsi"/>
          <w:b/>
          <w:lang w:bidi="he-IL"/>
        </w:rPr>
        <w:tab/>
      </w:r>
      <w:r w:rsidR="008C03A1">
        <w:rPr>
          <w:rFonts w:eastAsiaTheme="minorEastAsia" w:cstheme="minorHAnsi"/>
          <w:b/>
          <w:lang w:bidi="he-IL"/>
        </w:rPr>
        <w:tab/>
      </w:r>
      <w:r w:rsidRPr="00B67011">
        <w:rPr>
          <w:rFonts w:eastAsiaTheme="minorEastAsia" w:cstheme="minorHAnsi"/>
          <w:bCs/>
          <w:lang w:bidi="he-IL"/>
        </w:rPr>
        <w:t>(</w:t>
      </w:r>
      <w:r w:rsidR="008C03A1">
        <w:rPr>
          <w:rFonts w:eastAsiaTheme="minorEastAsia" w:cstheme="minorHAnsi"/>
          <w:bCs/>
          <w:lang w:bidi="he-IL"/>
        </w:rPr>
        <w:t>3</w:t>
      </w:r>
      <w:r w:rsidRPr="00B67011">
        <w:rPr>
          <w:rFonts w:eastAsiaTheme="minorEastAsia" w:cstheme="minorHAnsi"/>
          <w:lang w:bidi="he-IL"/>
        </w:rPr>
        <w:t>)</w:t>
      </w:r>
    </w:p>
    <w:bookmarkEnd w:id="7"/>
    <w:p w:rsidR="00D81403" w:rsidRPr="008C03A1" w:rsidP="00D81403" w14:paraId="73ACF1AE" w14:textId="4B3BCCF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theme="minorHAnsi"/>
        </w:rPr>
      </w:pPr>
      <w:r w:rsidRPr="008C03A1">
        <w:rPr>
          <w:rFonts w:cstheme="minorHAnsi"/>
        </w:rPr>
        <w:t xml:space="preserve">In addition to being appropriate for estimation by parametric modeling, as shown above, the data collected though the </w:t>
      </w:r>
      <w:r w:rsidRPr="008C03A1" w:rsidR="007958E0">
        <w:rPr>
          <w:rFonts w:cstheme="minorHAnsi"/>
        </w:rPr>
        <w:t>dichotomous choice</w:t>
      </w:r>
      <w:r w:rsidRPr="008C03A1">
        <w:rPr>
          <w:rFonts w:cstheme="minorHAnsi"/>
        </w:rPr>
        <w:t xml:space="preserve"> question, and the associated average trip willingness to pay those responses imply, can also be estimated non-parametrically using </w:t>
      </w:r>
      <w:r w:rsidRPr="008C03A1" w:rsidR="0076082B">
        <w:rPr>
          <w:rFonts w:cstheme="minorHAnsi"/>
        </w:rPr>
        <w:t>the Turnbull approach</w:t>
      </w:r>
      <w:r w:rsidRPr="008C03A1" w:rsidR="00A915E6">
        <w:rPr>
          <w:rFonts w:cstheme="minorHAnsi"/>
        </w:rPr>
        <w:t xml:space="preserve"> (Haab and McConnell, 2002)</w:t>
      </w:r>
      <w:r w:rsidRPr="008C03A1">
        <w:rPr>
          <w:rFonts w:cstheme="minorHAnsi"/>
        </w:rPr>
        <w:t xml:space="preserve">. This second, more robust, estimation method yields a complementary </w:t>
      </w:r>
      <w:r w:rsidRPr="008C03A1" w:rsidR="003B3765">
        <w:rPr>
          <w:rFonts w:cstheme="minorHAnsi"/>
        </w:rPr>
        <w:t>lower bound</w:t>
      </w:r>
      <w:r w:rsidRPr="008C03A1">
        <w:rPr>
          <w:rFonts w:cstheme="minorHAnsi"/>
        </w:rPr>
        <w:t xml:space="preserve"> WTP estimate.</w:t>
      </w:r>
      <w:r w:rsidRPr="008C03A1" w:rsidR="003B3765">
        <w:rPr>
          <w:rFonts w:cstheme="minorHAnsi"/>
        </w:rPr>
        <w:t xml:space="preserve"> It also addresses issues common to </w:t>
      </w:r>
      <w:r w:rsidRPr="008C03A1" w:rsidR="002E3BC9">
        <w:rPr>
          <w:rFonts w:cstheme="minorHAnsi"/>
        </w:rPr>
        <w:t>p</w:t>
      </w:r>
      <w:r w:rsidRPr="008C03A1" w:rsidR="003B3765">
        <w:rPr>
          <w:rFonts w:cstheme="minorHAnsi"/>
        </w:rPr>
        <w:t xml:space="preserve">arametric modeling, such as </w:t>
      </w:r>
      <w:r w:rsidRPr="008C03A1" w:rsidR="00E13F89">
        <w:rPr>
          <w:rFonts w:cstheme="minorHAnsi"/>
        </w:rPr>
        <w:t xml:space="preserve">fat tails (i.e., a </w:t>
      </w:r>
      <w:r w:rsidRPr="008C03A1" w:rsidR="007D0826">
        <w:rPr>
          <w:rFonts w:cstheme="minorHAnsi"/>
        </w:rPr>
        <w:t>large</w:t>
      </w:r>
      <w:r w:rsidRPr="008C03A1" w:rsidR="005C637C">
        <w:rPr>
          <w:rFonts w:cstheme="minorHAnsi"/>
        </w:rPr>
        <w:t xml:space="preserve"> percentage of respondents agreeing to pay the highest bid amount</w:t>
      </w:r>
      <w:r w:rsidRPr="008C03A1" w:rsidR="007D0826">
        <w:rPr>
          <w:rFonts w:cstheme="minorHAnsi"/>
        </w:rPr>
        <w:t>)</w:t>
      </w:r>
      <w:r w:rsidRPr="008C03A1" w:rsidR="005C637C">
        <w:rPr>
          <w:rFonts w:cstheme="minorHAnsi"/>
        </w:rPr>
        <w:t xml:space="preserve">. </w:t>
      </w:r>
    </w:p>
    <w:p w:rsidR="00D81403" w:rsidP="00D81403" w14:paraId="14163CD9" w14:textId="6418CFC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rPr>
      </w:pPr>
      <w:r>
        <w:rPr>
          <w:rFonts w:eastAsia="Times New Roman"/>
        </w:rPr>
        <w:t xml:space="preserve">The range of possible </w:t>
      </w:r>
      <w:r w:rsidR="002E3BC9">
        <w:rPr>
          <w:rFonts w:eastAsia="Times New Roman"/>
        </w:rPr>
        <w:t>bid amounts</w:t>
      </w:r>
      <w:r>
        <w:rPr>
          <w:rFonts w:eastAsia="Times New Roman"/>
        </w:rPr>
        <w:t xml:space="preserve"> are chosen </w:t>
      </w:r>
      <w:r w:rsidR="00751CEE">
        <w:rPr>
          <w:rFonts w:eastAsia="Times New Roman"/>
        </w:rPr>
        <w:t>based on results of a previous pilot study (described below)</w:t>
      </w:r>
      <w:r w:rsidRPr="00A54FF1" w:rsidR="00751CEE">
        <w:rPr>
          <w:rFonts w:eastAsia="Times New Roman"/>
        </w:rPr>
        <w:t>, review</w:t>
      </w:r>
      <w:r w:rsidR="00751CEE">
        <w:rPr>
          <w:rFonts w:eastAsia="Times New Roman"/>
        </w:rPr>
        <w:t xml:space="preserve"> of other trip expense literature</w:t>
      </w:r>
      <w:r w:rsidR="00820950">
        <w:rPr>
          <w:rFonts w:eastAsia="Times New Roman"/>
        </w:rPr>
        <w:t>,</w:t>
      </w:r>
      <w:r w:rsidR="00751CEE">
        <w:rPr>
          <w:rFonts w:eastAsia="Times New Roman"/>
        </w:rPr>
        <w:t xml:space="preserve"> and consultation with subject matter experts. </w:t>
      </w:r>
      <w:r>
        <w:rPr>
          <w:rFonts w:eastAsia="Times New Roman"/>
        </w:rPr>
        <w:t xml:space="preserve">The </w:t>
      </w:r>
      <w:r w:rsidR="00B330A8">
        <w:rPr>
          <w:rFonts w:eastAsia="Times New Roman"/>
        </w:rPr>
        <w:t>bid amounts</w:t>
      </w:r>
      <w:r>
        <w:rPr>
          <w:rFonts w:eastAsia="Times New Roman"/>
        </w:rPr>
        <w:t xml:space="preserve"> max out at $2,000</w:t>
      </w:r>
      <w:r w:rsidR="008E65A6">
        <w:rPr>
          <w:rFonts w:eastAsia="Times New Roman"/>
        </w:rPr>
        <w:t xml:space="preserve"> in version A and $750 </w:t>
      </w:r>
      <w:r w:rsidR="00A915E6">
        <w:rPr>
          <w:rFonts w:eastAsia="Times New Roman"/>
        </w:rPr>
        <w:t>in</w:t>
      </w:r>
      <w:r w:rsidR="008E65A6">
        <w:rPr>
          <w:rFonts w:eastAsia="Times New Roman"/>
        </w:rPr>
        <w:t xml:space="preserve"> version B</w:t>
      </w:r>
      <w:r>
        <w:rPr>
          <w:rFonts w:eastAsia="Times New Roman"/>
        </w:rPr>
        <w:t xml:space="preserve">, a value within the realm of realistic change for </w:t>
      </w:r>
      <w:r w:rsidR="00E91B6A">
        <w:rPr>
          <w:rFonts w:eastAsia="Times New Roman"/>
        </w:rPr>
        <w:t xml:space="preserve">park </w:t>
      </w:r>
      <w:r>
        <w:rPr>
          <w:rFonts w:eastAsia="Times New Roman"/>
        </w:rPr>
        <w:t xml:space="preserve">visitors, yet likely above the WTP for </w:t>
      </w:r>
      <w:r>
        <w:rPr>
          <w:rFonts w:eastAsia="Times New Roman"/>
        </w:rPr>
        <w:t>the large majority of</w:t>
      </w:r>
      <w:r>
        <w:rPr>
          <w:rFonts w:eastAsia="Times New Roman"/>
        </w:rPr>
        <w:t xml:space="preserve"> respondents. </w:t>
      </w:r>
      <w:bookmarkStart w:id="8" w:name="_Hlk117844946"/>
      <w:r>
        <w:rPr>
          <w:rFonts w:eastAsia="Times New Roman"/>
        </w:rPr>
        <w:t>The max</w:t>
      </w:r>
      <w:r w:rsidR="00533FC6">
        <w:rPr>
          <w:rFonts w:eastAsia="Times New Roman"/>
        </w:rPr>
        <w:t>imum</w:t>
      </w:r>
      <w:r>
        <w:rPr>
          <w:rFonts w:eastAsia="Times New Roman"/>
        </w:rPr>
        <w:t xml:space="preserve"> value is also set so as </w:t>
      </w:r>
      <w:r w:rsidR="00533FC6">
        <w:rPr>
          <w:rFonts w:eastAsia="Times New Roman"/>
        </w:rPr>
        <w:t xml:space="preserve">not </w:t>
      </w:r>
      <w:r>
        <w:rPr>
          <w:rFonts w:eastAsia="Times New Roman"/>
        </w:rPr>
        <w:t xml:space="preserve">to significantly upward bias the responses. </w:t>
      </w:r>
      <w:bookmarkEnd w:id="8"/>
    </w:p>
    <w:p w:rsidR="00DC6850" w:rsidRPr="00533FC6" w:rsidP="00DC6850" w14:paraId="6B529695" w14:textId="26E7EC35">
      <w:pPr>
        <w:pStyle w:val="NoSpacing"/>
        <w:rPr>
          <w:b/>
          <w:bCs/>
        </w:rPr>
      </w:pPr>
      <w:r>
        <w:rPr>
          <w:b/>
          <w:bCs/>
        </w:rPr>
        <w:t xml:space="preserve">Piloting of </w:t>
      </w:r>
      <w:r w:rsidR="005F45E9">
        <w:rPr>
          <w:b/>
          <w:bCs/>
        </w:rPr>
        <w:t xml:space="preserve">the </w:t>
      </w:r>
      <w:r w:rsidR="00F3667A">
        <w:rPr>
          <w:b/>
          <w:bCs/>
        </w:rPr>
        <w:t>WTP Question</w:t>
      </w:r>
    </w:p>
    <w:p w:rsidR="00DC6850" w:rsidRPr="0012175A" w:rsidP="0012175A" w14:paraId="685D6A04" w14:textId="4B62AEF8">
      <w:pPr>
        <w:pStyle w:val="NoSpacing"/>
        <w:spacing w:line="360" w:lineRule="auto"/>
        <w:rPr>
          <w:rFonts w:eastAsia="Times New Roman"/>
          <w:color w:val="000000"/>
        </w:rPr>
      </w:pPr>
      <w:r w:rsidRPr="0012175A">
        <w:t xml:space="preserve">During the Phase I pilot, </w:t>
      </w:r>
      <w:r w:rsidR="00F3667A">
        <w:t>a similar WTP question</w:t>
      </w:r>
      <w:r w:rsidRPr="0012175A">
        <w:t xml:space="preserve"> was evaluated in three select parks (</w:t>
      </w:r>
      <w:r w:rsidR="00237ABF">
        <w:t>Glacier National Park (</w:t>
      </w:r>
      <w:r w:rsidRPr="0012175A">
        <w:t>GLAC</w:t>
      </w:r>
      <w:r w:rsidR="003F7CD9">
        <w:t>)</w:t>
      </w:r>
      <w:r w:rsidRPr="0012175A">
        <w:t xml:space="preserve">, </w:t>
      </w:r>
      <w:r w:rsidR="00313465">
        <w:t>Klondike Gold Rush National Historical Park (</w:t>
      </w:r>
      <w:r w:rsidRPr="0012175A">
        <w:t>KLGO</w:t>
      </w:r>
      <w:r w:rsidR="00313465">
        <w:t>)</w:t>
      </w:r>
      <w:r w:rsidRPr="0012175A">
        <w:t xml:space="preserve">, and </w:t>
      </w:r>
      <w:r w:rsidR="00E64C77">
        <w:t>World War II Valor in the Pacific National Monument (</w:t>
      </w:r>
      <w:r w:rsidRPr="0012175A">
        <w:t>VALR</w:t>
      </w:r>
      <w:r w:rsidR="00E64C77">
        <w:t>)</w:t>
      </w:r>
      <w:r w:rsidRPr="0012175A">
        <w:t>).</w:t>
      </w:r>
      <w:r>
        <w:rPr>
          <w:rStyle w:val="FootnoteReference"/>
        </w:rPr>
        <w:footnoteReference w:id="4"/>
      </w:r>
      <w:r w:rsidRPr="0012175A" w:rsidR="008C495B">
        <w:t xml:space="preserve"> Each of the three pilots provided respondents with similar phrasing as described above. </w:t>
      </w:r>
      <w:r w:rsidR="00F66808">
        <w:t>However, a payment card</w:t>
      </w:r>
      <w:r w:rsidR="006265BA">
        <w:t xml:space="preserve"> response format</w:t>
      </w:r>
      <w:r w:rsidR="00F66808">
        <w:t xml:space="preserve"> was used, which includes a menu of bid amounts that respondents can select from. </w:t>
      </w:r>
      <w:r w:rsidR="005F45E9">
        <w:t>The responses to th</w:t>
      </w:r>
      <w:r w:rsidR="001F6187">
        <w:t>at</w:t>
      </w:r>
      <w:r w:rsidR="005F45E9">
        <w:t xml:space="preserve"> question help</w:t>
      </w:r>
      <w:r w:rsidR="00D31382">
        <w:t>ed</w:t>
      </w:r>
      <w:r w:rsidR="005F45E9">
        <w:t xml:space="preserve"> inform </w:t>
      </w:r>
      <w:r w:rsidR="00054F58">
        <w:t xml:space="preserve">the </w:t>
      </w:r>
      <w:r w:rsidR="00F66808">
        <w:t>bid design</w:t>
      </w:r>
      <w:r w:rsidR="00054F58">
        <w:t xml:space="preserve"> for </w:t>
      </w:r>
      <w:r w:rsidR="00D31382">
        <w:t xml:space="preserve">the </w:t>
      </w:r>
      <w:r w:rsidR="006265BA">
        <w:t xml:space="preserve">WTP </w:t>
      </w:r>
      <w:r w:rsidR="00F72FFE">
        <w:t xml:space="preserve">question </w:t>
      </w:r>
      <w:r w:rsidR="001F6187">
        <w:t>proposed here</w:t>
      </w:r>
      <w:r w:rsidR="00F66808">
        <w:t xml:space="preserve">. </w:t>
      </w:r>
      <w:r w:rsidRPr="0012175A" w:rsidR="008C495B">
        <w:t xml:space="preserve">GLAC provided the full range of payment selection options up to $2,000. VALR and KLGO each rose to $750. </w:t>
      </w:r>
      <w:r w:rsidRPr="0012175A" w:rsidR="00F578A7">
        <w:t>In each of these pilots, we f</w:t>
      </w:r>
      <w:r w:rsidR="003C3A61">
        <w:t>ound</w:t>
      </w:r>
      <w:r w:rsidRPr="0012175A" w:rsidR="00F578A7">
        <w:t xml:space="preserve"> no indication of an upward </w:t>
      </w:r>
      <w:r w:rsidRPr="0012175A" w:rsidR="00F578A7">
        <w:t>bias or artificial truncation of the responses. In each case, we identif</w:t>
      </w:r>
      <w:r w:rsidR="003C3A61">
        <w:t>ied</w:t>
      </w:r>
      <w:r w:rsidRPr="0012175A" w:rsidR="00F578A7">
        <w:t xml:space="preserve"> fewer than 10% of respondents selecting the highest respective bid amounts </w:t>
      </w:r>
      <w:r w:rsidRPr="0012175A" w:rsidR="00F578A7">
        <w:rPr>
          <w:rFonts w:eastAsia="Times New Roman"/>
          <w:color w:val="000000"/>
        </w:rPr>
        <w:t>(5% in VALR and GLAC and 8% in KLGO).</w:t>
      </w:r>
      <w:r w:rsidR="00125B20">
        <w:rPr>
          <w:rFonts w:eastAsia="Times New Roman"/>
          <w:color w:val="000000"/>
        </w:rPr>
        <w:t xml:space="preserve"> As noted by Parsons and Myers (</w:t>
      </w:r>
      <w:r w:rsidR="000463E2">
        <w:rPr>
          <w:rFonts w:eastAsia="Times New Roman"/>
          <w:color w:val="000000"/>
        </w:rPr>
        <w:t>2016)</w:t>
      </w:r>
      <w:r w:rsidR="00125B20">
        <w:rPr>
          <w:rFonts w:eastAsia="Times New Roman"/>
          <w:color w:val="000000"/>
        </w:rPr>
        <w:t xml:space="preserve">, </w:t>
      </w:r>
      <w:r w:rsidR="00F72FFE">
        <w:rPr>
          <w:rFonts w:eastAsia="Times New Roman"/>
          <w:color w:val="000000"/>
        </w:rPr>
        <w:t xml:space="preserve">problematic </w:t>
      </w:r>
      <w:r w:rsidR="0049465A">
        <w:rPr>
          <w:rFonts w:eastAsia="Times New Roman"/>
          <w:color w:val="000000"/>
        </w:rPr>
        <w:t>fat tails are typically characterized by a ‘yes’ response of 20% or greater. Thus, we believe th</w:t>
      </w:r>
      <w:r w:rsidR="00B816F5">
        <w:rPr>
          <w:rFonts w:eastAsia="Times New Roman"/>
          <w:color w:val="000000"/>
        </w:rPr>
        <w:t xml:space="preserve">e </w:t>
      </w:r>
      <w:r w:rsidR="00DB68B7">
        <w:rPr>
          <w:rFonts w:eastAsia="Times New Roman"/>
          <w:color w:val="000000"/>
        </w:rPr>
        <w:t>upper end of the bid range was</w:t>
      </w:r>
      <w:r w:rsidR="00EC6D5D">
        <w:rPr>
          <w:rFonts w:eastAsia="Times New Roman"/>
          <w:color w:val="000000"/>
        </w:rPr>
        <w:t xml:space="preserve"> sufficient. </w:t>
      </w:r>
    </w:p>
    <w:p w:rsidR="00F578A7" w:rsidRPr="0012175A" w:rsidP="0012175A" w14:paraId="4E3F77F6" w14:textId="73E9F3C7">
      <w:pPr>
        <w:pStyle w:val="NoSpacing"/>
        <w:spacing w:line="360" w:lineRule="auto"/>
        <w:rPr>
          <w:rFonts w:eastAsia="Times New Roman"/>
          <w:color w:val="000000"/>
        </w:rPr>
      </w:pPr>
    </w:p>
    <w:p w:rsidR="00CF0AB2" w:rsidRPr="0012175A" w:rsidP="0012175A" w14:paraId="20128393" w14:textId="7597A494">
      <w:pPr>
        <w:pStyle w:val="NoSpacing"/>
        <w:spacing w:line="360" w:lineRule="auto"/>
        <w:rPr>
          <w:rFonts w:eastAsia="Times New Roman"/>
          <w:color w:val="000000"/>
        </w:rPr>
      </w:pPr>
      <w:r w:rsidRPr="0012175A">
        <w:rPr>
          <w:rFonts w:eastAsia="Times New Roman"/>
          <w:color w:val="000000"/>
        </w:rPr>
        <w:t>Results from VALR have been peer reviewed and published (Sinclair, Huber, &amp; Richardson, 2020). Several key highlights from this study include:</w:t>
      </w:r>
    </w:p>
    <w:p w:rsidR="00CF0AB2" w:rsidRPr="0012175A" w:rsidP="0012175A" w14:paraId="3825EE31" w14:textId="0A9C4E7A">
      <w:pPr>
        <w:pStyle w:val="NoSpacing"/>
        <w:numPr>
          <w:ilvl w:val="0"/>
          <w:numId w:val="31"/>
        </w:numPr>
        <w:spacing w:line="360" w:lineRule="auto"/>
      </w:pPr>
      <w:r w:rsidRPr="0012175A">
        <w:t>Payment card question and additional variables hypothesized to influence an individual</w:t>
      </w:r>
      <w:r w:rsidRPr="0012175A" w:rsidR="0012175A">
        <w:t>’</w:t>
      </w:r>
      <w:r w:rsidRPr="0012175A">
        <w:t>s consumer surplus were explored</w:t>
      </w:r>
      <w:r w:rsidRPr="0012175A" w:rsidR="0012175A">
        <w:t>/tested</w:t>
      </w:r>
      <w:r w:rsidRPr="0012175A">
        <w:t xml:space="preserve"> using </w:t>
      </w:r>
      <w:r w:rsidRPr="0012175A" w:rsidR="0012175A">
        <w:t xml:space="preserve">a full, unrestricted regression model. These variables </w:t>
      </w:r>
      <w:r w:rsidRPr="0012175A" w:rsidR="0012175A">
        <w:t>include:</w:t>
      </w:r>
      <w:r w:rsidRPr="0012175A" w:rsidR="0012175A">
        <w:t xml:space="preserve"> age, income, gender, education, residency, and whether the primary reason for visiting the National Memorial was to pay respects or learn more about American history and culture. These were the top two reported motivations for visiting the site.</w:t>
      </w:r>
      <w:r w:rsidRPr="0012175A">
        <w:t xml:space="preserve"> </w:t>
      </w:r>
    </w:p>
    <w:p w:rsidR="0012175A" w:rsidRPr="0012175A" w:rsidP="0012175A" w14:paraId="195488C4" w14:textId="0D6344A0">
      <w:pPr>
        <w:pStyle w:val="NoSpacing"/>
        <w:numPr>
          <w:ilvl w:val="0"/>
          <w:numId w:val="31"/>
        </w:numPr>
        <w:spacing w:line="360" w:lineRule="auto"/>
      </w:pPr>
      <w:r w:rsidRPr="0012175A">
        <w:t>86% of respondents answered the willingness to pay question, with 13% of respondents indicating their additional willingness to pay as $0, while 5% indicated the maximum value of $750.</w:t>
      </w:r>
    </w:p>
    <w:p w:rsidR="0012175A" w:rsidRPr="0012175A" w:rsidP="0012175A" w14:paraId="7F07C6FA" w14:textId="0D96470D">
      <w:pPr>
        <w:pStyle w:val="NoSpacing"/>
        <w:numPr>
          <w:ilvl w:val="0"/>
          <w:numId w:val="31"/>
        </w:numPr>
        <w:spacing w:line="360" w:lineRule="auto"/>
      </w:pPr>
      <w:r w:rsidRPr="0012175A">
        <w:t xml:space="preserve"> The income variable was identified as being significant and positive as economic theory would suggest.</w:t>
      </w:r>
    </w:p>
    <w:p w:rsidR="0045722C" w:rsidP="003861BF" w14:paraId="7BD6BC57" w14:textId="475ACF6E">
      <w:pPr>
        <w:pStyle w:val="NoSpacing"/>
        <w:numPr>
          <w:ilvl w:val="0"/>
          <w:numId w:val="31"/>
        </w:numPr>
        <w:spacing w:line="360" w:lineRule="auto"/>
      </w:pPr>
      <w:r w:rsidRPr="0012175A">
        <w:t>Estimated mean WTP for visiting VALR is $157.34 per person (in 2016 dollars), 95% CI</w:t>
      </w:r>
      <w:r w:rsidR="006D5D3F">
        <w:t xml:space="preserve"> </w:t>
      </w:r>
      <w:r w:rsidRPr="0012175A">
        <w:t xml:space="preserve">[$133.09, $183.42]. Based on an average trip length of 1.06 days, this yields a value of $148.43 per person per day. Aggregating the individual consumer surplus estimate across all </w:t>
      </w:r>
      <w:r w:rsidRPr="0012175A">
        <w:t>visitation</w:t>
      </w:r>
      <w:r w:rsidRPr="0012175A">
        <w:t xml:space="preserve"> in 2016 results in a total annual value of $270 million. This analysis indicates that preservation of this National Memorial is highly valued by the public.</w:t>
      </w:r>
    </w:p>
    <w:p w:rsidR="003861BF" w:rsidRPr="003861BF" w:rsidP="003861BF" w14:paraId="500723DD" w14:textId="77777777">
      <w:pPr>
        <w:pStyle w:val="NoSpacing"/>
        <w:spacing w:line="360" w:lineRule="auto"/>
        <w:ind w:left="720"/>
      </w:pPr>
    </w:p>
    <w:p w:rsidR="00D9390D" w:rsidRPr="003861BF" w:rsidP="00683675" w14:paraId="7C15849D" w14:textId="49911258">
      <w:pPr>
        <w:autoSpaceDE w:val="0"/>
        <w:autoSpaceDN w:val="0"/>
        <w:adjustRightInd w:val="0"/>
        <w:spacing w:after="0" w:line="360" w:lineRule="auto"/>
        <w:jc w:val="both"/>
        <w:rPr>
          <w:rFonts w:eastAsia="Times New Roman" w:cs="Times New Roman"/>
          <w:b/>
          <w:iCs/>
          <w:u w:val="single"/>
        </w:rPr>
      </w:pPr>
      <w:r w:rsidRPr="003861BF">
        <w:rPr>
          <w:rFonts w:eastAsia="Times New Roman" w:cs="Times New Roman"/>
          <w:b/>
          <w:iCs/>
          <w:u w:val="single"/>
        </w:rPr>
        <w:t xml:space="preserve">2.4 Any use of periodic (less frequent than annual) data collection cycles to reduce </w:t>
      </w:r>
      <w:r w:rsidRPr="003861BF">
        <w:rPr>
          <w:rFonts w:eastAsia="Times New Roman" w:cs="Times New Roman"/>
          <w:b/>
          <w:iCs/>
          <w:u w:val="single"/>
        </w:rPr>
        <w:t>burden</w:t>
      </w:r>
    </w:p>
    <w:p w:rsidR="0036745C" w:rsidP="009C7384" w14:paraId="492BAEEA" w14:textId="77CB44B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color w:val="C00000"/>
        </w:rPr>
      </w:pPr>
      <w:r>
        <w:rPr>
          <w:rFonts w:eastAsia="Times New Roman"/>
        </w:rPr>
        <w:t xml:space="preserve">This is not applicable to this effort. </w:t>
      </w:r>
      <w:r w:rsidRPr="00683675" w:rsidR="00D9390D">
        <w:rPr>
          <w:rFonts w:eastAsia="Times New Roman"/>
        </w:rPr>
        <w:t xml:space="preserve">As previously described (2.1.1), </w:t>
      </w:r>
      <w:r w:rsidRPr="00D9390D" w:rsidR="00D9390D">
        <w:rPr>
          <w:rFonts w:ascii="Calibri" w:eastAsia="Times New Roman" w:hAnsi="Calibri" w:cs="Calibri"/>
        </w:rPr>
        <w:t xml:space="preserve">the </w:t>
      </w:r>
      <w:r w:rsidR="00D9390D">
        <w:rPr>
          <w:rFonts w:ascii="Calibri" w:eastAsia="Times New Roman" w:hAnsi="Calibri" w:cs="Calibri"/>
        </w:rPr>
        <w:t xml:space="preserve">sites </w:t>
      </w:r>
      <w:r w:rsidRPr="00694150" w:rsidR="00D9390D">
        <w:rPr>
          <w:rFonts w:ascii="Calibri" w:eastAsia="Times New Roman" w:hAnsi="Calibri" w:cs="Calibri"/>
        </w:rPr>
        <w:t xml:space="preserve">for this collection </w:t>
      </w:r>
      <w:r w:rsidR="00D9390D">
        <w:rPr>
          <w:rFonts w:ascii="Calibri" w:eastAsia="Times New Roman" w:hAnsi="Calibri" w:cs="Calibri"/>
        </w:rPr>
        <w:t>are</w:t>
      </w:r>
      <w:r w:rsidRPr="00694150" w:rsidR="00D9390D">
        <w:rPr>
          <w:rFonts w:ascii="Calibri" w:eastAsia="Times New Roman" w:hAnsi="Calibri" w:cs="Calibri"/>
        </w:rPr>
        <w:t xml:space="preserve"> selected based on a randomized selection of park units, stratified by unit type and size</w:t>
      </w:r>
      <w:r w:rsidR="00D9390D">
        <w:rPr>
          <w:rFonts w:ascii="Calibri" w:eastAsia="Times New Roman" w:hAnsi="Calibri" w:cs="Calibri"/>
        </w:rPr>
        <w:t>. Each site is sampled once in a calendar year and is not sampled again until the entire bin of sites within th</w:t>
      </w:r>
      <w:r w:rsidR="002A46D8">
        <w:rPr>
          <w:rFonts w:ascii="Calibri" w:eastAsia="Times New Roman" w:hAnsi="Calibri" w:cs="Calibri"/>
        </w:rPr>
        <w:t>e</w:t>
      </w:r>
      <w:r w:rsidR="00D9390D">
        <w:rPr>
          <w:rFonts w:ascii="Calibri" w:eastAsia="Times New Roman" w:hAnsi="Calibri" w:cs="Calibri"/>
        </w:rPr>
        <w:t xml:space="preserve"> strata have been exhausted. </w:t>
      </w:r>
    </w:p>
    <w:p w:rsidR="00D6209E" w:rsidRPr="003C602D" w:rsidP="009C7384" w14:paraId="16629A8C" w14:textId="732B14E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eastAsia="Times New Roman" w:cs="Times New Roman"/>
          <w:b/>
          <w:i/>
          <w:color w:val="00B050"/>
        </w:rPr>
      </w:pPr>
      <w:r w:rsidRPr="0045722C">
        <w:rPr>
          <w:rFonts w:eastAsia="Times New Roman" w:cs="Times New Roman"/>
          <w:b/>
          <w:i/>
        </w:rPr>
        <w:t xml:space="preserve">3. Describe methods to maximize response rates and to deal with issues of non-response. The accuracy and reliability of information collected must be shown to be adequate for intended uses. For </w:t>
      </w:r>
      <w:r w:rsidRPr="0045722C">
        <w:rPr>
          <w:rFonts w:eastAsia="Times New Roman" w:cs="Times New Roman"/>
          <w:b/>
          <w:i/>
        </w:rPr>
        <w:t>collections based on sampling, a special justification must be provided for any collection that will not yield "reliable" data that can be generalized to the universe studied.</w:t>
      </w:r>
    </w:p>
    <w:p w:rsidR="003C602D" w:rsidRPr="003C602D" w:rsidP="0045722C" w14:paraId="0EE33D26" w14:textId="23DF4C11">
      <w:pPr>
        <w:tabs>
          <w:tab w:val="left" w:pos="1440"/>
          <w:tab w:val="left" w:pos="2160"/>
          <w:tab w:val="left" w:pos="3600"/>
          <w:tab w:val="left" w:pos="5040"/>
          <w:tab w:val="left" w:pos="5760"/>
        </w:tabs>
        <w:spacing w:after="220" w:line="360" w:lineRule="auto"/>
        <w:rPr>
          <w:rFonts w:cs="Arial"/>
        </w:rPr>
      </w:pPr>
      <w:r>
        <w:rPr>
          <w:rFonts w:cs="Arial"/>
        </w:rPr>
        <w:t xml:space="preserve">For visitors agreeing to </w:t>
      </w:r>
      <w:r w:rsidRPr="003C602D">
        <w:rPr>
          <w:rFonts w:cs="Arial"/>
        </w:rPr>
        <w:t>participate, the</w:t>
      </w:r>
      <w:r w:rsidR="00BC1A0C">
        <w:rPr>
          <w:rFonts w:cs="Arial"/>
        </w:rPr>
        <w:t xml:space="preserve"> intercept</w:t>
      </w:r>
      <w:r w:rsidRPr="003C602D">
        <w:rPr>
          <w:rFonts w:cs="Arial"/>
        </w:rPr>
        <w:t xml:space="preserve"> survey will be verbally administered by the surveyor and the responses will be recorded via an Android Tablet. If the visitor does not agree, surveyors will thank them for their time, attempt to ask the </w:t>
      </w:r>
      <w:r w:rsidR="00442908">
        <w:rPr>
          <w:rFonts w:cs="Arial"/>
        </w:rPr>
        <w:t>four</w:t>
      </w:r>
      <w:r w:rsidRPr="003C602D">
        <w:rPr>
          <w:rFonts w:cs="Arial"/>
        </w:rPr>
        <w:t xml:space="preserve"> non-response bias questions, and then sample the next nth visitor. This process will be standardized across all park units using the protocols established for surveyors.</w:t>
      </w:r>
    </w:p>
    <w:p w:rsidR="00D2388A" w:rsidP="0045722C" w14:paraId="07D1BF22" w14:textId="70BF9610">
      <w:pPr>
        <w:spacing w:after="220" w:line="360" w:lineRule="auto"/>
        <w:ind w:right="115"/>
      </w:pPr>
      <w:r>
        <w:t xml:space="preserve">To maintain intercept response rates as high as practical while collecting the necessary information, the intercept duration is kept to a maximum of </w:t>
      </w:r>
      <w:r w:rsidR="00DA1030">
        <w:t xml:space="preserve">six </w:t>
      </w:r>
      <w:r>
        <w:t>minutes.</w:t>
      </w:r>
      <w:r w:rsidR="00825085">
        <w:t xml:space="preserve"> The instrument used in the Phase II Pilot for intercepts achieved this goal.</w:t>
      </w:r>
      <w:r>
        <w:t xml:space="preserve"> Through previous direct experiences by the research team, intercepts longer than </w:t>
      </w:r>
      <w:r w:rsidR="00DA1030">
        <w:t>s</w:t>
      </w:r>
      <w:r w:rsidR="002F375C">
        <w:t xml:space="preserve">ix </w:t>
      </w:r>
      <w:r>
        <w:t xml:space="preserve">minutes generate increased dropout rates and refusal rates. To further increase response rates for the intercept, surveyors are strategically </w:t>
      </w:r>
      <w:r w:rsidR="00825085">
        <w:t xml:space="preserve">positioned, when feasible, </w:t>
      </w:r>
      <w:r>
        <w:t xml:space="preserve">in locations to not only randomly intercept visitors, but also to find them in locations where they are </w:t>
      </w:r>
      <w:r w:rsidR="00825085">
        <w:t>less likely to</w:t>
      </w:r>
      <w:r>
        <w:t xml:space="preserve"> feel rushed or pushed for time. These locations are identified via communications with park staff.</w:t>
      </w:r>
    </w:p>
    <w:p w:rsidR="003C602D" w:rsidP="0045722C" w14:paraId="3EADA369" w14:textId="468C3423">
      <w:pPr>
        <w:spacing w:after="220" w:line="360" w:lineRule="auto"/>
        <w:ind w:right="115"/>
      </w:pPr>
      <w:r w:rsidRPr="004F5F1B">
        <w:t xml:space="preserve">Following a brief introduction of the purpose of the survey, the potential respondent (adult group member with the most recent birthdate) will be asked if they </w:t>
      </w:r>
      <w:r>
        <w:t>would be</w:t>
      </w:r>
      <w:r w:rsidRPr="004F5F1B">
        <w:t xml:space="preserve"> willing to take part in the </w:t>
      </w:r>
      <w:r w:rsidR="00EC1C30">
        <w:t>6</w:t>
      </w:r>
      <w:r w:rsidRPr="004F5F1B" w:rsidR="00D2388A">
        <w:t>-minute</w:t>
      </w:r>
      <w:r w:rsidRPr="004F5F1B">
        <w:t xml:space="preserve"> survey. The intercept survey</w:t>
      </w:r>
      <w:r>
        <w:t xml:space="preserve"> will</w:t>
      </w:r>
      <w:r w:rsidRPr="004F5F1B">
        <w:t xml:space="preserve"> include</w:t>
      </w:r>
      <w:r>
        <w:t xml:space="preserve"> the </w:t>
      </w:r>
      <w:r w:rsidRPr="004F5F1B">
        <w:t xml:space="preserve">questions </w:t>
      </w:r>
      <w:r>
        <w:t>used as the</w:t>
      </w:r>
      <w:r w:rsidRPr="004F5F1B">
        <w:t xml:space="preserve"> non-response bias check</w:t>
      </w:r>
      <w:r w:rsidR="00BC1A0C">
        <w:t>,</w:t>
      </w:r>
      <w:r w:rsidRPr="004F5F1B">
        <w:t xml:space="preserve"> as well as basic trip characteristics</w:t>
      </w:r>
      <w:r w:rsidR="00BC1A0C">
        <w:t xml:space="preserve"> questions</w:t>
      </w:r>
      <w:r w:rsidRPr="004F5F1B">
        <w:t xml:space="preserve"> that a</w:t>
      </w:r>
      <w:r>
        <w:t>pply</w:t>
      </w:r>
      <w:r w:rsidRPr="004F5F1B">
        <w:t xml:space="preserve"> to their current visit.</w:t>
      </w:r>
      <w:r>
        <w:t xml:space="preserve"> </w:t>
      </w:r>
      <w:r w:rsidRPr="004F5F1B">
        <w:t xml:space="preserve"> Four potential outcomes are expected following the request to participate:</w:t>
      </w:r>
      <w:r>
        <w:t xml:space="preserve"> (1) Complete refusal; (2) Partial refusal, answering non-response questions but nothing further; (3) Complete Intercept, but refus</w:t>
      </w:r>
      <w:r w:rsidR="00BC1A0C">
        <w:t>al</w:t>
      </w:r>
      <w:r>
        <w:t xml:space="preserve"> to take mail-back; and (4) Complete Intercept and take mail-back.</w:t>
      </w:r>
    </w:p>
    <w:p w:rsidR="003C602D" w:rsidP="0045722C" w14:paraId="2662CD5C" w14:textId="35D57698">
      <w:pPr>
        <w:spacing w:after="220" w:line="360" w:lineRule="auto"/>
        <w:ind w:right="115"/>
      </w:pPr>
      <w:r w:rsidRPr="004E6D37">
        <w:rPr>
          <w:lang w:bidi="en-US"/>
        </w:rPr>
        <w:t xml:space="preserve">As part of the intercept protocol, surveyors will </w:t>
      </w:r>
      <w:r>
        <w:rPr>
          <w:lang w:bidi="en-US"/>
        </w:rPr>
        <w:t>add</w:t>
      </w:r>
      <w:r w:rsidRPr="004E6D37">
        <w:rPr>
          <w:lang w:bidi="en-US"/>
        </w:rPr>
        <w:t xml:space="preserve"> a unique identifier </w:t>
      </w:r>
      <w:r>
        <w:rPr>
          <w:lang w:bidi="en-US"/>
        </w:rPr>
        <w:t>to each survey</w:t>
      </w:r>
      <w:r w:rsidRPr="004E6D37">
        <w:rPr>
          <w:lang w:bidi="en-US"/>
        </w:rPr>
        <w:t xml:space="preserve"> </w:t>
      </w:r>
      <w:r>
        <w:rPr>
          <w:lang w:bidi="en-US"/>
        </w:rPr>
        <w:t>that</w:t>
      </w:r>
      <w:r w:rsidRPr="004E6D37">
        <w:rPr>
          <w:lang w:bidi="en-US"/>
        </w:rPr>
        <w:t xml:space="preserve"> will be linked to the mail-back survey</w:t>
      </w:r>
      <w:r>
        <w:rPr>
          <w:lang w:bidi="en-US"/>
        </w:rPr>
        <w:t xml:space="preserve">, </w:t>
      </w:r>
      <w:r w:rsidRPr="004E6D37">
        <w:rPr>
          <w:lang w:bidi="en-US"/>
        </w:rPr>
        <w:t>the postage-paid envelope</w:t>
      </w:r>
      <w:r>
        <w:rPr>
          <w:lang w:bidi="en-US"/>
        </w:rPr>
        <w:t>,</w:t>
      </w:r>
      <w:r w:rsidRPr="004E6D37">
        <w:rPr>
          <w:lang w:bidi="en-US"/>
        </w:rPr>
        <w:t xml:space="preserve"> and </w:t>
      </w:r>
      <w:r w:rsidR="00D2388A">
        <w:rPr>
          <w:lang w:bidi="en-US"/>
        </w:rPr>
        <w:t>on the cover letter</w:t>
      </w:r>
      <w:r w:rsidRPr="004E6D37">
        <w:rPr>
          <w:lang w:bidi="en-US"/>
        </w:rPr>
        <w:t xml:space="preserve"> inside the packet with the URL to the online survey. This unique identifier will also </w:t>
      </w:r>
      <w:r>
        <w:rPr>
          <w:lang w:bidi="en-US"/>
        </w:rPr>
        <w:t>serve as the</w:t>
      </w:r>
      <w:r w:rsidRPr="004E6D37">
        <w:rPr>
          <w:lang w:bidi="en-US"/>
        </w:rPr>
        <w:t xml:space="preserve"> password to access the online survey.</w:t>
      </w:r>
    </w:p>
    <w:p w:rsidR="003C602D" w:rsidP="0045722C" w14:paraId="376D1093" w14:textId="01DBE97A">
      <w:pPr>
        <w:spacing w:after="220" w:line="360" w:lineRule="auto"/>
        <w:ind w:right="115"/>
        <w:rPr>
          <w:lang w:bidi="en-US"/>
        </w:rPr>
      </w:pPr>
      <w:r w:rsidRPr="004E6D37">
        <w:rPr>
          <w:lang w:bidi="en-US"/>
        </w:rPr>
        <w:t xml:space="preserve">The final question on the Intercept survey will provide the respondent an opportunity to </w:t>
      </w:r>
      <w:r>
        <w:rPr>
          <w:lang w:bidi="en-US"/>
        </w:rPr>
        <w:t>provide</w:t>
      </w:r>
      <w:r w:rsidRPr="004E6D37">
        <w:rPr>
          <w:lang w:bidi="en-US"/>
        </w:rPr>
        <w:t xml:space="preserve"> their mai</w:t>
      </w:r>
      <w:r>
        <w:rPr>
          <w:lang w:bidi="en-US"/>
        </w:rPr>
        <w:t>l</w:t>
      </w:r>
      <w:r w:rsidRPr="004E6D37">
        <w:rPr>
          <w:lang w:bidi="en-US"/>
        </w:rPr>
        <w:t xml:space="preserve"> or email address that will be used </w:t>
      </w:r>
      <w:r>
        <w:rPr>
          <w:lang w:bidi="en-US"/>
        </w:rPr>
        <w:t xml:space="preserve">for </w:t>
      </w:r>
      <w:r w:rsidRPr="004E6D37">
        <w:rPr>
          <w:lang w:bidi="en-US"/>
        </w:rPr>
        <w:t xml:space="preserve">the follow-up protocol of the </w:t>
      </w:r>
      <w:bookmarkStart w:id="9" w:name="_Hlk50991703"/>
      <w:r w:rsidRPr="004E6D37">
        <w:rPr>
          <w:lang w:bidi="en-US"/>
        </w:rPr>
        <w:t xml:space="preserve">“Tailored Design Method” </w:t>
      </w:r>
      <w:bookmarkEnd w:id="9"/>
      <w:r w:rsidRPr="004E6D37">
        <w:rPr>
          <w:lang w:bidi="en-US"/>
        </w:rPr>
        <w:t xml:space="preserve">(reminder protocols for mail-back surveys). </w:t>
      </w:r>
      <w:r w:rsidR="00D2388A">
        <w:rPr>
          <w:lang w:bidi="en-US"/>
        </w:rPr>
        <w:t>Respondents will first be asked to provide their mailing address, followed by their email</w:t>
      </w:r>
      <w:r w:rsidR="00D909ED">
        <w:rPr>
          <w:lang w:bidi="en-US"/>
        </w:rPr>
        <w:t>,</w:t>
      </w:r>
      <w:r w:rsidR="00D2388A">
        <w:rPr>
          <w:lang w:bidi="en-US"/>
        </w:rPr>
        <w:t xml:space="preserve"> if home address is refused. Respondents may refuse both physical </w:t>
      </w:r>
      <w:r w:rsidR="00D2388A">
        <w:rPr>
          <w:lang w:bidi="en-US"/>
        </w:rPr>
        <w:t>mailing address and email address and still be provided the</w:t>
      </w:r>
      <w:r w:rsidR="001C07CE">
        <w:rPr>
          <w:lang w:bidi="en-US"/>
        </w:rPr>
        <w:t xml:space="preserve"> mail back survey. Based on </w:t>
      </w:r>
      <w:r w:rsidR="00122398">
        <w:rPr>
          <w:lang w:bidi="en-US"/>
        </w:rPr>
        <w:t>the Pilot Phase II</w:t>
      </w:r>
      <w:r w:rsidR="003831CC">
        <w:rPr>
          <w:lang w:bidi="en-US"/>
        </w:rPr>
        <w:t>,</w:t>
      </w:r>
      <w:r w:rsidR="007769DE">
        <w:rPr>
          <w:lang w:bidi="en-US"/>
        </w:rPr>
        <w:t xml:space="preserve"> </w:t>
      </w:r>
      <w:r w:rsidR="001C07CE">
        <w:rPr>
          <w:lang w:bidi="en-US"/>
        </w:rPr>
        <w:t>it is expected that response rates are highest for those who have provided mailing addresses</w:t>
      </w:r>
      <w:r w:rsidR="00C03F03">
        <w:rPr>
          <w:lang w:bidi="en-US"/>
        </w:rPr>
        <w:t xml:space="preserve"> followed by</w:t>
      </w:r>
      <w:r w:rsidR="00D909ED">
        <w:rPr>
          <w:lang w:bidi="en-US"/>
        </w:rPr>
        <w:t xml:space="preserve"> </w:t>
      </w:r>
      <w:r w:rsidRPr="00B36562" w:rsidR="001C07CE">
        <w:rPr>
          <w:lang w:bidi="en-US"/>
        </w:rPr>
        <w:t>those providing email</w:t>
      </w:r>
      <w:r w:rsidR="00D909ED">
        <w:rPr>
          <w:lang w:bidi="en-US"/>
        </w:rPr>
        <w:t xml:space="preserve"> addresses</w:t>
      </w:r>
      <w:r w:rsidR="00C03F03">
        <w:rPr>
          <w:lang w:bidi="en-US"/>
        </w:rPr>
        <w:t>. Finally, t</w:t>
      </w:r>
      <w:r w:rsidRPr="00B36562" w:rsidR="001C07CE">
        <w:rPr>
          <w:lang w:bidi="en-US"/>
        </w:rPr>
        <w:t xml:space="preserve">hose </w:t>
      </w:r>
      <w:r w:rsidR="00C03F03">
        <w:rPr>
          <w:lang w:bidi="en-US"/>
        </w:rPr>
        <w:t>who</w:t>
      </w:r>
      <w:r w:rsidRPr="00B36562" w:rsidR="001C07CE">
        <w:rPr>
          <w:lang w:bidi="en-US"/>
        </w:rPr>
        <w:t xml:space="preserve"> provided neither</w:t>
      </w:r>
      <w:r w:rsidRPr="00B36562" w:rsidR="00122398">
        <w:rPr>
          <w:lang w:bidi="en-US"/>
        </w:rPr>
        <w:t xml:space="preserve"> </w:t>
      </w:r>
      <w:r w:rsidR="00C03F03">
        <w:rPr>
          <w:lang w:bidi="en-US"/>
        </w:rPr>
        <w:t xml:space="preserve">form of follow-up contact </w:t>
      </w:r>
      <w:r w:rsidRPr="00B36562" w:rsidR="00122398">
        <w:rPr>
          <w:lang w:bidi="en-US"/>
        </w:rPr>
        <w:t>generat</w:t>
      </w:r>
      <w:r w:rsidR="00C03F03">
        <w:rPr>
          <w:lang w:bidi="en-US"/>
        </w:rPr>
        <w:t>ed</w:t>
      </w:r>
      <w:r w:rsidRPr="00B36562" w:rsidR="00122398">
        <w:rPr>
          <w:lang w:bidi="en-US"/>
        </w:rPr>
        <w:t xml:space="preserve"> the lowest response rates</w:t>
      </w:r>
      <w:r w:rsidRPr="00B36562" w:rsidR="001C07CE">
        <w:rPr>
          <w:lang w:bidi="en-US"/>
        </w:rPr>
        <w:t>.</w:t>
      </w:r>
      <w:r w:rsidRPr="00B36562" w:rsidR="00122398">
        <w:rPr>
          <w:lang w:bidi="en-US"/>
        </w:rPr>
        <w:t xml:space="preserve"> </w:t>
      </w:r>
      <w:r w:rsidRPr="00B36562" w:rsidR="00B36562">
        <w:rPr>
          <w:lang w:bidi="en-US"/>
        </w:rPr>
        <w:t>Typically,</w:t>
      </w:r>
      <w:r w:rsidRPr="00B36562" w:rsidR="00122398">
        <w:rPr>
          <w:lang w:bidi="en-US"/>
        </w:rPr>
        <w:t xml:space="preserve"> </w:t>
      </w:r>
      <w:r w:rsidRPr="00B36562" w:rsidR="00B36562">
        <w:rPr>
          <w:lang w:bidi="en-US"/>
        </w:rPr>
        <w:t>65-75</w:t>
      </w:r>
      <w:r w:rsidRPr="00B36562" w:rsidR="00122398">
        <w:rPr>
          <w:lang w:bidi="en-US"/>
        </w:rPr>
        <w:t>% of respondents provided some form of follow up contact</w:t>
      </w:r>
      <w:r w:rsidR="00C03F03">
        <w:rPr>
          <w:lang w:bidi="en-US"/>
        </w:rPr>
        <w:t xml:space="preserve"> (mailing/email address)</w:t>
      </w:r>
      <w:r w:rsidRPr="00B36562" w:rsidR="00122398">
        <w:rPr>
          <w:lang w:bidi="en-US"/>
        </w:rPr>
        <w:t>.</w:t>
      </w:r>
      <w:r w:rsidRPr="00B36562" w:rsidR="001C07CE">
        <w:rPr>
          <w:lang w:bidi="en-US"/>
        </w:rPr>
        <w:t xml:space="preserve"> The combination of these three </w:t>
      </w:r>
      <w:r w:rsidR="00171D08">
        <w:rPr>
          <w:lang w:bidi="en-US"/>
        </w:rPr>
        <w:t xml:space="preserve">groups </w:t>
      </w:r>
      <w:r w:rsidR="00D909ED">
        <w:rPr>
          <w:lang w:bidi="en-US"/>
        </w:rPr>
        <w:t>(</w:t>
      </w:r>
      <w:r w:rsidR="00171D08">
        <w:rPr>
          <w:lang w:bidi="en-US"/>
        </w:rPr>
        <w:t>those who provide mailing address, those who provide email address</w:t>
      </w:r>
      <w:r w:rsidR="00C03F03">
        <w:rPr>
          <w:lang w:bidi="en-US"/>
        </w:rPr>
        <w:t>,</w:t>
      </w:r>
      <w:r w:rsidR="00171D08">
        <w:rPr>
          <w:lang w:bidi="en-US"/>
        </w:rPr>
        <w:t xml:space="preserve"> and those who accept the</w:t>
      </w:r>
      <w:r w:rsidR="006F076A">
        <w:rPr>
          <w:lang w:bidi="en-US"/>
        </w:rPr>
        <w:t xml:space="preserve"> paper survey without providing contact details) </w:t>
      </w:r>
      <w:r w:rsidRPr="00B36562" w:rsidR="001C07CE">
        <w:rPr>
          <w:lang w:bidi="en-US"/>
        </w:rPr>
        <w:t>yields our estima</w:t>
      </w:r>
      <w:r w:rsidR="001C07CE">
        <w:rPr>
          <w:lang w:bidi="en-US"/>
        </w:rPr>
        <w:t>ted 40% response rate.</w:t>
      </w:r>
      <w:r w:rsidR="00D2388A">
        <w:rPr>
          <w:lang w:bidi="en-US"/>
        </w:rPr>
        <w:t xml:space="preserve"> </w:t>
      </w:r>
    </w:p>
    <w:p w:rsidR="001C07CE" w:rsidP="0045722C" w14:paraId="36818757" w14:textId="35F41E13">
      <w:pPr>
        <w:spacing w:after="220" w:line="360" w:lineRule="auto"/>
        <w:ind w:right="115"/>
        <w:rPr>
          <w:lang w:bidi="en-US"/>
        </w:rPr>
      </w:pPr>
      <w:r>
        <w:rPr>
          <w:lang w:bidi="en-US"/>
        </w:rPr>
        <w:t>To maximize response rates of the mail</w:t>
      </w:r>
      <w:r w:rsidR="0058757B">
        <w:rPr>
          <w:lang w:bidi="en-US"/>
        </w:rPr>
        <w:t>-</w:t>
      </w:r>
      <w:r>
        <w:rPr>
          <w:lang w:bidi="en-US"/>
        </w:rPr>
        <w:t xml:space="preserve">back surveys, </w:t>
      </w:r>
      <w:r>
        <w:rPr>
          <w:lang w:bidi="en-US"/>
        </w:rPr>
        <w:t>Dillman’s</w:t>
      </w:r>
      <w:r>
        <w:rPr>
          <w:lang w:bidi="en-US"/>
        </w:rPr>
        <w:t xml:space="preserve"> Tailored design method will be used to provide postcard reminders and two replacement surveys to those who provided mailing addresses. Similarly timed reminders will be delivered via email to those who provided </w:t>
      </w:r>
      <w:r w:rsidR="00140619">
        <w:rPr>
          <w:lang w:bidi="en-US"/>
        </w:rPr>
        <w:t>electronic</w:t>
      </w:r>
      <w:r>
        <w:rPr>
          <w:lang w:bidi="en-US"/>
        </w:rPr>
        <w:t xml:space="preserve"> contact information. This email will contain a thank you note and link to the online version of the survey and reminder of the unique ID provided at the time of the intercept.</w:t>
      </w:r>
    </w:p>
    <w:p w:rsidR="001C07CE" w:rsidRPr="001C07CE" w:rsidP="00D2388A" w14:paraId="70838AD3" w14:textId="4DF8882C">
      <w:pPr>
        <w:spacing w:before="360" w:after="0" w:line="360" w:lineRule="auto"/>
        <w:ind w:right="90"/>
        <w:rPr>
          <w:b/>
          <w:bCs/>
          <w:lang w:bidi="en-US"/>
        </w:rPr>
      </w:pPr>
      <w:r>
        <w:rPr>
          <w:b/>
          <w:bCs/>
          <w:lang w:bidi="en-US"/>
        </w:rPr>
        <w:t xml:space="preserve">Addressing </w:t>
      </w:r>
      <w:r>
        <w:rPr>
          <w:b/>
          <w:bCs/>
          <w:lang w:bidi="en-US"/>
        </w:rPr>
        <w:t>Non-Response</w:t>
      </w:r>
    </w:p>
    <w:p w:rsidR="003C602D" w:rsidRPr="00C3085B" w:rsidP="00D2388A" w14:paraId="372FA345" w14:textId="664F2CC0">
      <w:pPr>
        <w:spacing w:before="360" w:after="0" w:line="360" w:lineRule="auto"/>
        <w:ind w:right="90"/>
        <w:rPr>
          <w:b/>
          <w:bCs/>
          <w:lang w:bidi="en-US"/>
        </w:rPr>
      </w:pPr>
      <w:r w:rsidRPr="00890638">
        <w:rPr>
          <w:b/>
          <w:bCs/>
          <w:lang w:bidi="en-US"/>
        </w:rPr>
        <w:t xml:space="preserve">Example </w:t>
      </w:r>
      <w:r w:rsidR="008C0AEC">
        <w:rPr>
          <w:b/>
          <w:bCs/>
          <w:lang w:bidi="en-US"/>
        </w:rPr>
        <w:t xml:space="preserve">Introductory </w:t>
      </w:r>
      <w:r w:rsidRPr="00C3085B">
        <w:rPr>
          <w:b/>
          <w:bCs/>
          <w:lang w:bidi="en-US"/>
        </w:rPr>
        <w:t xml:space="preserve">Script for Intercept Survey: </w:t>
      </w:r>
    </w:p>
    <w:p w:rsidR="003C602D" w:rsidRPr="005622A5" w:rsidP="003C602D" w14:paraId="39974D02" w14:textId="00ECE657">
      <w:pPr>
        <w:spacing w:line="240" w:lineRule="auto"/>
        <w:ind w:left="1440" w:right="1620"/>
        <w:contextualSpacing/>
        <w:jc w:val="both"/>
        <w:rPr>
          <w:i/>
          <w:iCs/>
          <w:lang w:bidi="en-US"/>
        </w:rPr>
      </w:pPr>
      <w:r w:rsidRPr="005622A5">
        <w:rPr>
          <w:i/>
          <w:iCs/>
          <w:lang w:bidi="en-US"/>
        </w:rPr>
        <w:t xml:space="preserve">“Hello, I am working with [NPS Site] conducting a </w:t>
      </w:r>
      <w:r w:rsidR="00C14103">
        <w:rPr>
          <w:i/>
          <w:iCs/>
          <w:lang w:bidi="en-US"/>
        </w:rPr>
        <w:t>6</w:t>
      </w:r>
      <w:r w:rsidRPr="005622A5">
        <w:rPr>
          <w:i/>
          <w:iCs/>
          <w:lang w:bidi="en-US"/>
        </w:rPr>
        <w:t>-minute survey to improve visitor experiences in the park. May I ask you several questions about your [NPS Site] experience?</w:t>
      </w:r>
    </w:p>
    <w:p w:rsidR="003C602D" w:rsidRPr="005622A5" w:rsidP="003C602D" w14:paraId="7C720F61" w14:textId="1B4D5B45">
      <w:pPr>
        <w:pStyle w:val="ListParagraph"/>
        <w:keepNext w:val="0"/>
        <w:keepLines w:val="0"/>
        <w:numPr>
          <w:ilvl w:val="0"/>
          <w:numId w:val="23"/>
        </w:numPr>
        <w:spacing w:after="200" w:line="240" w:lineRule="auto"/>
        <w:ind w:left="2520" w:right="3240"/>
        <w:jc w:val="both"/>
        <w:rPr>
          <w:i/>
          <w:iCs/>
          <w:lang w:bidi="en-US"/>
        </w:rPr>
      </w:pPr>
      <w:r w:rsidRPr="005622A5">
        <w:rPr>
          <w:i/>
          <w:iCs/>
          <w:lang w:bidi="en-US"/>
        </w:rPr>
        <w:t xml:space="preserve">If NO – The surveyor will thank the visitor and ask them to answer the </w:t>
      </w:r>
      <w:r w:rsidR="00C14103">
        <w:rPr>
          <w:i/>
          <w:iCs/>
          <w:lang w:bidi="en-US"/>
        </w:rPr>
        <w:t>four</w:t>
      </w:r>
      <w:r w:rsidRPr="005622A5">
        <w:rPr>
          <w:i/>
          <w:iCs/>
          <w:lang w:bidi="en-US"/>
        </w:rPr>
        <w:t xml:space="preserve"> questions that will serve as a non-response bias check (</w:t>
      </w:r>
      <w:r w:rsidR="008C0AEC">
        <w:rPr>
          <w:i/>
          <w:iCs/>
          <w:lang w:bidi="en-US"/>
        </w:rPr>
        <w:t>see</w:t>
      </w:r>
      <w:r w:rsidRPr="005622A5">
        <w:rPr>
          <w:i/>
          <w:iCs/>
          <w:lang w:bidi="en-US"/>
        </w:rPr>
        <w:t xml:space="preserve"> below)</w:t>
      </w:r>
    </w:p>
    <w:p w:rsidR="003C602D" w:rsidRPr="005622A5" w:rsidP="003C602D" w14:paraId="3EC4EB48" w14:textId="77777777">
      <w:pPr>
        <w:pStyle w:val="ListParagraph"/>
        <w:keepNext w:val="0"/>
        <w:keepLines w:val="0"/>
        <w:numPr>
          <w:ilvl w:val="0"/>
          <w:numId w:val="23"/>
        </w:numPr>
        <w:spacing w:after="200" w:line="240" w:lineRule="auto"/>
        <w:ind w:left="2520" w:right="3240"/>
        <w:jc w:val="both"/>
        <w:rPr>
          <w:i/>
          <w:iCs/>
          <w:lang w:bidi="en-US"/>
        </w:rPr>
      </w:pPr>
      <w:r w:rsidRPr="005622A5">
        <w:rPr>
          <w:i/>
          <w:iCs/>
          <w:lang w:bidi="en-US"/>
        </w:rPr>
        <w:t>If YES – The surveyor will begin the intercept visitor survey with the recruited individual after reading the Paperwork Reduction and Privacy Act below. The surveyor will verbally administer the survey and record responses on an Android Tablet.</w:t>
      </w:r>
    </w:p>
    <w:p w:rsidR="003C602D" w:rsidP="003C602D" w14:paraId="75363560" w14:textId="77777777">
      <w:pPr>
        <w:spacing w:line="240" w:lineRule="auto"/>
        <w:ind w:left="360"/>
        <w:contextualSpacing/>
        <w:rPr>
          <w:lang w:bidi="en-US"/>
        </w:rPr>
      </w:pPr>
    </w:p>
    <w:p w:rsidR="00B32F25" w:rsidP="0045722C" w14:paraId="77AADBB5" w14:textId="01B31A5F">
      <w:pPr>
        <w:spacing w:after="220" w:line="360" w:lineRule="auto"/>
        <w:rPr>
          <w:rFonts w:eastAsia="Times New Roman" w:cstheme="minorHAnsi"/>
        </w:rPr>
      </w:pPr>
      <w:r w:rsidRPr="00B32F25">
        <w:rPr>
          <w:rFonts w:eastAsia="Times New Roman" w:cstheme="minorHAnsi"/>
        </w:rPr>
        <w:t xml:space="preserve">Two potential sources of non-response bias exist in this study: 1) those who choose to participate in the intercept study compared to those who refuse and 2) those who participated in the intercept survey and complete the mail-back survey compared to those who participated in the intercept survey but refuse/do not send the mail-back survey back. For each park’s sample, the research team will monitor response rates for both scenarios to gauge whether non-response bias needs to be tested. If the </w:t>
      </w:r>
      <w:r w:rsidRPr="00B32F25">
        <w:rPr>
          <w:rFonts w:eastAsia="Times New Roman" w:cstheme="minorHAnsi"/>
        </w:rPr>
        <w:t xml:space="preserve">response rate of either the intercept survey or the mail-back survey falls below 80%, a non-response bias test will be conducted on the appropriate group. For instance, if less than 80% of visitors accept the intercept survey (ex. choose to participate), we will test the responses between those who participated in the intercept survey and those who answered the </w:t>
      </w:r>
      <w:r w:rsidR="00C14103">
        <w:rPr>
          <w:rFonts w:eastAsia="Times New Roman" w:cstheme="minorHAnsi"/>
        </w:rPr>
        <w:t>four</w:t>
      </w:r>
      <w:r w:rsidRPr="00B32F25">
        <w:rPr>
          <w:rFonts w:eastAsia="Times New Roman" w:cstheme="minorHAnsi"/>
        </w:rPr>
        <w:t xml:space="preserve"> non-response bias questions below.</w:t>
      </w:r>
    </w:p>
    <w:p w:rsidR="00122398" w:rsidRPr="00122398" w:rsidP="00122398" w14:paraId="5C11CA01" w14:textId="43EDD5C5">
      <w:pPr>
        <w:spacing w:after="220"/>
        <w:rPr>
          <w:b/>
        </w:rPr>
      </w:pPr>
      <w:r w:rsidRPr="00122398">
        <w:rPr>
          <w:b/>
        </w:rPr>
        <w:t>1. “Are you a permanent or seasonal/second home resident of the local area around</w:t>
      </w:r>
      <w:r>
        <w:rPr>
          <w:b/>
        </w:rPr>
        <w:t xml:space="preserve"> [NPS Unit]</w:t>
      </w:r>
      <w:r w:rsidRPr="00122398">
        <w:rPr>
          <w:b/>
        </w:rPr>
        <w:t xml:space="preserve">?” </w:t>
      </w:r>
    </w:p>
    <w:p w:rsidR="00122398" w:rsidRPr="00122398" w:rsidP="00122398" w14:paraId="03708252" w14:textId="77777777">
      <w:pPr>
        <w:spacing w:after="220"/>
        <w:rPr>
          <w:b/>
        </w:rPr>
      </w:pPr>
      <w:r w:rsidRPr="00122398">
        <w:rPr>
          <w:b/>
        </w:rPr>
        <w:t>2.  “</w:t>
      </w:r>
      <w:r w:rsidRPr="00122398">
        <w:rPr>
          <w:b/>
        </w:rPr>
        <w:t xml:space="preserve">Do you currently live in the United States?” </w:t>
      </w:r>
    </w:p>
    <w:p w:rsidR="00122398" w:rsidP="00B36562" w14:paraId="19E97A0D" w14:textId="40652D75">
      <w:pPr>
        <w:rPr>
          <w:b/>
        </w:rPr>
      </w:pPr>
      <w:r w:rsidRPr="00B36562">
        <w:rPr>
          <w:b/>
        </w:rPr>
        <w:t xml:space="preserve">3. “On this trip away from home, have you [and your personal group] stayed, or will you stay overnight away from your permanent residence either in [NPS Unit] and/or within the local area? (Please refer to map of local area)” </w:t>
      </w:r>
    </w:p>
    <w:p w:rsidR="003C602D" w:rsidRPr="003C602D" w:rsidP="0045722C" w14:paraId="1F6D70D3" w14:textId="184F76BA">
      <w:pPr>
        <w:widowControl w:val="0"/>
        <w:autoSpaceDE w:val="0"/>
        <w:autoSpaceDN w:val="0"/>
        <w:spacing w:line="360" w:lineRule="auto"/>
        <w:rPr>
          <w:rFonts w:cstheme="minorHAnsi"/>
          <w:b/>
        </w:rPr>
      </w:pPr>
      <w:r w:rsidRPr="00F15F9E">
        <w:rPr>
          <w:b/>
        </w:rPr>
        <w:t xml:space="preserve">4. </w:t>
      </w:r>
      <w:r w:rsidRPr="00F15F9E">
        <w:rPr>
          <w:b/>
          <w:bCs/>
        </w:rPr>
        <w:t xml:space="preserve">Was visiting [NPS Site] the primary purpose for your overall trip away from </w:t>
      </w:r>
      <w:r w:rsidRPr="00F15F9E">
        <w:rPr>
          <w:b/>
          <w:bCs/>
        </w:rPr>
        <w:t>home?</w:t>
      </w:r>
      <w:r w:rsidRPr="003C602D" w:rsidR="008B2016">
        <w:rPr>
          <w:rFonts w:eastAsia="Arial" w:cstheme="minorHAnsi"/>
          <w:lang w:bidi="en-US"/>
        </w:rPr>
        <w:t>Because</w:t>
      </w:r>
      <w:r w:rsidRPr="003C602D" w:rsidR="008B2016">
        <w:rPr>
          <w:rFonts w:eastAsia="Arial" w:cstheme="minorHAnsi"/>
          <w:lang w:bidi="en-US"/>
        </w:rPr>
        <w:t xml:space="preserve"> the intercept survey will be linked to the online survey via a unique identifier which is also used as a password for the online survey, respondents who do not complete the follow-up survey (either by mail-back or online) will be compared to those who did participate. Thus, non-response bias checks will be conducted on both intercept and mail-back survey respondents. Chi-square tests</w:t>
      </w:r>
      <w:r w:rsidR="009079D1">
        <w:rPr>
          <w:rFonts w:eastAsia="Arial" w:cstheme="minorHAnsi"/>
          <w:lang w:bidi="en-US"/>
        </w:rPr>
        <w:t xml:space="preserve"> (using a p-value of .05 as the indicator of significance) </w:t>
      </w:r>
      <w:r w:rsidRPr="003C602D" w:rsidR="008B2016">
        <w:rPr>
          <w:rFonts w:eastAsia="Arial" w:cstheme="minorHAnsi"/>
          <w:lang w:bidi="en-US"/>
        </w:rPr>
        <w:t xml:space="preserve">will be conducted between the respondents and non-respondents to explore and identify any issues of underrepresentation due to non-response bias. </w:t>
      </w:r>
      <w:r w:rsidR="00AB2B3F">
        <w:rPr>
          <w:rFonts w:eastAsia="Arial" w:cstheme="minorHAnsi"/>
          <w:lang w:bidi="en-US"/>
        </w:rPr>
        <w:t>All reports will show the outcomes of the non-response bias checks and indicate any existing conditions in which non-response bias may be present.</w:t>
      </w:r>
      <w:r w:rsidR="00B32F25">
        <w:rPr>
          <w:rFonts w:eastAsia="Arial" w:cstheme="minorHAnsi"/>
          <w:lang w:bidi="en-US"/>
        </w:rPr>
        <w:t xml:space="preserve"> </w:t>
      </w:r>
      <w:r w:rsidRPr="003C602D" w:rsidR="008B2016">
        <w:rPr>
          <w:rFonts w:eastAsia="Arial" w:cstheme="minorHAnsi"/>
          <w:lang w:bidi="en-US"/>
        </w:rPr>
        <w:t>The multi-</w:t>
      </w:r>
      <w:r w:rsidR="00AF221C">
        <w:rPr>
          <w:rFonts w:eastAsia="Arial" w:cstheme="minorHAnsi"/>
          <w:lang w:bidi="en-US"/>
        </w:rPr>
        <w:t>response mode</w:t>
      </w:r>
      <w:r w:rsidRPr="003C602D" w:rsidR="008B2016">
        <w:rPr>
          <w:rFonts w:eastAsia="Arial" w:cstheme="minorHAnsi"/>
          <w:lang w:bidi="en-US"/>
        </w:rPr>
        <w:t xml:space="preserve"> approach to the mail-back/online survey will allow for more widespread participation among respondents, limiting non-response issues.</w:t>
      </w:r>
    </w:p>
    <w:p w:rsidR="00D6209E" w:rsidRPr="0045722C" w:rsidP="004826D0" w14:paraId="6069FF98" w14:textId="77777777">
      <w:pPr>
        <w:autoSpaceDE w:val="0"/>
        <w:autoSpaceDN w:val="0"/>
        <w:adjustRightInd w:val="0"/>
        <w:spacing w:line="360" w:lineRule="auto"/>
        <w:rPr>
          <w:rFonts w:eastAsia="Times New Roman" w:cs="Times New Roman"/>
          <w:b/>
          <w:i/>
        </w:rPr>
      </w:pPr>
      <w:r w:rsidRPr="0045722C">
        <w:rPr>
          <w:rFonts w:eastAsia="Times New Roman" w:cs="Times New Roman"/>
          <w:b/>
          <w:i/>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45722C">
        <w:rPr>
          <w:rFonts w:eastAsia="Times New Roman" w:cs="Times New Roman"/>
          <w:b/>
          <w:i/>
        </w:rPr>
        <w:t>test</w:t>
      </w:r>
      <w:r w:rsidRPr="0045722C">
        <w:rPr>
          <w:rFonts w:eastAsia="Times New Roman" w:cs="Times New Roman"/>
          <w:b/>
          <w:i/>
        </w:rPr>
        <w:t xml:space="preserve"> may be submitted for approval separately or in combination with the main collection of information.</w:t>
      </w:r>
    </w:p>
    <w:p w:rsidR="005B4F4E" w:rsidRPr="003D09F4" w:rsidP="005B4F4E" w14:paraId="0B61DB12" w14:textId="7A11EBF3">
      <w:pPr>
        <w:autoSpaceDE w:val="0"/>
        <w:autoSpaceDN w:val="0"/>
        <w:adjustRightInd w:val="0"/>
        <w:spacing w:line="360" w:lineRule="auto"/>
        <w:rPr>
          <w:rFonts w:eastAsia="Times New Roman" w:cs="Times New Roman"/>
          <w:i/>
          <w:iCs/>
        </w:rPr>
      </w:pPr>
      <w:r>
        <w:rPr>
          <w:rFonts w:eastAsia="Times New Roman" w:cs="Times New Roman"/>
        </w:rPr>
        <w:t>While this is a new information collection request, t</w:t>
      </w:r>
      <w:r w:rsidRPr="003D09F4">
        <w:rPr>
          <w:rFonts w:eastAsia="Times New Roman" w:cs="Times New Roman"/>
        </w:rPr>
        <w:t xml:space="preserve">he NPS administered a pilot SEM program in 14-NPS units from 2015-2016 (Phase I) to identify and better understand the need for more advanced socioeconomic monitoring and to determine the viability and cost of such a program. In total, over 6,000 surveys were completed, providing the NPS with useful insights about in-park visitor characteristics.  </w:t>
      </w:r>
    </w:p>
    <w:p w:rsidR="009E5C4F" w:rsidP="005B4F4E" w14:paraId="1202A0AB" w14:textId="3277AEF5">
      <w:pPr>
        <w:autoSpaceDE w:val="0"/>
        <w:autoSpaceDN w:val="0"/>
        <w:adjustRightInd w:val="0"/>
        <w:spacing w:line="360" w:lineRule="auto"/>
        <w:rPr>
          <w:rFonts w:cs="Calibri"/>
          <w:lang w:eastAsia="ja-JP"/>
        </w:rPr>
      </w:pPr>
      <w:r w:rsidRPr="003D09F4">
        <w:rPr>
          <w:rFonts w:eastAsia="Times New Roman" w:cs="Times New Roman"/>
        </w:rPr>
        <w:t xml:space="preserve">The Phase I pilot study produced an overarching study design that will allow the NPS to fully implement </w:t>
      </w:r>
      <w:r w:rsidR="00276794">
        <w:rPr>
          <w:rFonts w:eastAsia="Times New Roman" w:cs="Times New Roman"/>
        </w:rPr>
        <w:t>thi</w:t>
      </w:r>
      <w:r w:rsidR="009105BF">
        <w:rPr>
          <w:rFonts w:eastAsia="Times New Roman" w:cs="Times New Roman"/>
        </w:rPr>
        <w:t>s</w:t>
      </w:r>
      <w:r w:rsidRPr="003D09F4">
        <w:rPr>
          <w:rFonts w:eastAsia="Times New Roman" w:cs="Times New Roman"/>
        </w:rPr>
        <w:t xml:space="preserve"> Socioeconomic Monitoring Study. </w:t>
      </w:r>
      <w:r w:rsidRPr="006457A2" w:rsidR="00D379F7">
        <w:rPr>
          <w:rFonts w:cs="Calibri"/>
          <w:lang w:eastAsia="ja-JP"/>
        </w:rPr>
        <w:t>The majority of</w:t>
      </w:r>
      <w:r w:rsidRPr="006457A2" w:rsidR="00D379F7">
        <w:rPr>
          <w:rFonts w:cs="Calibri"/>
          <w:lang w:eastAsia="ja-JP"/>
        </w:rPr>
        <w:t xml:space="preserve"> survey questions were tested through </w:t>
      </w:r>
      <w:r w:rsidR="00D379F7">
        <w:rPr>
          <w:rFonts w:cs="Calibri"/>
          <w:lang w:eastAsia="ja-JP"/>
        </w:rPr>
        <w:t xml:space="preserve">the Phase 1 </w:t>
      </w:r>
      <w:r w:rsidR="00D379F7">
        <w:rPr>
          <w:rFonts w:cs="Calibri"/>
          <w:lang w:eastAsia="ja-JP"/>
        </w:rPr>
        <w:t>Pilot Study</w:t>
      </w:r>
      <w:r w:rsidRPr="006457A2" w:rsidR="00D379F7">
        <w:rPr>
          <w:rFonts w:cs="Calibri"/>
          <w:lang w:eastAsia="ja-JP"/>
        </w:rPr>
        <w:t xml:space="preserve">. The survey was tested in </w:t>
      </w:r>
      <w:r w:rsidRPr="006457A2" w:rsidR="0005382B">
        <w:rPr>
          <w:rFonts w:cs="Calibri"/>
          <w:lang w:eastAsia="ja-JP"/>
        </w:rPr>
        <w:t>1</w:t>
      </w:r>
      <w:r w:rsidR="0005382B">
        <w:rPr>
          <w:rFonts w:cs="Calibri"/>
          <w:lang w:eastAsia="ja-JP"/>
        </w:rPr>
        <w:t xml:space="preserve">4 </w:t>
      </w:r>
      <w:r w:rsidRPr="006457A2" w:rsidR="00D379F7">
        <w:rPr>
          <w:rFonts w:cs="Calibri"/>
          <w:lang w:eastAsia="ja-JP"/>
        </w:rPr>
        <w:t xml:space="preserve">parks across the System, refined based on findings, and reviewed with multiple subject matter experts. Additionally, the instrument in the </w:t>
      </w:r>
      <w:r w:rsidR="00D379F7">
        <w:rPr>
          <w:rFonts w:cs="Calibri"/>
          <w:lang w:eastAsia="ja-JP"/>
        </w:rPr>
        <w:t>P</w:t>
      </w:r>
      <w:r w:rsidRPr="006457A2" w:rsidR="00D379F7">
        <w:rPr>
          <w:rFonts w:cs="Calibri"/>
          <w:lang w:eastAsia="ja-JP"/>
        </w:rPr>
        <w:t>ilot</w:t>
      </w:r>
      <w:r w:rsidR="00D379F7">
        <w:rPr>
          <w:rFonts w:cs="Calibri"/>
          <w:lang w:eastAsia="ja-JP"/>
        </w:rPr>
        <w:t xml:space="preserve"> Phase I</w:t>
      </w:r>
      <w:r w:rsidRPr="006457A2" w:rsidR="00D379F7">
        <w:rPr>
          <w:rFonts w:cs="Calibri"/>
          <w:lang w:eastAsia="ja-JP"/>
        </w:rPr>
        <w:t xml:space="preserve"> consisted entirely of a mail</w:t>
      </w:r>
      <w:r w:rsidR="00276794">
        <w:rPr>
          <w:rFonts w:cs="Calibri"/>
          <w:lang w:eastAsia="ja-JP"/>
        </w:rPr>
        <w:t>-</w:t>
      </w:r>
      <w:r w:rsidRPr="006457A2" w:rsidR="00D379F7">
        <w:rPr>
          <w:rFonts w:cs="Calibri"/>
          <w:lang w:eastAsia="ja-JP"/>
        </w:rPr>
        <w:t>back survey. Upon review of the pilot findings, it was determined that a</w:t>
      </w:r>
      <w:r w:rsidR="00FC61BA">
        <w:rPr>
          <w:rFonts w:cs="Calibri"/>
          <w:lang w:eastAsia="ja-JP"/>
        </w:rPr>
        <w:t>n on-site</w:t>
      </w:r>
      <w:r w:rsidRPr="006457A2" w:rsidR="00D379F7">
        <w:rPr>
          <w:rFonts w:cs="Calibri"/>
          <w:lang w:eastAsia="ja-JP"/>
        </w:rPr>
        <w:t xml:space="preserve"> intercept instrument followed by a mail</w:t>
      </w:r>
      <w:r w:rsidR="00CD49EF">
        <w:rPr>
          <w:rFonts w:cs="Calibri"/>
          <w:lang w:eastAsia="ja-JP"/>
        </w:rPr>
        <w:t>-</w:t>
      </w:r>
      <w:r w:rsidRPr="006457A2" w:rsidR="00D379F7">
        <w:rPr>
          <w:rFonts w:cs="Calibri"/>
          <w:lang w:eastAsia="ja-JP"/>
        </w:rPr>
        <w:t xml:space="preserve">back </w:t>
      </w:r>
      <w:r w:rsidR="00CD49EF">
        <w:rPr>
          <w:rFonts w:cs="Calibri"/>
          <w:lang w:eastAsia="ja-JP"/>
        </w:rPr>
        <w:t xml:space="preserve">survey </w:t>
      </w:r>
      <w:r w:rsidRPr="006457A2" w:rsidR="00D379F7">
        <w:rPr>
          <w:rFonts w:cs="Calibri"/>
          <w:lang w:eastAsia="ja-JP"/>
        </w:rPr>
        <w:t>could enhance the quality and quantity of responses collected.</w:t>
      </w:r>
      <w:r w:rsidR="00D379F7">
        <w:rPr>
          <w:rFonts w:cs="Calibri"/>
          <w:lang w:eastAsia="ja-JP"/>
        </w:rPr>
        <w:t xml:space="preserve"> </w:t>
      </w:r>
    </w:p>
    <w:p w:rsidR="008C4241" w:rsidP="008C4241" w14:paraId="0592A884" w14:textId="4132AB45">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Calibri"/>
          <w:lang w:eastAsia="ja-JP"/>
        </w:rPr>
      </w:pPr>
      <w:r w:rsidRPr="003D09F4">
        <w:rPr>
          <w:rFonts w:eastAsia="Times New Roman" w:cs="Times New Roman"/>
        </w:rPr>
        <w:t>Building on the findings, recommendations, and identified opportunities for improvement, a Phase II pilot was conducted in 2022 in 24</w:t>
      </w:r>
      <w:r w:rsidR="00B806B5">
        <w:rPr>
          <w:rFonts w:eastAsia="Times New Roman" w:cs="Times New Roman"/>
        </w:rPr>
        <w:t xml:space="preserve"> </w:t>
      </w:r>
      <w:r w:rsidRPr="003D09F4">
        <w:rPr>
          <w:rFonts w:eastAsia="Times New Roman" w:cs="Times New Roman"/>
        </w:rPr>
        <w:t xml:space="preserve">NPS units that utilized the refined two-phase collection methodology and questionnaires. </w:t>
      </w:r>
      <w:r>
        <w:rPr>
          <w:rFonts w:cs="Calibri"/>
          <w:lang w:eastAsia="ja-JP"/>
        </w:rPr>
        <w:t xml:space="preserve">These parks used nearly identical instruments as proposed here, </w:t>
      </w:r>
      <w:r w:rsidR="00667838">
        <w:rPr>
          <w:rFonts w:cs="Calibri"/>
          <w:lang w:eastAsia="ja-JP"/>
        </w:rPr>
        <w:t>except for</w:t>
      </w:r>
      <w:r>
        <w:rPr>
          <w:rFonts w:cs="Calibri"/>
          <w:lang w:eastAsia="ja-JP"/>
        </w:rPr>
        <w:t xml:space="preserve"> the payment card</w:t>
      </w:r>
      <w:r w:rsidR="00CD49EF">
        <w:rPr>
          <w:rFonts w:cs="Calibri"/>
          <w:lang w:eastAsia="ja-JP"/>
        </w:rPr>
        <w:t xml:space="preserve"> question</w:t>
      </w:r>
      <w:r>
        <w:rPr>
          <w:rFonts w:cs="Calibri"/>
          <w:lang w:eastAsia="ja-JP"/>
        </w:rPr>
        <w:t>. Lessons learned from the composite of these two pilot efforts have been applied to this information collection submission.</w:t>
      </w:r>
    </w:p>
    <w:p w:rsidR="008C0AEC" w:rsidP="00785DCD" w14:paraId="32F46963" w14:textId="3EE08E83">
      <w:pPr>
        <w:autoSpaceDE w:val="0"/>
        <w:autoSpaceDN w:val="0"/>
        <w:adjustRightInd w:val="0"/>
        <w:spacing w:line="360" w:lineRule="auto"/>
        <w:rPr>
          <w:rFonts w:eastAsia="Times New Roman" w:cs="Times New Roman"/>
        </w:rPr>
      </w:pPr>
      <w:r w:rsidRPr="672D2E86">
        <w:rPr>
          <w:rFonts w:eastAsia="Times New Roman" w:cs="Times New Roman"/>
        </w:rPr>
        <w:t>The two pilot phases have allowed the NPS to (1) validate the survey questions</w:t>
      </w:r>
      <w:r>
        <w:rPr>
          <w:rStyle w:val="FootnoteReference"/>
          <w:rFonts w:eastAsia="Times New Roman" w:cs="Times New Roman"/>
        </w:rPr>
        <w:footnoteReference w:id="5"/>
      </w:r>
      <w:r w:rsidRPr="672D2E86">
        <w:rPr>
          <w:rFonts w:eastAsia="Times New Roman" w:cs="Times New Roman"/>
        </w:rPr>
        <w:t>, (2) investigate various sampling methods, (3) estimate the respondent burden and response rates, and (4) determine the usability of the survey design</w:t>
      </w:r>
      <w:r w:rsidRPr="672D2E86" w:rsidR="672D0494">
        <w:rPr>
          <w:rFonts w:eastAsia="Times New Roman" w:cs="Times New Roman"/>
        </w:rPr>
        <w:t xml:space="preserve"> across diverse park types and contexts</w:t>
      </w:r>
      <w:r w:rsidRPr="672D2E86">
        <w:rPr>
          <w:rFonts w:eastAsia="Times New Roman" w:cs="Times New Roman"/>
        </w:rPr>
        <w:t xml:space="preserve">. </w:t>
      </w:r>
    </w:p>
    <w:p w:rsidR="00C04D3A" w:rsidRPr="00C04D3A" w:rsidP="00C04D3A" w14:paraId="42A70795" w14:textId="4FE14723">
      <w:pPr>
        <w:autoSpaceDE w:val="0"/>
        <w:autoSpaceDN w:val="0"/>
        <w:adjustRightInd w:val="0"/>
        <w:spacing w:line="360" w:lineRule="auto"/>
        <w:rPr>
          <w:rFonts w:cs="Calibri"/>
          <w:lang w:eastAsia="ja-JP"/>
        </w:rPr>
      </w:pPr>
      <w:r w:rsidRPr="672D2E86">
        <w:rPr>
          <w:rFonts w:cs="Calibri"/>
          <w:lang w:eastAsia="ja-JP"/>
        </w:rPr>
        <w:t>Additionally, the final proposed instrument (both intercept and mail-back) was tested on nine members of the public of various ages (18 or older) and backgrounds. Recruitment was conducted using students, staff, and faculty at the University of Montana. Test respondents were asked to imagine they were taking the survey in a national park setting. All nine individuals were read the</w:t>
      </w:r>
      <w:r w:rsidRPr="672D2E86" w:rsidR="008E1225">
        <w:rPr>
          <w:rFonts w:cs="Calibri"/>
          <w:lang w:eastAsia="ja-JP"/>
        </w:rPr>
        <w:t xml:space="preserve"> intercept</w:t>
      </w:r>
      <w:r w:rsidRPr="672D2E86">
        <w:rPr>
          <w:rFonts w:cs="Calibri"/>
          <w:lang w:eastAsia="ja-JP"/>
        </w:rPr>
        <w:t xml:space="preserve"> survey and asked to respond out loud, </w:t>
      </w:r>
      <w:r w:rsidRPr="672D2E86">
        <w:rPr>
          <w:rFonts w:cs="Calibri"/>
          <w:lang w:eastAsia="ja-JP"/>
        </w:rPr>
        <w:t>similar to</w:t>
      </w:r>
      <w:r w:rsidRPr="672D2E86">
        <w:rPr>
          <w:rFonts w:cs="Calibri"/>
          <w:lang w:eastAsia="ja-JP"/>
        </w:rPr>
        <w:t xml:space="preserve"> how the </w:t>
      </w:r>
      <w:r w:rsidRPr="672D2E86" w:rsidR="008E1225">
        <w:rPr>
          <w:rFonts w:cs="Calibri"/>
          <w:lang w:eastAsia="ja-JP"/>
        </w:rPr>
        <w:t xml:space="preserve">intercept </w:t>
      </w:r>
      <w:r w:rsidRPr="672D2E86">
        <w:rPr>
          <w:rFonts w:cs="Calibri"/>
          <w:lang w:eastAsia="ja-JP"/>
        </w:rPr>
        <w:t xml:space="preserve">survey </w:t>
      </w:r>
      <w:r w:rsidRPr="672D2E86" w:rsidR="008E1225">
        <w:rPr>
          <w:rFonts w:cs="Calibri"/>
          <w:lang w:eastAsia="ja-JP"/>
        </w:rPr>
        <w:t>is administered in the field</w:t>
      </w:r>
      <w:r w:rsidRPr="672D2E86">
        <w:rPr>
          <w:rFonts w:cs="Calibri"/>
          <w:lang w:eastAsia="ja-JP"/>
        </w:rPr>
        <w:t xml:space="preserve">. Research team observers noted where the respondents appeared confused and asked for feedback following completion. </w:t>
      </w:r>
    </w:p>
    <w:p w:rsidR="008E1225" w:rsidP="00785DCD" w14:paraId="57A7FDD2" w14:textId="73E43D15">
      <w:pPr>
        <w:autoSpaceDE w:val="0"/>
        <w:autoSpaceDN w:val="0"/>
        <w:adjustRightInd w:val="0"/>
        <w:spacing w:line="360" w:lineRule="auto"/>
        <w:rPr>
          <w:rFonts w:cs="Calibri"/>
          <w:lang w:eastAsia="ja-JP"/>
        </w:rPr>
      </w:pPr>
      <w:r w:rsidRPr="00C04D3A">
        <w:rPr>
          <w:rFonts w:cs="Calibri"/>
          <w:lang w:eastAsia="ja-JP"/>
        </w:rPr>
        <w:t>Respondents took an average time of 5</w:t>
      </w:r>
      <w:r w:rsidR="00C861BA">
        <w:rPr>
          <w:rFonts w:cs="Calibri"/>
          <w:lang w:eastAsia="ja-JP"/>
        </w:rPr>
        <w:t xml:space="preserve"> minutes and 36 seconds</w:t>
      </w:r>
      <w:r w:rsidRPr="00C04D3A">
        <w:rPr>
          <w:rFonts w:cs="Calibri"/>
          <w:lang w:eastAsia="ja-JP"/>
        </w:rPr>
        <w:t xml:space="preserve"> to complete the intercept survey, with the shortest time being 4</w:t>
      </w:r>
      <w:r w:rsidR="00C861BA">
        <w:rPr>
          <w:rFonts w:cs="Calibri"/>
          <w:lang w:eastAsia="ja-JP"/>
        </w:rPr>
        <w:t xml:space="preserve"> minutes 22 seconds</w:t>
      </w:r>
      <w:r w:rsidRPr="00C04D3A">
        <w:rPr>
          <w:rFonts w:cs="Calibri"/>
          <w:lang w:eastAsia="ja-JP"/>
        </w:rPr>
        <w:t xml:space="preserve"> and the longest being 6</w:t>
      </w:r>
      <w:r w:rsidR="00C861BA">
        <w:rPr>
          <w:rFonts w:cs="Calibri"/>
          <w:lang w:eastAsia="ja-JP"/>
        </w:rPr>
        <w:t xml:space="preserve"> minutes 28 seconds</w:t>
      </w:r>
      <w:r w:rsidRPr="00C04D3A">
        <w:rPr>
          <w:rFonts w:cs="Calibri"/>
          <w:lang w:eastAsia="ja-JP"/>
        </w:rPr>
        <w:t xml:space="preserve">. Some questions, particularly those related to group size, needed some clarification from the survey administrator. This observation of the necessity to provide occasional clarification </w:t>
      </w:r>
      <w:r>
        <w:rPr>
          <w:rFonts w:cs="Calibri"/>
          <w:lang w:eastAsia="ja-JP"/>
        </w:rPr>
        <w:t xml:space="preserve">on the intercept survey </w:t>
      </w:r>
      <w:r w:rsidRPr="00C04D3A">
        <w:rPr>
          <w:rFonts w:cs="Calibri"/>
          <w:lang w:eastAsia="ja-JP"/>
        </w:rPr>
        <w:t xml:space="preserve">reinforces the </w:t>
      </w:r>
      <w:r w:rsidR="00097545">
        <w:rPr>
          <w:rFonts w:cs="Calibri"/>
          <w:lang w:eastAsia="ja-JP"/>
        </w:rPr>
        <w:t>need to periodically assess question performance and the</w:t>
      </w:r>
      <w:r w:rsidRPr="00C04D3A">
        <w:rPr>
          <w:rFonts w:cs="Calibri"/>
          <w:lang w:eastAsia="ja-JP"/>
        </w:rPr>
        <w:t xml:space="preserve"> value of </w:t>
      </w:r>
      <w:r>
        <w:rPr>
          <w:rFonts w:cs="Calibri"/>
          <w:lang w:eastAsia="ja-JP"/>
        </w:rPr>
        <w:t xml:space="preserve">verbally </w:t>
      </w:r>
      <w:r w:rsidRPr="00C04D3A">
        <w:rPr>
          <w:rFonts w:cs="Calibri"/>
          <w:lang w:eastAsia="ja-JP"/>
        </w:rPr>
        <w:t xml:space="preserve">conducting </w:t>
      </w:r>
      <w:r>
        <w:rPr>
          <w:rFonts w:cs="Calibri"/>
          <w:lang w:eastAsia="ja-JP"/>
        </w:rPr>
        <w:t xml:space="preserve">this </w:t>
      </w:r>
      <w:r w:rsidRPr="00C04D3A">
        <w:rPr>
          <w:rFonts w:cs="Calibri"/>
          <w:lang w:eastAsia="ja-JP"/>
        </w:rPr>
        <w:t xml:space="preserve">survey. Such an approach allows questions that may cause confusion to be clearly explained by the surveyor on site. </w:t>
      </w:r>
    </w:p>
    <w:p w:rsidR="00DB6CE7" w:rsidP="00785DCD" w14:paraId="0E47C8E1" w14:textId="283124D4">
      <w:pPr>
        <w:autoSpaceDE w:val="0"/>
        <w:autoSpaceDN w:val="0"/>
        <w:adjustRightInd w:val="0"/>
        <w:spacing w:line="360" w:lineRule="auto"/>
        <w:rPr>
          <w:rFonts w:cs="Calibri"/>
          <w:lang w:eastAsia="ja-JP"/>
        </w:rPr>
      </w:pPr>
      <w:r w:rsidRPr="00C04D3A">
        <w:rPr>
          <w:rFonts w:cs="Calibri"/>
          <w:lang w:eastAsia="ja-JP"/>
        </w:rPr>
        <w:t>The mail-back/online survey</w:t>
      </w:r>
      <w:r>
        <w:rPr>
          <w:rFonts w:cs="Calibri"/>
          <w:lang w:eastAsia="ja-JP"/>
        </w:rPr>
        <w:t xml:space="preserve"> </w:t>
      </w:r>
      <w:r w:rsidRPr="00C04D3A">
        <w:rPr>
          <w:rFonts w:cs="Calibri"/>
          <w:lang w:eastAsia="ja-JP"/>
        </w:rPr>
        <w:t xml:space="preserve">took an average of </w:t>
      </w:r>
      <w:r>
        <w:rPr>
          <w:rFonts w:cs="Calibri"/>
          <w:lang w:eastAsia="ja-JP"/>
        </w:rPr>
        <w:t>13 minutes to complete</w:t>
      </w:r>
      <w:r w:rsidRPr="00C04D3A">
        <w:rPr>
          <w:rFonts w:cs="Calibri"/>
          <w:lang w:eastAsia="ja-JP"/>
        </w:rPr>
        <w:t>, with the shortest time being 8</w:t>
      </w:r>
      <w:r w:rsidR="00C861BA">
        <w:rPr>
          <w:rFonts w:cs="Calibri"/>
          <w:lang w:eastAsia="ja-JP"/>
        </w:rPr>
        <w:t xml:space="preserve"> minutes 20 seconds</w:t>
      </w:r>
      <w:r w:rsidRPr="00C04D3A">
        <w:rPr>
          <w:rFonts w:cs="Calibri"/>
          <w:lang w:eastAsia="ja-JP"/>
        </w:rPr>
        <w:t xml:space="preserve"> and the longest being 21</w:t>
      </w:r>
      <w:r w:rsidR="00C861BA">
        <w:rPr>
          <w:rFonts w:cs="Calibri"/>
          <w:lang w:eastAsia="ja-JP"/>
        </w:rPr>
        <w:t xml:space="preserve"> minutes </w:t>
      </w:r>
      <w:r w:rsidR="008D521C">
        <w:rPr>
          <w:rFonts w:cs="Calibri"/>
          <w:lang w:eastAsia="ja-JP"/>
        </w:rPr>
        <w:t>32 seconds</w:t>
      </w:r>
      <w:r w:rsidRPr="00C04D3A">
        <w:rPr>
          <w:rFonts w:cs="Calibri"/>
          <w:lang w:eastAsia="ja-JP"/>
        </w:rPr>
        <w:t xml:space="preserve">. </w:t>
      </w:r>
      <w:r w:rsidR="008E1225">
        <w:rPr>
          <w:rFonts w:cs="Calibri"/>
          <w:lang w:eastAsia="ja-JP"/>
        </w:rPr>
        <w:t xml:space="preserve">For the mail-back survey, the respondents read and </w:t>
      </w:r>
      <w:r w:rsidR="00120DB4">
        <w:rPr>
          <w:rFonts w:cs="Calibri"/>
          <w:lang w:eastAsia="ja-JP"/>
        </w:rPr>
        <w:t xml:space="preserve">completed surveys on their own (to reflect the conditions of how the survey is fielded). </w:t>
      </w:r>
    </w:p>
    <w:p w:rsidR="00D6209E" w:rsidRPr="00683675" w:rsidP="004826D0" w14:paraId="3977D82E" w14:textId="77777777">
      <w:pPr>
        <w:autoSpaceDE w:val="0"/>
        <w:autoSpaceDN w:val="0"/>
        <w:adjustRightInd w:val="0"/>
        <w:spacing w:line="360" w:lineRule="auto"/>
        <w:rPr>
          <w:rFonts w:eastAsia="Times New Roman" w:cs="Times New Roman"/>
        </w:rPr>
      </w:pPr>
      <w:r w:rsidRPr="00683675">
        <w:rPr>
          <w:rFonts w:eastAsia="Times New Roman" w:cs="Times New Roman"/>
          <w:b/>
          <w:i/>
        </w:rPr>
        <w:t xml:space="preserve">5. Provide the name and telephone number of individuals consulted on statistical aspects of the design and the name of the agency unit, contractor(s), grantee(s), or other person(s) who will </w:t>
      </w:r>
      <w:r w:rsidRPr="00683675">
        <w:rPr>
          <w:rFonts w:eastAsia="Times New Roman" w:cs="Times New Roman"/>
          <w:b/>
          <w:i/>
        </w:rPr>
        <w:t>actually collect</w:t>
      </w:r>
      <w:r w:rsidRPr="00683675">
        <w:rPr>
          <w:rFonts w:eastAsia="Times New Roman" w:cs="Times New Roman"/>
          <w:b/>
          <w:i/>
        </w:rPr>
        <w:t xml:space="preserve"> and/or analyze the information for the agency.</w:t>
      </w:r>
    </w:p>
    <w:p w:rsidR="00D6209E" w:rsidRPr="009C7384" w:rsidP="004826D0" w14:paraId="45AD2877" w14:textId="77777777">
      <w:pPr>
        <w:spacing w:after="0" w:line="360" w:lineRule="auto"/>
        <w:rPr>
          <w:rFonts w:eastAsia="Times New Roman" w:cs="Calibri"/>
          <w:b/>
        </w:rPr>
      </w:pPr>
      <w:r w:rsidRPr="009C7384">
        <w:rPr>
          <w:rFonts w:eastAsia="Times New Roman" w:cs="Calibri"/>
          <w:b/>
        </w:rPr>
        <w:t>Statistical Consultant</w:t>
      </w:r>
    </w:p>
    <w:p w:rsidR="00B34C0A" w:rsidRPr="00B34C0A" w:rsidP="004826D0" w14:paraId="36D3D5B6" w14:textId="564C0912">
      <w:pPr>
        <w:spacing w:after="0" w:line="360" w:lineRule="auto"/>
        <w:rPr>
          <w:rFonts w:eastAsia="Times New Roman" w:cs="Calibri"/>
          <w:bCs/>
        </w:rPr>
      </w:pPr>
      <w:r w:rsidRPr="00B34C0A">
        <w:rPr>
          <w:rFonts w:eastAsia="Times New Roman" w:cs="Calibri"/>
          <w:bCs/>
        </w:rPr>
        <w:t xml:space="preserve">Chris </w:t>
      </w:r>
      <w:r w:rsidRPr="00B34C0A">
        <w:rPr>
          <w:rFonts w:eastAsia="Times New Roman" w:cs="Calibri"/>
          <w:bCs/>
        </w:rPr>
        <w:t>Neher</w:t>
      </w:r>
      <w:r>
        <w:rPr>
          <w:rFonts w:eastAsia="Times New Roman" w:cs="Calibri"/>
          <w:bCs/>
        </w:rPr>
        <w:t xml:space="preserve"> – </w:t>
      </w:r>
      <w:r>
        <w:rPr>
          <w:rFonts w:eastAsia="Times New Roman" w:cs="Calibri"/>
          <w:bCs/>
        </w:rPr>
        <w:t>Bioeconomics</w:t>
      </w:r>
      <w:r>
        <w:rPr>
          <w:rFonts w:eastAsia="Times New Roman" w:cs="Calibri"/>
          <w:bCs/>
        </w:rPr>
        <w:t>, LLC.</w:t>
      </w:r>
    </w:p>
    <w:p w:rsidR="00B34C0A" w:rsidRPr="00B34C0A" w:rsidP="00B34C0A" w14:paraId="1DBB9642" w14:textId="5A33BC13">
      <w:pPr>
        <w:spacing w:after="0" w:line="360" w:lineRule="auto"/>
        <w:rPr>
          <w:rFonts w:eastAsia="Times New Roman" w:cs="Calibri"/>
          <w:bCs/>
        </w:rPr>
      </w:pPr>
      <w:r w:rsidRPr="00B34C0A">
        <w:rPr>
          <w:rFonts w:eastAsia="Times New Roman" w:cs="Calibri"/>
          <w:bCs/>
        </w:rPr>
        <w:t>Dave Patterson</w:t>
      </w:r>
      <w:r>
        <w:rPr>
          <w:rFonts w:eastAsia="Times New Roman" w:cs="Calibri"/>
          <w:bCs/>
        </w:rPr>
        <w:t xml:space="preserve"> – University of Montana</w:t>
      </w:r>
    </w:p>
    <w:p w:rsidR="00B34C0A" w:rsidP="004826D0" w14:paraId="45882FFE" w14:textId="14A5EFA1">
      <w:pPr>
        <w:spacing w:after="0" w:line="360" w:lineRule="auto"/>
        <w:rPr>
          <w:rFonts w:eastAsia="Times New Roman" w:cs="Calibri"/>
          <w:b/>
        </w:rPr>
      </w:pPr>
    </w:p>
    <w:p w:rsidR="00D6209E" w:rsidP="004826D0" w14:paraId="0BCD491D" w14:textId="58DA07D6">
      <w:pPr>
        <w:spacing w:after="0" w:line="360" w:lineRule="auto"/>
        <w:rPr>
          <w:rFonts w:eastAsia="Times New Roman" w:cs="Calibri"/>
          <w:b/>
        </w:rPr>
      </w:pPr>
      <w:r w:rsidRPr="009C7384">
        <w:rPr>
          <w:rFonts w:eastAsia="Times New Roman" w:cs="Calibri"/>
          <w:b/>
        </w:rPr>
        <w:t>Collection and analysis agency:</w:t>
      </w:r>
    </w:p>
    <w:p w:rsidR="00B34C0A" w:rsidRPr="00B34C0A" w:rsidP="00B34C0A" w14:paraId="1CDB73D3" w14:textId="39D3BBFB">
      <w:pPr>
        <w:spacing w:after="0" w:line="360" w:lineRule="auto"/>
        <w:rPr>
          <w:rFonts w:eastAsia="Times New Roman" w:cs="Calibri"/>
          <w:bCs/>
        </w:rPr>
      </w:pPr>
      <w:r w:rsidRPr="00B34C0A">
        <w:rPr>
          <w:rFonts w:eastAsia="Times New Roman" w:cs="Calibri"/>
          <w:bCs/>
        </w:rPr>
        <w:t>Jake Jorgenson</w:t>
      </w:r>
      <w:r>
        <w:rPr>
          <w:rFonts w:eastAsia="Times New Roman" w:cs="Calibri"/>
          <w:bCs/>
        </w:rPr>
        <w:t xml:space="preserve"> – RRC Associates</w:t>
      </w:r>
    </w:p>
    <w:p w:rsidR="00B34C0A" w:rsidP="00B34C0A" w14:paraId="29F71E4D" w14:textId="0EC02570">
      <w:pPr>
        <w:spacing w:after="0" w:line="360" w:lineRule="auto"/>
        <w:rPr>
          <w:rFonts w:eastAsia="Times New Roman" w:cs="Calibri"/>
          <w:bCs/>
        </w:rPr>
      </w:pPr>
      <w:r w:rsidRPr="00B34C0A">
        <w:rPr>
          <w:rFonts w:eastAsia="Times New Roman" w:cs="Calibri"/>
          <w:bCs/>
        </w:rPr>
        <w:t>Jeremy Sage</w:t>
      </w:r>
      <w:r>
        <w:rPr>
          <w:rFonts w:eastAsia="Times New Roman" w:cs="Calibri"/>
          <w:bCs/>
        </w:rPr>
        <w:t xml:space="preserve"> – RRC Associates</w:t>
      </w:r>
    </w:p>
    <w:p w:rsidR="00B34C0A" w:rsidP="00B34C0A" w14:paraId="3F5C3312" w14:textId="5BECD4DC">
      <w:pPr>
        <w:spacing w:after="0" w:line="360" w:lineRule="auto"/>
        <w:rPr>
          <w:rFonts w:eastAsia="Times New Roman" w:cs="Calibri"/>
          <w:bCs/>
        </w:rPr>
      </w:pPr>
      <w:r>
        <w:rPr>
          <w:rFonts w:eastAsia="Times New Roman" w:cs="Calibri"/>
          <w:bCs/>
        </w:rPr>
        <w:t xml:space="preserve">Bill Valliere – </w:t>
      </w:r>
      <w:r>
        <w:rPr>
          <w:rFonts w:eastAsia="Times New Roman" w:cs="Calibri"/>
          <w:bCs/>
        </w:rPr>
        <w:t>Otak</w:t>
      </w:r>
    </w:p>
    <w:p w:rsidR="00B36562" w:rsidP="00B34C0A" w14:paraId="3117F39C" w14:textId="1072F816">
      <w:pPr>
        <w:spacing w:after="0" w:line="360" w:lineRule="auto"/>
        <w:rPr>
          <w:rFonts w:eastAsia="Times New Roman" w:cs="Calibri"/>
          <w:bCs/>
        </w:rPr>
      </w:pPr>
      <w:r>
        <w:rPr>
          <w:rFonts w:eastAsia="Times New Roman" w:cs="Calibri"/>
          <w:bCs/>
        </w:rPr>
        <w:t>National Park Service Soci</w:t>
      </w:r>
      <w:r w:rsidR="00F52931">
        <w:rPr>
          <w:rFonts w:eastAsia="Times New Roman" w:cs="Calibri"/>
          <w:bCs/>
        </w:rPr>
        <w:t>oeconomic and Resource Recovery Division</w:t>
      </w:r>
    </w:p>
    <w:p w:rsidR="00031DA5" w:rsidP="004826D0" w14:paraId="52872E16" w14:textId="77777777">
      <w:pPr>
        <w:spacing w:line="360" w:lineRule="auto"/>
        <w:rPr>
          <w:rFonts w:eastAsia="Times New Roman" w:cs="Times New Roman"/>
          <w:b/>
        </w:rPr>
      </w:pPr>
    </w:p>
    <w:p w:rsidR="00D6209E" w:rsidRPr="009C7384" w:rsidP="004826D0" w14:paraId="69DE4370" w14:textId="1588A03F">
      <w:pPr>
        <w:spacing w:line="360" w:lineRule="auto"/>
        <w:rPr>
          <w:rFonts w:eastAsia="Times New Roman" w:cs="Times New Roman"/>
          <w:b/>
        </w:rPr>
      </w:pPr>
      <w:r w:rsidRPr="009C7384">
        <w:rPr>
          <w:rFonts w:eastAsia="Times New Roman" w:cs="Times New Roman"/>
          <w:b/>
        </w:rPr>
        <w:t>Literature Cited</w:t>
      </w:r>
    </w:p>
    <w:p w:rsidR="00A804E7" w14:paraId="6FB7ECB5" w14:textId="2CCC83D5">
      <w:pPr>
        <w:spacing w:line="360" w:lineRule="auto"/>
      </w:pPr>
      <w:r>
        <w:t>Boyle</w:t>
      </w:r>
      <w:r w:rsidRPr="00AD42D9" w:rsidR="00AD42D9">
        <w:t>, K.J., 2017. Contingent valuation in practice. A primer on nonmarket valuation, pp.</w:t>
      </w:r>
      <w:r w:rsidR="00AD42D9">
        <w:t xml:space="preserve"> </w:t>
      </w:r>
      <w:r w:rsidRPr="00AD42D9" w:rsidR="00AD42D9">
        <w:t>83-131.</w:t>
      </w:r>
    </w:p>
    <w:p w:rsidR="30C7C820" w:rsidP="2A065B46" w14:paraId="4A340B58" w14:textId="5B3C6BA0">
      <w:pPr>
        <w:spacing w:line="360" w:lineRule="auto"/>
      </w:pPr>
      <w:r>
        <w:t>Haab, T.C., McConnell, K.E. 2002. Valuing environmental and natural resources: the econometrics of non-market valuation. Edward Elgar Publishing</w:t>
      </w:r>
      <w:r w:rsidR="27350C1C">
        <w:t>: Northampton, MA.</w:t>
      </w:r>
    </w:p>
    <w:p w:rsidR="00977381" w14:paraId="29436A54" w14:textId="16A37ED7">
      <w:pPr>
        <w:spacing w:line="360" w:lineRule="auto"/>
      </w:pPr>
      <w:r w:rsidRPr="00977381">
        <w:t>Haefele</w:t>
      </w:r>
      <w:r w:rsidRPr="00977381">
        <w:t xml:space="preserve">, </w:t>
      </w:r>
      <w:r w:rsidR="2D89C819">
        <w:t xml:space="preserve">M., </w:t>
      </w:r>
      <w:r w:rsidRPr="00977381">
        <w:t xml:space="preserve">Loomis, </w:t>
      </w:r>
      <w:r w:rsidR="556472BC">
        <w:t xml:space="preserve">J.B., </w:t>
      </w:r>
      <w:r w:rsidRPr="00977381">
        <w:t>Bilmes</w:t>
      </w:r>
      <w:r w:rsidRPr="00977381">
        <w:t xml:space="preserve">, </w:t>
      </w:r>
      <w:r w:rsidR="6D27A455">
        <w:t>L.</w:t>
      </w:r>
      <w:r w:rsidR="3982A10F">
        <w:t xml:space="preserve"> 2016.</w:t>
      </w:r>
      <w:r w:rsidRPr="00977381">
        <w:t xml:space="preserve"> Total Economic Valuation of the National Park Service Lands and Programs: Results of a Survey of the American Public</w:t>
      </w:r>
      <w:r w:rsidR="78EC0C7B">
        <w:t>. 2016.</w:t>
      </w:r>
      <w:r w:rsidRPr="00977381">
        <w:t xml:space="preserve"> HKS Working Paper No. 16-024, Available at </w:t>
      </w:r>
      <w:hyperlink r:id="rId10">
        <w:r w:rsidRPr="2A065B46">
          <w:rPr>
            <w:rStyle w:val="Hyperlink"/>
          </w:rPr>
          <w:t>http://dx.doi.org/10.2139/ssrn.2821124</w:t>
        </w:r>
      </w:hyperlink>
    </w:p>
    <w:p w:rsidR="004114A8" w14:paraId="1B3D7DC7" w14:textId="41CCDD76">
      <w:pPr>
        <w:spacing w:line="360" w:lineRule="auto"/>
      </w:pPr>
      <w:r w:rsidRPr="004114A8">
        <w:t xml:space="preserve">Johnston, R.J., Boyle, K.J., </w:t>
      </w:r>
      <w:r w:rsidRPr="004114A8">
        <w:t>Adamowicz</w:t>
      </w:r>
      <w:r w:rsidRPr="004114A8">
        <w:t xml:space="preserve">, W., Bennett, J., Brouwer, R., Cameron, T.A., </w:t>
      </w:r>
      <w:r w:rsidRPr="004114A8">
        <w:t>Hanemann</w:t>
      </w:r>
      <w:r w:rsidRPr="004114A8">
        <w:t>, W.M., Hanley, N., Ryan, M., Scarpa, R. and Tourangeau, R. 2017. Contemporary guidance for stated preference studies. Journal of the Association of Environmental and Resource Economists, 4(2), pp.319-405.</w:t>
      </w:r>
    </w:p>
    <w:p w:rsidR="00912FCA" w14:paraId="57E78E7D" w14:textId="3CEA4B6F">
      <w:pPr>
        <w:spacing w:line="360" w:lineRule="auto"/>
      </w:pPr>
      <w:r w:rsidRPr="00912FCA">
        <w:t>Parsons, George, and Kelley Myers. 2016. Fat Tails and Truncated Bids in Contingent Valuation: An Application to an Endangered Shorebird Species. Ecological Economics 129:  210–19.</w:t>
      </w:r>
    </w:p>
    <w:p w:rsidR="00287128" w14:paraId="6F1C6990" w14:textId="41FB11D2">
      <w:pPr>
        <w:spacing w:line="360" w:lineRule="auto"/>
      </w:pPr>
      <w:r>
        <w:t xml:space="preserve">Sinclair, W., Huber, C., Richardson, L. 2020. Valuing Tourism to a Historic World War II National Memorial. </w:t>
      </w:r>
      <w:r>
        <w:rPr>
          <w:i/>
          <w:iCs/>
        </w:rPr>
        <w:t xml:space="preserve">Journal of Cultural Heritage, 45, </w:t>
      </w:r>
      <w:r>
        <w:t>334-338.</w:t>
      </w:r>
    </w:p>
    <w:p w:rsidR="00884F01" w:rsidP="00884F01" w14:paraId="2EC62954" w14:textId="453D1779">
      <w:pPr>
        <w:rPr>
          <w:rFonts w:eastAsia="Times New Roman" w:cs="Arial"/>
        </w:rPr>
      </w:pPr>
      <w:r w:rsidRPr="00884F01">
        <w:rPr>
          <w:rFonts w:eastAsia="Times New Roman" w:cs="Arial"/>
        </w:rPr>
        <w:t>Vaske</w:t>
      </w:r>
      <w:r w:rsidRPr="00884F01">
        <w:rPr>
          <w:rFonts w:eastAsia="Times New Roman" w:cs="Arial"/>
        </w:rPr>
        <w:t xml:space="preserve">, J. J. 2019. </w:t>
      </w:r>
      <w:r w:rsidRPr="00884F01">
        <w:rPr>
          <w:rFonts w:eastAsia="Times New Roman" w:cs="Arial"/>
          <w:i/>
          <w:iCs/>
        </w:rPr>
        <w:t>Survey research and analysis (2</w:t>
      </w:r>
      <w:r w:rsidRPr="00884F01">
        <w:rPr>
          <w:rFonts w:eastAsia="Times New Roman" w:cs="Arial"/>
          <w:i/>
          <w:iCs/>
          <w:vertAlign w:val="superscript"/>
        </w:rPr>
        <w:t>nd</w:t>
      </w:r>
      <w:r w:rsidRPr="00884F01">
        <w:rPr>
          <w:rFonts w:eastAsia="Times New Roman" w:cs="Arial"/>
          <w:i/>
          <w:iCs/>
        </w:rPr>
        <w:t xml:space="preserve"> ed.)</w:t>
      </w:r>
      <w:r w:rsidRPr="00884F01">
        <w:rPr>
          <w:rFonts w:eastAsia="Times New Roman" w:cs="Arial"/>
        </w:rPr>
        <w:t xml:space="preserve">. Sagamore-Venture. </w:t>
      </w:r>
    </w:p>
    <w:p w:rsidR="00B333D7" w:rsidRPr="00884F01" w:rsidP="00884F01" w14:paraId="5535BE7D" w14:textId="77777777">
      <w:pPr>
        <w:rPr>
          <w:rFonts w:eastAsia="Times New Roman" w:cs="Arial"/>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105293"/>
      <w:docPartObj>
        <w:docPartGallery w:val="Page Numbers (Bottom of Page)"/>
        <w:docPartUnique/>
      </w:docPartObj>
    </w:sdtPr>
    <w:sdtEndPr>
      <w:rPr>
        <w:noProof/>
      </w:rPr>
    </w:sdtEndPr>
    <w:sdtContent>
      <w:p w:rsidR="00951F83" w14:paraId="0D06976E" w14:textId="3FDB80A3">
        <w:pPr>
          <w:pStyle w:val="Footer"/>
          <w:jc w:val="center"/>
        </w:pPr>
        <w:r>
          <w:fldChar w:fldCharType="begin"/>
        </w:r>
        <w:r>
          <w:instrText xml:space="preserve"> PAGE   \* MERGEFORMAT </w:instrText>
        </w:r>
        <w:r>
          <w:fldChar w:fldCharType="separate"/>
        </w:r>
        <w:r w:rsidR="00D81403">
          <w:rPr>
            <w:noProof/>
          </w:rPr>
          <w:t>13</w:t>
        </w:r>
        <w:r>
          <w:rPr>
            <w:noProof/>
          </w:rPr>
          <w:fldChar w:fldCharType="end"/>
        </w:r>
      </w:p>
    </w:sdtContent>
  </w:sdt>
  <w:p w:rsidR="00951F83" w14:paraId="1CAE7B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5B30" w:rsidP="008B04B2" w14:paraId="7DEC3C96" w14:textId="77777777">
      <w:pPr>
        <w:spacing w:after="0" w:line="240" w:lineRule="auto"/>
      </w:pPr>
      <w:r>
        <w:separator/>
      </w:r>
    </w:p>
  </w:footnote>
  <w:footnote w:type="continuationSeparator" w:id="1">
    <w:p w:rsidR="00515B30" w:rsidP="008B04B2" w14:paraId="47103F46" w14:textId="77777777">
      <w:pPr>
        <w:spacing w:after="0" w:line="240" w:lineRule="auto"/>
      </w:pPr>
      <w:r>
        <w:continuationSeparator/>
      </w:r>
    </w:p>
  </w:footnote>
  <w:footnote w:type="continuationNotice" w:id="2">
    <w:p w:rsidR="00515B30" w14:paraId="358F316E" w14:textId="77777777">
      <w:pPr>
        <w:spacing w:after="0" w:line="240" w:lineRule="auto"/>
      </w:pPr>
    </w:p>
  </w:footnote>
  <w:footnote w:id="3">
    <w:p w:rsidR="005D1C54" w14:paraId="1D2F08DC" w14:textId="2A508ED9">
      <w:pPr>
        <w:pStyle w:val="FootnoteText"/>
      </w:pPr>
      <w:r>
        <w:rPr>
          <w:rStyle w:val="FootnoteReference"/>
        </w:rPr>
        <w:footnoteRef/>
      </w:r>
      <w:r>
        <w:t xml:space="preserve"> </w:t>
      </w:r>
      <w:hyperlink r:id="rId1" w:history="1">
        <w:r>
          <w:rPr>
            <w:rStyle w:val="Hyperlink"/>
          </w:rPr>
          <w:t>Sample Size Calculator | Good Calculators</w:t>
        </w:r>
      </w:hyperlink>
    </w:p>
  </w:footnote>
  <w:footnote w:id="4">
    <w:p w:rsidR="00B96460" w14:paraId="7D43B232" w14:textId="5F8FAFE8">
      <w:pPr>
        <w:pStyle w:val="FootnoteText"/>
      </w:pPr>
      <w:r>
        <w:rPr>
          <w:rStyle w:val="FootnoteReference"/>
        </w:rPr>
        <w:footnoteRef/>
      </w:r>
      <w:r>
        <w:t xml:space="preserve"> </w:t>
      </w:r>
      <w:r w:rsidRPr="00B96460">
        <w:t>OMB Control Number 1024-0224, Expiration Date: 5-30-2019, Programmatic Clearance for NPS-Sponsored Public Surveys</w:t>
      </w:r>
    </w:p>
  </w:footnote>
  <w:footnote w:id="5">
    <w:p w:rsidR="00992272" w14:paraId="47C81939" w14:textId="46E57544">
      <w:pPr>
        <w:pStyle w:val="FootnoteText"/>
      </w:pPr>
      <w:r>
        <w:rPr>
          <w:rStyle w:val="FootnoteReference"/>
        </w:rPr>
        <w:footnoteRef/>
      </w:r>
      <w:r>
        <w:t xml:space="preserve"> </w:t>
      </w:r>
      <w:r w:rsidRPr="0031280D" w:rsidR="0031280D">
        <w:t>https://www.nps.gov/subjects/socialscience/upload/SEM_Pilot_Final_508accessible.pd</w:t>
      </w:r>
      <w:r w:rsidR="0031280D">
        <w:t>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92B64"/>
    <w:multiLevelType w:val="hybridMultilevel"/>
    <w:tmpl w:val="B2B44A48"/>
    <w:lvl w:ilvl="0">
      <w:start w:val="1"/>
      <w:numFmt w:val="decimal"/>
      <w:pStyle w:val="NPS4C-OMB-Q"/>
      <w:lvlText w:val="Q%1."/>
      <w:lvlJc w:val="left"/>
      <w:pPr>
        <w:tabs>
          <w:tab w:val="num" w:pos="0"/>
        </w:tabs>
        <w:ind w:left="0" w:firstLine="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F430B"/>
    <w:multiLevelType w:val="hybridMultilevel"/>
    <w:tmpl w:val="83E44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36ED8"/>
    <w:multiLevelType w:val="hybridMultilevel"/>
    <w:tmpl w:val="49B4FE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BB0E8B"/>
    <w:multiLevelType w:val="hybridMultilevel"/>
    <w:tmpl w:val="D9424718"/>
    <w:lvl w:ilvl="0">
      <w:start w:val="1"/>
      <w:numFmt w:val="decimal"/>
      <w:lvlText w:val="%1."/>
      <w:lvlJc w:val="left"/>
      <w:pPr>
        <w:ind w:left="720" w:hanging="360"/>
      </w:pPr>
      <w:rPr>
        <w:rFonts w:ascii="Calibri" w:hAnsi="Calibri" w:cs="Calibri" w:hint="default"/>
        <w:strike w:val="0"/>
        <w:dstrike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4984"/>
    <w:multiLevelType w:val="hybridMultilevel"/>
    <w:tmpl w:val="8E3CF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EA0BF6"/>
    <w:multiLevelType w:val="multilevel"/>
    <w:tmpl w:val="0409001D"/>
    <w:numStyleLink w:val="Singlepunch"/>
  </w:abstractNum>
  <w:abstractNum w:abstractNumId="6">
    <w:nsid w:val="0CF65F9C"/>
    <w:multiLevelType w:val="hybridMultilevel"/>
    <w:tmpl w:val="3BAA31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0573A5"/>
    <w:multiLevelType w:val="hybridMultilevel"/>
    <w:tmpl w:val="9C1A17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D8565C"/>
    <w:multiLevelType w:val="hybridMultilevel"/>
    <w:tmpl w:val="456CAA64"/>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9">
    <w:nsid w:val="16015C16"/>
    <w:multiLevelType w:val="hybridMultilevel"/>
    <w:tmpl w:val="8E3CF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EE6CDB"/>
    <w:multiLevelType w:val="hybridMultilevel"/>
    <w:tmpl w:val="9B9AE62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CEB2A2E"/>
    <w:multiLevelType w:val="hybridMultilevel"/>
    <w:tmpl w:val="DB781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229B3F1E"/>
    <w:multiLevelType w:val="hybridMultilevel"/>
    <w:tmpl w:val="2F30CB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B80AB6"/>
    <w:multiLevelType w:val="multilevel"/>
    <w:tmpl w:val="415CB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03B0C55"/>
    <w:multiLevelType w:val="multilevel"/>
    <w:tmpl w:val="8C4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95F1F42"/>
    <w:multiLevelType w:val="hybridMultilevel"/>
    <w:tmpl w:val="C33A2BBC"/>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5A324D"/>
    <w:multiLevelType w:val="multilevel"/>
    <w:tmpl w:val="0409001D"/>
    <w:lvl w:ilvl="0">
      <w:start w:val="1"/>
      <w:numFmt w:val="bullet"/>
      <w:lvlText w:val=""/>
      <w:lvlJc w:val="left"/>
      <w:pPr>
        <w:ind w:left="1260" w:hanging="360"/>
      </w:pPr>
      <w:rPr>
        <w:rFonts w:ascii="Wingdings" w:hAnsi="Wingdings"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19">
    <w:nsid w:val="4A2778A6"/>
    <w:multiLevelType w:val="multilevel"/>
    <w:tmpl w:val="0409001D"/>
    <w:styleLink w:val="Singlepunch"/>
    <w:lvl w:ilvl="0">
      <w:start w:val="1"/>
      <w:numFmt w:val="bullet"/>
      <w:pStyle w:val="ListParagraph"/>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C7B5849"/>
    <w:multiLevelType w:val="hybridMultilevel"/>
    <w:tmpl w:val="3F226A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00E6F3A"/>
    <w:multiLevelType w:val="hybridMultilevel"/>
    <w:tmpl w:val="8C24D974"/>
    <w:lvl w:ilvl="0">
      <w:start w:val="1"/>
      <w:numFmt w:val="bullet"/>
      <w:lvlText w:val=""/>
      <w:lvlJc w:val="left"/>
      <w:pPr>
        <w:ind w:left="720" w:hanging="360"/>
      </w:pPr>
      <w:rPr>
        <w:rFonts w:ascii="Wingdings" w:hAnsi="Wingdings" w:hint="default"/>
        <w:color w:val="0000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54631A"/>
    <w:multiLevelType w:val="hybridMultilevel"/>
    <w:tmpl w:val="3642EE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F043C3"/>
    <w:multiLevelType w:val="hybridMultilevel"/>
    <w:tmpl w:val="2F30CB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EA55C4"/>
    <w:multiLevelType w:val="hybridMultilevel"/>
    <w:tmpl w:val="0352A8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88405A"/>
    <w:multiLevelType w:val="multilevel"/>
    <w:tmpl w:val="192C2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EC03A9E"/>
    <w:multiLevelType w:val="hybridMultilevel"/>
    <w:tmpl w:val="8D42A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D14364"/>
    <w:multiLevelType w:val="hybridMultilevel"/>
    <w:tmpl w:val="18640276"/>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8732FF"/>
    <w:multiLevelType w:val="multilevel"/>
    <w:tmpl w:val="52EE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B392A77"/>
    <w:multiLevelType w:val="hybridMultilevel"/>
    <w:tmpl w:val="BD9C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C651DD8"/>
    <w:multiLevelType w:val="hybridMultilevel"/>
    <w:tmpl w:val="5B9CEA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F769DF"/>
    <w:multiLevelType w:val="multilevel"/>
    <w:tmpl w:val="CB42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99D5D3E"/>
    <w:multiLevelType w:val="hybridMultilevel"/>
    <w:tmpl w:val="DFB01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572E5F"/>
    <w:multiLevelType w:val="hybridMultilevel"/>
    <w:tmpl w:val="AB820B20"/>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5032329">
    <w:abstractNumId w:val="21"/>
  </w:num>
  <w:num w:numId="2" w16cid:durableId="27072175">
    <w:abstractNumId w:val="30"/>
  </w:num>
  <w:num w:numId="3" w16cid:durableId="651568276">
    <w:abstractNumId w:val="24"/>
  </w:num>
  <w:num w:numId="4" w16cid:durableId="1373378879">
    <w:abstractNumId w:val="3"/>
  </w:num>
  <w:num w:numId="5" w16cid:durableId="770859020">
    <w:abstractNumId w:val="14"/>
  </w:num>
  <w:num w:numId="6" w16cid:durableId="1561483191">
    <w:abstractNumId w:val="19"/>
  </w:num>
  <w:num w:numId="7" w16cid:durableId="1007902019">
    <w:abstractNumId w:val="5"/>
    <w:lvlOverride w:ilvl="0">
      <w:lvl w:ilvl="0">
        <w:start w:val="1"/>
        <w:numFmt w:val="bullet"/>
        <w:pStyle w:val="ListParagraph"/>
        <w:lvlText w:val=""/>
        <w:lvlJc w:val="left"/>
        <w:pPr>
          <w:ind w:left="990" w:hanging="360"/>
        </w:pPr>
        <w:rPr>
          <w:rFonts w:ascii="Wingdings" w:hAnsi="Wingdings" w:hint="default"/>
        </w:rPr>
      </w:lvl>
    </w:lvlOverride>
  </w:num>
  <w:num w:numId="8" w16cid:durableId="680621676">
    <w:abstractNumId w:val="0"/>
  </w:num>
  <w:num w:numId="9" w16cid:durableId="1481800125">
    <w:abstractNumId w:val="18"/>
  </w:num>
  <w:num w:numId="10" w16cid:durableId="1472359149">
    <w:abstractNumId w:val="2"/>
  </w:num>
  <w:num w:numId="11" w16cid:durableId="2131656407">
    <w:abstractNumId w:val="20"/>
  </w:num>
  <w:num w:numId="12" w16cid:durableId="1375545143">
    <w:abstractNumId w:val="33"/>
  </w:num>
  <w:num w:numId="13" w16cid:durableId="114905152">
    <w:abstractNumId w:val="23"/>
  </w:num>
  <w:num w:numId="14" w16cid:durableId="871767735">
    <w:abstractNumId w:val="22"/>
  </w:num>
  <w:num w:numId="15" w16cid:durableId="465389687">
    <w:abstractNumId w:val="29"/>
  </w:num>
  <w:num w:numId="16" w16cid:durableId="1791824482">
    <w:abstractNumId w:val="15"/>
  </w:num>
  <w:num w:numId="17" w16cid:durableId="877015092">
    <w:abstractNumId w:val="26"/>
  </w:num>
  <w:num w:numId="18" w16cid:durableId="1013069129">
    <w:abstractNumId w:val="32"/>
  </w:num>
  <w:num w:numId="19" w16cid:durableId="1288773800">
    <w:abstractNumId w:val="16"/>
  </w:num>
  <w:num w:numId="20" w16cid:durableId="796215296">
    <w:abstractNumId w:val="9"/>
  </w:num>
  <w:num w:numId="21" w16cid:durableId="96994133">
    <w:abstractNumId w:val="8"/>
  </w:num>
  <w:num w:numId="22" w16cid:durableId="1194536343">
    <w:abstractNumId w:val="10"/>
  </w:num>
  <w:num w:numId="23" w16cid:durableId="1099570963">
    <w:abstractNumId w:val="13"/>
  </w:num>
  <w:num w:numId="24" w16cid:durableId="1586650148">
    <w:abstractNumId w:val="4"/>
  </w:num>
  <w:num w:numId="25" w16cid:durableId="1354727279">
    <w:abstractNumId w:val="34"/>
  </w:num>
  <w:num w:numId="26" w16cid:durableId="172570459">
    <w:abstractNumId w:val="7"/>
  </w:num>
  <w:num w:numId="27" w16cid:durableId="1554000544">
    <w:abstractNumId w:val="6"/>
  </w:num>
  <w:num w:numId="28" w16cid:durableId="1709910936">
    <w:abstractNumId w:val="25"/>
  </w:num>
  <w:num w:numId="29" w16cid:durableId="1967811991">
    <w:abstractNumId w:val="31"/>
  </w:num>
  <w:num w:numId="30" w16cid:durableId="549722">
    <w:abstractNumId w:val="1"/>
  </w:num>
  <w:num w:numId="31" w16cid:durableId="888033152">
    <w:abstractNumId w:val="12"/>
  </w:num>
  <w:num w:numId="32" w16cid:durableId="1077434016">
    <w:abstractNumId w:val="27"/>
  </w:num>
  <w:num w:numId="33" w16cid:durableId="702753724">
    <w:abstractNumId w:val="17"/>
  </w:num>
  <w:num w:numId="34" w16cid:durableId="1273244935">
    <w:abstractNumId w:val="28"/>
  </w:num>
  <w:num w:numId="35" w16cid:durableId="546530011">
    <w:abstractNumId w:val="11"/>
  </w:num>
  <w:num w:numId="36" w16cid:durableId="1050425735">
    <w:abstractNumId w:val="5"/>
    <w:lvlOverride w:ilvl="0">
      <w:lvl w:ilvl="0">
        <w:start w:val="1"/>
        <w:numFmt w:val="bullet"/>
        <w:pStyle w:val="ListParagraph"/>
        <w:lvlText w:val=""/>
        <w:lvlJc w:val="left"/>
        <w:pPr>
          <w:ind w:left="99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9E"/>
    <w:rsid w:val="000011EB"/>
    <w:rsid w:val="00003C9E"/>
    <w:rsid w:val="00004570"/>
    <w:rsid w:val="00010E53"/>
    <w:rsid w:val="00011444"/>
    <w:rsid w:val="000140CB"/>
    <w:rsid w:val="00015DBA"/>
    <w:rsid w:val="000164BB"/>
    <w:rsid w:val="00020D7E"/>
    <w:rsid w:val="00021BA7"/>
    <w:rsid w:val="00024153"/>
    <w:rsid w:val="000243FC"/>
    <w:rsid w:val="00030B36"/>
    <w:rsid w:val="00031DA5"/>
    <w:rsid w:val="000339AA"/>
    <w:rsid w:val="000340BB"/>
    <w:rsid w:val="00037050"/>
    <w:rsid w:val="000372EC"/>
    <w:rsid w:val="00040C9E"/>
    <w:rsid w:val="00041063"/>
    <w:rsid w:val="000416AE"/>
    <w:rsid w:val="000424BD"/>
    <w:rsid w:val="000442C9"/>
    <w:rsid w:val="00045C22"/>
    <w:rsid w:val="000463E2"/>
    <w:rsid w:val="00047B86"/>
    <w:rsid w:val="0005382B"/>
    <w:rsid w:val="00054F58"/>
    <w:rsid w:val="00061185"/>
    <w:rsid w:val="0006125E"/>
    <w:rsid w:val="000633E0"/>
    <w:rsid w:val="00064ED3"/>
    <w:rsid w:val="000651F7"/>
    <w:rsid w:val="00067FC5"/>
    <w:rsid w:val="0007095A"/>
    <w:rsid w:val="00070F85"/>
    <w:rsid w:val="00071559"/>
    <w:rsid w:val="00072C47"/>
    <w:rsid w:val="00073286"/>
    <w:rsid w:val="00073CC9"/>
    <w:rsid w:val="00074501"/>
    <w:rsid w:val="000764F5"/>
    <w:rsid w:val="000801E4"/>
    <w:rsid w:val="000831DC"/>
    <w:rsid w:val="0008393E"/>
    <w:rsid w:val="00085A15"/>
    <w:rsid w:val="00085DAA"/>
    <w:rsid w:val="00086B27"/>
    <w:rsid w:val="00087B73"/>
    <w:rsid w:val="000901CB"/>
    <w:rsid w:val="00090CA3"/>
    <w:rsid w:val="00092887"/>
    <w:rsid w:val="00093B5C"/>
    <w:rsid w:val="00096DF1"/>
    <w:rsid w:val="00097545"/>
    <w:rsid w:val="000A0ED6"/>
    <w:rsid w:val="000A3760"/>
    <w:rsid w:val="000A4DBC"/>
    <w:rsid w:val="000A4DC2"/>
    <w:rsid w:val="000B0930"/>
    <w:rsid w:val="000B3EE0"/>
    <w:rsid w:val="000B41B4"/>
    <w:rsid w:val="000C01C4"/>
    <w:rsid w:val="000C1E4F"/>
    <w:rsid w:val="000C2435"/>
    <w:rsid w:val="000C2E48"/>
    <w:rsid w:val="000C31EE"/>
    <w:rsid w:val="000C39AD"/>
    <w:rsid w:val="000C5C17"/>
    <w:rsid w:val="000C6002"/>
    <w:rsid w:val="000C60B5"/>
    <w:rsid w:val="000D03BB"/>
    <w:rsid w:val="000D0A21"/>
    <w:rsid w:val="000D3B98"/>
    <w:rsid w:val="000D4464"/>
    <w:rsid w:val="000D669C"/>
    <w:rsid w:val="000E0BC4"/>
    <w:rsid w:val="000E19BC"/>
    <w:rsid w:val="000E313E"/>
    <w:rsid w:val="000E38F0"/>
    <w:rsid w:val="000E3BB4"/>
    <w:rsid w:val="000E7E98"/>
    <w:rsid w:val="000F0633"/>
    <w:rsid w:val="000F591E"/>
    <w:rsid w:val="000F6AC7"/>
    <w:rsid w:val="000F6E37"/>
    <w:rsid w:val="000F78EB"/>
    <w:rsid w:val="001007CC"/>
    <w:rsid w:val="001023D9"/>
    <w:rsid w:val="00103887"/>
    <w:rsid w:val="001050E4"/>
    <w:rsid w:val="00105605"/>
    <w:rsid w:val="00111A31"/>
    <w:rsid w:val="00112777"/>
    <w:rsid w:val="0011501D"/>
    <w:rsid w:val="0011689B"/>
    <w:rsid w:val="00117290"/>
    <w:rsid w:val="00120DB4"/>
    <w:rsid w:val="0012175A"/>
    <w:rsid w:val="00122398"/>
    <w:rsid w:val="001228FA"/>
    <w:rsid w:val="001239B1"/>
    <w:rsid w:val="00123DBF"/>
    <w:rsid w:val="00125B20"/>
    <w:rsid w:val="00127871"/>
    <w:rsid w:val="00130095"/>
    <w:rsid w:val="00132803"/>
    <w:rsid w:val="001332A6"/>
    <w:rsid w:val="00134DA5"/>
    <w:rsid w:val="001351D7"/>
    <w:rsid w:val="00136552"/>
    <w:rsid w:val="00136E01"/>
    <w:rsid w:val="00140619"/>
    <w:rsid w:val="001446E0"/>
    <w:rsid w:val="001453F5"/>
    <w:rsid w:val="00150EFE"/>
    <w:rsid w:val="00151C56"/>
    <w:rsid w:val="001527D5"/>
    <w:rsid w:val="00155563"/>
    <w:rsid w:val="0016497E"/>
    <w:rsid w:val="001702FC"/>
    <w:rsid w:val="001707C8"/>
    <w:rsid w:val="00170825"/>
    <w:rsid w:val="00171D08"/>
    <w:rsid w:val="0017293C"/>
    <w:rsid w:val="00173550"/>
    <w:rsid w:val="00174F5A"/>
    <w:rsid w:val="001750CE"/>
    <w:rsid w:val="001760CC"/>
    <w:rsid w:val="00181552"/>
    <w:rsid w:val="00181B60"/>
    <w:rsid w:val="001843AE"/>
    <w:rsid w:val="001878E5"/>
    <w:rsid w:val="0019002F"/>
    <w:rsid w:val="001900AB"/>
    <w:rsid w:val="001905E6"/>
    <w:rsid w:val="00190B87"/>
    <w:rsid w:val="00191566"/>
    <w:rsid w:val="0019517C"/>
    <w:rsid w:val="001A253B"/>
    <w:rsid w:val="001A256B"/>
    <w:rsid w:val="001A3C2E"/>
    <w:rsid w:val="001A3F7A"/>
    <w:rsid w:val="001A4982"/>
    <w:rsid w:val="001A5A7D"/>
    <w:rsid w:val="001B0DF4"/>
    <w:rsid w:val="001B15AB"/>
    <w:rsid w:val="001B27C8"/>
    <w:rsid w:val="001B2F36"/>
    <w:rsid w:val="001B3526"/>
    <w:rsid w:val="001C07CE"/>
    <w:rsid w:val="001C587A"/>
    <w:rsid w:val="001C5B92"/>
    <w:rsid w:val="001D4111"/>
    <w:rsid w:val="001D44B2"/>
    <w:rsid w:val="001D6F9E"/>
    <w:rsid w:val="001E194B"/>
    <w:rsid w:val="001E1CB0"/>
    <w:rsid w:val="001E5F0F"/>
    <w:rsid w:val="001E6DDA"/>
    <w:rsid w:val="001E7E6D"/>
    <w:rsid w:val="001E7EEB"/>
    <w:rsid w:val="001F1552"/>
    <w:rsid w:val="001F2530"/>
    <w:rsid w:val="001F4021"/>
    <w:rsid w:val="001F4E33"/>
    <w:rsid w:val="001F6187"/>
    <w:rsid w:val="001F73ED"/>
    <w:rsid w:val="00200374"/>
    <w:rsid w:val="002047B3"/>
    <w:rsid w:val="00210F7D"/>
    <w:rsid w:val="00212DB2"/>
    <w:rsid w:val="00213155"/>
    <w:rsid w:val="002155B5"/>
    <w:rsid w:val="00215FD6"/>
    <w:rsid w:val="0021682F"/>
    <w:rsid w:val="00221581"/>
    <w:rsid w:val="0022421A"/>
    <w:rsid w:val="0022637B"/>
    <w:rsid w:val="00227909"/>
    <w:rsid w:val="00227B53"/>
    <w:rsid w:val="00231A9E"/>
    <w:rsid w:val="00231BEF"/>
    <w:rsid w:val="0023468D"/>
    <w:rsid w:val="00235407"/>
    <w:rsid w:val="00235C33"/>
    <w:rsid w:val="00237ABF"/>
    <w:rsid w:val="00243666"/>
    <w:rsid w:val="0024408C"/>
    <w:rsid w:val="00245B13"/>
    <w:rsid w:val="00245D2C"/>
    <w:rsid w:val="00246F59"/>
    <w:rsid w:val="0025120F"/>
    <w:rsid w:val="002541FE"/>
    <w:rsid w:val="00254BC3"/>
    <w:rsid w:val="002557B8"/>
    <w:rsid w:val="00257DED"/>
    <w:rsid w:val="00260BF5"/>
    <w:rsid w:val="002670EB"/>
    <w:rsid w:val="002728D2"/>
    <w:rsid w:val="00273897"/>
    <w:rsid w:val="00273CD3"/>
    <w:rsid w:val="00273F7C"/>
    <w:rsid w:val="002740B9"/>
    <w:rsid w:val="00275660"/>
    <w:rsid w:val="00276794"/>
    <w:rsid w:val="0027734D"/>
    <w:rsid w:val="002777B8"/>
    <w:rsid w:val="002813D5"/>
    <w:rsid w:val="00282FB7"/>
    <w:rsid w:val="002842DF"/>
    <w:rsid w:val="00284E5D"/>
    <w:rsid w:val="00285C83"/>
    <w:rsid w:val="00286E64"/>
    <w:rsid w:val="00287128"/>
    <w:rsid w:val="00290152"/>
    <w:rsid w:val="00290521"/>
    <w:rsid w:val="002917FC"/>
    <w:rsid w:val="00291C66"/>
    <w:rsid w:val="002940F7"/>
    <w:rsid w:val="00296E96"/>
    <w:rsid w:val="0029728A"/>
    <w:rsid w:val="00297551"/>
    <w:rsid w:val="002A46D8"/>
    <w:rsid w:val="002A47A8"/>
    <w:rsid w:val="002A54D3"/>
    <w:rsid w:val="002A6939"/>
    <w:rsid w:val="002A72AA"/>
    <w:rsid w:val="002A784A"/>
    <w:rsid w:val="002B031D"/>
    <w:rsid w:val="002B0490"/>
    <w:rsid w:val="002B24B5"/>
    <w:rsid w:val="002B2B19"/>
    <w:rsid w:val="002B5F61"/>
    <w:rsid w:val="002B6029"/>
    <w:rsid w:val="002B7D8B"/>
    <w:rsid w:val="002C62FA"/>
    <w:rsid w:val="002C7171"/>
    <w:rsid w:val="002D14B9"/>
    <w:rsid w:val="002D1D9B"/>
    <w:rsid w:val="002D22F9"/>
    <w:rsid w:val="002D2A7A"/>
    <w:rsid w:val="002D2C5A"/>
    <w:rsid w:val="002D511C"/>
    <w:rsid w:val="002E2B19"/>
    <w:rsid w:val="002E2B70"/>
    <w:rsid w:val="002E3215"/>
    <w:rsid w:val="002E3758"/>
    <w:rsid w:val="002E3BC9"/>
    <w:rsid w:val="002E3C7D"/>
    <w:rsid w:val="002E5B8C"/>
    <w:rsid w:val="002E5F92"/>
    <w:rsid w:val="002E6950"/>
    <w:rsid w:val="002F02E3"/>
    <w:rsid w:val="002F200D"/>
    <w:rsid w:val="002F375C"/>
    <w:rsid w:val="002F3ACA"/>
    <w:rsid w:val="002F66BA"/>
    <w:rsid w:val="002F6C73"/>
    <w:rsid w:val="002F7770"/>
    <w:rsid w:val="00300CBE"/>
    <w:rsid w:val="003040C3"/>
    <w:rsid w:val="0030601C"/>
    <w:rsid w:val="0030708E"/>
    <w:rsid w:val="00307691"/>
    <w:rsid w:val="00307BEA"/>
    <w:rsid w:val="00310965"/>
    <w:rsid w:val="0031280D"/>
    <w:rsid w:val="00313465"/>
    <w:rsid w:val="003137A9"/>
    <w:rsid w:val="003137CE"/>
    <w:rsid w:val="00320701"/>
    <w:rsid w:val="0032132E"/>
    <w:rsid w:val="00322CEF"/>
    <w:rsid w:val="003247DE"/>
    <w:rsid w:val="00326CB3"/>
    <w:rsid w:val="00326DA7"/>
    <w:rsid w:val="00327223"/>
    <w:rsid w:val="003276F9"/>
    <w:rsid w:val="0033133F"/>
    <w:rsid w:val="003323F8"/>
    <w:rsid w:val="00333DA5"/>
    <w:rsid w:val="00334F67"/>
    <w:rsid w:val="00340D96"/>
    <w:rsid w:val="0034110C"/>
    <w:rsid w:val="003417D7"/>
    <w:rsid w:val="00345EA3"/>
    <w:rsid w:val="0034684A"/>
    <w:rsid w:val="003500E9"/>
    <w:rsid w:val="00350EE8"/>
    <w:rsid w:val="0035181E"/>
    <w:rsid w:val="003521C7"/>
    <w:rsid w:val="00353E5F"/>
    <w:rsid w:val="003545A9"/>
    <w:rsid w:val="00355AA7"/>
    <w:rsid w:val="00356316"/>
    <w:rsid w:val="00356357"/>
    <w:rsid w:val="003579AF"/>
    <w:rsid w:val="00366EBC"/>
    <w:rsid w:val="0036745C"/>
    <w:rsid w:val="00367A57"/>
    <w:rsid w:val="003738E7"/>
    <w:rsid w:val="00376E11"/>
    <w:rsid w:val="003814EA"/>
    <w:rsid w:val="003831CC"/>
    <w:rsid w:val="00385C36"/>
    <w:rsid w:val="00385E9F"/>
    <w:rsid w:val="003861BF"/>
    <w:rsid w:val="00386455"/>
    <w:rsid w:val="0038792B"/>
    <w:rsid w:val="0039104F"/>
    <w:rsid w:val="003931DF"/>
    <w:rsid w:val="003932A7"/>
    <w:rsid w:val="00397CD9"/>
    <w:rsid w:val="003A0261"/>
    <w:rsid w:val="003A5027"/>
    <w:rsid w:val="003A5992"/>
    <w:rsid w:val="003B318E"/>
    <w:rsid w:val="003B3765"/>
    <w:rsid w:val="003B3ED5"/>
    <w:rsid w:val="003B4499"/>
    <w:rsid w:val="003B5227"/>
    <w:rsid w:val="003B5CBF"/>
    <w:rsid w:val="003B68FE"/>
    <w:rsid w:val="003B71CB"/>
    <w:rsid w:val="003B73FB"/>
    <w:rsid w:val="003B7547"/>
    <w:rsid w:val="003C2058"/>
    <w:rsid w:val="003C296E"/>
    <w:rsid w:val="003C3A61"/>
    <w:rsid w:val="003C3EB7"/>
    <w:rsid w:val="003C5A70"/>
    <w:rsid w:val="003C602D"/>
    <w:rsid w:val="003C7D79"/>
    <w:rsid w:val="003C7F03"/>
    <w:rsid w:val="003D03CA"/>
    <w:rsid w:val="003D09F4"/>
    <w:rsid w:val="003D2004"/>
    <w:rsid w:val="003D4779"/>
    <w:rsid w:val="003D4BB9"/>
    <w:rsid w:val="003D4BEA"/>
    <w:rsid w:val="003E05EB"/>
    <w:rsid w:val="003E2E0C"/>
    <w:rsid w:val="003E33E3"/>
    <w:rsid w:val="003E3EA7"/>
    <w:rsid w:val="003E46EC"/>
    <w:rsid w:val="003E5543"/>
    <w:rsid w:val="003E7A11"/>
    <w:rsid w:val="003F066E"/>
    <w:rsid w:val="003F1AFD"/>
    <w:rsid w:val="003F3993"/>
    <w:rsid w:val="003F520A"/>
    <w:rsid w:val="003F7AA4"/>
    <w:rsid w:val="003F7CD9"/>
    <w:rsid w:val="003F7F4B"/>
    <w:rsid w:val="0040121E"/>
    <w:rsid w:val="0040124B"/>
    <w:rsid w:val="00402D5E"/>
    <w:rsid w:val="00403296"/>
    <w:rsid w:val="00404031"/>
    <w:rsid w:val="004044D8"/>
    <w:rsid w:val="0040538E"/>
    <w:rsid w:val="00407E30"/>
    <w:rsid w:val="00410729"/>
    <w:rsid w:val="004114A8"/>
    <w:rsid w:val="004120CB"/>
    <w:rsid w:val="004144E8"/>
    <w:rsid w:val="004148AF"/>
    <w:rsid w:val="0041588C"/>
    <w:rsid w:val="00415AED"/>
    <w:rsid w:val="0041793A"/>
    <w:rsid w:val="00420D73"/>
    <w:rsid w:val="00422985"/>
    <w:rsid w:val="00422B0E"/>
    <w:rsid w:val="00427C2E"/>
    <w:rsid w:val="0043095F"/>
    <w:rsid w:val="00432509"/>
    <w:rsid w:val="004353EA"/>
    <w:rsid w:val="004366B7"/>
    <w:rsid w:val="0044052B"/>
    <w:rsid w:val="00440597"/>
    <w:rsid w:val="004416C7"/>
    <w:rsid w:val="004420FE"/>
    <w:rsid w:val="00442908"/>
    <w:rsid w:val="00443A14"/>
    <w:rsid w:val="00445FA6"/>
    <w:rsid w:val="00447C05"/>
    <w:rsid w:val="00450B97"/>
    <w:rsid w:val="0045118B"/>
    <w:rsid w:val="00451528"/>
    <w:rsid w:val="0045186E"/>
    <w:rsid w:val="004522F3"/>
    <w:rsid w:val="00453519"/>
    <w:rsid w:val="0045456B"/>
    <w:rsid w:val="00456512"/>
    <w:rsid w:val="0045722C"/>
    <w:rsid w:val="00461172"/>
    <w:rsid w:val="00463475"/>
    <w:rsid w:val="004638CA"/>
    <w:rsid w:val="00467585"/>
    <w:rsid w:val="00470204"/>
    <w:rsid w:val="00471B6A"/>
    <w:rsid w:val="0047307B"/>
    <w:rsid w:val="00474FF3"/>
    <w:rsid w:val="0047783B"/>
    <w:rsid w:val="00481F2B"/>
    <w:rsid w:val="004826D0"/>
    <w:rsid w:val="00485F7F"/>
    <w:rsid w:val="00486A6B"/>
    <w:rsid w:val="0049060E"/>
    <w:rsid w:val="004909D0"/>
    <w:rsid w:val="00492A0A"/>
    <w:rsid w:val="0049465A"/>
    <w:rsid w:val="004952C0"/>
    <w:rsid w:val="004967A0"/>
    <w:rsid w:val="00496F22"/>
    <w:rsid w:val="004A0EF4"/>
    <w:rsid w:val="004A1EDC"/>
    <w:rsid w:val="004A5A7B"/>
    <w:rsid w:val="004A6958"/>
    <w:rsid w:val="004A72F5"/>
    <w:rsid w:val="004A7CB8"/>
    <w:rsid w:val="004B1DED"/>
    <w:rsid w:val="004B41B3"/>
    <w:rsid w:val="004C04FA"/>
    <w:rsid w:val="004C3DB4"/>
    <w:rsid w:val="004D6235"/>
    <w:rsid w:val="004D682A"/>
    <w:rsid w:val="004E1972"/>
    <w:rsid w:val="004E61F2"/>
    <w:rsid w:val="004E6D37"/>
    <w:rsid w:val="004E6D52"/>
    <w:rsid w:val="004E6D84"/>
    <w:rsid w:val="004E73B7"/>
    <w:rsid w:val="004E7AC5"/>
    <w:rsid w:val="004F278A"/>
    <w:rsid w:val="004F4457"/>
    <w:rsid w:val="004F4603"/>
    <w:rsid w:val="004F5D04"/>
    <w:rsid w:val="004F5DA7"/>
    <w:rsid w:val="004F5F1B"/>
    <w:rsid w:val="004F7E18"/>
    <w:rsid w:val="0050000D"/>
    <w:rsid w:val="00503220"/>
    <w:rsid w:val="00506960"/>
    <w:rsid w:val="00506D47"/>
    <w:rsid w:val="00507017"/>
    <w:rsid w:val="00507650"/>
    <w:rsid w:val="00515B30"/>
    <w:rsid w:val="00516821"/>
    <w:rsid w:val="00517AA1"/>
    <w:rsid w:val="0052337E"/>
    <w:rsid w:val="00525124"/>
    <w:rsid w:val="00531129"/>
    <w:rsid w:val="00532230"/>
    <w:rsid w:val="00533FC6"/>
    <w:rsid w:val="0054323C"/>
    <w:rsid w:val="0054364E"/>
    <w:rsid w:val="00544C93"/>
    <w:rsid w:val="00546ACB"/>
    <w:rsid w:val="0054748E"/>
    <w:rsid w:val="005479F4"/>
    <w:rsid w:val="00547B2E"/>
    <w:rsid w:val="00547D16"/>
    <w:rsid w:val="0055237F"/>
    <w:rsid w:val="00556673"/>
    <w:rsid w:val="00556AA3"/>
    <w:rsid w:val="005601BC"/>
    <w:rsid w:val="005622A5"/>
    <w:rsid w:val="00562A55"/>
    <w:rsid w:val="0057229E"/>
    <w:rsid w:val="00573385"/>
    <w:rsid w:val="0057567B"/>
    <w:rsid w:val="005761F3"/>
    <w:rsid w:val="00576E45"/>
    <w:rsid w:val="005775A6"/>
    <w:rsid w:val="005778ED"/>
    <w:rsid w:val="0058380F"/>
    <w:rsid w:val="00585044"/>
    <w:rsid w:val="005857B2"/>
    <w:rsid w:val="00585DBA"/>
    <w:rsid w:val="00586653"/>
    <w:rsid w:val="0058757B"/>
    <w:rsid w:val="00590195"/>
    <w:rsid w:val="005908B3"/>
    <w:rsid w:val="005930D3"/>
    <w:rsid w:val="00595026"/>
    <w:rsid w:val="00597C62"/>
    <w:rsid w:val="005A237D"/>
    <w:rsid w:val="005A5214"/>
    <w:rsid w:val="005A5CB2"/>
    <w:rsid w:val="005B0BC0"/>
    <w:rsid w:val="005B132B"/>
    <w:rsid w:val="005B4818"/>
    <w:rsid w:val="005B4F4E"/>
    <w:rsid w:val="005B6D66"/>
    <w:rsid w:val="005C03AC"/>
    <w:rsid w:val="005C1944"/>
    <w:rsid w:val="005C1E8F"/>
    <w:rsid w:val="005C2E34"/>
    <w:rsid w:val="005C48DB"/>
    <w:rsid w:val="005C5F19"/>
    <w:rsid w:val="005C637C"/>
    <w:rsid w:val="005C6994"/>
    <w:rsid w:val="005C7245"/>
    <w:rsid w:val="005C7D30"/>
    <w:rsid w:val="005C7E89"/>
    <w:rsid w:val="005D1211"/>
    <w:rsid w:val="005D1413"/>
    <w:rsid w:val="005D1997"/>
    <w:rsid w:val="005D1C54"/>
    <w:rsid w:val="005D1E77"/>
    <w:rsid w:val="005D26D7"/>
    <w:rsid w:val="005D491B"/>
    <w:rsid w:val="005D66F5"/>
    <w:rsid w:val="005D6AD1"/>
    <w:rsid w:val="005E318E"/>
    <w:rsid w:val="005E32D5"/>
    <w:rsid w:val="005E745D"/>
    <w:rsid w:val="005F31C6"/>
    <w:rsid w:val="005F3526"/>
    <w:rsid w:val="005F3943"/>
    <w:rsid w:val="005F45E9"/>
    <w:rsid w:val="00600A3B"/>
    <w:rsid w:val="0060154F"/>
    <w:rsid w:val="006017EA"/>
    <w:rsid w:val="00603B2A"/>
    <w:rsid w:val="0060405E"/>
    <w:rsid w:val="00604F4A"/>
    <w:rsid w:val="006072D1"/>
    <w:rsid w:val="00607921"/>
    <w:rsid w:val="006100A7"/>
    <w:rsid w:val="0061255E"/>
    <w:rsid w:val="00612573"/>
    <w:rsid w:val="006143F6"/>
    <w:rsid w:val="00615231"/>
    <w:rsid w:val="00615870"/>
    <w:rsid w:val="00617EA3"/>
    <w:rsid w:val="00622607"/>
    <w:rsid w:val="006226D2"/>
    <w:rsid w:val="00622D92"/>
    <w:rsid w:val="0062343D"/>
    <w:rsid w:val="00624F3C"/>
    <w:rsid w:val="006264EA"/>
    <w:rsid w:val="006265BA"/>
    <w:rsid w:val="00626946"/>
    <w:rsid w:val="006305F8"/>
    <w:rsid w:val="006308AE"/>
    <w:rsid w:val="00632836"/>
    <w:rsid w:val="00634413"/>
    <w:rsid w:val="0063784A"/>
    <w:rsid w:val="00640DE9"/>
    <w:rsid w:val="00642826"/>
    <w:rsid w:val="00643195"/>
    <w:rsid w:val="006457A2"/>
    <w:rsid w:val="006464EB"/>
    <w:rsid w:val="006507D9"/>
    <w:rsid w:val="0065307A"/>
    <w:rsid w:val="006538B2"/>
    <w:rsid w:val="00654233"/>
    <w:rsid w:val="00654F82"/>
    <w:rsid w:val="00656FE5"/>
    <w:rsid w:val="00657413"/>
    <w:rsid w:val="00657478"/>
    <w:rsid w:val="0065777A"/>
    <w:rsid w:val="006577B5"/>
    <w:rsid w:val="006579B6"/>
    <w:rsid w:val="00662F20"/>
    <w:rsid w:val="006656B4"/>
    <w:rsid w:val="00666216"/>
    <w:rsid w:val="00667838"/>
    <w:rsid w:val="00667D4F"/>
    <w:rsid w:val="006747C8"/>
    <w:rsid w:val="00675E73"/>
    <w:rsid w:val="00676BAB"/>
    <w:rsid w:val="00677DAA"/>
    <w:rsid w:val="00680351"/>
    <w:rsid w:val="0068115F"/>
    <w:rsid w:val="00683675"/>
    <w:rsid w:val="0068461A"/>
    <w:rsid w:val="00684689"/>
    <w:rsid w:val="006851E8"/>
    <w:rsid w:val="0068641F"/>
    <w:rsid w:val="0068688A"/>
    <w:rsid w:val="00686B49"/>
    <w:rsid w:val="00690DC0"/>
    <w:rsid w:val="00694150"/>
    <w:rsid w:val="00694AE2"/>
    <w:rsid w:val="006958E9"/>
    <w:rsid w:val="00696CA5"/>
    <w:rsid w:val="0069795E"/>
    <w:rsid w:val="006A13B9"/>
    <w:rsid w:val="006A2C28"/>
    <w:rsid w:val="006A50CC"/>
    <w:rsid w:val="006A5148"/>
    <w:rsid w:val="006A5C96"/>
    <w:rsid w:val="006B057B"/>
    <w:rsid w:val="006B2223"/>
    <w:rsid w:val="006B41D6"/>
    <w:rsid w:val="006B44D9"/>
    <w:rsid w:val="006B5F25"/>
    <w:rsid w:val="006B61A4"/>
    <w:rsid w:val="006C0131"/>
    <w:rsid w:val="006C041B"/>
    <w:rsid w:val="006C2F1D"/>
    <w:rsid w:val="006C6CCF"/>
    <w:rsid w:val="006C7B19"/>
    <w:rsid w:val="006C7ED9"/>
    <w:rsid w:val="006D1C42"/>
    <w:rsid w:val="006D1FAD"/>
    <w:rsid w:val="006D4DB4"/>
    <w:rsid w:val="006D5D3F"/>
    <w:rsid w:val="006D6840"/>
    <w:rsid w:val="006E03C0"/>
    <w:rsid w:val="006E24C8"/>
    <w:rsid w:val="006E404F"/>
    <w:rsid w:val="006E5991"/>
    <w:rsid w:val="006E657F"/>
    <w:rsid w:val="006F0561"/>
    <w:rsid w:val="006F076A"/>
    <w:rsid w:val="006F27CE"/>
    <w:rsid w:val="006F2816"/>
    <w:rsid w:val="006F5BE4"/>
    <w:rsid w:val="006F743F"/>
    <w:rsid w:val="0070078D"/>
    <w:rsid w:val="00700CC1"/>
    <w:rsid w:val="007017DA"/>
    <w:rsid w:val="00701E33"/>
    <w:rsid w:val="00706450"/>
    <w:rsid w:val="00712BE3"/>
    <w:rsid w:val="007130C8"/>
    <w:rsid w:val="0071410B"/>
    <w:rsid w:val="00716615"/>
    <w:rsid w:val="00716D24"/>
    <w:rsid w:val="00717E11"/>
    <w:rsid w:val="00720712"/>
    <w:rsid w:val="007233C8"/>
    <w:rsid w:val="00724079"/>
    <w:rsid w:val="00726CBA"/>
    <w:rsid w:val="00727B8C"/>
    <w:rsid w:val="00730338"/>
    <w:rsid w:val="007303E6"/>
    <w:rsid w:val="007307B9"/>
    <w:rsid w:val="00733348"/>
    <w:rsid w:val="00733749"/>
    <w:rsid w:val="00734243"/>
    <w:rsid w:val="00734C1A"/>
    <w:rsid w:val="00734EC1"/>
    <w:rsid w:val="00736917"/>
    <w:rsid w:val="00737596"/>
    <w:rsid w:val="007401DD"/>
    <w:rsid w:val="0074172B"/>
    <w:rsid w:val="0074226D"/>
    <w:rsid w:val="00742E77"/>
    <w:rsid w:val="00743B41"/>
    <w:rsid w:val="00747349"/>
    <w:rsid w:val="007479A8"/>
    <w:rsid w:val="00751CEE"/>
    <w:rsid w:val="00754E1A"/>
    <w:rsid w:val="0076082B"/>
    <w:rsid w:val="00761680"/>
    <w:rsid w:val="00763360"/>
    <w:rsid w:val="00766426"/>
    <w:rsid w:val="00771207"/>
    <w:rsid w:val="0077141C"/>
    <w:rsid w:val="00772CDB"/>
    <w:rsid w:val="00772D1E"/>
    <w:rsid w:val="00773865"/>
    <w:rsid w:val="007769DE"/>
    <w:rsid w:val="00776B3D"/>
    <w:rsid w:val="00780B6F"/>
    <w:rsid w:val="007834CD"/>
    <w:rsid w:val="00785C1E"/>
    <w:rsid w:val="00785DCD"/>
    <w:rsid w:val="00785ED9"/>
    <w:rsid w:val="007936AE"/>
    <w:rsid w:val="007958E0"/>
    <w:rsid w:val="007A01D8"/>
    <w:rsid w:val="007A0514"/>
    <w:rsid w:val="007A372D"/>
    <w:rsid w:val="007A3AE1"/>
    <w:rsid w:val="007A70A0"/>
    <w:rsid w:val="007B045D"/>
    <w:rsid w:val="007B095A"/>
    <w:rsid w:val="007B4AFB"/>
    <w:rsid w:val="007B4B24"/>
    <w:rsid w:val="007B5289"/>
    <w:rsid w:val="007C0EBD"/>
    <w:rsid w:val="007C1DBE"/>
    <w:rsid w:val="007C2B87"/>
    <w:rsid w:val="007C3056"/>
    <w:rsid w:val="007C430E"/>
    <w:rsid w:val="007C723B"/>
    <w:rsid w:val="007D0826"/>
    <w:rsid w:val="007D30AA"/>
    <w:rsid w:val="007D3E39"/>
    <w:rsid w:val="007D44F9"/>
    <w:rsid w:val="007D4BA0"/>
    <w:rsid w:val="007D624C"/>
    <w:rsid w:val="007D63F7"/>
    <w:rsid w:val="007D68B2"/>
    <w:rsid w:val="007E1BA6"/>
    <w:rsid w:val="007E2E96"/>
    <w:rsid w:val="007E32AE"/>
    <w:rsid w:val="007E4F7D"/>
    <w:rsid w:val="007E5164"/>
    <w:rsid w:val="007E595D"/>
    <w:rsid w:val="007E63AC"/>
    <w:rsid w:val="007E6DAE"/>
    <w:rsid w:val="007E72E8"/>
    <w:rsid w:val="007F07A6"/>
    <w:rsid w:val="007F0F23"/>
    <w:rsid w:val="007F136F"/>
    <w:rsid w:val="007F20C0"/>
    <w:rsid w:val="007F3EEB"/>
    <w:rsid w:val="007F4C85"/>
    <w:rsid w:val="007F5192"/>
    <w:rsid w:val="007F55A1"/>
    <w:rsid w:val="007F6B06"/>
    <w:rsid w:val="008002D8"/>
    <w:rsid w:val="0080304E"/>
    <w:rsid w:val="0080401A"/>
    <w:rsid w:val="00806722"/>
    <w:rsid w:val="0080714F"/>
    <w:rsid w:val="008076B5"/>
    <w:rsid w:val="00811833"/>
    <w:rsid w:val="00812C92"/>
    <w:rsid w:val="0081313C"/>
    <w:rsid w:val="0081321C"/>
    <w:rsid w:val="008165CC"/>
    <w:rsid w:val="00817009"/>
    <w:rsid w:val="00817442"/>
    <w:rsid w:val="00820950"/>
    <w:rsid w:val="008214B9"/>
    <w:rsid w:val="00821BAB"/>
    <w:rsid w:val="00821C15"/>
    <w:rsid w:val="00825085"/>
    <w:rsid w:val="0082669D"/>
    <w:rsid w:val="00827A6F"/>
    <w:rsid w:val="00827ED8"/>
    <w:rsid w:val="008305B0"/>
    <w:rsid w:val="008309C0"/>
    <w:rsid w:val="00836C54"/>
    <w:rsid w:val="0084111C"/>
    <w:rsid w:val="00841208"/>
    <w:rsid w:val="00841F7A"/>
    <w:rsid w:val="00843206"/>
    <w:rsid w:val="00843291"/>
    <w:rsid w:val="00843B70"/>
    <w:rsid w:val="00843C01"/>
    <w:rsid w:val="0084400C"/>
    <w:rsid w:val="00845462"/>
    <w:rsid w:val="008468B1"/>
    <w:rsid w:val="00847315"/>
    <w:rsid w:val="0085064E"/>
    <w:rsid w:val="00850A9F"/>
    <w:rsid w:val="00850BA3"/>
    <w:rsid w:val="00850EEC"/>
    <w:rsid w:val="00857F11"/>
    <w:rsid w:val="00863576"/>
    <w:rsid w:val="00864530"/>
    <w:rsid w:val="008647A5"/>
    <w:rsid w:val="008752E2"/>
    <w:rsid w:val="00875405"/>
    <w:rsid w:val="00876CFB"/>
    <w:rsid w:val="00876F86"/>
    <w:rsid w:val="00884B77"/>
    <w:rsid w:val="00884F01"/>
    <w:rsid w:val="0088504C"/>
    <w:rsid w:val="00886137"/>
    <w:rsid w:val="00887D28"/>
    <w:rsid w:val="00890638"/>
    <w:rsid w:val="00891A2C"/>
    <w:rsid w:val="008928A1"/>
    <w:rsid w:val="00894FF3"/>
    <w:rsid w:val="008950AF"/>
    <w:rsid w:val="008958ED"/>
    <w:rsid w:val="00896E44"/>
    <w:rsid w:val="008978C1"/>
    <w:rsid w:val="00897D8A"/>
    <w:rsid w:val="008A0D7C"/>
    <w:rsid w:val="008B04B2"/>
    <w:rsid w:val="008B0BF0"/>
    <w:rsid w:val="008B1647"/>
    <w:rsid w:val="008B2016"/>
    <w:rsid w:val="008B4625"/>
    <w:rsid w:val="008B46F2"/>
    <w:rsid w:val="008B5806"/>
    <w:rsid w:val="008B6909"/>
    <w:rsid w:val="008B7A28"/>
    <w:rsid w:val="008C027D"/>
    <w:rsid w:val="008C03A1"/>
    <w:rsid w:val="008C0AEC"/>
    <w:rsid w:val="008C17D9"/>
    <w:rsid w:val="008C18FC"/>
    <w:rsid w:val="008C2A4C"/>
    <w:rsid w:val="008C4241"/>
    <w:rsid w:val="008C495B"/>
    <w:rsid w:val="008C4A3C"/>
    <w:rsid w:val="008C5755"/>
    <w:rsid w:val="008C5C69"/>
    <w:rsid w:val="008C5EBE"/>
    <w:rsid w:val="008D14B3"/>
    <w:rsid w:val="008D257F"/>
    <w:rsid w:val="008D2C26"/>
    <w:rsid w:val="008D521C"/>
    <w:rsid w:val="008D54C3"/>
    <w:rsid w:val="008D5923"/>
    <w:rsid w:val="008D5D7C"/>
    <w:rsid w:val="008D71E8"/>
    <w:rsid w:val="008E1225"/>
    <w:rsid w:val="008E42BF"/>
    <w:rsid w:val="008E581B"/>
    <w:rsid w:val="008E606D"/>
    <w:rsid w:val="008E6080"/>
    <w:rsid w:val="008E65A6"/>
    <w:rsid w:val="008E6781"/>
    <w:rsid w:val="008E72B4"/>
    <w:rsid w:val="008E7536"/>
    <w:rsid w:val="008F0F59"/>
    <w:rsid w:val="008F190C"/>
    <w:rsid w:val="008F27BB"/>
    <w:rsid w:val="008F3B5C"/>
    <w:rsid w:val="008F5FD8"/>
    <w:rsid w:val="00900BC0"/>
    <w:rsid w:val="00901227"/>
    <w:rsid w:val="00901F94"/>
    <w:rsid w:val="0090283B"/>
    <w:rsid w:val="00903B44"/>
    <w:rsid w:val="00905ECA"/>
    <w:rsid w:val="009079D1"/>
    <w:rsid w:val="009104E0"/>
    <w:rsid w:val="009105BF"/>
    <w:rsid w:val="00910FF7"/>
    <w:rsid w:val="00912142"/>
    <w:rsid w:val="00912FCA"/>
    <w:rsid w:val="0091347C"/>
    <w:rsid w:val="00916525"/>
    <w:rsid w:val="0092070D"/>
    <w:rsid w:val="00920B57"/>
    <w:rsid w:val="00920EC1"/>
    <w:rsid w:val="00930459"/>
    <w:rsid w:val="00931FD5"/>
    <w:rsid w:val="00933498"/>
    <w:rsid w:val="00934DCD"/>
    <w:rsid w:val="00937F0B"/>
    <w:rsid w:val="009416AA"/>
    <w:rsid w:val="009416D0"/>
    <w:rsid w:val="009452B0"/>
    <w:rsid w:val="00945E22"/>
    <w:rsid w:val="0095014E"/>
    <w:rsid w:val="00950980"/>
    <w:rsid w:val="00951F83"/>
    <w:rsid w:val="00954B16"/>
    <w:rsid w:val="00955130"/>
    <w:rsid w:val="00956E18"/>
    <w:rsid w:val="009607E1"/>
    <w:rsid w:val="0096201A"/>
    <w:rsid w:val="00962210"/>
    <w:rsid w:val="00963228"/>
    <w:rsid w:val="009637B7"/>
    <w:rsid w:val="0096663B"/>
    <w:rsid w:val="00966F89"/>
    <w:rsid w:val="00970D17"/>
    <w:rsid w:val="009717AA"/>
    <w:rsid w:val="00972BA5"/>
    <w:rsid w:val="00973FDE"/>
    <w:rsid w:val="00974199"/>
    <w:rsid w:val="00977381"/>
    <w:rsid w:val="00977B48"/>
    <w:rsid w:val="00977F10"/>
    <w:rsid w:val="009808CB"/>
    <w:rsid w:val="009819CB"/>
    <w:rsid w:val="00983585"/>
    <w:rsid w:val="00983E40"/>
    <w:rsid w:val="00984A28"/>
    <w:rsid w:val="00985377"/>
    <w:rsid w:val="009858EF"/>
    <w:rsid w:val="00985B64"/>
    <w:rsid w:val="0098637E"/>
    <w:rsid w:val="00987078"/>
    <w:rsid w:val="00992272"/>
    <w:rsid w:val="00995172"/>
    <w:rsid w:val="009A23B8"/>
    <w:rsid w:val="009A2B81"/>
    <w:rsid w:val="009A44DC"/>
    <w:rsid w:val="009A4876"/>
    <w:rsid w:val="009A4EF4"/>
    <w:rsid w:val="009B0D1C"/>
    <w:rsid w:val="009B2113"/>
    <w:rsid w:val="009B41FB"/>
    <w:rsid w:val="009B6965"/>
    <w:rsid w:val="009B6ECA"/>
    <w:rsid w:val="009B7F90"/>
    <w:rsid w:val="009C1AEF"/>
    <w:rsid w:val="009C1B99"/>
    <w:rsid w:val="009C2B9E"/>
    <w:rsid w:val="009C4326"/>
    <w:rsid w:val="009C6A7F"/>
    <w:rsid w:val="009C6BCF"/>
    <w:rsid w:val="009C7384"/>
    <w:rsid w:val="009D0117"/>
    <w:rsid w:val="009D25A6"/>
    <w:rsid w:val="009D6A1F"/>
    <w:rsid w:val="009E0A3B"/>
    <w:rsid w:val="009E365A"/>
    <w:rsid w:val="009E5208"/>
    <w:rsid w:val="009E5A86"/>
    <w:rsid w:val="009E5C4F"/>
    <w:rsid w:val="009E7031"/>
    <w:rsid w:val="009F1503"/>
    <w:rsid w:val="009F1C3C"/>
    <w:rsid w:val="009F30C1"/>
    <w:rsid w:val="009F6010"/>
    <w:rsid w:val="009F6016"/>
    <w:rsid w:val="009F7CEB"/>
    <w:rsid w:val="00A01645"/>
    <w:rsid w:val="00A0200D"/>
    <w:rsid w:val="00A036EA"/>
    <w:rsid w:val="00A051A3"/>
    <w:rsid w:val="00A06ABF"/>
    <w:rsid w:val="00A06E1E"/>
    <w:rsid w:val="00A1050A"/>
    <w:rsid w:val="00A10A60"/>
    <w:rsid w:val="00A1132E"/>
    <w:rsid w:val="00A117B8"/>
    <w:rsid w:val="00A13B44"/>
    <w:rsid w:val="00A147AC"/>
    <w:rsid w:val="00A15FF9"/>
    <w:rsid w:val="00A16602"/>
    <w:rsid w:val="00A1662E"/>
    <w:rsid w:val="00A17B68"/>
    <w:rsid w:val="00A224A1"/>
    <w:rsid w:val="00A228CE"/>
    <w:rsid w:val="00A24197"/>
    <w:rsid w:val="00A270ED"/>
    <w:rsid w:val="00A27951"/>
    <w:rsid w:val="00A3080E"/>
    <w:rsid w:val="00A322B5"/>
    <w:rsid w:val="00A33B00"/>
    <w:rsid w:val="00A37A23"/>
    <w:rsid w:val="00A4527D"/>
    <w:rsid w:val="00A45E87"/>
    <w:rsid w:val="00A4725A"/>
    <w:rsid w:val="00A479A0"/>
    <w:rsid w:val="00A50EDC"/>
    <w:rsid w:val="00A51D73"/>
    <w:rsid w:val="00A533F6"/>
    <w:rsid w:val="00A53ECF"/>
    <w:rsid w:val="00A54FF1"/>
    <w:rsid w:val="00A57221"/>
    <w:rsid w:val="00A57458"/>
    <w:rsid w:val="00A6044B"/>
    <w:rsid w:val="00A607B6"/>
    <w:rsid w:val="00A60A4F"/>
    <w:rsid w:val="00A62233"/>
    <w:rsid w:val="00A64D29"/>
    <w:rsid w:val="00A67A3A"/>
    <w:rsid w:val="00A7023F"/>
    <w:rsid w:val="00A71319"/>
    <w:rsid w:val="00A717B4"/>
    <w:rsid w:val="00A720EB"/>
    <w:rsid w:val="00A73EA6"/>
    <w:rsid w:val="00A77321"/>
    <w:rsid w:val="00A778AA"/>
    <w:rsid w:val="00A804E7"/>
    <w:rsid w:val="00A806AA"/>
    <w:rsid w:val="00A81F97"/>
    <w:rsid w:val="00A824B4"/>
    <w:rsid w:val="00A832E2"/>
    <w:rsid w:val="00A83BE0"/>
    <w:rsid w:val="00A84730"/>
    <w:rsid w:val="00A87092"/>
    <w:rsid w:val="00A90323"/>
    <w:rsid w:val="00A915E6"/>
    <w:rsid w:val="00A91D2F"/>
    <w:rsid w:val="00A92835"/>
    <w:rsid w:val="00A93B01"/>
    <w:rsid w:val="00A95079"/>
    <w:rsid w:val="00A966C0"/>
    <w:rsid w:val="00A96C31"/>
    <w:rsid w:val="00AA1112"/>
    <w:rsid w:val="00AA1638"/>
    <w:rsid w:val="00AA283C"/>
    <w:rsid w:val="00AA491C"/>
    <w:rsid w:val="00AB0452"/>
    <w:rsid w:val="00AB1E13"/>
    <w:rsid w:val="00AB1F1F"/>
    <w:rsid w:val="00AB2166"/>
    <w:rsid w:val="00AB2B3F"/>
    <w:rsid w:val="00AB5B94"/>
    <w:rsid w:val="00AC21EF"/>
    <w:rsid w:val="00AC2823"/>
    <w:rsid w:val="00AC44EA"/>
    <w:rsid w:val="00AC4EEA"/>
    <w:rsid w:val="00AC7364"/>
    <w:rsid w:val="00AD1158"/>
    <w:rsid w:val="00AD1902"/>
    <w:rsid w:val="00AD19A7"/>
    <w:rsid w:val="00AD42D9"/>
    <w:rsid w:val="00AD6EF0"/>
    <w:rsid w:val="00AE039C"/>
    <w:rsid w:val="00AE2C04"/>
    <w:rsid w:val="00AE6F22"/>
    <w:rsid w:val="00AF221C"/>
    <w:rsid w:val="00AF3495"/>
    <w:rsid w:val="00AF3E80"/>
    <w:rsid w:val="00AF5FBF"/>
    <w:rsid w:val="00AF71B8"/>
    <w:rsid w:val="00B01E12"/>
    <w:rsid w:val="00B0237C"/>
    <w:rsid w:val="00B0331B"/>
    <w:rsid w:val="00B036B9"/>
    <w:rsid w:val="00B0457C"/>
    <w:rsid w:val="00B05233"/>
    <w:rsid w:val="00B06CED"/>
    <w:rsid w:val="00B10166"/>
    <w:rsid w:val="00B11815"/>
    <w:rsid w:val="00B136D6"/>
    <w:rsid w:val="00B13F44"/>
    <w:rsid w:val="00B20D2A"/>
    <w:rsid w:val="00B2201D"/>
    <w:rsid w:val="00B224E0"/>
    <w:rsid w:val="00B242AD"/>
    <w:rsid w:val="00B24EEB"/>
    <w:rsid w:val="00B255AC"/>
    <w:rsid w:val="00B26301"/>
    <w:rsid w:val="00B27023"/>
    <w:rsid w:val="00B2729C"/>
    <w:rsid w:val="00B27799"/>
    <w:rsid w:val="00B3039F"/>
    <w:rsid w:val="00B32F25"/>
    <w:rsid w:val="00B32F6E"/>
    <w:rsid w:val="00B330A8"/>
    <w:rsid w:val="00B3318C"/>
    <w:rsid w:val="00B333D7"/>
    <w:rsid w:val="00B333FF"/>
    <w:rsid w:val="00B34C0A"/>
    <w:rsid w:val="00B34CCA"/>
    <w:rsid w:val="00B354D5"/>
    <w:rsid w:val="00B36562"/>
    <w:rsid w:val="00B37BED"/>
    <w:rsid w:val="00B4001E"/>
    <w:rsid w:val="00B46473"/>
    <w:rsid w:val="00B52720"/>
    <w:rsid w:val="00B52960"/>
    <w:rsid w:val="00B52BCC"/>
    <w:rsid w:val="00B54930"/>
    <w:rsid w:val="00B54A3B"/>
    <w:rsid w:val="00B550B4"/>
    <w:rsid w:val="00B557AE"/>
    <w:rsid w:val="00B5584F"/>
    <w:rsid w:val="00B5624E"/>
    <w:rsid w:val="00B56737"/>
    <w:rsid w:val="00B60AF8"/>
    <w:rsid w:val="00B66B2B"/>
    <w:rsid w:val="00B66CEC"/>
    <w:rsid w:val="00B67011"/>
    <w:rsid w:val="00B6712A"/>
    <w:rsid w:val="00B67446"/>
    <w:rsid w:val="00B67490"/>
    <w:rsid w:val="00B67A67"/>
    <w:rsid w:val="00B71D32"/>
    <w:rsid w:val="00B72F45"/>
    <w:rsid w:val="00B75D66"/>
    <w:rsid w:val="00B806B5"/>
    <w:rsid w:val="00B809CC"/>
    <w:rsid w:val="00B816F5"/>
    <w:rsid w:val="00B82B2F"/>
    <w:rsid w:val="00B82C71"/>
    <w:rsid w:val="00B834DB"/>
    <w:rsid w:val="00B83910"/>
    <w:rsid w:val="00B83D5E"/>
    <w:rsid w:val="00B83DB5"/>
    <w:rsid w:val="00B840CD"/>
    <w:rsid w:val="00B84710"/>
    <w:rsid w:val="00B856C9"/>
    <w:rsid w:val="00B900B3"/>
    <w:rsid w:val="00B90DD7"/>
    <w:rsid w:val="00B91DF5"/>
    <w:rsid w:val="00B9220C"/>
    <w:rsid w:val="00B92468"/>
    <w:rsid w:val="00B962BB"/>
    <w:rsid w:val="00B96460"/>
    <w:rsid w:val="00B971FA"/>
    <w:rsid w:val="00BA6547"/>
    <w:rsid w:val="00BA779A"/>
    <w:rsid w:val="00BB1352"/>
    <w:rsid w:val="00BB4535"/>
    <w:rsid w:val="00BB554C"/>
    <w:rsid w:val="00BB668B"/>
    <w:rsid w:val="00BB6774"/>
    <w:rsid w:val="00BB6D53"/>
    <w:rsid w:val="00BB7076"/>
    <w:rsid w:val="00BB73F4"/>
    <w:rsid w:val="00BB7BB4"/>
    <w:rsid w:val="00BB7C8F"/>
    <w:rsid w:val="00BC1A0C"/>
    <w:rsid w:val="00BC30AA"/>
    <w:rsid w:val="00BC5319"/>
    <w:rsid w:val="00BC53AB"/>
    <w:rsid w:val="00BC560E"/>
    <w:rsid w:val="00BC669B"/>
    <w:rsid w:val="00BC7E4F"/>
    <w:rsid w:val="00BD2B56"/>
    <w:rsid w:val="00BD6A0E"/>
    <w:rsid w:val="00BE1178"/>
    <w:rsid w:val="00BE1A8D"/>
    <w:rsid w:val="00BE1C7F"/>
    <w:rsid w:val="00BE46C0"/>
    <w:rsid w:val="00BE4BE5"/>
    <w:rsid w:val="00BE5821"/>
    <w:rsid w:val="00BE6196"/>
    <w:rsid w:val="00BE743E"/>
    <w:rsid w:val="00BF0615"/>
    <w:rsid w:val="00BF16F2"/>
    <w:rsid w:val="00BF1788"/>
    <w:rsid w:val="00BF2DEA"/>
    <w:rsid w:val="00BF3262"/>
    <w:rsid w:val="00BF369E"/>
    <w:rsid w:val="00BF5928"/>
    <w:rsid w:val="00BF6145"/>
    <w:rsid w:val="00BF6914"/>
    <w:rsid w:val="00BF7A6E"/>
    <w:rsid w:val="00C01F5E"/>
    <w:rsid w:val="00C0287D"/>
    <w:rsid w:val="00C03F03"/>
    <w:rsid w:val="00C04D3A"/>
    <w:rsid w:val="00C069B7"/>
    <w:rsid w:val="00C07D86"/>
    <w:rsid w:val="00C101CB"/>
    <w:rsid w:val="00C10A12"/>
    <w:rsid w:val="00C12309"/>
    <w:rsid w:val="00C14103"/>
    <w:rsid w:val="00C15201"/>
    <w:rsid w:val="00C163F2"/>
    <w:rsid w:val="00C222D9"/>
    <w:rsid w:val="00C22E37"/>
    <w:rsid w:val="00C23852"/>
    <w:rsid w:val="00C23C29"/>
    <w:rsid w:val="00C25DAD"/>
    <w:rsid w:val="00C266DF"/>
    <w:rsid w:val="00C2728A"/>
    <w:rsid w:val="00C27BA1"/>
    <w:rsid w:val="00C3085B"/>
    <w:rsid w:val="00C3281F"/>
    <w:rsid w:val="00C3374A"/>
    <w:rsid w:val="00C37D43"/>
    <w:rsid w:val="00C40645"/>
    <w:rsid w:val="00C41346"/>
    <w:rsid w:val="00C41B11"/>
    <w:rsid w:val="00C42491"/>
    <w:rsid w:val="00C426F6"/>
    <w:rsid w:val="00C431B7"/>
    <w:rsid w:val="00C433FF"/>
    <w:rsid w:val="00C440B0"/>
    <w:rsid w:val="00C4451B"/>
    <w:rsid w:val="00C44ED5"/>
    <w:rsid w:val="00C47457"/>
    <w:rsid w:val="00C478E4"/>
    <w:rsid w:val="00C51E6B"/>
    <w:rsid w:val="00C522E0"/>
    <w:rsid w:val="00C552BC"/>
    <w:rsid w:val="00C61B51"/>
    <w:rsid w:val="00C6409F"/>
    <w:rsid w:val="00C6740E"/>
    <w:rsid w:val="00C70385"/>
    <w:rsid w:val="00C73524"/>
    <w:rsid w:val="00C7397C"/>
    <w:rsid w:val="00C74168"/>
    <w:rsid w:val="00C76071"/>
    <w:rsid w:val="00C76AAC"/>
    <w:rsid w:val="00C84871"/>
    <w:rsid w:val="00C84DA5"/>
    <w:rsid w:val="00C84FBD"/>
    <w:rsid w:val="00C861BA"/>
    <w:rsid w:val="00C86F07"/>
    <w:rsid w:val="00C8753E"/>
    <w:rsid w:val="00C911B4"/>
    <w:rsid w:val="00C9187B"/>
    <w:rsid w:val="00C95319"/>
    <w:rsid w:val="00CA3F8D"/>
    <w:rsid w:val="00CA5B55"/>
    <w:rsid w:val="00CB232E"/>
    <w:rsid w:val="00CB2BBB"/>
    <w:rsid w:val="00CB33A0"/>
    <w:rsid w:val="00CB3C5A"/>
    <w:rsid w:val="00CB3F40"/>
    <w:rsid w:val="00CB3FB2"/>
    <w:rsid w:val="00CB4653"/>
    <w:rsid w:val="00CB53D3"/>
    <w:rsid w:val="00CB642F"/>
    <w:rsid w:val="00CB7BBD"/>
    <w:rsid w:val="00CC11F0"/>
    <w:rsid w:val="00CC321A"/>
    <w:rsid w:val="00CC3A89"/>
    <w:rsid w:val="00CC49E8"/>
    <w:rsid w:val="00CC5303"/>
    <w:rsid w:val="00CC7B50"/>
    <w:rsid w:val="00CD49EF"/>
    <w:rsid w:val="00CD5913"/>
    <w:rsid w:val="00CD5FFC"/>
    <w:rsid w:val="00CD6F6D"/>
    <w:rsid w:val="00CD7C03"/>
    <w:rsid w:val="00CE0B85"/>
    <w:rsid w:val="00CE1DFA"/>
    <w:rsid w:val="00CE2F45"/>
    <w:rsid w:val="00CE614A"/>
    <w:rsid w:val="00CE74F1"/>
    <w:rsid w:val="00CF0AB2"/>
    <w:rsid w:val="00CF13D0"/>
    <w:rsid w:val="00CF175D"/>
    <w:rsid w:val="00CF1CC0"/>
    <w:rsid w:val="00CF276C"/>
    <w:rsid w:val="00CF2DFA"/>
    <w:rsid w:val="00CF38DB"/>
    <w:rsid w:val="00CF4C7F"/>
    <w:rsid w:val="00CF5CF6"/>
    <w:rsid w:val="00CF73B6"/>
    <w:rsid w:val="00CF73D5"/>
    <w:rsid w:val="00D01540"/>
    <w:rsid w:val="00D04252"/>
    <w:rsid w:val="00D042C4"/>
    <w:rsid w:val="00D04672"/>
    <w:rsid w:val="00D048C5"/>
    <w:rsid w:val="00D0554F"/>
    <w:rsid w:val="00D05801"/>
    <w:rsid w:val="00D07CC3"/>
    <w:rsid w:val="00D11F3D"/>
    <w:rsid w:val="00D130D9"/>
    <w:rsid w:val="00D13413"/>
    <w:rsid w:val="00D13CE6"/>
    <w:rsid w:val="00D1499E"/>
    <w:rsid w:val="00D17D0E"/>
    <w:rsid w:val="00D20FF2"/>
    <w:rsid w:val="00D22CCA"/>
    <w:rsid w:val="00D23746"/>
    <w:rsid w:val="00D2388A"/>
    <w:rsid w:val="00D23FF7"/>
    <w:rsid w:val="00D24876"/>
    <w:rsid w:val="00D2537B"/>
    <w:rsid w:val="00D264AA"/>
    <w:rsid w:val="00D26E72"/>
    <w:rsid w:val="00D31382"/>
    <w:rsid w:val="00D31519"/>
    <w:rsid w:val="00D31530"/>
    <w:rsid w:val="00D379F7"/>
    <w:rsid w:val="00D37C41"/>
    <w:rsid w:val="00D43631"/>
    <w:rsid w:val="00D43FD2"/>
    <w:rsid w:val="00D45003"/>
    <w:rsid w:val="00D45007"/>
    <w:rsid w:val="00D50F99"/>
    <w:rsid w:val="00D51D55"/>
    <w:rsid w:val="00D51DF0"/>
    <w:rsid w:val="00D52223"/>
    <w:rsid w:val="00D554A2"/>
    <w:rsid w:val="00D61615"/>
    <w:rsid w:val="00D61BDB"/>
    <w:rsid w:val="00D6209E"/>
    <w:rsid w:val="00D63BEF"/>
    <w:rsid w:val="00D653A7"/>
    <w:rsid w:val="00D67C9C"/>
    <w:rsid w:val="00D7257B"/>
    <w:rsid w:val="00D75478"/>
    <w:rsid w:val="00D755A9"/>
    <w:rsid w:val="00D755DE"/>
    <w:rsid w:val="00D76A80"/>
    <w:rsid w:val="00D80719"/>
    <w:rsid w:val="00D81403"/>
    <w:rsid w:val="00D82A7B"/>
    <w:rsid w:val="00D8309F"/>
    <w:rsid w:val="00D8367A"/>
    <w:rsid w:val="00D862AC"/>
    <w:rsid w:val="00D86625"/>
    <w:rsid w:val="00D87E38"/>
    <w:rsid w:val="00D909ED"/>
    <w:rsid w:val="00D9390D"/>
    <w:rsid w:val="00D9521E"/>
    <w:rsid w:val="00D95CDD"/>
    <w:rsid w:val="00DA1030"/>
    <w:rsid w:val="00DA13C2"/>
    <w:rsid w:val="00DA23AA"/>
    <w:rsid w:val="00DA294D"/>
    <w:rsid w:val="00DA4C96"/>
    <w:rsid w:val="00DA5AD5"/>
    <w:rsid w:val="00DA5E86"/>
    <w:rsid w:val="00DA77EF"/>
    <w:rsid w:val="00DB05F7"/>
    <w:rsid w:val="00DB372C"/>
    <w:rsid w:val="00DB5890"/>
    <w:rsid w:val="00DB68B7"/>
    <w:rsid w:val="00DB6C80"/>
    <w:rsid w:val="00DB6CE7"/>
    <w:rsid w:val="00DB788C"/>
    <w:rsid w:val="00DC031E"/>
    <w:rsid w:val="00DC0C1C"/>
    <w:rsid w:val="00DC1B5F"/>
    <w:rsid w:val="00DC3391"/>
    <w:rsid w:val="00DC6850"/>
    <w:rsid w:val="00DD4B5F"/>
    <w:rsid w:val="00DD5991"/>
    <w:rsid w:val="00DD5D27"/>
    <w:rsid w:val="00DD5D88"/>
    <w:rsid w:val="00DD7621"/>
    <w:rsid w:val="00DE1070"/>
    <w:rsid w:val="00DE3169"/>
    <w:rsid w:val="00DE39EE"/>
    <w:rsid w:val="00DE440D"/>
    <w:rsid w:val="00DE44CE"/>
    <w:rsid w:val="00DE56BC"/>
    <w:rsid w:val="00DE6012"/>
    <w:rsid w:val="00DE7ED5"/>
    <w:rsid w:val="00DF18BC"/>
    <w:rsid w:val="00DF30DB"/>
    <w:rsid w:val="00DF55B4"/>
    <w:rsid w:val="00E00342"/>
    <w:rsid w:val="00E045F3"/>
    <w:rsid w:val="00E04DB1"/>
    <w:rsid w:val="00E07F07"/>
    <w:rsid w:val="00E100E3"/>
    <w:rsid w:val="00E1164D"/>
    <w:rsid w:val="00E12473"/>
    <w:rsid w:val="00E13F89"/>
    <w:rsid w:val="00E21841"/>
    <w:rsid w:val="00E22738"/>
    <w:rsid w:val="00E23848"/>
    <w:rsid w:val="00E25744"/>
    <w:rsid w:val="00E27373"/>
    <w:rsid w:val="00E275B0"/>
    <w:rsid w:val="00E34431"/>
    <w:rsid w:val="00E411DE"/>
    <w:rsid w:val="00E4126E"/>
    <w:rsid w:val="00E442F9"/>
    <w:rsid w:val="00E4448E"/>
    <w:rsid w:val="00E5419C"/>
    <w:rsid w:val="00E54EAD"/>
    <w:rsid w:val="00E56506"/>
    <w:rsid w:val="00E6334D"/>
    <w:rsid w:val="00E64C77"/>
    <w:rsid w:val="00E67B1F"/>
    <w:rsid w:val="00E753BC"/>
    <w:rsid w:val="00E75D80"/>
    <w:rsid w:val="00E81D1B"/>
    <w:rsid w:val="00E84045"/>
    <w:rsid w:val="00E848DA"/>
    <w:rsid w:val="00E857E1"/>
    <w:rsid w:val="00E8590A"/>
    <w:rsid w:val="00E90D41"/>
    <w:rsid w:val="00E90DA8"/>
    <w:rsid w:val="00E91B6A"/>
    <w:rsid w:val="00E943D9"/>
    <w:rsid w:val="00E95A63"/>
    <w:rsid w:val="00E97A3E"/>
    <w:rsid w:val="00EA0411"/>
    <w:rsid w:val="00EA0F82"/>
    <w:rsid w:val="00EA31A8"/>
    <w:rsid w:val="00EA3B49"/>
    <w:rsid w:val="00EA44B1"/>
    <w:rsid w:val="00EA5477"/>
    <w:rsid w:val="00EA6603"/>
    <w:rsid w:val="00EB0707"/>
    <w:rsid w:val="00EB0A2B"/>
    <w:rsid w:val="00EB0A47"/>
    <w:rsid w:val="00EB2A9B"/>
    <w:rsid w:val="00EB2B04"/>
    <w:rsid w:val="00EB3474"/>
    <w:rsid w:val="00EB6E3C"/>
    <w:rsid w:val="00EC0AD9"/>
    <w:rsid w:val="00EC1076"/>
    <w:rsid w:val="00EC1C30"/>
    <w:rsid w:val="00EC6D5D"/>
    <w:rsid w:val="00EC6DEE"/>
    <w:rsid w:val="00EC7274"/>
    <w:rsid w:val="00ED2105"/>
    <w:rsid w:val="00ED239E"/>
    <w:rsid w:val="00ED2B54"/>
    <w:rsid w:val="00ED4EC5"/>
    <w:rsid w:val="00ED558D"/>
    <w:rsid w:val="00ED6F91"/>
    <w:rsid w:val="00ED7F69"/>
    <w:rsid w:val="00EE0209"/>
    <w:rsid w:val="00EE1F44"/>
    <w:rsid w:val="00EE556B"/>
    <w:rsid w:val="00EE6172"/>
    <w:rsid w:val="00EE6BC8"/>
    <w:rsid w:val="00EE6C75"/>
    <w:rsid w:val="00EE798E"/>
    <w:rsid w:val="00EF4FDF"/>
    <w:rsid w:val="00EF7813"/>
    <w:rsid w:val="00F00DD3"/>
    <w:rsid w:val="00F043D0"/>
    <w:rsid w:val="00F14678"/>
    <w:rsid w:val="00F14BE4"/>
    <w:rsid w:val="00F157CA"/>
    <w:rsid w:val="00F15F9E"/>
    <w:rsid w:val="00F17B26"/>
    <w:rsid w:val="00F20DB3"/>
    <w:rsid w:val="00F22B81"/>
    <w:rsid w:val="00F26837"/>
    <w:rsid w:val="00F279D4"/>
    <w:rsid w:val="00F27A44"/>
    <w:rsid w:val="00F27F9F"/>
    <w:rsid w:val="00F33047"/>
    <w:rsid w:val="00F342E2"/>
    <w:rsid w:val="00F365B5"/>
    <w:rsid w:val="00F3667A"/>
    <w:rsid w:val="00F40557"/>
    <w:rsid w:val="00F41770"/>
    <w:rsid w:val="00F4241E"/>
    <w:rsid w:val="00F433FD"/>
    <w:rsid w:val="00F439E0"/>
    <w:rsid w:val="00F474C1"/>
    <w:rsid w:val="00F50821"/>
    <w:rsid w:val="00F50A2E"/>
    <w:rsid w:val="00F50F7D"/>
    <w:rsid w:val="00F52866"/>
    <w:rsid w:val="00F52931"/>
    <w:rsid w:val="00F56602"/>
    <w:rsid w:val="00F578A7"/>
    <w:rsid w:val="00F604FC"/>
    <w:rsid w:val="00F63190"/>
    <w:rsid w:val="00F64730"/>
    <w:rsid w:val="00F65209"/>
    <w:rsid w:val="00F658B8"/>
    <w:rsid w:val="00F65F87"/>
    <w:rsid w:val="00F663E6"/>
    <w:rsid w:val="00F66808"/>
    <w:rsid w:val="00F66FB4"/>
    <w:rsid w:val="00F70B69"/>
    <w:rsid w:val="00F71B5F"/>
    <w:rsid w:val="00F722F2"/>
    <w:rsid w:val="00F72FFE"/>
    <w:rsid w:val="00F750C6"/>
    <w:rsid w:val="00F80E02"/>
    <w:rsid w:val="00F81764"/>
    <w:rsid w:val="00F819D5"/>
    <w:rsid w:val="00F83BF3"/>
    <w:rsid w:val="00F8423A"/>
    <w:rsid w:val="00F843AE"/>
    <w:rsid w:val="00F906EC"/>
    <w:rsid w:val="00F933CA"/>
    <w:rsid w:val="00F940FD"/>
    <w:rsid w:val="00FA0BFB"/>
    <w:rsid w:val="00FA23F3"/>
    <w:rsid w:val="00FA5FEA"/>
    <w:rsid w:val="00FA6EE6"/>
    <w:rsid w:val="00FB3B9A"/>
    <w:rsid w:val="00FB41D3"/>
    <w:rsid w:val="00FB6357"/>
    <w:rsid w:val="00FB7347"/>
    <w:rsid w:val="00FC0A0F"/>
    <w:rsid w:val="00FC1ACA"/>
    <w:rsid w:val="00FC3906"/>
    <w:rsid w:val="00FC4730"/>
    <w:rsid w:val="00FC5733"/>
    <w:rsid w:val="00FC5E9B"/>
    <w:rsid w:val="00FC61BA"/>
    <w:rsid w:val="00FC6284"/>
    <w:rsid w:val="00FC642C"/>
    <w:rsid w:val="00FD3208"/>
    <w:rsid w:val="00FD367F"/>
    <w:rsid w:val="00FD4F49"/>
    <w:rsid w:val="00FE0E2A"/>
    <w:rsid w:val="00FE225C"/>
    <w:rsid w:val="00FE3E0D"/>
    <w:rsid w:val="00FE5775"/>
    <w:rsid w:val="00FE5FB0"/>
    <w:rsid w:val="00FE71B8"/>
    <w:rsid w:val="00FE7FBC"/>
    <w:rsid w:val="00FF0653"/>
    <w:rsid w:val="00FF12F4"/>
    <w:rsid w:val="00FF2D2A"/>
    <w:rsid w:val="00FF2EAC"/>
    <w:rsid w:val="00FF6D17"/>
    <w:rsid w:val="00FF7391"/>
    <w:rsid w:val="063ABF27"/>
    <w:rsid w:val="0E2CAF9F"/>
    <w:rsid w:val="0E68A831"/>
    <w:rsid w:val="116CF7D6"/>
    <w:rsid w:val="13E8B8B0"/>
    <w:rsid w:val="151660E8"/>
    <w:rsid w:val="1DA474B2"/>
    <w:rsid w:val="1EFCCFC7"/>
    <w:rsid w:val="27350C1C"/>
    <w:rsid w:val="27FFC58D"/>
    <w:rsid w:val="2A065B46"/>
    <w:rsid w:val="2D89C819"/>
    <w:rsid w:val="30C7C820"/>
    <w:rsid w:val="3154DE60"/>
    <w:rsid w:val="327AF8F9"/>
    <w:rsid w:val="35D3D9E6"/>
    <w:rsid w:val="384431F8"/>
    <w:rsid w:val="3982A10F"/>
    <w:rsid w:val="3ABF391D"/>
    <w:rsid w:val="3ACE119D"/>
    <w:rsid w:val="3E679A3D"/>
    <w:rsid w:val="422C57EC"/>
    <w:rsid w:val="439EC9F0"/>
    <w:rsid w:val="460884D6"/>
    <w:rsid w:val="4974892F"/>
    <w:rsid w:val="4A2E1D4F"/>
    <w:rsid w:val="4C38FD73"/>
    <w:rsid w:val="4E2108FE"/>
    <w:rsid w:val="4EE747CF"/>
    <w:rsid w:val="51602319"/>
    <w:rsid w:val="54EE4E1B"/>
    <w:rsid w:val="54F6BF81"/>
    <w:rsid w:val="556472BC"/>
    <w:rsid w:val="5751E044"/>
    <w:rsid w:val="5A6AE055"/>
    <w:rsid w:val="5E555E2B"/>
    <w:rsid w:val="61359B06"/>
    <w:rsid w:val="66CD07F4"/>
    <w:rsid w:val="67244892"/>
    <w:rsid w:val="672D0494"/>
    <w:rsid w:val="672D2E86"/>
    <w:rsid w:val="6CC37B61"/>
    <w:rsid w:val="6D04F3F1"/>
    <w:rsid w:val="6D27A455"/>
    <w:rsid w:val="75C5B00B"/>
    <w:rsid w:val="78EC0C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21631F"/>
  <w15:docId w15:val="{A1A12353-E107-408F-8A07-DD9E309D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E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D6209E"/>
    <w:rPr>
      <w:sz w:val="18"/>
      <w:szCs w:val="18"/>
    </w:rPr>
  </w:style>
  <w:style w:type="paragraph" w:styleId="CommentText">
    <w:name w:val="annotation text"/>
    <w:basedOn w:val="Normal"/>
    <w:link w:val="CommentTextChar"/>
    <w:uiPriority w:val="99"/>
    <w:unhideWhenUsed/>
    <w:rsid w:val="00D6209E"/>
    <w:pPr>
      <w:jc w:val="both"/>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rsid w:val="00D6209E"/>
    <w:rPr>
      <w:rFonts w:ascii="Calibri" w:eastAsia="MS Mincho" w:hAnsi="Calibri" w:cs="Times New Roman"/>
      <w:sz w:val="20"/>
      <w:szCs w:val="20"/>
    </w:rPr>
  </w:style>
  <w:style w:type="paragraph" w:styleId="BalloonText">
    <w:name w:val="Balloon Text"/>
    <w:basedOn w:val="Normal"/>
    <w:link w:val="BalloonTextChar"/>
    <w:uiPriority w:val="99"/>
    <w:semiHidden/>
    <w:unhideWhenUsed/>
    <w:rsid w:val="00D6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9E"/>
    <w:rPr>
      <w:rFonts w:ascii="Tahoma" w:hAnsi="Tahoma" w:cs="Tahoma"/>
      <w:sz w:val="16"/>
      <w:szCs w:val="16"/>
    </w:rPr>
  </w:style>
  <w:style w:type="paragraph" w:styleId="NoSpacing">
    <w:name w:val="No Spacing"/>
    <w:uiPriority w:val="1"/>
    <w:qFormat/>
    <w:rsid w:val="006143F6"/>
    <w:pPr>
      <w:spacing w:after="0" w:line="240" w:lineRule="auto"/>
    </w:pPr>
  </w:style>
  <w:style w:type="paragraph" w:styleId="CommentSubject">
    <w:name w:val="annotation subject"/>
    <w:basedOn w:val="CommentText"/>
    <w:next w:val="CommentText"/>
    <w:link w:val="CommentSubjectChar"/>
    <w:uiPriority w:val="99"/>
    <w:semiHidden/>
    <w:unhideWhenUsed/>
    <w:rsid w:val="006143F6"/>
    <w:pPr>
      <w:spacing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43F6"/>
    <w:rPr>
      <w:rFonts w:ascii="Calibri" w:eastAsia="MS Mincho" w:hAnsi="Calibri" w:cs="Times New Roman"/>
      <w:b/>
      <w:bCs/>
      <w:sz w:val="20"/>
      <w:szCs w:val="20"/>
    </w:rPr>
  </w:style>
  <w:style w:type="character" w:styleId="Hyperlink">
    <w:name w:val="Hyperlink"/>
    <w:basedOn w:val="DefaultParagraphFont"/>
    <w:uiPriority w:val="99"/>
    <w:unhideWhenUsed/>
    <w:rsid w:val="00EC1076"/>
    <w:rPr>
      <w:color w:val="0000FF" w:themeColor="hyperlink"/>
      <w:u w:val="single"/>
    </w:rPr>
  </w:style>
  <w:style w:type="paragraph" w:styleId="ListParagraph">
    <w:name w:val="List Paragraph"/>
    <w:basedOn w:val="Normal"/>
    <w:link w:val="ListParagraphChar"/>
    <w:uiPriority w:val="34"/>
    <w:qFormat/>
    <w:rsid w:val="00045C22"/>
    <w:pPr>
      <w:keepNext/>
      <w:keepLines/>
      <w:numPr>
        <w:numId w:val="36"/>
      </w:numPr>
      <w:spacing w:after="0"/>
      <w:ind w:left="994"/>
      <w:contextualSpacing/>
    </w:pPr>
    <w:rPr>
      <w:rFonts w:ascii="Calibri" w:hAnsi="Calibri" w:eastAsiaTheme="minorEastAsia" w:cs="Calibri"/>
    </w:rPr>
  </w:style>
  <w:style w:type="numbering" w:customStyle="1" w:styleId="Singlepunch">
    <w:name w:val="Single punch"/>
    <w:rsid w:val="00045C22"/>
    <w:pPr>
      <w:numPr>
        <w:numId w:val="6"/>
      </w:numPr>
    </w:pPr>
  </w:style>
  <w:style w:type="paragraph" w:customStyle="1" w:styleId="NPS4C-OMB-Q">
    <w:name w:val="NPS4C-OMB-Q"/>
    <w:basedOn w:val="Normal"/>
    <w:qFormat/>
    <w:rsid w:val="00045C22"/>
    <w:pPr>
      <w:keepNext/>
      <w:keepLines/>
      <w:numPr>
        <w:numId w:val="8"/>
      </w:numPr>
      <w:spacing w:after="0"/>
      <w:outlineLvl w:val="2"/>
    </w:pPr>
    <w:rPr>
      <w:rFonts w:ascii="Calibri" w:hAnsi="Calibri" w:eastAsiaTheme="minorEastAsia" w:cs="Calibri"/>
    </w:rPr>
  </w:style>
  <w:style w:type="table" w:customStyle="1" w:styleId="QQuestionTable">
    <w:name w:val="QQuestionTable"/>
    <w:uiPriority w:val="99"/>
    <w:qFormat/>
    <w:rsid w:val="00045C22"/>
    <w:pPr>
      <w:spacing w:after="0" w:line="240" w:lineRule="auto"/>
      <w:jc w:val="center"/>
    </w:pPr>
    <w:rPr>
      <w:rFonts w:ascii="Calibri" w:hAnsi="Calibri" w:eastAsiaTheme="minorEastAsia"/>
      <w:sz w:val="20"/>
      <w:szCs w:val="20"/>
      <w:lang w:eastAsia="ja-JP"/>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rFonts w:ascii="Calibri" w:hAnsi="Calibri"/>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firstCol">
      <w:pPr>
        <w:jc w:val="left"/>
      </w:pPr>
    </w:tblStylePr>
  </w:style>
  <w:style w:type="table" w:styleId="TableGrid">
    <w:name w:val="Table Grid"/>
    <w:basedOn w:val="TableNormal"/>
    <w:uiPriority w:val="59"/>
    <w:rsid w:val="00045C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bbles">
    <w:name w:val="Table_Bubbles"/>
    <w:basedOn w:val="ListParagraph"/>
    <w:qFormat/>
    <w:rsid w:val="00045C22"/>
    <w:pPr>
      <w:spacing w:line="240" w:lineRule="auto"/>
      <w:ind w:left="360"/>
      <w:jc w:val="center"/>
    </w:pPr>
  </w:style>
  <w:style w:type="character" w:customStyle="1" w:styleId="NPS4CSubQ">
    <w:name w:val="NPS4C_SubQ"/>
    <w:basedOn w:val="DefaultParagraphFont"/>
    <w:uiPriority w:val="1"/>
    <w:qFormat/>
    <w:rsid w:val="00045C22"/>
    <w:rPr>
      <w:rFonts w:cs="Calibri"/>
      <w:color w:val="auto"/>
      <w:sz w:val="20"/>
      <w:szCs w:val="20"/>
    </w:rPr>
  </w:style>
  <w:style w:type="character" w:customStyle="1" w:styleId="apple-converted-space">
    <w:name w:val="apple-converted-space"/>
    <w:basedOn w:val="DefaultParagraphFont"/>
    <w:rsid w:val="00C07D86"/>
  </w:style>
  <w:style w:type="character" w:styleId="FollowedHyperlink">
    <w:name w:val="FollowedHyperlink"/>
    <w:basedOn w:val="DefaultParagraphFont"/>
    <w:uiPriority w:val="99"/>
    <w:semiHidden/>
    <w:unhideWhenUsed/>
    <w:rsid w:val="00763360"/>
    <w:rPr>
      <w:color w:val="800080" w:themeColor="followedHyperlink"/>
      <w:u w:val="single"/>
    </w:rPr>
  </w:style>
  <w:style w:type="paragraph" w:customStyle="1" w:styleId="paragraph">
    <w:name w:val="paragraph"/>
    <w:basedOn w:val="Normal"/>
    <w:rsid w:val="006941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4150"/>
  </w:style>
  <w:style w:type="character" w:customStyle="1" w:styleId="eop">
    <w:name w:val="eop"/>
    <w:basedOn w:val="DefaultParagraphFont"/>
    <w:rsid w:val="00694150"/>
  </w:style>
  <w:style w:type="character" w:customStyle="1" w:styleId="pagebreaktextspan">
    <w:name w:val="pagebreaktextspan"/>
    <w:basedOn w:val="DefaultParagraphFont"/>
    <w:rsid w:val="00694150"/>
  </w:style>
  <w:style w:type="character" w:customStyle="1" w:styleId="spellingerror">
    <w:name w:val="spellingerror"/>
    <w:basedOn w:val="DefaultParagraphFont"/>
    <w:rsid w:val="00694150"/>
  </w:style>
  <w:style w:type="character" w:customStyle="1" w:styleId="superscript">
    <w:name w:val="superscript"/>
    <w:basedOn w:val="DefaultParagraphFont"/>
    <w:rsid w:val="00694150"/>
  </w:style>
  <w:style w:type="character" w:customStyle="1" w:styleId="scxw31278324">
    <w:name w:val="scxw31278324"/>
    <w:basedOn w:val="DefaultParagraphFont"/>
    <w:rsid w:val="002047B3"/>
  </w:style>
  <w:style w:type="paragraph" w:styleId="Header">
    <w:name w:val="header"/>
    <w:basedOn w:val="Normal"/>
    <w:link w:val="HeaderChar"/>
    <w:uiPriority w:val="99"/>
    <w:unhideWhenUsed/>
    <w:rsid w:val="008B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B2"/>
  </w:style>
  <w:style w:type="paragraph" w:styleId="Footer">
    <w:name w:val="footer"/>
    <w:basedOn w:val="Normal"/>
    <w:link w:val="FooterChar"/>
    <w:uiPriority w:val="99"/>
    <w:unhideWhenUsed/>
    <w:rsid w:val="008B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B2"/>
  </w:style>
  <w:style w:type="character" w:styleId="PlaceholderText">
    <w:name w:val="Placeholder Text"/>
    <w:basedOn w:val="DefaultParagraphFont"/>
    <w:uiPriority w:val="99"/>
    <w:semiHidden/>
    <w:rsid w:val="00951F83"/>
    <w:rPr>
      <w:color w:val="808080"/>
    </w:rPr>
  </w:style>
  <w:style w:type="paragraph" w:styleId="FootnoteText">
    <w:name w:val="footnote text"/>
    <w:basedOn w:val="Normal"/>
    <w:link w:val="FootnoteTextChar"/>
    <w:uiPriority w:val="99"/>
    <w:semiHidden/>
    <w:unhideWhenUsed/>
    <w:rsid w:val="00016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4BB"/>
    <w:rPr>
      <w:sz w:val="20"/>
      <w:szCs w:val="20"/>
    </w:rPr>
  </w:style>
  <w:style w:type="character" w:styleId="FootnoteReference">
    <w:name w:val="footnote reference"/>
    <w:basedOn w:val="DefaultParagraphFont"/>
    <w:uiPriority w:val="99"/>
    <w:semiHidden/>
    <w:unhideWhenUsed/>
    <w:rsid w:val="000164BB"/>
    <w:rPr>
      <w:vertAlign w:val="superscript"/>
    </w:rPr>
  </w:style>
  <w:style w:type="paragraph" w:styleId="Revision">
    <w:name w:val="Revision"/>
    <w:hidden/>
    <w:uiPriority w:val="99"/>
    <w:semiHidden/>
    <w:rsid w:val="00366EBC"/>
    <w:pPr>
      <w:spacing w:after="0" w:line="240" w:lineRule="auto"/>
    </w:pPr>
  </w:style>
  <w:style w:type="character" w:styleId="UnresolvedMention">
    <w:name w:val="Unresolved Mention"/>
    <w:basedOn w:val="DefaultParagraphFont"/>
    <w:uiPriority w:val="99"/>
    <w:semiHidden/>
    <w:unhideWhenUsed/>
    <w:rsid w:val="00977381"/>
    <w:rPr>
      <w:color w:val="605E5C"/>
      <w:shd w:val="clear" w:color="auto" w:fill="E1DFDD"/>
    </w:rPr>
  </w:style>
  <w:style w:type="paragraph" w:styleId="NormalWeb">
    <w:name w:val="Normal (Web)"/>
    <w:basedOn w:val="Normal"/>
    <w:uiPriority w:val="99"/>
    <w:semiHidden/>
    <w:unhideWhenUsed/>
    <w:rsid w:val="00B333D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rsid w:val="006015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25875571">
    <w:name w:val="scxw25875571"/>
    <w:basedOn w:val="DefaultParagraphFont"/>
    <w:rsid w:val="0045118B"/>
  </w:style>
  <w:style w:type="character" w:customStyle="1" w:styleId="contextualspellingandgrammarerror">
    <w:name w:val="contextualspellingandgrammarerror"/>
    <w:basedOn w:val="DefaultParagraphFont"/>
    <w:rsid w:val="0045118B"/>
  </w:style>
  <w:style w:type="character" w:customStyle="1" w:styleId="ListParagraphChar">
    <w:name w:val="List Paragraph Char"/>
    <w:basedOn w:val="DefaultParagraphFont"/>
    <w:link w:val="ListParagraph"/>
    <w:uiPriority w:val="34"/>
    <w:rsid w:val="00C14103"/>
    <w:rPr>
      <w:rFonts w:ascii="Calibri" w:hAnsi="Calibri" w:eastAsiaTheme="minorEastAsia"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x.doi.org/10.2139/ssrn.2821124"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irma.nps.gov/Stats/Reports/Park"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oodcalculators.com/sample-size-calcula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1F98C399D644C80DDE1AFD28697E0" ma:contentTypeVersion="16" ma:contentTypeDescription="Create a new document." ma:contentTypeScope="" ma:versionID="ee3aef58f62adb1af02b6237412ba233">
  <xsd:schema xmlns:xsd="http://www.w3.org/2001/XMLSchema" xmlns:xs="http://www.w3.org/2001/XMLSchema" xmlns:p="http://schemas.microsoft.com/office/2006/metadata/properties" xmlns:ns2="ce2a226f-b5ca-43e9-90ae-bbf06f3b2349" xmlns:ns3="66e28f69-ef4a-4b64-84e2-c6860b729500" xmlns:ns4="31062a0d-ede8-4112-b4bb-00a9c1bc8e16" targetNamespace="http://schemas.microsoft.com/office/2006/metadata/properties" ma:root="true" ma:fieldsID="41a71c23b3956dc9003d64b9816c4412" ns2:_="" ns3:_="" ns4:_="">
    <xsd:import namespace="ce2a226f-b5ca-43e9-90ae-bbf06f3b2349"/>
    <xsd:import namespace="66e28f69-ef4a-4b64-84e2-c6860b72950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a226f-b5ca-43e9-90ae-bbf06f3b2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28f69-ef4a-4b64-84e2-c6860b729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f7343c4-bd67-495c-8bc4-aaa8b0d1ca6f}" ma:internalName="TaxCatchAll" ma:showField="CatchAllData" ma:web="66e28f69-ef4a-4b64-84e2-c6860b729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ce2a226f-b5ca-43e9-90ae-bbf06f3b23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AE60C1-162C-4D1B-AC1C-D0D865913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a226f-b5ca-43e9-90ae-bbf06f3b2349"/>
    <ds:schemaRef ds:uri="66e28f69-ef4a-4b64-84e2-c6860b72950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015CD-D018-4C1E-B977-D9B147B933A6}">
  <ds:schemaRefs>
    <ds:schemaRef ds:uri="http://schemas.openxmlformats.org/officeDocument/2006/bibliography"/>
  </ds:schemaRefs>
</ds:datastoreItem>
</file>

<file path=customXml/itemProps3.xml><?xml version="1.0" encoding="utf-8"?>
<ds:datastoreItem xmlns:ds="http://schemas.openxmlformats.org/officeDocument/2006/customXml" ds:itemID="{2813526F-26AF-4F1D-95E3-2F3911FA3B33}">
  <ds:schemaRefs>
    <ds:schemaRef ds:uri="http://schemas.microsoft.com/office/2006/metadata/properties"/>
    <ds:schemaRef ds:uri="http://schemas.microsoft.com/office/infopath/2007/PartnerControls"/>
    <ds:schemaRef ds:uri="31062a0d-ede8-4112-b4bb-00a9c1bc8e16"/>
    <ds:schemaRef ds:uri="ce2a226f-b5ca-43e9-90ae-bbf06f3b2349"/>
  </ds:schemaRefs>
</ds:datastoreItem>
</file>

<file path=customXml/itemProps4.xml><?xml version="1.0" encoding="utf-8"?>
<ds:datastoreItem xmlns:ds="http://schemas.openxmlformats.org/officeDocument/2006/customXml" ds:itemID="{38445A0E-4BE0-4A5A-92D5-BED2E1380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6668</Words>
  <Characters>38008</Characters>
  <Application>Microsoft Office Word</Application>
  <DocSecurity>0</DocSecurity>
  <Lines>316</Lines>
  <Paragraphs>89</Paragraphs>
  <ScaleCrop>false</ScaleCrop>
  <Company>National Park Service</Company>
  <LinksUpToDate>false</LinksUpToDate>
  <CharactersWithSpaces>44587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Sage</dc:creator>
  <cp:lastModifiedBy>Mcbride, Megan K</cp:lastModifiedBy>
  <cp:revision>3</cp:revision>
  <dcterms:created xsi:type="dcterms:W3CDTF">2025-01-15T21:26:00Z</dcterms:created>
  <dcterms:modified xsi:type="dcterms:W3CDTF">2025-01-15T21:27:00Z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0x010100DB01F98C399D644C80DDE1AFD28697E0</vt:lpwstr>
  </property>
  <property fmtid="{D5CDD505-2E9C-101B-9397-08002B2CF9AE}" pid="3" name="MediaServiceImageTags">
    <vt:lpwstr/>
  </property>
</Properties>
</file>