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70813" w:rsidP="00C24F00" w14:paraId="771B746E" w14:textId="77777777">
      <w:pPr>
        <w:tabs>
          <w:tab w:val="left" w:pos="-108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lang w:val="en-CA"/>
        </w:rPr>
      </w:pPr>
    </w:p>
    <w:p w:rsidR="00A57FED" w:rsidRPr="00A57FED" w:rsidP="00C24F00" w14:paraId="4A73B547" w14:textId="66AEDF94">
      <w:pPr>
        <w:tabs>
          <w:tab w:val="left" w:pos="-108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4"/>
        </w:rPr>
      </w:pPr>
      <w:r w:rsidRPr="00A57FED">
        <w:rPr>
          <w:rFonts w:ascii="Times New Roman" w:hAnsi="Times New Roman"/>
          <w:sz w:val="24"/>
          <w:lang w:val="en-CA"/>
        </w:rPr>
        <w:fldChar w:fldCharType="begin"/>
      </w:r>
      <w:r w:rsidRPr="00A57FED" w:rsidR="00C24F00">
        <w:rPr>
          <w:rFonts w:ascii="Times New Roman" w:hAnsi="Times New Roman"/>
          <w:sz w:val="24"/>
          <w:lang w:val="en-CA"/>
        </w:rPr>
        <w:instrText xml:space="preserve"> SEQ CHAPTER \h \r 1</w:instrText>
      </w:r>
      <w:r w:rsidRPr="00A57FED">
        <w:rPr>
          <w:rFonts w:ascii="Times New Roman" w:hAnsi="Times New Roman"/>
          <w:sz w:val="24"/>
          <w:lang w:val="en-CA"/>
        </w:rPr>
        <w:fldChar w:fldCharType="separate"/>
      </w:r>
      <w:r w:rsidRPr="00A57FED">
        <w:rPr>
          <w:rFonts w:ascii="Times New Roman" w:hAnsi="Times New Roman"/>
          <w:sz w:val="24"/>
          <w:lang w:val="en-CA"/>
        </w:rPr>
        <w:fldChar w:fldCharType="end"/>
      </w:r>
      <w:r w:rsidRPr="00A57FED" w:rsidR="00C24F00">
        <w:rPr>
          <w:rFonts w:ascii="Times New Roman" w:hAnsi="Times New Roman"/>
          <w:b/>
          <w:bCs/>
          <w:sz w:val="24"/>
        </w:rPr>
        <w:t xml:space="preserve">Supporting Statement </w:t>
      </w:r>
      <w:r w:rsidRPr="00A57FED">
        <w:rPr>
          <w:rFonts w:ascii="Times New Roman" w:hAnsi="Times New Roman"/>
          <w:b/>
          <w:bCs/>
          <w:sz w:val="24"/>
        </w:rPr>
        <w:t>A</w:t>
      </w:r>
    </w:p>
    <w:p w:rsidR="00A57FED" w:rsidP="00A57FED" w14:paraId="53FE3843" w14:textId="77777777">
      <w:pPr>
        <w:widowControl/>
        <w:jc w:val="center"/>
        <w:rPr>
          <w:rFonts w:ascii="Times New Roman" w:hAnsi="Times New Roman"/>
          <w:b/>
          <w:bCs/>
          <w:sz w:val="24"/>
        </w:rPr>
      </w:pPr>
    </w:p>
    <w:p w:rsidR="00E96494" w:rsidP="00A57FED" w14:paraId="5AC14984" w14:textId="77777777">
      <w:pPr>
        <w:widowControl/>
        <w:jc w:val="center"/>
        <w:rPr>
          <w:rFonts w:ascii="Times New Roman" w:hAnsi="Times New Roman"/>
          <w:b/>
          <w:sz w:val="24"/>
        </w:rPr>
      </w:pPr>
      <w:r w:rsidRPr="00A57FED">
        <w:rPr>
          <w:rFonts w:ascii="Times New Roman" w:hAnsi="Times New Roman"/>
          <w:b/>
          <w:bCs/>
          <w:sz w:val="24"/>
        </w:rPr>
        <w:t xml:space="preserve">30 </w:t>
      </w:r>
      <w:r w:rsidRPr="00A57FED" w:rsidR="00C24F00">
        <w:rPr>
          <w:rFonts w:ascii="Times New Roman" w:hAnsi="Times New Roman"/>
          <w:b/>
          <w:sz w:val="24"/>
        </w:rPr>
        <w:t>CFR P</w:t>
      </w:r>
      <w:r w:rsidRPr="00A57FED" w:rsidR="00234A23">
        <w:rPr>
          <w:rFonts w:ascii="Times New Roman" w:hAnsi="Times New Roman"/>
          <w:b/>
          <w:sz w:val="24"/>
        </w:rPr>
        <w:t>arts</w:t>
      </w:r>
      <w:r w:rsidRPr="00A57FED" w:rsidR="00C24F00">
        <w:rPr>
          <w:rFonts w:ascii="Times New Roman" w:hAnsi="Times New Roman"/>
          <w:b/>
          <w:sz w:val="24"/>
        </w:rPr>
        <w:t xml:space="preserve"> 779</w:t>
      </w:r>
      <w:r w:rsidRPr="00A57FED" w:rsidR="00D80DFC">
        <w:rPr>
          <w:rFonts w:ascii="Times New Roman" w:hAnsi="Times New Roman"/>
          <w:b/>
          <w:sz w:val="24"/>
        </w:rPr>
        <w:t xml:space="preserve"> &amp; </w:t>
      </w:r>
      <w:r w:rsidRPr="00A57FED" w:rsidR="004916F9">
        <w:rPr>
          <w:rFonts w:ascii="Times New Roman" w:hAnsi="Times New Roman"/>
          <w:b/>
          <w:sz w:val="24"/>
        </w:rPr>
        <w:t>783</w:t>
      </w:r>
      <w:r>
        <w:rPr>
          <w:rFonts w:ascii="Times New Roman" w:hAnsi="Times New Roman"/>
          <w:b/>
          <w:sz w:val="24"/>
        </w:rPr>
        <w:t>:</w:t>
      </w:r>
    </w:p>
    <w:p w:rsidR="00A57FED" w:rsidP="00A57FED" w14:paraId="442E2B5D" w14:textId="77777777">
      <w:pPr>
        <w:widowControl/>
        <w:jc w:val="center"/>
        <w:rPr>
          <w:rFonts w:ascii="Times New Roman" w:hAnsi="Times New Roman"/>
          <w:b/>
          <w:sz w:val="24"/>
        </w:rPr>
      </w:pPr>
      <w:r w:rsidRPr="00A57FED">
        <w:rPr>
          <w:rFonts w:ascii="Times New Roman" w:hAnsi="Times New Roman"/>
          <w:b/>
          <w:sz w:val="24"/>
        </w:rPr>
        <w:t>Surface and Underground Mining</w:t>
      </w:r>
      <w:r>
        <w:rPr>
          <w:rFonts w:ascii="Times New Roman" w:hAnsi="Times New Roman"/>
          <w:b/>
          <w:sz w:val="24"/>
        </w:rPr>
        <w:t xml:space="preserve"> </w:t>
      </w:r>
      <w:r w:rsidRPr="00A57FED">
        <w:rPr>
          <w:rFonts w:ascii="Times New Roman" w:hAnsi="Times New Roman"/>
          <w:b/>
          <w:sz w:val="24"/>
        </w:rPr>
        <w:t>Permit Applications</w:t>
      </w:r>
      <w:r>
        <w:rPr>
          <w:rFonts w:ascii="Times New Roman" w:hAnsi="Times New Roman"/>
          <w:b/>
          <w:sz w:val="24"/>
        </w:rPr>
        <w:t xml:space="preserve"> - </w:t>
      </w:r>
    </w:p>
    <w:p w:rsidR="00C24F00" w:rsidRPr="00A57FED" w:rsidP="00A57FED" w14:paraId="3A426388" w14:textId="77777777">
      <w:pPr>
        <w:widowControl/>
        <w:jc w:val="center"/>
        <w:rPr>
          <w:rFonts w:ascii="Times New Roman" w:hAnsi="Times New Roman"/>
          <w:b/>
          <w:sz w:val="24"/>
        </w:rPr>
      </w:pPr>
      <w:r w:rsidRPr="00A57FED">
        <w:rPr>
          <w:rFonts w:ascii="Times New Roman" w:hAnsi="Times New Roman"/>
          <w:b/>
          <w:sz w:val="24"/>
        </w:rPr>
        <w:t>Minimum Requirements for Information on Environmental Resources</w:t>
      </w:r>
    </w:p>
    <w:p w:rsidR="00A57FED" w:rsidRPr="00A57FED" w:rsidP="00C24F00" w14:paraId="1FF11C98" w14:textId="77777777">
      <w:pPr>
        <w:tabs>
          <w:tab w:val="left" w:pos="-108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rPr>
      </w:pPr>
    </w:p>
    <w:p w:rsidR="00C24F00" w:rsidRPr="00A57FED" w:rsidP="00C24F00" w14:paraId="7FE2B1E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sidRPr="00A57FED">
        <w:rPr>
          <w:rFonts w:ascii="Times New Roman" w:hAnsi="Times New Roman"/>
          <w:b/>
          <w:bCs/>
          <w:sz w:val="24"/>
        </w:rPr>
        <w:t>OMB Control Number 1029-0035</w:t>
      </w:r>
    </w:p>
    <w:p w:rsidR="00D80DFC" w:rsidRPr="00A57FED" w:rsidP="00D80DFC" w14:paraId="36D0F8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rsidR="00D80DFC" w:rsidRPr="00A57FED" w:rsidP="00D80DFC" w14:paraId="09EAE4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r w:rsidRPr="00A57FED">
        <w:rPr>
          <w:rFonts w:ascii="Times New Roman" w:hAnsi="Times New Roman"/>
          <w:sz w:val="24"/>
        </w:rPr>
        <w:t>Terms of Clearance:  None</w:t>
      </w:r>
    </w:p>
    <w:p w:rsidR="00AF4B1D" w:rsidRPr="00A57FED" w:rsidP="00C24F00" w14:paraId="13428B7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rsidR="00E72D76" w:rsidRPr="004C02E6" w:rsidP="00E72D76" w14:paraId="5E9CF53D" w14:textId="77777777">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r>
        <w:rPr>
          <w:rFonts w:ascii="Times New Roman" w:hAnsi="Times New Roman"/>
          <w:b/>
          <w:bCs/>
          <w:sz w:val="24"/>
        </w:rPr>
        <w:br/>
      </w:r>
      <w:r w:rsidRPr="004C02E6">
        <w:rPr>
          <w:rFonts w:ascii="Times New Roman" w:hAnsi="Times New Roman"/>
          <w:sz w:val="24"/>
          <w:u w:val="single"/>
        </w:rPr>
        <w:t>Introduction</w:t>
      </w:r>
    </w:p>
    <w:p w:rsidR="00E72D76" w:rsidRPr="004C02E6" w:rsidP="00E72D76" w14:paraId="46790F55" w14:textId="77777777">
      <w:pPr>
        <w:rPr>
          <w:rFonts w:ascii="Times New Roman" w:hAnsi="Times New Roman"/>
          <w:sz w:val="24"/>
        </w:rPr>
      </w:pPr>
    </w:p>
    <w:p w:rsidR="00E72D76" w:rsidRPr="008A4E0D" w:rsidP="00E72D76" w14:paraId="2D4E187B" w14:textId="77777777">
      <w:pPr>
        <w:rPr>
          <w:rFonts w:ascii="Times New Roman" w:hAnsi="Times New Roman"/>
          <w:sz w:val="24"/>
        </w:rPr>
      </w:pPr>
      <w:r w:rsidRPr="004C02E6">
        <w:rPr>
          <w:rFonts w:ascii="Times New Roman" w:hAnsi="Times New Roman"/>
          <w:sz w:val="24"/>
        </w:rPr>
        <w:t>This information collection clearance package is being submitted by the Office of Surface Mining Reclamation and Enforcement (</w:t>
      </w:r>
      <w:r>
        <w:rPr>
          <w:rFonts w:ascii="Times New Roman" w:hAnsi="Times New Roman"/>
          <w:sz w:val="24"/>
        </w:rPr>
        <w:t>OSMRE</w:t>
      </w:r>
      <w:r w:rsidRPr="004C02E6">
        <w:rPr>
          <w:rFonts w:ascii="Times New Roman" w:hAnsi="Times New Roman"/>
          <w:sz w:val="24"/>
        </w:rPr>
        <w:t xml:space="preserve">) to request information collection renewal authority </w:t>
      </w:r>
      <w:r>
        <w:rPr>
          <w:rFonts w:ascii="Times New Roman" w:hAnsi="Times New Roman"/>
          <w:sz w:val="24"/>
        </w:rPr>
        <w:t xml:space="preserve">for </w:t>
      </w:r>
      <w:r w:rsidRPr="004C02E6">
        <w:rPr>
          <w:rFonts w:ascii="Times New Roman" w:hAnsi="Times New Roman"/>
          <w:sz w:val="24"/>
        </w:rPr>
        <w:t>30 CFR Part 779</w:t>
      </w:r>
      <w:r>
        <w:rPr>
          <w:rFonts w:ascii="Times New Roman" w:hAnsi="Times New Roman"/>
          <w:sz w:val="24"/>
        </w:rPr>
        <w:t xml:space="preserve"> - </w:t>
      </w:r>
      <w:r w:rsidRPr="004C02E6">
        <w:rPr>
          <w:rFonts w:ascii="Times New Roman" w:hAnsi="Times New Roman"/>
          <w:sz w:val="24"/>
        </w:rPr>
        <w:t>Surface Mining Permit Applications – Minimum Requirements for Information on Environmental Resources, and 30 CFR Part 783</w:t>
      </w:r>
      <w:r>
        <w:rPr>
          <w:rFonts w:ascii="Times New Roman" w:hAnsi="Times New Roman"/>
          <w:sz w:val="24"/>
        </w:rPr>
        <w:t xml:space="preserve"> - </w:t>
      </w:r>
      <w:r w:rsidRPr="004C02E6">
        <w:rPr>
          <w:rFonts w:ascii="Times New Roman" w:hAnsi="Times New Roman"/>
          <w:sz w:val="24"/>
        </w:rPr>
        <w:t xml:space="preserve">Underground Mining Permit Applications – Minimum Requirements for Information on Environmental Resources.  These regulations govern the minimum requirements for information on environmental resources for </w:t>
      </w:r>
      <w:r>
        <w:rPr>
          <w:rFonts w:ascii="Times New Roman" w:hAnsi="Times New Roman"/>
          <w:sz w:val="24"/>
        </w:rPr>
        <w:t xml:space="preserve">coal </w:t>
      </w:r>
      <w:r w:rsidRPr="004C02E6">
        <w:rPr>
          <w:rFonts w:ascii="Times New Roman" w:hAnsi="Times New Roman"/>
          <w:sz w:val="24"/>
        </w:rPr>
        <w:t>mining permit applications.</w:t>
      </w:r>
      <w:r>
        <w:rPr>
          <w:rFonts w:ascii="Times New Roman" w:hAnsi="Times New Roman"/>
          <w:sz w:val="24"/>
        </w:rPr>
        <w:t xml:space="preserve">  </w:t>
      </w:r>
      <w:r w:rsidRPr="008A4E0D">
        <w:rPr>
          <w:rFonts w:ascii="Times New Roman" w:hAnsi="Times New Roman"/>
          <w:sz w:val="24"/>
        </w:rPr>
        <w:t>The Office of Management and Budget (OMB) previously reviewed and approved this collection of information and assigned it control number 1029-00</w:t>
      </w:r>
      <w:r>
        <w:rPr>
          <w:rFonts w:ascii="Times New Roman" w:hAnsi="Times New Roman"/>
          <w:sz w:val="24"/>
        </w:rPr>
        <w:t>35</w:t>
      </w:r>
      <w:r w:rsidRPr="008A4E0D">
        <w:rPr>
          <w:rFonts w:ascii="Times New Roman" w:hAnsi="Times New Roman"/>
          <w:sz w:val="24"/>
        </w:rPr>
        <w:t>.</w:t>
      </w:r>
    </w:p>
    <w:p w:rsidR="00E72D76" w:rsidP="00E72D76" w14:paraId="280DF00A" w14:textId="77777777">
      <w:pPr>
        <w:rPr>
          <w:rFonts w:ascii="Times New Roman" w:hAnsi="Times New Roman"/>
          <w:sz w:val="24"/>
        </w:rPr>
      </w:pPr>
      <w:r w:rsidRPr="004C02E6">
        <w:rPr>
          <w:rFonts w:ascii="Times New Roman" w:hAnsi="Times New Roman"/>
          <w:sz w:val="24"/>
        </w:rPr>
        <w:t xml:space="preserve"> </w:t>
      </w:r>
    </w:p>
    <w:p w:rsidR="00D50B09" w:rsidRPr="00061106" w:rsidP="00D50B09" w14:paraId="51CCCC7F" w14:textId="4900D6CF">
      <w:pPr>
        <w:rPr>
          <w:rFonts w:ascii="Times New Roman" w:hAnsi="Times New Roman"/>
          <w:color w:val="000000" w:themeColor="text1"/>
          <w:sz w:val="24"/>
        </w:rPr>
      </w:pPr>
      <w:r w:rsidRPr="00034ECA">
        <w:rPr>
          <w:rFonts w:ascii="Times New Roman" w:hAnsi="Times New Roman"/>
          <w:sz w:val="24"/>
        </w:rPr>
        <w:t>Since the last collection clearance package was approved there have been no program changes</w:t>
      </w:r>
      <w:r w:rsidR="00752B5F">
        <w:rPr>
          <w:rFonts w:ascii="Times New Roman" w:hAnsi="Times New Roman"/>
          <w:sz w:val="24"/>
        </w:rPr>
        <w:t xml:space="preserve"> affecting compliance requirements</w:t>
      </w:r>
      <w:r w:rsidRPr="00034ECA">
        <w:rPr>
          <w:rFonts w:ascii="Times New Roman" w:hAnsi="Times New Roman"/>
          <w:sz w:val="24"/>
        </w:rPr>
        <w:t xml:space="preserve">.  However, the downward trend in the number of annual new permit applications and revisions </w:t>
      </w:r>
      <w:r w:rsidR="00EB7D8E">
        <w:rPr>
          <w:rFonts w:ascii="Times New Roman" w:hAnsi="Times New Roman"/>
          <w:sz w:val="24"/>
        </w:rPr>
        <w:t xml:space="preserve">has </w:t>
      </w:r>
      <w:r w:rsidRPr="00034ECA">
        <w:rPr>
          <w:rFonts w:ascii="Times New Roman" w:hAnsi="Times New Roman"/>
          <w:sz w:val="24"/>
        </w:rPr>
        <w:t>continue</w:t>
      </w:r>
      <w:r w:rsidR="00A37788">
        <w:rPr>
          <w:rFonts w:ascii="Times New Roman" w:hAnsi="Times New Roman"/>
          <w:sz w:val="24"/>
        </w:rPr>
        <w:t>d</w:t>
      </w:r>
      <w:r w:rsidRPr="00034ECA">
        <w:rPr>
          <w:rFonts w:ascii="Times New Roman" w:hAnsi="Times New Roman"/>
          <w:sz w:val="24"/>
        </w:rPr>
        <w:t xml:space="preserve">. </w:t>
      </w:r>
      <w:r w:rsidR="00EB7D8E">
        <w:rPr>
          <w:rFonts w:ascii="Times New Roman" w:hAnsi="Times New Roman"/>
          <w:sz w:val="24"/>
        </w:rPr>
        <w:t xml:space="preserve"> </w:t>
      </w:r>
      <w:bookmarkStart w:id="0" w:name="_Hlk78550508"/>
      <w:r w:rsidR="00517437">
        <w:rPr>
          <w:rFonts w:ascii="Times New Roman" w:hAnsi="Times New Roman"/>
          <w:sz w:val="24"/>
        </w:rPr>
        <w:t>T</w:t>
      </w:r>
      <w:r w:rsidR="007C69F7">
        <w:rPr>
          <w:rFonts w:ascii="Times New Roman" w:hAnsi="Times New Roman"/>
          <w:sz w:val="24"/>
        </w:rPr>
        <w:t>he number of applica</w:t>
      </w:r>
      <w:r w:rsidR="00752B5F">
        <w:rPr>
          <w:rFonts w:ascii="Times New Roman" w:hAnsi="Times New Roman"/>
          <w:sz w:val="24"/>
        </w:rPr>
        <w:t>tions</w:t>
      </w:r>
      <w:r w:rsidR="007C69F7">
        <w:rPr>
          <w:rFonts w:ascii="Times New Roman" w:hAnsi="Times New Roman"/>
          <w:sz w:val="24"/>
        </w:rPr>
        <w:t xml:space="preserve"> is </w:t>
      </w:r>
      <w:r w:rsidR="00752B5F">
        <w:rPr>
          <w:rFonts w:ascii="Times New Roman" w:hAnsi="Times New Roman"/>
          <w:sz w:val="24"/>
        </w:rPr>
        <w:t xml:space="preserve">reduced by 25 and now </w:t>
      </w:r>
      <w:r w:rsidR="007C69F7">
        <w:rPr>
          <w:rFonts w:ascii="Times New Roman" w:hAnsi="Times New Roman"/>
          <w:sz w:val="24"/>
        </w:rPr>
        <w:t xml:space="preserve">estimated to </w:t>
      </w:r>
      <w:r w:rsidRPr="00944F62" w:rsidR="007C69F7">
        <w:rPr>
          <w:rFonts w:ascii="Times New Roman" w:hAnsi="Times New Roman"/>
          <w:sz w:val="24"/>
        </w:rPr>
        <w:t xml:space="preserve">be </w:t>
      </w:r>
      <w:r w:rsidR="007C69F7">
        <w:rPr>
          <w:rFonts w:ascii="Times New Roman" w:hAnsi="Times New Roman"/>
          <w:sz w:val="24"/>
        </w:rPr>
        <w:t>1</w:t>
      </w:r>
      <w:r w:rsidR="00C471F9">
        <w:rPr>
          <w:rFonts w:ascii="Times New Roman" w:hAnsi="Times New Roman"/>
          <w:sz w:val="24"/>
        </w:rPr>
        <w:t>00</w:t>
      </w:r>
      <w:r w:rsidR="007C69F7">
        <w:rPr>
          <w:rFonts w:ascii="Times New Roman" w:hAnsi="Times New Roman"/>
          <w:sz w:val="24"/>
        </w:rPr>
        <w:t xml:space="preserve"> (</w:t>
      </w:r>
      <w:r w:rsidR="00800E30">
        <w:rPr>
          <w:rFonts w:ascii="Times New Roman" w:hAnsi="Times New Roman"/>
          <w:sz w:val="24"/>
        </w:rPr>
        <w:t>44</w:t>
      </w:r>
      <w:r w:rsidR="007C69F7">
        <w:rPr>
          <w:rFonts w:ascii="Times New Roman" w:hAnsi="Times New Roman"/>
          <w:sz w:val="24"/>
        </w:rPr>
        <w:t xml:space="preserve"> new permits + </w:t>
      </w:r>
      <w:r w:rsidR="00800E30">
        <w:rPr>
          <w:rFonts w:ascii="Times New Roman" w:hAnsi="Times New Roman"/>
          <w:sz w:val="24"/>
        </w:rPr>
        <w:t>56</w:t>
      </w:r>
      <w:r w:rsidR="007C69F7">
        <w:rPr>
          <w:rFonts w:ascii="Times New Roman" w:hAnsi="Times New Roman"/>
          <w:sz w:val="24"/>
        </w:rPr>
        <w:t xml:space="preserve"> significant revisions)</w:t>
      </w:r>
      <w:r w:rsidR="00752B5F">
        <w:rPr>
          <w:rFonts w:ascii="Times New Roman" w:hAnsi="Times New Roman"/>
          <w:sz w:val="24"/>
        </w:rPr>
        <w:t>.</w:t>
      </w:r>
      <w:r w:rsidR="00420519">
        <w:rPr>
          <w:rFonts w:ascii="Times New Roman" w:hAnsi="Times New Roman"/>
          <w:sz w:val="24"/>
        </w:rPr>
        <w:t xml:space="preserve"> </w:t>
      </w:r>
      <w:r w:rsidR="008E3FFA">
        <w:rPr>
          <w:rFonts w:ascii="Times New Roman" w:hAnsi="Times New Roman"/>
          <w:sz w:val="24"/>
        </w:rPr>
        <w:t xml:space="preserve"> Of permit applications </w:t>
      </w:r>
      <w:r w:rsidR="00800E30">
        <w:rPr>
          <w:rFonts w:ascii="Times New Roman" w:hAnsi="Times New Roman"/>
          <w:sz w:val="24"/>
        </w:rPr>
        <w:t>94</w:t>
      </w:r>
      <w:r w:rsidR="007C69F7">
        <w:rPr>
          <w:rFonts w:ascii="Times New Roman" w:hAnsi="Times New Roman"/>
          <w:sz w:val="24"/>
        </w:rPr>
        <w:t xml:space="preserve"> </w:t>
      </w:r>
      <w:r w:rsidR="00650CA2">
        <w:rPr>
          <w:rFonts w:ascii="Times New Roman" w:hAnsi="Times New Roman"/>
          <w:sz w:val="24"/>
        </w:rPr>
        <w:t xml:space="preserve">are </w:t>
      </w:r>
      <w:r w:rsidR="008E3FFA">
        <w:rPr>
          <w:rFonts w:ascii="Times New Roman" w:hAnsi="Times New Roman"/>
          <w:sz w:val="24"/>
        </w:rPr>
        <w:t xml:space="preserve">expected to be </w:t>
      </w:r>
      <w:r w:rsidR="00420519">
        <w:rPr>
          <w:rFonts w:ascii="Times New Roman" w:hAnsi="Times New Roman"/>
          <w:sz w:val="24"/>
        </w:rPr>
        <w:t xml:space="preserve">processed </w:t>
      </w:r>
      <w:r w:rsidR="007C69F7">
        <w:rPr>
          <w:rFonts w:ascii="Times New Roman" w:hAnsi="Times New Roman"/>
          <w:sz w:val="24"/>
        </w:rPr>
        <w:t>by</w:t>
      </w:r>
      <w:r w:rsidR="00BC4B96">
        <w:rPr>
          <w:rFonts w:ascii="Times New Roman" w:hAnsi="Times New Roman"/>
          <w:sz w:val="24"/>
        </w:rPr>
        <w:t xml:space="preserve"> </w:t>
      </w:r>
      <w:r w:rsidR="007C69F7">
        <w:rPr>
          <w:rFonts w:ascii="Times New Roman" w:hAnsi="Times New Roman"/>
          <w:sz w:val="24"/>
        </w:rPr>
        <w:t xml:space="preserve">the </w:t>
      </w:r>
      <w:r w:rsidR="00420519">
        <w:rPr>
          <w:rFonts w:ascii="Times New Roman" w:hAnsi="Times New Roman"/>
          <w:sz w:val="24"/>
        </w:rPr>
        <w:t>State Regulatory Authorities</w:t>
      </w:r>
      <w:r w:rsidR="00BC4B96">
        <w:rPr>
          <w:rFonts w:ascii="Times New Roman" w:hAnsi="Times New Roman"/>
          <w:sz w:val="24"/>
        </w:rPr>
        <w:t xml:space="preserve"> </w:t>
      </w:r>
      <w:r w:rsidR="00420519">
        <w:rPr>
          <w:rFonts w:ascii="Times New Roman" w:hAnsi="Times New Roman"/>
          <w:sz w:val="24"/>
        </w:rPr>
        <w:t>(SRAs)</w:t>
      </w:r>
      <w:r w:rsidR="007C69F7">
        <w:rPr>
          <w:rFonts w:ascii="Times New Roman" w:hAnsi="Times New Roman"/>
          <w:sz w:val="24"/>
        </w:rPr>
        <w:t xml:space="preserve">, and the remaining </w:t>
      </w:r>
      <w:r w:rsidR="00800E30">
        <w:rPr>
          <w:rFonts w:ascii="Times New Roman" w:hAnsi="Times New Roman"/>
          <w:sz w:val="24"/>
        </w:rPr>
        <w:t>6</w:t>
      </w:r>
      <w:r w:rsidR="007C69F7">
        <w:rPr>
          <w:rFonts w:ascii="Times New Roman" w:hAnsi="Times New Roman"/>
          <w:sz w:val="24"/>
        </w:rPr>
        <w:t xml:space="preserve"> </w:t>
      </w:r>
      <w:r w:rsidR="008E3FFA">
        <w:rPr>
          <w:rFonts w:ascii="Times New Roman" w:hAnsi="Times New Roman"/>
          <w:sz w:val="24"/>
        </w:rPr>
        <w:t xml:space="preserve">processed by </w:t>
      </w:r>
      <w:r w:rsidR="007C69F7">
        <w:rPr>
          <w:rFonts w:ascii="Times New Roman" w:hAnsi="Times New Roman"/>
          <w:sz w:val="24"/>
        </w:rPr>
        <w:t xml:space="preserve">OSMRE </w:t>
      </w:r>
      <w:r w:rsidR="008E3FFA">
        <w:rPr>
          <w:rFonts w:ascii="Times New Roman" w:hAnsi="Times New Roman"/>
          <w:sz w:val="24"/>
        </w:rPr>
        <w:t xml:space="preserve">as </w:t>
      </w:r>
      <w:r w:rsidR="007C69F7">
        <w:rPr>
          <w:rFonts w:ascii="Times New Roman" w:hAnsi="Times New Roman"/>
          <w:sz w:val="24"/>
        </w:rPr>
        <w:t xml:space="preserve">the regulatory authority.  </w:t>
      </w:r>
      <w:r w:rsidR="00420519">
        <w:rPr>
          <w:rFonts w:ascii="Times New Roman" w:hAnsi="Times New Roman"/>
          <w:sz w:val="24"/>
        </w:rPr>
        <w:t xml:space="preserve">Total responses are reduced from </w:t>
      </w:r>
      <w:r w:rsidR="00D6031F">
        <w:rPr>
          <w:rFonts w:ascii="Times New Roman" w:hAnsi="Times New Roman"/>
          <w:sz w:val="24"/>
        </w:rPr>
        <w:t>1,</w:t>
      </w:r>
      <w:r w:rsidR="00800E30">
        <w:rPr>
          <w:rFonts w:ascii="Times New Roman" w:hAnsi="Times New Roman"/>
          <w:sz w:val="24"/>
        </w:rPr>
        <w:t>225</w:t>
      </w:r>
      <w:r w:rsidR="00D6031F">
        <w:rPr>
          <w:rFonts w:ascii="Times New Roman" w:hAnsi="Times New Roman"/>
          <w:sz w:val="24"/>
        </w:rPr>
        <w:t xml:space="preserve"> to </w:t>
      </w:r>
      <w:r w:rsidR="00800E30">
        <w:rPr>
          <w:rFonts w:ascii="Times New Roman" w:hAnsi="Times New Roman"/>
          <w:sz w:val="24"/>
        </w:rPr>
        <w:t>970</w:t>
      </w:r>
      <w:r w:rsidR="00D6031F">
        <w:rPr>
          <w:rFonts w:ascii="Times New Roman" w:hAnsi="Times New Roman"/>
          <w:sz w:val="24"/>
        </w:rPr>
        <w:t xml:space="preserve">. </w:t>
      </w:r>
      <w:r w:rsidR="00EB7D8E">
        <w:rPr>
          <w:rFonts w:ascii="Times New Roman" w:hAnsi="Times New Roman"/>
          <w:sz w:val="24"/>
        </w:rPr>
        <w:t>Consequently, t</w:t>
      </w:r>
      <w:r w:rsidRPr="00D50B09">
        <w:rPr>
          <w:rFonts w:ascii="Times New Roman" w:hAnsi="Times New Roman"/>
          <w:color w:val="000000" w:themeColor="text1"/>
          <w:sz w:val="24"/>
        </w:rPr>
        <w:t xml:space="preserve">his submission requests a decrease of </w:t>
      </w:r>
      <w:r w:rsidR="00800E30">
        <w:rPr>
          <w:rFonts w:ascii="Times New Roman" w:hAnsi="Times New Roman"/>
          <w:color w:val="000000" w:themeColor="text1"/>
          <w:sz w:val="24"/>
        </w:rPr>
        <w:t>22</w:t>
      </w:r>
      <w:r w:rsidRPr="00D50B09">
        <w:rPr>
          <w:rFonts w:ascii="Times New Roman" w:hAnsi="Times New Roman"/>
          <w:color w:val="000000" w:themeColor="text1"/>
          <w:sz w:val="24"/>
        </w:rPr>
        <w:t>,</w:t>
      </w:r>
      <w:r w:rsidR="00800E30">
        <w:rPr>
          <w:rFonts w:ascii="Times New Roman" w:hAnsi="Times New Roman"/>
          <w:color w:val="000000" w:themeColor="text1"/>
          <w:sz w:val="24"/>
        </w:rPr>
        <w:t>079</w:t>
      </w:r>
      <w:r w:rsidRPr="00D50B09">
        <w:rPr>
          <w:rFonts w:ascii="Times New Roman" w:hAnsi="Times New Roman"/>
          <w:color w:val="000000" w:themeColor="text1"/>
          <w:sz w:val="24"/>
        </w:rPr>
        <w:t xml:space="preserve"> hours from the currently approved collection burden of 1</w:t>
      </w:r>
      <w:r w:rsidR="00800E30">
        <w:rPr>
          <w:rFonts w:ascii="Times New Roman" w:hAnsi="Times New Roman"/>
          <w:color w:val="000000" w:themeColor="text1"/>
          <w:sz w:val="24"/>
        </w:rPr>
        <w:t>08</w:t>
      </w:r>
      <w:r w:rsidRPr="00D50B09">
        <w:rPr>
          <w:rFonts w:ascii="Times New Roman" w:hAnsi="Times New Roman"/>
          <w:color w:val="000000" w:themeColor="text1"/>
          <w:sz w:val="24"/>
        </w:rPr>
        <w:t>,</w:t>
      </w:r>
      <w:r w:rsidR="00800E30">
        <w:rPr>
          <w:rFonts w:ascii="Times New Roman" w:hAnsi="Times New Roman"/>
          <w:color w:val="000000" w:themeColor="text1"/>
          <w:sz w:val="24"/>
        </w:rPr>
        <w:t>855</w:t>
      </w:r>
      <w:r w:rsidRPr="00D50B09">
        <w:rPr>
          <w:rFonts w:ascii="Times New Roman" w:hAnsi="Times New Roman"/>
          <w:color w:val="000000" w:themeColor="text1"/>
          <w:sz w:val="24"/>
        </w:rPr>
        <w:t xml:space="preserve"> hours to </w:t>
      </w:r>
      <w:r w:rsidR="00800E30">
        <w:rPr>
          <w:rFonts w:ascii="Times New Roman" w:hAnsi="Times New Roman"/>
          <w:color w:val="000000" w:themeColor="text1"/>
          <w:sz w:val="24"/>
        </w:rPr>
        <w:t>86</w:t>
      </w:r>
      <w:r w:rsidRPr="00EB7D8E">
        <w:rPr>
          <w:rFonts w:ascii="Times New Roman" w:hAnsi="Times New Roman"/>
          <w:color w:val="000000" w:themeColor="text1"/>
          <w:sz w:val="24"/>
        </w:rPr>
        <w:t>,</w:t>
      </w:r>
      <w:r w:rsidR="00800E30">
        <w:rPr>
          <w:rFonts w:ascii="Times New Roman" w:hAnsi="Times New Roman"/>
          <w:color w:val="000000" w:themeColor="text1"/>
          <w:sz w:val="24"/>
        </w:rPr>
        <w:t>776</w:t>
      </w:r>
      <w:r w:rsidRPr="00EB7D8E">
        <w:rPr>
          <w:rFonts w:ascii="Times New Roman" w:hAnsi="Times New Roman"/>
          <w:color w:val="000000" w:themeColor="text1"/>
          <w:sz w:val="24"/>
        </w:rPr>
        <w:t xml:space="preserve"> hours.</w:t>
      </w:r>
    </w:p>
    <w:p w:rsidR="00E72D76" w:rsidP="00E72D76" w14:paraId="5CACE423" w14:textId="77777777">
      <w:pPr>
        <w:rPr>
          <w:rFonts w:ascii="Times New Roman" w:hAnsi="Times New Roman"/>
          <w:sz w:val="24"/>
        </w:rPr>
      </w:pPr>
    </w:p>
    <w:bookmarkEnd w:id="0"/>
    <w:p w:rsidR="00A57FED" w:rsidRPr="00A57FED" w:rsidP="00A57FED" w14:paraId="7AEE355D" w14:textId="46B679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r>
        <w:rPr>
          <w:rFonts w:ascii="Times New Roman" w:hAnsi="Times New Roman"/>
          <w:b/>
          <w:bCs/>
          <w:sz w:val="24"/>
        </w:rPr>
        <w:br/>
      </w:r>
      <w:r>
        <w:rPr>
          <w:rFonts w:ascii="Times New Roman" w:hAnsi="Times New Roman"/>
          <w:b/>
          <w:bCs/>
          <w:sz w:val="24"/>
        </w:rPr>
        <w:br/>
      </w:r>
      <w:r w:rsidRPr="00A57FED">
        <w:rPr>
          <w:rFonts w:ascii="Times New Roman" w:hAnsi="Times New Roman"/>
          <w:b/>
          <w:bCs/>
          <w:sz w:val="24"/>
        </w:rPr>
        <w:t>General Instructions</w:t>
      </w:r>
      <w:r w:rsidRPr="00A57FED">
        <w:rPr>
          <w:rFonts w:ascii="Times New Roman" w:hAnsi="Times New Roman"/>
          <w:sz w:val="24"/>
        </w:rPr>
        <w:t xml:space="preserve"> </w:t>
      </w:r>
    </w:p>
    <w:p w:rsidR="00A57FED" w:rsidRPr="00A57FED" w:rsidP="00A57FED" w14:paraId="1F8233C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rsidR="00A57FED" w:rsidRPr="00A57FED" w:rsidP="00A57FED" w14:paraId="610886C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r w:rsidRPr="00A57FED">
        <w:rPr>
          <w:rFonts w:ascii="Times New Roman" w:hAnsi="Times New Roman"/>
          <w:sz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A57FED" w:rsidRPr="00A57FED" w:rsidP="00A57FED" w14:paraId="1F281A7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rsidR="00A57FED" w:rsidRPr="00A57FED" w:rsidP="00A57FED" w14:paraId="608C70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r w:rsidRPr="00A57FED">
        <w:rPr>
          <w:rFonts w:ascii="Times New Roman" w:hAnsi="Times New Roman"/>
          <w:b/>
          <w:bCs/>
          <w:sz w:val="24"/>
        </w:rPr>
        <w:t>Specific Instructions</w:t>
      </w:r>
    </w:p>
    <w:p w:rsidR="00A57FED" w:rsidRPr="00A57FED" w:rsidP="00A57FED" w14:paraId="06B338E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rsidR="00A57FED" w:rsidRPr="004C02E6" w:rsidP="00A57FED" w14:paraId="249AC6C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rPr>
      </w:pPr>
      <w:r w:rsidRPr="004C02E6">
        <w:rPr>
          <w:rFonts w:ascii="Times New Roman" w:hAnsi="Times New Roman"/>
          <w:b/>
          <w:bCs/>
          <w:sz w:val="24"/>
        </w:rPr>
        <w:t>Justification</w:t>
      </w:r>
    </w:p>
    <w:p w:rsidR="00A57FED" w:rsidRPr="004C02E6" w:rsidP="00A57FED" w14:paraId="60C826A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rsidR="00371BF2" w:rsidRPr="004C02E6" w:rsidP="00371BF2" w14:paraId="4AE58F68" w14:textId="66F61347">
      <w:pPr>
        <w:tabs>
          <w:tab w:val="left" w:pos="-1440"/>
        </w:tabs>
        <w:ind w:left="720" w:hanging="720"/>
        <w:rPr>
          <w:rFonts w:ascii="Times New Roman" w:hAnsi="Times New Roman"/>
          <w:sz w:val="24"/>
        </w:rPr>
      </w:pPr>
      <w:r w:rsidRPr="004C02E6">
        <w:rPr>
          <w:rFonts w:ascii="Times New Roman" w:hAnsi="Times New Roman"/>
          <w:b/>
          <w:i/>
          <w:sz w:val="24"/>
        </w:rPr>
        <w:t>1.</w:t>
      </w:r>
      <w:r w:rsidRPr="004C02E6">
        <w:rPr>
          <w:rFonts w:ascii="Times New Roman" w:hAnsi="Times New Roman"/>
          <w:b/>
          <w:i/>
          <w:sz w:val="24"/>
        </w:rPr>
        <w:tab/>
        <w:t>Explain the circumstances that make the collection of information necessary.  Identify any legal or administrative requirements that necessitate the collection.</w:t>
      </w:r>
      <w:r>
        <w:rPr>
          <w:rFonts w:ascii="Times New Roman" w:hAnsi="Times New Roman"/>
          <w:b/>
          <w:i/>
          <w:sz w:val="24"/>
        </w:rPr>
        <w:br/>
      </w:r>
      <w:r>
        <w:rPr>
          <w:rFonts w:ascii="Times New Roman" w:hAnsi="Times New Roman"/>
          <w:b/>
          <w:i/>
          <w:sz w:val="24"/>
        </w:rPr>
        <w:br/>
      </w:r>
      <w:r w:rsidRPr="004C02E6">
        <w:rPr>
          <w:rFonts w:ascii="Times New Roman" w:hAnsi="Times New Roman"/>
          <w:sz w:val="24"/>
        </w:rPr>
        <w:t>Sections 507 and 508 of the Surface Mining Control and Reclamation Act of 1977 (Act)</w:t>
      </w:r>
      <w:r w:rsidR="00121A72">
        <w:rPr>
          <w:rFonts w:ascii="Times New Roman" w:hAnsi="Times New Roman"/>
          <w:sz w:val="24"/>
        </w:rPr>
        <w:t>, 30 U.S.C. 1201 et seq</w:t>
      </w:r>
      <w:r w:rsidR="00017EFA">
        <w:rPr>
          <w:rFonts w:ascii="Times New Roman" w:hAnsi="Times New Roman"/>
          <w:sz w:val="24"/>
        </w:rPr>
        <w:t>.,</w:t>
      </w:r>
      <w:r w:rsidRPr="004C02E6">
        <w:rPr>
          <w:rFonts w:ascii="Times New Roman" w:hAnsi="Times New Roman"/>
          <w:sz w:val="24"/>
        </w:rPr>
        <w:t>require that the permit application contain adequate descriptions of the premining environmental resources and cultural, historic, and archeological values existing within the permit area and adjacent areas.  The information required of an applicant is needed by the regulatory authority to determine the premining condition of the permit area and adjacent areas so that these resources and values may be protected from any adverse effects of coal mining.</w:t>
      </w:r>
    </w:p>
    <w:p w:rsidR="00A57FED" w:rsidRPr="004C02E6" w:rsidP="00034ECA" w14:paraId="79804350" w14:textId="205FBB21">
      <w:pPr>
        <w:tabs>
          <w:tab w:val="left" w:pos="-1440"/>
        </w:tabs>
        <w:ind w:left="720" w:hanging="720"/>
        <w:rPr>
          <w:rFonts w:ascii="Times New Roman" w:hAnsi="Times New Roman"/>
          <w:b/>
          <w:i/>
          <w:sz w:val="24"/>
        </w:rPr>
      </w:pPr>
      <w:r>
        <w:rPr>
          <w:rFonts w:ascii="Times New Roman" w:hAnsi="Times New Roman"/>
          <w:b/>
          <w:i/>
          <w:sz w:val="24"/>
        </w:rPr>
        <w:br/>
      </w:r>
      <w:r w:rsidRPr="004C02E6" w:rsidR="00C32F2B">
        <w:rPr>
          <w:rFonts w:ascii="Times New Roman" w:hAnsi="Times New Roman"/>
          <w:sz w:val="24"/>
        </w:rPr>
        <w:t>Section 507(b)(12) of the Act, requires the permit application to contain a statement of climatological factors peculiar to the locality of the land to be affected, including the average seasonal precipitation, the average direction and velocity of prevailing winds, and the seasonal temperature ranges, if requested, by the regulatory authority.</w:t>
      </w:r>
      <w:r w:rsidR="00505F55">
        <w:rPr>
          <w:rFonts w:ascii="Times New Roman" w:hAnsi="Times New Roman"/>
          <w:sz w:val="24"/>
        </w:rPr>
        <w:br/>
      </w:r>
      <w:r w:rsidR="00505F55">
        <w:rPr>
          <w:rFonts w:ascii="Times New Roman" w:hAnsi="Times New Roman"/>
          <w:sz w:val="24"/>
        </w:rPr>
        <w:br/>
      </w:r>
      <w:r w:rsidRPr="004C02E6" w:rsidR="00505F55">
        <w:rPr>
          <w:rFonts w:ascii="Times New Roman" w:hAnsi="Times New Roman"/>
          <w:sz w:val="24"/>
        </w:rPr>
        <w:t>30 CFR 779/783.19, as required by sections 507(b) and 508(a)(2)(B) of the Act, states that, if required by the regulatory authority, the permit application shall contain a map depicting existing vegetative types and a description of the plant communities within the proposed permit area and any reference areas if requested by the regulatory authority.</w:t>
      </w:r>
      <w:r w:rsidR="001644F0">
        <w:rPr>
          <w:rFonts w:ascii="Times New Roman" w:hAnsi="Times New Roman"/>
          <w:sz w:val="24"/>
        </w:rPr>
        <w:br/>
      </w:r>
      <w:r w:rsidR="00517437">
        <w:rPr>
          <w:rFonts w:ascii="Times New Roman" w:hAnsi="Times New Roman"/>
          <w:sz w:val="24"/>
        </w:rPr>
        <w:t xml:space="preserve">In addition </w:t>
      </w:r>
      <w:r w:rsidRPr="001644F0" w:rsidR="001644F0">
        <w:rPr>
          <w:rFonts w:ascii="Times New Roman" w:hAnsi="Times New Roman"/>
          <w:sz w:val="24"/>
        </w:rPr>
        <w:t>Section 507(b) of the Act, requires that the permit application include maps locating all boundaries, structures, roads, parks, historical sites, cemeteries, or Indian burial grounds in the permit area and the affected area.</w:t>
      </w:r>
      <w:r w:rsidR="00A85282">
        <w:rPr>
          <w:rFonts w:ascii="Times New Roman" w:hAnsi="Times New Roman"/>
          <w:sz w:val="24"/>
        </w:rPr>
        <w:br/>
      </w:r>
    </w:p>
    <w:p w:rsidR="00A57FED" w:rsidRPr="004C02E6" w:rsidP="00A57FED" w14:paraId="48A3420F"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p>
    <w:p w:rsidR="001D5F58" w:rsidRPr="004C02E6" w:rsidP="001D5F58" w14:paraId="30331F0E" w14:textId="139AB00A">
      <w:pPr>
        <w:tabs>
          <w:tab w:val="left" w:pos="-1440"/>
        </w:tabs>
        <w:ind w:left="720" w:hanging="720"/>
        <w:rPr>
          <w:rFonts w:ascii="Times New Roman" w:hAnsi="Times New Roman"/>
          <w:sz w:val="24"/>
        </w:rPr>
      </w:pPr>
      <w:r w:rsidRPr="004C02E6">
        <w:rPr>
          <w:rFonts w:ascii="Times New Roman" w:hAnsi="Times New Roman"/>
          <w:b/>
          <w:i/>
          <w:sz w:val="24"/>
        </w:rPr>
        <w:t>2.</w:t>
      </w:r>
      <w:r w:rsidRPr="004C02E6">
        <w:rPr>
          <w:rFonts w:ascii="Times New Roman" w:hAnsi="Times New Roman"/>
          <w:b/>
          <w:i/>
          <w:sz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Pr>
          <w:rFonts w:ascii="Times New Roman" w:hAnsi="Times New Roman"/>
          <w:b/>
          <w:i/>
          <w:sz w:val="24"/>
        </w:rPr>
        <w:br/>
      </w:r>
      <w:r>
        <w:rPr>
          <w:rFonts w:ascii="Times New Roman" w:hAnsi="Times New Roman"/>
          <w:b/>
          <w:i/>
          <w:sz w:val="24"/>
        </w:rPr>
        <w:br/>
      </w:r>
      <w:r w:rsidRPr="004C02E6" w:rsidR="005E0113">
        <w:rPr>
          <w:rFonts w:ascii="Times New Roman" w:hAnsi="Times New Roman"/>
          <w:b/>
          <w:sz w:val="24"/>
        </w:rPr>
        <w:t>Section</w:t>
      </w:r>
      <w:r w:rsidR="005E0113">
        <w:rPr>
          <w:rFonts w:ascii="Times New Roman" w:hAnsi="Times New Roman"/>
          <w:b/>
          <w:sz w:val="24"/>
        </w:rPr>
        <w:t>s</w:t>
      </w:r>
      <w:r w:rsidRPr="004C02E6" w:rsidR="005E0113">
        <w:rPr>
          <w:rFonts w:ascii="Times New Roman" w:hAnsi="Times New Roman"/>
          <w:b/>
          <w:sz w:val="24"/>
        </w:rPr>
        <w:t xml:space="preserve"> 779/783.11 &amp; .12:</w:t>
      </w:r>
      <w:r w:rsidR="005E0113">
        <w:rPr>
          <w:rFonts w:ascii="Times New Roman" w:hAnsi="Times New Roman"/>
          <w:b/>
          <w:sz w:val="24"/>
        </w:rPr>
        <w:t xml:space="preserve">  </w:t>
      </w:r>
      <w:r w:rsidR="005E0113">
        <w:rPr>
          <w:rFonts w:ascii="Times New Roman" w:hAnsi="Times New Roman"/>
          <w:b/>
          <w:sz w:val="24"/>
        </w:rPr>
        <w:br/>
      </w:r>
      <w:r w:rsidRPr="004C02E6">
        <w:rPr>
          <w:rFonts w:ascii="Times New Roman" w:hAnsi="Times New Roman"/>
          <w:sz w:val="24"/>
        </w:rPr>
        <w:t xml:space="preserve">Section 779/783.11 requires a mining permit application to contain a description of the existing premining environmental resources within the proposed permit area and adjacent areas that may be affected or impacted by the proposed mining activities.  </w:t>
      </w:r>
    </w:p>
    <w:p w:rsidR="001D5F58" w:rsidRPr="004C02E6" w:rsidP="001D5F58" w14:paraId="343B1914" w14:textId="77777777">
      <w:pPr>
        <w:rPr>
          <w:rFonts w:ascii="Times New Roman" w:hAnsi="Times New Roman"/>
          <w:sz w:val="24"/>
        </w:rPr>
      </w:pPr>
    </w:p>
    <w:p w:rsidR="001D5F58" w:rsidRPr="004C02E6" w:rsidP="001D5F58" w14:paraId="5A3DE88F" w14:textId="77777777">
      <w:pPr>
        <w:ind w:left="720"/>
        <w:rPr>
          <w:rFonts w:ascii="Times New Roman" w:hAnsi="Times New Roman"/>
          <w:sz w:val="24"/>
        </w:rPr>
      </w:pPr>
      <w:r w:rsidRPr="004C02E6">
        <w:rPr>
          <w:rFonts w:ascii="Times New Roman" w:hAnsi="Times New Roman"/>
          <w:sz w:val="24"/>
        </w:rPr>
        <w:t xml:space="preserve">Section 779/783.12 establishes permitting requirements that describe the coal mining operation, its size, and the sequence and timing of the operation.  It further requires the identification of cultural, historic and archeological values that may be lost to man.  This material allows for the specific identification of operational changes and the development of remedial measures.  Section 779/783.12 requires that each permit application describe and identify the following:  </w:t>
      </w:r>
    </w:p>
    <w:p w:rsidR="001D5F58" w:rsidRPr="004C02E6" w:rsidP="001D5F58" w14:paraId="140F9D0E" w14:textId="77777777">
      <w:pPr>
        <w:ind w:left="1440"/>
        <w:rPr>
          <w:rFonts w:ascii="Times New Roman" w:hAnsi="Times New Roman"/>
          <w:sz w:val="24"/>
        </w:rPr>
      </w:pPr>
    </w:p>
    <w:p w:rsidR="001D5F58" w:rsidRPr="004C02E6" w:rsidP="001D5F58" w14:paraId="3608D32A" w14:textId="77777777">
      <w:pPr>
        <w:ind w:left="720"/>
        <w:rPr>
          <w:rFonts w:ascii="Times New Roman" w:hAnsi="Times New Roman"/>
          <w:sz w:val="24"/>
        </w:rPr>
      </w:pPr>
      <w:r w:rsidRPr="004C02E6">
        <w:rPr>
          <w:rFonts w:ascii="Times New Roman" w:hAnsi="Times New Roman"/>
          <w:sz w:val="24"/>
        </w:rPr>
        <w:t xml:space="preserve">(a)--The lands subject to surface coal mining operations over the estimated life of those </w:t>
      </w:r>
      <w:r w:rsidRPr="004C02E6">
        <w:rPr>
          <w:rFonts w:ascii="Times New Roman" w:hAnsi="Times New Roman"/>
          <w:sz w:val="24"/>
        </w:rPr>
        <w:t>operations and the size, location and timing of each phase of the operation.  This information is necessary to determine the impact of the coal mining operation, its physical boundaries and reclamation and operational impacts over the estimated life of the coal mining operation.  This allows for the identification of critical environmental impacts, physical impacts, the degree and timing of specific impacts and the identification of operational impacts.  It allows the operator, the regulatory authority and the public to identify potential adverse impacts to human safety, health and welfare as well as to the environment.  It provides the necessary data to identify, over time, cumulative impacts and allows for the design of necessary remedial actions and operational changes.</w:t>
      </w:r>
    </w:p>
    <w:p w:rsidR="001D5F58" w:rsidRPr="004C02E6" w:rsidP="001D5F58" w14:paraId="0B99CB20" w14:textId="77777777">
      <w:pPr>
        <w:rPr>
          <w:rFonts w:ascii="Times New Roman" w:hAnsi="Times New Roman"/>
          <w:sz w:val="24"/>
        </w:rPr>
      </w:pPr>
    </w:p>
    <w:p w:rsidR="005A42AB" w14:paraId="512B6774" w14:textId="77777777">
      <w:pPr>
        <w:ind w:left="720"/>
        <w:rPr>
          <w:rFonts w:ascii="Times New Roman" w:hAnsi="Times New Roman"/>
          <w:sz w:val="24"/>
        </w:rPr>
      </w:pPr>
      <w:r w:rsidRPr="004C02E6">
        <w:rPr>
          <w:rFonts w:ascii="Times New Roman" w:hAnsi="Times New Roman"/>
          <w:sz w:val="24"/>
        </w:rPr>
        <w:t xml:space="preserve">(b) -- Identification of cultural, historic, and archeological data essential to identify, evaluate, and prevent impacts on retrievable national, regional, local and cultural resources.  This information is essential in preventing the loss of artifacts necessary to understand and study man's historic development.  Most of the information is a summary of existing data available at </w:t>
      </w:r>
      <w:r>
        <w:rPr>
          <w:rFonts w:ascii="Times New Roman" w:hAnsi="Times New Roman"/>
          <w:sz w:val="24"/>
        </w:rPr>
        <w:t>s</w:t>
      </w:r>
      <w:r w:rsidRPr="004C02E6">
        <w:rPr>
          <w:rFonts w:ascii="Times New Roman" w:hAnsi="Times New Roman"/>
          <w:sz w:val="24"/>
        </w:rPr>
        <w:t>tate and Federal agencies.  The archeological data not currently available can only be delivered through site-specific surveys.</w:t>
      </w:r>
      <w:r w:rsidR="00C94390">
        <w:rPr>
          <w:rFonts w:ascii="Times New Roman" w:hAnsi="Times New Roman"/>
          <w:sz w:val="24"/>
        </w:rPr>
        <w:br/>
      </w:r>
      <w:r w:rsidR="00C94390">
        <w:rPr>
          <w:rFonts w:ascii="Times New Roman" w:hAnsi="Times New Roman"/>
          <w:sz w:val="24"/>
        </w:rPr>
        <w:br/>
      </w:r>
      <w:r w:rsidRPr="004C02E6">
        <w:rPr>
          <w:rFonts w:ascii="Times New Roman" w:hAnsi="Times New Roman"/>
          <w:sz w:val="24"/>
        </w:rPr>
        <w:t>The Act requires the regulatory authority to determine that the mining operation will minimally impact environmental resources by ensuring that reclamation is possible and that the land can be restored to its former use or approved alternative use.  Without this information, an analysis of the permit, the impacts of the operation, needed reclamation and remedial measures, and operational modifications necessary to be in compliance with the Act would be impossible to discern.  In addition, the Secretary would not be able to comply with section 106 of the National Historic Preservation Act that requires that significant historic, cultural, and archeological resources be identified in an area proposed for mining so that these resources can be dealt with appropriately.</w:t>
      </w:r>
      <w:r w:rsidR="00C94390">
        <w:rPr>
          <w:rFonts w:ascii="Times New Roman" w:hAnsi="Times New Roman"/>
          <w:sz w:val="24"/>
        </w:rPr>
        <w:br/>
      </w:r>
      <w:r w:rsidR="00C94390">
        <w:rPr>
          <w:rFonts w:ascii="Times New Roman" w:hAnsi="Times New Roman"/>
          <w:sz w:val="24"/>
        </w:rPr>
        <w:br/>
      </w:r>
    </w:p>
    <w:p w:rsidR="005A42AB" w14:paraId="114B1A25" w14:textId="0936A6A8">
      <w:pPr>
        <w:ind w:left="720"/>
        <w:rPr>
          <w:rFonts w:ascii="Times New Roman" w:hAnsi="Times New Roman"/>
          <w:sz w:val="24"/>
        </w:rPr>
      </w:pPr>
      <w:r>
        <w:rPr>
          <w:rFonts w:ascii="Times New Roman" w:hAnsi="Times New Roman"/>
          <w:b/>
          <w:sz w:val="24"/>
        </w:rPr>
        <w:t>Section</w:t>
      </w:r>
      <w:r w:rsidRPr="004C02E6">
        <w:rPr>
          <w:rFonts w:ascii="Times New Roman" w:hAnsi="Times New Roman"/>
          <w:b/>
          <w:sz w:val="24"/>
        </w:rPr>
        <w:t xml:space="preserve"> 779/783.1</w:t>
      </w:r>
      <w:r>
        <w:rPr>
          <w:rFonts w:ascii="Times New Roman" w:hAnsi="Times New Roman"/>
          <w:b/>
          <w:sz w:val="24"/>
        </w:rPr>
        <w:t>8</w:t>
      </w:r>
      <w:r w:rsidRPr="004C02E6">
        <w:rPr>
          <w:rFonts w:ascii="Times New Roman" w:hAnsi="Times New Roman"/>
          <w:b/>
          <w:sz w:val="24"/>
        </w:rPr>
        <w:t>:</w:t>
      </w:r>
    </w:p>
    <w:p w:rsidR="00BB672D" w14:paraId="31A47D52" w14:textId="092CA88F">
      <w:pPr>
        <w:ind w:left="720"/>
        <w:rPr>
          <w:rFonts w:ascii="Times New Roman" w:hAnsi="Times New Roman"/>
          <w:b/>
          <w:sz w:val="24"/>
        </w:rPr>
      </w:pPr>
      <w:r>
        <w:rPr>
          <w:rFonts w:ascii="Times New Roman" w:hAnsi="Times New Roman"/>
          <w:sz w:val="24"/>
        </w:rPr>
        <w:br/>
      </w:r>
      <w:r w:rsidRPr="004C02E6">
        <w:rPr>
          <w:rFonts w:ascii="Times New Roman" w:hAnsi="Times New Roman"/>
          <w:sz w:val="24"/>
        </w:rPr>
        <w:t>Section 779/783.18, when requested by the SRA, requires that the application contain a statement of the climatological factors that are representative of the proposed permit area including:  average seasonal precipitation, average direction and velocity of prevailing winds, and seasonal temperature ranges.  The regulatory authority may also request additional data as deemed necessary to ensure compliance with the requirement of Subchapter G.  Although this information is not explicitly required by Federal regulations, SRAs routinely request this climatological information.</w:t>
      </w:r>
      <w:r w:rsidR="00F76773">
        <w:rPr>
          <w:rFonts w:ascii="Times New Roman" w:hAnsi="Times New Roman"/>
          <w:sz w:val="24"/>
        </w:rPr>
        <w:br/>
      </w:r>
      <w:r w:rsidR="00F76773">
        <w:rPr>
          <w:rFonts w:ascii="Times New Roman" w:hAnsi="Times New Roman"/>
          <w:sz w:val="24"/>
        </w:rPr>
        <w:br/>
      </w:r>
      <w:r w:rsidR="00F76773">
        <w:rPr>
          <w:rFonts w:ascii="Times New Roman" w:hAnsi="Times New Roman"/>
          <w:sz w:val="24"/>
        </w:rPr>
        <w:br/>
      </w:r>
      <w:r w:rsidRPr="004C02E6">
        <w:rPr>
          <w:rFonts w:ascii="Times New Roman" w:hAnsi="Times New Roman"/>
          <w:sz w:val="24"/>
        </w:rPr>
        <w:t xml:space="preserve">This information may be needed by the regulatory authority to determine whether the applicant will be able to comply with the performance standards of topsoil, roads, hydrologic balance, sedimentation ponds, disposal of excess spoil, coal waste, backfilling and grading, revegetation and postmining land use.  The operator's plan for controlling wind and water erosion, revegetation potential, sedimentation pond design, etc., is </w:t>
      </w:r>
      <w:r w:rsidRPr="004C02E6">
        <w:rPr>
          <w:rFonts w:ascii="Times New Roman" w:hAnsi="Times New Roman"/>
          <w:sz w:val="24"/>
        </w:rPr>
        <w:t>evaluated on the collected information.  In some cases the information may be obtained from the weather bureau.  If so, it would not be required of the permit applicant.  Failure to include this information would make it difficult for the regulatory authority to determine whether the operation could meet the performance standards of Subchapter K.</w:t>
      </w:r>
      <w:r w:rsidR="00F76773">
        <w:rPr>
          <w:rFonts w:ascii="Times New Roman" w:hAnsi="Times New Roman"/>
          <w:sz w:val="24"/>
        </w:rPr>
        <w:br/>
      </w:r>
    </w:p>
    <w:p w:rsidR="00F76773" w:rsidRPr="004C02E6" w:rsidP="00034ECA" w14:paraId="21FB69CE" w14:textId="2AF91B99">
      <w:pPr>
        <w:ind w:left="720"/>
        <w:rPr>
          <w:rFonts w:ascii="Times New Roman" w:hAnsi="Times New Roman"/>
          <w:sz w:val="24"/>
        </w:rPr>
      </w:pPr>
      <w:r w:rsidRPr="00BB672D">
        <w:rPr>
          <w:rFonts w:ascii="Times New Roman" w:hAnsi="Times New Roman"/>
          <w:b/>
          <w:sz w:val="24"/>
        </w:rPr>
        <w:t>Section 779/783.19:</w:t>
      </w:r>
      <w:r>
        <w:rPr>
          <w:rFonts w:ascii="Times New Roman" w:hAnsi="Times New Roman"/>
          <w:sz w:val="24"/>
        </w:rPr>
        <w:br/>
      </w:r>
      <w:r>
        <w:rPr>
          <w:rFonts w:ascii="Times New Roman" w:hAnsi="Times New Roman"/>
          <w:sz w:val="24"/>
        </w:rPr>
        <w:br/>
      </w:r>
      <w:r w:rsidRPr="004C02E6">
        <w:rPr>
          <w:rFonts w:ascii="Times New Roman" w:hAnsi="Times New Roman"/>
          <w:sz w:val="24"/>
        </w:rPr>
        <w:t>The use of the information or records required by each of the specific paragraphs of th</w:t>
      </w:r>
      <w:r>
        <w:rPr>
          <w:rFonts w:ascii="Times New Roman" w:hAnsi="Times New Roman"/>
          <w:sz w:val="24"/>
        </w:rPr>
        <w:t>is</w:t>
      </w:r>
      <w:r w:rsidRPr="004C02E6">
        <w:rPr>
          <w:rFonts w:ascii="Times New Roman" w:hAnsi="Times New Roman"/>
          <w:sz w:val="24"/>
        </w:rPr>
        <w:t xml:space="preserve"> section is as follows:</w:t>
      </w:r>
    </w:p>
    <w:p w:rsidR="00F76773" w:rsidRPr="004C02E6" w:rsidP="00F76773" w14:paraId="4516C8EB" w14:textId="77777777">
      <w:pPr>
        <w:rPr>
          <w:rFonts w:ascii="Times New Roman" w:hAnsi="Times New Roman"/>
          <w:sz w:val="24"/>
        </w:rPr>
      </w:pPr>
    </w:p>
    <w:p w:rsidR="00F76773" w:rsidRPr="004C02E6" w:rsidP="00F76773" w14:paraId="1626CB58" w14:textId="77777777">
      <w:pPr>
        <w:ind w:left="720"/>
        <w:rPr>
          <w:rFonts w:ascii="Times New Roman" w:hAnsi="Times New Roman"/>
          <w:sz w:val="24"/>
        </w:rPr>
      </w:pPr>
      <w:r w:rsidRPr="004C02E6">
        <w:rPr>
          <w:rFonts w:ascii="Times New Roman" w:hAnsi="Times New Roman"/>
          <w:sz w:val="24"/>
        </w:rPr>
        <w:t xml:space="preserve">Paragraph (a) </w:t>
      </w:r>
      <w:r>
        <w:rPr>
          <w:rFonts w:ascii="Times New Roman" w:hAnsi="Times New Roman"/>
          <w:sz w:val="24"/>
        </w:rPr>
        <w:t>–</w:t>
      </w:r>
      <w:r w:rsidRPr="004C02E6">
        <w:rPr>
          <w:rFonts w:ascii="Times New Roman" w:hAnsi="Times New Roman"/>
          <w:sz w:val="24"/>
        </w:rPr>
        <w:t xml:space="preserve"> Th</w:t>
      </w:r>
      <w:r>
        <w:rPr>
          <w:rFonts w:ascii="Times New Roman" w:hAnsi="Times New Roman"/>
          <w:sz w:val="24"/>
        </w:rPr>
        <w:t xml:space="preserve">is </w:t>
      </w:r>
      <w:r w:rsidRPr="004C02E6">
        <w:rPr>
          <w:rFonts w:ascii="Times New Roman" w:hAnsi="Times New Roman"/>
          <w:sz w:val="24"/>
        </w:rPr>
        <w:t>section require</w:t>
      </w:r>
      <w:r>
        <w:rPr>
          <w:rFonts w:ascii="Times New Roman" w:hAnsi="Times New Roman"/>
          <w:sz w:val="24"/>
        </w:rPr>
        <w:t>s</w:t>
      </w:r>
      <w:r w:rsidRPr="004C02E6">
        <w:rPr>
          <w:rFonts w:ascii="Times New Roman" w:hAnsi="Times New Roman"/>
          <w:sz w:val="24"/>
        </w:rPr>
        <w:t xml:space="preserve"> a map that delineates existing vegetative types and a description of plant communities.  The information is necessary to determine whether there exists endangered or threatened species, as well as long and short-term reduction of productivity and capability of the land involved.  Such data analysis and baseline information requirements may be necessary in developing a revegetation plan that meets the Act's requirements for reestablishment of a diverse, permanent, self-reproducing plant cover natural to the area, the restoration of normal plant succession, season and geographic diversity of permanent vegetation associated with the mine area or affected area.  The data establishes a means of documenting bond release standards and identifying critical habitats of other dependent biota.</w:t>
      </w:r>
    </w:p>
    <w:p w:rsidR="00F76773" w:rsidRPr="004C02E6" w:rsidP="00F76773" w14:paraId="6953BEFD" w14:textId="77777777">
      <w:pPr>
        <w:rPr>
          <w:rFonts w:ascii="Times New Roman" w:hAnsi="Times New Roman"/>
          <w:sz w:val="24"/>
        </w:rPr>
      </w:pPr>
    </w:p>
    <w:p w:rsidR="007B1DB3" w:rsidP="007B1DB3" w14:paraId="5ACF4FCD" w14:textId="77777777">
      <w:pPr>
        <w:ind w:left="720"/>
        <w:rPr>
          <w:rFonts w:ascii="Times New Roman" w:hAnsi="Times New Roman"/>
          <w:sz w:val="24"/>
        </w:rPr>
      </w:pPr>
      <w:r w:rsidRPr="004C02E6">
        <w:rPr>
          <w:rFonts w:ascii="Times New Roman" w:hAnsi="Times New Roman"/>
          <w:sz w:val="24"/>
        </w:rPr>
        <w:t xml:space="preserve">Paragraph (b) </w:t>
      </w:r>
      <w:r w:rsidRPr="004C02E6">
        <w:rPr>
          <w:rFonts w:ascii="Times New Roman" w:hAnsi="Times New Roman"/>
          <w:sz w:val="24"/>
        </w:rPr>
        <w:noBreakHyphen/>
      </w:r>
      <w:r w:rsidRPr="004C02E6">
        <w:rPr>
          <w:rFonts w:ascii="Times New Roman" w:hAnsi="Times New Roman"/>
          <w:sz w:val="24"/>
        </w:rPr>
        <w:noBreakHyphen/>
        <w:t xml:space="preserve"> Requires that the area adjacent to the permit area be included in the mapping with descriptions to allow evaluation of the vegetation community's importance to fish, wildlife and related resource values.  This information is needed to determine the significance of the vegetation community to the biota, dependent on it for its critical life cycle requirements.  The removal of critical vegetation community for a period equal to a normal coal mining operation could result in the loss of a regional, local, or national protected species.  The information collected is used by the regulatory authority in determining if the reclamation and mining operations are of such a nature as to protect, minimize, restore, and enhance fish, wildlife, and related resources, held in public trust by the state or </w:t>
      </w:r>
      <w:r>
        <w:rPr>
          <w:rFonts w:ascii="Times New Roman" w:hAnsi="Times New Roman"/>
          <w:sz w:val="24"/>
        </w:rPr>
        <w:t>F</w:t>
      </w:r>
      <w:r w:rsidRPr="004C02E6">
        <w:rPr>
          <w:rFonts w:ascii="Times New Roman" w:hAnsi="Times New Roman"/>
          <w:sz w:val="24"/>
        </w:rPr>
        <w:t>ederal government.</w:t>
      </w:r>
    </w:p>
    <w:p w:rsidR="007B1DB3" w:rsidP="007B1DB3" w14:paraId="3C496464" w14:textId="77777777">
      <w:pPr>
        <w:ind w:left="720"/>
        <w:rPr>
          <w:rFonts w:ascii="Times New Roman" w:hAnsi="Times New Roman"/>
          <w:sz w:val="24"/>
        </w:rPr>
      </w:pPr>
    </w:p>
    <w:p w:rsidR="007B1DB3" w:rsidRPr="00034ECA" w:rsidP="00034ECA" w14:paraId="142E5942" w14:textId="52C209FF">
      <w:pPr>
        <w:ind w:left="720"/>
        <w:rPr>
          <w:rFonts w:ascii="Times New Roman" w:hAnsi="Times New Roman"/>
          <w:b/>
          <w:bCs/>
          <w:sz w:val="24"/>
        </w:rPr>
      </w:pPr>
      <w:r w:rsidRPr="00034ECA">
        <w:rPr>
          <w:rFonts w:ascii="Times New Roman" w:hAnsi="Times New Roman"/>
          <w:b/>
          <w:bCs/>
          <w:sz w:val="24"/>
        </w:rPr>
        <w:t xml:space="preserve">Section </w:t>
      </w:r>
      <w:r w:rsidRPr="00034ECA">
        <w:rPr>
          <w:rFonts w:ascii="Times New Roman" w:hAnsi="Times New Roman"/>
          <w:b/>
          <w:bCs/>
          <w:sz w:val="24"/>
        </w:rPr>
        <w:t xml:space="preserve">779/783.24: </w:t>
      </w:r>
    </w:p>
    <w:p w:rsidR="007B1DB3" w:rsidRPr="004C02E6" w:rsidP="007B1DB3" w14:paraId="5122E2F9" w14:textId="77777777">
      <w:pPr>
        <w:rPr>
          <w:rFonts w:ascii="Times New Roman" w:hAnsi="Times New Roman"/>
          <w:sz w:val="24"/>
        </w:rPr>
      </w:pPr>
    </w:p>
    <w:p w:rsidR="007B1DB3" w:rsidRPr="004C02E6" w:rsidP="007B1DB3" w14:paraId="426A502C" w14:textId="77777777">
      <w:pPr>
        <w:ind w:left="720"/>
        <w:rPr>
          <w:rFonts w:ascii="Times New Roman" w:hAnsi="Times New Roman"/>
          <w:sz w:val="24"/>
        </w:rPr>
      </w:pPr>
      <w:r w:rsidRPr="004C02E6">
        <w:rPr>
          <w:rFonts w:ascii="Times New Roman" w:hAnsi="Times New Roman"/>
          <w:sz w:val="24"/>
        </w:rPr>
        <w:t>(a)  Maps to show all boundaries of lands and names of present owners of record, both surface and subsurface included in or contiguous to the permit area.  This information should be readily available to the applicant, since the information would be a normal part of the database associated with any mine operation.  Such information is typically required as part of complying with legal requirements regarding proper title to the resources and lands in question.  Because of the site-specific nature of the information, it is generally reported for individual mines, or particular operations.</w:t>
      </w:r>
    </w:p>
    <w:p w:rsidR="007B1DB3" w:rsidRPr="004C02E6" w:rsidP="007B1DB3" w14:paraId="039284C0" w14:textId="77777777">
      <w:pPr>
        <w:rPr>
          <w:rFonts w:ascii="Times New Roman" w:hAnsi="Times New Roman"/>
          <w:sz w:val="24"/>
        </w:rPr>
      </w:pPr>
    </w:p>
    <w:p w:rsidR="007B1DB3" w:rsidRPr="004C02E6" w:rsidP="007B1DB3" w14:paraId="26FB6848" w14:textId="77777777">
      <w:pPr>
        <w:ind w:left="720"/>
        <w:rPr>
          <w:rFonts w:ascii="Times New Roman" w:hAnsi="Times New Roman"/>
          <w:sz w:val="24"/>
        </w:rPr>
      </w:pPr>
      <w:r w:rsidRPr="004C02E6">
        <w:rPr>
          <w:rFonts w:ascii="Times New Roman" w:hAnsi="Times New Roman"/>
          <w:sz w:val="24"/>
        </w:rPr>
        <w:t xml:space="preserve">(b) Requires the maps to show the boundaries of land and wetlands within the proposed permit area upon which the applicant has the legal right to enter and begin mining activities.  This information is part of the existing information associated with any coal </w:t>
      </w:r>
      <w:r w:rsidRPr="004C02E6">
        <w:rPr>
          <w:rFonts w:ascii="Times New Roman" w:hAnsi="Times New Roman"/>
          <w:sz w:val="24"/>
        </w:rPr>
        <w:t>mining operation, and is used to comply with the requirements of local land and resource managing agencies, as well as in other activities associated with coal mining operations.</w:t>
      </w:r>
    </w:p>
    <w:p w:rsidR="007B1DB3" w:rsidRPr="004C02E6" w:rsidP="007B1DB3" w14:paraId="15DC6448" w14:textId="77777777">
      <w:pPr>
        <w:rPr>
          <w:rFonts w:ascii="Times New Roman" w:hAnsi="Times New Roman"/>
          <w:sz w:val="24"/>
        </w:rPr>
      </w:pPr>
    </w:p>
    <w:p w:rsidR="007B1DB3" w:rsidRPr="004C02E6" w:rsidP="007B1DB3" w14:paraId="42FFD4A1" w14:textId="77777777">
      <w:pPr>
        <w:ind w:left="720"/>
        <w:rPr>
          <w:rFonts w:ascii="Times New Roman" w:hAnsi="Times New Roman"/>
          <w:sz w:val="24"/>
        </w:rPr>
      </w:pPr>
      <w:r w:rsidRPr="004C02E6">
        <w:rPr>
          <w:rFonts w:ascii="Times New Roman" w:hAnsi="Times New Roman"/>
          <w:sz w:val="24"/>
        </w:rPr>
        <w:t>(c) Requires maps to show the boundaries of all areas including wetlands proposed to be affected over the estimated life of the proposed surface mining activities with a description of the size, sequence and timing of the mining of sub-areas for which it is anticipated that additional permits will be sought.  The information requested is part of the general plan of operations that is developed by a mine operator to manage the progress of mining activity. The information can be used by regulatory authorities to pre-plan for the processing of additional permits, thereby reducing administrative costs of the operator and to the regulatory authority.</w:t>
      </w:r>
    </w:p>
    <w:p w:rsidR="007B1DB3" w:rsidRPr="004C02E6" w:rsidP="007B1DB3" w14:paraId="6B8D0059" w14:textId="77777777">
      <w:pPr>
        <w:rPr>
          <w:rFonts w:ascii="Times New Roman" w:hAnsi="Times New Roman"/>
          <w:sz w:val="24"/>
        </w:rPr>
      </w:pPr>
    </w:p>
    <w:p w:rsidR="007B1DB3" w:rsidRPr="004C02E6" w:rsidP="007B1DB3" w14:paraId="1B534AB3" w14:textId="77777777">
      <w:pPr>
        <w:ind w:left="720"/>
        <w:rPr>
          <w:rFonts w:ascii="Times New Roman" w:hAnsi="Times New Roman"/>
          <w:sz w:val="24"/>
        </w:rPr>
      </w:pPr>
      <w:r w:rsidRPr="004C02E6">
        <w:rPr>
          <w:rFonts w:ascii="Times New Roman" w:hAnsi="Times New Roman"/>
          <w:sz w:val="24"/>
        </w:rPr>
        <w:t>(d) Location of all buildings in and within 1,000 feet of the proposed permit area, with identification of the current use of the buildings.  The information is used by the regulatory authority to assure that, where appropriate, such structures will not be disturbed or destroyed by the proposed mining activity.  The information is site specific to the permit area and should be easily available.  The costs of assembling it should be minor.</w:t>
      </w:r>
    </w:p>
    <w:p w:rsidR="007B1DB3" w:rsidRPr="004C02E6" w:rsidP="007B1DB3" w14:paraId="65656BF3" w14:textId="77777777">
      <w:pPr>
        <w:rPr>
          <w:rFonts w:ascii="Times New Roman" w:hAnsi="Times New Roman"/>
          <w:sz w:val="24"/>
        </w:rPr>
      </w:pPr>
    </w:p>
    <w:p w:rsidR="007B1DB3" w:rsidRPr="004C02E6" w:rsidP="007B1DB3" w14:paraId="7EEB2895" w14:textId="77777777">
      <w:pPr>
        <w:ind w:left="720"/>
        <w:rPr>
          <w:rFonts w:ascii="Times New Roman" w:hAnsi="Times New Roman"/>
          <w:sz w:val="24"/>
        </w:rPr>
      </w:pPr>
      <w:r w:rsidRPr="004C02E6">
        <w:rPr>
          <w:rFonts w:ascii="Times New Roman" w:hAnsi="Times New Roman"/>
          <w:sz w:val="24"/>
        </w:rPr>
        <w:t>(e) Location of surface and sub-surface man-made features within, passing through, or passing over the proposed permit area, including, but not limited to major electric transmission lines, pipelines, and agricultural drainage tile fields.  The information requested is used by the regulatory authority to assure that where appropriate, such structures will not be disturbed or destroyed by the proposed mining activity.  Existing maps and other descriptive material would normally be used by the applicant to comply with this information requirement.</w:t>
      </w:r>
    </w:p>
    <w:p w:rsidR="007B1DB3" w:rsidRPr="004C02E6" w:rsidP="007B1DB3" w14:paraId="1E80DE22" w14:textId="77777777">
      <w:pPr>
        <w:rPr>
          <w:rFonts w:ascii="Times New Roman" w:hAnsi="Times New Roman"/>
          <w:sz w:val="24"/>
        </w:rPr>
      </w:pPr>
    </w:p>
    <w:p w:rsidR="007B1DB3" w:rsidRPr="004C02E6" w:rsidP="007B1DB3" w14:paraId="50D67785" w14:textId="77777777">
      <w:pPr>
        <w:ind w:left="720"/>
        <w:rPr>
          <w:rFonts w:ascii="Times New Roman" w:hAnsi="Times New Roman"/>
          <w:sz w:val="24"/>
        </w:rPr>
      </w:pPr>
      <w:r w:rsidRPr="004C02E6">
        <w:rPr>
          <w:rFonts w:ascii="Times New Roman" w:hAnsi="Times New Roman"/>
          <w:sz w:val="24"/>
        </w:rPr>
        <w:t>(f) Identification on a map of the location and boundaries of any proposed reference areas for determining the success of revegetation.  The information is used to assess the progress of revegetation and associated reclamation efforts during the reclamation phase of the operation.  Because of the site-specific nature of the information, it must be developed for specific permits, rather than on a higher level of aggregation.  However, such information should normally be found in existing data bases, and easily abstracted from them.</w:t>
      </w:r>
    </w:p>
    <w:p w:rsidR="007B1DB3" w:rsidRPr="004C02E6" w:rsidP="007B1DB3" w14:paraId="4EB419DC" w14:textId="77777777">
      <w:pPr>
        <w:rPr>
          <w:rFonts w:ascii="Times New Roman" w:hAnsi="Times New Roman"/>
          <w:sz w:val="24"/>
        </w:rPr>
      </w:pPr>
    </w:p>
    <w:p w:rsidR="007B1DB3" w:rsidRPr="004C02E6" w:rsidP="007B1DB3" w14:paraId="6E50E004" w14:textId="77777777">
      <w:pPr>
        <w:ind w:left="720"/>
        <w:rPr>
          <w:rFonts w:ascii="Times New Roman" w:hAnsi="Times New Roman"/>
          <w:sz w:val="24"/>
        </w:rPr>
      </w:pPr>
      <w:r w:rsidRPr="004C02E6">
        <w:rPr>
          <w:rFonts w:ascii="Times New Roman" w:hAnsi="Times New Roman"/>
          <w:sz w:val="24"/>
        </w:rPr>
        <w:t xml:space="preserve">(g) Location of water supply intakes for current users of surface water flowing into, out of, and within a hydrologic area defined by the regulatory authority and those surface waters which will receive discharges from affected areas in the proposed permit area.  This information is used by the regulatory authority to assure compliance with the Act's provisions mandating protection of water quality, of wetlands and the overall hydrologic balance and integrity of the mine permit area and areas which may be affected by activities on the permit area.  Normally, the information would be developed through site-specific surveys that would allow information concerning hydrology to be developed.  In larger areas, existing aquifers would be known, and their general hydrologic characteristics described in records maintained by such agencies as state water resources </w:t>
      </w:r>
      <w:r w:rsidRPr="004C02E6">
        <w:rPr>
          <w:rFonts w:ascii="Times New Roman" w:hAnsi="Times New Roman"/>
          <w:sz w:val="24"/>
        </w:rPr>
        <w:t>agencies.  This information should be readily available to applicants, but site-specific data may have to be developed to supplement this information for submission to the regulatory authority.</w:t>
      </w:r>
    </w:p>
    <w:p w:rsidR="007B1DB3" w:rsidRPr="004C02E6" w:rsidP="007B1DB3" w14:paraId="2FAEE427" w14:textId="77777777">
      <w:pPr>
        <w:rPr>
          <w:rFonts w:ascii="Times New Roman" w:hAnsi="Times New Roman"/>
          <w:sz w:val="24"/>
        </w:rPr>
      </w:pPr>
    </w:p>
    <w:p w:rsidR="007B1DB3" w:rsidRPr="004C02E6" w:rsidP="007B1DB3" w14:paraId="637378D1" w14:textId="77777777">
      <w:pPr>
        <w:ind w:left="720"/>
        <w:rPr>
          <w:rFonts w:ascii="Times New Roman" w:hAnsi="Times New Roman"/>
          <w:sz w:val="24"/>
        </w:rPr>
      </w:pPr>
      <w:r w:rsidRPr="004C02E6">
        <w:rPr>
          <w:rFonts w:ascii="Times New Roman" w:hAnsi="Times New Roman"/>
          <w:sz w:val="24"/>
        </w:rPr>
        <w:t xml:space="preserve">(h) Identification on a map of each public road located within 100 feet of the proposed permit area.  The information is used by the regulatory authority to assure that mining activity does not occur within 100 feet of these roads, since such activity is prohibited by </w:t>
      </w:r>
      <w:r>
        <w:rPr>
          <w:rFonts w:ascii="Times New Roman" w:hAnsi="Times New Roman"/>
          <w:sz w:val="24"/>
        </w:rPr>
        <w:t>S</w:t>
      </w:r>
      <w:r w:rsidRPr="004C02E6">
        <w:rPr>
          <w:rFonts w:ascii="Times New Roman" w:hAnsi="Times New Roman"/>
          <w:sz w:val="24"/>
        </w:rPr>
        <w:t>ection 522(e)(4) of the Act.  The information should be readily available, and part of the required database for conducting any mining activity.</w:t>
      </w:r>
    </w:p>
    <w:p w:rsidR="007B1DB3" w:rsidRPr="004C02E6" w:rsidP="007B1DB3" w14:paraId="5FEEE328" w14:textId="77777777">
      <w:pPr>
        <w:rPr>
          <w:rFonts w:ascii="Times New Roman" w:hAnsi="Times New Roman"/>
          <w:sz w:val="24"/>
        </w:rPr>
      </w:pPr>
    </w:p>
    <w:p w:rsidR="007B1DB3" w:rsidRPr="004C02E6" w:rsidP="007B1DB3" w14:paraId="6A8D71AF" w14:textId="77777777">
      <w:pPr>
        <w:ind w:left="720"/>
        <w:rPr>
          <w:rFonts w:ascii="Times New Roman" w:hAnsi="Times New Roman"/>
          <w:sz w:val="24"/>
        </w:rPr>
      </w:pPr>
      <w:r w:rsidRPr="004C02E6">
        <w:rPr>
          <w:rFonts w:ascii="Times New Roman" w:hAnsi="Times New Roman"/>
          <w:sz w:val="24"/>
        </w:rPr>
        <w:t xml:space="preserve">(i) Identification of the boundaries of any public park and locations of any cultural or historical resources listed or eligible for listing in the National Register of Historic places as well as any known archeological sites within the permit and adjacent areas.  The information is used to assure that the planned operation does not conflict with the requirement of Section 522(e)(3) of the Act that prohibits such activities.  As a rule, the information should be available from local or </w:t>
      </w:r>
      <w:r>
        <w:rPr>
          <w:rFonts w:ascii="Times New Roman" w:hAnsi="Times New Roman"/>
          <w:sz w:val="24"/>
        </w:rPr>
        <w:t>s</w:t>
      </w:r>
      <w:r w:rsidRPr="004C02E6">
        <w:rPr>
          <w:rFonts w:ascii="Times New Roman" w:hAnsi="Times New Roman"/>
          <w:sz w:val="24"/>
        </w:rPr>
        <w:t>tate agencies, such as the State Historic Preservation Office.  Such maps may be submitted as overlays to other maps, thus reducing the cost of submitting the information.</w:t>
      </w:r>
    </w:p>
    <w:p w:rsidR="007B1DB3" w:rsidRPr="004C02E6" w:rsidP="007B1DB3" w14:paraId="4F4F45F4" w14:textId="77777777">
      <w:pPr>
        <w:rPr>
          <w:rFonts w:ascii="Times New Roman" w:hAnsi="Times New Roman"/>
          <w:sz w:val="24"/>
        </w:rPr>
      </w:pPr>
    </w:p>
    <w:p w:rsidR="007B1DB3" w:rsidRPr="004C02E6" w:rsidP="007B1DB3" w14:paraId="2F3B7364" w14:textId="77777777">
      <w:pPr>
        <w:ind w:left="720"/>
        <w:rPr>
          <w:rFonts w:ascii="Times New Roman" w:hAnsi="Times New Roman"/>
          <w:sz w:val="24"/>
        </w:rPr>
      </w:pPr>
      <w:r w:rsidRPr="004C02E6">
        <w:rPr>
          <w:rFonts w:ascii="Times New Roman" w:hAnsi="Times New Roman"/>
          <w:sz w:val="24"/>
        </w:rPr>
        <w:t>(j) Location of a cemetery in or within 100 feet of the proposed permit area.  This information is used by the regulatory authority to assure that mining activities do not knowingly disturb such sites without proper considerations.</w:t>
      </w:r>
    </w:p>
    <w:p w:rsidR="007B1DB3" w:rsidRPr="004C02E6" w:rsidP="007B1DB3" w14:paraId="16C67D53" w14:textId="77777777">
      <w:pPr>
        <w:rPr>
          <w:rFonts w:ascii="Times New Roman" w:hAnsi="Times New Roman"/>
          <w:sz w:val="24"/>
        </w:rPr>
      </w:pPr>
    </w:p>
    <w:p w:rsidR="00167191" w:rsidP="00167191" w14:paraId="6573F7CE" w14:textId="77777777">
      <w:pPr>
        <w:ind w:left="720"/>
        <w:rPr>
          <w:rFonts w:ascii="Times New Roman" w:hAnsi="Times New Roman"/>
          <w:sz w:val="24"/>
        </w:rPr>
      </w:pPr>
      <w:r w:rsidRPr="004C02E6">
        <w:rPr>
          <w:rFonts w:ascii="Times New Roman" w:hAnsi="Times New Roman"/>
          <w:sz w:val="24"/>
        </w:rPr>
        <w:t xml:space="preserve">(k) Identification on a map of any land within the proposed permit area which is within the boundaries of any units of the National Trails System or the Wild and Scenic Rivers system.  The information is used by the regulatory authority to assure compliance with Section 507(b)(13) of the Act.  Normally, much of the information would be readily available to the applicant through county, </w:t>
      </w:r>
      <w:r>
        <w:rPr>
          <w:rFonts w:ascii="Times New Roman" w:hAnsi="Times New Roman"/>
          <w:sz w:val="24"/>
        </w:rPr>
        <w:t>s</w:t>
      </w:r>
      <w:r w:rsidRPr="004C02E6">
        <w:rPr>
          <w:rFonts w:ascii="Times New Roman" w:hAnsi="Times New Roman"/>
          <w:sz w:val="24"/>
        </w:rPr>
        <w:t>tate, or Federal records systems.  The incidence of submittal should be relatively low, since mining activities adjacent to the Trails or the Wild and Scenic Rivers system is not a typical occurrence.</w:t>
      </w:r>
    </w:p>
    <w:p w:rsidR="00167191" w:rsidP="00167191" w14:paraId="093E7D4E" w14:textId="77777777">
      <w:pPr>
        <w:ind w:left="720"/>
        <w:rPr>
          <w:rFonts w:ascii="Times New Roman" w:hAnsi="Times New Roman"/>
          <w:sz w:val="24"/>
        </w:rPr>
      </w:pPr>
    </w:p>
    <w:p w:rsidR="00167191" w:rsidRPr="004C02E6" w:rsidP="00034ECA" w14:paraId="7122D3E5" w14:textId="1EFC9B3B">
      <w:pPr>
        <w:ind w:left="720"/>
        <w:rPr>
          <w:rFonts w:ascii="Times New Roman" w:hAnsi="Times New Roman"/>
          <w:sz w:val="24"/>
        </w:rPr>
      </w:pPr>
      <w:r w:rsidRPr="00F123D0">
        <w:rPr>
          <w:rFonts w:ascii="Times New Roman" w:hAnsi="Times New Roman"/>
          <w:b/>
          <w:sz w:val="24"/>
        </w:rPr>
        <w:t xml:space="preserve">Section 779/783.25:  </w:t>
      </w:r>
      <w:r>
        <w:rPr>
          <w:rFonts w:ascii="Times New Roman" w:hAnsi="Times New Roman"/>
          <w:sz w:val="24"/>
        </w:rPr>
        <w:br/>
      </w:r>
      <w:r w:rsidRPr="004C02E6">
        <w:rPr>
          <w:rFonts w:ascii="Times New Roman" w:hAnsi="Times New Roman"/>
          <w:sz w:val="24"/>
        </w:rPr>
        <w:t xml:space="preserve">Since the issuance of this rule in 1979, significant technological improvements have been made available to the regulatory authorities.  Most relevant is </w:t>
      </w:r>
      <w:r>
        <w:rPr>
          <w:rFonts w:ascii="Times New Roman" w:hAnsi="Times New Roman"/>
          <w:sz w:val="24"/>
        </w:rPr>
        <w:t>OSMRE</w:t>
      </w:r>
      <w:r w:rsidRPr="004C02E6">
        <w:rPr>
          <w:rFonts w:ascii="Times New Roman" w:hAnsi="Times New Roman"/>
          <w:sz w:val="24"/>
        </w:rPr>
        <w:t>'s Technical Innovation and Professional Services (TIPS) software and data analysis capabilities which have been provided to each regulatory authority and which allow premining slopes to be computed.</w:t>
      </w:r>
    </w:p>
    <w:p w:rsidR="00167191" w:rsidRPr="004C02E6" w:rsidP="007B1DB3" w14:paraId="4A8039B0" w14:textId="77777777">
      <w:pPr>
        <w:ind w:left="720"/>
        <w:rPr>
          <w:rFonts w:ascii="Times New Roman" w:hAnsi="Times New Roman"/>
          <w:sz w:val="24"/>
        </w:rPr>
      </w:pPr>
    </w:p>
    <w:p w:rsidR="001D5F58" w:rsidRPr="004C02E6" w:rsidP="001D5F58" w14:paraId="715CAD73" w14:textId="2AE228A5">
      <w:pPr>
        <w:ind w:left="720"/>
        <w:rPr>
          <w:rFonts w:ascii="Times New Roman" w:hAnsi="Times New Roman"/>
          <w:sz w:val="24"/>
        </w:rPr>
      </w:pPr>
      <w:r>
        <w:rPr>
          <w:rFonts w:ascii="Times New Roman" w:hAnsi="Times New Roman"/>
          <w:sz w:val="24"/>
        </w:rPr>
        <w:br/>
      </w:r>
    </w:p>
    <w:p w:rsidR="00A57FED" w:rsidRPr="004C02E6" w:rsidP="00A57FED" w14:paraId="3A2A05CD" w14:textId="0B770E5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p>
    <w:p w:rsidR="00A57FED" w:rsidRPr="004C02E6" w:rsidP="00A57FED" w14:paraId="792D66D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p>
    <w:p w:rsidR="00236F41" w:rsidRPr="004C02E6" w:rsidP="00236F41" w14:paraId="445CC345" w14:textId="341D8A76">
      <w:pPr>
        <w:pStyle w:val="BodyTextIndent"/>
        <w:ind w:hanging="720"/>
      </w:pPr>
      <w:r w:rsidRPr="004C02E6">
        <w:rPr>
          <w:b/>
          <w:i/>
        </w:rPr>
        <w:t>3.</w:t>
      </w:r>
      <w:r w:rsidRPr="004C02E6">
        <w:rPr>
          <w:b/>
          <w:i/>
        </w:rPr>
        <w:tab/>
        <w:t xml:space="preserve">Describe whether, and to what extent, the collection of information involves the use of automated, electronic, mechanical, or other technological collection techniques or other forms of information technology, e.g., permitting electronic submission of </w:t>
      </w:r>
      <w:r w:rsidRPr="004C02E6">
        <w:rPr>
          <w:b/>
          <w:i/>
        </w:rPr>
        <w:t>responses, and the basis for the decision for adopting this means of collection.  Also describe any consideration of using information technology to reduce burden and specifically how this collection meets GPEA requirements.</w:t>
      </w:r>
      <w:r>
        <w:rPr>
          <w:b/>
          <w:i/>
        </w:rPr>
        <w:br/>
      </w:r>
      <w:r>
        <w:rPr>
          <w:b/>
          <w:i/>
        </w:rPr>
        <w:br/>
      </w:r>
      <w:r>
        <w:rPr>
          <w:b/>
          <w:i/>
        </w:rPr>
        <w:br/>
      </w:r>
      <w:r w:rsidRPr="004C02E6">
        <w:t xml:space="preserve">Nationally, </w:t>
      </w:r>
      <w:r>
        <w:t>OSMRE</w:t>
      </w:r>
      <w:r w:rsidRPr="004C02E6">
        <w:t xml:space="preserve"> estimates that the SRAs receive approximately </w:t>
      </w:r>
      <w:r w:rsidR="00800E30">
        <w:t>8</w:t>
      </w:r>
      <w:r>
        <w:t>5</w:t>
      </w:r>
      <w:r w:rsidRPr="004C02E6">
        <w:t>% of permit applications electronically.</w:t>
      </w:r>
    </w:p>
    <w:p w:rsidR="00A57FED" w:rsidP="00A57FED" w14:paraId="5DCEDFA8" w14:textId="35BC0C0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p>
    <w:p w:rsidR="00236F41" w:rsidRPr="004C02E6" w:rsidP="00A57FED" w14:paraId="00482ACB"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p>
    <w:p w:rsidR="00A57FED" w:rsidRPr="004C02E6" w:rsidP="00A57FED" w14:paraId="6467079F"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p>
    <w:p w:rsidR="00A57FED" w:rsidRPr="004C02E6" w:rsidP="00A57FED" w14:paraId="5F9C4590" w14:textId="382F74C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4C02E6">
        <w:rPr>
          <w:rFonts w:ascii="Times New Roman" w:hAnsi="Times New Roman"/>
          <w:b/>
          <w:i/>
          <w:sz w:val="24"/>
        </w:rPr>
        <w:t>4.</w:t>
      </w:r>
      <w:r w:rsidRPr="004C02E6">
        <w:rPr>
          <w:rFonts w:ascii="Times New Roman" w:hAnsi="Times New Roman"/>
          <w:b/>
          <w:i/>
          <w:sz w:val="24"/>
        </w:rPr>
        <w:tab/>
        <w:t>Describe efforts to identify duplication.  Show specifically why any similar information already available cannot be used or modified for use for the purposes described in Item 2 above.</w:t>
      </w:r>
      <w:r w:rsidR="00A34392">
        <w:rPr>
          <w:rFonts w:ascii="Times New Roman" w:hAnsi="Times New Roman"/>
          <w:b/>
          <w:i/>
          <w:sz w:val="24"/>
        </w:rPr>
        <w:br/>
      </w:r>
      <w:r w:rsidR="00A34392">
        <w:rPr>
          <w:rFonts w:ascii="Times New Roman" w:hAnsi="Times New Roman"/>
          <w:b/>
          <w:i/>
          <w:sz w:val="24"/>
        </w:rPr>
        <w:br/>
      </w:r>
      <w:r w:rsidRPr="004C02E6" w:rsidR="00A34392">
        <w:rPr>
          <w:rFonts w:ascii="Times New Roman" w:hAnsi="Times New Roman"/>
          <w:sz w:val="24"/>
        </w:rPr>
        <w:t xml:space="preserve">No similar information is collected by </w:t>
      </w:r>
      <w:r w:rsidR="00A34392">
        <w:rPr>
          <w:rFonts w:ascii="Times New Roman" w:hAnsi="Times New Roman"/>
          <w:sz w:val="24"/>
        </w:rPr>
        <w:t>OSMRE</w:t>
      </w:r>
      <w:r w:rsidRPr="004C02E6" w:rsidR="00A34392">
        <w:rPr>
          <w:rFonts w:ascii="Times New Roman" w:hAnsi="Times New Roman"/>
          <w:sz w:val="24"/>
        </w:rPr>
        <w:t xml:space="preserve"> or by other </w:t>
      </w:r>
      <w:r w:rsidR="00A34392">
        <w:rPr>
          <w:rFonts w:ascii="Times New Roman" w:hAnsi="Times New Roman"/>
          <w:sz w:val="24"/>
        </w:rPr>
        <w:t>F</w:t>
      </w:r>
      <w:r w:rsidRPr="004C02E6" w:rsidR="00A34392">
        <w:rPr>
          <w:rFonts w:ascii="Times New Roman" w:hAnsi="Times New Roman"/>
          <w:sz w:val="24"/>
        </w:rPr>
        <w:t>ederal agencies.  Also, circumstances vary with each proposed coalmine site in which a permit application has been received.  Therefore, there is no available information which can be used in lieu of that supplied on each application.</w:t>
      </w:r>
      <w:r w:rsidR="00A34392">
        <w:rPr>
          <w:rFonts w:ascii="Times New Roman" w:hAnsi="Times New Roman"/>
          <w:b/>
          <w:i/>
          <w:sz w:val="24"/>
        </w:rPr>
        <w:br/>
      </w:r>
      <w:r w:rsidR="00A34392">
        <w:rPr>
          <w:rFonts w:ascii="Times New Roman" w:hAnsi="Times New Roman"/>
          <w:b/>
          <w:i/>
          <w:sz w:val="24"/>
        </w:rPr>
        <w:br/>
      </w:r>
    </w:p>
    <w:p w:rsidR="00A57FED" w:rsidRPr="004C02E6" w:rsidP="00A57FED" w14:paraId="0925873F"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p>
    <w:p w:rsidR="000318E1" w:rsidRPr="000B59A0" w:rsidP="000318E1" w14:paraId="567B361B" w14:textId="77777777">
      <w:pPr>
        <w:tabs>
          <w:tab w:val="left" w:pos="-1080"/>
          <w:tab w:val="left" w:pos="-720"/>
        </w:tabs>
        <w:ind w:left="720" w:hanging="720"/>
        <w:rPr>
          <w:rFonts w:ascii="Times New Roman" w:hAnsi="Times New Roman"/>
          <w:sz w:val="24"/>
        </w:rPr>
      </w:pPr>
      <w:r w:rsidRPr="004C02E6">
        <w:rPr>
          <w:rFonts w:ascii="Times New Roman" w:hAnsi="Times New Roman"/>
          <w:b/>
          <w:i/>
          <w:sz w:val="24"/>
        </w:rPr>
        <w:t>5.</w:t>
      </w:r>
      <w:r w:rsidRPr="004C02E6">
        <w:rPr>
          <w:rFonts w:ascii="Times New Roman" w:hAnsi="Times New Roman"/>
          <w:b/>
          <w:i/>
          <w:sz w:val="24"/>
        </w:rPr>
        <w:tab/>
        <w:t>If the collection of information impacts small businesses or other small entities, describe any methods used to minimize burden.</w:t>
      </w:r>
      <w:r>
        <w:rPr>
          <w:rFonts w:ascii="Times New Roman" w:hAnsi="Times New Roman"/>
          <w:b/>
          <w:i/>
          <w:sz w:val="24"/>
        </w:rPr>
        <w:br/>
      </w:r>
      <w:r>
        <w:rPr>
          <w:rFonts w:ascii="Times New Roman" w:hAnsi="Times New Roman"/>
          <w:b/>
          <w:i/>
          <w:sz w:val="24"/>
        </w:rPr>
        <w:br/>
      </w:r>
      <w:r>
        <w:rPr>
          <w:rFonts w:ascii="Times New Roman" w:hAnsi="Times New Roman"/>
          <w:b/>
          <w:i/>
          <w:sz w:val="24"/>
        </w:rPr>
        <w:br/>
      </w:r>
      <w:r w:rsidRPr="000B59A0">
        <w:rPr>
          <w:rFonts w:ascii="Times New Roman" w:hAnsi="Times New Roman"/>
          <w:sz w:val="24"/>
        </w:rPr>
        <w:t>There are no special provisions for small businesses or other small entities.  Special provisions are not appropriate because the requested information is the minimum needed</w:t>
      </w:r>
      <w:r w:rsidRPr="009C440B">
        <w:rPr>
          <w:rFonts w:ascii="Times New Roman" w:hAnsi="Times New Roman"/>
          <w:sz w:val="24"/>
        </w:rPr>
        <w:t xml:space="preserve"> to document the permit and to conduct coal mining and reclamation operations.  Adequate documentation is essential to ensure protection of public health and safety, water quantity and quality, wildlife habitat, while encouraging to maximize the </w:t>
      </w:r>
      <w:r w:rsidRPr="000B59A0">
        <w:rPr>
          <w:rFonts w:ascii="Times New Roman" w:hAnsi="Times New Roman"/>
          <w:sz w:val="24"/>
        </w:rPr>
        <w:t>production or recovery of coal reserves and to minimize the environmental disturbances around the coal mining site.  Therefore, the hour burden on any small entity subject to these regulations and associated collections of information cannot be reduced to accommodate them.</w:t>
      </w:r>
    </w:p>
    <w:p w:rsidR="00A57FED" w:rsidRPr="004C02E6" w:rsidP="00A57FED" w14:paraId="7FC23EDE" w14:textId="4FD7907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Pr>
          <w:rFonts w:ascii="Times New Roman" w:hAnsi="Times New Roman"/>
          <w:b/>
          <w:i/>
          <w:sz w:val="24"/>
        </w:rPr>
        <w:br/>
      </w:r>
    </w:p>
    <w:p w:rsidR="00A57FED" w:rsidRPr="004C02E6" w:rsidP="00A57FED" w14:paraId="59F2D9AF"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p>
    <w:p w:rsidR="00074A6D" w:rsidRPr="004C02E6" w:rsidP="00074A6D" w14:paraId="6EFAA1F8" w14:textId="77777777">
      <w:pPr>
        <w:tabs>
          <w:tab w:val="left" w:pos="-1440"/>
        </w:tabs>
        <w:ind w:left="720" w:hanging="720"/>
        <w:rPr>
          <w:rFonts w:ascii="Times New Roman" w:hAnsi="Times New Roman"/>
          <w:sz w:val="24"/>
        </w:rPr>
      </w:pPr>
      <w:r w:rsidRPr="004C02E6">
        <w:rPr>
          <w:rFonts w:ascii="Times New Roman" w:hAnsi="Times New Roman"/>
          <w:b/>
          <w:i/>
          <w:sz w:val="24"/>
        </w:rPr>
        <w:t>6.</w:t>
      </w:r>
      <w:r w:rsidRPr="004C02E6">
        <w:rPr>
          <w:rFonts w:ascii="Times New Roman" w:hAnsi="Times New Roman"/>
          <w:b/>
          <w:i/>
          <w:sz w:val="24"/>
        </w:rPr>
        <w:tab/>
        <w:t>Describe the consequence to Federal program or policy activities if the collection is not conducted or is conducted less frequently, as well as any technical or legal obstacles to reducing burden.</w:t>
      </w:r>
      <w:r>
        <w:rPr>
          <w:rFonts w:ascii="Times New Roman" w:hAnsi="Times New Roman"/>
          <w:b/>
          <w:i/>
          <w:sz w:val="24"/>
        </w:rPr>
        <w:br/>
      </w:r>
      <w:r>
        <w:rPr>
          <w:rFonts w:ascii="Times New Roman" w:hAnsi="Times New Roman"/>
          <w:b/>
          <w:i/>
          <w:sz w:val="24"/>
        </w:rPr>
        <w:br/>
      </w:r>
      <w:r>
        <w:rPr>
          <w:rFonts w:ascii="Times New Roman" w:hAnsi="Times New Roman"/>
          <w:b/>
          <w:i/>
          <w:sz w:val="24"/>
        </w:rPr>
        <w:br/>
      </w:r>
      <w:r w:rsidRPr="004C02E6">
        <w:rPr>
          <w:rFonts w:ascii="Times New Roman" w:hAnsi="Times New Roman"/>
          <w:sz w:val="24"/>
        </w:rPr>
        <w:t>Information is collected only at the time an application is made; therefore, frequency of collection does not apply here.</w:t>
      </w:r>
    </w:p>
    <w:p w:rsidR="00A57FED" w:rsidRPr="004C02E6" w:rsidP="00A57FED" w14:paraId="54960556" w14:textId="202499B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p>
    <w:p w:rsidR="00A57FED" w:rsidRPr="004C02E6" w:rsidP="00A57FED" w14:paraId="1A578A43"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p>
    <w:p w:rsidR="00A57FED" w:rsidRPr="004C02E6" w:rsidP="00A57FED" w14:paraId="2B5FF3E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4C02E6">
        <w:rPr>
          <w:rFonts w:ascii="Times New Roman" w:hAnsi="Times New Roman"/>
          <w:b/>
          <w:i/>
          <w:sz w:val="24"/>
        </w:rPr>
        <w:t>7.</w:t>
      </w:r>
      <w:r w:rsidRPr="004C02E6">
        <w:rPr>
          <w:rFonts w:ascii="Times New Roman" w:hAnsi="Times New Roman"/>
          <w:b/>
          <w:i/>
          <w:sz w:val="24"/>
        </w:rPr>
        <w:tab/>
        <w:t>Explain any special circumstances that would cause an information collection to be conducted in a manner:</w:t>
      </w:r>
    </w:p>
    <w:p w:rsidR="00A57FED" w:rsidRPr="004C02E6" w:rsidP="00A57FED" w14:paraId="1B1C83F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4C02E6">
        <w:rPr>
          <w:rFonts w:ascii="Times New Roman" w:hAnsi="Times New Roman"/>
          <w:b/>
          <w:i/>
          <w:sz w:val="24"/>
        </w:rPr>
        <w:tab/>
        <w:t>*</w:t>
      </w:r>
      <w:r w:rsidRPr="004C02E6">
        <w:rPr>
          <w:rFonts w:ascii="Times New Roman" w:hAnsi="Times New Roman"/>
          <w:b/>
          <w:i/>
          <w:sz w:val="24"/>
        </w:rPr>
        <w:tab/>
        <w:t>requiring respondents to report information to the agency more often than quarterly;</w:t>
      </w:r>
    </w:p>
    <w:p w:rsidR="00A57FED" w:rsidRPr="004C02E6" w:rsidP="00A57FED" w14:paraId="2FFE6FAC"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4C02E6">
        <w:rPr>
          <w:rFonts w:ascii="Times New Roman" w:hAnsi="Times New Roman"/>
          <w:b/>
          <w:i/>
          <w:sz w:val="24"/>
        </w:rPr>
        <w:tab/>
        <w:t>*</w:t>
      </w:r>
      <w:r w:rsidRPr="004C02E6">
        <w:rPr>
          <w:rFonts w:ascii="Times New Roman" w:hAnsi="Times New Roman"/>
          <w:b/>
          <w:i/>
          <w:sz w:val="24"/>
        </w:rPr>
        <w:tab/>
        <w:t>requiring respondents to prepare a written response to a collection of information in fewer than 30 days after receipt of it;</w:t>
      </w:r>
    </w:p>
    <w:p w:rsidR="00A57FED" w:rsidRPr="004C02E6" w:rsidP="00A57FED" w14:paraId="4F0ED90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4C02E6">
        <w:rPr>
          <w:rFonts w:ascii="Times New Roman" w:hAnsi="Times New Roman"/>
          <w:b/>
          <w:i/>
          <w:sz w:val="24"/>
        </w:rPr>
        <w:tab/>
        <w:t>*</w:t>
      </w:r>
      <w:r w:rsidRPr="004C02E6">
        <w:rPr>
          <w:rFonts w:ascii="Times New Roman" w:hAnsi="Times New Roman"/>
          <w:b/>
          <w:i/>
          <w:sz w:val="24"/>
        </w:rPr>
        <w:tab/>
        <w:t>requiring respondents to submit more than an original and two copies of any document;</w:t>
      </w:r>
    </w:p>
    <w:p w:rsidR="00A57FED" w:rsidRPr="004C02E6" w:rsidP="00A57FED" w14:paraId="07A8963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4C02E6">
        <w:rPr>
          <w:rFonts w:ascii="Times New Roman" w:hAnsi="Times New Roman"/>
          <w:b/>
          <w:i/>
          <w:sz w:val="24"/>
        </w:rPr>
        <w:tab/>
        <w:t>*</w:t>
      </w:r>
      <w:r w:rsidRPr="004C02E6">
        <w:rPr>
          <w:rFonts w:ascii="Times New Roman" w:hAnsi="Times New Roman"/>
          <w:b/>
          <w:i/>
          <w:sz w:val="24"/>
        </w:rPr>
        <w:tab/>
        <w:t>requiring respondents to retain records, other than health, medical, government contract, grant-in-aid, or tax records, for more than three years;</w:t>
      </w:r>
    </w:p>
    <w:p w:rsidR="00A57FED" w:rsidRPr="004C02E6" w:rsidP="00A57FED" w14:paraId="6997B06B"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4C02E6">
        <w:rPr>
          <w:rFonts w:ascii="Times New Roman" w:hAnsi="Times New Roman"/>
          <w:b/>
          <w:i/>
          <w:sz w:val="24"/>
        </w:rPr>
        <w:tab/>
        <w:t>*</w:t>
      </w:r>
      <w:r w:rsidRPr="004C02E6">
        <w:rPr>
          <w:rFonts w:ascii="Times New Roman" w:hAnsi="Times New Roman"/>
          <w:b/>
          <w:i/>
          <w:sz w:val="24"/>
        </w:rPr>
        <w:tab/>
        <w:t>in connection with a statistical survey that is not designed to produce valid and reliable results that can be generalized to the universe of study;</w:t>
      </w:r>
    </w:p>
    <w:p w:rsidR="00A57FED" w:rsidRPr="004C02E6" w:rsidP="00A57FED" w14:paraId="7B57DD0C"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4C02E6">
        <w:rPr>
          <w:rFonts w:ascii="Times New Roman" w:hAnsi="Times New Roman"/>
          <w:b/>
          <w:i/>
          <w:sz w:val="24"/>
        </w:rPr>
        <w:tab/>
        <w:t>*</w:t>
      </w:r>
      <w:r w:rsidRPr="004C02E6">
        <w:rPr>
          <w:rFonts w:ascii="Times New Roman" w:hAnsi="Times New Roman"/>
          <w:b/>
          <w:i/>
          <w:sz w:val="24"/>
        </w:rPr>
        <w:tab/>
        <w:t>requiring the use of a statistical data classification that has not been reviewed and approved by OMB;</w:t>
      </w:r>
    </w:p>
    <w:p w:rsidR="00A57FED" w:rsidRPr="004C02E6" w:rsidP="00A57FED" w14:paraId="74C80FF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4C02E6">
        <w:rPr>
          <w:rFonts w:ascii="Times New Roman" w:hAnsi="Times New Roman"/>
          <w:b/>
          <w:i/>
          <w:sz w:val="24"/>
        </w:rPr>
        <w:tab/>
        <w:t>*</w:t>
      </w:r>
      <w:r w:rsidRPr="004C02E6">
        <w:rPr>
          <w:rFonts w:ascii="Times New Roman" w:hAnsi="Times New Roman"/>
          <w:b/>
          <w:i/>
          <w:sz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57FED" w:rsidRPr="004C02E6" w:rsidP="00A57FED" w14:paraId="56A7C536" w14:textId="72D9503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4C02E6">
        <w:rPr>
          <w:rFonts w:ascii="Times New Roman" w:hAnsi="Times New Roman"/>
          <w:b/>
          <w:i/>
          <w:sz w:val="24"/>
        </w:rPr>
        <w:tab/>
        <w:t>*</w:t>
      </w:r>
      <w:r w:rsidRPr="004C02E6">
        <w:rPr>
          <w:rFonts w:ascii="Times New Roman" w:hAnsi="Times New Roman"/>
          <w:b/>
          <w:i/>
          <w:sz w:val="24"/>
        </w:rPr>
        <w:tab/>
        <w:t>requiring respondents to submit proprietary trade secrets, or other confidential information, unless the agency can demonstrate that it has instituted procedures to protect the information's confidentiality to the extent permitted by law.</w:t>
      </w:r>
      <w:r w:rsidR="00D323F0">
        <w:rPr>
          <w:rFonts w:ascii="Times New Roman" w:hAnsi="Times New Roman"/>
          <w:b/>
          <w:i/>
          <w:sz w:val="24"/>
        </w:rPr>
        <w:br/>
      </w:r>
      <w:r w:rsidR="00D323F0">
        <w:rPr>
          <w:rFonts w:ascii="Times New Roman" w:hAnsi="Times New Roman"/>
          <w:b/>
          <w:i/>
          <w:sz w:val="24"/>
        </w:rPr>
        <w:br/>
      </w:r>
      <w:r w:rsidR="00D323F0">
        <w:rPr>
          <w:rFonts w:ascii="Times New Roman" w:hAnsi="Times New Roman"/>
          <w:b/>
          <w:i/>
          <w:sz w:val="24"/>
        </w:rPr>
        <w:br/>
      </w:r>
      <w:r w:rsidRPr="004C02E6" w:rsidR="00D323F0">
        <w:rPr>
          <w:rFonts w:ascii="Times New Roman" w:hAnsi="Times New Roman"/>
          <w:sz w:val="24"/>
        </w:rPr>
        <w:t>This information collection is consistent with the guidelines in 5 CFR 1320.5(d)(2).  The number of copies of each permit application submitted to the S</w:t>
      </w:r>
      <w:r w:rsidR="00D323F0">
        <w:rPr>
          <w:rFonts w:ascii="Times New Roman" w:hAnsi="Times New Roman"/>
          <w:sz w:val="24"/>
        </w:rPr>
        <w:t>RA is determined by s</w:t>
      </w:r>
      <w:r w:rsidRPr="004C02E6" w:rsidR="00D323F0">
        <w:rPr>
          <w:rFonts w:ascii="Times New Roman" w:hAnsi="Times New Roman"/>
          <w:sz w:val="24"/>
        </w:rPr>
        <w:t xml:space="preserve">tate regulations and may not be limited by </w:t>
      </w:r>
      <w:r w:rsidR="00D323F0">
        <w:rPr>
          <w:rFonts w:ascii="Times New Roman" w:hAnsi="Times New Roman"/>
          <w:sz w:val="24"/>
        </w:rPr>
        <w:t>OSMRE</w:t>
      </w:r>
      <w:r w:rsidRPr="004C02E6" w:rsidR="00D323F0">
        <w:rPr>
          <w:rFonts w:ascii="Times New Roman" w:hAnsi="Times New Roman"/>
          <w:sz w:val="24"/>
        </w:rPr>
        <w:t>.</w:t>
      </w:r>
      <w:r w:rsidR="00D323F0">
        <w:rPr>
          <w:rFonts w:ascii="Times New Roman" w:hAnsi="Times New Roman"/>
          <w:b/>
          <w:i/>
          <w:sz w:val="24"/>
        </w:rPr>
        <w:br/>
      </w:r>
    </w:p>
    <w:p w:rsidR="00A57FED" w:rsidRPr="004C02E6" w:rsidP="00A57FED" w14:paraId="7D458813"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4C02E6">
        <w:rPr>
          <w:rFonts w:ascii="Times New Roman" w:hAnsi="Times New Roman"/>
          <w:b/>
          <w:i/>
          <w:sz w:val="24"/>
        </w:rPr>
        <w:t>8.</w:t>
      </w:r>
      <w:r w:rsidRPr="004C02E6">
        <w:rPr>
          <w:rFonts w:ascii="Times New Roman" w:hAnsi="Times New Roman"/>
          <w:b/>
          <w:i/>
          <w:sz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A57FED" w:rsidRPr="004C02E6" w:rsidP="00A57FED" w14:paraId="6F822A7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p>
    <w:p w:rsidR="00D04764" w:rsidRPr="00E53982" w:rsidP="00034ECA" w14:paraId="042706E9" w14:textId="2571A7E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sidRPr="004C02E6">
        <w:rPr>
          <w:rFonts w:ascii="Times New Roman" w:hAnsi="Times New Roman"/>
          <w:b/>
          <w:i/>
          <w:sz w:val="24"/>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5E0113">
        <w:rPr>
          <w:rFonts w:ascii="Times New Roman" w:hAnsi="Times New Roman"/>
          <w:b/>
          <w:i/>
          <w:sz w:val="24"/>
        </w:rPr>
        <w:br/>
      </w:r>
      <w:r w:rsidR="005E0113">
        <w:rPr>
          <w:rFonts w:ascii="Times New Roman" w:hAnsi="Times New Roman"/>
          <w:b/>
          <w:i/>
          <w:sz w:val="24"/>
        </w:rPr>
        <w:br/>
      </w:r>
      <w:r w:rsidRPr="005E0113" w:rsidR="005E0113">
        <w:rPr>
          <w:rFonts w:ascii="Times New Roman" w:hAnsi="Times New Roman"/>
          <w:b/>
          <w:i/>
          <w:sz w:val="24"/>
        </w:rPr>
        <w:t xml:space="preserve">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w:t>
      </w:r>
      <w:r w:rsidRPr="005E0113" w:rsidR="005E0113">
        <w:rPr>
          <w:rFonts w:ascii="Times New Roman" w:hAnsi="Times New Roman"/>
          <w:b/>
          <w:i/>
          <w:sz w:val="24"/>
        </w:rPr>
        <w:t>circumstances should be explained.</w:t>
      </w:r>
      <w:r w:rsidRPr="004C02E6" w:rsidR="005E0113">
        <w:rPr>
          <w:rFonts w:ascii="Times New Roman" w:hAnsi="Times New Roman"/>
          <w:b/>
          <w:i/>
          <w:sz w:val="24"/>
        </w:rPr>
        <w:t xml:space="preserve"> </w:t>
      </w:r>
      <w:r>
        <w:rPr>
          <w:rFonts w:ascii="Times New Roman" w:hAnsi="Times New Roman"/>
          <w:b/>
          <w:i/>
          <w:sz w:val="24"/>
        </w:rPr>
        <w:br/>
      </w:r>
      <w:r>
        <w:rPr>
          <w:rFonts w:ascii="Times New Roman" w:hAnsi="Times New Roman"/>
          <w:b/>
          <w:i/>
          <w:sz w:val="24"/>
        </w:rPr>
        <w:br/>
      </w:r>
      <w:r>
        <w:rPr>
          <w:rFonts w:ascii="Times New Roman" w:hAnsi="Times New Roman"/>
          <w:b/>
          <w:i/>
          <w:sz w:val="24"/>
        </w:rPr>
        <w:br/>
      </w:r>
      <w:r>
        <w:rPr>
          <w:rFonts w:ascii="Times New Roman" w:hAnsi="Times New Roman"/>
          <w:b/>
          <w:i/>
          <w:sz w:val="24"/>
        </w:rPr>
        <w:br/>
      </w:r>
      <w:r w:rsidR="00E53982">
        <w:rPr>
          <w:rFonts w:ascii="Times New Roman" w:hAnsi="Times New Roman"/>
          <w:sz w:val="24"/>
        </w:rPr>
        <w:t>Contacts with industry and state re</w:t>
      </w:r>
      <w:r w:rsidR="00C471F9">
        <w:rPr>
          <w:rFonts w:ascii="Times New Roman" w:hAnsi="Times New Roman"/>
          <w:sz w:val="24"/>
        </w:rPr>
        <w:t xml:space="preserve">spondents </w:t>
      </w:r>
      <w:r w:rsidR="00E53982">
        <w:rPr>
          <w:rFonts w:ascii="Times New Roman" w:hAnsi="Times New Roman"/>
          <w:sz w:val="24"/>
        </w:rPr>
        <w:t xml:space="preserve">include the following: </w:t>
      </w:r>
    </w:p>
    <w:p w:rsidR="00D04764" w:rsidRPr="00E53982" w:rsidP="00D04764" w14:paraId="6840D0EA" w14:textId="77777777">
      <w:pPr>
        <w:ind w:left="720"/>
        <w:rPr>
          <w:rFonts w:ascii="Times New Roman" w:hAnsi="Times New Roman"/>
          <w:sz w:val="24"/>
        </w:rPr>
      </w:pPr>
    </w:p>
    <w:p w:rsidR="00E53982" w:rsidP="00C20958" w14:paraId="40ED69DE" w14:textId="77777777">
      <w:pPr>
        <w:widowControl/>
        <w:tabs>
          <w:tab w:val="left" w:pos="720"/>
        </w:tabs>
        <w:autoSpaceDE/>
        <w:autoSpaceDN/>
        <w:adjustRightInd/>
        <w:ind w:left="720"/>
        <w:rPr>
          <w:rFonts w:ascii="Times New Roman" w:hAnsi="Times New Roman"/>
          <w:sz w:val="24"/>
        </w:rPr>
      </w:pPr>
    </w:p>
    <w:p w:rsidR="00EE3C9B" w:rsidRPr="00EE3C9B" w:rsidP="00EE3C9B" w14:paraId="113EDA63" w14:textId="77777777">
      <w:pPr>
        <w:widowControl/>
        <w:tabs>
          <w:tab w:val="left" w:pos="720"/>
        </w:tabs>
        <w:autoSpaceDE/>
        <w:autoSpaceDN/>
        <w:adjustRightInd/>
        <w:ind w:left="720"/>
        <w:rPr>
          <w:rFonts w:ascii="Times New Roman" w:hAnsi="Times New Roman"/>
          <w:sz w:val="24"/>
        </w:rPr>
      </w:pPr>
      <w:r w:rsidRPr="00EE3C9B">
        <w:rPr>
          <w:rFonts w:ascii="Times New Roman" w:hAnsi="Times New Roman"/>
          <w:sz w:val="24"/>
        </w:rPr>
        <w:t xml:space="preserve">Howard Engineering &amp; Geology, Inc. </w:t>
      </w:r>
    </w:p>
    <w:p w:rsidR="00EE3C9B" w:rsidRPr="00EE3C9B" w:rsidP="00EE3C9B" w14:paraId="334CD36B" w14:textId="77777777">
      <w:pPr>
        <w:widowControl/>
        <w:tabs>
          <w:tab w:val="left" w:pos="720"/>
        </w:tabs>
        <w:autoSpaceDE/>
        <w:autoSpaceDN/>
        <w:adjustRightInd/>
        <w:ind w:left="720"/>
        <w:rPr>
          <w:rFonts w:ascii="Times New Roman" w:hAnsi="Times New Roman"/>
          <w:sz w:val="24"/>
        </w:rPr>
      </w:pPr>
      <w:r w:rsidRPr="00EE3C9B">
        <w:rPr>
          <w:rFonts w:ascii="Times New Roman" w:hAnsi="Times New Roman"/>
          <w:sz w:val="24"/>
        </w:rPr>
        <w:t xml:space="preserve">2550 W HWY 72, Suite 1 </w:t>
      </w:r>
    </w:p>
    <w:p w:rsidR="00EE3C9B" w:rsidRPr="00EE3C9B" w:rsidP="00EE3C9B" w14:paraId="25578657" w14:textId="77777777">
      <w:pPr>
        <w:widowControl/>
        <w:tabs>
          <w:tab w:val="left" w:pos="720"/>
        </w:tabs>
        <w:autoSpaceDE/>
        <w:autoSpaceDN/>
        <w:adjustRightInd/>
        <w:ind w:left="720"/>
        <w:rPr>
          <w:rFonts w:ascii="Times New Roman" w:hAnsi="Times New Roman"/>
          <w:sz w:val="24"/>
        </w:rPr>
      </w:pPr>
      <w:r w:rsidRPr="00EE3C9B">
        <w:rPr>
          <w:rFonts w:ascii="Times New Roman" w:hAnsi="Times New Roman"/>
          <w:sz w:val="24"/>
        </w:rPr>
        <w:t>Harlan, KY 40831</w:t>
      </w:r>
    </w:p>
    <w:p w:rsidR="00EE3C9B" w:rsidRPr="00EE3C9B" w:rsidP="00EE3C9B" w14:paraId="32A46DB2" w14:textId="77777777">
      <w:pPr>
        <w:widowControl/>
        <w:tabs>
          <w:tab w:val="left" w:pos="720"/>
        </w:tabs>
        <w:autoSpaceDE/>
        <w:autoSpaceDN/>
        <w:adjustRightInd/>
        <w:ind w:left="720"/>
        <w:rPr>
          <w:rFonts w:ascii="Times New Roman" w:hAnsi="Times New Roman"/>
          <w:sz w:val="24"/>
        </w:rPr>
      </w:pPr>
    </w:p>
    <w:p w:rsidR="00EE3C9B" w:rsidRPr="00EE3C9B" w:rsidP="00EE3C9B" w14:paraId="69110307" w14:textId="77777777">
      <w:pPr>
        <w:widowControl/>
        <w:tabs>
          <w:tab w:val="left" w:pos="720"/>
        </w:tabs>
        <w:autoSpaceDE/>
        <w:autoSpaceDN/>
        <w:adjustRightInd/>
        <w:ind w:left="720"/>
        <w:rPr>
          <w:rFonts w:ascii="Times New Roman" w:hAnsi="Times New Roman"/>
          <w:sz w:val="24"/>
        </w:rPr>
      </w:pPr>
      <w:r w:rsidRPr="00EE3C9B">
        <w:rPr>
          <w:rFonts w:ascii="Times New Roman" w:hAnsi="Times New Roman"/>
          <w:sz w:val="24"/>
        </w:rPr>
        <w:t xml:space="preserve">Schnabel Engineering </w:t>
      </w:r>
    </w:p>
    <w:p w:rsidR="00EE3C9B" w:rsidRPr="00EE3C9B" w:rsidP="00EE3C9B" w14:paraId="4CAE1AAE" w14:textId="77777777">
      <w:pPr>
        <w:widowControl/>
        <w:tabs>
          <w:tab w:val="left" w:pos="720"/>
        </w:tabs>
        <w:autoSpaceDE/>
        <w:autoSpaceDN/>
        <w:adjustRightInd/>
        <w:ind w:left="720"/>
        <w:rPr>
          <w:rFonts w:ascii="Times New Roman" w:hAnsi="Times New Roman"/>
          <w:sz w:val="24"/>
        </w:rPr>
      </w:pPr>
      <w:r w:rsidRPr="00EE3C9B">
        <w:rPr>
          <w:rFonts w:ascii="Times New Roman" w:hAnsi="Times New Roman"/>
          <w:sz w:val="24"/>
        </w:rPr>
        <w:t>10900 Nuckols Rd, Suite 210</w:t>
      </w:r>
    </w:p>
    <w:p w:rsidR="00EE3C9B" w:rsidRPr="00EE3C9B" w:rsidP="00EE3C9B" w14:paraId="4E4257B5" w14:textId="77777777">
      <w:pPr>
        <w:widowControl/>
        <w:tabs>
          <w:tab w:val="left" w:pos="720"/>
        </w:tabs>
        <w:autoSpaceDE/>
        <w:autoSpaceDN/>
        <w:adjustRightInd/>
        <w:ind w:left="720"/>
        <w:rPr>
          <w:rFonts w:ascii="Times New Roman" w:hAnsi="Times New Roman"/>
          <w:sz w:val="24"/>
        </w:rPr>
      </w:pPr>
      <w:r w:rsidRPr="00EE3C9B">
        <w:rPr>
          <w:rFonts w:ascii="Times New Roman" w:hAnsi="Times New Roman"/>
          <w:sz w:val="24"/>
        </w:rPr>
        <w:t>Glen Allen, VA 23060</w:t>
      </w:r>
    </w:p>
    <w:p w:rsidR="00EE3C9B" w:rsidRPr="00EE3C9B" w:rsidP="00EE3C9B" w14:paraId="683B8AFB" w14:textId="77777777">
      <w:pPr>
        <w:widowControl/>
        <w:tabs>
          <w:tab w:val="left" w:pos="720"/>
        </w:tabs>
        <w:autoSpaceDE/>
        <w:autoSpaceDN/>
        <w:adjustRightInd/>
        <w:ind w:left="720"/>
        <w:rPr>
          <w:rFonts w:ascii="Times New Roman" w:hAnsi="Times New Roman"/>
          <w:sz w:val="24"/>
        </w:rPr>
      </w:pPr>
    </w:p>
    <w:p w:rsidR="00EE3C9B" w:rsidRPr="00EE3C9B" w:rsidP="00EE3C9B" w14:paraId="4F4FB126" w14:textId="77777777">
      <w:pPr>
        <w:widowControl/>
        <w:tabs>
          <w:tab w:val="left" w:pos="720"/>
        </w:tabs>
        <w:autoSpaceDE/>
        <w:autoSpaceDN/>
        <w:adjustRightInd/>
        <w:ind w:left="720"/>
        <w:rPr>
          <w:rFonts w:ascii="Times New Roman" w:hAnsi="Times New Roman"/>
          <w:sz w:val="24"/>
        </w:rPr>
      </w:pPr>
      <w:r w:rsidRPr="00EE3C9B">
        <w:rPr>
          <w:rFonts w:ascii="Times New Roman" w:hAnsi="Times New Roman"/>
          <w:sz w:val="24"/>
        </w:rPr>
        <w:t>Montana Department of Environmental Quality</w:t>
      </w:r>
    </w:p>
    <w:p w:rsidR="00EE3C9B" w:rsidRPr="00EE3C9B" w:rsidP="00EE3C9B" w14:paraId="3F4BE335" w14:textId="77777777">
      <w:pPr>
        <w:widowControl/>
        <w:tabs>
          <w:tab w:val="left" w:pos="720"/>
        </w:tabs>
        <w:autoSpaceDE/>
        <w:autoSpaceDN/>
        <w:adjustRightInd/>
        <w:ind w:left="720"/>
        <w:rPr>
          <w:rFonts w:ascii="Times New Roman" w:hAnsi="Times New Roman"/>
          <w:sz w:val="24"/>
        </w:rPr>
      </w:pPr>
      <w:r w:rsidRPr="00EE3C9B">
        <w:rPr>
          <w:rFonts w:ascii="Times New Roman" w:hAnsi="Times New Roman"/>
          <w:sz w:val="24"/>
        </w:rPr>
        <w:t>DEQ Coal Section</w:t>
      </w:r>
    </w:p>
    <w:p w:rsidR="00EE3C9B" w:rsidP="00EE3C9B" w14:paraId="7F64FA63" w14:textId="5D585160">
      <w:pPr>
        <w:widowControl/>
        <w:tabs>
          <w:tab w:val="left" w:pos="720"/>
        </w:tabs>
        <w:autoSpaceDE/>
        <w:autoSpaceDN/>
        <w:adjustRightInd/>
        <w:ind w:left="720"/>
        <w:rPr>
          <w:rFonts w:ascii="Times New Roman" w:hAnsi="Times New Roman"/>
          <w:sz w:val="24"/>
        </w:rPr>
      </w:pPr>
      <w:r w:rsidRPr="00EE3C9B">
        <w:rPr>
          <w:rFonts w:ascii="Times New Roman" w:hAnsi="Times New Roman"/>
          <w:sz w:val="24"/>
        </w:rPr>
        <w:t>1218 E 6th Avenue, Helena, MT 59601</w:t>
      </w:r>
    </w:p>
    <w:p w:rsidR="00EE3C9B" w:rsidP="00D04764" w14:paraId="50D11F9E" w14:textId="77777777">
      <w:pPr>
        <w:ind w:left="720"/>
        <w:rPr>
          <w:rFonts w:ascii="Times New Roman" w:hAnsi="Times New Roman"/>
          <w:sz w:val="24"/>
        </w:rPr>
      </w:pPr>
    </w:p>
    <w:p w:rsidR="00D04764" w:rsidRPr="00E53982" w:rsidP="00D04764" w14:paraId="23AA1074" w14:textId="747BEA1C">
      <w:pPr>
        <w:ind w:left="720"/>
        <w:rPr>
          <w:rFonts w:ascii="Times New Roman" w:hAnsi="Times New Roman"/>
          <w:sz w:val="24"/>
        </w:rPr>
      </w:pPr>
      <w:r w:rsidRPr="00E53982">
        <w:rPr>
          <w:rFonts w:ascii="Times New Roman" w:hAnsi="Times New Roman"/>
          <w:sz w:val="24"/>
        </w:rPr>
        <w:t>Knoxville Field Office, Technical Group</w:t>
      </w:r>
    </w:p>
    <w:p w:rsidR="007A16CA" w:rsidRPr="00E53982" w:rsidP="007A16CA" w14:paraId="627E015A" w14:textId="6C386685">
      <w:pPr>
        <w:ind w:left="720"/>
        <w:rPr>
          <w:rFonts w:ascii="Times New Roman" w:hAnsi="Times New Roman"/>
          <w:sz w:val="24"/>
        </w:rPr>
      </w:pPr>
      <w:r>
        <w:rPr>
          <w:rFonts w:ascii="Times New Roman" w:hAnsi="Times New Roman"/>
          <w:sz w:val="24"/>
        </w:rPr>
        <w:t>710 Locust Street</w:t>
      </w:r>
    </w:p>
    <w:p w:rsidR="00D04764" w:rsidRPr="00E53982" w:rsidP="00D04764" w14:paraId="4E4600F7" w14:textId="69ED40FF">
      <w:pPr>
        <w:ind w:left="720"/>
        <w:rPr>
          <w:rFonts w:ascii="Times New Roman" w:hAnsi="Times New Roman"/>
          <w:sz w:val="24"/>
        </w:rPr>
      </w:pPr>
      <w:r w:rsidRPr="00E53982">
        <w:rPr>
          <w:rFonts w:ascii="Times New Roman" w:hAnsi="Times New Roman"/>
          <w:sz w:val="24"/>
        </w:rPr>
        <w:t>Knoxville, TN  37902</w:t>
      </w:r>
    </w:p>
    <w:p w:rsidR="00D04764" w:rsidRPr="00034ECA" w:rsidP="00D04764" w14:paraId="6E9FE0DD" w14:textId="77777777">
      <w:pPr>
        <w:ind w:left="720"/>
        <w:rPr>
          <w:rFonts w:ascii="Times New Roman" w:hAnsi="Times New Roman"/>
          <w:sz w:val="24"/>
          <w:highlight w:val="yellow"/>
        </w:rPr>
      </w:pPr>
    </w:p>
    <w:p w:rsidR="00D04764" w:rsidRPr="004C02E6" w:rsidP="00D04764" w14:paraId="5334F093" w14:textId="77777777">
      <w:pPr>
        <w:ind w:left="720"/>
        <w:rPr>
          <w:rFonts w:ascii="Times New Roman" w:hAnsi="Times New Roman"/>
          <w:sz w:val="24"/>
        </w:rPr>
      </w:pPr>
    </w:p>
    <w:p w:rsidR="00D04764" w:rsidRPr="004C02E6" w:rsidP="00D04764" w14:paraId="30FE06C1" w14:textId="5442AF3B">
      <w:pPr>
        <w:ind w:left="720"/>
        <w:rPr>
          <w:rFonts w:ascii="Times New Roman" w:hAnsi="Times New Roman"/>
          <w:sz w:val="24"/>
        </w:rPr>
      </w:pPr>
      <w:r>
        <w:rPr>
          <w:rFonts w:ascii="Times New Roman" w:hAnsi="Times New Roman"/>
          <w:sz w:val="24"/>
        </w:rPr>
        <w:t>I</w:t>
      </w:r>
      <w:r w:rsidR="00FA37A7">
        <w:rPr>
          <w:rFonts w:ascii="Times New Roman" w:hAnsi="Times New Roman"/>
          <w:sz w:val="24"/>
        </w:rPr>
        <w:t xml:space="preserve">ndustry and state representatives expressed </w:t>
      </w:r>
      <w:r w:rsidRPr="00E53982">
        <w:rPr>
          <w:rFonts w:ascii="Times New Roman" w:hAnsi="Times New Roman"/>
          <w:sz w:val="24"/>
        </w:rPr>
        <w:t>no concerns regarding the availability of data, frequency of collection, clarity of instructions and record keeping of the required information to be collected.</w:t>
      </w:r>
    </w:p>
    <w:p w:rsidR="00D04764" w:rsidP="00D04764" w14:paraId="1C55DB4E" w14:textId="77777777">
      <w:pPr>
        <w:ind w:left="720"/>
        <w:rPr>
          <w:rFonts w:ascii="Times New Roman" w:hAnsi="Times New Roman"/>
          <w:sz w:val="24"/>
        </w:rPr>
      </w:pPr>
    </w:p>
    <w:p w:rsidR="00D04764" w:rsidRPr="00265F45" w:rsidP="00D04764" w14:paraId="4F7A8CA8" w14:textId="74EFB9AE">
      <w:pPr>
        <w:ind w:left="720"/>
        <w:rPr>
          <w:rFonts w:ascii="Times New Roman" w:hAnsi="Times New Roman"/>
          <w:sz w:val="24"/>
        </w:rPr>
      </w:pPr>
      <w:r w:rsidRPr="00265F45">
        <w:rPr>
          <w:rFonts w:ascii="Times New Roman" w:hAnsi="Times New Roman"/>
          <w:sz w:val="24"/>
        </w:rPr>
        <w:t xml:space="preserve">On </w:t>
      </w:r>
      <w:r w:rsidR="00FA37A7">
        <w:rPr>
          <w:rFonts w:ascii="Times New Roman" w:hAnsi="Times New Roman"/>
          <w:sz w:val="24"/>
        </w:rPr>
        <w:t>August</w:t>
      </w:r>
      <w:r>
        <w:rPr>
          <w:rFonts w:ascii="Times New Roman" w:hAnsi="Times New Roman"/>
          <w:sz w:val="24"/>
        </w:rPr>
        <w:t xml:space="preserve"> </w:t>
      </w:r>
      <w:r w:rsidR="00FA37A7">
        <w:rPr>
          <w:rFonts w:ascii="Times New Roman" w:hAnsi="Times New Roman"/>
          <w:sz w:val="24"/>
        </w:rPr>
        <w:t>28</w:t>
      </w:r>
      <w:r>
        <w:rPr>
          <w:rFonts w:ascii="Times New Roman" w:hAnsi="Times New Roman"/>
          <w:sz w:val="24"/>
        </w:rPr>
        <w:t xml:space="preserve">, </w:t>
      </w:r>
      <w:r w:rsidRPr="00AF0720">
        <w:rPr>
          <w:rFonts w:ascii="Times New Roman" w:hAnsi="Times New Roman"/>
          <w:sz w:val="24"/>
        </w:rPr>
        <w:t>20</w:t>
      </w:r>
      <w:r w:rsidR="005F3DF1">
        <w:rPr>
          <w:rFonts w:ascii="Times New Roman" w:hAnsi="Times New Roman"/>
          <w:sz w:val="24"/>
        </w:rPr>
        <w:t>2</w:t>
      </w:r>
      <w:r w:rsidR="00FA37A7">
        <w:rPr>
          <w:rFonts w:ascii="Times New Roman" w:hAnsi="Times New Roman"/>
          <w:sz w:val="24"/>
        </w:rPr>
        <w:t>4</w:t>
      </w:r>
      <w:r w:rsidRPr="00AF0720">
        <w:rPr>
          <w:rFonts w:ascii="Times New Roman" w:hAnsi="Times New Roman"/>
          <w:sz w:val="24"/>
        </w:rPr>
        <w:t>, OSMRE</w:t>
      </w:r>
      <w:r>
        <w:rPr>
          <w:rFonts w:ascii="Times New Roman" w:hAnsi="Times New Roman"/>
          <w:sz w:val="24"/>
        </w:rPr>
        <w:t xml:space="preserve"> </w:t>
      </w:r>
      <w:r w:rsidRPr="00265F45">
        <w:rPr>
          <w:rFonts w:ascii="Times New Roman" w:hAnsi="Times New Roman"/>
          <w:sz w:val="24"/>
        </w:rPr>
        <w:t xml:space="preserve">published in the </w:t>
      </w:r>
      <w:r w:rsidRPr="00265F45">
        <w:rPr>
          <w:rFonts w:ascii="Times New Roman" w:hAnsi="Times New Roman"/>
          <w:sz w:val="24"/>
          <w:u w:val="single"/>
        </w:rPr>
        <w:t>Federal</w:t>
      </w:r>
      <w:r w:rsidRPr="00265F45">
        <w:rPr>
          <w:rFonts w:ascii="Times New Roman" w:hAnsi="Times New Roman"/>
          <w:sz w:val="24"/>
        </w:rPr>
        <w:t xml:space="preserve"> </w:t>
      </w:r>
      <w:r w:rsidRPr="00AF0720">
        <w:rPr>
          <w:rFonts w:ascii="Times New Roman" w:hAnsi="Times New Roman"/>
          <w:sz w:val="24"/>
          <w:u w:val="single"/>
        </w:rPr>
        <w:t>Register</w:t>
      </w:r>
      <w:r w:rsidRPr="00AF0720">
        <w:rPr>
          <w:rFonts w:ascii="Times New Roman" w:hAnsi="Times New Roman"/>
          <w:sz w:val="24"/>
        </w:rPr>
        <w:t xml:space="preserve"> (</w:t>
      </w:r>
      <w:r>
        <w:rPr>
          <w:rFonts w:ascii="Times New Roman" w:hAnsi="Times New Roman"/>
          <w:sz w:val="24"/>
        </w:rPr>
        <w:t>8</w:t>
      </w:r>
      <w:r w:rsidR="00FA37A7">
        <w:rPr>
          <w:rFonts w:ascii="Times New Roman" w:hAnsi="Times New Roman"/>
          <w:sz w:val="24"/>
        </w:rPr>
        <w:t>9</w:t>
      </w:r>
      <w:r w:rsidRPr="00AF0720">
        <w:rPr>
          <w:rFonts w:ascii="Times New Roman" w:hAnsi="Times New Roman"/>
          <w:sz w:val="24"/>
        </w:rPr>
        <w:t xml:space="preserve"> FR </w:t>
      </w:r>
      <w:r w:rsidR="00FA37A7">
        <w:rPr>
          <w:rFonts w:ascii="Times New Roman" w:hAnsi="Times New Roman"/>
          <w:sz w:val="24"/>
        </w:rPr>
        <w:t>68927</w:t>
      </w:r>
      <w:r>
        <w:rPr>
          <w:rFonts w:ascii="Times New Roman" w:hAnsi="Times New Roman"/>
          <w:sz w:val="24"/>
        </w:rPr>
        <w:t>)</w:t>
      </w:r>
      <w:r w:rsidRPr="00AF0720">
        <w:rPr>
          <w:rFonts w:ascii="Times New Roman" w:hAnsi="Times New Roman"/>
          <w:sz w:val="24"/>
        </w:rPr>
        <w:t xml:space="preserve"> a notice</w:t>
      </w:r>
      <w:r w:rsidRPr="00265F45">
        <w:rPr>
          <w:rFonts w:ascii="Times New Roman" w:hAnsi="Times New Roman"/>
          <w:sz w:val="24"/>
        </w:rPr>
        <w:t xml:space="preserve"> requesting comments from the public regarding the need for the collection of information, the accuracy of the burden estimate, ways to enhance the information collection, and ways to minimize the burden on respondents.  This notice gave the public 60 days in which to comment.  </w:t>
      </w:r>
      <w:r>
        <w:rPr>
          <w:rFonts w:ascii="Times New Roman" w:hAnsi="Times New Roman"/>
          <w:sz w:val="24"/>
        </w:rPr>
        <w:t xml:space="preserve">No comments were received during this comment period. </w:t>
      </w:r>
    </w:p>
    <w:p w:rsidR="00D04764" w:rsidRPr="00265F45" w:rsidP="00D04764" w14:paraId="2B72DC81" w14:textId="77777777">
      <w:pPr>
        <w:widowControl/>
        <w:rPr>
          <w:rFonts w:ascii="Times New Roman" w:hAnsi="Times New Roman"/>
          <w:sz w:val="24"/>
        </w:rPr>
      </w:pPr>
    </w:p>
    <w:p w:rsidR="00A57FED" w:rsidRPr="004C02E6" w:rsidP="00A57FED" w14:paraId="3E1945BB" w14:textId="708201A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p>
    <w:p w:rsidR="00A57FED" w:rsidRPr="004C02E6" w:rsidP="00A57FED" w14:paraId="6A94DB44"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p>
    <w:p w:rsidR="00360331" w:rsidRPr="00265F45" w:rsidP="00360331" w14:paraId="1A283210" w14:textId="77777777">
      <w:pPr>
        <w:tabs>
          <w:tab w:val="left" w:pos="-1440"/>
        </w:tabs>
        <w:ind w:left="720" w:hanging="720"/>
        <w:rPr>
          <w:rFonts w:ascii="Times New Roman" w:hAnsi="Times New Roman"/>
          <w:sz w:val="24"/>
        </w:rPr>
      </w:pPr>
      <w:r w:rsidRPr="004C02E6">
        <w:rPr>
          <w:rFonts w:ascii="Times New Roman" w:hAnsi="Times New Roman"/>
          <w:b/>
          <w:i/>
          <w:sz w:val="24"/>
        </w:rPr>
        <w:t>9.</w:t>
      </w:r>
      <w:r w:rsidRPr="004C02E6">
        <w:rPr>
          <w:rFonts w:ascii="Times New Roman" w:hAnsi="Times New Roman"/>
          <w:b/>
          <w:i/>
          <w:sz w:val="24"/>
        </w:rPr>
        <w:tab/>
        <w:t>Explain any decision to provide any payment or gift to respondents, other than remuneration of contractors or grantees.</w:t>
      </w:r>
      <w:r>
        <w:rPr>
          <w:rFonts w:ascii="Times New Roman" w:hAnsi="Times New Roman"/>
          <w:b/>
          <w:i/>
          <w:sz w:val="24"/>
        </w:rPr>
        <w:br/>
      </w:r>
      <w:r>
        <w:rPr>
          <w:rFonts w:ascii="Times New Roman" w:hAnsi="Times New Roman"/>
          <w:b/>
          <w:i/>
          <w:sz w:val="24"/>
        </w:rPr>
        <w:br/>
      </w:r>
      <w:r w:rsidRPr="00265F45">
        <w:rPr>
          <w:rFonts w:ascii="Times New Roman" w:hAnsi="Times New Roman"/>
          <w:sz w:val="24"/>
        </w:rPr>
        <w:t xml:space="preserve">Payments or gifts are not provided to respondents. </w:t>
      </w:r>
    </w:p>
    <w:p w:rsidR="00A57FED" w:rsidRPr="004C02E6" w:rsidP="00A57FED" w14:paraId="6BACB2B7" w14:textId="13153EC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p>
    <w:p w:rsidR="00A57FED" w:rsidRPr="004C02E6" w:rsidP="00A57FED" w14:paraId="5B510FB7"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p>
    <w:p w:rsidR="00433350" w:rsidRPr="004C02E6" w:rsidP="00433350" w14:paraId="02F28326" w14:textId="77777777">
      <w:pPr>
        <w:pStyle w:val="BodyTextIndent3"/>
      </w:pPr>
      <w:r w:rsidRPr="004C02E6">
        <w:rPr>
          <w:b/>
          <w:i/>
        </w:rPr>
        <w:t>10.</w:t>
      </w:r>
      <w:r w:rsidRPr="004C02E6">
        <w:rPr>
          <w:b/>
          <w:i/>
        </w:rPr>
        <w:tab/>
        <w:t>Describe any assurance of confidentiality provided to respondents and the basis for the assurance in statute, regulation, or agency policy.</w:t>
      </w:r>
      <w:r>
        <w:rPr>
          <w:b/>
          <w:i/>
        </w:rPr>
        <w:br/>
      </w:r>
      <w:r>
        <w:rPr>
          <w:b/>
          <w:i/>
        </w:rPr>
        <w:br/>
      </w:r>
      <w:r w:rsidRPr="004C02E6">
        <w:t xml:space="preserve">While </w:t>
      </w:r>
      <w:r>
        <w:t xml:space="preserve">Sections </w:t>
      </w:r>
      <w:r w:rsidRPr="004C02E6">
        <w:t xml:space="preserve">507(b)(17), 508(a)(12), and 508(b) of the Surface Mining Control and Reclamation Act (SMCRA or the Act) require that certain types of permit application information may be kept confidential, 30 CFR 773.13(d) specifies that each permit application must be available for public inspection.  The applicant has the right to request confidentiality for certain types of information in the application, such as analyses of the physical and chemical properties of the coal and the location of archaeological resources. </w:t>
      </w:r>
    </w:p>
    <w:p w:rsidR="00A57FED" w:rsidRPr="004C02E6" w:rsidP="00A57FED" w14:paraId="4FD4B56C" w14:textId="2C9E04F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Pr>
          <w:rFonts w:ascii="Times New Roman" w:hAnsi="Times New Roman"/>
          <w:b/>
          <w:i/>
          <w:sz w:val="24"/>
        </w:rPr>
        <w:br/>
      </w:r>
    </w:p>
    <w:p w:rsidR="00A57FED" w:rsidRPr="004C02E6" w:rsidP="00A57FED" w14:paraId="2E40D73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p>
    <w:p w:rsidR="00B94A22" w:rsidRPr="004C02E6" w:rsidP="00B94A22" w14:paraId="0B23032C" w14:textId="77777777">
      <w:pPr>
        <w:tabs>
          <w:tab w:val="left" w:pos="-1440"/>
        </w:tabs>
        <w:ind w:left="720" w:hanging="720"/>
        <w:rPr>
          <w:rFonts w:ascii="Times New Roman" w:hAnsi="Times New Roman"/>
          <w:sz w:val="24"/>
        </w:rPr>
      </w:pPr>
      <w:r w:rsidRPr="004C02E6">
        <w:rPr>
          <w:rFonts w:ascii="Times New Roman" w:hAnsi="Times New Roman"/>
          <w:b/>
          <w:i/>
          <w:sz w:val="24"/>
        </w:rPr>
        <w:t>11.</w:t>
      </w:r>
      <w:r w:rsidRPr="004C02E6">
        <w:rPr>
          <w:rFonts w:ascii="Times New Roman" w:hAnsi="Times New Roman"/>
          <w:b/>
          <w:i/>
          <w:sz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Pr>
          <w:rFonts w:ascii="Times New Roman" w:hAnsi="Times New Roman"/>
          <w:b/>
          <w:i/>
          <w:sz w:val="24"/>
        </w:rPr>
        <w:br/>
      </w:r>
      <w:r>
        <w:rPr>
          <w:rFonts w:ascii="Times New Roman" w:hAnsi="Times New Roman"/>
          <w:b/>
          <w:i/>
          <w:sz w:val="24"/>
        </w:rPr>
        <w:br/>
      </w:r>
      <w:r>
        <w:rPr>
          <w:rFonts w:ascii="Times New Roman" w:hAnsi="Times New Roman"/>
          <w:b/>
          <w:i/>
          <w:sz w:val="24"/>
        </w:rPr>
        <w:br/>
      </w:r>
      <w:r>
        <w:rPr>
          <w:rFonts w:ascii="Times New Roman" w:hAnsi="Times New Roman"/>
          <w:sz w:val="24"/>
        </w:rPr>
        <w:t>S</w:t>
      </w:r>
      <w:r w:rsidRPr="004C02E6">
        <w:rPr>
          <w:rFonts w:ascii="Times New Roman" w:hAnsi="Times New Roman"/>
          <w:sz w:val="24"/>
        </w:rPr>
        <w:t>ensitive questions are not asked.</w:t>
      </w:r>
    </w:p>
    <w:p w:rsidR="00A57FED" w:rsidRPr="004C02E6" w:rsidP="00A57FED" w14:paraId="088C15F2" w14:textId="593D563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Pr>
          <w:rFonts w:ascii="Times New Roman" w:hAnsi="Times New Roman"/>
          <w:b/>
          <w:i/>
          <w:sz w:val="24"/>
        </w:rPr>
        <w:br/>
      </w:r>
      <w:r>
        <w:rPr>
          <w:rFonts w:ascii="Times New Roman" w:hAnsi="Times New Roman"/>
          <w:b/>
          <w:i/>
          <w:sz w:val="24"/>
        </w:rPr>
        <w:br/>
      </w:r>
    </w:p>
    <w:p w:rsidR="00A57FED" w:rsidRPr="004C02E6" w:rsidP="00A57FED" w14:paraId="01329FA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p>
    <w:p w:rsidR="00A57FED" w:rsidRPr="003F5684" w:rsidP="00A57FED" w14:paraId="0E23D97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4C02E6">
        <w:rPr>
          <w:rFonts w:ascii="Times New Roman" w:hAnsi="Times New Roman"/>
          <w:b/>
          <w:i/>
          <w:sz w:val="24"/>
        </w:rPr>
        <w:t>12.</w:t>
      </w:r>
      <w:r w:rsidRPr="004C02E6">
        <w:rPr>
          <w:rFonts w:ascii="Times New Roman" w:hAnsi="Times New Roman"/>
          <w:b/>
          <w:i/>
          <w:sz w:val="24"/>
        </w:rPr>
        <w:tab/>
      </w:r>
      <w:r w:rsidRPr="003F5684">
        <w:rPr>
          <w:rFonts w:ascii="Times New Roman" w:hAnsi="Times New Roman"/>
          <w:b/>
          <w:i/>
          <w:sz w:val="24"/>
        </w:rPr>
        <w:t>Provide estimates of the hour burden of the collection of information.  The statement should:</w:t>
      </w:r>
    </w:p>
    <w:p w:rsidR="00A57FED" w:rsidRPr="003F5684" w:rsidP="00A57FED" w14:paraId="105A26CA"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3F5684">
        <w:rPr>
          <w:rFonts w:ascii="Times New Roman" w:hAnsi="Times New Roman"/>
          <w:b/>
          <w:i/>
          <w:sz w:val="24"/>
        </w:rPr>
        <w:tab/>
        <w:t>*</w:t>
      </w:r>
      <w:r w:rsidRPr="003F5684">
        <w:rPr>
          <w:rFonts w:ascii="Times New Roman" w:hAnsi="Times New Roman"/>
          <w:b/>
          <w:i/>
          <w:sz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A57FED" w:rsidRPr="003F5684" w:rsidP="00A57FED" w14:paraId="6D8EC4B8"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3F5684">
        <w:rPr>
          <w:rFonts w:ascii="Times New Roman" w:hAnsi="Times New Roman"/>
          <w:b/>
          <w:i/>
          <w:sz w:val="24"/>
        </w:rPr>
        <w:tab/>
        <w:t>*</w:t>
      </w:r>
      <w:r w:rsidRPr="003F5684">
        <w:rPr>
          <w:rFonts w:ascii="Times New Roman" w:hAnsi="Times New Roman"/>
          <w:b/>
          <w:i/>
          <w:sz w:val="24"/>
        </w:rPr>
        <w:tab/>
        <w:t>If this request for approval covers more than one form, provide separate hour burden estimates for each form and aggregate the hour burdens.</w:t>
      </w:r>
    </w:p>
    <w:p w:rsidR="003F5684" w:rsidP="00E9545D" w14:paraId="2821A65C" w14:textId="685A5CC0">
      <w:pPr>
        <w:tabs>
          <w:tab w:val="left" w:pos="-1440"/>
        </w:tabs>
        <w:ind w:left="720" w:hanging="720"/>
        <w:rPr>
          <w:rFonts w:ascii="Times New Roman" w:hAnsi="Times New Roman"/>
          <w:sz w:val="24"/>
        </w:rPr>
      </w:pPr>
      <w:r w:rsidRPr="003F5684">
        <w:rPr>
          <w:rFonts w:ascii="Times New Roman" w:hAnsi="Times New Roman"/>
          <w:b/>
          <w:i/>
          <w:sz w:val="24"/>
        </w:rPr>
        <w:tab/>
        <w:t>*</w:t>
      </w:r>
      <w:r w:rsidRPr="003F5684">
        <w:rPr>
          <w:rFonts w:ascii="Times New Roman" w:hAnsi="Times New Roman"/>
          <w:b/>
          <w:i/>
          <w:sz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r w:rsidRPr="003F5684" w:rsidR="00F70F65">
        <w:rPr>
          <w:rFonts w:ascii="Times New Roman" w:hAnsi="Times New Roman"/>
          <w:b/>
          <w:i/>
          <w:sz w:val="24"/>
        </w:rPr>
        <w:br/>
      </w:r>
      <w:r w:rsidRPr="003F5684" w:rsidR="00E9545D">
        <w:rPr>
          <w:rFonts w:ascii="Times New Roman" w:hAnsi="Times New Roman"/>
          <w:b/>
          <w:i/>
          <w:sz w:val="24"/>
        </w:rPr>
        <w:br/>
      </w:r>
      <w:r w:rsidRPr="004C02E6" w:rsidR="00E9545D">
        <w:rPr>
          <w:rFonts w:ascii="Times New Roman" w:hAnsi="Times New Roman"/>
          <w:sz w:val="24"/>
        </w:rPr>
        <w:t>a.</w:t>
      </w:r>
      <w:r w:rsidRPr="004C02E6" w:rsidR="00E9545D">
        <w:rPr>
          <w:rFonts w:ascii="Times New Roman" w:hAnsi="Times New Roman"/>
          <w:sz w:val="24"/>
        </w:rPr>
        <w:tab/>
      </w:r>
      <w:r w:rsidRPr="004C02E6" w:rsidR="00E9545D">
        <w:rPr>
          <w:rFonts w:ascii="Times New Roman" w:hAnsi="Times New Roman"/>
          <w:sz w:val="24"/>
          <w:u w:val="single"/>
        </w:rPr>
        <w:t>Estimate of Burden to Respondents</w:t>
      </w:r>
      <w:r w:rsidRPr="004C02E6" w:rsidR="00E9545D">
        <w:rPr>
          <w:rFonts w:ascii="Times New Roman" w:hAnsi="Times New Roman"/>
          <w:sz w:val="24"/>
        </w:rPr>
        <w:t>:</w:t>
      </w:r>
    </w:p>
    <w:p w:rsidR="00E53982" w:rsidRPr="00E53982" w:rsidP="00E53982" w14:paraId="2241AE66" w14:textId="14BBD175">
      <w:pPr>
        <w:tabs>
          <w:tab w:val="left" w:pos="-1440"/>
        </w:tabs>
        <w:ind w:left="720" w:hanging="720"/>
        <w:rPr>
          <w:rFonts w:ascii="Times New Roman" w:hAnsi="Times New Roman"/>
          <w:sz w:val="24"/>
        </w:rPr>
      </w:pPr>
      <w:r>
        <w:rPr>
          <w:rFonts w:ascii="Times New Roman" w:hAnsi="Times New Roman"/>
          <w:sz w:val="24"/>
        </w:rPr>
        <w:tab/>
      </w:r>
      <w:r w:rsidRPr="00E53982">
        <w:rPr>
          <w:rFonts w:ascii="Times New Roman" w:hAnsi="Times New Roman"/>
          <w:sz w:val="24"/>
        </w:rPr>
        <w:t>The total number of applicant responses is estimated to be 1</w:t>
      </w:r>
      <w:r w:rsidR="00DE4EF3">
        <w:rPr>
          <w:rFonts w:ascii="Times New Roman" w:hAnsi="Times New Roman"/>
          <w:sz w:val="24"/>
        </w:rPr>
        <w:t>00</w:t>
      </w:r>
      <w:r w:rsidRPr="00E53982">
        <w:rPr>
          <w:rFonts w:ascii="Times New Roman" w:hAnsi="Times New Roman"/>
          <w:sz w:val="24"/>
        </w:rPr>
        <w:t xml:space="preserve"> (</w:t>
      </w:r>
      <w:r w:rsidR="00DE4EF3">
        <w:rPr>
          <w:rFonts w:ascii="Times New Roman" w:hAnsi="Times New Roman"/>
          <w:sz w:val="24"/>
        </w:rPr>
        <w:t>44</w:t>
      </w:r>
      <w:r w:rsidRPr="00E53982">
        <w:rPr>
          <w:rFonts w:ascii="Times New Roman" w:hAnsi="Times New Roman"/>
          <w:sz w:val="24"/>
        </w:rPr>
        <w:t xml:space="preserve"> new permits + </w:t>
      </w:r>
      <w:r w:rsidR="00DE4EF3">
        <w:rPr>
          <w:rFonts w:ascii="Times New Roman" w:hAnsi="Times New Roman"/>
          <w:sz w:val="24"/>
        </w:rPr>
        <w:t>56</w:t>
      </w:r>
      <w:r w:rsidRPr="00E53982">
        <w:rPr>
          <w:rFonts w:ascii="Times New Roman" w:hAnsi="Times New Roman"/>
          <w:sz w:val="24"/>
        </w:rPr>
        <w:t xml:space="preserve"> significant revisions)</w:t>
      </w:r>
      <w:r w:rsidR="003C2A14">
        <w:rPr>
          <w:rFonts w:ascii="Times New Roman" w:hAnsi="Times New Roman"/>
          <w:sz w:val="24"/>
        </w:rPr>
        <w:t xml:space="preserve">, a reduction of 25 since the </w:t>
      </w:r>
      <w:r w:rsidR="00037F0D">
        <w:rPr>
          <w:rFonts w:ascii="Times New Roman" w:hAnsi="Times New Roman"/>
          <w:sz w:val="24"/>
        </w:rPr>
        <w:t xml:space="preserve">previous </w:t>
      </w:r>
      <w:r w:rsidR="003C2A14">
        <w:rPr>
          <w:rFonts w:ascii="Times New Roman" w:hAnsi="Times New Roman"/>
          <w:sz w:val="24"/>
        </w:rPr>
        <w:t>renewal of this collection</w:t>
      </w:r>
      <w:r w:rsidRPr="00E53982">
        <w:rPr>
          <w:rFonts w:ascii="Times New Roman" w:hAnsi="Times New Roman"/>
          <w:sz w:val="24"/>
        </w:rPr>
        <w:t xml:space="preserve">.  </w:t>
      </w:r>
      <w:r w:rsidR="003C2A14">
        <w:rPr>
          <w:rFonts w:ascii="Times New Roman" w:hAnsi="Times New Roman"/>
          <w:sz w:val="24"/>
        </w:rPr>
        <w:t xml:space="preserve">The annual estimate is based actual permitting activity of the most recent years (FY2021-FY2024).  This reflects the ongoing decline in mining over the past decade. </w:t>
      </w:r>
      <w:r w:rsidRPr="00E53982">
        <w:rPr>
          <w:rFonts w:ascii="Times New Roman" w:hAnsi="Times New Roman"/>
          <w:sz w:val="24"/>
        </w:rPr>
        <w:t>Of the 1</w:t>
      </w:r>
      <w:r w:rsidR="003C2A14">
        <w:rPr>
          <w:rFonts w:ascii="Times New Roman" w:hAnsi="Times New Roman"/>
          <w:sz w:val="24"/>
        </w:rPr>
        <w:t>00</w:t>
      </w:r>
      <w:r w:rsidRPr="00E53982">
        <w:rPr>
          <w:rFonts w:ascii="Times New Roman" w:hAnsi="Times New Roman"/>
          <w:sz w:val="24"/>
        </w:rPr>
        <w:t xml:space="preserve"> </w:t>
      </w:r>
      <w:r w:rsidRPr="00E53982">
        <w:rPr>
          <w:rFonts w:ascii="Times New Roman" w:hAnsi="Times New Roman"/>
          <w:sz w:val="24"/>
        </w:rPr>
        <w:t xml:space="preserve">total </w:t>
      </w:r>
      <w:r w:rsidR="00D8607B">
        <w:rPr>
          <w:rFonts w:ascii="Times New Roman" w:hAnsi="Times New Roman"/>
          <w:sz w:val="24"/>
        </w:rPr>
        <w:t xml:space="preserve">applications </w:t>
      </w:r>
      <w:r w:rsidRPr="00E53982">
        <w:rPr>
          <w:rFonts w:ascii="Times New Roman" w:hAnsi="Times New Roman"/>
          <w:sz w:val="24"/>
        </w:rPr>
        <w:t xml:space="preserve">from </w:t>
      </w:r>
      <w:r w:rsidR="0046473A">
        <w:rPr>
          <w:rFonts w:ascii="Times New Roman" w:hAnsi="Times New Roman"/>
          <w:sz w:val="24"/>
        </w:rPr>
        <w:t>permittees,</w:t>
      </w:r>
      <w:r w:rsidRPr="00E53982">
        <w:rPr>
          <w:rFonts w:ascii="Times New Roman" w:hAnsi="Times New Roman"/>
          <w:sz w:val="24"/>
        </w:rPr>
        <w:t xml:space="preserve"> we estimate that </w:t>
      </w:r>
      <w:r w:rsidR="003C2A14">
        <w:rPr>
          <w:rFonts w:ascii="Times New Roman" w:hAnsi="Times New Roman"/>
          <w:sz w:val="24"/>
        </w:rPr>
        <w:t>94</w:t>
      </w:r>
      <w:r w:rsidRPr="00E53982">
        <w:rPr>
          <w:rFonts w:ascii="Times New Roman" w:hAnsi="Times New Roman"/>
          <w:sz w:val="24"/>
        </w:rPr>
        <w:t xml:space="preserve"> </w:t>
      </w:r>
      <w:r w:rsidR="00D8607B">
        <w:rPr>
          <w:rFonts w:ascii="Times New Roman" w:hAnsi="Times New Roman"/>
          <w:sz w:val="24"/>
        </w:rPr>
        <w:t xml:space="preserve">of the </w:t>
      </w:r>
      <w:r w:rsidR="003C2A14">
        <w:rPr>
          <w:rFonts w:ascii="Times New Roman" w:hAnsi="Times New Roman"/>
          <w:sz w:val="24"/>
        </w:rPr>
        <w:t>application</w:t>
      </w:r>
      <w:r w:rsidR="00D8607B">
        <w:rPr>
          <w:rFonts w:ascii="Times New Roman" w:hAnsi="Times New Roman"/>
          <w:sz w:val="24"/>
        </w:rPr>
        <w:t>s</w:t>
      </w:r>
      <w:r w:rsidR="003C2A14">
        <w:rPr>
          <w:rFonts w:ascii="Times New Roman" w:hAnsi="Times New Roman"/>
          <w:sz w:val="24"/>
        </w:rPr>
        <w:t xml:space="preserve"> will be  </w:t>
      </w:r>
      <w:r w:rsidRPr="00E53982">
        <w:rPr>
          <w:rFonts w:ascii="Times New Roman" w:hAnsi="Times New Roman"/>
          <w:sz w:val="24"/>
        </w:rPr>
        <w:t xml:space="preserve"> </w:t>
      </w:r>
      <w:r w:rsidR="00037F0D">
        <w:rPr>
          <w:rFonts w:ascii="Times New Roman" w:hAnsi="Times New Roman"/>
          <w:sz w:val="24"/>
        </w:rPr>
        <w:t xml:space="preserve">processed by </w:t>
      </w:r>
      <w:r w:rsidRPr="00E53982">
        <w:rPr>
          <w:rFonts w:ascii="Times New Roman" w:hAnsi="Times New Roman"/>
          <w:sz w:val="24"/>
        </w:rPr>
        <w:t>2</w:t>
      </w:r>
      <w:r w:rsidR="00DE4EF3">
        <w:rPr>
          <w:rFonts w:ascii="Times New Roman" w:hAnsi="Times New Roman"/>
          <w:sz w:val="24"/>
        </w:rPr>
        <w:t>3</w:t>
      </w:r>
      <w:r w:rsidRPr="00E53982">
        <w:rPr>
          <w:rFonts w:ascii="Times New Roman" w:hAnsi="Times New Roman"/>
          <w:sz w:val="24"/>
        </w:rPr>
        <w:t xml:space="preserve"> states with regulatory authority, and the remaining </w:t>
      </w:r>
      <w:r w:rsidR="00A9056B">
        <w:rPr>
          <w:rFonts w:ascii="Times New Roman" w:hAnsi="Times New Roman"/>
          <w:sz w:val="24"/>
        </w:rPr>
        <w:t>six</w:t>
      </w:r>
      <w:r w:rsidRPr="00E53982">
        <w:rPr>
          <w:rFonts w:ascii="Times New Roman" w:hAnsi="Times New Roman"/>
          <w:sz w:val="24"/>
        </w:rPr>
        <w:t xml:space="preserve"> (2 new permits and </w:t>
      </w:r>
      <w:r w:rsidR="008E3FFA">
        <w:rPr>
          <w:rFonts w:ascii="Times New Roman" w:hAnsi="Times New Roman"/>
          <w:sz w:val="24"/>
        </w:rPr>
        <w:t>4</w:t>
      </w:r>
      <w:r w:rsidRPr="00E53982">
        <w:rPr>
          <w:rFonts w:ascii="Times New Roman" w:hAnsi="Times New Roman"/>
          <w:sz w:val="24"/>
        </w:rPr>
        <w:t xml:space="preserve"> significant revisions) will be</w:t>
      </w:r>
      <w:r w:rsidR="00037F0D">
        <w:rPr>
          <w:rFonts w:ascii="Times New Roman" w:hAnsi="Times New Roman"/>
          <w:sz w:val="24"/>
        </w:rPr>
        <w:t xml:space="preserve"> processed </w:t>
      </w:r>
      <w:r w:rsidRPr="00E53982">
        <w:rPr>
          <w:rFonts w:ascii="Times New Roman" w:hAnsi="Times New Roman"/>
          <w:sz w:val="24"/>
        </w:rPr>
        <w:t xml:space="preserve">where OSMRE is the regulatory authority.  </w:t>
      </w:r>
      <w:r>
        <w:rPr>
          <w:rFonts w:ascii="Times New Roman" w:hAnsi="Times New Roman"/>
          <w:sz w:val="24"/>
        </w:rPr>
        <w:t xml:space="preserve">There </w:t>
      </w:r>
      <w:r w:rsidR="00D760A4">
        <w:rPr>
          <w:rFonts w:ascii="Times New Roman" w:hAnsi="Times New Roman"/>
          <w:sz w:val="24"/>
        </w:rPr>
        <w:t>are</w:t>
      </w:r>
      <w:r w:rsidR="003A5AD7">
        <w:rPr>
          <w:rFonts w:ascii="Times New Roman" w:hAnsi="Times New Roman"/>
          <w:sz w:val="24"/>
        </w:rPr>
        <w:t xml:space="preserve"> no </w:t>
      </w:r>
      <w:r w:rsidR="00037F0D">
        <w:rPr>
          <w:rFonts w:ascii="Times New Roman" w:hAnsi="Times New Roman"/>
          <w:sz w:val="24"/>
        </w:rPr>
        <w:t xml:space="preserve">expected </w:t>
      </w:r>
      <w:r w:rsidR="003A5AD7">
        <w:rPr>
          <w:rFonts w:ascii="Times New Roman" w:hAnsi="Times New Roman"/>
          <w:sz w:val="24"/>
        </w:rPr>
        <w:t>change</w:t>
      </w:r>
      <w:r w:rsidR="00D760A4">
        <w:rPr>
          <w:rFonts w:ascii="Times New Roman" w:hAnsi="Times New Roman"/>
          <w:sz w:val="24"/>
        </w:rPr>
        <w:t>s</w:t>
      </w:r>
      <w:r w:rsidR="003A5AD7">
        <w:rPr>
          <w:rFonts w:ascii="Times New Roman" w:hAnsi="Times New Roman"/>
          <w:sz w:val="24"/>
        </w:rPr>
        <w:t xml:space="preserve"> in hours per response </w:t>
      </w:r>
      <w:r w:rsidR="00037F0D">
        <w:rPr>
          <w:rFonts w:ascii="Times New Roman" w:hAnsi="Times New Roman"/>
          <w:sz w:val="24"/>
        </w:rPr>
        <w:t>given th</w:t>
      </w:r>
      <w:r w:rsidR="00D760A4">
        <w:rPr>
          <w:rFonts w:ascii="Times New Roman" w:hAnsi="Times New Roman"/>
          <w:sz w:val="24"/>
        </w:rPr>
        <w:t>at</w:t>
      </w:r>
      <w:r w:rsidR="00037F0D">
        <w:rPr>
          <w:rFonts w:ascii="Times New Roman" w:hAnsi="Times New Roman"/>
          <w:sz w:val="24"/>
        </w:rPr>
        <w:t xml:space="preserve"> compliance </w:t>
      </w:r>
      <w:r w:rsidR="00D8607B">
        <w:rPr>
          <w:rFonts w:ascii="Times New Roman" w:hAnsi="Times New Roman"/>
          <w:sz w:val="24"/>
        </w:rPr>
        <w:t xml:space="preserve">requirements remain </w:t>
      </w:r>
      <w:r w:rsidR="00037F0D">
        <w:rPr>
          <w:rFonts w:ascii="Times New Roman" w:hAnsi="Times New Roman"/>
          <w:sz w:val="24"/>
        </w:rPr>
        <w:t>unchanged</w:t>
      </w:r>
      <w:r w:rsidR="00D8607B">
        <w:rPr>
          <w:rFonts w:ascii="Times New Roman" w:hAnsi="Times New Roman"/>
          <w:sz w:val="24"/>
        </w:rPr>
        <w:t xml:space="preserve"> for all sections</w:t>
      </w:r>
      <w:r w:rsidR="00037F0D">
        <w:rPr>
          <w:rFonts w:ascii="Times New Roman" w:hAnsi="Times New Roman"/>
          <w:sz w:val="24"/>
        </w:rPr>
        <w:t xml:space="preserve">. </w:t>
      </w:r>
      <w:r w:rsidRPr="00E53982">
        <w:rPr>
          <w:rFonts w:ascii="Times New Roman" w:hAnsi="Times New Roman"/>
          <w:sz w:val="24"/>
        </w:rPr>
        <w:t xml:space="preserve">Consequently, </w:t>
      </w:r>
      <w:r w:rsidR="00D8607B">
        <w:rPr>
          <w:rFonts w:ascii="Times New Roman" w:hAnsi="Times New Roman"/>
          <w:sz w:val="24"/>
        </w:rPr>
        <w:t xml:space="preserve">with reduced responses from permitting activity </w:t>
      </w:r>
      <w:r w:rsidRPr="00E53982">
        <w:rPr>
          <w:rFonts w:ascii="Times New Roman" w:hAnsi="Times New Roman"/>
          <w:sz w:val="24"/>
        </w:rPr>
        <w:t xml:space="preserve">this </w:t>
      </w:r>
      <w:r w:rsidR="00A9056B">
        <w:rPr>
          <w:rFonts w:ascii="Times New Roman" w:hAnsi="Times New Roman"/>
          <w:sz w:val="24"/>
        </w:rPr>
        <w:t xml:space="preserve">renewal </w:t>
      </w:r>
      <w:r w:rsidRPr="00E53982">
        <w:rPr>
          <w:rFonts w:ascii="Times New Roman" w:hAnsi="Times New Roman"/>
          <w:sz w:val="24"/>
        </w:rPr>
        <w:t xml:space="preserve">requests a decrease of </w:t>
      </w:r>
      <w:r w:rsidR="00D760A4">
        <w:rPr>
          <w:rFonts w:ascii="Times New Roman" w:hAnsi="Times New Roman"/>
          <w:sz w:val="24"/>
        </w:rPr>
        <w:t>22,079</w:t>
      </w:r>
      <w:r w:rsidRPr="00E53982">
        <w:rPr>
          <w:rFonts w:ascii="Times New Roman" w:hAnsi="Times New Roman"/>
          <w:sz w:val="24"/>
        </w:rPr>
        <w:t xml:space="preserve"> hours from the currently approved collection burden of 1</w:t>
      </w:r>
      <w:r w:rsidR="00B20AAC">
        <w:rPr>
          <w:rFonts w:ascii="Times New Roman" w:hAnsi="Times New Roman"/>
          <w:sz w:val="24"/>
        </w:rPr>
        <w:t>08</w:t>
      </w:r>
      <w:r w:rsidRPr="00E53982">
        <w:rPr>
          <w:rFonts w:ascii="Times New Roman" w:hAnsi="Times New Roman"/>
          <w:sz w:val="24"/>
        </w:rPr>
        <w:t>,</w:t>
      </w:r>
      <w:r w:rsidR="00B20AAC">
        <w:rPr>
          <w:rFonts w:ascii="Times New Roman" w:hAnsi="Times New Roman"/>
          <w:sz w:val="24"/>
        </w:rPr>
        <w:t>855</w:t>
      </w:r>
      <w:r w:rsidRPr="00E53982">
        <w:rPr>
          <w:rFonts w:ascii="Times New Roman" w:hAnsi="Times New Roman"/>
          <w:sz w:val="24"/>
        </w:rPr>
        <w:t xml:space="preserve"> hours to </w:t>
      </w:r>
      <w:r w:rsidR="00D760A4">
        <w:rPr>
          <w:rFonts w:ascii="Times New Roman" w:hAnsi="Times New Roman"/>
          <w:sz w:val="24"/>
        </w:rPr>
        <w:t>86,776</w:t>
      </w:r>
      <w:r w:rsidRPr="00E53982">
        <w:rPr>
          <w:rFonts w:ascii="Times New Roman" w:hAnsi="Times New Roman"/>
          <w:sz w:val="24"/>
        </w:rPr>
        <w:t xml:space="preserve"> hours.</w:t>
      </w:r>
    </w:p>
    <w:p w:rsidR="00E53982" w:rsidP="00E53982" w14:paraId="4CCC335B" w14:textId="5B5AA20E">
      <w:pPr>
        <w:tabs>
          <w:tab w:val="left" w:pos="-1440"/>
        </w:tabs>
        <w:ind w:left="720" w:hanging="720"/>
        <w:rPr>
          <w:rFonts w:ascii="Times New Roman" w:hAnsi="Times New Roman"/>
          <w:sz w:val="24"/>
        </w:rPr>
      </w:pPr>
    </w:p>
    <w:p w:rsidR="00E53982" w:rsidP="00E53982" w14:paraId="3F07EAF9" w14:textId="77777777">
      <w:pPr>
        <w:tabs>
          <w:tab w:val="left" w:pos="-1440"/>
        </w:tabs>
        <w:ind w:left="720" w:hanging="720"/>
        <w:rPr>
          <w:rFonts w:ascii="Times New Roman" w:hAnsi="Times New Roman"/>
          <w:sz w:val="24"/>
        </w:rPr>
      </w:pPr>
    </w:p>
    <w:p w:rsidR="00DE4EF3" w:rsidP="00E53982" w14:paraId="10AD5178" w14:textId="6991DA61">
      <w:pPr>
        <w:tabs>
          <w:tab w:val="left" w:pos="-1440"/>
        </w:tabs>
        <w:ind w:left="720" w:hanging="720"/>
        <w:rPr>
          <w:noProof/>
        </w:rPr>
      </w:pPr>
    </w:p>
    <w:p w:rsidR="00A9056B" w:rsidP="00E53982" w14:paraId="41273884" w14:textId="77777777">
      <w:pPr>
        <w:tabs>
          <w:tab w:val="left" w:pos="-1440"/>
        </w:tabs>
        <w:ind w:left="720" w:hanging="720"/>
        <w:rPr>
          <w:noProof/>
        </w:rPr>
      </w:pPr>
    </w:p>
    <w:tbl>
      <w:tblPr>
        <w:tblW w:w="8520" w:type="dxa"/>
        <w:tblLook w:val="04A0"/>
      </w:tblPr>
      <w:tblGrid>
        <w:gridCol w:w="1718"/>
        <w:gridCol w:w="994"/>
        <w:gridCol w:w="1707"/>
        <w:gridCol w:w="723"/>
        <w:gridCol w:w="994"/>
        <w:gridCol w:w="1707"/>
        <w:gridCol w:w="723"/>
      </w:tblGrid>
      <w:tr w14:paraId="51E8B20A" w14:textId="77777777" w:rsidTr="00A9056B">
        <w:tblPrEx>
          <w:tblW w:w="8520" w:type="dxa"/>
          <w:tblLook w:val="04A0"/>
        </w:tblPrEx>
        <w:trPr>
          <w:trHeight w:val="320"/>
        </w:trPr>
        <w:tc>
          <w:tcPr>
            <w:tcW w:w="8520" w:type="dxa"/>
            <w:gridSpan w:val="7"/>
            <w:tcBorders>
              <w:top w:val="nil"/>
              <w:left w:val="nil"/>
              <w:bottom w:val="double" w:sz="6" w:space="0" w:color="auto"/>
              <w:right w:val="nil"/>
            </w:tcBorders>
            <w:shd w:val="clear" w:color="000000" w:fill="FFFFFF"/>
            <w:noWrap/>
            <w:vAlign w:val="bottom"/>
            <w:hideMark/>
          </w:tcPr>
          <w:p w:rsidR="00A9056B" w:rsidRPr="00A9056B" w:rsidP="00A9056B" w14:paraId="159A0CC6" w14:textId="77777777">
            <w:pPr>
              <w:widowControl/>
              <w:autoSpaceDE/>
              <w:autoSpaceDN/>
              <w:adjustRightInd/>
              <w:rPr>
                <w:rFonts w:ascii="Times New Roman" w:hAnsi="Times New Roman"/>
                <w:b/>
                <w:bCs/>
                <w:color w:val="000000"/>
                <w:sz w:val="24"/>
              </w:rPr>
            </w:pPr>
            <w:r w:rsidRPr="00A9056B">
              <w:rPr>
                <w:rFonts w:ascii="Times New Roman" w:hAnsi="Times New Roman"/>
                <w:b/>
                <w:bCs/>
                <w:color w:val="000000"/>
                <w:sz w:val="24"/>
              </w:rPr>
              <w:t>Permitting activity FY 2021-2024</w:t>
            </w:r>
          </w:p>
        </w:tc>
      </w:tr>
      <w:tr w14:paraId="4732FD8E" w14:textId="77777777" w:rsidTr="00A9056B">
        <w:tblPrEx>
          <w:tblW w:w="8520" w:type="dxa"/>
          <w:tblLook w:val="04A0"/>
        </w:tblPrEx>
        <w:trPr>
          <w:trHeight w:val="320"/>
        </w:trPr>
        <w:tc>
          <w:tcPr>
            <w:tcW w:w="1718" w:type="dxa"/>
            <w:tcBorders>
              <w:top w:val="nil"/>
              <w:left w:val="double" w:sz="6" w:space="0" w:color="auto"/>
              <w:bottom w:val="nil"/>
              <w:right w:val="single" w:sz="4" w:space="0" w:color="auto"/>
            </w:tcBorders>
            <w:shd w:val="clear" w:color="000000" w:fill="FFFFFF"/>
            <w:noWrap/>
            <w:vAlign w:val="bottom"/>
            <w:hideMark/>
          </w:tcPr>
          <w:p w:rsidR="00A9056B" w:rsidRPr="00A9056B" w:rsidP="00A9056B" w14:paraId="6703069E" w14:textId="77777777">
            <w:pPr>
              <w:widowControl/>
              <w:autoSpaceDE/>
              <w:autoSpaceDN/>
              <w:adjustRightInd/>
              <w:rPr>
                <w:rFonts w:ascii="Times New Roman" w:hAnsi="Times New Roman"/>
                <w:color w:val="000000"/>
                <w:sz w:val="24"/>
              </w:rPr>
            </w:pPr>
            <w:r w:rsidRPr="00A9056B">
              <w:rPr>
                <w:rFonts w:ascii="Times New Roman" w:hAnsi="Times New Roman"/>
                <w:color w:val="000000"/>
                <w:sz w:val="24"/>
              </w:rPr>
              <w:t> </w:t>
            </w:r>
          </w:p>
        </w:tc>
        <w:tc>
          <w:tcPr>
            <w:tcW w:w="3401" w:type="dxa"/>
            <w:gridSpan w:val="3"/>
            <w:tcBorders>
              <w:top w:val="double" w:sz="6" w:space="0" w:color="auto"/>
              <w:left w:val="nil"/>
              <w:bottom w:val="nil"/>
              <w:right w:val="single" w:sz="4" w:space="0" w:color="000000"/>
            </w:tcBorders>
            <w:shd w:val="clear" w:color="000000" w:fill="FFFFFF"/>
            <w:noWrap/>
            <w:vAlign w:val="bottom"/>
            <w:hideMark/>
          </w:tcPr>
          <w:p w:rsidR="00A9056B" w:rsidRPr="00A9056B" w:rsidP="00A9056B" w14:paraId="7A21C532" w14:textId="77777777">
            <w:pPr>
              <w:widowControl/>
              <w:autoSpaceDE/>
              <w:autoSpaceDN/>
              <w:adjustRightInd/>
              <w:jc w:val="center"/>
              <w:rPr>
                <w:rFonts w:ascii="Times New Roman" w:hAnsi="Times New Roman"/>
                <w:color w:val="000000"/>
                <w:sz w:val="24"/>
              </w:rPr>
            </w:pPr>
            <w:r w:rsidRPr="00A9056B">
              <w:rPr>
                <w:rFonts w:ascii="Times New Roman" w:hAnsi="Times New Roman"/>
                <w:color w:val="000000"/>
                <w:sz w:val="24"/>
              </w:rPr>
              <w:t>New Permit Applications</w:t>
            </w:r>
          </w:p>
        </w:tc>
        <w:tc>
          <w:tcPr>
            <w:tcW w:w="3401" w:type="dxa"/>
            <w:gridSpan w:val="3"/>
            <w:tcBorders>
              <w:top w:val="double" w:sz="6" w:space="0" w:color="auto"/>
              <w:left w:val="nil"/>
              <w:bottom w:val="nil"/>
              <w:right w:val="double" w:sz="6" w:space="0" w:color="000000"/>
            </w:tcBorders>
            <w:shd w:val="clear" w:color="000000" w:fill="FFFFFF"/>
            <w:noWrap/>
            <w:vAlign w:val="bottom"/>
            <w:hideMark/>
          </w:tcPr>
          <w:p w:rsidR="00A9056B" w:rsidRPr="00A9056B" w:rsidP="00A9056B" w14:paraId="7C96FB48" w14:textId="77777777">
            <w:pPr>
              <w:widowControl/>
              <w:autoSpaceDE/>
              <w:autoSpaceDN/>
              <w:adjustRightInd/>
              <w:jc w:val="center"/>
              <w:rPr>
                <w:rFonts w:ascii="Times New Roman" w:hAnsi="Times New Roman"/>
                <w:color w:val="000000"/>
                <w:sz w:val="24"/>
              </w:rPr>
            </w:pPr>
            <w:r w:rsidRPr="00A9056B">
              <w:rPr>
                <w:rFonts w:ascii="Times New Roman" w:hAnsi="Times New Roman"/>
                <w:color w:val="000000"/>
                <w:sz w:val="24"/>
              </w:rPr>
              <w:t>Significant permit revisions</w:t>
            </w:r>
          </w:p>
        </w:tc>
      </w:tr>
      <w:tr w14:paraId="2BE2E8A1" w14:textId="77777777" w:rsidTr="00A9056B">
        <w:tblPrEx>
          <w:tblW w:w="8520" w:type="dxa"/>
          <w:tblLook w:val="04A0"/>
        </w:tblPrEx>
        <w:trPr>
          <w:trHeight w:val="310"/>
        </w:trPr>
        <w:tc>
          <w:tcPr>
            <w:tcW w:w="1718" w:type="dxa"/>
            <w:tcBorders>
              <w:top w:val="nil"/>
              <w:left w:val="double" w:sz="6" w:space="0" w:color="auto"/>
              <w:bottom w:val="single" w:sz="4" w:space="0" w:color="auto"/>
              <w:right w:val="single" w:sz="4" w:space="0" w:color="auto"/>
            </w:tcBorders>
            <w:shd w:val="clear" w:color="000000" w:fill="FFFFFF"/>
            <w:noWrap/>
            <w:vAlign w:val="bottom"/>
            <w:hideMark/>
          </w:tcPr>
          <w:p w:rsidR="00A9056B" w:rsidRPr="00A9056B" w:rsidP="00A9056B" w14:paraId="0A3608EE" w14:textId="77777777">
            <w:pPr>
              <w:widowControl/>
              <w:autoSpaceDE/>
              <w:autoSpaceDN/>
              <w:adjustRightInd/>
              <w:jc w:val="center"/>
              <w:rPr>
                <w:rFonts w:ascii="Times New Roman" w:hAnsi="Times New Roman"/>
                <w:color w:val="000000"/>
                <w:sz w:val="24"/>
              </w:rPr>
            </w:pPr>
            <w:r w:rsidRPr="00A9056B">
              <w:rPr>
                <w:rFonts w:ascii="Times New Roman" w:hAnsi="Times New Roman"/>
                <w:color w:val="000000"/>
                <w:sz w:val="24"/>
              </w:rPr>
              <w:t>Fiscal year</w:t>
            </w:r>
          </w:p>
        </w:tc>
        <w:tc>
          <w:tcPr>
            <w:tcW w:w="994" w:type="dxa"/>
            <w:tcBorders>
              <w:top w:val="nil"/>
              <w:left w:val="nil"/>
              <w:bottom w:val="single" w:sz="4" w:space="0" w:color="auto"/>
              <w:right w:val="nil"/>
            </w:tcBorders>
            <w:shd w:val="clear" w:color="000000" w:fill="FFFFFF"/>
            <w:noWrap/>
            <w:vAlign w:val="bottom"/>
            <w:hideMark/>
          </w:tcPr>
          <w:p w:rsidR="00A9056B" w:rsidRPr="00A9056B" w:rsidP="00A9056B" w14:paraId="56014BDB" w14:textId="77777777">
            <w:pPr>
              <w:widowControl/>
              <w:autoSpaceDE/>
              <w:autoSpaceDN/>
              <w:adjustRightInd/>
              <w:jc w:val="center"/>
              <w:rPr>
                <w:rFonts w:ascii="Times New Roman" w:hAnsi="Times New Roman"/>
                <w:color w:val="000000"/>
                <w:sz w:val="24"/>
              </w:rPr>
            </w:pPr>
            <w:r w:rsidRPr="00A9056B">
              <w:rPr>
                <w:rFonts w:ascii="Times New Roman" w:hAnsi="Times New Roman"/>
                <w:color w:val="000000"/>
                <w:sz w:val="24"/>
              </w:rPr>
              <w:t>Surface</w:t>
            </w:r>
          </w:p>
        </w:tc>
        <w:tc>
          <w:tcPr>
            <w:tcW w:w="1707" w:type="dxa"/>
            <w:tcBorders>
              <w:top w:val="nil"/>
              <w:left w:val="nil"/>
              <w:bottom w:val="single" w:sz="4" w:space="0" w:color="auto"/>
              <w:right w:val="nil"/>
            </w:tcBorders>
            <w:shd w:val="clear" w:color="000000" w:fill="FFFFFF"/>
            <w:noWrap/>
            <w:vAlign w:val="bottom"/>
            <w:hideMark/>
          </w:tcPr>
          <w:p w:rsidR="00A9056B" w:rsidRPr="00A9056B" w:rsidP="00A9056B" w14:paraId="0AC7EFA5" w14:textId="77777777">
            <w:pPr>
              <w:widowControl/>
              <w:autoSpaceDE/>
              <w:autoSpaceDN/>
              <w:adjustRightInd/>
              <w:jc w:val="center"/>
              <w:rPr>
                <w:rFonts w:ascii="Times New Roman" w:hAnsi="Times New Roman"/>
                <w:color w:val="000000"/>
                <w:sz w:val="24"/>
              </w:rPr>
            </w:pPr>
            <w:r w:rsidRPr="00A9056B">
              <w:rPr>
                <w:rFonts w:ascii="Times New Roman" w:hAnsi="Times New Roman"/>
                <w:color w:val="000000"/>
                <w:sz w:val="24"/>
              </w:rPr>
              <w:t>Underground</w:t>
            </w:r>
          </w:p>
        </w:tc>
        <w:tc>
          <w:tcPr>
            <w:tcW w:w="700" w:type="dxa"/>
            <w:tcBorders>
              <w:top w:val="nil"/>
              <w:left w:val="nil"/>
              <w:bottom w:val="single" w:sz="4" w:space="0" w:color="auto"/>
              <w:right w:val="nil"/>
            </w:tcBorders>
            <w:shd w:val="clear" w:color="000000" w:fill="FFFFFF"/>
            <w:noWrap/>
            <w:vAlign w:val="bottom"/>
            <w:hideMark/>
          </w:tcPr>
          <w:p w:rsidR="00A9056B" w:rsidRPr="00A9056B" w:rsidP="00A9056B" w14:paraId="334153AD" w14:textId="77777777">
            <w:pPr>
              <w:widowControl/>
              <w:autoSpaceDE/>
              <w:autoSpaceDN/>
              <w:adjustRightInd/>
              <w:jc w:val="center"/>
              <w:rPr>
                <w:rFonts w:ascii="Times New Roman" w:hAnsi="Times New Roman"/>
                <w:color w:val="000000"/>
                <w:sz w:val="24"/>
              </w:rPr>
            </w:pPr>
            <w:r w:rsidRPr="00A9056B">
              <w:rPr>
                <w:rFonts w:ascii="Times New Roman" w:hAnsi="Times New Roman"/>
                <w:color w:val="000000"/>
                <w:sz w:val="24"/>
              </w:rPr>
              <w:t>Total</w:t>
            </w:r>
          </w:p>
        </w:tc>
        <w:tc>
          <w:tcPr>
            <w:tcW w:w="994" w:type="dxa"/>
            <w:tcBorders>
              <w:top w:val="nil"/>
              <w:left w:val="single" w:sz="4" w:space="0" w:color="auto"/>
              <w:bottom w:val="single" w:sz="4" w:space="0" w:color="auto"/>
              <w:right w:val="nil"/>
            </w:tcBorders>
            <w:shd w:val="clear" w:color="000000" w:fill="FFFFFF"/>
            <w:noWrap/>
            <w:vAlign w:val="bottom"/>
            <w:hideMark/>
          </w:tcPr>
          <w:p w:rsidR="00A9056B" w:rsidRPr="00A9056B" w:rsidP="00A9056B" w14:paraId="6C33D94E" w14:textId="77777777">
            <w:pPr>
              <w:widowControl/>
              <w:autoSpaceDE/>
              <w:autoSpaceDN/>
              <w:adjustRightInd/>
              <w:jc w:val="center"/>
              <w:rPr>
                <w:rFonts w:ascii="Times New Roman" w:hAnsi="Times New Roman"/>
                <w:color w:val="000000"/>
                <w:sz w:val="24"/>
              </w:rPr>
            </w:pPr>
            <w:r w:rsidRPr="00A9056B">
              <w:rPr>
                <w:rFonts w:ascii="Times New Roman" w:hAnsi="Times New Roman"/>
                <w:color w:val="000000"/>
                <w:sz w:val="24"/>
              </w:rPr>
              <w:t>Surface</w:t>
            </w:r>
          </w:p>
        </w:tc>
        <w:tc>
          <w:tcPr>
            <w:tcW w:w="1707" w:type="dxa"/>
            <w:tcBorders>
              <w:top w:val="nil"/>
              <w:left w:val="nil"/>
              <w:bottom w:val="single" w:sz="4" w:space="0" w:color="auto"/>
              <w:right w:val="nil"/>
            </w:tcBorders>
            <w:shd w:val="clear" w:color="000000" w:fill="FFFFFF"/>
            <w:noWrap/>
            <w:vAlign w:val="bottom"/>
            <w:hideMark/>
          </w:tcPr>
          <w:p w:rsidR="00A9056B" w:rsidRPr="00A9056B" w:rsidP="00A9056B" w14:paraId="1C246DCA" w14:textId="77777777">
            <w:pPr>
              <w:widowControl/>
              <w:autoSpaceDE/>
              <w:autoSpaceDN/>
              <w:adjustRightInd/>
              <w:jc w:val="center"/>
              <w:rPr>
                <w:rFonts w:ascii="Times New Roman" w:hAnsi="Times New Roman"/>
                <w:color w:val="000000"/>
                <w:sz w:val="24"/>
              </w:rPr>
            </w:pPr>
            <w:r w:rsidRPr="00A9056B">
              <w:rPr>
                <w:rFonts w:ascii="Times New Roman" w:hAnsi="Times New Roman"/>
                <w:color w:val="000000"/>
                <w:sz w:val="24"/>
              </w:rPr>
              <w:t>Underground</w:t>
            </w:r>
          </w:p>
        </w:tc>
        <w:tc>
          <w:tcPr>
            <w:tcW w:w="700" w:type="dxa"/>
            <w:tcBorders>
              <w:top w:val="nil"/>
              <w:left w:val="nil"/>
              <w:bottom w:val="single" w:sz="4" w:space="0" w:color="auto"/>
              <w:right w:val="double" w:sz="6" w:space="0" w:color="auto"/>
            </w:tcBorders>
            <w:shd w:val="clear" w:color="000000" w:fill="FFFFFF"/>
            <w:noWrap/>
            <w:vAlign w:val="bottom"/>
            <w:hideMark/>
          </w:tcPr>
          <w:p w:rsidR="00A9056B" w:rsidRPr="00A9056B" w:rsidP="00A9056B" w14:paraId="3C9499F4" w14:textId="77777777">
            <w:pPr>
              <w:widowControl/>
              <w:autoSpaceDE/>
              <w:autoSpaceDN/>
              <w:adjustRightInd/>
              <w:jc w:val="center"/>
              <w:rPr>
                <w:rFonts w:ascii="Times New Roman" w:hAnsi="Times New Roman"/>
                <w:color w:val="000000"/>
                <w:sz w:val="24"/>
              </w:rPr>
            </w:pPr>
            <w:r w:rsidRPr="00A9056B">
              <w:rPr>
                <w:rFonts w:ascii="Times New Roman" w:hAnsi="Times New Roman"/>
                <w:color w:val="000000"/>
                <w:sz w:val="24"/>
              </w:rPr>
              <w:t>Total</w:t>
            </w:r>
          </w:p>
        </w:tc>
      </w:tr>
      <w:tr w14:paraId="460B10EC" w14:textId="77777777" w:rsidTr="00A9056B">
        <w:tblPrEx>
          <w:tblW w:w="8520" w:type="dxa"/>
          <w:tblLook w:val="04A0"/>
        </w:tblPrEx>
        <w:trPr>
          <w:trHeight w:val="310"/>
        </w:trPr>
        <w:tc>
          <w:tcPr>
            <w:tcW w:w="1718" w:type="dxa"/>
            <w:tcBorders>
              <w:top w:val="nil"/>
              <w:left w:val="double" w:sz="6" w:space="0" w:color="auto"/>
              <w:bottom w:val="nil"/>
              <w:right w:val="single" w:sz="4" w:space="0" w:color="auto"/>
            </w:tcBorders>
            <w:shd w:val="clear" w:color="000000" w:fill="FFFFFF"/>
            <w:noWrap/>
            <w:vAlign w:val="bottom"/>
            <w:hideMark/>
          </w:tcPr>
          <w:p w:rsidR="00A9056B" w:rsidRPr="00A9056B" w:rsidP="00A9056B" w14:paraId="3B032ACD" w14:textId="77777777">
            <w:pPr>
              <w:widowControl/>
              <w:autoSpaceDE/>
              <w:autoSpaceDN/>
              <w:adjustRightInd/>
              <w:jc w:val="center"/>
              <w:rPr>
                <w:rFonts w:ascii="Times New Roman" w:hAnsi="Times New Roman"/>
                <w:color w:val="000000"/>
                <w:sz w:val="24"/>
              </w:rPr>
            </w:pPr>
            <w:r w:rsidRPr="00A9056B">
              <w:rPr>
                <w:rFonts w:ascii="Times New Roman" w:hAnsi="Times New Roman"/>
                <w:color w:val="000000"/>
                <w:sz w:val="24"/>
              </w:rPr>
              <w:t>2021</w:t>
            </w:r>
          </w:p>
        </w:tc>
        <w:tc>
          <w:tcPr>
            <w:tcW w:w="994" w:type="dxa"/>
            <w:tcBorders>
              <w:top w:val="nil"/>
              <w:left w:val="nil"/>
              <w:bottom w:val="nil"/>
              <w:right w:val="nil"/>
            </w:tcBorders>
            <w:shd w:val="clear" w:color="000000" w:fill="FFFFFF"/>
            <w:noWrap/>
            <w:vAlign w:val="bottom"/>
            <w:hideMark/>
          </w:tcPr>
          <w:p w:rsidR="00A9056B" w:rsidRPr="00A9056B" w:rsidP="00A9056B" w14:paraId="038DCACD" w14:textId="77777777">
            <w:pPr>
              <w:widowControl/>
              <w:autoSpaceDE/>
              <w:autoSpaceDN/>
              <w:adjustRightInd/>
              <w:jc w:val="center"/>
              <w:rPr>
                <w:rFonts w:ascii="Times New Roman" w:hAnsi="Times New Roman"/>
                <w:color w:val="000000"/>
                <w:sz w:val="24"/>
              </w:rPr>
            </w:pPr>
            <w:r w:rsidRPr="00A9056B">
              <w:rPr>
                <w:rFonts w:ascii="Times New Roman" w:hAnsi="Times New Roman"/>
                <w:color w:val="000000"/>
                <w:sz w:val="24"/>
              </w:rPr>
              <w:t>31</w:t>
            </w:r>
          </w:p>
        </w:tc>
        <w:tc>
          <w:tcPr>
            <w:tcW w:w="1707" w:type="dxa"/>
            <w:tcBorders>
              <w:top w:val="nil"/>
              <w:left w:val="nil"/>
              <w:bottom w:val="nil"/>
              <w:right w:val="nil"/>
            </w:tcBorders>
            <w:shd w:val="clear" w:color="000000" w:fill="FFFFFF"/>
            <w:noWrap/>
            <w:vAlign w:val="bottom"/>
            <w:hideMark/>
          </w:tcPr>
          <w:p w:rsidR="00A9056B" w:rsidRPr="00A9056B" w:rsidP="00A9056B" w14:paraId="71A9C328" w14:textId="77777777">
            <w:pPr>
              <w:widowControl/>
              <w:autoSpaceDE/>
              <w:autoSpaceDN/>
              <w:adjustRightInd/>
              <w:jc w:val="center"/>
              <w:rPr>
                <w:rFonts w:ascii="Times New Roman" w:hAnsi="Times New Roman"/>
                <w:color w:val="000000"/>
                <w:sz w:val="24"/>
              </w:rPr>
            </w:pPr>
            <w:r w:rsidRPr="00A9056B">
              <w:rPr>
                <w:rFonts w:ascii="Times New Roman" w:hAnsi="Times New Roman"/>
                <w:color w:val="000000"/>
                <w:sz w:val="24"/>
              </w:rPr>
              <w:t>10</w:t>
            </w:r>
          </w:p>
        </w:tc>
        <w:tc>
          <w:tcPr>
            <w:tcW w:w="700" w:type="dxa"/>
            <w:tcBorders>
              <w:top w:val="nil"/>
              <w:left w:val="nil"/>
              <w:bottom w:val="nil"/>
              <w:right w:val="nil"/>
            </w:tcBorders>
            <w:shd w:val="clear" w:color="000000" w:fill="FFFFFF"/>
            <w:noWrap/>
            <w:vAlign w:val="bottom"/>
            <w:hideMark/>
          </w:tcPr>
          <w:p w:rsidR="00A9056B" w:rsidRPr="00A9056B" w:rsidP="00A9056B" w14:paraId="18B0C793" w14:textId="77777777">
            <w:pPr>
              <w:widowControl/>
              <w:autoSpaceDE/>
              <w:autoSpaceDN/>
              <w:adjustRightInd/>
              <w:jc w:val="center"/>
              <w:rPr>
                <w:rFonts w:ascii="Times New Roman" w:hAnsi="Times New Roman"/>
                <w:color w:val="000000"/>
                <w:sz w:val="24"/>
              </w:rPr>
            </w:pPr>
            <w:r w:rsidRPr="00A9056B">
              <w:rPr>
                <w:rFonts w:ascii="Times New Roman" w:hAnsi="Times New Roman"/>
                <w:color w:val="000000"/>
                <w:sz w:val="24"/>
              </w:rPr>
              <w:t>41</w:t>
            </w:r>
          </w:p>
        </w:tc>
        <w:tc>
          <w:tcPr>
            <w:tcW w:w="994" w:type="dxa"/>
            <w:tcBorders>
              <w:top w:val="nil"/>
              <w:left w:val="single" w:sz="4" w:space="0" w:color="auto"/>
              <w:bottom w:val="nil"/>
              <w:right w:val="nil"/>
            </w:tcBorders>
            <w:shd w:val="clear" w:color="000000" w:fill="FFFFFF"/>
            <w:noWrap/>
            <w:vAlign w:val="bottom"/>
            <w:hideMark/>
          </w:tcPr>
          <w:p w:rsidR="00A9056B" w:rsidRPr="00A9056B" w:rsidP="00A9056B" w14:paraId="50E5178F" w14:textId="77777777">
            <w:pPr>
              <w:widowControl/>
              <w:autoSpaceDE/>
              <w:autoSpaceDN/>
              <w:adjustRightInd/>
              <w:jc w:val="center"/>
              <w:rPr>
                <w:rFonts w:ascii="Times New Roman" w:hAnsi="Times New Roman"/>
                <w:color w:val="000000"/>
                <w:sz w:val="24"/>
              </w:rPr>
            </w:pPr>
            <w:r w:rsidRPr="00A9056B">
              <w:rPr>
                <w:rFonts w:ascii="Times New Roman" w:hAnsi="Times New Roman"/>
                <w:color w:val="000000"/>
                <w:sz w:val="24"/>
              </w:rPr>
              <w:t>33</w:t>
            </w:r>
          </w:p>
        </w:tc>
        <w:tc>
          <w:tcPr>
            <w:tcW w:w="1707" w:type="dxa"/>
            <w:tcBorders>
              <w:top w:val="nil"/>
              <w:left w:val="nil"/>
              <w:bottom w:val="nil"/>
              <w:right w:val="nil"/>
            </w:tcBorders>
            <w:shd w:val="clear" w:color="000000" w:fill="FFFFFF"/>
            <w:noWrap/>
            <w:vAlign w:val="bottom"/>
            <w:hideMark/>
          </w:tcPr>
          <w:p w:rsidR="00A9056B" w:rsidRPr="00A9056B" w:rsidP="00A9056B" w14:paraId="7FC5BBE3" w14:textId="77777777">
            <w:pPr>
              <w:widowControl/>
              <w:autoSpaceDE/>
              <w:autoSpaceDN/>
              <w:adjustRightInd/>
              <w:jc w:val="center"/>
              <w:rPr>
                <w:rFonts w:ascii="Times New Roman" w:hAnsi="Times New Roman"/>
                <w:color w:val="000000"/>
                <w:sz w:val="24"/>
              </w:rPr>
            </w:pPr>
            <w:r w:rsidRPr="00A9056B">
              <w:rPr>
                <w:rFonts w:ascii="Times New Roman" w:hAnsi="Times New Roman"/>
                <w:color w:val="000000"/>
                <w:sz w:val="24"/>
              </w:rPr>
              <w:t>9</w:t>
            </w:r>
          </w:p>
        </w:tc>
        <w:tc>
          <w:tcPr>
            <w:tcW w:w="700" w:type="dxa"/>
            <w:tcBorders>
              <w:top w:val="nil"/>
              <w:left w:val="nil"/>
              <w:bottom w:val="nil"/>
              <w:right w:val="double" w:sz="6" w:space="0" w:color="auto"/>
            </w:tcBorders>
            <w:shd w:val="clear" w:color="000000" w:fill="FFFFFF"/>
            <w:noWrap/>
            <w:vAlign w:val="bottom"/>
            <w:hideMark/>
          </w:tcPr>
          <w:p w:rsidR="00A9056B" w:rsidRPr="00A9056B" w:rsidP="00A9056B" w14:paraId="5FC5E5BB" w14:textId="77777777">
            <w:pPr>
              <w:widowControl/>
              <w:autoSpaceDE/>
              <w:autoSpaceDN/>
              <w:adjustRightInd/>
              <w:jc w:val="center"/>
              <w:rPr>
                <w:rFonts w:ascii="Times New Roman" w:hAnsi="Times New Roman"/>
                <w:color w:val="000000"/>
                <w:sz w:val="24"/>
              </w:rPr>
            </w:pPr>
            <w:r w:rsidRPr="00A9056B">
              <w:rPr>
                <w:rFonts w:ascii="Times New Roman" w:hAnsi="Times New Roman"/>
                <w:color w:val="000000"/>
                <w:sz w:val="24"/>
              </w:rPr>
              <w:t>42</w:t>
            </w:r>
          </w:p>
        </w:tc>
      </w:tr>
      <w:tr w14:paraId="54037CD2" w14:textId="77777777" w:rsidTr="00A9056B">
        <w:tblPrEx>
          <w:tblW w:w="8520" w:type="dxa"/>
          <w:tblLook w:val="04A0"/>
        </w:tblPrEx>
        <w:trPr>
          <w:trHeight w:val="310"/>
        </w:trPr>
        <w:tc>
          <w:tcPr>
            <w:tcW w:w="1718" w:type="dxa"/>
            <w:tcBorders>
              <w:top w:val="nil"/>
              <w:left w:val="double" w:sz="6" w:space="0" w:color="auto"/>
              <w:bottom w:val="nil"/>
              <w:right w:val="single" w:sz="4" w:space="0" w:color="auto"/>
            </w:tcBorders>
            <w:shd w:val="clear" w:color="000000" w:fill="FFFFFF"/>
            <w:noWrap/>
            <w:vAlign w:val="bottom"/>
            <w:hideMark/>
          </w:tcPr>
          <w:p w:rsidR="00A9056B" w:rsidRPr="00A9056B" w:rsidP="00A9056B" w14:paraId="31950D58" w14:textId="77777777">
            <w:pPr>
              <w:widowControl/>
              <w:autoSpaceDE/>
              <w:autoSpaceDN/>
              <w:adjustRightInd/>
              <w:jc w:val="center"/>
              <w:rPr>
                <w:rFonts w:ascii="Times New Roman" w:hAnsi="Times New Roman"/>
                <w:color w:val="000000"/>
                <w:sz w:val="24"/>
              </w:rPr>
            </w:pPr>
            <w:r w:rsidRPr="00A9056B">
              <w:rPr>
                <w:rFonts w:ascii="Times New Roman" w:hAnsi="Times New Roman"/>
                <w:color w:val="000000"/>
                <w:sz w:val="24"/>
              </w:rPr>
              <w:t>2022</w:t>
            </w:r>
          </w:p>
        </w:tc>
        <w:tc>
          <w:tcPr>
            <w:tcW w:w="994" w:type="dxa"/>
            <w:tcBorders>
              <w:top w:val="nil"/>
              <w:left w:val="nil"/>
              <w:bottom w:val="nil"/>
              <w:right w:val="nil"/>
            </w:tcBorders>
            <w:shd w:val="clear" w:color="000000" w:fill="FFFFFF"/>
            <w:noWrap/>
            <w:vAlign w:val="bottom"/>
            <w:hideMark/>
          </w:tcPr>
          <w:p w:rsidR="00A9056B" w:rsidRPr="00A9056B" w:rsidP="00A9056B" w14:paraId="3E2DBA1E" w14:textId="77777777">
            <w:pPr>
              <w:widowControl/>
              <w:autoSpaceDE/>
              <w:autoSpaceDN/>
              <w:adjustRightInd/>
              <w:jc w:val="center"/>
              <w:rPr>
                <w:rFonts w:ascii="Times New Roman" w:hAnsi="Times New Roman"/>
                <w:color w:val="000000"/>
                <w:sz w:val="24"/>
              </w:rPr>
            </w:pPr>
            <w:r w:rsidRPr="00A9056B">
              <w:rPr>
                <w:rFonts w:ascii="Times New Roman" w:hAnsi="Times New Roman"/>
                <w:color w:val="000000"/>
                <w:sz w:val="24"/>
              </w:rPr>
              <w:t>32</w:t>
            </w:r>
          </w:p>
        </w:tc>
        <w:tc>
          <w:tcPr>
            <w:tcW w:w="1707" w:type="dxa"/>
            <w:tcBorders>
              <w:top w:val="nil"/>
              <w:left w:val="nil"/>
              <w:bottom w:val="nil"/>
              <w:right w:val="nil"/>
            </w:tcBorders>
            <w:shd w:val="clear" w:color="000000" w:fill="FFFFFF"/>
            <w:noWrap/>
            <w:vAlign w:val="bottom"/>
            <w:hideMark/>
          </w:tcPr>
          <w:p w:rsidR="00A9056B" w:rsidRPr="00A9056B" w:rsidP="00A9056B" w14:paraId="7B49DFDF" w14:textId="77777777">
            <w:pPr>
              <w:widowControl/>
              <w:autoSpaceDE/>
              <w:autoSpaceDN/>
              <w:adjustRightInd/>
              <w:jc w:val="center"/>
              <w:rPr>
                <w:rFonts w:ascii="Times New Roman" w:hAnsi="Times New Roman"/>
                <w:color w:val="000000"/>
                <w:sz w:val="24"/>
              </w:rPr>
            </w:pPr>
            <w:r w:rsidRPr="00A9056B">
              <w:rPr>
                <w:rFonts w:ascii="Times New Roman" w:hAnsi="Times New Roman"/>
                <w:color w:val="000000"/>
                <w:sz w:val="24"/>
              </w:rPr>
              <w:t>11</w:t>
            </w:r>
          </w:p>
        </w:tc>
        <w:tc>
          <w:tcPr>
            <w:tcW w:w="700" w:type="dxa"/>
            <w:tcBorders>
              <w:top w:val="nil"/>
              <w:left w:val="nil"/>
              <w:bottom w:val="nil"/>
              <w:right w:val="nil"/>
            </w:tcBorders>
            <w:shd w:val="clear" w:color="000000" w:fill="FFFFFF"/>
            <w:noWrap/>
            <w:vAlign w:val="bottom"/>
            <w:hideMark/>
          </w:tcPr>
          <w:p w:rsidR="00A9056B" w:rsidRPr="00A9056B" w:rsidP="00A9056B" w14:paraId="5C1E5915" w14:textId="77777777">
            <w:pPr>
              <w:widowControl/>
              <w:autoSpaceDE/>
              <w:autoSpaceDN/>
              <w:adjustRightInd/>
              <w:jc w:val="center"/>
              <w:rPr>
                <w:rFonts w:ascii="Times New Roman" w:hAnsi="Times New Roman"/>
                <w:color w:val="000000"/>
                <w:sz w:val="24"/>
              </w:rPr>
            </w:pPr>
            <w:r w:rsidRPr="00A9056B">
              <w:rPr>
                <w:rFonts w:ascii="Times New Roman" w:hAnsi="Times New Roman"/>
                <w:color w:val="000000"/>
                <w:sz w:val="24"/>
              </w:rPr>
              <w:t>43</w:t>
            </w:r>
          </w:p>
        </w:tc>
        <w:tc>
          <w:tcPr>
            <w:tcW w:w="994" w:type="dxa"/>
            <w:tcBorders>
              <w:top w:val="nil"/>
              <w:left w:val="single" w:sz="4" w:space="0" w:color="auto"/>
              <w:bottom w:val="nil"/>
              <w:right w:val="nil"/>
            </w:tcBorders>
            <w:shd w:val="clear" w:color="000000" w:fill="FFFFFF"/>
            <w:noWrap/>
            <w:vAlign w:val="bottom"/>
            <w:hideMark/>
          </w:tcPr>
          <w:p w:rsidR="00A9056B" w:rsidRPr="00A9056B" w:rsidP="00A9056B" w14:paraId="134C6A33" w14:textId="77777777">
            <w:pPr>
              <w:widowControl/>
              <w:autoSpaceDE/>
              <w:autoSpaceDN/>
              <w:adjustRightInd/>
              <w:jc w:val="center"/>
              <w:rPr>
                <w:rFonts w:ascii="Times New Roman" w:hAnsi="Times New Roman"/>
                <w:color w:val="000000"/>
                <w:sz w:val="24"/>
              </w:rPr>
            </w:pPr>
            <w:r w:rsidRPr="00A9056B">
              <w:rPr>
                <w:rFonts w:ascii="Times New Roman" w:hAnsi="Times New Roman"/>
                <w:color w:val="000000"/>
                <w:sz w:val="24"/>
              </w:rPr>
              <w:t>49</w:t>
            </w:r>
          </w:p>
        </w:tc>
        <w:tc>
          <w:tcPr>
            <w:tcW w:w="1707" w:type="dxa"/>
            <w:tcBorders>
              <w:top w:val="nil"/>
              <w:left w:val="nil"/>
              <w:bottom w:val="nil"/>
              <w:right w:val="nil"/>
            </w:tcBorders>
            <w:shd w:val="clear" w:color="000000" w:fill="FFFFFF"/>
            <w:noWrap/>
            <w:vAlign w:val="bottom"/>
            <w:hideMark/>
          </w:tcPr>
          <w:p w:rsidR="00A9056B" w:rsidRPr="00A9056B" w:rsidP="00A9056B" w14:paraId="7592EBC2" w14:textId="77777777">
            <w:pPr>
              <w:widowControl/>
              <w:autoSpaceDE/>
              <w:autoSpaceDN/>
              <w:adjustRightInd/>
              <w:jc w:val="center"/>
              <w:rPr>
                <w:rFonts w:ascii="Times New Roman" w:hAnsi="Times New Roman"/>
                <w:color w:val="000000"/>
                <w:sz w:val="24"/>
              </w:rPr>
            </w:pPr>
            <w:r w:rsidRPr="00A9056B">
              <w:rPr>
                <w:rFonts w:ascii="Times New Roman" w:hAnsi="Times New Roman"/>
                <w:color w:val="000000"/>
                <w:sz w:val="24"/>
              </w:rPr>
              <w:t>17</w:t>
            </w:r>
          </w:p>
        </w:tc>
        <w:tc>
          <w:tcPr>
            <w:tcW w:w="700" w:type="dxa"/>
            <w:tcBorders>
              <w:top w:val="nil"/>
              <w:left w:val="nil"/>
              <w:bottom w:val="nil"/>
              <w:right w:val="double" w:sz="6" w:space="0" w:color="auto"/>
            </w:tcBorders>
            <w:shd w:val="clear" w:color="000000" w:fill="FFFFFF"/>
            <w:noWrap/>
            <w:vAlign w:val="bottom"/>
            <w:hideMark/>
          </w:tcPr>
          <w:p w:rsidR="00A9056B" w:rsidRPr="00A9056B" w:rsidP="00A9056B" w14:paraId="206B6B63" w14:textId="77777777">
            <w:pPr>
              <w:widowControl/>
              <w:autoSpaceDE/>
              <w:autoSpaceDN/>
              <w:adjustRightInd/>
              <w:jc w:val="center"/>
              <w:rPr>
                <w:rFonts w:ascii="Times New Roman" w:hAnsi="Times New Roman"/>
                <w:color w:val="000000"/>
                <w:sz w:val="24"/>
              </w:rPr>
            </w:pPr>
            <w:r w:rsidRPr="00A9056B">
              <w:rPr>
                <w:rFonts w:ascii="Times New Roman" w:hAnsi="Times New Roman"/>
                <w:color w:val="000000"/>
                <w:sz w:val="24"/>
              </w:rPr>
              <w:t>66</w:t>
            </w:r>
          </w:p>
        </w:tc>
      </w:tr>
      <w:tr w14:paraId="61D8C848" w14:textId="77777777" w:rsidTr="00A9056B">
        <w:tblPrEx>
          <w:tblW w:w="8520" w:type="dxa"/>
          <w:tblLook w:val="04A0"/>
        </w:tblPrEx>
        <w:trPr>
          <w:trHeight w:val="310"/>
        </w:trPr>
        <w:tc>
          <w:tcPr>
            <w:tcW w:w="1718" w:type="dxa"/>
            <w:tcBorders>
              <w:top w:val="nil"/>
              <w:left w:val="double" w:sz="6" w:space="0" w:color="auto"/>
              <w:bottom w:val="nil"/>
              <w:right w:val="single" w:sz="4" w:space="0" w:color="auto"/>
            </w:tcBorders>
            <w:shd w:val="clear" w:color="000000" w:fill="FFFFFF"/>
            <w:noWrap/>
            <w:vAlign w:val="bottom"/>
            <w:hideMark/>
          </w:tcPr>
          <w:p w:rsidR="00A9056B" w:rsidRPr="00A9056B" w:rsidP="00A9056B" w14:paraId="24D8658C" w14:textId="77777777">
            <w:pPr>
              <w:widowControl/>
              <w:autoSpaceDE/>
              <w:autoSpaceDN/>
              <w:adjustRightInd/>
              <w:jc w:val="center"/>
              <w:rPr>
                <w:rFonts w:ascii="Times New Roman" w:hAnsi="Times New Roman"/>
                <w:color w:val="000000"/>
                <w:sz w:val="24"/>
              </w:rPr>
            </w:pPr>
            <w:r w:rsidRPr="00A9056B">
              <w:rPr>
                <w:rFonts w:ascii="Times New Roman" w:hAnsi="Times New Roman"/>
                <w:color w:val="000000"/>
                <w:sz w:val="24"/>
              </w:rPr>
              <w:t>2023</w:t>
            </w:r>
          </w:p>
        </w:tc>
        <w:tc>
          <w:tcPr>
            <w:tcW w:w="994" w:type="dxa"/>
            <w:tcBorders>
              <w:top w:val="nil"/>
              <w:left w:val="nil"/>
              <w:bottom w:val="nil"/>
              <w:right w:val="nil"/>
            </w:tcBorders>
            <w:shd w:val="clear" w:color="000000" w:fill="FFFFFF"/>
            <w:noWrap/>
            <w:vAlign w:val="bottom"/>
            <w:hideMark/>
          </w:tcPr>
          <w:p w:rsidR="00A9056B" w:rsidRPr="00A9056B" w:rsidP="00A9056B" w14:paraId="1CBC7CDC" w14:textId="77777777">
            <w:pPr>
              <w:widowControl/>
              <w:autoSpaceDE/>
              <w:autoSpaceDN/>
              <w:adjustRightInd/>
              <w:jc w:val="center"/>
              <w:rPr>
                <w:rFonts w:ascii="Times New Roman" w:hAnsi="Times New Roman"/>
                <w:color w:val="000000"/>
                <w:sz w:val="24"/>
              </w:rPr>
            </w:pPr>
            <w:r w:rsidRPr="00A9056B">
              <w:rPr>
                <w:rFonts w:ascii="Times New Roman" w:hAnsi="Times New Roman"/>
                <w:color w:val="000000"/>
                <w:sz w:val="24"/>
              </w:rPr>
              <w:t>33</w:t>
            </w:r>
          </w:p>
        </w:tc>
        <w:tc>
          <w:tcPr>
            <w:tcW w:w="1707" w:type="dxa"/>
            <w:tcBorders>
              <w:top w:val="nil"/>
              <w:left w:val="nil"/>
              <w:bottom w:val="nil"/>
              <w:right w:val="nil"/>
            </w:tcBorders>
            <w:shd w:val="clear" w:color="000000" w:fill="FFFFFF"/>
            <w:noWrap/>
            <w:vAlign w:val="bottom"/>
            <w:hideMark/>
          </w:tcPr>
          <w:p w:rsidR="00A9056B" w:rsidRPr="00A9056B" w:rsidP="00A9056B" w14:paraId="060EC4F7" w14:textId="77777777">
            <w:pPr>
              <w:widowControl/>
              <w:autoSpaceDE/>
              <w:autoSpaceDN/>
              <w:adjustRightInd/>
              <w:jc w:val="center"/>
              <w:rPr>
                <w:rFonts w:ascii="Times New Roman" w:hAnsi="Times New Roman"/>
                <w:color w:val="000000"/>
                <w:sz w:val="24"/>
              </w:rPr>
            </w:pPr>
            <w:r w:rsidRPr="00A9056B">
              <w:rPr>
                <w:rFonts w:ascii="Times New Roman" w:hAnsi="Times New Roman"/>
                <w:color w:val="000000"/>
                <w:sz w:val="24"/>
              </w:rPr>
              <w:t>15</w:t>
            </w:r>
          </w:p>
        </w:tc>
        <w:tc>
          <w:tcPr>
            <w:tcW w:w="700" w:type="dxa"/>
            <w:tcBorders>
              <w:top w:val="nil"/>
              <w:left w:val="nil"/>
              <w:bottom w:val="nil"/>
              <w:right w:val="nil"/>
            </w:tcBorders>
            <w:shd w:val="clear" w:color="000000" w:fill="FFFFFF"/>
            <w:noWrap/>
            <w:vAlign w:val="bottom"/>
            <w:hideMark/>
          </w:tcPr>
          <w:p w:rsidR="00A9056B" w:rsidRPr="00A9056B" w:rsidP="00A9056B" w14:paraId="7FA6DE51" w14:textId="77777777">
            <w:pPr>
              <w:widowControl/>
              <w:autoSpaceDE/>
              <w:autoSpaceDN/>
              <w:adjustRightInd/>
              <w:jc w:val="center"/>
              <w:rPr>
                <w:rFonts w:ascii="Times New Roman" w:hAnsi="Times New Roman"/>
                <w:color w:val="000000"/>
                <w:sz w:val="24"/>
              </w:rPr>
            </w:pPr>
            <w:r w:rsidRPr="00A9056B">
              <w:rPr>
                <w:rFonts w:ascii="Times New Roman" w:hAnsi="Times New Roman"/>
                <w:color w:val="000000"/>
                <w:sz w:val="24"/>
              </w:rPr>
              <w:t>48</w:t>
            </w:r>
          </w:p>
        </w:tc>
        <w:tc>
          <w:tcPr>
            <w:tcW w:w="994" w:type="dxa"/>
            <w:tcBorders>
              <w:top w:val="nil"/>
              <w:left w:val="single" w:sz="4" w:space="0" w:color="auto"/>
              <w:bottom w:val="nil"/>
              <w:right w:val="nil"/>
            </w:tcBorders>
            <w:shd w:val="clear" w:color="000000" w:fill="FFFFFF"/>
            <w:noWrap/>
            <w:vAlign w:val="bottom"/>
            <w:hideMark/>
          </w:tcPr>
          <w:p w:rsidR="00A9056B" w:rsidRPr="00A9056B" w:rsidP="00A9056B" w14:paraId="3FABB82C" w14:textId="77777777">
            <w:pPr>
              <w:widowControl/>
              <w:autoSpaceDE/>
              <w:autoSpaceDN/>
              <w:adjustRightInd/>
              <w:jc w:val="center"/>
              <w:rPr>
                <w:rFonts w:ascii="Times New Roman" w:hAnsi="Times New Roman"/>
                <w:color w:val="000000"/>
                <w:sz w:val="24"/>
              </w:rPr>
            </w:pPr>
            <w:r w:rsidRPr="00A9056B">
              <w:rPr>
                <w:rFonts w:ascii="Times New Roman" w:hAnsi="Times New Roman"/>
                <w:color w:val="000000"/>
                <w:sz w:val="24"/>
              </w:rPr>
              <w:t>49</w:t>
            </w:r>
          </w:p>
        </w:tc>
        <w:tc>
          <w:tcPr>
            <w:tcW w:w="1707" w:type="dxa"/>
            <w:tcBorders>
              <w:top w:val="nil"/>
              <w:left w:val="nil"/>
              <w:bottom w:val="nil"/>
              <w:right w:val="nil"/>
            </w:tcBorders>
            <w:shd w:val="clear" w:color="000000" w:fill="FFFFFF"/>
            <w:noWrap/>
            <w:vAlign w:val="bottom"/>
            <w:hideMark/>
          </w:tcPr>
          <w:p w:rsidR="00A9056B" w:rsidRPr="00A9056B" w:rsidP="00A9056B" w14:paraId="39C53572" w14:textId="77777777">
            <w:pPr>
              <w:widowControl/>
              <w:autoSpaceDE/>
              <w:autoSpaceDN/>
              <w:adjustRightInd/>
              <w:jc w:val="center"/>
              <w:rPr>
                <w:rFonts w:ascii="Times New Roman" w:hAnsi="Times New Roman"/>
                <w:color w:val="000000"/>
                <w:sz w:val="24"/>
              </w:rPr>
            </w:pPr>
            <w:r w:rsidRPr="00A9056B">
              <w:rPr>
                <w:rFonts w:ascii="Times New Roman" w:hAnsi="Times New Roman"/>
                <w:color w:val="000000"/>
                <w:sz w:val="24"/>
              </w:rPr>
              <w:t>14</w:t>
            </w:r>
          </w:p>
        </w:tc>
        <w:tc>
          <w:tcPr>
            <w:tcW w:w="700" w:type="dxa"/>
            <w:tcBorders>
              <w:top w:val="nil"/>
              <w:left w:val="nil"/>
              <w:bottom w:val="nil"/>
              <w:right w:val="double" w:sz="6" w:space="0" w:color="auto"/>
            </w:tcBorders>
            <w:shd w:val="clear" w:color="000000" w:fill="FFFFFF"/>
            <w:noWrap/>
            <w:vAlign w:val="bottom"/>
            <w:hideMark/>
          </w:tcPr>
          <w:p w:rsidR="00A9056B" w:rsidRPr="00A9056B" w:rsidP="00A9056B" w14:paraId="5DA01880" w14:textId="77777777">
            <w:pPr>
              <w:widowControl/>
              <w:autoSpaceDE/>
              <w:autoSpaceDN/>
              <w:adjustRightInd/>
              <w:jc w:val="center"/>
              <w:rPr>
                <w:rFonts w:ascii="Times New Roman" w:hAnsi="Times New Roman"/>
                <w:color w:val="000000"/>
                <w:sz w:val="24"/>
              </w:rPr>
            </w:pPr>
            <w:r w:rsidRPr="00A9056B">
              <w:rPr>
                <w:rFonts w:ascii="Times New Roman" w:hAnsi="Times New Roman"/>
                <w:color w:val="000000"/>
                <w:sz w:val="24"/>
              </w:rPr>
              <w:t>63</w:t>
            </w:r>
          </w:p>
        </w:tc>
      </w:tr>
      <w:tr w14:paraId="575E2994" w14:textId="77777777" w:rsidTr="00A9056B">
        <w:tblPrEx>
          <w:tblW w:w="8520" w:type="dxa"/>
          <w:tblLook w:val="04A0"/>
        </w:tblPrEx>
        <w:trPr>
          <w:trHeight w:val="310"/>
        </w:trPr>
        <w:tc>
          <w:tcPr>
            <w:tcW w:w="1718" w:type="dxa"/>
            <w:tcBorders>
              <w:top w:val="nil"/>
              <w:left w:val="double" w:sz="6" w:space="0" w:color="auto"/>
              <w:bottom w:val="single" w:sz="4" w:space="0" w:color="auto"/>
              <w:right w:val="single" w:sz="4" w:space="0" w:color="auto"/>
            </w:tcBorders>
            <w:shd w:val="clear" w:color="000000" w:fill="FFFFFF"/>
            <w:noWrap/>
            <w:vAlign w:val="bottom"/>
            <w:hideMark/>
          </w:tcPr>
          <w:p w:rsidR="00A9056B" w:rsidRPr="00A9056B" w:rsidP="00A9056B" w14:paraId="54884D91" w14:textId="77777777">
            <w:pPr>
              <w:widowControl/>
              <w:autoSpaceDE/>
              <w:autoSpaceDN/>
              <w:adjustRightInd/>
              <w:jc w:val="center"/>
              <w:rPr>
                <w:rFonts w:ascii="Times New Roman" w:hAnsi="Times New Roman"/>
                <w:color w:val="000000"/>
                <w:sz w:val="24"/>
              </w:rPr>
            </w:pPr>
            <w:r w:rsidRPr="00A9056B">
              <w:rPr>
                <w:rFonts w:ascii="Times New Roman" w:hAnsi="Times New Roman"/>
                <w:color w:val="000000"/>
                <w:sz w:val="24"/>
              </w:rPr>
              <w:t>2024</w:t>
            </w:r>
          </w:p>
        </w:tc>
        <w:tc>
          <w:tcPr>
            <w:tcW w:w="994" w:type="dxa"/>
            <w:tcBorders>
              <w:top w:val="nil"/>
              <w:left w:val="nil"/>
              <w:bottom w:val="single" w:sz="4" w:space="0" w:color="auto"/>
              <w:right w:val="nil"/>
            </w:tcBorders>
            <w:shd w:val="clear" w:color="000000" w:fill="FFFFFF"/>
            <w:noWrap/>
            <w:vAlign w:val="bottom"/>
            <w:hideMark/>
          </w:tcPr>
          <w:p w:rsidR="00A9056B" w:rsidRPr="00A9056B" w:rsidP="00A9056B" w14:paraId="0C14A499" w14:textId="77777777">
            <w:pPr>
              <w:widowControl/>
              <w:autoSpaceDE/>
              <w:autoSpaceDN/>
              <w:adjustRightInd/>
              <w:jc w:val="center"/>
              <w:rPr>
                <w:rFonts w:ascii="Times New Roman" w:hAnsi="Times New Roman"/>
                <w:color w:val="000000"/>
                <w:sz w:val="24"/>
              </w:rPr>
            </w:pPr>
            <w:r w:rsidRPr="00A9056B">
              <w:rPr>
                <w:rFonts w:ascii="Times New Roman" w:hAnsi="Times New Roman"/>
                <w:color w:val="000000"/>
                <w:sz w:val="24"/>
              </w:rPr>
              <w:t>35</w:t>
            </w:r>
          </w:p>
        </w:tc>
        <w:tc>
          <w:tcPr>
            <w:tcW w:w="1707" w:type="dxa"/>
            <w:tcBorders>
              <w:top w:val="nil"/>
              <w:left w:val="nil"/>
              <w:bottom w:val="single" w:sz="4" w:space="0" w:color="auto"/>
              <w:right w:val="nil"/>
            </w:tcBorders>
            <w:shd w:val="clear" w:color="000000" w:fill="FFFFFF"/>
            <w:noWrap/>
            <w:vAlign w:val="bottom"/>
            <w:hideMark/>
          </w:tcPr>
          <w:p w:rsidR="00A9056B" w:rsidRPr="00A9056B" w:rsidP="00A9056B" w14:paraId="0EFB2ACC" w14:textId="77777777">
            <w:pPr>
              <w:widowControl/>
              <w:autoSpaceDE/>
              <w:autoSpaceDN/>
              <w:adjustRightInd/>
              <w:jc w:val="center"/>
              <w:rPr>
                <w:rFonts w:ascii="Times New Roman" w:hAnsi="Times New Roman"/>
                <w:color w:val="000000"/>
                <w:sz w:val="24"/>
              </w:rPr>
            </w:pPr>
            <w:r w:rsidRPr="00A9056B">
              <w:rPr>
                <w:rFonts w:ascii="Times New Roman" w:hAnsi="Times New Roman"/>
                <w:color w:val="000000"/>
                <w:sz w:val="24"/>
              </w:rPr>
              <w:t>7</w:t>
            </w:r>
          </w:p>
        </w:tc>
        <w:tc>
          <w:tcPr>
            <w:tcW w:w="700" w:type="dxa"/>
            <w:tcBorders>
              <w:top w:val="nil"/>
              <w:left w:val="nil"/>
              <w:bottom w:val="single" w:sz="4" w:space="0" w:color="auto"/>
              <w:right w:val="nil"/>
            </w:tcBorders>
            <w:shd w:val="clear" w:color="000000" w:fill="FFFFFF"/>
            <w:noWrap/>
            <w:vAlign w:val="bottom"/>
            <w:hideMark/>
          </w:tcPr>
          <w:p w:rsidR="00A9056B" w:rsidRPr="00A9056B" w:rsidP="00A9056B" w14:paraId="54A583D6" w14:textId="77777777">
            <w:pPr>
              <w:widowControl/>
              <w:autoSpaceDE/>
              <w:autoSpaceDN/>
              <w:adjustRightInd/>
              <w:jc w:val="center"/>
              <w:rPr>
                <w:rFonts w:ascii="Times New Roman" w:hAnsi="Times New Roman"/>
                <w:color w:val="000000"/>
                <w:sz w:val="24"/>
              </w:rPr>
            </w:pPr>
            <w:r w:rsidRPr="00A9056B">
              <w:rPr>
                <w:rFonts w:ascii="Times New Roman" w:hAnsi="Times New Roman"/>
                <w:color w:val="000000"/>
                <w:sz w:val="24"/>
              </w:rPr>
              <w:t>42</w:t>
            </w:r>
          </w:p>
        </w:tc>
        <w:tc>
          <w:tcPr>
            <w:tcW w:w="994" w:type="dxa"/>
            <w:tcBorders>
              <w:top w:val="nil"/>
              <w:left w:val="single" w:sz="4" w:space="0" w:color="auto"/>
              <w:bottom w:val="single" w:sz="4" w:space="0" w:color="auto"/>
              <w:right w:val="nil"/>
            </w:tcBorders>
            <w:shd w:val="clear" w:color="000000" w:fill="FFFFFF"/>
            <w:noWrap/>
            <w:vAlign w:val="bottom"/>
            <w:hideMark/>
          </w:tcPr>
          <w:p w:rsidR="00A9056B" w:rsidRPr="00A9056B" w:rsidP="00A9056B" w14:paraId="6CBF9DA1" w14:textId="77777777">
            <w:pPr>
              <w:widowControl/>
              <w:autoSpaceDE/>
              <w:autoSpaceDN/>
              <w:adjustRightInd/>
              <w:jc w:val="center"/>
              <w:rPr>
                <w:rFonts w:ascii="Times New Roman" w:hAnsi="Times New Roman"/>
                <w:color w:val="000000"/>
                <w:sz w:val="24"/>
              </w:rPr>
            </w:pPr>
            <w:r w:rsidRPr="00A9056B">
              <w:rPr>
                <w:rFonts w:ascii="Times New Roman" w:hAnsi="Times New Roman"/>
                <w:color w:val="000000"/>
                <w:sz w:val="24"/>
              </w:rPr>
              <w:t>37</w:t>
            </w:r>
          </w:p>
        </w:tc>
        <w:tc>
          <w:tcPr>
            <w:tcW w:w="1707" w:type="dxa"/>
            <w:tcBorders>
              <w:top w:val="nil"/>
              <w:left w:val="nil"/>
              <w:bottom w:val="single" w:sz="4" w:space="0" w:color="auto"/>
              <w:right w:val="nil"/>
            </w:tcBorders>
            <w:shd w:val="clear" w:color="000000" w:fill="FFFFFF"/>
            <w:noWrap/>
            <w:vAlign w:val="bottom"/>
            <w:hideMark/>
          </w:tcPr>
          <w:p w:rsidR="00A9056B" w:rsidRPr="00A9056B" w:rsidP="00A9056B" w14:paraId="0E0F111E" w14:textId="77777777">
            <w:pPr>
              <w:widowControl/>
              <w:autoSpaceDE/>
              <w:autoSpaceDN/>
              <w:adjustRightInd/>
              <w:jc w:val="center"/>
              <w:rPr>
                <w:rFonts w:ascii="Times New Roman" w:hAnsi="Times New Roman"/>
                <w:color w:val="000000"/>
                <w:sz w:val="24"/>
              </w:rPr>
            </w:pPr>
            <w:r w:rsidRPr="00A9056B">
              <w:rPr>
                <w:rFonts w:ascii="Times New Roman" w:hAnsi="Times New Roman"/>
                <w:color w:val="000000"/>
                <w:sz w:val="24"/>
              </w:rPr>
              <w:t>13</w:t>
            </w:r>
          </w:p>
        </w:tc>
        <w:tc>
          <w:tcPr>
            <w:tcW w:w="700" w:type="dxa"/>
            <w:tcBorders>
              <w:top w:val="nil"/>
              <w:left w:val="nil"/>
              <w:bottom w:val="single" w:sz="4" w:space="0" w:color="auto"/>
              <w:right w:val="double" w:sz="6" w:space="0" w:color="auto"/>
            </w:tcBorders>
            <w:shd w:val="clear" w:color="000000" w:fill="FFFFFF"/>
            <w:noWrap/>
            <w:vAlign w:val="bottom"/>
            <w:hideMark/>
          </w:tcPr>
          <w:p w:rsidR="00A9056B" w:rsidRPr="00A9056B" w:rsidP="00A9056B" w14:paraId="73106777" w14:textId="77777777">
            <w:pPr>
              <w:widowControl/>
              <w:autoSpaceDE/>
              <w:autoSpaceDN/>
              <w:adjustRightInd/>
              <w:jc w:val="center"/>
              <w:rPr>
                <w:rFonts w:ascii="Times New Roman" w:hAnsi="Times New Roman"/>
                <w:color w:val="000000"/>
                <w:sz w:val="24"/>
              </w:rPr>
            </w:pPr>
            <w:r w:rsidRPr="00A9056B">
              <w:rPr>
                <w:rFonts w:ascii="Times New Roman" w:hAnsi="Times New Roman"/>
                <w:color w:val="000000"/>
                <w:sz w:val="24"/>
              </w:rPr>
              <w:t>50</w:t>
            </w:r>
          </w:p>
        </w:tc>
      </w:tr>
      <w:tr w14:paraId="4DB783BE" w14:textId="77777777" w:rsidTr="00A9056B">
        <w:tblPrEx>
          <w:tblW w:w="8520" w:type="dxa"/>
          <w:tblLook w:val="04A0"/>
        </w:tblPrEx>
        <w:trPr>
          <w:trHeight w:val="940"/>
        </w:trPr>
        <w:tc>
          <w:tcPr>
            <w:tcW w:w="1718" w:type="dxa"/>
            <w:tcBorders>
              <w:top w:val="nil"/>
              <w:left w:val="double" w:sz="6" w:space="0" w:color="auto"/>
              <w:bottom w:val="double" w:sz="6" w:space="0" w:color="auto"/>
              <w:right w:val="single" w:sz="4" w:space="0" w:color="auto"/>
            </w:tcBorders>
            <w:shd w:val="clear" w:color="000000" w:fill="FFFFFF"/>
            <w:vAlign w:val="bottom"/>
            <w:hideMark/>
          </w:tcPr>
          <w:p w:rsidR="00A9056B" w:rsidRPr="00A9056B" w:rsidP="00A9056B" w14:paraId="526DFB97" w14:textId="77777777">
            <w:pPr>
              <w:widowControl/>
              <w:autoSpaceDE/>
              <w:autoSpaceDN/>
              <w:adjustRightInd/>
              <w:jc w:val="center"/>
              <w:rPr>
                <w:rFonts w:ascii="Times New Roman" w:hAnsi="Times New Roman"/>
                <w:color w:val="000000"/>
                <w:sz w:val="24"/>
              </w:rPr>
            </w:pPr>
            <w:r w:rsidRPr="00A9056B">
              <w:rPr>
                <w:rFonts w:ascii="Times New Roman" w:hAnsi="Times New Roman"/>
                <w:color w:val="000000"/>
                <w:sz w:val="24"/>
              </w:rPr>
              <w:t>Expected annually</w:t>
            </w:r>
          </w:p>
        </w:tc>
        <w:tc>
          <w:tcPr>
            <w:tcW w:w="994" w:type="dxa"/>
            <w:tcBorders>
              <w:top w:val="nil"/>
              <w:left w:val="nil"/>
              <w:bottom w:val="double" w:sz="6" w:space="0" w:color="auto"/>
              <w:right w:val="nil"/>
            </w:tcBorders>
            <w:shd w:val="clear" w:color="000000" w:fill="FFFFFF"/>
            <w:noWrap/>
            <w:vAlign w:val="bottom"/>
            <w:hideMark/>
          </w:tcPr>
          <w:p w:rsidR="00A9056B" w:rsidRPr="00A9056B" w:rsidP="00A9056B" w14:paraId="6059AE1D" w14:textId="77777777">
            <w:pPr>
              <w:widowControl/>
              <w:autoSpaceDE/>
              <w:autoSpaceDN/>
              <w:adjustRightInd/>
              <w:jc w:val="center"/>
              <w:rPr>
                <w:rFonts w:ascii="Times New Roman" w:hAnsi="Times New Roman"/>
                <w:color w:val="000000"/>
                <w:sz w:val="24"/>
              </w:rPr>
            </w:pPr>
            <w:r w:rsidRPr="00A9056B">
              <w:rPr>
                <w:rFonts w:ascii="Times New Roman" w:hAnsi="Times New Roman"/>
                <w:color w:val="000000"/>
                <w:sz w:val="24"/>
              </w:rPr>
              <w:t>33</w:t>
            </w:r>
          </w:p>
        </w:tc>
        <w:tc>
          <w:tcPr>
            <w:tcW w:w="1707" w:type="dxa"/>
            <w:tcBorders>
              <w:top w:val="nil"/>
              <w:left w:val="nil"/>
              <w:bottom w:val="double" w:sz="6" w:space="0" w:color="auto"/>
              <w:right w:val="nil"/>
            </w:tcBorders>
            <w:shd w:val="clear" w:color="000000" w:fill="FFFFFF"/>
            <w:noWrap/>
            <w:vAlign w:val="bottom"/>
            <w:hideMark/>
          </w:tcPr>
          <w:p w:rsidR="00A9056B" w:rsidRPr="00A9056B" w:rsidP="00A9056B" w14:paraId="6B797BB4" w14:textId="77777777">
            <w:pPr>
              <w:widowControl/>
              <w:autoSpaceDE/>
              <w:autoSpaceDN/>
              <w:adjustRightInd/>
              <w:jc w:val="center"/>
              <w:rPr>
                <w:rFonts w:ascii="Times New Roman" w:hAnsi="Times New Roman"/>
                <w:color w:val="000000"/>
                <w:sz w:val="24"/>
              </w:rPr>
            </w:pPr>
            <w:r w:rsidRPr="00A9056B">
              <w:rPr>
                <w:rFonts w:ascii="Times New Roman" w:hAnsi="Times New Roman"/>
                <w:color w:val="000000"/>
                <w:sz w:val="24"/>
              </w:rPr>
              <w:t>11</w:t>
            </w:r>
          </w:p>
        </w:tc>
        <w:tc>
          <w:tcPr>
            <w:tcW w:w="700" w:type="dxa"/>
            <w:tcBorders>
              <w:top w:val="nil"/>
              <w:left w:val="nil"/>
              <w:bottom w:val="double" w:sz="6" w:space="0" w:color="auto"/>
              <w:right w:val="nil"/>
            </w:tcBorders>
            <w:shd w:val="clear" w:color="000000" w:fill="FFFFFF"/>
            <w:noWrap/>
            <w:vAlign w:val="bottom"/>
            <w:hideMark/>
          </w:tcPr>
          <w:p w:rsidR="00A9056B" w:rsidRPr="00A9056B" w:rsidP="00A9056B" w14:paraId="2E8B9B2F" w14:textId="77777777">
            <w:pPr>
              <w:widowControl/>
              <w:autoSpaceDE/>
              <w:autoSpaceDN/>
              <w:adjustRightInd/>
              <w:jc w:val="center"/>
              <w:rPr>
                <w:rFonts w:ascii="Times New Roman" w:hAnsi="Times New Roman"/>
                <w:color w:val="000000"/>
                <w:sz w:val="24"/>
              </w:rPr>
            </w:pPr>
            <w:r w:rsidRPr="00A9056B">
              <w:rPr>
                <w:rFonts w:ascii="Times New Roman" w:hAnsi="Times New Roman"/>
                <w:color w:val="000000"/>
                <w:sz w:val="24"/>
              </w:rPr>
              <w:t>44</w:t>
            </w:r>
          </w:p>
        </w:tc>
        <w:tc>
          <w:tcPr>
            <w:tcW w:w="994" w:type="dxa"/>
            <w:tcBorders>
              <w:top w:val="nil"/>
              <w:left w:val="single" w:sz="4" w:space="0" w:color="auto"/>
              <w:bottom w:val="double" w:sz="6" w:space="0" w:color="auto"/>
              <w:right w:val="nil"/>
            </w:tcBorders>
            <w:shd w:val="clear" w:color="000000" w:fill="FFFFFF"/>
            <w:noWrap/>
            <w:vAlign w:val="bottom"/>
            <w:hideMark/>
          </w:tcPr>
          <w:p w:rsidR="00A9056B" w:rsidRPr="00A9056B" w:rsidP="00A9056B" w14:paraId="3CCD180A" w14:textId="77777777">
            <w:pPr>
              <w:widowControl/>
              <w:autoSpaceDE/>
              <w:autoSpaceDN/>
              <w:adjustRightInd/>
              <w:jc w:val="center"/>
              <w:rPr>
                <w:rFonts w:ascii="Times New Roman" w:hAnsi="Times New Roman"/>
                <w:color w:val="000000"/>
                <w:sz w:val="24"/>
              </w:rPr>
            </w:pPr>
            <w:r w:rsidRPr="00A9056B">
              <w:rPr>
                <w:rFonts w:ascii="Times New Roman" w:hAnsi="Times New Roman"/>
                <w:color w:val="000000"/>
                <w:sz w:val="24"/>
              </w:rPr>
              <w:t>43</w:t>
            </w:r>
          </w:p>
        </w:tc>
        <w:tc>
          <w:tcPr>
            <w:tcW w:w="1707" w:type="dxa"/>
            <w:tcBorders>
              <w:top w:val="nil"/>
              <w:left w:val="nil"/>
              <w:bottom w:val="double" w:sz="6" w:space="0" w:color="auto"/>
              <w:right w:val="nil"/>
            </w:tcBorders>
            <w:shd w:val="clear" w:color="000000" w:fill="FFFFFF"/>
            <w:noWrap/>
            <w:vAlign w:val="bottom"/>
            <w:hideMark/>
          </w:tcPr>
          <w:p w:rsidR="00A9056B" w:rsidRPr="00A9056B" w:rsidP="00A9056B" w14:paraId="232019CA" w14:textId="77777777">
            <w:pPr>
              <w:widowControl/>
              <w:autoSpaceDE/>
              <w:autoSpaceDN/>
              <w:adjustRightInd/>
              <w:jc w:val="center"/>
              <w:rPr>
                <w:rFonts w:ascii="Times New Roman" w:hAnsi="Times New Roman"/>
                <w:color w:val="000000"/>
                <w:sz w:val="24"/>
              </w:rPr>
            </w:pPr>
            <w:r w:rsidRPr="00A9056B">
              <w:rPr>
                <w:rFonts w:ascii="Times New Roman" w:hAnsi="Times New Roman"/>
                <w:color w:val="000000"/>
                <w:sz w:val="24"/>
              </w:rPr>
              <w:t>13</w:t>
            </w:r>
          </w:p>
        </w:tc>
        <w:tc>
          <w:tcPr>
            <w:tcW w:w="700" w:type="dxa"/>
            <w:tcBorders>
              <w:top w:val="nil"/>
              <w:left w:val="nil"/>
              <w:bottom w:val="double" w:sz="6" w:space="0" w:color="auto"/>
              <w:right w:val="double" w:sz="6" w:space="0" w:color="auto"/>
            </w:tcBorders>
            <w:shd w:val="clear" w:color="000000" w:fill="FFFFFF"/>
            <w:noWrap/>
            <w:vAlign w:val="bottom"/>
            <w:hideMark/>
          </w:tcPr>
          <w:p w:rsidR="00A9056B" w:rsidRPr="00A9056B" w:rsidP="00A9056B" w14:paraId="218A3247" w14:textId="77777777">
            <w:pPr>
              <w:widowControl/>
              <w:autoSpaceDE/>
              <w:autoSpaceDN/>
              <w:adjustRightInd/>
              <w:jc w:val="center"/>
              <w:rPr>
                <w:rFonts w:ascii="Times New Roman" w:hAnsi="Times New Roman"/>
                <w:color w:val="000000"/>
                <w:sz w:val="24"/>
              </w:rPr>
            </w:pPr>
            <w:r w:rsidRPr="00A9056B">
              <w:rPr>
                <w:rFonts w:ascii="Times New Roman" w:hAnsi="Times New Roman"/>
                <w:color w:val="000000"/>
                <w:sz w:val="24"/>
              </w:rPr>
              <w:t>56</w:t>
            </w:r>
          </w:p>
        </w:tc>
      </w:tr>
    </w:tbl>
    <w:p w:rsidR="00A9056B" w:rsidP="00E53982" w14:paraId="21CBB2FB" w14:textId="77777777">
      <w:pPr>
        <w:tabs>
          <w:tab w:val="left" w:pos="-1440"/>
        </w:tabs>
        <w:ind w:left="720" w:hanging="720"/>
        <w:rPr>
          <w:noProof/>
        </w:rPr>
      </w:pPr>
    </w:p>
    <w:p w:rsidR="00A9056B" w:rsidP="00E53982" w14:paraId="329C7DE8" w14:textId="77777777">
      <w:pPr>
        <w:tabs>
          <w:tab w:val="left" w:pos="-1440"/>
        </w:tabs>
        <w:ind w:left="720" w:hanging="720"/>
        <w:rPr>
          <w:noProof/>
        </w:rPr>
      </w:pPr>
    </w:p>
    <w:p w:rsidR="00A9056B" w:rsidP="00E53982" w14:paraId="1224A287" w14:textId="77777777">
      <w:pPr>
        <w:tabs>
          <w:tab w:val="left" w:pos="-1440"/>
        </w:tabs>
        <w:ind w:left="720" w:hanging="720"/>
        <w:rPr>
          <w:noProof/>
        </w:rPr>
      </w:pPr>
    </w:p>
    <w:p w:rsidR="00A9056B" w:rsidP="00E53982" w14:paraId="021EA41D" w14:textId="77777777">
      <w:pPr>
        <w:tabs>
          <w:tab w:val="left" w:pos="-1440"/>
        </w:tabs>
        <w:ind w:left="720" w:hanging="720"/>
        <w:rPr>
          <w:noProof/>
        </w:rPr>
      </w:pPr>
    </w:p>
    <w:p w:rsidR="00A9056B" w:rsidP="00E53982" w14:paraId="1BD07449" w14:textId="77777777">
      <w:pPr>
        <w:tabs>
          <w:tab w:val="left" w:pos="-1440"/>
        </w:tabs>
        <w:ind w:left="720" w:hanging="720"/>
        <w:rPr>
          <w:rFonts w:ascii="Times New Roman" w:hAnsi="Times New Roman"/>
          <w:sz w:val="24"/>
        </w:rPr>
      </w:pPr>
    </w:p>
    <w:p w:rsidR="00DE4EF3" w:rsidP="00E53982" w14:paraId="0C9016C5" w14:textId="77777777">
      <w:pPr>
        <w:tabs>
          <w:tab w:val="left" w:pos="-1440"/>
        </w:tabs>
        <w:ind w:left="720" w:hanging="720"/>
        <w:rPr>
          <w:rFonts w:ascii="Times New Roman" w:hAnsi="Times New Roman"/>
          <w:sz w:val="24"/>
        </w:rPr>
      </w:pPr>
    </w:p>
    <w:p w:rsidR="00DE4EF3" w:rsidP="00E53982" w14:paraId="388AD6EE" w14:textId="77777777">
      <w:pPr>
        <w:tabs>
          <w:tab w:val="left" w:pos="-1440"/>
        </w:tabs>
        <w:ind w:left="720" w:hanging="720"/>
        <w:rPr>
          <w:rFonts w:ascii="Times New Roman" w:hAnsi="Times New Roman"/>
          <w:sz w:val="24"/>
        </w:rPr>
      </w:pPr>
    </w:p>
    <w:p w:rsidR="00DE4EF3" w:rsidP="00E53982" w14:paraId="1C899C96" w14:textId="77777777">
      <w:pPr>
        <w:tabs>
          <w:tab w:val="left" w:pos="-1440"/>
        </w:tabs>
        <w:ind w:left="720" w:hanging="720"/>
        <w:rPr>
          <w:rFonts w:ascii="Times New Roman" w:hAnsi="Times New Roman"/>
          <w:sz w:val="24"/>
        </w:rPr>
      </w:pPr>
    </w:p>
    <w:tbl>
      <w:tblPr>
        <w:tblW w:w="6880" w:type="dxa"/>
        <w:tblLook w:val="04A0"/>
      </w:tblPr>
      <w:tblGrid>
        <w:gridCol w:w="1820"/>
        <w:gridCol w:w="1960"/>
        <w:gridCol w:w="1560"/>
        <w:gridCol w:w="1540"/>
      </w:tblGrid>
      <w:tr w14:paraId="275865FD" w14:textId="77777777" w:rsidTr="00600C03">
        <w:tblPrEx>
          <w:tblW w:w="6880" w:type="dxa"/>
          <w:tblLook w:val="04A0"/>
        </w:tblPrEx>
        <w:trPr>
          <w:trHeight w:val="450"/>
        </w:trPr>
        <w:tc>
          <w:tcPr>
            <w:tcW w:w="6880" w:type="dxa"/>
            <w:gridSpan w:val="4"/>
            <w:tcBorders>
              <w:top w:val="double" w:sz="6" w:space="0" w:color="auto"/>
              <w:left w:val="double" w:sz="6" w:space="0" w:color="auto"/>
              <w:bottom w:val="single" w:sz="4" w:space="0" w:color="auto"/>
              <w:right w:val="double" w:sz="6" w:space="0" w:color="000000"/>
            </w:tcBorders>
            <w:shd w:val="clear" w:color="000000" w:fill="FFFFFF"/>
            <w:vAlign w:val="bottom"/>
            <w:hideMark/>
          </w:tcPr>
          <w:p w:rsidR="00600C03" w:rsidRPr="00600C03" w:rsidP="00600C03" w14:paraId="57710EFA" w14:textId="77777777">
            <w:pPr>
              <w:widowControl/>
              <w:autoSpaceDE/>
              <w:autoSpaceDN/>
              <w:adjustRightInd/>
              <w:jc w:val="center"/>
              <w:rPr>
                <w:rFonts w:ascii="Times New Roman" w:hAnsi="Times New Roman"/>
                <w:color w:val="000000"/>
                <w:sz w:val="24"/>
              </w:rPr>
            </w:pPr>
            <w:r w:rsidRPr="00600C03">
              <w:rPr>
                <w:rFonts w:ascii="Times New Roman" w:hAnsi="Times New Roman"/>
                <w:color w:val="000000"/>
                <w:sz w:val="24"/>
              </w:rPr>
              <w:t xml:space="preserve">Burden hours for permittee applicants: Parts 779 &amp; 783 </w:t>
            </w:r>
          </w:p>
        </w:tc>
      </w:tr>
      <w:tr w14:paraId="59DCD84E" w14:textId="77777777" w:rsidTr="00600C03">
        <w:tblPrEx>
          <w:tblW w:w="6880" w:type="dxa"/>
          <w:tblLook w:val="04A0"/>
        </w:tblPrEx>
        <w:trPr>
          <w:trHeight w:val="780"/>
        </w:trPr>
        <w:tc>
          <w:tcPr>
            <w:tcW w:w="1820" w:type="dxa"/>
            <w:tcBorders>
              <w:top w:val="single" w:sz="4" w:space="0" w:color="auto"/>
              <w:left w:val="double" w:sz="6" w:space="0" w:color="auto"/>
              <w:bottom w:val="single" w:sz="4" w:space="0" w:color="auto"/>
              <w:right w:val="nil"/>
            </w:tcBorders>
            <w:shd w:val="clear" w:color="000000" w:fill="FFFFFF"/>
            <w:vAlign w:val="bottom"/>
            <w:hideMark/>
          </w:tcPr>
          <w:p w:rsidR="00600C03" w:rsidRPr="00600C03" w:rsidP="00600C03" w14:paraId="054D543C" w14:textId="77777777">
            <w:pPr>
              <w:widowControl/>
              <w:autoSpaceDE/>
              <w:autoSpaceDN/>
              <w:adjustRightInd/>
              <w:rPr>
                <w:rFonts w:ascii="Times New Roman" w:hAnsi="Times New Roman"/>
                <w:color w:val="000000"/>
                <w:sz w:val="24"/>
              </w:rPr>
            </w:pPr>
            <w:r w:rsidRPr="00600C03">
              <w:rPr>
                <w:rFonts w:ascii="Times New Roman" w:hAnsi="Times New Roman"/>
                <w:color w:val="000000"/>
                <w:sz w:val="24"/>
              </w:rPr>
              <w:t xml:space="preserve"> Sections</w:t>
            </w:r>
          </w:p>
        </w:tc>
        <w:tc>
          <w:tcPr>
            <w:tcW w:w="1960" w:type="dxa"/>
            <w:tcBorders>
              <w:top w:val="single" w:sz="4" w:space="0" w:color="auto"/>
              <w:left w:val="nil"/>
              <w:bottom w:val="single" w:sz="4" w:space="0" w:color="auto"/>
              <w:right w:val="nil"/>
            </w:tcBorders>
            <w:shd w:val="clear" w:color="000000" w:fill="FFFFFF"/>
            <w:vAlign w:val="bottom"/>
            <w:hideMark/>
          </w:tcPr>
          <w:p w:rsidR="00600C03" w:rsidRPr="00600C03" w:rsidP="00600C03" w14:paraId="02A5338E" w14:textId="77777777">
            <w:pPr>
              <w:widowControl/>
              <w:autoSpaceDE/>
              <w:autoSpaceDN/>
              <w:adjustRightInd/>
              <w:jc w:val="center"/>
              <w:rPr>
                <w:rFonts w:ascii="Times New Roman" w:hAnsi="Times New Roman"/>
                <w:color w:val="000000"/>
                <w:sz w:val="24"/>
              </w:rPr>
            </w:pPr>
            <w:r w:rsidRPr="00600C03">
              <w:rPr>
                <w:rFonts w:ascii="Times New Roman" w:hAnsi="Times New Roman"/>
                <w:color w:val="000000"/>
                <w:sz w:val="24"/>
              </w:rPr>
              <w:t>Permittee annual responses</w:t>
            </w:r>
          </w:p>
        </w:tc>
        <w:tc>
          <w:tcPr>
            <w:tcW w:w="1560" w:type="dxa"/>
            <w:tcBorders>
              <w:top w:val="single" w:sz="4" w:space="0" w:color="auto"/>
              <w:left w:val="nil"/>
              <w:bottom w:val="single" w:sz="4" w:space="0" w:color="auto"/>
              <w:right w:val="nil"/>
            </w:tcBorders>
            <w:shd w:val="clear" w:color="000000" w:fill="FFFFFF"/>
            <w:vAlign w:val="bottom"/>
            <w:hideMark/>
          </w:tcPr>
          <w:p w:rsidR="00600C03" w:rsidRPr="00600C03" w:rsidP="00600C03" w14:paraId="16B77314" w14:textId="77777777">
            <w:pPr>
              <w:widowControl/>
              <w:autoSpaceDE/>
              <w:autoSpaceDN/>
              <w:adjustRightInd/>
              <w:jc w:val="center"/>
              <w:rPr>
                <w:rFonts w:ascii="Times New Roman" w:hAnsi="Times New Roman"/>
                <w:color w:val="000000"/>
                <w:sz w:val="24"/>
              </w:rPr>
            </w:pPr>
            <w:r w:rsidRPr="00600C03">
              <w:rPr>
                <w:rFonts w:ascii="Times New Roman" w:hAnsi="Times New Roman"/>
                <w:color w:val="000000"/>
                <w:sz w:val="24"/>
              </w:rPr>
              <w:t>Hours per response</w:t>
            </w:r>
          </w:p>
        </w:tc>
        <w:tc>
          <w:tcPr>
            <w:tcW w:w="1540" w:type="dxa"/>
            <w:tcBorders>
              <w:top w:val="single" w:sz="4" w:space="0" w:color="auto"/>
              <w:left w:val="nil"/>
              <w:bottom w:val="single" w:sz="4" w:space="0" w:color="auto"/>
              <w:right w:val="double" w:sz="6" w:space="0" w:color="auto"/>
            </w:tcBorders>
            <w:shd w:val="clear" w:color="000000" w:fill="FFFFFF"/>
            <w:vAlign w:val="bottom"/>
            <w:hideMark/>
          </w:tcPr>
          <w:p w:rsidR="00600C03" w:rsidRPr="00600C03" w:rsidP="00600C03" w14:paraId="16C68B5B" w14:textId="2A1E299D">
            <w:pPr>
              <w:widowControl/>
              <w:autoSpaceDE/>
              <w:autoSpaceDN/>
              <w:adjustRightInd/>
              <w:rPr>
                <w:rFonts w:ascii="Times New Roman" w:hAnsi="Times New Roman"/>
                <w:color w:val="000000"/>
                <w:sz w:val="24"/>
              </w:rPr>
            </w:pPr>
            <w:r w:rsidRPr="00600C03">
              <w:rPr>
                <w:rFonts w:ascii="Times New Roman" w:hAnsi="Times New Roman"/>
                <w:color w:val="000000"/>
                <w:sz w:val="24"/>
              </w:rPr>
              <w:t>Permi</w:t>
            </w:r>
            <w:r>
              <w:rPr>
                <w:rFonts w:ascii="Times New Roman" w:hAnsi="Times New Roman"/>
                <w:color w:val="000000"/>
                <w:sz w:val="24"/>
              </w:rPr>
              <w:t>t</w:t>
            </w:r>
            <w:r w:rsidRPr="00600C03">
              <w:rPr>
                <w:rFonts w:ascii="Times New Roman" w:hAnsi="Times New Roman"/>
                <w:color w:val="000000"/>
                <w:sz w:val="24"/>
              </w:rPr>
              <w:t xml:space="preserve">tee total annual hours </w:t>
            </w:r>
          </w:p>
        </w:tc>
      </w:tr>
      <w:tr w14:paraId="1E83EC61" w14:textId="77777777" w:rsidTr="00600C03">
        <w:tblPrEx>
          <w:tblW w:w="6880" w:type="dxa"/>
          <w:tblLook w:val="04A0"/>
        </w:tblPrEx>
        <w:trPr>
          <w:trHeight w:val="310"/>
        </w:trPr>
        <w:tc>
          <w:tcPr>
            <w:tcW w:w="1820" w:type="dxa"/>
            <w:tcBorders>
              <w:top w:val="nil"/>
              <w:left w:val="double" w:sz="6" w:space="0" w:color="auto"/>
              <w:bottom w:val="nil"/>
              <w:right w:val="nil"/>
            </w:tcBorders>
            <w:shd w:val="clear" w:color="000000" w:fill="FFFFFF"/>
            <w:vAlign w:val="center"/>
            <w:hideMark/>
          </w:tcPr>
          <w:p w:rsidR="00600C03" w:rsidRPr="00600C03" w:rsidP="00600C03" w14:paraId="086315A9" w14:textId="77777777">
            <w:pPr>
              <w:widowControl/>
              <w:autoSpaceDE/>
              <w:autoSpaceDN/>
              <w:adjustRightInd/>
              <w:rPr>
                <w:rFonts w:ascii="Times New Roman" w:hAnsi="Times New Roman"/>
                <w:color w:val="000000"/>
                <w:sz w:val="24"/>
              </w:rPr>
            </w:pPr>
            <w:r w:rsidRPr="00600C03">
              <w:rPr>
                <w:rFonts w:ascii="Times New Roman" w:hAnsi="Times New Roman"/>
                <w:color w:val="000000"/>
                <w:sz w:val="24"/>
              </w:rPr>
              <w:t>779/783.11&amp;12</w:t>
            </w:r>
          </w:p>
        </w:tc>
        <w:tc>
          <w:tcPr>
            <w:tcW w:w="1960" w:type="dxa"/>
            <w:tcBorders>
              <w:top w:val="nil"/>
              <w:left w:val="nil"/>
              <w:bottom w:val="nil"/>
              <w:right w:val="nil"/>
            </w:tcBorders>
            <w:shd w:val="clear" w:color="000000" w:fill="FFFFFF"/>
            <w:vAlign w:val="center"/>
            <w:hideMark/>
          </w:tcPr>
          <w:p w:rsidR="00600C03" w:rsidRPr="00600C03" w:rsidP="00600C03" w14:paraId="5C42A865" w14:textId="77777777">
            <w:pPr>
              <w:widowControl/>
              <w:autoSpaceDE/>
              <w:autoSpaceDN/>
              <w:adjustRightInd/>
              <w:jc w:val="center"/>
              <w:rPr>
                <w:rFonts w:ascii="Times New Roman" w:hAnsi="Times New Roman"/>
                <w:color w:val="000000"/>
                <w:sz w:val="24"/>
              </w:rPr>
            </w:pPr>
            <w:r w:rsidRPr="00600C03">
              <w:rPr>
                <w:rFonts w:ascii="Times New Roman" w:hAnsi="Times New Roman"/>
                <w:color w:val="000000"/>
                <w:sz w:val="24"/>
              </w:rPr>
              <w:t>100</w:t>
            </w:r>
          </w:p>
        </w:tc>
        <w:tc>
          <w:tcPr>
            <w:tcW w:w="1560" w:type="dxa"/>
            <w:tcBorders>
              <w:top w:val="nil"/>
              <w:left w:val="nil"/>
              <w:bottom w:val="nil"/>
              <w:right w:val="nil"/>
            </w:tcBorders>
            <w:shd w:val="clear" w:color="000000" w:fill="FFFFFF"/>
            <w:vAlign w:val="center"/>
            <w:hideMark/>
          </w:tcPr>
          <w:p w:rsidR="00600C03" w:rsidRPr="00600C03" w:rsidP="00600C03" w14:paraId="044306C8" w14:textId="77777777">
            <w:pPr>
              <w:widowControl/>
              <w:autoSpaceDE/>
              <w:autoSpaceDN/>
              <w:adjustRightInd/>
              <w:jc w:val="center"/>
              <w:rPr>
                <w:rFonts w:ascii="Times New Roman" w:hAnsi="Times New Roman"/>
                <w:color w:val="000000"/>
                <w:sz w:val="24"/>
              </w:rPr>
            </w:pPr>
            <w:r w:rsidRPr="00600C03">
              <w:rPr>
                <w:rFonts w:ascii="Times New Roman" w:hAnsi="Times New Roman"/>
                <w:color w:val="000000"/>
                <w:sz w:val="24"/>
              </w:rPr>
              <w:t>415</w:t>
            </w:r>
          </w:p>
        </w:tc>
        <w:tc>
          <w:tcPr>
            <w:tcW w:w="1540" w:type="dxa"/>
            <w:tcBorders>
              <w:top w:val="nil"/>
              <w:left w:val="nil"/>
              <w:bottom w:val="nil"/>
              <w:right w:val="double" w:sz="6" w:space="0" w:color="auto"/>
            </w:tcBorders>
            <w:shd w:val="clear" w:color="000000" w:fill="FFFFFF"/>
            <w:vAlign w:val="center"/>
            <w:hideMark/>
          </w:tcPr>
          <w:p w:rsidR="00600C03" w:rsidRPr="00600C03" w:rsidP="00600C03" w14:paraId="1A67E333" w14:textId="77777777">
            <w:pPr>
              <w:widowControl/>
              <w:autoSpaceDE/>
              <w:autoSpaceDN/>
              <w:adjustRightInd/>
              <w:jc w:val="center"/>
              <w:rPr>
                <w:rFonts w:ascii="Times New Roman" w:hAnsi="Times New Roman"/>
                <w:color w:val="000000"/>
                <w:sz w:val="24"/>
              </w:rPr>
            </w:pPr>
            <w:r w:rsidRPr="00600C03">
              <w:rPr>
                <w:rFonts w:ascii="Times New Roman" w:hAnsi="Times New Roman"/>
                <w:color w:val="000000"/>
                <w:sz w:val="24"/>
              </w:rPr>
              <w:t>41,500</w:t>
            </w:r>
          </w:p>
        </w:tc>
      </w:tr>
      <w:tr w14:paraId="39ABC842" w14:textId="77777777" w:rsidTr="00600C03">
        <w:tblPrEx>
          <w:tblW w:w="6880" w:type="dxa"/>
          <w:tblLook w:val="04A0"/>
        </w:tblPrEx>
        <w:trPr>
          <w:trHeight w:val="310"/>
        </w:trPr>
        <w:tc>
          <w:tcPr>
            <w:tcW w:w="1820" w:type="dxa"/>
            <w:tcBorders>
              <w:top w:val="nil"/>
              <w:left w:val="double" w:sz="6" w:space="0" w:color="auto"/>
              <w:bottom w:val="nil"/>
              <w:right w:val="nil"/>
            </w:tcBorders>
            <w:shd w:val="clear" w:color="000000" w:fill="FFFFFF"/>
            <w:vAlign w:val="center"/>
            <w:hideMark/>
          </w:tcPr>
          <w:p w:rsidR="00600C03" w:rsidRPr="00600C03" w:rsidP="00600C03" w14:paraId="460FF857" w14:textId="77777777">
            <w:pPr>
              <w:widowControl/>
              <w:autoSpaceDE/>
              <w:autoSpaceDN/>
              <w:adjustRightInd/>
              <w:rPr>
                <w:rFonts w:ascii="Times New Roman" w:hAnsi="Times New Roman"/>
                <w:color w:val="000000"/>
                <w:sz w:val="24"/>
              </w:rPr>
            </w:pPr>
            <w:r w:rsidRPr="00600C03">
              <w:rPr>
                <w:rFonts w:ascii="Times New Roman" w:hAnsi="Times New Roman"/>
                <w:color w:val="000000"/>
                <w:sz w:val="24"/>
              </w:rPr>
              <w:t>779/783.18</w:t>
            </w:r>
          </w:p>
        </w:tc>
        <w:tc>
          <w:tcPr>
            <w:tcW w:w="1960" w:type="dxa"/>
            <w:tcBorders>
              <w:top w:val="nil"/>
              <w:left w:val="nil"/>
              <w:bottom w:val="nil"/>
              <w:right w:val="nil"/>
            </w:tcBorders>
            <w:shd w:val="clear" w:color="000000" w:fill="FFFFFF"/>
            <w:vAlign w:val="center"/>
            <w:hideMark/>
          </w:tcPr>
          <w:p w:rsidR="00600C03" w:rsidRPr="00600C03" w:rsidP="00600C03" w14:paraId="6DB6F6CC" w14:textId="77777777">
            <w:pPr>
              <w:widowControl/>
              <w:autoSpaceDE/>
              <w:autoSpaceDN/>
              <w:adjustRightInd/>
              <w:jc w:val="center"/>
              <w:rPr>
                <w:rFonts w:ascii="Times New Roman" w:hAnsi="Times New Roman"/>
                <w:color w:val="000000"/>
                <w:sz w:val="24"/>
              </w:rPr>
            </w:pPr>
            <w:r w:rsidRPr="00600C03">
              <w:rPr>
                <w:rFonts w:ascii="Times New Roman" w:hAnsi="Times New Roman"/>
                <w:color w:val="000000"/>
                <w:sz w:val="24"/>
              </w:rPr>
              <w:t>100</w:t>
            </w:r>
          </w:p>
        </w:tc>
        <w:tc>
          <w:tcPr>
            <w:tcW w:w="1560" w:type="dxa"/>
            <w:tcBorders>
              <w:top w:val="nil"/>
              <w:left w:val="nil"/>
              <w:bottom w:val="nil"/>
              <w:right w:val="nil"/>
            </w:tcBorders>
            <w:shd w:val="clear" w:color="000000" w:fill="FFFFFF"/>
            <w:vAlign w:val="center"/>
            <w:hideMark/>
          </w:tcPr>
          <w:p w:rsidR="00600C03" w:rsidRPr="00600C03" w:rsidP="00600C03" w14:paraId="1F26DE1B" w14:textId="77777777">
            <w:pPr>
              <w:widowControl/>
              <w:autoSpaceDE/>
              <w:autoSpaceDN/>
              <w:adjustRightInd/>
              <w:jc w:val="center"/>
              <w:rPr>
                <w:rFonts w:ascii="Times New Roman" w:hAnsi="Times New Roman"/>
                <w:color w:val="000000"/>
                <w:sz w:val="24"/>
              </w:rPr>
            </w:pPr>
            <w:r w:rsidRPr="00600C03">
              <w:rPr>
                <w:rFonts w:ascii="Times New Roman" w:hAnsi="Times New Roman"/>
                <w:color w:val="000000"/>
                <w:sz w:val="24"/>
              </w:rPr>
              <w:t>3</w:t>
            </w:r>
          </w:p>
        </w:tc>
        <w:tc>
          <w:tcPr>
            <w:tcW w:w="1540" w:type="dxa"/>
            <w:tcBorders>
              <w:top w:val="nil"/>
              <w:left w:val="nil"/>
              <w:bottom w:val="nil"/>
              <w:right w:val="double" w:sz="6" w:space="0" w:color="auto"/>
            </w:tcBorders>
            <w:shd w:val="clear" w:color="000000" w:fill="FFFFFF"/>
            <w:vAlign w:val="center"/>
            <w:hideMark/>
          </w:tcPr>
          <w:p w:rsidR="00600C03" w:rsidRPr="00600C03" w:rsidP="00600C03" w14:paraId="31237E29" w14:textId="77777777">
            <w:pPr>
              <w:widowControl/>
              <w:autoSpaceDE/>
              <w:autoSpaceDN/>
              <w:adjustRightInd/>
              <w:jc w:val="center"/>
              <w:rPr>
                <w:rFonts w:ascii="Times New Roman" w:hAnsi="Times New Roman"/>
                <w:color w:val="000000"/>
                <w:sz w:val="24"/>
              </w:rPr>
            </w:pPr>
            <w:r w:rsidRPr="00600C03">
              <w:rPr>
                <w:rFonts w:ascii="Times New Roman" w:hAnsi="Times New Roman"/>
                <w:color w:val="000000"/>
                <w:sz w:val="24"/>
              </w:rPr>
              <w:t>300</w:t>
            </w:r>
          </w:p>
        </w:tc>
      </w:tr>
      <w:tr w14:paraId="24696FA8" w14:textId="77777777" w:rsidTr="00600C03">
        <w:tblPrEx>
          <w:tblW w:w="6880" w:type="dxa"/>
          <w:tblLook w:val="04A0"/>
        </w:tblPrEx>
        <w:trPr>
          <w:trHeight w:val="310"/>
        </w:trPr>
        <w:tc>
          <w:tcPr>
            <w:tcW w:w="1820" w:type="dxa"/>
            <w:tcBorders>
              <w:top w:val="nil"/>
              <w:left w:val="double" w:sz="6" w:space="0" w:color="auto"/>
              <w:bottom w:val="nil"/>
              <w:right w:val="nil"/>
            </w:tcBorders>
            <w:shd w:val="clear" w:color="000000" w:fill="FFFFFF"/>
            <w:vAlign w:val="center"/>
            <w:hideMark/>
          </w:tcPr>
          <w:p w:rsidR="00600C03" w:rsidRPr="00600C03" w:rsidP="00600C03" w14:paraId="0E2E4BE5" w14:textId="77777777">
            <w:pPr>
              <w:widowControl/>
              <w:autoSpaceDE/>
              <w:autoSpaceDN/>
              <w:adjustRightInd/>
              <w:rPr>
                <w:rFonts w:ascii="Times New Roman" w:hAnsi="Times New Roman"/>
                <w:color w:val="000000"/>
                <w:sz w:val="24"/>
              </w:rPr>
            </w:pPr>
            <w:r w:rsidRPr="00600C03">
              <w:rPr>
                <w:rFonts w:ascii="Times New Roman" w:hAnsi="Times New Roman"/>
                <w:color w:val="000000"/>
                <w:sz w:val="24"/>
              </w:rPr>
              <w:t>779/783.19</w:t>
            </w:r>
          </w:p>
        </w:tc>
        <w:tc>
          <w:tcPr>
            <w:tcW w:w="1960" w:type="dxa"/>
            <w:tcBorders>
              <w:top w:val="nil"/>
              <w:left w:val="nil"/>
              <w:bottom w:val="nil"/>
              <w:right w:val="nil"/>
            </w:tcBorders>
            <w:shd w:val="clear" w:color="000000" w:fill="FFFFFF"/>
            <w:vAlign w:val="center"/>
            <w:hideMark/>
          </w:tcPr>
          <w:p w:rsidR="00600C03" w:rsidRPr="00600C03" w:rsidP="00600C03" w14:paraId="21224159" w14:textId="77777777">
            <w:pPr>
              <w:widowControl/>
              <w:autoSpaceDE/>
              <w:autoSpaceDN/>
              <w:adjustRightInd/>
              <w:jc w:val="center"/>
              <w:rPr>
                <w:rFonts w:ascii="Times New Roman" w:hAnsi="Times New Roman"/>
                <w:color w:val="000000"/>
                <w:sz w:val="24"/>
              </w:rPr>
            </w:pPr>
            <w:r w:rsidRPr="00600C03">
              <w:rPr>
                <w:rFonts w:ascii="Times New Roman" w:hAnsi="Times New Roman"/>
                <w:color w:val="000000"/>
                <w:sz w:val="24"/>
              </w:rPr>
              <w:t>100</w:t>
            </w:r>
          </w:p>
        </w:tc>
        <w:tc>
          <w:tcPr>
            <w:tcW w:w="1560" w:type="dxa"/>
            <w:tcBorders>
              <w:top w:val="nil"/>
              <w:left w:val="nil"/>
              <w:bottom w:val="nil"/>
              <w:right w:val="nil"/>
            </w:tcBorders>
            <w:shd w:val="clear" w:color="000000" w:fill="FFFFFF"/>
            <w:vAlign w:val="center"/>
            <w:hideMark/>
          </w:tcPr>
          <w:p w:rsidR="00600C03" w:rsidRPr="00600C03" w:rsidP="00600C03" w14:paraId="3A31ACCD" w14:textId="77777777">
            <w:pPr>
              <w:widowControl/>
              <w:autoSpaceDE/>
              <w:autoSpaceDN/>
              <w:adjustRightInd/>
              <w:jc w:val="center"/>
              <w:rPr>
                <w:rFonts w:ascii="Times New Roman" w:hAnsi="Times New Roman"/>
                <w:color w:val="000000"/>
                <w:sz w:val="24"/>
              </w:rPr>
            </w:pPr>
            <w:r w:rsidRPr="00600C03">
              <w:rPr>
                <w:rFonts w:ascii="Times New Roman" w:hAnsi="Times New Roman"/>
                <w:color w:val="000000"/>
                <w:sz w:val="24"/>
              </w:rPr>
              <w:t>15</w:t>
            </w:r>
          </w:p>
        </w:tc>
        <w:tc>
          <w:tcPr>
            <w:tcW w:w="1540" w:type="dxa"/>
            <w:tcBorders>
              <w:top w:val="nil"/>
              <w:left w:val="nil"/>
              <w:bottom w:val="nil"/>
              <w:right w:val="double" w:sz="6" w:space="0" w:color="auto"/>
            </w:tcBorders>
            <w:shd w:val="clear" w:color="000000" w:fill="FFFFFF"/>
            <w:vAlign w:val="center"/>
            <w:hideMark/>
          </w:tcPr>
          <w:p w:rsidR="00600C03" w:rsidRPr="00600C03" w:rsidP="00600C03" w14:paraId="1EBF1A87" w14:textId="77777777">
            <w:pPr>
              <w:widowControl/>
              <w:autoSpaceDE/>
              <w:autoSpaceDN/>
              <w:adjustRightInd/>
              <w:jc w:val="center"/>
              <w:rPr>
                <w:rFonts w:ascii="Times New Roman" w:hAnsi="Times New Roman"/>
                <w:color w:val="000000"/>
                <w:sz w:val="24"/>
              </w:rPr>
            </w:pPr>
            <w:r w:rsidRPr="00600C03">
              <w:rPr>
                <w:rFonts w:ascii="Times New Roman" w:hAnsi="Times New Roman"/>
                <w:color w:val="000000"/>
                <w:sz w:val="24"/>
              </w:rPr>
              <w:t>1,500</w:t>
            </w:r>
          </w:p>
        </w:tc>
      </w:tr>
      <w:tr w14:paraId="64293120" w14:textId="77777777" w:rsidTr="00600C03">
        <w:tblPrEx>
          <w:tblW w:w="6880" w:type="dxa"/>
          <w:tblLook w:val="04A0"/>
        </w:tblPrEx>
        <w:trPr>
          <w:trHeight w:val="310"/>
        </w:trPr>
        <w:tc>
          <w:tcPr>
            <w:tcW w:w="1820" w:type="dxa"/>
            <w:tcBorders>
              <w:top w:val="nil"/>
              <w:left w:val="double" w:sz="6" w:space="0" w:color="auto"/>
              <w:bottom w:val="nil"/>
              <w:right w:val="nil"/>
            </w:tcBorders>
            <w:shd w:val="clear" w:color="000000" w:fill="FFFFFF"/>
            <w:vAlign w:val="center"/>
            <w:hideMark/>
          </w:tcPr>
          <w:p w:rsidR="00600C03" w:rsidRPr="00600C03" w:rsidP="00600C03" w14:paraId="7BED45DC" w14:textId="77777777">
            <w:pPr>
              <w:widowControl/>
              <w:autoSpaceDE/>
              <w:autoSpaceDN/>
              <w:adjustRightInd/>
              <w:rPr>
                <w:rFonts w:ascii="Times New Roman" w:hAnsi="Times New Roman"/>
                <w:color w:val="000000"/>
                <w:sz w:val="24"/>
              </w:rPr>
            </w:pPr>
            <w:r w:rsidRPr="00600C03">
              <w:rPr>
                <w:rFonts w:ascii="Times New Roman" w:hAnsi="Times New Roman"/>
                <w:color w:val="000000"/>
                <w:sz w:val="24"/>
              </w:rPr>
              <w:t>779/783.24</w:t>
            </w:r>
          </w:p>
        </w:tc>
        <w:tc>
          <w:tcPr>
            <w:tcW w:w="1960" w:type="dxa"/>
            <w:tcBorders>
              <w:top w:val="nil"/>
              <w:left w:val="nil"/>
              <w:bottom w:val="nil"/>
              <w:right w:val="nil"/>
            </w:tcBorders>
            <w:shd w:val="clear" w:color="000000" w:fill="FFFFFF"/>
            <w:vAlign w:val="center"/>
            <w:hideMark/>
          </w:tcPr>
          <w:p w:rsidR="00600C03" w:rsidRPr="00600C03" w:rsidP="00600C03" w14:paraId="589E1436" w14:textId="77777777">
            <w:pPr>
              <w:widowControl/>
              <w:autoSpaceDE/>
              <w:autoSpaceDN/>
              <w:adjustRightInd/>
              <w:jc w:val="center"/>
              <w:rPr>
                <w:rFonts w:ascii="Times New Roman" w:hAnsi="Times New Roman"/>
                <w:color w:val="000000"/>
                <w:sz w:val="24"/>
              </w:rPr>
            </w:pPr>
            <w:r w:rsidRPr="00600C03">
              <w:rPr>
                <w:rFonts w:ascii="Times New Roman" w:hAnsi="Times New Roman"/>
                <w:color w:val="000000"/>
                <w:sz w:val="24"/>
              </w:rPr>
              <w:t>100</w:t>
            </w:r>
          </w:p>
        </w:tc>
        <w:tc>
          <w:tcPr>
            <w:tcW w:w="1560" w:type="dxa"/>
            <w:tcBorders>
              <w:top w:val="nil"/>
              <w:left w:val="nil"/>
              <w:bottom w:val="nil"/>
              <w:right w:val="nil"/>
            </w:tcBorders>
            <w:shd w:val="clear" w:color="000000" w:fill="FFFFFF"/>
            <w:vAlign w:val="center"/>
            <w:hideMark/>
          </w:tcPr>
          <w:p w:rsidR="00600C03" w:rsidRPr="00600C03" w:rsidP="00600C03" w14:paraId="437A4F3B" w14:textId="77777777">
            <w:pPr>
              <w:widowControl/>
              <w:autoSpaceDE/>
              <w:autoSpaceDN/>
              <w:adjustRightInd/>
              <w:jc w:val="center"/>
              <w:rPr>
                <w:rFonts w:ascii="Times New Roman" w:hAnsi="Times New Roman"/>
                <w:color w:val="000000"/>
                <w:sz w:val="24"/>
              </w:rPr>
            </w:pPr>
            <w:r w:rsidRPr="00600C03">
              <w:rPr>
                <w:rFonts w:ascii="Times New Roman" w:hAnsi="Times New Roman"/>
                <w:color w:val="000000"/>
                <w:sz w:val="24"/>
              </w:rPr>
              <w:t>130</w:t>
            </w:r>
          </w:p>
        </w:tc>
        <w:tc>
          <w:tcPr>
            <w:tcW w:w="1540" w:type="dxa"/>
            <w:tcBorders>
              <w:top w:val="nil"/>
              <w:left w:val="nil"/>
              <w:bottom w:val="nil"/>
              <w:right w:val="double" w:sz="6" w:space="0" w:color="auto"/>
            </w:tcBorders>
            <w:shd w:val="clear" w:color="000000" w:fill="FFFFFF"/>
            <w:vAlign w:val="center"/>
            <w:hideMark/>
          </w:tcPr>
          <w:p w:rsidR="00600C03" w:rsidRPr="00600C03" w:rsidP="00600C03" w14:paraId="463E6EB0" w14:textId="77777777">
            <w:pPr>
              <w:widowControl/>
              <w:autoSpaceDE/>
              <w:autoSpaceDN/>
              <w:adjustRightInd/>
              <w:jc w:val="center"/>
              <w:rPr>
                <w:rFonts w:ascii="Times New Roman" w:hAnsi="Times New Roman"/>
                <w:color w:val="000000"/>
                <w:sz w:val="24"/>
              </w:rPr>
            </w:pPr>
            <w:r w:rsidRPr="00600C03">
              <w:rPr>
                <w:rFonts w:ascii="Times New Roman" w:hAnsi="Times New Roman"/>
                <w:color w:val="000000"/>
                <w:sz w:val="24"/>
              </w:rPr>
              <w:t>13,000</w:t>
            </w:r>
          </w:p>
        </w:tc>
      </w:tr>
      <w:tr w14:paraId="6E06088C" w14:textId="77777777" w:rsidTr="00600C03">
        <w:tblPrEx>
          <w:tblW w:w="6880" w:type="dxa"/>
          <w:tblLook w:val="04A0"/>
        </w:tblPrEx>
        <w:trPr>
          <w:trHeight w:val="310"/>
        </w:trPr>
        <w:tc>
          <w:tcPr>
            <w:tcW w:w="1820" w:type="dxa"/>
            <w:tcBorders>
              <w:top w:val="nil"/>
              <w:left w:val="double" w:sz="6" w:space="0" w:color="auto"/>
              <w:bottom w:val="single" w:sz="4" w:space="0" w:color="auto"/>
              <w:right w:val="nil"/>
            </w:tcBorders>
            <w:shd w:val="clear" w:color="000000" w:fill="FFFFFF"/>
            <w:vAlign w:val="center"/>
            <w:hideMark/>
          </w:tcPr>
          <w:p w:rsidR="00600C03" w:rsidRPr="00600C03" w:rsidP="00600C03" w14:paraId="1B4E74A4" w14:textId="77777777">
            <w:pPr>
              <w:widowControl/>
              <w:autoSpaceDE/>
              <w:autoSpaceDN/>
              <w:adjustRightInd/>
              <w:rPr>
                <w:rFonts w:ascii="Times New Roman" w:hAnsi="Times New Roman"/>
                <w:color w:val="000000"/>
                <w:sz w:val="24"/>
              </w:rPr>
            </w:pPr>
            <w:r w:rsidRPr="00600C03">
              <w:rPr>
                <w:rFonts w:ascii="Times New Roman" w:hAnsi="Times New Roman"/>
                <w:color w:val="000000"/>
                <w:sz w:val="24"/>
              </w:rPr>
              <w:t>779/783.25</w:t>
            </w:r>
          </w:p>
        </w:tc>
        <w:tc>
          <w:tcPr>
            <w:tcW w:w="1960" w:type="dxa"/>
            <w:tcBorders>
              <w:top w:val="nil"/>
              <w:left w:val="nil"/>
              <w:bottom w:val="single" w:sz="4" w:space="0" w:color="auto"/>
              <w:right w:val="nil"/>
            </w:tcBorders>
            <w:shd w:val="clear" w:color="000000" w:fill="FFFFFF"/>
            <w:vAlign w:val="center"/>
            <w:hideMark/>
          </w:tcPr>
          <w:p w:rsidR="00600C03" w:rsidRPr="00600C03" w:rsidP="00600C03" w14:paraId="2BDD6D27" w14:textId="77777777">
            <w:pPr>
              <w:widowControl/>
              <w:autoSpaceDE/>
              <w:autoSpaceDN/>
              <w:adjustRightInd/>
              <w:jc w:val="center"/>
              <w:rPr>
                <w:rFonts w:ascii="Times New Roman" w:hAnsi="Times New Roman"/>
                <w:color w:val="000000"/>
                <w:sz w:val="24"/>
              </w:rPr>
            </w:pPr>
            <w:r w:rsidRPr="00600C03">
              <w:rPr>
                <w:rFonts w:ascii="Times New Roman" w:hAnsi="Times New Roman"/>
                <w:color w:val="000000"/>
                <w:sz w:val="24"/>
              </w:rPr>
              <w:t>100</w:t>
            </w:r>
          </w:p>
        </w:tc>
        <w:tc>
          <w:tcPr>
            <w:tcW w:w="1560" w:type="dxa"/>
            <w:tcBorders>
              <w:top w:val="nil"/>
              <w:left w:val="nil"/>
              <w:bottom w:val="single" w:sz="4" w:space="0" w:color="auto"/>
              <w:right w:val="nil"/>
            </w:tcBorders>
            <w:shd w:val="clear" w:color="000000" w:fill="FFFFFF"/>
            <w:vAlign w:val="center"/>
            <w:hideMark/>
          </w:tcPr>
          <w:p w:rsidR="00600C03" w:rsidRPr="00600C03" w:rsidP="00600C03" w14:paraId="68B14622" w14:textId="77777777">
            <w:pPr>
              <w:widowControl/>
              <w:autoSpaceDE/>
              <w:autoSpaceDN/>
              <w:adjustRightInd/>
              <w:jc w:val="center"/>
              <w:rPr>
                <w:rFonts w:ascii="Times New Roman" w:hAnsi="Times New Roman"/>
                <w:color w:val="000000"/>
                <w:sz w:val="24"/>
              </w:rPr>
            </w:pPr>
            <w:r w:rsidRPr="00600C03">
              <w:rPr>
                <w:rFonts w:ascii="Times New Roman" w:hAnsi="Times New Roman"/>
                <w:color w:val="000000"/>
                <w:sz w:val="24"/>
              </w:rPr>
              <w:t>160</w:t>
            </w:r>
          </w:p>
        </w:tc>
        <w:tc>
          <w:tcPr>
            <w:tcW w:w="1540" w:type="dxa"/>
            <w:tcBorders>
              <w:top w:val="nil"/>
              <w:left w:val="nil"/>
              <w:bottom w:val="single" w:sz="4" w:space="0" w:color="auto"/>
              <w:right w:val="double" w:sz="6" w:space="0" w:color="auto"/>
            </w:tcBorders>
            <w:shd w:val="clear" w:color="000000" w:fill="FFFFFF"/>
            <w:vAlign w:val="center"/>
            <w:hideMark/>
          </w:tcPr>
          <w:p w:rsidR="00600C03" w:rsidRPr="00600C03" w:rsidP="00600C03" w14:paraId="73DC85CD" w14:textId="77777777">
            <w:pPr>
              <w:widowControl/>
              <w:autoSpaceDE/>
              <w:autoSpaceDN/>
              <w:adjustRightInd/>
              <w:jc w:val="center"/>
              <w:rPr>
                <w:rFonts w:ascii="Times New Roman" w:hAnsi="Times New Roman"/>
                <w:color w:val="000000"/>
                <w:sz w:val="24"/>
              </w:rPr>
            </w:pPr>
            <w:r w:rsidRPr="00600C03">
              <w:rPr>
                <w:rFonts w:ascii="Times New Roman" w:hAnsi="Times New Roman"/>
                <w:color w:val="000000"/>
                <w:sz w:val="24"/>
              </w:rPr>
              <w:t>16,000</w:t>
            </w:r>
          </w:p>
        </w:tc>
      </w:tr>
      <w:tr w14:paraId="5C38C4A9" w14:textId="77777777" w:rsidTr="00600C03">
        <w:tblPrEx>
          <w:tblW w:w="6880" w:type="dxa"/>
          <w:tblLook w:val="04A0"/>
        </w:tblPrEx>
        <w:trPr>
          <w:trHeight w:val="320"/>
        </w:trPr>
        <w:tc>
          <w:tcPr>
            <w:tcW w:w="1820" w:type="dxa"/>
            <w:tcBorders>
              <w:top w:val="nil"/>
              <w:left w:val="double" w:sz="6" w:space="0" w:color="auto"/>
              <w:bottom w:val="double" w:sz="6" w:space="0" w:color="auto"/>
              <w:right w:val="nil"/>
            </w:tcBorders>
            <w:shd w:val="clear" w:color="000000" w:fill="FFFFFF"/>
            <w:vAlign w:val="center"/>
            <w:hideMark/>
          </w:tcPr>
          <w:p w:rsidR="00600C03" w:rsidRPr="00600C03" w:rsidP="00600C03" w14:paraId="7882E575" w14:textId="77777777">
            <w:pPr>
              <w:widowControl/>
              <w:autoSpaceDE/>
              <w:autoSpaceDN/>
              <w:adjustRightInd/>
              <w:rPr>
                <w:rFonts w:ascii="Times New Roman" w:hAnsi="Times New Roman"/>
                <w:color w:val="000000"/>
                <w:sz w:val="24"/>
              </w:rPr>
            </w:pPr>
            <w:r w:rsidRPr="00600C03">
              <w:rPr>
                <w:rFonts w:ascii="Times New Roman" w:hAnsi="Times New Roman"/>
                <w:color w:val="000000"/>
                <w:sz w:val="24"/>
              </w:rPr>
              <w:t>All sections</w:t>
            </w:r>
          </w:p>
        </w:tc>
        <w:tc>
          <w:tcPr>
            <w:tcW w:w="1960" w:type="dxa"/>
            <w:tcBorders>
              <w:top w:val="nil"/>
              <w:left w:val="nil"/>
              <w:bottom w:val="double" w:sz="6" w:space="0" w:color="auto"/>
              <w:right w:val="nil"/>
            </w:tcBorders>
            <w:shd w:val="clear" w:color="000000" w:fill="FFFFFF"/>
            <w:vAlign w:val="center"/>
            <w:hideMark/>
          </w:tcPr>
          <w:p w:rsidR="00600C03" w:rsidRPr="00600C03" w:rsidP="00600C03" w14:paraId="50A9AA6C" w14:textId="77777777">
            <w:pPr>
              <w:widowControl/>
              <w:autoSpaceDE/>
              <w:autoSpaceDN/>
              <w:adjustRightInd/>
              <w:jc w:val="center"/>
              <w:rPr>
                <w:rFonts w:ascii="Times New Roman" w:hAnsi="Times New Roman"/>
                <w:color w:val="000000"/>
                <w:sz w:val="24"/>
              </w:rPr>
            </w:pPr>
            <w:r w:rsidRPr="00600C03">
              <w:rPr>
                <w:rFonts w:ascii="Times New Roman" w:hAnsi="Times New Roman"/>
                <w:color w:val="000000"/>
                <w:sz w:val="24"/>
              </w:rPr>
              <w:t>500</w:t>
            </w:r>
          </w:p>
        </w:tc>
        <w:tc>
          <w:tcPr>
            <w:tcW w:w="1560" w:type="dxa"/>
            <w:tcBorders>
              <w:top w:val="nil"/>
              <w:left w:val="nil"/>
              <w:bottom w:val="double" w:sz="6" w:space="0" w:color="auto"/>
              <w:right w:val="nil"/>
            </w:tcBorders>
            <w:shd w:val="clear" w:color="000000" w:fill="FFFFFF"/>
            <w:vAlign w:val="center"/>
            <w:hideMark/>
          </w:tcPr>
          <w:p w:rsidR="00600C03" w:rsidRPr="00600C03" w:rsidP="00600C03" w14:paraId="17FBC0E3" w14:textId="77777777">
            <w:pPr>
              <w:widowControl/>
              <w:autoSpaceDE/>
              <w:autoSpaceDN/>
              <w:adjustRightInd/>
              <w:jc w:val="center"/>
              <w:rPr>
                <w:rFonts w:ascii="Times New Roman" w:hAnsi="Times New Roman"/>
                <w:color w:val="000000"/>
                <w:sz w:val="24"/>
              </w:rPr>
            </w:pPr>
            <w:r w:rsidRPr="00600C03">
              <w:rPr>
                <w:rFonts w:ascii="Times New Roman" w:hAnsi="Times New Roman"/>
                <w:color w:val="000000"/>
                <w:sz w:val="24"/>
              </w:rPr>
              <w:t> </w:t>
            </w:r>
          </w:p>
        </w:tc>
        <w:tc>
          <w:tcPr>
            <w:tcW w:w="1540" w:type="dxa"/>
            <w:tcBorders>
              <w:top w:val="nil"/>
              <w:left w:val="nil"/>
              <w:bottom w:val="double" w:sz="6" w:space="0" w:color="auto"/>
              <w:right w:val="double" w:sz="6" w:space="0" w:color="auto"/>
            </w:tcBorders>
            <w:shd w:val="clear" w:color="000000" w:fill="FFFFFF"/>
            <w:vAlign w:val="center"/>
            <w:hideMark/>
          </w:tcPr>
          <w:p w:rsidR="00600C03" w:rsidRPr="00600C03" w:rsidP="00600C03" w14:paraId="30237B2A" w14:textId="77777777">
            <w:pPr>
              <w:widowControl/>
              <w:autoSpaceDE/>
              <w:autoSpaceDN/>
              <w:adjustRightInd/>
              <w:jc w:val="center"/>
              <w:rPr>
                <w:rFonts w:ascii="Times New Roman" w:hAnsi="Times New Roman"/>
                <w:color w:val="000000"/>
                <w:sz w:val="24"/>
              </w:rPr>
            </w:pPr>
            <w:r w:rsidRPr="00600C03">
              <w:rPr>
                <w:rFonts w:ascii="Times New Roman" w:hAnsi="Times New Roman"/>
                <w:color w:val="000000"/>
                <w:sz w:val="24"/>
              </w:rPr>
              <w:t>72,300</w:t>
            </w:r>
          </w:p>
        </w:tc>
      </w:tr>
    </w:tbl>
    <w:p w:rsidR="00DE4EF3" w:rsidP="00E53982" w14:paraId="1A7F1191" w14:textId="77777777">
      <w:pPr>
        <w:tabs>
          <w:tab w:val="left" w:pos="-1440"/>
        </w:tabs>
        <w:ind w:left="720" w:hanging="720"/>
        <w:rPr>
          <w:rFonts w:ascii="Times New Roman" w:hAnsi="Times New Roman"/>
          <w:sz w:val="24"/>
        </w:rPr>
      </w:pPr>
    </w:p>
    <w:p w:rsidR="00600C03" w:rsidP="00E53982" w14:paraId="048BF1AD" w14:textId="77777777">
      <w:pPr>
        <w:tabs>
          <w:tab w:val="left" w:pos="-1440"/>
        </w:tabs>
        <w:ind w:left="720" w:hanging="720"/>
        <w:rPr>
          <w:rFonts w:ascii="Times New Roman" w:hAnsi="Times New Roman"/>
          <w:sz w:val="24"/>
        </w:rPr>
      </w:pPr>
    </w:p>
    <w:p w:rsidR="00800E30" w:rsidP="00E53982" w14:paraId="2CBC5C5A" w14:textId="77777777">
      <w:pPr>
        <w:tabs>
          <w:tab w:val="left" w:pos="-1440"/>
        </w:tabs>
        <w:ind w:left="720" w:hanging="720"/>
        <w:rPr>
          <w:rFonts w:ascii="Times New Roman" w:hAnsi="Times New Roman"/>
          <w:sz w:val="24"/>
        </w:rPr>
      </w:pPr>
    </w:p>
    <w:p w:rsidR="00800E30" w:rsidP="00E53982" w14:paraId="2CD73B04" w14:textId="77777777">
      <w:pPr>
        <w:tabs>
          <w:tab w:val="left" w:pos="-1440"/>
        </w:tabs>
        <w:ind w:left="720" w:hanging="720"/>
        <w:rPr>
          <w:rFonts w:ascii="Times New Roman" w:hAnsi="Times New Roman"/>
          <w:sz w:val="24"/>
        </w:rPr>
      </w:pPr>
    </w:p>
    <w:p w:rsidR="00800E30" w:rsidP="00E53982" w14:paraId="0DCA323C" w14:textId="77777777">
      <w:pPr>
        <w:tabs>
          <w:tab w:val="left" w:pos="-1440"/>
        </w:tabs>
        <w:ind w:left="720" w:hanging="720"/>
        <w:rPr>
          <w:rFonts w:ascii="Times New Roman" w:hAnsi="Times New Roman"/>
          <w:sz w:val="24"/>
        </w:rPr>
      </w:pPr>
    </w:p>
    <w:p w:rsidR="00800E30" w:rsidP="00E53982" w14:paraId="1151B078" w14:textId="77777777">
      <w:pPr>
        <w:tabs>
          <w:tab w:val="left" w:pos="-1440"/>
        </w:tabs>
        <w:ind w:left="720" w:hanging="720"/>
        <w:rPr>
          <w:rFonts w:ascii="Times New Roman" w:hAnsi="Times New Roman"/>
          <w:sz w:val="24"/>
        </w:rPr>
      </w:pPr>
    </w:p>
    <w:tbl>
      <w:tblPr>
        <w:tblW w:w="7120" w:type="dxa"/>
        <w:tblLook w:val="04A0"/>
      </w:tblPr>
      <w:tblGrid>
        <w:gridCol w:w="1820"/>
        <w:gridCol w:w="1960"/>
        <w:gridCol w:w="1620"/>
        <w:gridCol w:w="1720"/>
      </w:tblGrid>
      <w:tr w14:paraId="1A41B9F8" w14:textId="77777777" w:rsidTr="007477C3">
        <w:tblPrEx>
          <w:tblW w:w="7120" w:type="dxa"/>
          <w:tblLook w:val="04A0"/>
        </w:tblPrEx>
        <w:trPr>
          <w:trHeight w:val="330"/>
        </w:trPr>
        <w:tc>
          <w:tcPr>
            <w:tcW w:w="7120" w:type="dxa"/>
            <w:gridSpan w:val="4"/>
            <w:tcBorders>
              <w:top w:val="double" w:sz="6" w:space="0" w:color="auto"/>
              <w:left w:val="double" w:sz="6" w:space="0" w:color="auto"/>
              <w:bottom w:val="single" w:sz="4" w:space="0" w:color="auto"/>
              <w:right w:val="double" w:sz="6" w:space="0" w:color="000000"/>
            </w:tcBorders>
            <w:shd w:val="clear" w:color="000000" w:fill="FFFFFF"/>
            <w:vAlign w:val="bottom"/>
            <w:hideMark/>
          </w:tcPr>
          <w:p w:rsidR="007477C3" w:rsidRPr="007477C3" w:rsidP="007477C3" w14:paraId="55723AAC" w14:textId="77777777">
            <w:pPr>
              <w:widowControl/>
              <w:autoSpaceDE/>
              <w:autoSpaceDN/>
              <w:adjustRightInd/>
              <w:jc w:val="center"/>
              <w:rPr>
                <w:rFonts w:ascii="Times New Roman" w:hAnsi="Times New Roman"/>
                <w:color w:val="000000"/>
                <w:sz w:val="24"/>
              </w:rPr>
            </w:pPr>
            <w:r w:rsidRPr="007477C3">
              <w:rPr>
                <w:rFonts w:ascii="Times New Roman" w:hAnsi="Times New Roman"/>
                <w:color w:val="000000"/>
                <w:sz w:val="24"/>
              </w:rPr>
              <w:t xml:space="preserve">Burden hours for State Regulators: Parts 779 &amp; 783 </w:t>
            </w:r>
          </w:p>
        </w:tc>
      </w:tr>
      <w:tr w14:paraId="0B4BA84E" w14:textId="77777777" w:rsidTr="007477C3">
        <w:tblPrEx>
          <w:tblW w:w="7120" w:type="dxa"/>
          <w:tblLook w:val="04A0"/>
        </w:tblPrEx>
        <w:trPr>
          <w:trHeight w:val="620"/>
        </w:trPr>
        <w:tc>
          <w:tcPr>
            <w:tcW w:w="1820" w:type="dxa"/>
            <w:tcBorders>
              <w:top w:val="single" w:sz="4" w:space="0" w:color="auto"/>
              <w:left w:val="double" w:sz="6" w:space="0" w:color="auto"/>
              <w:bottom w:val="single" w:sz="4" w:space="0" w:color="auto"/>
              <w:right w:val="nil"/>
            </w:tcBorders>
            <w:shd w:val="clear" w:color="000000" w:fill="FFFFFF"/>
            <w:vAlign w:val="bottom"/>
            <w:hideMark/>
          </w:tcPr>
          <w:p w:rsidR="007477C3" w:rsidRPr="007477C3" w:rsidP="007477C3" w14:paraId="66881EA2" w14:textId="77777777">
            <w:pPr>
              <w:widowControl/>
              <w:autoSpaceDE/>
              <w:autoSpaceDN/>
              <w:adjustRightInd/>
              <w:rPr>
                <w:rFonts w:ascii="Times New Roman" w:hAnsi="Times New Roman"/>
                <w:color w:val="000000"/>
                <w:sz w:val="24"/>
              </w:rPr>
            </w:pPr>
            <w:r w:rsidRPr="007477C3">
              <w:rPr>
                <w:rFonts w:ascii="Times New Roman" w:hAnsi="Times New Roman"/>
                <w:color w:val="000000"/>
                <w:sz w:val="24"/>
              </w:rPr>
              <w:t xml:space="preserve"> Sections</w:t>
            </w:r>
          </w:p>
        </w:tc>
        <w:tc>
          <w:tcPr>
            <w:tcW w:w="1960" w:type="dxa"/>
            <w:tcBorders>
              <w:top w:val="single" w:sz="4" w:space="0" w:color="auto"/>
              <w:left w:val="nil"/>
              <w:bottom w:val="single" w:sz="4" w:space="0" w:color="auto"/>
              <w:right w:val="nil"/>
            </w:tcBorders>
            <w:shd w:val="clear" w:color="000000" w:fill="FFFFFF"/>
            <w:vAlign w:val="bottom"/>
            <w:hideMark/>
          </w:tcPr>
          <w:p w:rsidR="007477C3" w:rsidRPr="007477C3" w:rsidP="007477C3" w14:paraId="0F0C07E5" w14:textId="77777777">
            <w:pPr>
              <w:widowControl/>
              <w:autoSpaceDE/>
              <w:autoSpaceDN/>
              <w:adjustRightInd/>
              <w:jc w:val="center"/>
              <w:rPr>
                <w:rFonts w:ascii="Times New Roman" w:hAnsi="Times New Roman"/>
                <w:color w:val="000000"/>
                <w:sz w:val="24"/>
              </w:rPr>
            </w:pPr>
            <w:r w:rsidRPr="007477C3">
              <w:rPr>
                <w:rFonts w:ascii="Times New Roman" w:hAnsi="Times New Roman"/>
                <w:color w:val="000000"/>
                <w:sz w:val="24"/>
              </w:rPr>
              <w:t>State annual responses</w:t>
            </w:r>
          </w:p>
        </w:tc>
        <w:tc>
          <w:tcPr>
            <w:tcW w:w="1620" w:type="dxa"/>
            <w:tcBorders>
              <w:top w:val="single" w:sz="4" w:space="0" w:color="auto"/>
              <w:left w:val="nil"/>
              <w:bottom w:val="single" w:sz="4" w:space="0" w:color="auto"/>
              <w:right w:val="nil"/>
            </w:tcBorders>
            <w:shd w:val="clear" w:color="000000" w:fill="FFFFFF"/>
            <w:vAlign w:val="bottom"/>
            <w:hideMark/>
          </w:tcPr>
          <w:p w:rsidR="007477C3" w:rsidRPr="007477C3" w:rsidP="007477C3" w14:paraId="5B9783E7" w14:textId="77777777">
            <w:pPr>
              <w:widowControl/>
              <w:autoSpaceDE/>
              <w:autoSpaceDN/>
              <w:adjustRightInd/>
              <w:jc w:val="center"/>
              <w:rPr>
                <w:rFonts w:ascii="Times New Roman" w:hAnsi="Times New Roman"/>
                <w:color w:val="000000"/>
                <w:sz w:val="24"/>
              </w:rPr>
            </w:pPr>
            <w:r w:rsidRPr="007477C3">
              <w:rPr>
                <w:rFonts w:ascii="Times New Roman" w:hAnsi="Times New Roman"/>
                <w:color w:val="000000"/>
                <w:sz w:val="24"/>
              </w:rPr>
              <w:t>Hours per response</w:t>
            </w:r>
          </w:p>
        </w:tc>
        <w:tc>
          <w:tcPr>
            <w:tcW w:w="1720" w:type="dxa"/>
            <w:tcBorders>
              <w:top w:val="single" w:sz="4" w:space="0" w:color="auto"/>
              <w:left w:val="nil"/>
              <w:bottom w:val="single" w:sz="4" w:space="0" w:color="auto"/>
              <w:right w:val="double" w:sz="6" w:space="0" w:color="auto"/>
            </w:tcBorders>
            <w:shd w:val="clear" w:color="000000" w:fill="FFFFFF"/>
            <w:vAlign w:val="bottom"/>
            <w:hideMark/>
          </w:tcPr>
          <w:p w:rsidR="007477C3" w:rsidRPr="007477C3" w:rsidP="007477C3" w14:paraId="5EAC1918" w14:textId="77777777">
            <w:pPr>
              <w:widowControl/>
              <w:autoSpaceDE/>
              <w:autoSpaceDN/>
              <w:adjustRightInd/>
              <w:jc w:val="center"/>
              <w:rPr>
                <w:rFonts w:ascii="Times New Roman" w:hAnsi="Times New Roman"/>
                <w:color w:val="000000"/>
                <w:sz w:val="24"/>
              </w:rPr>
            </w:pPr>
            <w:r w:rsidRPr="007477C3">
              <w:rPr>
                <w:rFonts w:ascii="Times New Roman" w:hAnsi="Times New Roman"/>
                <w:color w:val="000000"/>
                <w:sz w:val="24"/>
              </w:rPr>
              <w:t xml:space="preserve">State total annual hours </w:t>
            </w:r>
          </w:p>
        </w:tc>
      </w:tr>
      <w:tr w14:paraId="2F24824A" w14:textId="77777777" w:rsidTr="007477C3">
        <w:tblPrEx>
          <w:tblW w:w="7120" w:type="dxa"/>
          <w:tblLook w:val="04A0"/>
        </w:tblPrEx>
        <w:trPr>
          <w:trHeight w:val="320"/>
        </w:trPr>
        <w:tc>
          <w:tcPr>
            <w:tcW w:w="1820" w:type="dxa"/>
            <w:tcBorders>
              <w:top w:val="nil"/>
              <w:left w:val="double" w:sz="6" w:space="0" w:color="auto"/>
              <w:bottom w:val="nil"/>
              <w:right w:val="nil"/>
            </w:tcBorders>
            <w:shd w:val="clear" w:color="000000" w:fill="FFFFFF"/>
            <w:vAlign w:val="center"/>
            <w:hideMark/>
          </w:tcPr>
          <w:p w:rsidR="007477C3" w:rsidRPr="007477C3" w:rsidP="007477C3" w14:paraId="7084721A" w14:textId="77777777">
            <w:pPr>
              <w:widowControl/>
              <w:autoSpaceDE/>
              <w:autoSpaceDN/>
              <w:adjustRightInd/>
              <w:rPr>
                <w:rFonts w:ascii="Times New Roman" w:hAnsi="Times New Roman"/>
                <w:color w:val="000000"/>
                <w:sz w:val="24"/>
              </w:rPr>
            </w:pPr>
            <w:r w:rsidRPr="007477C3">
              <w:rPr>
                <w:rFonts w:ascii="Times New Roman" w:hAnsi="Times New Roman"/>
                <w:color w:val="000000"/>
                <w:sz w:val="24"/>
              </w:rPr>
              <w:t>779/783.11&amp;12</w:t>
            </w:r>
          </w:p>
        </w:tc>
        <w:tc>
          <w:tcPr>
            <w:tcW w:w="1960" w:type="dxa"/>
            <w:tcBorders>
              <w:top w:val="nil"/>
              <w:left w:val="nil"/>
              <w:bottom w:val="nil"/>
              <w:right w:val="nil"/>
            </w:tcBorders>
            <w:shd w:val="clear" w:color="000000" w:fill="FFFFFF"/>
            <w:vAlign w:val="center"/>
            <w:hideMark/>
          </w:tcPr>
          <w:p w:rsidR="007477C3" w:rsidRPr="007477C3" w:rsidP="007477C3" w14:paraId="241A515F" w14:textId="77777777">
            <w:pPr>
              <w:widowControl/>
              <w:autoSpaceDE/>
              <w:autoSpaceDN/>
              <w:adjustRightInd/>
              <w:jc w:val="center"/>
              <w:rPr>
                <w:rFonts w:ascii="Times New Roman" w:hAnsi="Times New Roman"/>
                <w:color w:val="000000"/>
                <w:sz w:val="24"/>
              </w:rPr>
            </w:pPr>
            <w:r w:rsidRPr="007477C3">
              <w:rPr>
                <w:rFonts w:ascii="Times New Roman" w:hAnsi="Times New Roman"/>
                <w:color w:val="000000"/>
                <w:sz w:val="24"/>
              </w:rPr>
              <w:t>94</w:t>
            </w:r>
          </w:p>
        </w:tc>
        <w:tc>
          <w:tcPr>
            <w:tcW w:w="1620" w:type="dxa"/>
            <w:tcBorders>
              <w:top w:val="nil"/>
              <w:left w:val="nil"/>
              <w:bottom w:val="nil"/>
              <w:right w:val="nil"/>
            </w:tcBorders>
            <w:shd w:val="clear" w:color="000000" w:fill="FFFFFF"/>
            <w:vAlign w:val="center"/>
            <w:hideMark/>
          </w:tcPr>
          <w:p w:rsidR="007477C3" w:rsidRPr="007477C3" w:rsidP="007477C3" w14:paraId="20B08227" w14:textId="77777777">
            <w:pPr>
              <w:widowControl/>
              <w:autoSpaceDE/>
              <w:autoSpaceDN/>
              <w:adjustRightInd/>
              <w:jc w:val="center"/>
              <w:rPr>
                <w:rFonts w:ascii="Times New Roman" w:hAnsi="Times New Roman"/>
                <w:color w:val="000000"/>
                <w:sz w:val="24"/>
              </w:rPr>
            </w:pPr>
            <w:r w:rsidRPr="007477C3">
              <w:rPr>
                <w:rFonts w:ascii="Times New Roman" w:hAnsi="Times New Roman"/>
                <w:color w:val="000000"/>
                <w:sz w:val="24"/>
              </w:rPr>
              <w:t>80</w:t>
            </w:r>
          </w:p>
        </w:tc>
        <w:tc>
          <w:tcPr>
            <w:tcW w:w="1720" w:type="dxa"/>
            <w:tcBorders>
              <w:top w:val="nil"/>
              <w:left w:val="nil"/>
              <w:bottom w:val="nil"/>
              <w:right w:val="double" w:sz="6" w:space="0" w:color="auto"/>
            </w:tcBorders>
            <w:shd w:val="clear" w:color="000000" w:fill="FFFFFF"/>
            <w:vAlign w:val="center"/>
            <w:hideMark/>
          </w:tcPr>
          <w:p w:rsidR="007477C3" w:rsidRPr="007477C3" w:rsidP="007477C3" w14:paraId="2E7DE770" w14:textId="77777777">
            <w:pPr>
              <w:widowControl/>
              <w:autoSpaceDE/>
              <w:autoSpaceDN/>
              <w:adjustRightInd/>
              <w:jc w:val="center"/>
              <w:rPr>
                <w:rFonts w:ascii="Times New Roman" w:hAnsi="Times New Roman"/>
                <w:color w:val="000000"/>
                <w:sz w:val="24"/>
              </w:rPr>
            </w:pPr>
            <w:r w:rsidRPr="007477C3">
              <w:rPr>
                <w:rFonts w:ascii="Times New Roman" w:hAnsi="Times New Roman"/>
                <w:color w:val="000000"/>
                <w:sz w:val="24"/>
              </w:rPr>
              <w:t>7,520</w:t>
            </w:r>
          </w:p>
        </w:tc>
      </w:tr>
      <w:tr w14:paraId="66FEAAC2" w14:textId="77777777" w:rsidTr="007477C3">
        <w:tblPrEx>
          <w:tblW w:w="7120" w:type="dxa"/>
          <w:tblLook w:val="04A0"/>
        </w:tblPrEx>
        <w:trPr>
          <w:trHeight w:val="320"/>
        </w:trPr>
        <w:tc>
          <w:tcPr>
            <w:tcW w:w="1820" w:type="dxa"/>
            <w:tcBorders>
              <w:top w:val="nil"/>
              <w:left w:val="double" w:sz="6" w:space="0" w:color="auto"/>
              <w:bottom w:val="nil"/>
              <w:right w:val="nil"/>
            </w:tcBorders>
            <w:shd w:val="clear" w:color="000000" w:fill="FFFFFF"/>
            <w:vAlign w:val="center"/>
            <w:hideMark/>
          </w:tcPr>
          <w:p w:rsidR="007477C3" w:rsidRPr="007477C3" w:rsidP="007477C3" w14:paraId="26A7191E" w14:textId="77777777">
            <w:pPr>
              <w:widowControl/>
              <w:autoSpaceDE/>
              <w:autoSpaceDN/>
              <w:adjustRightInd/>
              <w:rPr>
                <w:rFonts w:ascii="Times New Roman" w:hAnsi="Times New Roman"/>
                <w:color w:val="000000"/>
                <w:sz w:val="24"/>
              </w:rPr>
            </w:pPr>
            <w:r w:rsidRPr="007477C3">
              <w:rPr>
                <w:rFonts w:ascii="Times New Roman" w:hAnsi="Times New Roman"/>
                <w:color w:val="000000"/>
                <w:sz w:val="24"/>
              </w:rPr>
              <w:t>779/783.18</w:t>
            </w:r>
          </w:p>
        </w:tc>
        <w:tc>
          <w:tcPr>
            <w:tcW w:w="1960" w:type="dxa"/>
            <w:tcBorders>
              <w:top w:val="nil"/>
              <w:left w:val="nil"/>
              <w:bottom w:val="nil"/>
              <w:right w:val="nil"/>
            </w:tcBorders>
            <w:shd w:val="clear" w:color="000000" w:fill="FFFFFF"/>
            <w:vAlign w:val="center"/>
            <w:hideMark/>
          </w:tcPr>
          <w:p w:rsidR="007477C3" w:rsidRPr="007477C3" w:rsidP="007477C3" w14:paraId="737B4B45" w14:textId="77777777">
            <w:pPr>
              <w:widowControl/>
              <w:autoSpaceDE/>
              <w:autoSpaceDN/>
              <w:adjustRightInd/>
              <w:jc w:val="center"/>
              <w:rPr>
                <w:rFonts w:ascii="Times New Roman" w:hAnsi="Times New Roman"/>
                <w:color w:val="000000"/>
                <w:sz w:val="24"/>
              </w:rPr>
            </w:pPr>
            <w:r w:rsidRPr="007477C3">
              <w:rPr>
                <w:rFonts w:ascii="Times New Roman" w:hAnsi="Times New Roman"/>
                <w:color w:val="000000"/>
                <w:sz w:val="24"/>
              </w:rPr>
              <w:t>94</w:t>
            </w:r>
          </w:p>
        </w:tc>
        <w:tc>
          <w:tcPr>
            <w:tcW w:w="1620" w:type="dxa"/>
            <w:tcBorders>
              <w:top w:val="nil"/>
              <w:left w:val="nil"/>
              <w:bottom w:val="nil"/>
              <w:right w:val="nil"/>
            </w:tcBorders>
            <w:shd w:val="clear" w:color="000000" w:fill="FFFFFF"/>
            <w:vAlign w:val="center"/>
            <w:hideMark/>
          </w:tcPr>
          <w:p w:rsidR="007477C3" w:rsidRPr="007477C3" w:rsidP="007477C3" w14:paraId="5C0378D2" w14:textId="77777777">
            <w:pPr>
              <w:widowControl/>
              <w:autoSpaceDE/>
              <w:autoSpaceDN/>
              <w:adjustRightInd/>
              <w:jc w:val="center"/>
              <w:rPr>
                <w:rFonts w:ascii="Times New Roman" w:hAnsi="Times New Roman"/>
                <w:color w:val="000000"/>
                <w:sz w:val="24"/>
              </w:rPr>
            </w:pPr>
            <w:r w:rsidRPr="007477C3">
              <w:rPr>
                <w:rFonts w:ascii="Times New Roman" w:hAnsi="Times New Roman"/>
                <w:color w:val="000000"/>
                <w:sz w:val="24"/>
              </w:rPr>
              <w:t>1</w:t>
            </w:r>
          </w:p>
        </w:tc>
        <w:tc>
          <w:tcPr>
            <w:tcW w:w="1720" w:type="dxa"/>
            <w:tcBorders>
              <w:top w:val="nil"/>
              <w:left w:val="nil"/>
              <w:bottom w:val="nil"/>
              <w:right w:val="double" w:sz="6" w:space="0" w:color="auto"/>
            </w:tcBorders>
            <w:shd w:val="clear" w:color="000000" w:fill="FFFFFF"/>
            <w:vAlign w:val="center"/>
            <w:hideMark/>
          </w:tcPr>
          <w:p w:rsidR="007477C3" w:rsidRPr="007477C3" w:rsidP="007477C3" w14:paraId="0C3EF9B7" w14:textId="77777777">
            <w:pPr>
              <w:widowControl/>
              <w:autoSpaceDE/>
              <w:autoSpaceDN/>
              <w:adjustRightInd/>
              <w:jc w:val="center"/>
              <w:rPr>
                <w:rFonts w:ascii="Times New Roman" w:hAnsi="Times New Roman"/>
                <w:color w:val="000000"/>
                <w:sz w:val="24"/>
              </w:rPr>
            </w:pPr>
            <w:r w:rsidRPr="007477C3">
              <w:rPr>
                <w:rFonts w:ascii="Times New Roman" w:hAnsi="Times New Roman"/>
                <w:color w:val="000000"/>
                <w:sz w:val="24"/>
              </w:rPr>
              <w:t>94</w:t>
            </w:r>
          </w:p>
        </w:tc>
      </w:tr>
      <w:tr w14:paraId="6C36B577" w14:textId="77777777" w:rsidTr="007477C3">
        <w:tblPrEx>
          <w:tblW w:w="7120" w:type="dxa"/>
          <w:tblLook w:val="04A0"/>
        </w:tblPrEx>
        <w:trPr>
          <w:trHeight w:val="320"/>
        </w:trPr>
        <w:tc>
          <w:tcPr>
            <w:tcW w:w="1820" w:type="dxa"/>
            <w:tcBorders>
              <w:top w:val="nil"/>
              <w:left w:val="double" w:sz="6" w:space="0" w:color="auto"/>
              <w:bottom w:val="nil"/>
              <w:right w:val="nil"/>
            </w:tcBorders>
            <w:shd w:val="clear" w:color="000000" w:fill="FFFFFF"/>
            <w:vAlign w:val="center"/>
            <w:hideMark/>
          </w:tcPr>
          <w:p w:rsidR="007477C3" w:rsidRPr="007477C3" w:rsidP="007477C3" w14:paraId="52E9C70B" w14:textId="77777777">
            <w:pPr>
              <w:widowControl/>
              <w:autoSpaceDE/>
              <w:autoSpaceDN/>
              <w:adjustRightInd/>
              <w:rPr>
                <w:rFonts w:ascii="Times New Roman" w:hAnsi="Times New Roman"/>
                <w:color w:val="000000"/>
                <w:sz w:val="24"/>
              </w:rPr>
            </w:pPr>
            <w:r w:rsidRPr="007477C3">
              <w:rPr>
                <w:rFonts w:ascii="Times New Roman" w:hAnsi="Times New Roman"/>
                <w:color w:val="000000"/>
                <w:sz w:val="24"/>
              </w:rPr>
              <w:t>779/783.19</w:t>
            </w:r>
          </w:p>
        </w:tc>
        <w:tc>
          <w:tcPr>
            <w:tcW w:w="1960" w:type="dxa"/>
            <w:tcBorders>
              <w:top w:val="nil"/>
              <w:left w:val="nil"/>
              <w:bottom w:val="nil"/>
              <w:right w:val="nil"/>
            </w:tcBorders>
            <w:shd w:val="clear" w:color="000000" w:fill="FFFFFF"/>
            <w:vAlign w:val="center"/>
            <w:hideMark/>
          </w:tcPr>
          <w:p w:rsidR="007477C3" w:rsidRPr="007477C3" w:rsidP="007477C3" w14:paraId="6D85C06B" w14:textId="77777777">
            <w:pPr>
              <w:widowControl/>
              <w:autoSpaceDE/>
              <w:autoSpaceDN/>
              <w:adjustRightInd/>
              <w:jc w:val="center"/>
              <w:rPr>
                <w:rFonts w:ascii="Times New Roman" w:hAnsi="Times New Roman"/>
                <w:color w:val="000000"/>
                <w:sz w:val="24"/>
              </w:rPr>
            </w:pPr>
            <w:r w:rsidRPr="007477C3">
              <w:rPr>
                <w:rFonts w:ascii="Times New Roman" w:hAnsi="Times New Roman"/>
                <w:color w:val="000000"/>
                <w:sz w:val="24"/>
              </w:rPr>
              <w:t>94</w:t>
            </w:r>
          </w:p>
        </w:tc>
        <w:tc>
          <w:tcPr>
            <w:tcW w:w="1620" w:type="dxa"/>
            <w:tcBorders>
              <w:top w:val="nil"/>
              <w:left w:val="nil"/>
              <w:bottom w:val="nil"/>
              <w:right w:val="nil"/>
            </w:tcBorders>
            <w:shd w:val="clear" w:color="000000" w:fill="FFFFFF"/>
            <w:vAlign w:val="center"/>
            <w:hideMark/>
          </w:tcPr>
          <w:p w:rsidR="007477C3" w:rsidRPr="007477C3" w:rsidP="007477C3" w14:paraId="3F33B764" w14:textId="77777777">
            <w:pPr>
              <w:widowControl/>
              <w:autoSpaceDE/>
              <w:autoSpaceDN/>
              <w:adjustRightInd/>
              <w:jc w:val="center"/>
              <w:rPr>
                <w:rFonts w:ascii="Times New Roman" w:hAnsi="Times New Roman"/>
                <w:color w:val="000000"/>
                <w:sz w:val="24"/>
              </w:rPr>
            </w:pPr>
            <w:r w:rsidRPr="007477C3">
              <w:rPr>
                <w:rFonts w:ascii="Times New Roman" w:hAnsi="Times New Roman"/>
                <w:color w:val="000000"/>
                <w:sz w:val="24"/>
              </w:rPr>
              <w:t>3</w:t>
            </w:r>
          </w:p>
        </w:tc>
        <w:tc>
          <w:tcPr>
            <w:tcW w:w="1720" w:type="dxa"/>
            <w:tcBorders>
              <w:top w:val="nil"/>
              <w:left w:val="nil"/>
              <w:bottom w:val="nil"/>
              <w:right w:val="double" w:sz="6" w:space="0" w:color="auto"/>
            </w:tcBorders>
            <w:shd w:val="clear" w:color="000000" w:fill="FFFFFF"/>
            <w:vAlign w:val="center"/>
            <w:hideMark/>
          </w:tcPr>
          <w:p w:rsidR="007477C3" w:rsidRPr="007477C3" w:rsidP="007477C3" w14:paraId="3E0F4E2C" w14:textId="77777777">
            <w:pPr>
              <w:widowControl/>
              <w:autoSpaceDE/>
              <w:autoSpaceDN/>
              <w:adjustRightInd/>
              <w:jc w:val="center"/>
              <w:rPr>
                <w:rFonts w:ascii="Times New Roman" w:hAnsi="Times New Roman"/>
                <w:color w:val="000000"/>
                <w:sz w:val="24"/>
              </w:rPr>
            </w:pPr>
            <w:r w:rsidRPr="007477C3">
              <w:rPr>
                <w:rFonts w:ascii="Times New Roman" w:hAnsi="Times New Roman"/>
                <w:color w:val="000000"/>
                <w:sz w:val="24"/>
              </w:rPr>
              <w:t>282</w:t>
            </w:r>
          </w:p>
        </w:tc>
      </w:tr>
      <w:tr w14:paraId="64AA2F78" w14:textId="77777777" w:rsidTr="007477C3">
        <w:tblPrEx>
          <w:tblW w:w="7120" w:type="dxa"/>
          <w:tblLook w:val="04A0"/>
        </w:tblPrEx>
        <w:trPr>
          <w:trHeight w:val="320"/>
        </w:trPr>
        <w:tc>
          <w:tcPr>
            <w:tcW w:w="1820" w:type="dxa"/>
            <w:tcBorders>
              <w:top w:val="nil"/>
              <w:left w:val="double" w:sz="6" w:space="0" w:color="auto"/>
              <w:bottom w:val="nil"/>
              <w:right w:val="nil"/>
            </w:tcBorders>
            <w:shd w:val="clear" w:color="000000" w:fill="FFFFFF"/>
            <w:vAlign w:val="center"/>
            <w:hideMark/>
          </w:tcPr>
          <w:p w:rsidR="007477C3" w:rsidRPr="007477C3" w:rsidP="007477C3" w14:paraId="09DC7B03" w14:textId="77777777">
            <w:pPr>
              <w:widowControl/>
              <w:autoSpaceDE/>
              <w:autoSpaceDN/>
              <w:adjustRightInd/>
              <w:rPr>
                <w:rFonts w:ascii="Times New Roman" w:hAnsi="Times New Roman"/>
                <w:color w:val="000000"/>
                <w:sz w:val="24"/>
              </w:rPr>
            </w:pPr>
            <w:r w:rsidRPr="007477C3">
              <w:rPr>
                <w:rFonts w:ascii="Times New Roman" w:hAnsi="Times New Roman"/>
                <w:color w:val="000000"/>
                <w:sz w:val="24"/>
              </w:rPr>
              <w:t>779/783.24</w:t>
            </w:r>
          </w:p>
        </w:tc>
        <w:tc>
          <w:tcPr>
            <w:tcW w:w="1960" w:type="dxa"/>
            <w:tcBorders>
              <w:top w:val="nil"/>
              <w:left w:val="nil"/>
              <w:bottom w:val="nil"/>
              <w:right w:val="nil"/>
            </w:tcBorders>
            <w:shd w:val="clear" w:color="000000" w:fill="FFFFFF"/>
            <w:vAlign w:val="center"/>
            <w:hideMark/>
          </w:tcPr>
          <w:p w:rsidR="007477C3" w:rsidRPr="007477C3" w:rsidP="007477C3" w14:paraId="6A67E167" w14:textId="77777777">
            <w:pPr>
              <w:widowControl/>
              <w:autoSpaceDE/>
              <w:autoSpaceDN/>
              <w:adjustRightInd/>
              <w:jc w:val="center"/>
              <w:rPr>
                <w:rFonts w:ascii="Times New Roman" w:hAnsi="Times New Roman"/>
                <w:color w:val="000000"/>
                <w:sz w:val="24"/>
              </w:rPr>
            </w:pPr>
            <w:r w:rsidRPr="007477C3">
              <w:rPr>
                <w:rFonts w:ascii="Times New Roman" w:hAnsi="Times New Roman"/>
                <w:color w:val="000000"/>
                <w:sz w:val="24"/>
              </w:rPr>
              <w:t>94</w:t>
            </w:r>
          </w:p>
        </w:tc>
        <w:tc>
          <w:tcPr>
            <w:tcW w:w="1620" w:type="dxa"/>
            <w:tcBorders>
              <w:top w:val="nil"/>
              <w:left w:val="nil"/>
              <w:bottom w:val="nil"/>
              <w:right w:val="nil"/>
            </w:tcBorders>
            <w:shd w:val="clear" w:color="000000" w:fill="FFFFFF"/>
            <w:vAlign w:val="center"/>
            <w:hideMark/>
          </w:tcPr>
          <w:p w:rsidR="007477C3" w:rsidRPr="007477C3" w:rsidP="007477C3" w14:paraId="2E3F18EA" w14:textId="77777777">
            <w:pPr>
              <w:widowControl/>
              <w:autoSpaceDE/>
              <w:autoSpaceDN/>
              <w:adjustRightInd/>
              <w:jc w:val="center"/>
              <w:rPr>
                <w:rFonts w:ascii="Times New Roman" w:hAnsi="Times New Roman"/>
                <w:color w:val="000000"/>
                <w:sz w:val="24"/>
              </w:rPr>
            </w:pPr>
            <w:r w:rsidRPr="007477C3">
              <w:rPr>
                <w:rFonts w:ascii="Times New Roman" w:hAnsi="Times New Roman"/>
                <w:color w:val="000000"/>
                <w:sz w:val="24"/>
              </w:rPr>
              <w:t>30</w:t>
            </w:r>
          </w:p>
        </w:tc>
        <w:tc>
          <w:tcPr>
            <w:tcW w:w="1720" w:type="dxa"/>
            <w:tcBorders>
              <w:top w:val="nil"/>
              <w:left w:val="nil"/>
              <w:bottom w:val="nil"/>
              <w:right w:val="double" w:sz="6" w:space="0" w:color="auto"/>
            </w:tcBorders>
            <w:shd w:val="clear" w:color="000000" w:fill="FFFFFF"/>
            <w:vAlign w:val="center"/>
            <w:hideMark/>
          </w:tcPr>
          <w:p w:rsidR="007477C3" w:rsidRPr="007477C3" w:rsidP="007477C3" w14:paraId="45ABA372" w14:textId="77777777">
            <w:pPr>
              <w:widowControl/>
              <w:autoSpaceDE/>
              <w:autoSpaceDN/>
              <w:adjustRightInd/>
              <w:jc w:val="center"/>
              <w:rPr>
                <w:rFonts w:ascii="Times New Roman" w:hAnsi="Times New Roman"/>
                <w:color w:val="000000"/>
                <w:sz w:val="24"/>
              </w:rPr>
            </w:pPr>
            <w:r w:rsidRPr="007477C3">
              <w:rPr>
                <w:rFonts w:ascii="Times New Roman" w:hAnsi="Times New Roman"/>
                <w:color w:val="000000"/>
                <w:sz w:val="24"/>
              </w:rPr>
              <w:t>2,820</w:t>
            </w:r>
          </w:p>
        </w:tc>
      </w:tr>
      <w:tr w14:paraId="4D4940AC" w14:textId="77777777" w:rsidTr="007477C3">
        <w:tblPrEx>
          <w:tblW w:w="7120" w:type="dxa"/>
          <w:tblLook w:val="04A0"/>
        </w:tblPrEx>
        <w:trPr>
          <w:trHeight w:val="320"/>
        </w:trPr>
        <w:tc>
          <w:tcPr>
            <w:tcW w:w="1820" w:type="dxa"/>
            <w:tcBorders>
              <w:top w:val="nil"/>
              <w:left w:val="double" w:sz="6" w:space="0" w:color="auto"/>
              <w:bottom w:val="single" w:sz="4" w:space="0" w:color="auto"/>
              <w:right w:val="nil"/>
            </w:tcBorders>
            <w:shd w:val="clear" w:color="000000" w:fill="FFFFFF"/>
            <w:vAlign w:val="center"/>
            <w:hideMark/>
          </w:tcPr>
          <w:p w:rsidR="007477C3" w:rsidRPr="007477C3" w:rsidP="007477C3" w14:paraId="6FEBED60" w14:textId="77777777">
            <w:pPr>
              <w:widowControl/>
              <w:autoSpaceDE/>
              <w:autoSpaceDN/>
              <w:adjustRightInd/>
              <w:rPr>
                <w:rFonts w:ascii="Times New Roman" w:hAnsi="Times New Roman"/>
                <w:color w:val="000000"/>
                <w:sz w:val="24"/>
              </w:rPr>
            </w:pPr>
            <w:r w:rsidRPr="007477C3">
              <w:rPr>
                <w:rFonts w:ascii="Times New Roman" w:hAnsi="Times New Roman"/>
                <w:color w:val="000000"/>
                <w:sz w:val="24"/>
              </w:rPr>
              <w:t>779/783.25</w:t>
            </w:r>
          </w:p>
        </w:tc>
        <w:tc>
          <w:tcPr>
            <w:tcW w:w="1960" w:type="dxa"/>
            <w:tcBorders>
              <w:top w:val="nil"/>
              <w:left w:val="nil"/>
              <w:bottom w:val="single" w:sz="4" w:space="0" w:color="auto"/>
              <w:right w:val="nil"/>
            </w:tcBorders>
            <w:shd w:val="clear" w:color="000000" w:fill="FFFFFF"/>
            <w:vAlign w:val="center"/>
            <w:hideMark/>
          </w:tcPr>
          <w:p w:rsidR="007477C3" w:rsidRPr="007477C3" w:rsidP="007477C3" w14:paraId="48FE7376" w14:textId="77777777">
            <w:pPr>
              <w:widowControl/>
              <w:autoSpaceDE/>
              <w:autoSpaceDN/>
              <w:adjustRightInd/>
              <w:jc w:val="center"/>
              <w:rPr>
                <w:rFonts w:ascii="Times New Roman" w:hAnsi="Times New Roman"/>
                <w:color w:val="000000"/>
                <w:sz w:val="24"/>
              </w:rPr>
            </w:pPr>
            <w:r w:rsidRPr="007477C3">
              <w:rPr>
                <w:rFonts w:ascii="Times New Roman" w:hAnsi="Times New Roman"/>
                <w:color w:val="000000"/>
                <w:sz w:val="24"/>
              </w:rPr>
              <w:t>94</w:t>
            </w:r>
          </w:p>
        </w:tc>
        <w:tc>
          <w:tcPr>
            <w:tcW w:w="1620" w:type="dxa"/>
            <w:tcBorders>
              <w:top w:val="nil"/>
              <w:left w:val="nil"/>
              <w:bottom w:val="single" w:sz="4" w:space="0" w:color="auto"/>
              <w:right w:val="nil"/>
            </w:tcBorders>
            <w:shd w:val="clear" w:color="000000" w:fill="FFFFFF"/>
            <w:vAlign w:val="center"/>
            <w:hideMark/>
          </w:tcPr>
          <w:p w:rsidR="007477C3" w:rsidRPr="007477C3" w:rsidP="007477C3" w14:paraId="64A04BCF" w14:textId="77777777">
            <w:pPr>
              <w:widowControl/>
              <w:autoSpaceDE/>
              <w:autoSpaceDN/>
              <w:adjustRightInd/>
              <w:jc w:val="center"/>
              <w:rPr>
                <w:rFonts w:ascii="Times New Roman" w:hAnsi="Times New Roman"/>
                <w:color w:val="000000"/>
                <w:sz w:val="24"/>
              </w:rPr>
            </w:pPr>
            <w:r w:rsidRPr="007477C3">
              <w:rPr>
                <w:rFonts w:ascii="Times New Roman" w:hAnsi="Times New Roman"/>
                <w:color w:val="000000"/>
                <w:sz w:val="24"/>
              </w:rPr>
              <w:t>40</w:t>
            </w:r>
          </w:p>
        </w:tc>
        <w:tc>
          <w:tcPr>
            <w:tcW w:w="1720" w:type="dxa"/>
            <w:tcBorders>
              <w:top w:val="nil"/>
              <w:left w:val="nil"/>
              <w:bottom w:val="single" w:sz="4" w:space="0" w:color="auto"/>
              <w:right w:val="double" w:sz="6" w:space="0" w:color="auto"/>
            </w:tcBorders>
            <w:shd w:val="clear" w:color="000000" w:fill="FFFFFF"/>
            <w:vAlign w:val="center"/>
            <w:hideMark/>
          </w:tcPr>
          <w:p w:rsidR="007477C3" w:rsidRPr="007477C3" w:rsidP="007477C3" w14:paraId="74892B26" w14:textId="77777777">
            <w:pPr>
              <w:widowControl/>
              <w:autoSpaceDE/>
              <w:autoSpaceDN/>
              <w:adjustRightInd/>
              <w:jc w:val="center"/>
              <w:rPr>
                <w:rFonts w:ascii="Times New Roman" w:hAnsi="Times New Roman"/>
                <w:color w:val="000000"/>
                <w:sz w:val="24"/>
              </w:rPr>
            </w:pPr>
            <w:r w:rsidRPr="007477C3">
              <w:rPr>
                <w:rFonts w:ascii="Times New Roman" w:hAnsi="Times New Roman"/>
                <w:color w:val="000000"/>
                <w:sz w:val="24"/>
              </w:rPr>
              <w:t>3,760</w:t>
            </w:r>
          </w:p>
        </w:tc>
      </w:tr>
      <w:tr w14:paraId="32A1499F" w14:textId="77777777" w:rsidTr="007477C3">
        <w:tblPrEx>
          <w:tblW w:w="7120" w:type="dxa"/>
          <w:tblLook w:val="04A0"/>
        </w:tblPrEx>
        <w:trPr>
          <w:trHeight w:val="520"/>
        </w:trPr>
        <w:tc>
          <w:tcPr>
            <w:tcW w:w="1820" w:type="dxa"/>
            <w:tcBorders>
              <w:top w:val="nil"/>
              <w:left w:val="double" w:sz="6" w:space="0" w:color="auto"/>
              <w:bottom w:val="double" w:sz="6" w:space="0" w:color="auto"/>
              <w:right w:val="nil"/>
            </w:tcBorders>
            <w:shd w:val="clear" w:color="000000" w:fill="FFFFFF"/>
            <w:vAlign w:val="center"/>
            <w:hideMark/>
          </w:tcPr>
          <w:p w:rsidR="007477C3" w:rsidRPr="007477C3" w:rsidP="007477C3" w14:paraId="0E42E7AB" w14:textId="77777777">
            <w:pPr>
              <w:widowControl/>
              <w:autoSpaceDE/>
              <w:autoSpaceDN/>
              <w:adjustRightInd/>
              <w:rPr>
                <w:rFonts w:ascii="Times New Roman" w:hAnsi="Times New Roman"/>
                <w:color w:val="000000"/>
                <w:sz w:val="24"/>
              </w:rPr>
            </w:pPr>
            <w:r w:rsidRPr="007477C3">
              <w:rPr>
                <w:rFonts w:ascii="Times New Roman" w:hAnsi="Times New Roman"/>
                <w:color w:val="000000"/>
                <w:sz w:val="24"/>
              </w:rPr>
              <w:t>All sections</w:t>
            </w:r>
          </w:p>
        </w:tc>
        <w:tc>
          <w:tcPr>
            <w:tcW w:w="1960" w:type="dxa"/>
            <w:tcBorders>
              <w:top w:val="nil"/>
              <w:left w:val="nil"/>
              <w:bottom w:val="double" w:sz="6" w:space="0" w:color="auto"/>
              <w:right w:val="nil"/>
            </w:tcBorders>
            <w:shd w:val="clear" w:color="000000" w:fill="FFFFFF"/>
            <w:vAlign w:val="center"/>
            <w:hideMark/>
          </w:tcPr>
          <w:p w:rsidR="007477C3" w:rsidRPr="007477C3" w:rsidP="007477C3" w14:paraId="37BE5527" w14:textId="77777777">
            <w:pPr>
              <w:widowControl/>
              <w:autoSpaceDE/>
              <w:autoSpaceDN/>
              <w:adjustRightInd/>
              <w:jc w:val="center"/>
              <w:rPr>
                <w:rFonts w:ascii="Times New Roman" w:hAnsi="Times New Roman"/>
                <w:color w:val="000000"/>
                <w:sz w:val="24"/>
              </w:rPr>
            </w:pPr>
            <w:r w:rsidRPr="007477C3">
              <w:rPr>
                <w:rFonts w:ascii="Times New Roman" w:hAnsi="Times New Roman"/>
                <w:color w:val="000000"/>
                <w:sz w:val="24"/>
              </w:rPr>
              <w:t>470</w:t>
            </w:r>
          </w:p>
        </w:tc>
        <w:tc>
          <w:tcPr>
            <w:tcW w:w="1620" w:type="dxa"/>
            <w:tcBorders>
              <w:top w:val="nil"/>
              <w:left w:val="nil"/>
              <w:bottom w:val="double" w:sz="6" w:space="0" w:color="auto"/>
              <w:right w:val="nil"/>
            </w:tcBorders>
            <w:shd w:val="clear" w:color="000000" w:fill="FFFFFF"/>
            <w:vAlign w:val="center"/>
            <w:hideMark/>
          </w:tcPr>
          <w:p w:rsidR="007477C3" w:rsidRPr="007477C3" w:rsidP="007477C3" w14:paraId="1BD57E54" w14:textId="77777777">
            <w:pPr>
              <w:widowControl/>
              <w:autoSpaceDE/>
              <w:autoSpaceDN/>
              <w:adjustRightInd/>
              <w:jc w:val="center"/>
              <w:rPr>
                <w:rFonts w:ascii="Times New Roman" w:hAnsi="Times New Roman"/>
                <w:color w:val="000000"/>
                <w:sz w:val="24"/>
              </w:rPr>
            </w:pPr>
            <w:r w:rsidRPr="007477C3">
              <w:rPr>
                <w:rFonts w:ascii="Times New Roman" w:hAnsi="Times New Roman"/>
                <w:color w:val="000000"/>
                <w:sz w:val="24"/>
              </w:rPr>
              <w:t> </w:t>
            </w:r>
          </w:p>
        </w:tc>
        <w:tc>
          <w:tcPr>
            <w:tcW w:w="1720" w:type="dxa"/>
            <w:tcBorders>
              <w:top w:val="nil"/>
              <w:left w:val="nil"/>
              <w:bottom w:val="double" w:sz="6" w:space="0" w:color="auto"/>
              <w:right w:val="double" w:sz="6" w:space="0" w:color="auto"/>
            </w:tcBorders>
            <w:shd w:val="clear" w:color="000000" w:fill="FFFFFF"/>
            <w:vAlign w:val="center"/>
            <w:hideMark/>
          </w:tcPr>
          <w:p w:rsidR="007477C3" w:rsidRPr="007477C3" w:rsidP="007477C3" w14:paraId="685C2917" w14:textId="77777777">
            <w:pPr>
              <w:widowControl/>
              <w:autoSpaceDE/>
              <w:autoSpaceDN/>
              <w:adjustRightInd/>
              <w:jc w:val="center"/>
              <w:rPr>
                <w:rFonts w:ascii="Times New Roman" w:hAnsi="Times New Roman"/>
                <w:color w:val="000000"/>
                <w:sz w:val="24"/>
              </w:rPr>
            </w:pPr>
            <w:r w:rsidRPr="007477C3">
              <w:rPr>
                <w:rFonts w:ascii="Times New Roman" w:hAnsi="Times New Roman"/>
                <w:color w:val="000000"/>
                <w:sz w:val="24"/>
              </w:rPr>
              <w:t>14,476</w:t>
            </w:r>
          </w:p>
        </w:tc>
      </w:tr>
    </w:tbl>
    <w:p w:rsidR="00600C03" w:rsidP="00E53982" w14:paraId="223F7249" w14:textId="77777777">
      <w:pPr>
        <w:tabs>
          <w:tab w:val="left" w:pos="-1440"/>
        </w:tabs>
        <w:ind w:left="720" w:hanging="720"/>
        <w:rPr>
          <w:rFonts w:ascii="Times New Roman" w:hAnsi="Times New Roman"/>
          <w:sz w:val="24"/>
        </w:rPr>
      </w:pPr>
    </w:p>
    <w:p w:rsidR="00600C03" w:rsidP="00E53982" w14:paraId="1E3F0FDC" w14:textId="77777777">
      <w:pPr>
        <w:tabs>
          <w:tab w:val="left" w:pos="-1440"/>
        </w:tabs>
        <w:ind w:left="720" w:hanging="720"/>
        <w:rPr>
          <w:rFonts w:ascii="Times New Roman" w:hAnsi="Times New Roman"/>
          <w:sz w:val="24"/>
        </w:rPr>
      </w:pPr>
    </w:p>
    <w:p w:rsidR="00600C03" w:rsidP="00E53982" w14:paraId="58BABF89" w14:textId="77777777">
      <w:pPr>
        <w:tabs>
          <w:tab w:val="left" w:pos="-1440"/>
        </w:tabs>
        <w:ind w:left="720" w:hanging="720"/>
        <w:rPr>
          <w:rFonts w:ascii="Times New Roman" w:hAnsi="Times New Roman"/>
          <w:sz w:val="24"/>
        </w:rPr>
      </w:pPr>
    </w:p>
    <w:p w:rsidR="00600C03" w:rsidP="00E53982" w14:paraId="346B0CF8" w14:textId="77777777">
      <w:pPr>
        <w:tabs>
          <w:tab w:val="left" w:pos="-1440"/>
        </w:tabs>
        <w:ind w:left="720" w:hanging="720"/>
        <w:rPr>
          <w:rFonts w:ascii="Times New Roman" w:hAnsi="Times New Roman"/>
          <w:sz w:val="24"/>
        </w:rPr>
      </w:pPr>
    </w:p>
    <w:tbl>
      <w:tblPr>
        <w:tblW w:w="8540" w:type="dxa"/>
        <w:tblInd w:w="131" w:type="dxa"/>
        <w:tblLook w:val="04A0"/>
      </w:tblPr>
      <w:tblGrid>
        <w:gridCol w:w="1730"/>
        <w:gridCol w:w="1573"/>
        <w:gridCol w:w="1344"/>
        <w:gridCol w:w="1553"/>
        <w:gridCol w:w="996"/>
        <w:gridCol w:w="1122"/>
        <w:gridCol w:w="222"/>
      </w:tblGrid>
      <w:tr w14:paraId="4899C05B" w14:textId="77777777" w:rsidTr="00800E30">
        <w:tblPrEx>
          <w:tblW w:w="8540" w:type="dxa"/>
          <w:tblInd w:w="131" w:type="dxa"/>
          <w:tblLook w:val="04A0"/>
        </w:tblPrEx>
        <w:trPr>
          <w:gridAfter w:val="1"/>
          <w:wAfter w:w="36" w:type="dxa"/>
          <w:trHeight w:val="330"/>
        </w:trPr>
        <w:tc>
          <w:tcPr>
            <w:tcW w:w="8504" w:type="dxa"/>
            <w:gridSpan w:val="6"/>
            <w:tcBorders>
              <w:top w:val="double" w:sz="6" w:space="0" w:color="auto"/>
              <w:left w:val="double" w:sz="6" w:space="0" w:color="auto"/>
              <w:bottom w:val="single" w:sz="4" w:space="0" w:color="auto"/>
              <w:right w:val="double" w:sz="6" w:space="0" w:color="000000"/>
            </w:tcBorders>
            <w:shd w:val="clear" w:color="auto" w:fill="auto"/>
            <w:vAlign w:val="center"/>
            <w:hideMark/>
          </w:tcPr>
          <w:p w:rsidR="00800E30" w:rsidRPr="00800E30" w:rsidP="00800E30" w14:paraId="1F52DA9F" w14:textId="77777777">
            <w:pPr>
              <w:widowControl/>
              <w:autoSpaceDE/>
              <w:autoSpaceDN/>
              <w:adjustRightInd/>
              <w:jc w:val="center"/>
              <w:rPr>
                <w:rFonts w:ascii="Times New Roman" w:hAnsi="Times New Roman"/>
                <w:color w:val="000000"/>
                <w:sz w:val="24"/>
              </w:rPr>
            </w:pPr>
            <w:r w:rsidRPr="00800E30">
              <w:rPr>
                <w:rFonts w:ascii="Times New Roman" w:hAnsi="Times New Roman"/>
                <w:color w:val="000000"/>
                <w:sz w:val="24"/>
              </w:rPr>
              <w:t xml:space="preserve">Summary of total burden hours: Parts 779 &amp; 783 </w:t>
            </w:r>
          </w:p>
        </w:tc>
      </w:tr>
      <w:tr w14:paraId="7D075E1A" w14:textId="77777777" w:rsidTr="00800E30">
        <w:tblPrEx>
          <w:tblW w:w="8540" w:type="dxa"/>
          <w:tblInd w:w="131" w:type="dxa"/>
          <w:tblLook w:val="04A0"/>
        </w:tblPrEx>
        <w:trPr>
          <w:gridAfter w:val="1"/>
          <w:wAfter w:w="36" w:type="dxa"/>
          <w:trHeight w:val="410"/>
        </w:trPr>
        <w:tc>
          <w:tcPr>
            <w:tcW w:w="1619" w:type="dxa"/>
            <w:vMerge w:val="restart"/>
            <w:tcBorders>
              <w:top w:val="single" w:sz="4" w:space="0" w:color="auto"/>
              <w:left w:val="double" w:sz="6" w:space="0" w:color="auto"/>
              <w:bottom w:val="single" w:sz="4" w:space="0" w:color="000000"/>
              <w:right w:val="single" w:sz="4" w:space="0" w:color="auto"/>
            </w:tcBorders>
            <w:shd w:val="clear" w:color="000000" w:fill="FFFFFF"/>
            <w:vAlign w:val="bottom"/>
            <w:hideMark/>
          </w:tcPr>
          <w:p w:rsidR="00800E30" w:rsidRPr="00800E30" w:rsidP="00800E30" w14:paraId="4D753E8C" w14:textId="77777777">
            <w:pPr>
              <w:widowControl/>
              <w:autoSpaceDE/>
              <w:autoSpaceDN/>
              <w:adjustRightInd/>
              <w:jc w:val="center"/>
              <w:rPr>
                <w:rFonts w:ascii="Times New Roman" w:hAnsi="Times New Roman"/>
                <w:color w:val="000000"/>
                <w:sz w:val="24"/>
              </w:rPr>
            </w:pPr>
            <w:r w:rsidRPr="00800E30">
              <w:rPr>
                <w:rFonts w:ascii="Times New Roman" w:hAnsi="Times New Roman"/>
                <w:color w:val="000000"/>
                <w:sz w:val="24"/>
              </w:rPr>
              <w:t xml:space="preserve"> Sections</w:t>
            </w:r>
          </w:p>
        </w:tc>
        <w:tc>
          <w:tcPr>
            <w:tcW w:w="1710" w:type="dxa"/>
            <w:vMerge w:val="restart"/>
            <w:tcBorders>
              <w:top w:val="single" w:sz="4" w:space="0" w:color="auto"/>
              <w:left w:val="nil"/>
              <w:bottom w:val="single" w:sz="4" w:space="0" w:color="000000"/>
              <w:right w:val="nil"/>
            </w:tcBorders>
            <w:shd w:val="clear" w:color="000000" w:fill="FFFFFF"/>
            <w:vAlign w:val="bottom"/>
            <w:hideMark/>
          </w:tcPr>
          <w:p w:rsidR="00800E30" w:rsidRPr="00800E30" w:rsidP="00800E30" w14:paraId="25ED5262" w14:textId="77777777">
            <w:pPr>
              <w:widowControl/>
              <w:autoSpaceDE/>
              <w:autoSpaceDN/>
              <w:adjustRightInd/>
              <w:jc w:val="center"/>
              <w:rPr>
                <w:rFonts w:ascii="Times New Roman" w:hAnsi="Times New Roman"/>
                <w:color w:val="000000"/>
                <w:sz w:val="24"/>
              </w:rPr>
            </w:pPr>
            <w:r w:rsidRPr="00800E30">
              <w:rPr>
                <w:rFonts w:ascii="Times New Roman" w:hAnsi="Times New Roman"/>
                <w:color w:val="000000"/>
                <w:sz w:val="24"/>
              </w:rPr>
              <w:t xml:space="preserve">Permittee total Hours </w:t>
            </w:r>
          </w:p>
        </w:tc>
        <w:tc>
          <w:tcPr>
            <w:tcW w:w="1489" w:type="dxa"/>
            <w:vMerge w:val="restart"/>
            <w:tcBorders>
              <w:top w:val="single" w:sz="4" w:space="0" w:color="auto"/>
              <w:left w:val="nil"/>
              <w:bottom w:val="single" w:sz="4" w:space="0" w:color="000000"/>
              <w:right w:val="nil"/>
            </w:tcBorders>
            <w:shd w:val="clear" w:color="000000" w:fill="FFFFFF"/>
            <w:vAlign w:val="bottom"/>
            <w:hideMark/>
          </w:tcPr>
          <w:p w:rsidR="00800E30" w:rsidRPr="00800E30" w:rsidP="00800E30" w14:paraId="1C7E450F" w14:textId="77777777">
            <w:pPr>
              <w:widowControl/>
              <w:autoSpaceDE/>
              <w:autoSpaceDN/>
              <w:adjustRightInd/>
              <w:jc w:val="center"/>
              <w:rPr>
                <w:rFonts w:ascii="Times New Roman" w:hAnsi="Times New Roman"/>
                <w:color w:val="000000"/>
                <w:sz w:val="24"/>
              </w:rPr>
            </w:pPr>
            <w:r w:rsidRPr="00800E30">
              <w:rPr>
                <w:rFonts w:ascii="Times New Roman" w:hAnsi="Times New Roman"/>
                <w:color w:val="000000"/>
                <w:sz w:val="24"/>
              </w:rPr>
              <w:t>State Total Hours</w:t>
            </w:r>
          </w:p>
        </w:tc>
        <w:tc>
          <w:tcPr>
            <w:tcW w:w="1553" w:type="dxa"/>
            <w:vMerge w:val="restart"/>
            <w:tcBorders>
              <w:top w:val="single" w:sz="4" w:space="0" w:color="auto"/>
              <w:left w:val="nil"/>
              <w:bottom w:val="single" w:sz="4" w:space="0" w:color="000000"/>
              <w:right w:val="nil"/>
            </w:tcBorders>
            <w:shd w:val="clear" w:color="000000" w:fill="FFFFFF"/>
            <w:vAlign w:val="bottom"/>
            <w:hideMark/>
          </w:tcPr>
          <w:p w:rsidR="00800E30" w:rsidRPr="00800E30" w:rsidP="00800E30" w14:paraId="332C008E" w14:textId="77777777">
            <w:pPr>
              <w:widowControl/>
              <w:autoSpaceDE/>
              <w:autoSpaceDN/>
              <w:adjustRightInd/>
              <w:jc w:val="center"/>
              <w:rPr>
                <w:rFonts w:ascii="Times New Roman" w:hAnsi="Times New Roman"/>
                <w:color w:val="000000"/>
                <w:sz w:val="24"/>
              </w:rPr>
            </w:pPr>
            <w:r w:rsidRPr="00800E30">
              <w:rPr>
                <w:rFonts w:ascii="Times New Roman" w:hAnsi="Times New Roman"/>
                <w:color w:val="000000"/>
                <w:sz w:val="24"/>
              </w:rPr>
              <w:t>Total Hours Requested</w:t>
            </w:r>
          </w:p>
        </w:tc>
        <w:tc>
          <w:tcPr>
            <w:tcW w:w="958" w:type="dxa"/>
            <w:vMerge w:val="restart"/>
            <w:tcBorders>
              <w:top w:val="single" w:sz="4" w:space="0" w:color="auto"/>
              <w:left w:val="nil"/>
              <w:bottom w:val="single" w:sz="4" w:space="0" w:color="000000"/>
              <w:right w:val="nil"/>
            </w:tcBorders>
            <w:shd w:val="clear" w:color="000000" w:fill="FFFFFF"/>
            <w:vAlign w:val="bottom"/>
            <w:hideMark/>
          </w:tcPr>
          <w:p w:rsidR="00800E30" w:rsidRPr="00800E30" w:rsidP="00800E30" w14:paraId="3A1E1297" w14:textId="77777777">
            <w:pPr>
              <w:widowControl/>
              <w:autoSpaceDE/>
              <w:autoSpaceDN/>
              <w:adjustRightInd/>
              <w:jc w:val="center"/>
              <w:rPr>
                <w:rFonts w:ascii="Times New Roman" w:hAnsi="Times New Roman"/>
                <w:color w:val="000000"/>
                <w:sz w:val="24"/>
              </w:rPr>
            </w:pPr>
            <w:r w:rsidRPr="00800E30">
              <w:rPr>
                <w:rFonts w:ascii="Times New Roman" w:hAnsi="Times New Roman"/>
                <w:color w:val="000000"/>
                <w:sz w:val="24"/>
              </w:rPr>
              <w:t>Current hours</w:t>
            </w:r>
          </w:p>
        </w:tc>
        <w:tc>
          <w:tcPr>
            <w:tcW w:w="1175" w:type="dxa"/>
            <w:vMerge w:val="restart"/>
            <w:tcBorders>
              <w:top w:val="single" w:sz="4" w:space="0" w:color="auto"/>
              <w:left w:val="nil"/>
              <w:bottom w:val="single" w:sz="4" w:space="0" w:color="000000"/>
              <w:right w:val="double" w:sz="6" w:space="0" w:color="auto"/>
            </w:tcBorders>
            <w:shd w:val="clear" w:color="000000" w:fill="FFFFFF"/>
            <w:vAlign w:val="bottom"/>
            <w:hideMark/>
          </w:tcPr>
          <w:p w:rsidR="00800E30" w:rsidRPr="00800E30" w:rsidP="00800E30" w14:paraId="2EBBFDE1" w14:textId="77777777">
            <w:pPr>
              <w:widowControl/>
              <w:autoSpaceDE/>
              <w:autoSpaceDN/>
              <w:adjustRightInd/>
              <w:jc w:val="center"/>
              <w:rPr>
                <w:rFonts w:ascii="Times New Roman" w:hAnsi="Times New Roman"/>
                <w:color w:val="000000"/>
                <w:sz w:val="24"/>
              </w:rPr>
            </w:pPr>
            <w:r w:rsidRPr="00800E30">
              <w:rPr>
                <w:rFonts w:ascii="Times New Roman" w:hAnsi="Times New Roman"/>
                <w:color w:val="000000"/>
                <w:sz w:val="24"/>
              </w:rPr>
              <w:t>Change in hours</w:t>
            </w:r>
          </w:p>
        </w:tc>
      </w:tr>
      <w:tr w14:paraId="34E420CA" w14:textId="77777777" w:rsidTr="00800E30">
        <w:tblPrEx>
          <w:tblW w:w="8540" w:type="dxa"/>
          <w:tblInd w:w="131" w:type="dxa"/>
          <w:tblLook w:val="04A0"/>
        </w:tblPrEx>
        <w:trPr>
          <w:trHeight w:val="750"/>
        </w:trPr>
        <w:tc>
          <w:tcPr>
            <w:tcW w:w="1619" w:type="dxa"/>
            <w:vMerge/>
            <w:tcBorders>
              <w:top w:val="single" w:sz="4" w:space="0" w:color="auto"/>
              <w:left w:val="double" w:sz="6" w:space="0" w:color="auto"/>
              <w:bottom w:val="single" w:sz="4" w:space="0" w:color="000000"/>
              <w:right w:val="single" w:sz="4" w:space="0" w:color="auto"/>
            </w:tcBorders>
            <w:vAlign w:val="center"/>
            <w:hideMark/>
          </w:tcPr>
          <w:p w:rsidR="00800E30" w:rsidRPr="00800E30" w:rsidP="00800E30" w14:paraId="1EB20295" w14:textId="77777777">
            <w:pPr>
              <w:widowControl/>
              <w:autoSpaceDE/>
              <w:autoSpaceDN/>
              <w:adjustRightInd/>
              <w:rPr>
                <w:rFonts w:ascii="Times New Roman" w:hAnsi="Times New Roman"/>
                <w:color w:val="000000"/>
                <w:sz w:val="24"/>
              </w:rPr>
            </w:pPr>
          </w:p>
        </w:tc>
        <w:tc>
          <w:tcPr>
            <w:tcW w:w="1710" w:type="dxa"/>
            <w:vMerge/>
            <w:tcBorders>
              <w:top w:val="single" w:sz="4" w:space="0" w:color="auto"/>
              <w:left w:val="nil"/>
              <w:bottom w:val="single" w:sz="4" w:space="0" w:color="000000"/>
              <w:right w:val="nil"/>
            </w:tcBorders>
            <w:vAlign w:val="center"/>
            <w:hideMark/>
          </w:tcPr>
          <w:p w:rsidR="00800E30" w:rsidRPr="00800E30" w:rsidP="00800E30" w14:paraId="2E19E0C7" w14:textId="77777777">
            <w:pPr>
              <w:widowControl/>
              <w:autoSpaceDE/>
              <w:autoSpaceDN/>
              <w:adjustRightInd/>
              <w:rPr>
                <w:rFonts w:ascii="Times New Roman" w:hAnsi="Times New Roman"/>
                <w:color w:val="000000"/>
                <w:sz w:val="24"/>
              </w:rPr>
            </w:pPr>
          </w:p>
        </w:tc>
        <w:tc>
          <w:tcPr>
            <w:tcW w:w="1489" w:type="dxa"/>
            <w:vMerge/>
            <w:tcBorders>
              <w:top w:val="single" w:sz="4" w:space="0" w:color="auto"/>
              <w:left w:val="nil"/>
              <w:bottom w:val="single" w:sz="4" w:space="0" w:color="000000"/>
              <w:right w:val="nil"/>
            </w:tcBorders>
            <w:vAlign w:val="center"/>
            <w:hideMark/>
          </w:tcPr>
          <w:p w:rsidR="00800E30" w:rsidRPr="00800E30" w:rsidP="00800E30" w14:paraId="31D0F32F" w14:textId="77777777">
            <w:pPr>
              <w:widowControl/>
              <w:autoSpaceDE/>
              <w:autoSpaceDN/>
              <w:adjustRightInd/>
              <w:rPr>
                <w:rFonts w:ascii="Times New Roman" w:hAnsi="Times New Roman"/>
                <w:color w:val="000000"/>
                <w:sz w:val="24"/>
              </w:rPr>
            </w:pPr>
          </w:p>
        </w:tc>
        <w:tc>
          <w:tcPr>
            <w:tcW w:w="1553" w:type="dxa"/>
            <w:vMerge/>
            <w:tcBorders>
              <w:top w:val="single" w:sz="4" w:space="0" w:color="auto"/>
              <w:left w:val="nil"/>
              <w:bottom w:val="single" w:sz="4" w:space="0" w:color="000000"/>
              <w:right w:val="nil"/>
            </w:tcBorders>
            <w:vAlign w:val="center"/>
            <w:hideMark/>
          </w:tcPr>
          <w:p w:rsidR="00800E30" w:rsidRPr="00800E30" w:rsidP="00800E30" w14:paraId="380E1117" w14:textId="77777777">
            <w:pPr>
              <w:widowControl/>
              <w:autoSpaceDE/>
              <w:autoSpaceDN/>
              <w:adjustRightInd/>
              <w:rPr>
                <w:rFonts w:ascii="Times New Roman" w:hAnsi="Times New Roman"/>
                <w:color w:val="000000"/>
                <w:sz w:val="24"/>
              </w:rPr>
            </w:pPr>
          </w:p>
        </w:tc>
        <w:tc>
          <w:tcPr>
            <w:tcW w:w="958" w:type="dxa"/>
            <w:vMerge/>
            <w:tcBorders>
              <w:top w:val="single" w:sz="4" w:space="0" w:color="auto"/>
              <w:left w:val="nil"/>
              <w:bottom w:val="single" w:sz="4" w:space="0" w:color="000000"/>
              <w:right w:val="nil"/>
            </w:tcBorders>
            <w:vAlign w:val="center"/>
            <w:hideMark/>
          </w:tcPr>
          <w:p w:rsidR="00800E30" w:rsidRPr="00800E30" w:rsidP="00800E30" w14:paraId="0EB26FFB" w14:textId="77777777">
            <w:pPr>
              <w:widowControl/>
              <w:autoSpaceDE/>
              <w:autoSpaceDN/>
              <w:adjustRightInd/>
              <w:rPr>
                <w:rFonts w:ascii="Times New Roman" w:hAnsi="Times New Roman"/>
                <w:color w:val="000000"/>
                <w:sz w:val="24"/>
              </w:rPr>
            </w:pPr>
          </w:p>
        </w:tc>
        <w:tc>
          <w:tcPr>
            <w:tcW w:w="1175" w:type="dxa"/>
            <w:vMerge/>
            <w:tcBorders>
              <w:top w:val="single" w:sz="4" w:space="0" w:color="auto"/>
              <w:left w:val="nil"/>
              <w:bottom w:val="single" w:sz="4" w:space="0" w:color="000000"/>
              <w:right w:val="double" w:sz="6" w:space="0" w:color="auto"/>
            </w:tcBorders>
            <w:vAlign w:val="center"/>
            <w:hideMark/>
          </w:tcPr>
          <w:p w:rsidR="00800E30" w:rsidRPr="00800E30" w:rsidP="00800E30" w14:paraId="6E7EB4BE" w14:textId="77777777">
            <w:pPr>
              <w:widowControl/>
              <w:autoSpaceDE/>
              <w:autoSpaceDN/>
              <w:adjustRightInd/>
              <w:rPr>
                <w:rFonts w:ascii="Times New Roman" w:hAnsi="Times New Roman"/>
                <w:color w:val="000000"/>
                <w:sz w:val="24"/>
              </w:rPr>
            </w:pPr>
          </w:p>
        </w:tc>
        <w:tc>
          <w:tcPr>
            <w:tcW w:w="36" w:type="dxa"/>
            <w:tcBorders>
              <w:top w:val="nil"/>
              <w:left w:val="nil"/>
              <w:bottom w:val="nil"/>
              <w:right w:val="nil"/>
            </w:tcBorders>
            <w:shd w:val="clear" w:color="auto" w:fill="auto"/>
            <w:noWrap/>
            <w:vAlign w:val="bottom"/>
            <w:hideMark/>
          </w:tcPr>
          <w:p w:rsidR="00800E30" w:rsidRPr="00800E30" w:rsidP="00800E30" w14:paraId="0DE8BE95" w14:textId="77777777">
            <w:pPr>
              <w:widowControl/>
              <w:autoSpaceDE/>
              <w:autoSpaceDN/>
              <w:adjustRightInd/>
              <w:jc w:val="center"/>
              <w:rPr>
                <w:rFonts w:ascii="Times New Roman" w:hAnsi="Times New Roman"/>
                <w:color w:val="000000"/>
                <w:sz w:val="24"/>
              </w:rPr>
            </w:pPr>
          </w:p>
        </w:tc>
      </w:tr>
      <w:tr w14:paraId="79BAE725" w14:textId="77777777" w:rsidTr="00800E30">
        <w:tblPrEx>
          <w:tblW w:w="8540" w:type="dxa"/>
          <w:tblInd w:w="131" w:type="dxa"/>
          <w:tblLook w:val="04A0"/>
        </w:tblPrEx>
        <w:trPr>
          <w:trHeight w:val="320"/>
        </w:trPr>
        <w:tc>
          <w:tcPr>
            <w:tcW w:w="1619" w:type="dxa"/>
            <w:tcBorders>
              <w:top w:val="nil"/>
              <w:left w:val="double" w:sz="6" w:space="0" w:color="auto"/>
              <w:bottom w:val="nil"/>
              <w:right w:val="single" w:sz="4" w:space="0" w:color="auto"/>
            </w:tcBorders>
            <w:shd w:val="clear" w:color="000000" w:fill="FFFFFF"/>
            <w:vAlign w:val="center"/>
            <w:hideMark/>
          </w:tcPr>
          <w:p w:rsidR="00800E30" w:rsidRPr="00800E30" w:rsidP="00800E30" w14:paraId="2ECAA3E0" w14:textId="77777777">
            <w:pPr>
              <w:widowControl/>
              <w:autoSpaceDE/>
              <w:autoSpaceDN/>
              <w:adjustRightInd/>
              <w:rPr>
                <w:rFonts w:ascii="Times New Roman" w:hAnsi="Times New Roman"/>
                <w:color w:val="000000"/>
                <w:sz w:val="24"/>
              </w:rPr>
            </w:pPr>
            <w:r w:rsidRPr="00800E30">
              <w:rPr>
                <w:rFonts w:ascii="Times New Roman" w:hAnsi="Times New Roman"/>
                <w:color w:val="000000"/>
                <w:sz w:val="24"/>
              </w:rPr>
              <w:t>779/783.11&amp;12</w:t>
            </w:r>
          </w:p>
        </w:tc>
        <w:tc>
          <w:tcPr>
            <w:tcW w:w="1710" w:type="dxa"/>
            <w:tcBorders>
              <w:top w:val="nil"/>
              <w:left w:val="nil"/>
              <w:bottom w:val="nil"/>
              <w:right w:val="nil"/>
            </w:tcBorders>
            <w:shd w:val="clear" w:color="000000" w:fill="FFFFFF"/>
            <w:vAlign w:val="center"/>
            <w:hideMark/>
          </w:tcPr>
          <w:p w:rsidR="00800E30" w:rsidRPr="00800E30" w:rsidP="00800E30" w14:paraId="2EFD8E96" w14:textId="77777777">
            <w:pPr>
              <w:widowControl/>
              <w:autoSpaceDE/>
              <w:autoSpaceDN/>
              <w:adjustRightInd/>
              <w:jc w:val="center"/>
              <w:rPr>
                <w:rFonts w:ascii="Times New Roman" w:hAnsi="Times New Roman"/>
                <w:color w:val="000000"/>
                <w:sz w:val="24"/>
              </w:rPr>
            </w:pPr>
            <w:r w:rsidRPr="00800E30">
              <w:rPr>
                <w:rFonts w:ascii="Times New Roman" w:hAnsi="Times New Roman"/>
                <w:color w:val="000000"/>
                <w:sz w:val="24"/>
              </w:rPr>
              <w:t>41,500</w:t>
            </w:r>
          </w:p>
        </w:tc>
        <w:tc>
          <w:tcPr>
            <w:tcW w:w="1489" w:type="dxa"/>
            <w:tcBorders>
              <w:top w:val="nil"/>
              <w:left w:val="nil"/>
              <w:bottom w:val="nil"/>
              <w:right w:val="nil"/>
            </w:tcBorders>
            <w:shd w:val="clear" w:color="000000" w:fill="FFFFFF"/>
            <w:vAlign w:val="center"/>
            <w:hideMark/>
          </w:tcPr>
          <w:p w:rsidR="00800E30" w:rsidRPr="00800E30" w:rsidP="00800E30" w14:paraId="5053CB89" w14:textId="77777777">
            <w:pPr>
              <w:widowControl/>
              <w:autoSpaceDE/>
              <w:autoSpaceDN/>
              <w:adjustRightInd/>
              <w:jc w:val="center"/>
              <w:rPr>
                <w:rFonts w:ascii="Times New Roman" w:hAnsi="Times New Roman"/>
                <w:color w:val="000000"/>
                <w:sz w:val="24"/>
              </w:rPr>
            </w:pPr>
            <w:r w:rsidRPr="00800E30">
              <w:rPr>
                <w:rFonts w:ascii="Times New Roman" w:hAnsi="Times New Roman"/>
                <w:color w:val="000000"/>
                <w:sz w:val="24"/>
              </w:rPr>
              <w:t>7,520</w:t>
            </w:r>
          </w:p>
        </w:tc>
        <w:tc>
          <w:tcPr>
            <w:tcW w:w="1553" w:type="dxa"/>
            <w:tcBorders>
              <w:top w:val="nil"/>
              <w:left w:val="nil"/>
              <w:bottom w:val="nil"/>
              <w:right w:val="nil"/>
            </w:tcBorders>
            <w:shd w:val="clear" w:color="000000" w:fill="FFFFFF"/>
            <w:noWrap/>
            <w:vAlign w:val="center"/>
            <w:hideMark/>
          </w:tcPr>
          <w:p w:rsidR="00800E30" w:rsidRPr="00800E30" w:rsidP="00800E30" w14:paraId="39B425B4" w14:textId="77777777">
            <w:pPr>
              <w:widowControl/>
              <w:autoSpaceDE/>
              <w:autoSpaceDN/>
              <w:adjustRightInd/>
              <w:jc w:val="center"/>
              <w:rPr>
                <w:rFonts w:ascii="Times New Roman" w:hAnsi="Times New Roman"/>
                <w:color w:val="000000"/>
                <w:sz w:val="24"/>
              </w:rPr>
            </w:pPr>
            <w:r w:rsidRPr="00800E30">
              <w:rPr>
                <w:rFonts w:ascii="Times New Roman" w:hAnsi="Times New Roman"/>
                <w:color w:val="000000"/>
                <w:sz w:val="24"/>
              </w:rPr>
              <w:t>49,020</w:t>
            </w:r>
          </w:p>
        </w:tc>
        <w:tc>
          <w:tcPr>
            <w:tcW w:w="958" w:type="dxa"/>
            <w:tcBorders>
              <w:top w:val="nil"/>
              <w:left w:val="nil"/>
              <w:bottom w:val="nil"/>
              <w:right w:val="nil"/>
            </w:tcBorders>
            <w:shd w:val="clear" w:color="000000" w:fill="FFFFFF"/>
            <w:vAlign w:val="center"/>
            <w:hideMark/>
          </w:tcPr>
          <w:p w:rsidR="00800E30" w:rsidRPr="00800E30" w:rsidP="00800E30" w14:paraId="4F17498D" w14:textId="77777777">
            <w:pPr>
              <w:widowControl/>
              <w:autoSpaceDE/>
              <w:autoSpaceDN/>
              <w:adjustRightInd/>
              <w:jc w:val="center"/>
              <w:rPr>
                <w:rFonts w:ascii="Times New Roman" w:hAnsi="Times New Roman"/>
                <w:color w:val="000000"/>
                <w:sz w:val="24"/>
              </w:rPr>
            </w:pPr>
            <w:r w:rsidRPr="00800E30">
              <w:rPr>
                <w:rFonts w:ascii="Times New Roman" w:hAnsi="Times New Roman"/>
                <w:color w:val="000000"/>
                <w:sz w:val="24"/>
              </w:rPr>
              <w:t>61,475</w:t>
            </w:r>
          </w:p>
        </w:tc>
        <w:tc>
          <w:tcPr>
            <w:tcW w:w="1175" w:type="dxa"/>
            <w:tcBorders>
              <w:top w:val="nil"/>
              <w:left w:val="nil"/>
              <w:bottom w:val="nil"/>
              <w:right w:val="double" w:sz="6" w:space="0" w:color="auto"/>
            </w:tcBorders>
            <w:shd w:val="clear" w:color="000000" w:fill="FFFFFF"/>
            <w:vAlign w:val="center"/>
            <w:hideMark/>
          </w:tcPr>
          <w:p w:rsidR="00800E30" w:rsidRPr="00800E30" w:rsidP="00800E30" w14:paraId="4B6D73EC" w14:textId="77777777">
            <w:pPr>
              <w:widowControl/>
              <w:autoSpaceDE/>
              <w:autoSpaceDN/>
              <w:adjustRightInd/>
              <w:jc w:val="center"/>
              <w:rPr>
                <w:rFonts w:ascii="Times New Roman" w:hAnsi="Times New Roman"/>
                <w:color w:val="000000"/>
                <w:sz w:val="24"/>
              </w:rPr>
            </w:pPr>
            <w:r w:rsidRPr="00800E30">
              <w:rPr>
                <w:rFonts w:ascii="Times New Roman" w:hAnsi="Times New Roman"/>
                <w:color w:val="000000"/>
                <w:sz w:val="24"/>
              </w:rPr>
              <w:t>-12,455</w:t>
            </w:r>
          </w:p>
        </w:tc>
        <w:tc>
          <w:tcPr>
            <w:tcW w:w="36" w:type="dxa"/>
            <w:vAlign w:val="center"/>
            <w:hideMark/>
          </w:tcPr>
          <w:p w:rsidR="00800E30" w:rsidRPr="00800E30" w:rsidP="00800E30" w14:paraId="41050C6F" w14:textId="77777777">
            <w:pPr>
              <w:widowControl/>
              <w:autoSpaceDE/>
              <w:autoSpaceDN/>
              <w:adjustRightInd/>
              <w:rPr>
                <w:rFonts w:ascii="Times New Roman" w:hAnsi="Times New Roman"/>
                <w:szCs w:val="20"/>
              </w:rPr>
            </w:pPr>
          </w:p>
        </w:tc>
      </w:tr>
      <w:tr w14:paraId="5E4A0E95" w14:textId="77777777" w:rsidTr="00800E30">
        <w:tblPrEx>
          <w:tblW w:w="8540" w:type="dxa"/>
          <w:tblInd w:w="131" w:type="dxa"/>
          <w:tblLook w:val="04A0"/>
        </w:tblPrEx>
        <w:trPr>
          <w:trHeight w:val="320"/>
        </w:trPr>
        <w:tc>
          <w:tcPr>
            <w:tcW w:w="1619" w:type="dxa"/>
            <w:tcBorders>
              <w:top w:val="nil"/>
              <w:left w:val="double" w:sz="6" w:space="0" w:color="auto"/>
              <w:bottom w:val="nil"/>
              <w:right w:val="single" w:sz="4" w:space="0" w:color="auto"/>
            </w:tcBorders>
            <w:shd w:val="clear" w:color="000000" w:fill="FFFFFF"/>
            <w:vAlign w:val="center"/>
            <w:hideMark/>
          </w:tcPr>
          <w:p w:rsidR="00800E30" w:rsidRPr="00800E30" w:rsidP="00800E30" w14:paraId="12427B11" w14:textId="77777777">
            <w:pPr>
              <w:widowControl/>
              <w:autoSpaceDE/>
              <w:autoSpaceDN/>
              <w:adjustRightInd/>
              <w:rPr>
                <w:rFonts w:ascii="Times New Roman" w:hAnsi="Times New Roman"/>
                <w:color w:val="000000"/>
                <w:sz w:val="24"/>
              </w:rPr>
            </w:pPr>
            <w:r w:rsidRPr="00800E30">
              <w:rPr>
                <w:rFonts w:ascii="Times New Roman" w:hAnsi="Times New Roman"/>
                <w:color w:val="000000"/>
                <w:sz w:val="24"/>
              </w:rPr>
              <w:t>779/783.18</w:t>
            </w:r>
          </w:p>
        </w:tc>
        <w:tc>
          <w:tcPr>
            <w:tcW w:w="1710" w:type="dxa"/>
            <w:tcBorders>
              <w:top w:val="nil"/>
              <w:left w:val="nil"/>
              <w:bottom w:val="nil"/>
              <w:right w:val="nil"/>
            </w:tcBorders>
            <w:shd w:val="clear" w:color="000000" w:fill="FFFFFF"/>
            <w:vAlign w:val="center"/>
            <w:hideMark/>
          </w:tcPr>
          <w:p w:rsidR="00800E30" w:rsidRPr="00800E30" w:rsidP="00800E30" w14:paraId="1B780223" w14:textId="77777777">
            <w:pPr>
              <w:widowControl/>
              <w:autoSpaceDE/>
              <w:autoSpaceDN/>
              <w:adjustRightInd/>
              <w:jc w:val="center"/>
              <w:rPr>
                <w:rFonts w:ascii="Times New Roman" w:hAnsi="Times New Roman"/>
                <w:color w:val="000000"/>
                <w:sz w:val="24"/>
              </w:rPr>
            </w:pPr>
            <w:r w:rsidRPr="00800E30">
              <w:rPr>
                <w:rFonts w:ascii="Times New Roman" w:hAnsi="Times New Roman"/>
                <w:color w:val="000000"/>
                <w:sz w:val="24"/>
              </w:rPr>
              <w:t>300</w:t>
            </w:r>
          </w:p>
        </w:tc>
        <w:tc>
          <w:tcPr>
            <w:tcW w:w="1489" w:type="dxa"/>
            <w:tcBorders>
              <w:top w:val="nil"/>
              <w:left w:val="nil"/>
              <w:bottom w:val="nil"/>
              <w:right w:val="nil"/>
            </w:tcBorders>
            <w:shd w:val="clear" w:color="000000" w:fill="FFFFFF"/>
            <w:vAlign w:val="center"/>
            <w:hideMark/>
          </w:tcPr>
          <w:p w:rsidR="00800E30" w:rsidRPr="00800E30" w:rsidP="00800E30" w14:paraId="65F6ACB7" w14:textId="77777777">
            <w:pPr>
              <w:widowControl/>
              <w:autoSpaceDE/>
              <w:autoSpaceDN/>
              <w:adjustRightInd/>
              <w:jc w:val="center"/>
              <w:rPr>
                <w:rFonts w:ascii="Times New Roman" w:hAnsi="Times New Roman"/>
                <w:color w:val="000000"/>
                <w:sz w:val="24"/>
              </w:rPr>
            </w:pPr>
            <w:r w:rsidRPr="00800E30">
              <w:rPr>
                <w:rFonts w:ascii="Times New Roman" w:hAnsi="Times New Roman"/>
                <w:color w:val="000000"/>
                <w:sz w:val="24"/>
              </w:rPr>
              <w:t>94</w:t>
            </w:r>
          </w:p>
        </w:tc>
        <w:tc>
          <w:tcPr>
            <w:tcW w:w="1553" w:type="dxa"/>
            <w:tcBorders>
              <w:top w:val="nil"/>
              <w:left w:val="nil"/>
              <w:bottom w:val="nil"/>
              <w:right w:val="nil"/>
            </w:tcBorders>
            <w:shd w:val="clear" w:color="000000" w:fill="FFFFFF"/>
            <w:noWrap/>
            <w:vAlign w:val="center"/>
            <w:hideMark/>
          </w:tcPr>
          <w:p w:rsidR="00800E30" w:rsidRPr="00800E30" w:rsidP="00800E30" w14:paraId="434CC491" w14:textId="77777777">
            <w:pPr>
              <w:widowControl/>
              <w:autoSpaceDE/>
              <w:autoSpaceDN/>
              <w:adjustRightInd/>
              <w:jc w:val="center"/>
              <w:rPr>
                <w:rFonts w:ascii="Times New Roman" w:hAnsi="Times New Roman"/>
                <w:color w:val="000000"/>
                <w:sz w:val="24"/>
              </w:rPr>
            </w:pPr>
            <w:r w:rsidRPr="00800E30">
              <w:rPr>
                <w:rFonts w:ascii="Times New Roman" w:hAnsi="Times New Roman"/>
                <w:color w:val="000000"/>
                <w:sz w:val="24"/>
              </w:rPr>
              <w:t>394</w:t>
            </w:r>
          </w:p>
        </w:tc>
        <w:tc>
          <w:tcPr>
            <w:tcW w:w="958" w:type="dxa"/>
            <w:tcBorders>
              <w:top w:val="nil"/>
              <w:left w:val="nil"/>
              <w:bottom w:val="nil"/>
              <w:right w:val="nil"/>
            </w:tcBorders>
            <w:shd w:val="clear" w:color="000000" w:fill="FFFFFF"/>
            <w:vAlign w:val="center"/>
            <w:hideMark/>
          </w:tcPr>
          <w:p w:rsidR="00800E30" w:rsidRPr="00800E30" w:rsidP="00800E30" w14:paraId="731DD194" w14:textId="77777777">
            <w:pPr>
              <w:widowControl/>
              <w:autoSpaceDE/>
              <w:autoSpaceDN/>
              <w:adjustRightInd/>
              <w:jc w:val="center"/>
              <w:rPr>
                <w:rFonts w:ascii="Times New Roman" w:hAnsi="Times New Roman"/>
                <w:color w:val="000000"/>
                <w:sz w:val="24"/>
              </w:rPr>
            </w:pPr>
            <w:r w:rsidRPr="00800E30">
              <w:rPr>
                <w:rFonts w:ascii="Times New Roman" w:hAnsi="Times New Roman"/>
                <w:color w:val="000000"/>
                <w:sz w:val="24"/>
              </w:rPr>
              <w:t>495</w:t>
            </w:r>
          </w:p>
        </w:tc>
        <w:tc>
          <w:tcPr>
            <w:tcW w:w="1175" w:type="dxa"/>
            <w:tcBorders>
              <w:top w:val="nil"/>
              <w:left w:val="nil"/>
              <w:bottom w:val="nil"/>
              <w:right w:val="double" w:sz="6" w:space="0" w:color="auto"/>
            </w:tcBorders>
            <w:shd w:val="clear" w:color="000000" w:fill="FFFFFF"/>
            <w:vAlign w:val="center"/>
            <w:hideMark/>
          </w:tcPr>
          <w:p w:rsidR="00800E30" w:rsidRPr="00800E30" w:rsidP="00800E30" w14:paraId="59FE11FA" w14:textId="77777777">
            <w:pPr>
              <w:widowControl/>
              <w:autoSpaceDE/>
              <w:autoSpaceDN/>
              <w:adjustRightInd/>
              <w:jc w:val="center"/>
              <w:rPr>
                <w:rFonts w:ascii="Times New Roman" w:hAnsi="Times New Roman"/>
                <w:color w:val="000000"/>
                <w:sz w:val="24"/>
              </w:rPr>
            </w:pPr>
            <w:r w:rsidRPr="00800E30">
              <w:rPr>
                <w:rFonts w:ascii="Times New Roman" w:hAnsi="Times New Roman"/>
                <w:color w:val="000000"/>
                <w:sz w:val="24"/>
              </w:rPr>
              <w:t>-101</w:t>
            </w:r>
          </w:p>
        </w:tc>
        <w:tc>
          <w:tcPr>
            <w:tcW w:w="36" w:type="dxa"/>
            <w:vAlign w:val="center"/>
            <w:hideMark/>
          </w:tcPr>
          <w:p w:rsidR="00800E30" w:rsidRPr="00800E30" w:rsidP="00800E30" w14:paraId="03047D5D" w14:textId="77777777">
            <w:pPr>
              <w:widowControl/>
              <w:autoSpaceDE/>
              <w:autoSpaceDN/>
              <w:adjustRightInd/>
              <w:rPr>
                <w:rFonts w:ascii="Times New Roman" w:hAnsi="Times New Roman"/>
                <w:szCs w:val="20"/>
              </w:rPr>
            </w:pPr>
          </w:p>
        </w:tc>
      </w:tr>
      <w:tr w14:paraId="226245B7" w14:textId="77777777" w:rsidTr="00800E30">
        <w:tblPrEx>
          <w:tblW w:w="8540" w:type="dxa"/>
          <w:tblInd w:w="131" w:type="dxa"/>
          <w:tblLook w:val="04A0"/>
        </w:tblPrEx>
        <w:trPr>
          <w:trHeight w:val="320"/>
        </w:trPr>
        <w:tc>
          <w:tcPr>
            <w:tcW w:w="1619" w:type="dxa"/>
            <w:tcBorders>
              <w:top w:val="nil"/>
              <w:left w:val="double" w:sz="6" w:space="0" w:color="auto"/>
              <w:bottom w:val="nil"/>
              <w:right w:val="single" w:sz="4" w:space="0" w:color="auto"/>
            </w:tcBorders>
            <w:shd w:val="clear" w:color="000000" w:fill="FFFFFF"/>
            <w:vAlign w:val="center"/>
            <w:hideMark/>
          </w:tcPr>
          <w:p w:rsidR="00800E30" w:rsidRPr="00800E30" w:rsidP="00800E30" w14:paraId="5A1E5401" w14:textId="77777777">
            <w:pPr>
              <w:widowControl/>
              <w:autoSpaceDE/>
              <w:autoSpaceDN/>
              <w:adjustRightInd/>
              <w:rPr>
                <w:rFonts w:ascii="Times New Roman" w:hAnsi="Times New Roman"/>
                <w:color w:val="000000"/>
                <w:sz w:val="24"/>
              </w:rPr>
            </w:pPr>
            <w:r w:rsidRPr="00800E30">
              <w:rPr>
                <w:rFonts w:ascii="Times New Roman" w:hAnsi="Times New Roman"/>
                <w:color w:val="000000"/>
                <w:sz w:val="24"/>
              </w:rPr>
              <w:t>779/783.19</w:t>
            </w:r>
          </w:p>
        </w:tc>
        <w:tc>
          <w:tcPr>
            <w:tcW w:w="1710" w:type="dxa"/>
            <w:tcBorders>
              <w:top w:val="nil"/>
              <w:left w:val="nil"/>
              <w:bottom w:val="nil"/>
              <w:right w:val="nil"/>
            </w:tcBorders>
            <w:shd w:val="clear" w:color="000000" w:fill="FFFFFF"/>
            <w:vAlign w:val="center"/>
            <w:hideMark/>
          </w:tcPr>
          <w:p w:rsidR="00800E30" w:rsidRPr="00800E30" w:rsidP="00800E30" w14:paraId="58898E17" w14:textId="77777777">
            <w:pPr>
              <w:widowControl/>
              <w:autoSpaceDE/>
              <w:autoSpaceDN/>
              <w:adjustRightInd/>
              <w:jc w:val="center"/>
              <w:rPr>
                <w:rFonts w:ascii="Times New Roman" w:hAnsi="Times New Roman"/>
                <w:color w:val="000000"/>
                <w:sz w:val="24"/>
              </w:rPr>
            </w:pPr>
            <w:r w:rsidRPr="00800E30">
              <w:rPr>
                <w:rFonts w:ascii="Times New Roman" w:hAnsi="Times New Roman"/>
                <w:color w:val="000000"/>
                <w:sz w:val="24"/>
              </w:rPr>
              <w:t>1,500</w:t>
            </w:r>
          </w:p>
        </w:tc>
        <w:tc>
          <w:tcPr>
            <w:tcW w:w="1489" w:type="dxa"/>
            <w:tcBorders>
              <w:top w:val="nil"/>
              <w:left w:val="nil"/>
              <w:bottom w:val="nil"/>
              <w:right w:val="nil"/>
            </w:tcBorders>
            <w:shd w:val="clear" w:color="000000" w:fill="FFFFFF"/>
            <w:vAlign w:val="center"/>
            <w:hideMark/>
          </w:tcPr>
          <w:p w:rsidR="00800E30" w:rsidRPr="00800E30" w:rsidP="00800E30" w14:paraId="301CFF7E" w14:textId="77777777">
            <w:pPr>
              <w:widowControl/>
              <w:autoSpaceDE/>
              <w:autoSpaceDN/>
              <w:adjustRightInd/>
              <w:jc w:val="center"/>
              <w:rPr>
                <w:rFonts w:ascii="Times New Roman" w:hAnsi="Times New Roman"/>
                <w:color w:val="000000"/>
                <w:sz w:val="24"/>
              </w:rPr>
            </w:pPr>
            <w:r w:rsidRPr="00800E30">
              <w:rPr>
                <w:rFonts w:ascii="Times New Roman" w:hAnsi="Times New Roman"/>
                <w:color w:val="000000"/>
                <w:sz w:val="24"/>
              </w:rPr>
              <w:t>282</w:t>
            </w:r>
          </w:p>
        </w:tc>
        <w:tc>
          <w:tcPr>
            <w:tcW w:w="1553" w:type="dxa"/>
            <w:tcBorders>
              <w:top w:val="nil"/>
              <w:left w:val="nil"/>
              <w:bottom w:val="nil"/>
              <w:right w:val="nil"/>
            </w:tcBorders>
            <w:shd w:val="clear" w:color="000000" w:fill="FFFFFF"/>
            <w:noWrap/>
            <w:vAlign w:val="center"/>
            <w:hideMark/>
          </w:tcPr>
          <w:p w:rsidR="00800E30" w:rsidRPr="00800E30" w:rsidP="00800E30" w14:paraId="63825745" w14:textId="77777777">
            <w:pPr>
              <w:widowControl/>
              <w:autoSpaceDE/>
              <w:autoSpaceDN/>
              <w:adjustRightInd/>
              <w:jc w:val="center"/>
              <w:rPr>
                <w:rFonts w:ascii="Times New Roman" w:hAnsi="Times New Roman"/>
                <w:color w:val="000000"/>
                <w:sz w:val="24"/>
              </w:rPr>
            </w:pPr>
            <w:r w:rsidRPr="00800E30">
              <w:rPr>
                <w:rFonts w:ascii="Times New Roman" w:hAnsi="Times New Roman"/>
                <w:color w:val="000000"/>
                <w:sz w:val="24"/>
              </w:rPr>
              <w:t>1,782</w:t>
            </w:r>
          </w:p>
        </w:tc>
        <w:tc>
          <w:tcPr>
            <w:tcW w:w="958" w:type="dxa"/>
            <w:tcBorders>
              <w:top w:val="nil"/>
              <w:left w:val="nil"/>
              <w:bottom w:val="nil"/>
              <w:right w:val="nil"/>
            </w:tcBorders>
            <w:shd w:val="clear" w:color="000000" w:fill="FFFFFF"/>
            <w:vAlign w:val="center"/>
            <w:hideMark/>
          </w:tcPr>
          <w:p w:rsidR="00800E30" w:rsidRPr="00800E30" w:rsidP="00800E30" w14:paraId="1A5ACB62" w14:textId="77777777">
            <w:pPr>
              <w:widowControl/>
              <w:autoSpaceDE/>
              <w:autoSpaceDN/>
              <w:adjustRightInd/>
              <w:jc w:val="center"/>
              <w:rPr>
                <w:rFonts w:ascii="Times New Roman" w:hAnsi="Times New Roman"/>
                <w:color w:val="000000"/>
                <w:sz w:val="24"/>
              </w:rPr>
            </w:pPr>
            <w:r w:rsidRPr="00800E30">
              <w:rPr>
                <w:rFonts w:ascii="Times New Roman" w:hAnsi="Times New Roman"/>
                <w:color w:val="000000"/>
                <w:sz w:val="24"/>
              </w:rPr>
              <w:t>2,235</w:t>
            </w:r>
          </w:p>
        </w:tc>
        <w:tc>
          <w:tcPr>
            <w:tcW w:w="1175" w:type="dxa"/>
            <w:tcBorders>
              <w:top w:val="nil"/>
              <w:left w:val="nil"/>
              <w:bottom w:val="nil"/>
              <w:right w:val="double" w:sz="6" w:space="0" w:color="auto"/>
            </w:tcBorders>
            <w:shd w:val="clear" w:color="000000" w:fill="FFFFFF"/>
            <w:vAlign w:val="center"/>
            <w:hideMark/>
          </w:tcPr>
          <w:p w:rsidR="00800E30" w:rsidRPr="00800E30" w:rsidP="00800E30" w14:paraId="283935DC" w14:textId="77777777">
            <w:pPr>
              <w:widowControl/>
              <w:autoSpaceDE/>
              <w:autoSpaceDN/>
              <w:adjustRightInd/>
              <w:jc w:val="center"/>
              <w:rPr>
                <w:rFonts w:ascii="Times New Roman" w:hAnsi="Times New Roman"/>
                <w:color w:val="000000"/>
                <w:sz w:val="24"/>
              </w:rPr>
            </w:pPr>
            <w:r w:rsidRPr="00800E30">
              <w:rPr>
                <w:rFonts w:ascii="Times New Roman" w:hAnsi="Times New Roman"/>
                <w:color w:val="000000"/>
                <w:sz w:val="24"/>
              </w:rPr>
              <w:t>-453</w:t>
            </w:r>
          </w:p>
        </w:tc>
        <w:tc>
          <w:tcPr>
            <w:tcW w:w="36" w:type="dxa"/>
            <w:vAlign w:val="center"/>
            <w:hideMark/>
          </w:tcPr>
          <w:p w:rsidR="00800E30" w:rsidRPr="00800E30" w:rsidP="00800E30" w14:paraId="35D408CC" w14:textId="77777777">
            <w:pPr>
              <w:widowControl/>
              <w:autoSpaceDE/>
              <w:autoSpaceDN/>
              <w:adjustRightInd/>
              <w:rPr>
                <w:rFonts w:ascii="Times New Roman" w:hAnsi="Times New Roman"/>
                <w:szCs w:val="20"/>
              </w:rPr>
            </w:pPr>
          </w:p>
        </w:tc>
      </w:tr>
      <w:tr w14:paraId="1CD2C958" w14:textId="77777777" w:rsidTr="00800E30">
        <w:tblPrEx>
          <w:tblW w:w="8540" w:type="dxa"/>
          <w:tblInd w:w="131" w:type="dxa"/>
          <w:tblLook w:val="04A0"/>
        </w:tblPrEx>
        <w:trPr>
          <w:trHeight w:val="320"/>
        </w:trPr>
        <w:tc>
          <w:tcPr>
            <w:tcW w:w="1619" w:type="dxa"/>
            <w:tcBorders>
              <w:top w:val="nil"/>
              <w:left w:val="double" w:sz="6" w:space="0" w:color="auto"/>
              <w:bottom w:val="nil"/>
              <w:right w:val="single" w:sz="4" w:space="0" w:color="auto"/>
            </w:tcBorders>
            <w:shd w:val="clear" w:color="000000" w:fill="FFFFFF"/>
            <w:vAlign w:val="center"/>
            <w:hideMark/>
          </w:tcPr>
          <w:p w:rsidR="00800E30" w:rsidRPr="00800E30" w:rsidP="00800E30" w14:paraId="2F193B86" w14:textId="77777777">
            <w:pPr>
              <w:widowControl/>
              <w:autoSpaceDE/>
              <w:autoSpaceDN/>
              <w:adjustRightInd/>
              <w:rPr>
                <w:rFonts w:ascii="Times New Roman" w:hAnsi="Times New Roman"/>
                <w:color w:val="000000"/>
                <w:sz w:val="24"/>
              </w:rPr>
            </w:pPr>
            <w:r w:rsidRPr="00800E30">
              <w:rPr>
                <w:rFonts w:ascii="Times New Roman" w:hAnsi="Times New Roman"/>
                <w:color w:val="000000"/>
                <w:sz w:val="24"/>
              </w:rPr>
              <w:t>779/783.24</w:t>
            </w:r>
          </w:p>
        </w:tc>
        <w:tc>
          <w:tcPr>
            <w:tcW w:w="1710" w:type="dxa"/>
            <w:tcBorders>
              <w:top w:val="nil"/>
              <w:left w:val="nil"/>
              <w:bottom w:val="nil"/>
              <w:right w:val="nil"/>
            </w:tcBorders>
            <w:shd w:val="clear" w:color="000000" w:fill="FFFFFF"/>
            <w:vAlign w:val="center"/>
            <w:hideMark/>
          </w:tcPr>
          <w:p w:rsidR="00800E30" w:rsidRPr="00800E30" w:rsidP="00800E30" w14:paraId="760D4670" w14:textId="77777777">
            <w:pPr>
              <w:widowControl/>
              <w:autoSpaceDE/>
              <w:autoSpaceDN/>
              <w:adjustRightInd/>
              <w:jc w:val="center"/>
              <w:rPr>
                <w:rFonts w:ascii="Times New Roman" w:hAnsi="Times New Roman"/>
                <w:color w:val="000000"/>
                <w:sz w:val="24"/>
              </w:rPr>
            </w:pPr>
            <w:r w:rsidRPr="00800E30">
              <w:rPr>
                <w:rFonts w:ascii="Times New Roman" w:hAnsi="Times New Roman"/>
                <w:color w:val="000000"/>
                <w:sz w:val="24"/>
              </w:rPr>
              <w:t>13,000</w:t>
            </w:r>
          </w:p>
        </w:tc>
        <w:tc>
          <w:tcPr>
            <w:tcW w:w="1489" w:type="dxa"/>
            <w:tcBorders>
              <w:top w:val="nil"/>
              <w:left w:val="nil"/>
              <w:bottom w:val="nil"/>
              <w:right w:val="nil"/>
            </w:tcBorders>
            <w:shd w:val="clear" w:color="000000" w:fill="FFFFFF"/>
            <w:vAlign w:val="center"/>
            <w:hideMark/>
          </w:tcPr>
          <w:p w:rsidR="00800E30" w:rsidRPr="00800E30" w:rsidP="00800E30" w14:paraId="765430D1" w14:textId="77777777">
            <w:pPr>
              <w:widowControl/>
              <w:autoSpaceDE/>
              <w:autoSpaceDN/>
              <w:adjustRightInd/>
              <w:jc w:val="center"/>
              <w:rPr>
                <w:rFonts w:ascii="Times New Roman" w:hAnsi="Times New Roman"/>
                <w:color w:val="000000"/>
                <w:sz w:val="24"/>
              </w:rPr>
            </w:pPr>
            <w:r w:rsidRPr="00800E30">
              <w:rPr>
                <w:rFonts w:ascii="Times New Roman" w:hAnsi="Times New Roman"/>
                <w:color w:val="000000"/>
                <w:sz w:val="24"/>
              </w:rPr>
              <w:t>2,820</w:t>
            </w:r>
          </w:p>
        </w:tc>
        <w:tc>
          <w:tcPr>
            <w:tcW w:w="1553" w:type="dxa"/>
            <w:tcBorders>
              <w:top w:val="nil"/>
              <w:left w:val="nil"/>
              <w:bottom w:val="nil"/>
              <w:right w:val="nil"/>
            </w:tcBorders>
            <w:shd w:val="clear" w:color="000000" w:fill="FFFFFF"/>
            <w:noWrap/>
            <w:vAlign w:val="center"/>
            <w:hideMark/>
          </w:tcPr>
          <w:p w:rsidR="00800E30" w:rsidRPr="00800E30" w:rsidP="00800E30" w14:paraId="16E1C521" w14:textId="77777777">
            <w:pPr>
              <w:widowControl/>
              <w:autoSpaceDE/>
              <w:autoSpaceDN/>
              <w:adjustRightInd/>
              <w:jc w:val="center"/>
              <w:rPr>
                <w:rFonts w:ascii="Times New Roman" w:hAnsi="Times New Roman"/>
                <w:color w:val="000000"/>
                <w:sz w:val="24"/>
              </w:rPr>
            </w:pPr>
            <w:r w:rsidRPr="00800E30">
              <w:rPr>
                <w:rFonts w:ascii="Times New Roman" w:hAnsi="Times New Roman"/>
                <w:color w:val="000000"/>
                <w:sz w:val="24"/>
              </w:rPr>
              <w:t>15,820</w:t>
            </w:r>
          </w:p>
        </w:tc>
        <w:tc>
          <w:tcPr>
            <w:tcW w:w="958" w:type="dxa"/>
            <w:tcBorders>
              <w:top w:val="nil"/>
              <w:left w:val="nil"/>
              <w:bottom w:val="nil"/>
              <w:right w:val="nil"/>
            </w:tcBorders>
            <w:shd w:val="clear" w:color="000000" w:fill="FFFFFF"/>
            <w:vAlign w:val="center"/>
            <w:hideMark/>
          </w:tcPr>
          <w:p w:rsidR="00800E30" w:rsidRPr="00800E30" w:rsidP="00800E30" w14:paraId="6E54388F" w14:textId="77777777">
            <w:pPr>
              <w:widowControl/>
              <w:autoSpaceDE/>
              <w:autoSpaceDN/>
              <w:adjustRightInd/>
              <w:jc w:val="center"/>
              <w:rPr>
                <w:rFonts w:ascii="Times New Roman" w:hAnsi="Times New Roman"/>
                <w:color w:val="000000"/>
                <w:sz w:val="24"/>
              </w:rPr>
            </w:pPr>
            <w:r w:rsidRPr="00800E30">
              <w:rPr>
                <w:rFonts w:ascii="Times New Roman" w:hAnsi="Times New Roman"/>
                <w:color w:val="000000"/>
                <w:sz w:val="24"/>
              </w:rPr>
              <w:t>19,850</w:t>
            </w:r>
          </w:p>
        </w:tc>
        <w:tc>
          <w:tcPr>
            <w:tcW w:w="1175" w:type="dxa"/>
            <w:tcBorders>
              <w:top w:val="nil"/>
              <w:left w:val="nil"/>
              <w:bottom w:val="nil"/>
              <w:right w:val="double" w:sz="6" w:space="0" w:color="auto"/>
            </w:tcBorders>
            <w:shd w:val="clear" w:color="000000" w:fill="FFFFFF"/>
            <w:vAlign w:val="center"/>
            <w:hideMark/>
          </w:tcPr>
          <w:p w:rsidR="00800E30" w:rsidRPr="00800E30" w:rsidP="00800E30" w14:paraId="300AC148" w14:textId="77777777">
            <w:pPr>
              <w:widowControl/>
              <w:autoSpaceDE/>
              <w:autoSpaceDN/>
              <w:adjustRightInd/>
              <w:jc w:val="center"/>
              <w:rPr>
                <w:rFonts w:ascii="Times New Roman" w:hAnsi="Times New Roman"/>
                <w:color w:val="000000"/>
                <w:sz w:val="24"/>
              </w:rPr>
            </w:pPr>
            <w:r w:rsidRPr="00800E30">
              <w:rPr>
                <w:rFonts w:ascii="Times New Roman" w:hAnsi="Times New Roman"/>
                <w:color w:val="000000"/>
                <w:sz w:val="24"/>
              </w:rPr>
              <w:t>-4,030</w:t>
            </w:r>
          </w:p>
        </w:tc>
        <w:tc>
          <w:tcPr>
            <w:tcW w:w="36" w:type="dxa"/>
            <w:vAlign w:val="center"/>
            <w:hideMark/>
          </w:tcPr>
          <w:p w:rsidR="00800E30" w:rsidRPr="00800E30" w:rsidP="00800E30" w14:paraId="27A5C066" w14:textId="77777777">
            <w:pPr>
              <w:widowControl/>
              <w:autoSpaceDE/>
              <w:autoSpaceDN/>
              <w:adjustRightInd/>
              <w:rPr>
                <w:rFonts w:ascii="Times New Roman" w:hAnsi="Times New Roman"/>
                <w:szCs w:val="20"/>
              </w:rPr>
            </w:pPr>
          </w:p>
        </w:tc>
      </w:tr>
      <w:tr w14:paraId="6B9DB26F" w14:textId="77777777" w:rsidTr="00800E30">
        <w:tblPrEx>
          <w:tblW w:w="8540" w:type="dxa"/>
          <w:tblInd w:w="131" w:type="dxa"/>
          <w:tblLook w:val="04A0"/>
        </w:tblPrEx>
        <w:trPr>
          <w:trHeight w:val="320"/>
        </w:trPr>
        <w:tc>
          <w:tcPr>
            <w:tcW w:w="1619" w:type="dxa"/>
            <w:tcBorders>
              <w:top w:val="nil"/>
              <w:left w:val="double" w:sz="6" w:space="0" w:color="auto"/>
              <w:bottom w:val="nil"/>
              <w:right w:val="single" w:sz="4" w:space="0" w:color="auto"/>
            </w:tcBorders>
            <w:shd w:val="clear" w:color="000000" w:fill="FFFFFF"/>
            <w:vAlign w:val="center"/>
            <w:hideMark/>
          </w:tcPr>
          <w:p w:rsidR="00800E30" w:rsidRPr="00800E30" w:rsidP="00800E30" w14:paraId="5D8308F6" w14:textId="77777777">
            <w:pPr>
              <w:widowControl/>
              <w:autoSpaceDE/>
              <w:autoSpaceDN/>
              <w:adjustRightInd/>
              <w:rPr>
                <w:rFonts w:ascii="Times New Roman" w:hAnsi="Times New Roman"/>
                <w:color w:val="000000"/>
                <w:sz w:val="24"/>
              </w:rPr>
            </w:pPr>
            <w:r w:rsidRPr="00800E30">
              <w:rPr>
                <w:rFonts w:ascii="Times New Roman" w:hAnsi="Times New Roman"/>
                <w:color w:val="000000"/>
                <w:sz w:val="24"/>
              </w:rPr>
              <w:t>779/783.25</w:t>
            </w:r>
          </w:p>
        </w:tc>
        <w:tc>
          <w:tcPr>
            <w:tcW w:w="1710" w:type="dxa"/>
            <w:tcBorders>
              <w:top w:val="nil"/>
              <w:left w:val="nil"/>
              <w:bottom w:val="nil"/>
              <w:right w:val="nil"/>
            </w:tcBorders>
            <w:shd w:val="clear" w:color="000000" w:fill="FFFFFF"/>
            <w:vAlign w:val="center"/>
            <w:hideMark/>
          </w:tcPr>
          <w:p w:rsidR="00800E30" w:rsidRPr="00800E30" w:rsidP="00800E30" w14:paraId="06FBB6F6" w14:textId="77777777">
            <w:pPr>
              <w:widowControl/>
              <w:autoSpaceDE/>
              <w:autoSpaceDN/>
              <w:adjustRightInd/>
              <w:jc w:val="center"/>
              <w:rPr>
                <w:rFonts w:ascii="Times New Roman" w:hAnsi="Times New Roman"/>
                <w:color w:val="000000"/>
                <w:sz w:val="24"/>
              </w:rPr>
            </w:pPr>
            <w:r w:rsidRPr="00800E30">
              <w:rPr>
                <w:rFonts w:ascii="Times New Roman" w:hAnsi="Times New Roman"/>
                <w:color w:val="000000"/>
                <w:sz w:val="24"/>
              </w:rPr>
              <w:t>16,000</w:t>
            </w:r>
          </w:p>
        </w:tc>
        <w:tc>
          <w:tcPr>
            <w:tcW w:w="1489" w:type="dxa"/>
            <w:tcBorders>
              <w:top w:val="nil"/>
              <w:left w:val="nil"/>
              <w:bottom w:val="nil"/>
              <w:right w:val="nil"/>
            </w:tcBorders>
            <w:shd w:val="clear" w:color="000000" w:fill="FFFFFF"/>
            <w:vAlign w:val="center"/>
            <w:hideMark/>
          </w:tcPr>
          <w:p w:rsidR="00800E30" w:rsidRPr="00800E30" w:rsidP="00800E30" w14:paraId="01A6BCEF" w14:textId="77777777">
            <w:pPr>
              <w:widowControl/>
              <w:autoSpaceDE/>
              <w:autoSpaceDN/>
              <w:adjustRightInd/>
              <w:jc w:val="center"/>
              <w:rPr>
                <w:rFonts w:ascii="Times New Roman" w:hAnsi="Times New Roman"/>
                <w:color w:val="000000"/>
                <w:sz w:val="24"/>
              </w:rPr>
            </w:pPr>
            <w:r w:rsidRPr="00800E30">
              <w:rPr>
                <w:rFonts w:ascii="Times New Roman" w:hAnsi="Times New Roman"/>
                <w:color w:val="000000"/>
                <w:sz w:val="24"/>
              </w:rPr>
              <w:t>3,760</w:t>
            </w:r>
          </w:p>
        </w:tc>
        <w:tc>
          <w:tcPr>
            <w:tcW w:w="1553" w:type="dxa"/>
            <w:tcBorders>
              <w:top w:val="nil"/>
              <w:left w:val="nil"/>
              <w:bottom w:val="nil"/>
              <w:right w:val="nil"/>
            </w:tcBorders>
            <w:shd w:val="clear" w:color="000000" w:fill="FFFFFF"/>
            <w:noWrap/>
            <w:vAlign w:val="center"/>
            <w:hideMark/>
          </w:tcPr>
          <w:p w:rsidR="00800E30" w:rsidRPr="00800E30" w:rsidP="00800E30" w14:paraId="74AACDD3" w14:textId="77777777">
            <w:pPr>
              <w:widowControl/>
              <w:autoSpaceDE/>
              <w:autoSpaceDN/>
              <w:adjustRightInd/>
              <w:jc w:val="center"/>
              <w:rPr>
                <w:rFonts w:ascii="Times New Roman" w:hAnsi="Times New Roman"/>
                <w:color w:val="000000"/>
                <w:sz w:val="24"/>
              </w:rPr>
            </w:pPr>
            <w:r w:rsidRPr="00800E30">
              <w:rPr>
                <w:rFonts w:ascii="Times New Roman" w:hAnsi="Times New Roman"/>
                <w:color w:val="000000"/>
                <w:sz w:val="24"/>
              </w:rPr>
              <w:t>19,760</w:t>
            </w:r>
          </w:p>
        </w:tc>
        <w:tc>
          <w:tcPr>
            <w:tcW w:w="958" w:type="dxa"/>
            <w:tcBorders>
              <w:top w:val="nil"/>
              <w:left w:val="nil"/>
              <w:bottom w:val="nil"/>
              <w:right w:val="nil"/>
            </w:tcBorders>
            <w:shd w:val="clear" w:color="000000" w:fill="FFFFFF"/>
            <w:vAlign w:val="center"/>
            <w:hideMark/>
          </w:tcPr>
          <w:p w:rsidR="00800E30" w:rsidRPr="00800E30" w:rsidP="00800E30" w14:paraId="57A70FEA" w14:textId="77777777">
            <w:pPr>
              <w:widowControl/>
              <w:autoSpaceDE/>
              <w:autoSpaceDN/>
              <w:adjustRightInd/>
              <w:jc w:val="center"/>
              <w:rPr>
                <w:rFonts w:ascii="Times New Roman" w:hAnsi="Times New Roman"/>
                <w:color w:val="000000"/>
                <w:sz w:val="24"/>
              </w:rPr>
            </w:pPr>
            <w:r w:rsidRPr="00800E30">
              <w:rPr>
                <w:rFonts w:ascii="Times New Roman" w:hAnsi="Times New Roman"/>
                <w:color w:val="000000"/>
                <w:sz w:val="24"/>
              </w:rPr>
              <w:t>24,800</w:t>
            </w:r>
          </w:p>
        </w:tc>
        <w:tc>
          <w:tcPr>
            <w:tcW w:w="1175" w:type="dxa"/>
            <w:tcBorders>
              <w:top w:val="nil"/>
              <w:left w:val="nil"/>
              <w:bottom w:val="nil"/>
              <w:right w:val="double" w:sz="6" w:space="0" w:color="auto"/>
            </w:tcBorders>
            <w:shd w:val="clear" w:color="000000" w:fill="FFFFFF"/>
            <w:vAlign w:val="center"/>
            <w:hideMark/>
          </w:tcPr>
          <w:p w:rsidR="00800E30" w:rsidRPr="00800E30" w:rsidP="00800E30" w14:paraId="3F1A578E" w14:textId="77777777">
            <w:pPr>
              <w:widowControl/>
              <w:autoSpaceDE/>
              <w:autoSpaceDN/>
              <w:adjustRightInd/>
              <w:jc w:val="center"/>
              <w:rPr>
                <w:rFonts w:ascii="Times New Roman" w:hAnsi="Times New Roman"/>
                <w:color w:val="000000"/>
                <w:sz w:val="24"/>
              </w:rPr>
            </w:pPr>
            <w:r w:rsidRPr="00800E30">
              <w:rPr>
                <w:rFonts w:ascii="Times New Roman" w:hAnsi="Times New Roman"/>
                <w:color w:val="000000"/>
                <w:sz w:val="24"/>
              </w:rPr>
              <w:t>-5,040</w:t>
            </w:r>
          </w:p>
        </w:tc>
        <w:tc>
          <w:tcPr>
            <w:tcW w:w="36" w:type="dxa"/>
            <w:vAlign w:val="center"/>
            <w:hideMark/>
          </w:tcPr>
          <w:p w:rsidR="00800E30" w:rsidRPr="00800E30" w:rsidP="00800E30" w14:paraId="709DAA5D" w14:textId="77777777">
            <w:pPr>
              <w:widowControl/>
              <w:autoSpaceDE/>
              <w:autoSpaceDN/>
              <w:adjustRightInd/>
              <w:rPr>
                <w:rFonts w:ascii="Times New Roman" w:hAnsi="Times New Roman"/>
                <w:szCs w:val="20"/>
              </w:rPr>
            </w:pPr>
          </w:p>
        </w:tc>
      </w:tr>
      <w:tr w14:paraId="6338D02E" w14:textId="77777777" w:rsidTr="00800E30">
        <w:tblPrEx>
          <w:tblW w:w="8540" w:type="dxa"/>
          <w:tblInd w:w="131" w:type="dxa"/>
          <w:tblLook w:val="04A0"/>
        </w:tblPrEx>
        <w:trPr>
          <w:trHeight w:val="320"/>
        </w:trPr>
        <w:tc>
          <w:tcPr>
            <w:tcW w:w="1619" w:type="dxa"/>
            <w:tcBorders>
              <w:top w:val="nil"/>
              <w:left w:val="double" w:sz="6" w:space="0" w:color="auto"/>
              <w:bottom w:val="double" w:sz="6" w:space="0" w:color="auto"/>
              <w:right w:val="single" w:sz="4" w:space="0" w:color="auto"/>
            </w:tcBorders>
            <w:shd w:val="clear" w:color="000000" w:fill="FFFFFF"/>
            <w:vAlign w:val="center"/>
            <w:hideMark/>
          </w:tcPr>
          <w:p w:rsidR="00800E30" w:rsidRPr="00800E30" w:rsidP="00800E30" w14:paraId="1BD347E2" w14:textId="77777777">
            <w:pPr>
              <w:widowControl/>
              <w:autoSpaceDE/>
              <w:autoSpaceDN/>
              <w:adjustRightInd/>
              <w:rPr>
                <w:rFonts w:ascii="Times New Roman" w:hAnsi="Times New Roman"/>
                <w:color w:val="000000"/>
                <w:sz w:val="24"/>
              </w:rPr>
            </w:pPr>
            <w:r w:rsidRPr="00800E30">
              <w:rPr>
                <w:rFonts w:ascii="Times New Roman" w:hAnsi="Times New Roman"/>
                <w:color w:val="000000"/>
                <w:sz w:val="24"/>
              </w:rPr>
              <w:t>All sections</w:t>
            </w:r>
          </w:p>
        </w:tc>
        <w:tc>
          <w:tcPr>
            <w:tcW w:w="1710" w:type="dxa"/>
            <w:tcBorders>
              <w:top w:val="nil"/>
              <w:left w:val="nil"/>
              <w:bottom w:val="double" w:sz="6" w:space="0" w:color="auto"/>
              <w:right w:val="nil"/>
            </w:tcBorders>
            <w:shd w:val="clear" w:color="000000" w:fill="FFFFFF"/>
            <w:vAlign w:val="center"/>
            <w:hideMark/>
          </w:tcPr>
          <w:p w:rsidR="00800E30" w:rsidRPr="00800E30" w:rsidP="00800E30" w14:paraId="137970D0" w14:textId="77777777">
            <w:pPr>
              <w:widowControl/>
              <w:autoSpaceDE/>
              <w:autoSpaceDN/>
              <w:adjustRightInd/>
              <w:jc w:val="center"/>
              <w:rPr>
                <w:rFonts w:ascii="Times New Roman" w:hAnsi="Times New Roman"/>
                <w:color w:val="000000"/>
                <w:sz w:val="24"/>
              </w:rPr>
            </w:pPr>
            <w:r w:rsidRPr="00800E30">
              <w:rPr>
                <w:rFonts w:ascii="Times New Roman" w:hAnsi="Times New Roman"/>
                <w:color w:val="000000"/>
                <w:sz w:val="24"/>
              </w:rPr>
              <w:t>72,300</w:t>
            </w:r>
          </w:p>
        </w:tc>
        <w:tc>
          <w:tcPr>
            <w:tcW w:w="1489" w:type="dxa"/>
            <w:tcBorders>
              <w:top w:val="nil"/>
              <w:left w:val="nil"/>
              <w:bottom w:val="double" w:sz="6" w:space="0" w:color="auto"/>
              <w:right w:val="nil"/>
            </w:tcBorders>
            <w:shd w:val="clear" w:color="000000" w:fill="FFFFFF"/>
            <w:vAlign w:val="center"/>
            <w:hideMark/>
          </w:tcPr>
          <w:p w:rsidR="00800E30" w:rsidRPr="00800E30" w:rsidP="00800E30" w14:paraId="34E98885" w14:textId="77777777">
            <w:pPr>
              <w:widowControl/>
              <w:autoSpaceDE/>
              <w:autoSpaceDN/>
              <w:adjustRightInd/>
              <w:jc w:val="center"/>
              <w:rPr>
                <w:rFonts w:ascii="Times New Roman" w:hAnsi="Times New Roman"/>
                <w:color w:val="000000"/>
                <w:sz w:val="24"/>
              </w:rPr>
            </w:pPr>
            <w:r w:rsidRPr="00800E30">
              <w:rPr>
                <w:rFonts w:ascii="Times New Roman" w:hAnsi="Times New Roman"/>
                <w:color w:val="000000"/>
                <w:sz w:val="24"/>
              </w:rPr>
              <w:t>14,476</w:t>
            </w:r>
          </w:p>
        </w:tc>
        <w:tc>
          <w:tcPr>
            <w:tcW w:w="1553" w:type="dxa"/>
            <w:tcBorders>
              <w:top w:val="nil"/>
              <w:left w:val="nil"/>
              <w:bottom w:val="double" w:sz="6" w:space="0" w:color="auto"/>
              <w:right w:val="nil"/>
            </w:tcBorders>
            <w:shd w:val="clear" w:color="000000" w:fill="FFFFFF"/>
            <w:noWrap/>
            <w:vAlign w:val="center"/>
            <w:hideMark/>
          </w:tcPr>
          <w:p w:rsidR="00800E30" w:rsidRPr="00800E30" w:rsidP="00800E30" w14:paraId="7E272F8D" w14:textId="77777777">
            <w:pPr>
              <w:widowControl/>
              <w:autoSpaceDE/>
              <w:autoSpaceDN/>
              <w:adjustRightInd/>
              <w:jc w:val="center"/>
              <w:rPr>
                <w:rFonts w:ascii="Times New Roman" w:hAnsi="Times New Roman"/>
                <w:color w:val="000000"/>
                <w:sz w:val="24"/>
              </w:rPr>
            </w:pPr>
            <w:r w:rsidRPr="00800E30">
              <w:rPr>
                <w:rFonts w:ascii="Times New Roman" w:hAnsi="Times New Roman"/>
                <w:color w:val="000000"/>
                <w:sz w:val="24"/>
              </w:rPr>
              <w:t>86,776</w:t>
            </w:r>
          </w:p>
        </w:tc>
        <w:tc>
          <w:tcPr>
            <w:tcW w:w="958" w:type="dxa"/>
            <w:tcBorders>
              <w:top w:val="nil"/>
              <w:left w:val="nil"/>
              <w:bottom w:val="double" w:sz="6" w:space="0" w:color="auto"/>
              <w:right w:val="nil"/>
            </w:tcBorders>
            <w:shd w:val="clear" w:color="000000" w:fill="FFFFFF"/>
            <w:vAlign w:val="center"/>
            <w:hideMark/>
          </w:tcPr>
          <w:p w:rsidR="00800E30" w:rsidRPr="00800E30" w:rsidP="00800E30" w14:paraId="4058413D" w14:textId="77777777">
            <w:pPr>
              <w:widowControl/>
              <w:autoSpaceDE/>
              <w:autoSpaceDN/>
              <w:adjustRightInd/>
              <w:jc w:val="center"/>
              <w:rPr>
                <w:rFonts w:ascii="Times New Roman" w:hAnsi="Times New Roman"/>
                <w:color w:val="000000"/>
                <w:sz w:val="24"/>
              </w:rPr>
            </w:pPr>
            <w:r w:rsidRPr="00800E30">
              <w:rPr>
                <w:rFonts w:ascii="Times New Roman" w:hAnsi="Times New Roman"/>
                <w:color w:val="000000"/>
                <w:sz w:val="24"/>
              </w:rPr>
              <w:t>108,855</w:t>
            </w:r>
          </w:p>
        </w:tc>
        <w:tc>
          <w:tcPr>
            <w:tcW w:w="1175" w:type="dxa"/>
            <w:tcBorders>
              <w:top w:val="nil"/>
              <w:left w:val="nil"/>
              <w:bottom w:val="double" w:sz="6" w:space="0" w:color="auto"/>
              <w:right w:val="double" w:sz="6" w:space="0" w:color="auto"/>
            </w:tcBorders>
            <w:shd w:val="clear" w:color="000000" w:fill="FFFFFF"/>
            <w:vAlign w:val="center"/>
            <w:hideMark/>
          </w:tcPr>
          <w:p w:rsidR="00800E30" w:rsidRPr="00800E30" w:rsidP="00800E30" w14:paraId="14CB954F" w14:textId="77777777">
            <w:pPr>
              <w:widowControl/>
              <w:autoSpaceDE/>
              <w:autoSpaceDN/>
              <w:adjustRightInd/>
              <w:jc w:val="center"/>
              <w:rPr>
                <w:rFonts w:ascii="Times New Roman" w:hAnsi="Times New Roman"/>
                <w:color w:val="000000"/>
                <w:sz w:val="24"/>
              </w:rPr>
            </w:pPr>
            <w:r w:rsidRPr="00800E30">
              <w:rPr>
                <w:rFonts w:ascii="Times New Roman" w:hAnsi="Times New Roman"/>
                <w:color w:val="000000"/>
                <w:sz w:val="24"/>
              </w:rPr>
              <w:t>-22,079</w:t>
            </w:r>
          </w:p>
        </w:tc>
        <w:tc>
          <w:tcPr>
            <w:tcW w:w="36" w:type="dxa"/>
            <w:vAlign w:val="center"/>
            <w:hideMark/>
          </w:tcPr>
          <w:p w:rsidR="00800E30" w:rsidRPr="00800E30" w:rsidP="00800E30" w14:paraId="612BAA80" w14:textId="77777777">
            <w:pPr>
              <w:widowControl/>
              <w:autoSpaceDE/>
              <w:autoSpaceDN/>
              <w:adjustRightInd/>
              <w:rPr>
                <w:rFonts w:ascii="Times New Roman" w:hAnsi="Times New Roman"/>
                <w:szCs w:val="20"/>
              </w:rPr>
            </w:pPr>
          </w:p>
        </w:tc>
      </w:tr>
    </w:tbl>
    <w:p w:rsidR="007477C3" w:rsidP="00E53982" w14:paraId="2FB423FD" w14:textId="77777777">
      <w:pPr>
        <w:tabs>
          <w:tab w:val="left" w:pos="-1440"/>
        </w:tabs>
        <w:ind w:left="720" w:hanging="720"/>
        <w:rPr>
          <w:rFonts w:ascii="Times New Roman" w:hAnsi="Times New Roman"/>
          <w:sz w:val="24"/>
        </w:rPr>
      </w:pPr>
    </w:p>
    <w:p w:rsidR="007477C3" w:rsidP="00E53982" w14:paraId="3B564686" w14:textId="77777777">
      <w:pPr>
        <w:tabs>
          <w:tab w:val="left" w:pos="-1440"/>
        </w:tabs>
        <w:ind w:left="720" w:hanging="720"/>
        <w:rPr>
          <w:rFonts w:ascii="Times New Roman" w:hAnsi="Times New Roman"/>
          <w:sz w:val="24"/>
        </w:rPr>
      </w:pPr>
    </w:p>
    <w:p w:rsidR="007477C3" w:rsidP="00E53982" w14:paraId="34E8EB59" w14:textId="77777777">
      <w:pPr>
        <w:tabs>
          <w:tab w:val="left" w:pos="-1440"/>
        </w:tabs>
        <w:ind w:left="720" w:hanging="720"/>
        <w:rPr>
          <w:rFonts w:ascii="Times New Roman" w:hAnsi="Times New Roman"/>
          <w:sz w:val="24"/>
        </w:rPr>
      </w:pPr>
    </w:p>
    <w:p w:rsidR="007477C3" w:rsidP="00E53982" w14:paraId="21FD1E1C" w14:textId="77777777">
      <w:pPr>
        <w:tabs>
          <w:tab w:val="left" w:pos="-1440"/>
        </w:tabs>
        <w:ind w:left="720" w:hanging="720"/>
        <w:rPr>
          <w:rFonts w:ascii="Times New Roman" w:hAnsi="Times New Roman"/>
          <w:sz w:val="24"/>
        </w:rPr>
      </w:pPr>
    </w:p>
    <w:p w:rsidR="007477C3" w:rsidP="00E53982" w14:paraId="7E30311A" w14:textId="77777777">
      <w:pPr>
        <w:tabs>
          <w:tab w:val="left" w:pos="-1440"/>
        </w:tabs>
        <w:ind w:left="720" w:hanging="720"/>
        <w:rPr>
          <w:rFonts w:ascii="Times New Roman" w:hAnsi="Times New Roman"/>
          <w:sz w:val="24"/>
        </w:rPr>
      </w:pPr>
    </w:p>
    <w:p w:rsidR="007477C3" w:rsidP="00E53982" w14:paraId="75AB641B" w14:textId="77777777">
      <w:pPr>
        <w:tabs>
          <w:tab w:val="left" w:pos="-1440"/>
        </w:tabs>
        <w:ind w:left="720" w:hanging="720"/>
        <w:rPr>
          <w:rFonts w:ascii="Times New Roman" w:hAnsi="Times New Roman"/>
          <w:sz w:val="24"/>
        </w:rPr>
      </w:pPr>
    </w:p>
    <w:p w:rsidR="007477C3" w:rsidP="00E53982" w14:paraId="167F3BE8" w14:textId="77777777">
      <w:pPr>
        <w:tabs>
          <w:tab w:val="left" w:pos="-1440"/>
        </w:tabs>
        <w:ind w:left="720" w:hanging="720"/>
        <w:rPr>
          <w:rFonts w:ascii="Times New Roman" w:hAnsi="Times New Roman"/>
          <w:sz w:val="24"/>
        </w:rPr>
      </w:pPr>
    </w:p>
    <w:p w:rsidR="00600C03" w:rsidP="00E53982" w14:paraId="2E8B6618" w14:textId="77777777">
      <w:pPr>
        <w:tabs>
          <w:tab w:val="left" w:pos="-1440"/>
        </w:tabs>
        <w:ind w:left="720" w:hanging="720"/>
        <w:rPr>
          <w:rFonts w:ascii="Times New Roman" w:hAnsi="Times New Roman"/>
          <w:sz w:val="24"/>
        </w:rPr>
      </w:pPr>
    </w:p>
    <w:p w:rsidR="00DE4EF3" w:rsidRPr="00E53982" w:rsidP="00E53982" w14:paraId="3A8BF6FB" w14:textId="77777777">
      <w:pPr>
        <w:tabs>
          <w:tab w:val="left" w:pos="-1440"/>
        </w:tabs>
        <w:ind w:left="720" w:hanging="720"/>
        <w:rPr>
          <w:rFonts w:ascii="Times New Roman" w:hAnsi="Times New Roman"/>
          <w:sz w:val="24"/>
        </w:rPr>
      </w:pPr>
    </w:p>
    <w:p w:rsidR="00FB11D2" w:rsidP="00E9545D" w14:paraId="62DD0843" w14:textId="0AE70ED0">
      <w:pPr>
        <w:tabs>
          <w:tab w:val="left" w:pos="-1440"/>
        </w:tabs>
        <w:ind w:left="720" w:hanging="720"/>
        <w:rPr>
          <w:rFonts w:ascii="Times New Roman" w:hAnsi="Times New Roman"/>
          <w:sz w:val="24"/>
        </w:rPr>
      </w:pPr>
      <w:r>
        <w:rPr>
          <w:rFonts w:ascii="Times New Roman" w:hAnsi="Times New Roman"/>
          <w:sz w:val="24"/>
        </w:rPr>
        <w:br/>
      </w:r>
      <w:r>
        <w:rPr>
          <w:rFonts w:ascii="Times New Roman" w:hAnsi="Times New Roman"/>
          <w:sz w:val="24"/>
        </w:rPr>
        <w:br/>
      </w:r>
    </w:p>
    <w:p w:rsidR="00034ECA" w:rsidP="00E9545D" w14:paraId="0003B7A4" w14:textId="77777777">
      <w:pPr>
        <w:tabs>
          <w:tab w:val="left" w:pos="-1440"/>
        </w:tabs>
        <w:ind w:left="720" w:hanging="720"/>
        <w:rPr>
          <w:rFonts w:ascii="Times New Roman" w:hAnsi="Times New Roman"/>
          <w:sz w:val="24"/>
        </w:rPr>
      </w:pPr>
    </w:p>
    <w:p w:rsidR="00E53982" w:rsidP="00E9545D" w14:paraId="734108EB" w14:textId="77777777">
      <w:pPr>
        <w:tabs>
          <w:tab w:val="left" w:pos="-1440"/>
        </w:tabs>
        <w:ind w:left="720" w:hanging="720"/>
        <w:rPr>
          <w:rFonts w:ascii="Times New Roman" w:hAnsi="Times New Roman"/>
          <w:sz w:val="24"/>
        </w:rPr>
      </w:pPr>
    </w:p>
    <w:p w:rsidR="002B023A" w:rsidP="00843F71" w14:paraId="63E54FE3" w14:textId="1397BB01">
      <w:pPr>
        <w:pStyle w:val="BodyTextIndent"/>
        <w:ind w:hanging="720"/>
      </w:pPr>
      <w:r>
        <w:rPr>
          <w:b/>
          <w:i/>
        </w:rPr>
        <w:br/>
      </w:r>
      <w:r>
        <w:rPr>
          <w:b/>
          <w:i/>
        </w:rPr>
        <w:br/>
      </w:r>
      <w:r w:rsidRPr="00491911" w:rsidR="00491911">
        <w:t xml:space="preserve">b.  </w:t>
      </w:r>
      <w:r w:rsidRPr="00491911" w:rsidR="00491911">
        <w:rPr>
          <w:u w:val="single"/>
        </w:rPr>
        <w:t>Estimated Annual Wage Cost to Respondents</w:t>
      </w:r>
      <w:r w:rsidRPr="00491911" w:rsidR="00491911">
        <w:rPr>
          <w:i/>
        </w:rPr>
        <w:br/>
      </w:r>
      <w:r w:rsidRPr="00491911" w:rsidR="00491911">
        <w:t xml:space="preserve">OSMRE uses the U.S. Department of Labor’s Bureau of Labor Statistics (BLS) figures for calculating cost burden placed on respondents.  For industry occupation </w:t>
      </w:r>
      <w:r w:rsidR="002B65DA">
        <w:t xml:space="preserve">cost </w:t>
      </w:r>
      <w:r w:rsidRPr="00491911" w:rsidR="00491911">
        <w:t xml:space="preserve">are derived from  </w:t>
      </w:r>
      <w:hyperlink r:id="rId5" w:history="1">
        <w:r w:rsidRPr="00491911" w:rsidR="00491911">
          <w:rPr>
            <w:rStyle w:val="Hyperlink"/>
          </w:rPr>
          <w:t>http://www.bls.gov/oes/current/naics4_212100.htm</w:t>
        </w:r>
      </w:hyperlink>
      <w:r w:rsidRPr="00491911" w:rsidR="00491911">
        <w:rPr>
          <w:u w:val="single"/>
        </w:rPr>
        <w:t>.</w:t>
      </w:r>
      <w:r w:rsidRPr="00491911" w:rsidR="00491911">
        <w:t xml:space="preserve"> </w:t>
      </w:r>
      <w:r w:rsidR="00657E02">
        <w:t xml:space="preserve"> </w:t>
      </w:r>
      <w:r w:rsidR="00FB11D2">
        <w:t>S</w:t>
      </w:r>
      <w:r w:rsidRPr="00491911" w:rsidR="00491911">
        <w:t xml:space="preserve">tate government </w:t>
      </w:r>
      <w:r w:rsidR="002B65DA">
        <w:t xml:space="preserve">occupation </w:t>
      </w:r>
      <w:r w:rsidRPr="00491911" w:rsidR="00491911">
        <w:t xml:space="preserve">wages are found at </w:t>
      </w:r>
      <w:hyperlink r:id="rId6" w:history="1">
        <w:r w:rsidRPr="00491911" w:rsidR="00491911">
          <w:rPr>
            <w:rStyle w:val="Hyperlink"/>
          </w:rPr>
          <w:t>http://www.bls.gov/oes/current/naics4_999200.htm</w:t>
        </w:r>
      </w:hyperlink>
      <w:r w:rsidRPr="00491911" w:rsidR="00491911">
        <w:t xml:space="preserve">.  </w:t>
      </w:r>
      <w:r w:rsidR="002B65DA">
        <w:br/>
      </w:r>
      <w:r w:rsidR="002B65DA">
        <w:br/>
      </w:r>
      <w:r w:rsidRPr="00491911" w:rsidR="00491911">
        <w:t xml:space="preserve">We have also included a benefits factor at a rate of 1.4 of salaries for the </w:t>
      </w:r>
      <w:r w:rsidR="002B65DA">
        <w:t>industry</w:t>
      </w:r>
      <w:r w:rsidRPr="00491911" w:rsidR="00491911">
        <w:t xml:space="preserve"> and a benefits factor of 1.6 for state government employees</w:t>
      </w:r>
      <w:r w:rsidR="002B65DA">
        <w:t xml:space="preserve"> </w:t>
      </w:r>
      <w:r w:rsidR="00FB11D2">
        <w:t xml:space="preserve">based on </w:t>
      </w:r>
      <w:r w:rsidRPr="00FB11D2" w:rsidR="00FB11D2">
        <w:t xml:space="preserve">BLS news release </w:t>
      </w:r>
      <w:bookmarkStart w:id="1" w:name="_Hlk78549508"/>
      <w:r w:rsidRPr="008E04C1" w:rsidR="008E04C1">
        <w:t xml:space="preserve"> USDL-24-2561, dated December 17, 2024, Employer Costs for Employee Compensation – September 2024 </w:t>
      </w:r>
      <w:bookmarkEnd w:id="1"/>
      <w:r w:rsidRPr="00FB11D2" w:rsidR="00FB11D2">
        <w:t xml:space="preserve"> (</w:t>
      </w:r>
      <w:hyperlink r:id="rId7" w:history="1">
        <w:r w:rsidRPr="00FB11D2" w:rsidR="00FB11D2">
          <w:rPr>
            <w:rStyle w:val="Hyperlink"/>
          </w:rPr>
          <w:t>http://www.bls.gov/news.release/pdf/ecec.pdf</w:t>
        </w:r>
      </w:hyperlink>
      <w:r w:rsidRPr="00FB11D2" w:rsidR="00FB11D2">
        <w:t xml:space="preserve">). </w:t>
      </w:r>
      <w:r w:rsidR="00FB11D2">
        <w:br/>
      </w:r>
      <w:r w:rsidR="00FB11D2">
        <w:br/>
      </w:r>
      <w:r>
        <w:t xml:space="preserve">OSMRE has determined the majority of hours </w:t>
      </w:r>
      <w:r w:rsidR="00A7716B">
        <w:t>spend for the preparation of permit applications are provided by mining and geological engineer</w:t>
      </w:r>
      <w:r w:rsidR="00B1472D">
        <w:t>s</w:t>
      </w:r>
      <w:r w:rsidR="00A7716B">
        <w:t xml:space="preserve">. </w:t>
      </w:r>
      <w:r>
        <w:t xml:space="preserve">For simplicity, we have </w:t>
      </w:r>
      <w:r w:rsidR="0092378A">
        <w:t xml:space="preserve">used </w:t>
      </w:r>
      <w:bookmarkStart w:id="2" w:name="_Hlk78548703"/>
      <w:r w:rsidR="00A7716B">
        <w:t xml:space="preserve">single </w:t>
      </w:r>
      <w:r w:rsidR="00373CF7">
        <w:t xml:space="preserve">base rate  </w:t>
      </w:r>
      <w:bookmarkEnd w:id="2"/>
      <w:r w:rsidR="00A7716B">
        <w:t xml:space="preserve">for this occupational class as a proxy of </w:t>
      </w:r>
      <w:r w:rsidR="00373CF7">
        <w:t>$4</w:t>
      </w:r>
      <w:r w:rsidR="00A7716B">
        <w:t>9</w:t>
      </w:r>
      <w:r w:rsidR="00373CF7">
        <w:t>.</w:t>
      </w:r>
      <w:r w:rsidR="00A7716B">
        <w:t>16</w:t>
      </w:r>
      <w:r w:rsidR="00373CF7">
        <w:t xml:space="preserve"> per hour.  This rate represents the applicants wage from the </w:t>
      </w:r>
      <w:r>
        <w:t xml:space="preserve">combination of staff  submitting the industry application.  </w:t>
      </w:r>
      <w:bookmarkStart w:id="3" w:name="_Hlk78548809"/>
      <w:r>
        <w:t>Th</w:t>
      </w:r>
      <w:r w:rsidR="00A018A7">
        <w:t>e</w:t>
      </w:r>
      <w:r>
        <w:t xml:space="preserve"> </w:t>
      </w:r>
      <w:r w:rsidR="00655991">
        <w:t xml:space="preserve">industry </w:t>
      </w:r>
      <w:r>
        <w:t xml:space="preserve">hourly rate </w:t>
      </w:r>
      <w:r w:rsidR="00373CF7">
        <w:t xml:space="preserve">with </w:t>
      </w:r>
      <w:r w:rsidRPr="008A4E0D">
        <w:t xml:space="preserve">benefits </w:t>
      </w:r>
      <w:r w:rsidR="00373CF7">
        <w:t>is $6</w:t>
      </w:r>
      <w:r w:rsidR="00A7716B">
        <w:t>8</w:t>
      </w:r>
      <w:r w:rsidR="00373CF7">
        <w:t>.</w:t>
      </w:r>
      <w:r w:rsidR="00A7716B">
        <w:t>82</w:t>
      </w:r>
      <w:r w:rsidR="00800E30">
        <w:t xml:space="preserve"> </w:t>
      </w:r>
      <w:r w:rsidR="00655991">
        <w:t xml:space="preserve">per hour </w:t>
      </w:r>
      <w:r w:rsidR="00373CF7">
        <w:t>(</w:t>
      </w:r>
      <w:r w:rsidRPr="008A4E0D">
        <w:t>based on a multiplier of 1.4</w:t>
      </w:r>
      <w:r w:rsidR="00373CF7">
        <w:t>)</w:t>
      </w:r>
      <w:r>
        <w:t xml:space="preserve">.  </w:t>
      </w:r>
      <w:r w:rsidR="00657E02">
        <w:t>Total w</w:t>
      </w:r>
      <w:r w:rsidR="00655991">
        <w:t>age cost for the industry is</w:t>
      </w:r>
      <w:r w:rsidR="00657E02">
        <w:t xml:space="preserve"> $</w:t>
      </w:r>
      <w:r w:rsidR="00B1472D">
        <w:t>4,975,686</w:t>
      </w:r>
      <w:r w:rsidR="00657E02">
        <w:t xml:space="preserve"> (</w:t>
      </w:r>
      <w:r w:rsidR="00A7716B">
        <w:t>72,300</w:t>
      </w:r>
      <w:r w:rsidR="00657E02">
        <w:t xml:space="preserve"> hours x $6</w:t>
      </w:r>
      <w:r w:rsidR="00B1472D">
        <w:t>8</w:t>
      </w:r>
      <w:r w:rsidR="00657E02">
        <w:t>.</w:t>
      </w:r>
      <w:r w:rsidR="00B1472D">
        <w:t>82</w:t>
      </w:r>
      <w:r w:rsidR="00657E02">
        <w:t xml:space="preserve"> per hour).</w:t>
      </w:r>
      <w:r w:rsidR="00655991">
        <w:t xml:space="preserve"> </w:t>
      </w:r>
      <w:bookmarkEnd w:id="3"/>
    </w:p>
    <w:p w:rsidR="00843F71" w:rsidP="00843F71" w14:paraId="0D159C0C" w14:textId="383D1BAA">
      <w:pPr>
        <w:pStyle w:val="BodyTextIndent"/>
        <w:ind w:hanging="720"/>
      </w:pPr>
      <w:r>
        <w:br/>
      </w:r>
      <w:r w:rsidR="00657E02">
        <w:t xml:space="preserve">Similarly, </w:t>
      </w:r>
      <w:r>
        <w:t xml:space="preserve">for the State’s wage cost </w:t>
      </w:r>
      <w:r w:rsidR="00F70F65">
        <w:t xml:space="preserve">we </w:t>
      </w:r>
      <w:r w:rsidR="00657E02">
        <w:t xml:space="preserve">use a </w:t>
      </w:r>
      <w:r w:rsidR="00831D63">
        <w:t xml:space="preserve">single </w:t>
      </w:r>
      <w:r w:rsidR="00657E02">
        <w:t xml:space="preserve">representative wage rate </w:t>
      </w:r>
      <w:r w:rsidRPr="00657E02" w:rsidR="00657E02">
        <w:t xml:space="preserve">for a mining and geological engineer at a base rate </w:t>
      </w:r>
      <w:r w:rsidR="00F70F65">
        <w:t>$6</w:t>
      </w:r>
      <w:r w:rsidR="00F967D7">
        <w:t>4</w:t>
      </w:r>
      <w:r w:rsidR="00F70F65">
        <w:t>.</w:t>
      </w:r>
      <w:r w:rsidR="00F967D7">
        <w:t>48</w:t>
      </w:r>
      <w:r>
        <w:t>.  Th</w:t>
      </w:r>
      <w:r w:rsidR="00F967D7">
        <w:t>e</w:t>
      </w:r>
      <w:r>
        <w:t xml:space="preserve"> </w:t>
      </w:r>
      <w:r w:rsidR="00A018A7">
        <w:t xml:space="preserve">State </w:t>
      </w:r>
      <w:r>
        <w:t xml:space="preserve">hourly rate with </w:t>
      </w:r>
      <w:r w:rsidRPr="008A4E0D">
        <w:t xml:space="preserve">benefits </w:t>
      </w:r>
      <w:r>
        <w:t>is $</w:t>
      </w:r>
      <w:r w:rsidR="00F967D7">
        <w:t>103.17</w:t>
      </w:r>
      <w:r>
        <w:t xml:space="preserve"> per hour (</w:t>
      </w:r>
      <w:r w:rsidRPr="008A4E0D">
        <w:t>based on a multiplier of 1.</w:t>
      </w:r>
      <w:r w:rsidR="00A018A7">
        <w:t>6</w:t>
      </w:r>
      <w:r>
        <w:t>)</w:t>
      </w:r>
      <w:r w:rsidR="00A018A7">
        <w:t>.</w:t>
      </w:r>
      <w:r>
        <w:t xml:space="preserve"> Total wage cost for the </w:t>
      </w:r>
      <w:r w:rsidR="00A018A7">
        <w:t xml:space="preserve">state </w:t>
      </w:r>
      <w:r>
        <w:t>is $</w:t>
      </w:r>
      <w:r w:rsidR="00E732DC">
        <w:t>1</w:t>
      </w:r>
      <w:r>
        <w:t>,</w:t>
      </w:r>
      <w:r w:rsidR="00F967D7">
        <w:t>493,489</w:t>
      </w:r>
      <w:r>
        <w:t xml:space="preserve"> (</w:t>
      </w:r>
      <w:r w:rsidR="00E732DC">
        <w:t>1</w:t>
      </w:r>
      <w:r w:rsidR="00F967D7">
        <w:t>4,476</w:t>
      </w:r>
      <w:r>
        <w:t xml:space="preserve"> hours x $</w:t>
      </w:r>
      <w:r w:rsidR="00F967D7">
        <w:t>103.17</w:t>
      </w:r>
      <w:r>
        <w:t xml:space="preserve"> per hour). </w:t>
      </w:r>
    </w:p>
    <w:p w:rsidR="00A57FED" w:rsidRPr="004C02E6" w:rsidP="00034ECA" w14:paraId="191DCB48" w14:textId="31DACBEF">
      <w:pPr>
        <w:ind w:left="720"/>
        <w:rPr>
          <w:rFonts w:ascii="Times New Roman" w:hAnsi="Times New Roman"/>
          <w:b/>
          <w:i/>
          <w:sz w:val="24"/>
        </w:rPr>
      </w:pPr>
      <w:r>
        <w:rPr>
          <w:rFonts w:ascii="Times New Roman" w:hAnsi="Times New Roman"/>
          <w:sz w:val="24"/>
        </w:rPr>
        <w:br/>
      </w:r>
      <w:r w:rsidR="00E732DC">
        <w:rPr>
          <w:rFonts w:ascii="Times New Roman" w:hAnsi="Times New Roman"/>
          <w:sz w:val="24"/>
        </w:rPr>
        <w:t xml:space="preserve">Total annual wage cost to </w:t>
      </w:r>
      <w:r w:rsidR="005B6BAB">
        <w:rPr>
          <w:rFonts w:ascii="Times New Roman" w:hAnsi="Times New Roman"/>
          <w:sz w:val="24"/>
        </w:rPr>
        <w:t xml:space="preserve">all </w:t>
      </w:r>
      <w:r w:rsidR="00E732DC">
        <w:rPr>
          <w:rFonts w:ascii="Times New Roman" w:hAnsi="Times New Roman"/>
          <w:sz w:val="24"/>
        </w:rPr>
        <w:t xml:space="preserve">respondents is </w:t>
      </w:r>
      <w:r w:rsidRPr="00664385" w:rsidR="00E732DC">
        <w:rPr>
          <w:rFonts w:ascii="Times New Roman" w:hAnsi="Times New Roman"/>
          <w:sz w:val="24"/>
        </w:rPr>
        <w:t>$</w:t>
      </w:r>
      <w:r w:rsidRPr="00664385" w:rsidR="00F967D7">
        <w:rPr>
          <w:rFonts w:ascii="Times New Roman" w:hAnsi="Times New Roman"/>
          <w:sz w:val="24"/>
        </w:rPr>
        <w:t>6,469,175</w:t>
      </w:r>
      <w:r w:rsidR="00E732DC">
        <w:rPr>
          <w:rFonts w:ascii="Times New Roman" w:hAnsi="Times New Roman"/>
          <w:sz w:val="24"/>
        </w:rPr>
        <w:t xml:space="preserve"> ($</w:t>
      </w:r>
      <w:r w:rsidR="00F967D7">
        <w:rPr>
          <w:rFonts w:ascii="Times New Roman" w:hAnsi="Times New Roman"/>
          <w:sz w:val="24"/>
        </w:rPr>
        <w:t>4,975,686</w:t>
      </w:r>
      <w:r w:rsidR="00E732DC">
        <w:rPr>
          <w:rFonts w:ascii="Times New Roman" w:hAnsi="Times New Roman"/>
          <w:sz w:val="24"/>
        </w:rPr>
        <w:t xml:space="preserve"> + $</w:t>
      </w:r>
      <w:r w:rsidR="00F967D7">
        <w:rPr>
          <w:rFonts w:ascii="Times New Roman" w:hAnsi="Times New Roman"/>
          <w:sz w:val="24"/>
        </w:rPr>
        <w:t>1,493,489</w:t>
      </w:r>
      <w:r w:rsidR="00E732DC">
        <w:rPr>
          <w:rFonts w:ascii="Times New Roman" w:hAnsi="Times New Roman"/>
          <w:sz w:val="24"/>
        </w:rPr>
        <w:t>)</w:t>
      </w:r>
      <w:r w:rsidR="002B65DA">
        <w:rPr>
          <w:rFonts w:ascii="Times New Roman" w:hAnsi="Times New Roman"/>
          <w:sz w:val="24"/>
        </w:rPr>
        <w:t xml:space="preserve">. </w:t>
      </w:r>
      <w:r>
        <w:rPr>
          <w:rFonts w:ascii="Times New Roman" w:hAnsi="Times New Roman"/>
          <w:sz w:val="24"/>
        </w:rPr>
        <w:br/>
      </w:r>
    </w:p>
    <w:p w:rsidR="00A57FED" w:rsidRPr="004C02E6" w:rsidP="00A57FED" w14:paraId="270C51C3"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p>
    <w:p w:rsidR="00A57FED" w:rsidRPr="004C02E6" w:rsidP="00A57FED" w14:paraId="1EA9800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4C02E6">
        <w:rPr>
          <w:rFonts w:ascii="Times New Roman" w:hAnsi="Times New Roman"/>
          <w:b/>
          <w:i/>
          <w:sz w:val="24"/>
        </w:rPr>
        <w:t>13.</w:t>
      </w:r>
      <w:r w:rsidRPr="004C02E6">
        <w:rPr>
          <w:rFonts w:ascii="Times New Roman" w:hAnsi="Times New Roman"/>
          <w:b/>
          <w:i/>
          <w:sz w:val="24"/>
        </w:rPr>
        <w:tab/>
        <w:t>Provide an estimate of the total annual non-hour cost burden to respondents or recordkeepers resulting from the collection of information.  (Do not include the cost of any hour burden already reflected in item 12.)</w:t>
      </w:r>
    </w:p>
    <w:p w:rsidR="00A57FED" w:rsidRPr="004C02E6" w:rsidP="00A57FED" w14:paraId="67A2673C"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4C02E6">
        <w:rPr>
          <w:rFonts w:ascii="Times New Roman" w:hAnsi="Times New Roman"/>
          <w:b/>
          <w:i/>
          <w:sz w:val="24"/>
        </w:rPr>
        <w:tab/>
        <w:t>*</w:t>
      </w:r>
      <w:r w:rsidRPr="004C02E6">
        <w:rPr>
          <w:rFonts w:ascii="Times New Roman" w:hAnsi="Times New Roman"/>
          <w:b/>
          <w:i/>
          <w:sz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A57FED" w:rsidRPr="004C02E6" w:rsidP="00A57FED" w14:paraId="5C5F53F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4C02E6">
        <w:rPr>
          <w:rFonts w:ascii="Times New Roman" w:hAnsi="Times New Roman"/>
          <w:b/>
          <w:i/>
          <w:sz w:val="24"/>
        </w:rPr>
        <w:tab/>
        <w:t>*</w:t>
      </w:r>
      <w:r w:rsidRPr="004C02E6">
        <w:rPr>
          <w:rFonts w:ascii="Times New Roman" w:hAnsi="Times New Roman"/>
          <w:b/>
          <w:i/>
          <w:sz w:val="24"/>
        </w:rPr>
        <w:tab/>
        <w:t xml:space="preserve">If cost estimates are expected to vary widely, agencies should present ranges of cost </w:t>
      </w:r>
      <w:r w:rsidRPr="004C02E6">
        <w:rPr>
          <w:rFonts w:ascii="Times New Roman" w:hAnsi="Times New Roman"/>
          <w:b/>
          <w:i/>
          <w:sz w:val="24"/>
        </w:rPr>
        <w:t>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F327DA" w:rsidRPr="004C02E6" w:rsidP="00034ECA" w14:paraId="5DC7416E" w14:textId="124602A3">
      <w:pPr>
        <w:tabs>
          <w:tab w:val="left" w:pos="-1440"/>
        </w:tabs>
        <w:ind w:left="720" w:hanging="720"/>
        <w:rPr>
          <w:rFonts w:ascii="Times New Roman" w:hAnsi="Times New Roman"/>
          <w:sz w:val="24"/>
        </w:rPr>
      </w:pPr>
      <w:r w:rsidRPr="004C02E6">
        <w:rPr>
          <w:rFonts w:ascii="Times New Roman" w:hAnsi="Times New Roman"/>
          <w:b/>
          <w:i/>
          <w:sz w:val="24"/>
        </w:rPr>
        <w:tab/>
        <w:t>*</w:t>
      </w:r>
      <w:r w:rsidRPr="004C02E6">
        <w:rPr>
          <w:rFonts w:ascii="Times New Roman" w:hAnsi="Times New Roman"/>
          <w:b/>
          <w:i/>
          <w:sz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Pr>
          <w:rFonts w:ascii="Times New Roman" w:hAnsi="Times New Roman"/>
          <w:b/>
          <w:i/>
          <w:sz w:val="24"/>
        </w:rPr>
        <w:br/>
      </w:r>
      <w:r>
        <w:rPr>
          <w:rFonts w:ascii="Times New Roman" w:hAnsi="Times New Roman"/>
          <w:b/>
          <w:i/>
          <w:sz w:val="24"/>
        </w:rPr>
        <w:br/>
      </w:r>
      <w:r>
        <w:rPr>
          <w:rFonts w:ascii="Times New Roman" w:hAnsi="Times New Roman"/>
          <w:b/>
          <w:i/>
          <w:sz w:val="24"/>
        </w:rPr>
        <w:br/>
      </w:r>
      <w:r w:rsidRPr="004C02E6">
        <w:rPr>
          <w:rFonts w:ascii="Times New Roman" w:hAnsi="Times New Roman"/>
          <w:sz w:val="24"/>
          <w:u w:val="single"/>
        </w:rPr>
        <w:t>Total Annual Non-Wage Cost Burden to Respondents</w:t>
      </w:r>
      <w:r>
        <w:rPr>
          <w:rFonts w:ascii="Times New Roman" w:hAnsi="Times New Roman"/>
          <w:b/>
          <w:i/>
          <w:sz w:val="24"/>
        </w:rPr>
        <w:br/>
      </w:r>
      <w:r>
        <w:rPr>
          <w:rFonts w:ascii="Times New Roman" w:hAnsi="Times New Roman"/>
          <w:b/>
          <w:i/>
          <w:sz w:val="24"/>
        </w:rPr>
        <w:br/>
      </w:r>
      <w:r w:rsidRPr="004C02E6">
        <w:rPr>
          <w:rFonts w:ascii="Times New Roman" w:hAnsi="Times New Roman"/>
          <w:sz w:val="24"/>
        </w:rPr>
        <w:t>a.</w:t>
      </w:r>
      <w:r w:rsidRPr="004C02E6">
        <w:rPr>
          <w:rFonts w:ascii="Times New Roman" w:hAnsi="Times New Roman"/>
          <w:sz w:val="24"/>
        </w:rPr>
        <w:tab/>
      </w:r>
      <w:r w:rsidRPr="004C02E6">
        <w:rPr>
          <w:rFonts w:ascii="Times New Roman" w:hAnsi="Times New Roman"/>
          <w:sz w:val="24"/>
          <w:u w:val="single"/>
        </w:rPr>
        <w:t>Annualized Capital and Start-Up Costs</w:t>
      </w:r>
      <w:r w:rsidRPr="004C02E6">
        <w:rPr>
          <w:rFonts w:ascii="Times New Roman" w:hAnsi="Times New Roman"/>
          <w:sz w:val="24"/>
        </w:rPr>
        <w:t>:</w:t>
      </w:r>
    </w:p>
    <w:p w:rsidR="00F327DA" w:rsidRPr="004C02E6" w:rsidP="00F327DA" w14:paraId="0B78CD4B" w14:textId="77777777">
      <w:pPr>
        <w:pStyle w:val="BodyTextIndent3"/>
        <w:ind w:firstLine="0"/>
      </w:pPr>
      <w:r w:rsidRPr="004C02E6">
        <w:t xml:space="preserve">The information collection requirements </w:t>
      </w:r>
      <w:r>
        <w:t xml:space="preserve">for each section of </w:t>
      </w:r>
      <w:r w:rsidRPr="004C02E6">
        <w:t xml:space="preserve">30 CFR </w:t>
      </w:r>
      <w:r>
        <w:t xml:space="preserve">Parts </w:t>
      </w:r>
      <w:r w:rsidRPr="004C02E6">
        <w:t>779</w:t>
      </w:r>
      <w:r>
        <w:t xml:space="preserve"> and </w:t>
      </w:r>
      <w:r w:rsidRPr="004C02E6">
        <w:t>783</w:t>
      </w:r>
      <w:r>
        <w:t xml:space="preserve"> </w:t>
      </w:r>
      <w:r w:rsidRPr="004C02E6">
        <w:t>do not involve any capital or start-up costs apart from expenditures associated with:  (1) customary business practices concerning establishment and operation of a mining entity, or (2) general administration of a regulatory agency.</w:t>
      </w:r>
    </w:p>
    <w:p w:rsidR="00F327DA" w:rsidRPr="004C02E6" w:rsidP="00F327DA" w14:paraId="34687509" w14:textId="77777777">
      <w:pPr>
        <w:rPr>
          <w:rFonts w:ascii="Times New Roman" w:hAnsi="Times New Roman"/>
          <w:sz w:val="24"/>
        </w:rPr>
      </w:pPr>
    </w:p>
    <w:p w:rsidR="00F327DA" w:rsidRPr="004C02E6" w:rsidP="00F327DA" w14:paraId="265EBC5A" w14:textId="77777777">
      <w:pPr>
        <w:ind w:firstLine="720"/>
        <w:rPr>
          <w:rFonts w:ascii="Times New Roman" w:hAnsi="Times New Roman"/>
          <w:sz w:val="24"/>
        </w:rPr>
      </w:pPr>
      <w:r w:rsidRPr="004C02E6">
        <w:rPr>
          <w:rFonts w:ascii="Times New Roman" w:hAnsi="Times New Roman"/>
          <w:sz w:val="24"/>
        </w:rPr>
        <w:t>b.</w:t>
      </w:r>
      <w:r w:rsidRPr="004C02E6">
        <w:rPr>
          <w:rFonts w:ascii="Times New Roman" w:hAnsi="Times New Roman"/>
          <w:sz w:val="24"/>
        </w:rPr>
        <w:tab/>
      </w:r>
      <w:r w:rsidRPr="004C02E6">
        <w:rPr>
          <w:rFonts w:ascii="Times New Roman" w:hAnsi="Times New Roman"/>
          <w:sz w:val="24"/>
          <w:u w:val="single"/>
        </w:rPr>
        <w:t>Operation and Maintenance Costs</w:t>
      </w:r>
      <w:r w:rsidRPr="004C02E6">
        <w:rPr>
          <w:rFonts w:ascii="Times New Roman" w:hAnsi="Times New Roman"/>
          <w:sz w:val="24"/>
        </w:rPr>
        <w:t>:</w:t>
      </w:r>
    </w:p>
    <w:p w:rsidR="00F327DA" w:rsidRPr="004C02E6" w:rsidP="00F327DA" w14:paraId="1B6C999F" w14:textId="77777777">
      <w:pPr>
        <w:rPr>
          <w:rFonts w:ascii="Times New Roman" w:hAnsi="Times New Roman"/>
          <w:sz w:val="24"/>
        </w:rPr>
      </w:pPr>
    </w:p>
    <w:p w:rsidR="005E5E40" w:rsidP="00F327DA" w14:paraId="5CB0C036" w14:textId="77777777">
      <w:pPr>
        <w:ind w:left="720"/>
        <w:rPr>
          <w:rFonts w:ascii="Times New Roman" w:hAnsi="Times New Roman"/>
          <w:sz w:val="24"/>
        </w:rPr>
      </w:pPr>
      <w:r w:rsidRPr="004C02E6">
        <w:rPr>
          <w:rFonts w:ascii="Times New Roman" w:hAnsi="Times New Roman"/>
          <w:sz w:val="24"/>
        </w:rPr>
        <w:t xml:space="preserve">There are no distinct operation </w:t>
      </w:r>
      <w:r>
        <w:rPr>
          <w:rFonts w:ascii="Times New Roman" w:hAnsi="Times New Roman"/>
          <w:sz w:val="24"/>
        </w:rPr>
        <w:t xml:space="preserve">costs </w:t>
      </w:r>
      <w:r w:rsidRPr="004C02E6">
        <w:rPr>
          <w:rFonts w:ascii="Times New Roman" w:hAnsi="Times New Roman"/>
          <w:sz w:val="24"/>
        </w:rPr>
        <w:t xml:space="preserve">or maintenance costs associated with the information collection requirements for </w:t>
      </w:r>
      <w:r>
        <w:rPr>
          <w:rFonts w:ascii="Times New Roman" w:hAnsi="Times New Roman"/>
          <w:sz w:val="24"/>
        </w:rPr>
        <w:t>these sections</w:t>
      </w:r>
      <w:r w:rsidRPr="004C02E6">
        <w:rPr>
          <w:rFonts w:ascii="Times New Roman" w:hAnsi="Times New Roman"/>
          <w:sz w:val="24"/>
        </w:rPr>
        <w:t>.</w:t>
      </w:r>
      <w:r w:rsidR="009E0FE9">
        <w:rPr>
          <w:rFonts w:ascii="Times New Roman" w:hAnsi="Times New Roman"/>
          <w:sz w:val="24"/>
        </w:rPr>
        <w:br/>
      </w:r>
      <w:r w:rsidR="009E0FE9">
        <w:rPr>
          <w:rFonts w:ascii="Times New Roman" w:hAnsi="Times New Roman"/>
          <w:sz w:val="24"/>
        </w:rPr>
        <w:br/>
      </w:r>
    </w:p>
    <w:p w:rsidR="00A57FED" w:rsidRPr="004C02E6" w:rsidP="00831D63" w14:paraId="50243B03" w14:textId="0669BE50">
      <w:pPr>
        <w:ind w:left="720"/>
        <w:rPr>
          <w:rFonts w:ascii="Times New Roman" w:hAnsi="Times New Roman"/>
          <w:b/>
          <w:i/>
          <w:sz w:val="24"/>
        </w:rPr>
      </w:pPr>
    </w:p>
    <w:p w:rsidR="00A57FED" w:rsidRPr="004C02E6" w:rsidP="00A57FED" w14:paraId="18F8C29A"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p>
    <w:p w:rsidR="00831D63" w:rsidP="00AE19FD" w14:paraId="295ABBAB"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rPr>
      </w:pPr>
      <w:r w:rsidRPr="004C02E6">
        <w:rPr>
          <w:rFonts w:ascii="Times New Roman" w:hAnsi="Times New Roman"/>
          <w:b/>
          <w:i/>
          <w:sz w:val="24"/>
        </w:rPr>
        <w:t>14.</w:t>
      </w:r>
      <w:r w:rsidRPr="004C02E6">
        <w:rPr>
          <w:rFonts w:ascii="Times New Roman" w:hAnsi="Times New Roman"/>
          <w:b/>
          <w:i/>
          <w:sz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r w:rsidR="005C76CF">
        <w:rPr>
          <w:rFonts w:ascii="Times New Roman" w:hAnsi="Times New Roman"/>
          <w:b/>
          <w:i/>
          <w:sz w:val="24"/>
        </w:rPr>
        <w:br/>
      </w:r>
      <w:r w:rsidR="005C76CF">
        <w:rPr>
          <w:rFonts w:ascii="Times New Roman" w:hAnsi="Times New Roman"/>
          <w:b/>
          <w:i/>
          <w:sz w:val="24"/>
        </w:rPr>
        <w:br/>
      </w:r>
      <w:r w:rsidRPr="00034ECA" w:rsidR="00AE19FD">
        <w:rPr>
          <w:rFonts w:ascii="Times New Roman" w:hAnsi="Times New Roman"/>
          <w:sz w:val="24"/>
        </w:rPr>
        <w:t>OSMRE has calculated employee costs using Federal employee pay tables from the Office of Personnel Management’s</w:t>
      </w:r>
      <w:r w:rsidRPr="00034ECA" w:rsidR="00AE19FD">
        <w:rPr>
          <w:rFonts w:ascii="Times New Roman" w:hAnsi="Times New Roman"/>
          <w:sz w:val="24"/>
          <w:u w:val="single"/>
        </w:rPr>
        <w:t xml:space="preserve"> website at </w:t>
      </w:r>
      <w:hyperlink r:id="rId8" w:history="1">
        <w:r w:rsidRPr="00F967D7" w:rsidR="00F967D7">
          <w:rPr>
            <w:rStyle w:val="Hyperlink"/>
            <w:rFonts w:ascii="Times New Roman" w:hAnsi="Times New Roman"/>
            <w:sz w:val="24"/>
          </w:rPr>
          <w:t>https://www.opm.gov/policy-data-oversight/pay-leave/salaries-wages/salary-tables/pdf/2024/RUS_h.pdf</w:t>
        </w:r>
      </w:hyperlink>
      <w:r w:rsidRPr="00034ECA" w:rsidR="00AE19FD">
        <w:rPr>
          <w:rFonts w:ascii="Times New Roman" w:hAnsi="Times New Roman"/>
          <w:sz w:val="24"/>
          <w:u w:val="single"/>
        </w:rPr>
        <w:t xml:space="preserve">.  </w:t>
      </w:r>
      <w:r w:rsidRPr="00034ECA" w:rsidR="00AE19FD">
        <w:rPr>
          <w:rFonts w:ascii="Times New Roman" w:hAnsi="Times New Roman"/>
          <w:sz w:val="24"/>
        </w:rPr>
        <w:t xml:space="preserve">We have included a 1.6 multiplier </w:t>
      </w:r>
      <w:r>
        <w:rPr>
          <w:rFonts w:ascii="Times New Roman" w:hAnsi="Times New Roman"/>
          <w:sz w:val="24"/>
        </w:rPr>
        <w:t xml:space="preserve">in accordance with </w:t>
      </w:r>
      <w:r w:rsidRPr="00034ECA" w:rsidR="00AE19FD">
        <w:rPr>
          <w:rFonts w:ascii="Times New Roman" w:hAnsi="Times New Roman"/>
          <w:sz w:val="24"/>
        </w:rPr>
        <w:t>BLS news release</w:t>
      </w:r>
      <w:r>
        <w:rPr>
          <w:rFonts w:ascii="Times New Roman" w:hAnsi="Times New Roman"/>
          <w:sz w:val="24"/>
        </w:rPr>
        <w:t xml:space="preserve"> </w:t>
      </w:r>
      <w:r w:rsidRPr="00831D63">
        <w:rPr>
          <w:rFonts w:ascii="Times New Roman" w:hAnsi="Times New Roman"/>
          <w:sz w:val="24"/>
        </w:rPr>
        <w:t xml:space="preserve">USDL-24-2561, dated December 17, 2024, Employer Costs for Employee Compensation – September 2024 (http://www.bls.gov/news.release/pdf/ecec.pdf). </w:t>
      </w:r>
    </w:p>
    <w:p w:rsidR="00831D63" w:rsidP="00AE19FD" w14:paraId="2276F034"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rPr>
      </w:pPr>
    </w:p>
    <w:p w:rsidR="00AE19FD" w:rsidRPr="00034ECA" w:rsidP="00AE19FD" w14:paraId="371487B1" w14:textId="5C43867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rPr>
      </w:pPr>
      <w:r w:rsidRPr="00034ECA">
        <w:rPr>
          <w:rFonts w:ascii="Times New Roman" w:hAnsi="Times New Roman"/>
          <w:sz w:val="24"/>
        </w:rPr>
        <w:t xml:space="preserve">The cost to the Federal Government is based on a wage rate </w:t>
      </w:r>
      <w:r w:rsidR="005B6BAB">
        <w:rPr>
          <w:rFonts w:ascii="Times New Roman" w:hAnsi="Times New Roman"/>
          <w:sz w:val="24"/>
        </w:rPr>
        <w:t xml:space="preserve">for a </w:t>
      </w:r>
      <w:r w:rsidRPr="00034ECA">
        <w:rPr>
          <w:rFonts w:ascii="Times New Roman" w:hAnsi="Times New Roman"/>
          <w:sz w:val="24"/>
        </w:rPr>
        <w:t>GS 13/</w:t>
      </w:r>
      <w:r w:rsidR="00F967D7">
        <w:rPr>
          <w:rFonts w:ascii="Times New Roman" w:hAnsi="Times New Roman"/>
          <w:sz w:val="24"/>
        </w:rPr>
        <w:t>5</w:t>
      </w:r>
      <w:r w:rsidRPr="00034ECA">
        <w:rPr>
          <w:rFonts w:ascii="Times New Roman" w:hAnsi="Times New Roman"/>
          <w:sz w:val="24"/>
        </w:rPr>
        <w:t xml:space="preserve"> </w:t>
      </w:r>
      <w:r w:rsidR="005B6BAB">
        <w:rPr>
          <w:rFonts w:ascii="Times New Roman" w:hAnsi="Times New Roman"/>
          <w:sz w:val="24"/>
        </w:rPr>
        <w:t>(Natural Resource P</w:t>
      </w:r>
      <w:r w:rsidRPr="00034ECA">
        <w:rPr>
          <w:rFonts w:ascii="Times New Roman" w:hAnsi="Times New Roman"/>
          <w:sz w:val="24"/>
        </w:rPr>
        <w:t xml:space="preserve">rogram </w:t>
      </w:r>
      <w:r w:rsidR="005B6BAB">
        <w:rPr>
          <w:rFonts w:ascii="Times New Roman" w:hAnsi="Times New Roman"/>
          <w:sz w:val="24"/>
        </w:rPr>
        <w:t>S</w:t>
      </w:r>
      <w:r w:rsidRPr="00034ECA">
        <w:rPr>
          <w:rFonts w:ascii="Times New Roman" w:hAnsi="Times New Roman"/>
          <w:sz w:val="24"/>
        </w:rPr>
        <w:t>pecialist)</w:t>
      </w:r>
      <w:r w:rsidR="005B6BAB">
        <w:rPr>
          <w:rFonts w:ascii="Times New Roman" w:hAnsi="Times New Roman"/>
          <w:sz w:val="24"/>
        </w:rPr>
        <w:t xml:space="preserve">. Base wage for this position is </w:t>
      </w:r>
      <w:r w:rsidRPr="00034ECA">
        <w:rPr>
          <w:rFonts w:ascii="Times New Roman" w:hAnsi="Times New Roman"/>
          <w:sz w:val="24"/>
        </w:rPr>
        <w:t>$</w:t>
      </w:r>
      <w:r w:rsidR="00F967D7">
        <w:rPr>
          <w:rFonts w:ascii="Times New Roman" w:hAnsi="Times New Roman"/>
          <w:sz w:val="24"/>
        </w:rPr>
        <w:t>56.16</w:t>
      </w:r>
      <w:r w:rsidRPr="00034ECA">
        <w:rPr>
          <w:rFonts w:ascii="Times New Roman" w:hAnsi="Times New Roman"/>
          <w:sz w:val="24"/>
        </w:rPr>
        <w:t xml:space="preserve"> per hour, or $</w:t>
      </w:r>
      <w:r w:rsidR="00F967D7">
        <w:rPr>
          <w:rFonts w:ascii="Times New Roman" w:hAnsi="Times New Roman"/>
          <w:sz w:val="24"/>
        </w:rPr>
        <w:t>89.87</w:t>
      </w:r>
      <w:r w:rsidRPr="00034ECA">
        <w:rPr>
          <w:rFonts w:ascii="Times New Roman" w:hAnsi="Times New Roman"/>
          <w:sz w:val="24"/>
        </w:rPr>
        <w:t xml:space="preserve"> per hour with benefits</w:t>
      </w:r>
      <w:r w:rsidRPr="00034ECA" w:rsidR="00DA5EA9">
        <w:rPr>
          <w:rFonts w:ascii="Times New Roman" w:hAnsi="Times New Roman"/>
          <w:sz w:val="24"/>
        </w:rPr>
        <w:t xml:space="preserve"> </w:t>
      </w:r>
      <w:r w:rsidRPr="00034ECA">
        <w:rPr>
          <w:rFonts w:ascii="Times New Roman" w:hAnsi="Times New Roman"/>
          <w:sz w:val="24"/>
        </w:rPr>
        <w:t>(1.6).</w:t>
      </w:r>
    </w:p>
    <w:p w:rsidR="00AE19FD" w:rsidP="002878D2" w14:paraId="3156ABB6" w14:textId="29A6536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highlight w:val="yellow"/>
          <w:u w:val="single"/>
        </w:rPr>
      </w:pPr>
    </w:p>
    <w:p w:rsidR="009A64DE" w:rsidRPr="009A64DE" w:rsidP="009A64DE" w14:paraId="2C4405E8" w14:textId="7DB9640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rPr>
      </w:pPr>
      <w:r w:rsidRPr="00034ECA">
        <w:rPr>
          <w:rFonts w:ascii="Times New Roman" w:hAnsi="Times New Roman"/>
          <w:sz w:val="24"/>
        </w:rPr>
        <w:t xml:space="preserve">Oversight:  </w:t>
      </w:r>
      <w:r w:rsidRPr="00034ECA">
        <w:rPr>
          <w:rFonts w:ascii="Times New Roman" w:hAnsi="Times New Roman"/>
          <w:sz w:val="24"/>
        </w:rPr>
        <w:t xml:space="preserve">For </w:t>
      </w:r>
      <w:r w:rsidR="001E5DE2">
        <w:rPr>
          <w:rFonts w:ascii="Times New Roman" w:hAnsi="Times New Roman"/>
          <w:sz w:val="24"/>
        </w:rPr>
        <w:t xml:space="preserve">three </w:t>
      </w:r>
      <w:r w:rsidRPr="00034ECA" w:rsidR="00EB7EA7">
        <w:rPr>
          <w:rFonts w:ascii="Times New Roman" w:hAnsi="Times New Roman"/>
          <w:sz w:val="24"/>
        </w:rPr>
        <w:t>section</w:t>
      </w:r>
      <w:r w:rsidR="001E5DE2">
        <w:rPr>
          <w:rFonts w:ascii="Times New Roman" w:hAnsi="Times New Roman"/>
          <w:sz w:val="24"/>
        </w:rPr>
        <w:t>s</w:t>
      </w:r>
      <w:r w:rsidRPr="00034ECA" w:rsidR="00EB7EA7">
        <w:rPr>
          <w:rFonts w:ascii="Times New Roman" w:hAnsi="Times New Roman"/>
          <w:sz w:val="24"/>
        </w:rPr>
        <w:t xml:space="preserve"> </w:t>
      </w:r>
      <w:r w:rsidR="001E5DE2">
        <w:rPr>
          <w:rFonts w:ascii="Times New Roman" w:hAnsi="Times New Roman"/>
          <w:sz w:val="24"/>
        </w:rPr>
        <w:t>(</w:t>
      </w:r>
      <w:r w:rsidRPr="00034ECA">
        <w:rPr>
          <w:rFonts w:ascii="Times New Roman" w:hAnsi="Times New Roman"/>
          <w:sz w:val="24"/>
        </w:rPr>
        <w:t xml:space="preserve">779/783.11 </w:t>
      </w:r>
      <w:r w:rsidRPr="00034ECA" w:rsidR="00EB7EA7">
        <w:rPr>
          <w:rFonts w:ascii="Times New Roman" w:hAnsi="Times New Roman"/>
          <w:sz w:val="24"/>
        </w:rPr>
        <w:t>&amp;</w:t>
      </w:r>
      <w:r w:rsidRPr="00034ECA">
        <w:rPr>
          <w:rFonts w:ascii="Times New Roman" w:hAnsi="Times New Roman"/>
          <w:sz w:val="24"/>
        </w:rPr>
        <w:t xml:space="preserve"> .12</w:t>
      </w:r>
      <w:r w:rsidR="001E5DE2">
        <w:rPr>
          <w:rFonts w:ascii="Times New Roman" w:hAnsi="Times New Roman"/>
          <w:sz w:val="24"/>
        </w:rPr>
        <w:t>,</w:t>
      </w:r>
      <w:r w:rsidR="0064291D">
        <w:rPr>
          <w:rFonts w:ascii="Times New Roman" w:hAnsi="Times New Roman"/>
          <w:sz w:val="24"/>
        </w:rPr>
        <w:t>.24, and .25)</w:t>
      </w:r>
      <w:r w:rsidR="001E5DE2">
        <w:rPr>
          <w:rFonts w:ascii="Times New Roman" w:hAnsi="Times New Roman"/>
          <w:sz w:val="24"/>
        </w:rPr>
        <w:t xml:space="preserve"> </w:t>
      </w:r>
      <w:r w:rsidRPr="00034ECA">
        <w:rPr>
          <w:rFonts w:ascii="Times New Roman" w:hAnsi="Times New Roman"/>
          <w:sz w:val="24"/>
        </w:rPr>
        <w:t xml:space="preserve">OSMRE </w:t>
      </w:r>
      <w:r w:rsidR="0064291D">
        <w:rPr>
          <w:rFonts w:ascii="Times New Roman" w:hAnsi="Times New Roman"/>
          <w:sz w:val="24"/>
        </w:rPr>
        <w:t xml:space="preserve">anticipates </w:t>
      </w:r>
      <w:r w:rsidRPr="00034ECA">
        <w:rPr>
          <w:rFonts w:ascii="Times New Roman" w:hAnsi="Times New Roman"/>
          <w:sz w:val="24"/>
        </w:rPr>
        <w:t xml:space="preserve">that </w:t>
      </w:r>
      <w:r w:rsidRPr="00034ECA">
        <w:rPr>
          <w:rFonts w:ascii="Times New Roman" w:hAnsi="Times New Roman"/>
          <w:sz w:val="24"/>
        </w:rPr>
        <w:t xml:space="preserve">it </w:t>
      </w:r>
      <w:r w:rsidRPr="00034ECA">
        <w:rPr>
          <w:rFonts w:ascii="Times New Roman" w:hAnsi="Times New Roman"/>
          <w:sz w:val="24"/>
        </w:rPr>
        <w:t xml:space="preserve">will conduct an oversight review of </w:t>
      </w:r>
      <w:r w:rsidR="00CC0B10">
        <w:rPr>
          <w:rFonts w:ascii="Times New Roman" w:hAnsi="Times New Roman"/>
          <w:sz w:val="24"/>
        </w:rPr>
        <w:t xml:space="preserve">each </w:t>
      </w:r>
      <w:r w:rsidRPr="00034ECA">
        <w:rPr>
          <w:rFonts w:ascii="Times New Roman" w:hAnsi="Times New Roman"/>
          <w:sz w:val="24"/>
        </w:rPr>
        <w:t>topic per year requir</w:t>
      </w:r>
      <w:r w:rsidR="00CC0B10">
        <w:rPr>
          <w:rFonts w:ascii="Times New Roman" w:hAnsi="Times New Roman"/>
          <w:sz w:val="24"/>
        </w:rPr>
        <w:t>ing</w:t>
      </w:r>
      <w:r w:rsidR="00831D63">
        <w:rPr>
          <w:rFonts w:ascii="Times New Roman" w:hAnsi="Times New Roman"/>
          <w:sz w:val="24"/>
        </w:rPr>
        <w:t xml:space="preserve"> </w:t>
      </w:r>
      <w:r w:rsidRPr="00034ECA">
        <w:rPr>
          <w:rFonts w:ascii="Times New Roman" w:hAnsi="Times New Roman"/>
          <w:sz w:val="24"/>
        </w:rPr>
        <w:t>an average of 10 hours.</w:t>
      </w:r>
      <w:r w:rsidRPr="00034ECA">
        <w:rPr>
          <w:rFonts w:ascii="Times New Roman" w:hAnsi="Times New Roman"/>
          <w:sz w:val="24"/>
        </w:rPr>
        <w:t xml:space="preserve">  For </w:t>
      </w:r>
      <w:r w:rsidR="0064291D">
        <w:rPr>
          <w:rFonts w:ascii="Times New Roman" w:hAnsi="Times New Roman"/>
          <w:sz w:val="24"/>
        </w:rPr>
        <w:t xml:space="preserve">sections </w:t>
      </w:r>
      <w:r w:rsidRPr="00034ECA">
        <w:rPr>
          <w:rFonts w:ascii="Times New Roman" w:hAnsi="Times New Roman"/>
          <w:sz w:val="24"/>
        </w:rPr>
        <w:t>779/783.1</w:t>
      </w:r>
      <w:r w:rsidR="0064291D">
        <w:rPr>
          <w:rFonts w:ascii="Times New Roman" w:hAnsi="Times New Roman"/>
          <w:sz w:val="24"/>
        </w:rPr>
        <w:t>8 and .1</w:t>
      </w:r>
      <w:r w:rsidRPr="00034ECA">
        <w:rPr>
          <w:rFonts w:ascii="Times New Roman" w:hAnsi="Times New Roman"/>
          <w:sz w:val="24"/>
        </w:rPr>
        <w:t xml:space="preserve">9 </w:t>
      </w:r>
      <w:r w:rsidRPr="00780BC6">
        <w:rPr>
          <w:rFonts w:ascii="Times New Roman" w:hAnsi="Times New Roman"/>
          <w:sz w:val="24"/>
        </w:rPr>
        <w:t xml:space="preserve">OSMRE </w:t>
      </w:r>
      <w:r w:rsidR="0064291D">
        <w:rPr>
          <w:rFonts w:ascii="Times New Roman" w:hAnsi="Times New Roman"/>
          <w:sz w:val="24"/>
        </w:rPr>
        <w:t xml:space="preserve">expects </w:t>
      </w:r>
      <w:r>
        <w:rPr>
          <w:rFonts w:ascii="Times New Roman" w:hAnsi="Times New Roman"/>
          <w:sz w:val="24"/>
        </w:rPr>
        <w:t xml:space="preserve">it </w:t>
      </w:r>
      <w:r w:rsidRPr="00780BC6">
        <w:rPr>
          <w:rFonts w:ascii="Times New Roman" w:hAnsi="Times New Roman"/>
          <w:sz w:val="24"/>
        </w:rPr>
        <w:t xml:space="preserve">will conduct an oversight review of </w:t>
      </w:r>
      <w:r w:rsidR="00CC0B10">
        <w:rPr>
          <w:rFonts w:ascii="Times New Roman" w:hAnsi="Times New Roman"/>
          <w:sz w:val="24"/>
        </w:rPr>
        <w:t xml:space="preserve">each </w:t>
      </w:r>
      <w:r w:rsidRPr="00780BC6">
        <w:rPr>
          <w:rFonts w:ascii="Times New Roman" w:hAnsi="Times New Roman"/>
          <w:sz w:val="24"/>
        </w:rPr>
        <w:t xml:space="preserve">topic in one state program per year and that the review requires an average of </w:t>
      </w:r>
      <w:r w:rsidR="0064291D">
        <w:rPr>
          <w:rFonts w:ascii="Times New Roman" w:hAnsi="Times New Roman"/>
          <w:sz w:val="24"/>
        </w:rPr>
        <w:t xml:space="preserve">1 hour and </w:t>
      </w:r>
      <w:r w:rsidRPr="00780BC6">
        <w:rPr>
          <w:rFonts w:ascii="Times New Roman" w:hAnsi="Times New Roman"/>
          <w:sz w:val="24"/>
        </w:rPr>
        <w:t>3 hours</w:t>
      </w:r>
      <w:r w:rsidR="0064291D">
        <w:rPr>
          <w:rFonts w:ascii="Times New Roman" w:hAnsi="Times New Roman"/>
          <w:sz w:val="24"/>
        </w:rPr>
        <w:t>, respectively</w:t>
      </w:r>
      <w:r>
        <w:rPr>
          <w:rFonts w:ascii="Times New Roman" w:hAnsi="Times New Roman"/>
          <w:sz w:val="24"/>
        </w:rPr>
        <w:t xml:space="preserve">. </w:t>
      </w:r>
      <w:r w:rsidR="00DA5EA9">
        <w:rPr>
          <w:rFonts w:ascii="Times New Roman" w:hAnsi="Times New Roman"/>
          <w:sz w:val="24"/>
        </w:rPr>
        <w:t xml:space="preserve">Total </w:t>
      </w:r>
      <w:r w:rsidRPr="009A64DE">
        <w:rPr>
          <w:rFonts w:ascii="Times New Roman" w:hAnsi="Times New Roman"/>
          <w:sz w:val="24"/>
        </w:rPr>
        <w:t xml:space="preserve">oversight activity </w:t>
      </w:r>
      <w:r w:rsidR="00DA5EA9">
        <w:rPr>
          <w:rFonts w:ascii="Times New Roman" w:hAnsi="Times New Roman"/>
          <w:sz w:val="24"/>
        </w:rPr>
        <w:t>amounts to 34 hours per year</w:t>
      </w:r>
      <w:r w:rsidR="00AC440F">
        <w:rPr>
          <w:rFonts w:ascii="Times New Roman" w:hAnsi="Times New Roman"/>
          <w:sz w:val="24"/>
        </w:rPr>
        <w:t xml:space="preserve"> (see table below)</w:t>
      </w:r>
      <w:r w:rsidR="00DA5EA9">
        <w:rPr>
          <w:rFonts w:ascii="Times New Roman" w:hAnsi="Times New Roman"/>
          <w:sz w:val="24"/>
        </w:rPr>
        <w:t xml:space="preserve">. </w:t>
      </w:r>
    </w:p>
    <w:p w:rsidR="00AE19FD" w:rsidRPr="00AE19FD" w:rsidP="00AE19FD" w14:paraId="153650E9"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highlight w:val="yellow"/>
          <w:u w:val="single"/>
        </w:rPr>
      </w:pPr>
    </w:p>
    <w:p w:rsidR="00780BC6" w:rsidP="00EF60C1" w14:paraId="1E23205F" w14:textId="7557979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rPr>
      </w:pPr>
      <w:r w:rsidRPr="00E53982">
        <w:rPr>
          <w:rFonts w:ascii="Times New Roman" w:hAnsi="Times New Roman"/>
          <w:sz w:val="24"/>
        </w:rPr>
        <w:t xml:space="preserve">Federal Programs:  Based </w:t>
      </w:r>
      <w:r w:rsidR="00A41E4C">
        <w:rPr>
          <w:rFonts w:ascii="Times New Roman" w:hAnsi="Times New Roman"/>
          <w:sz w:val="24"/>
        </w:rPr>
        <w:t xml:space="preserve">on analysis </w:t>
      </w:r>
      <w:r w:rsidR="00831D63">
        <w:rPr>
          <w:rFonts w:ascii="Times New Roman" w:hAnsi="Times New Roman"/>
          <w:sz w:val="24"/>
        </w:rPr>
        <w:t xml:space="preserve">of </w:t>
      </w:r>
      <w:r w:rsidRPr="00E53982">
        <w:rPr>
          <w:rFonts w:ascii="Times New Roman" w:hAnsi="Times New Roman"/>
          <w:sz w:val="24"/>
        </w:rPr>
        <w:t xml:space="preserve">Federal program </w:t>
      </w:r>
      <w:r w:rsidR="00A41E4C">
        <w:rPr>
          <w:rFonts w:ascii="Times New Roman" w:hAnsi="Times New Roman"/>
          <w:sz w:val="24"/>
        </w:rPr>
        <w:t>staff</w:t>
      </w:r>
      <w:r w:rsidRPr="00E53982">
        <w:rPr>
          <w:rFonts w:ascii="Times New Roman" w:hAnsi="Times New Roman"/>
          <w:sz w:val="24"/>
        </w:rPr>
        <w:t xml:space="preserve">, OSMRE estimates that it will receive </w:t>
      </w:r>
      <w:r w:rsidR="0064291D">
        <w:rPr>
          <w:rFonts w:ascii="Times New Roman" w:hAnsi="Times New Roman"/>
          <w:sz w:val="24"/>
        </w:rPr>
        <w:t>6</w:t>
      </w:r>
      <w:r w:rsidRPr="00E53982">
        <w:rPr>
          <w:rFonts w:ascii="Times New Roman" w:hAnsi="Times New Roman"/>
          <w:sz w:val="24"/>
        </w:rPr>
        <w:t xml:space="preserve"> applications for new permits and/or significant revisions for operations for which OSMRE is the regulatory authority</w:t>
      </w:r>
      <w:r w:rsidR="00EF60C1">
        <w:rPr>
          <w:rFonts w:ascii="Times New Roman" w:hAnsi="Times New Roman"/>
          <w:sz w:val="24"/>
        </w:rPr>
        <w:t>.</w:t>
      </w:r>
      <w:r w:rsidR="009C3AC3">
        <w:rPr>
          <w:rFonts w:ascii="Times New Roman" w:hAnsi="Times New Roman"/>
          <w:sz w:val="24"/>
        </w:rPr>
        <w:t xml:space="preserve"> Total Federal program hours amount to </w:t>
      </w:r>
      <w:r w:rsidR="00EF60C1">
        <w:rPr>
          <w:rFonts w:ascii="Times New Roman" w:hAnsi="Times New Roman"/>
          <w:sz w:val="24"/>
        </w:rPr>
        <w:t>924</w:t>
      </w:r>
      <w:r w:rsidR="009C3AC3">
        <w:rPr>
          <w:rFonts w:ascii="Times New Roman" w:hAnsi="Times New Roman"/>
          <w:sz w:val="24"/>
        </w:rPr>
        <w:t xml:space="preserve"> hours</w:t>
      </w:r>
      <w:r w:rsidR="00831D63">
        <w:rPr>
          <w:rFonts w:ascii="Times New Roman" w:hAnsi="Times New Roman"/>
          <w:sz w:val="24"/>
        </w:rPr>
        <w:t xml:space="preserve"> for all sections (see below)</w:t>
      </w:r>
      <w:r w:rsidR="009C3AC3">
        <w:rPr>
          <w:rFonts w:ascii="Times New Roman" w:hAnsi="Times New Roman"/>
          <w:sz w:val="24"/>
        </w:rPr>
        <w:t xml:space="preserve">.  Total </w:t>
      </w:r>
      <w:r w:rsidR="008511AE">
        <w:rPr>
          <w:rFonts w:ascii="Times New Roman" w:hAnsi="Times New Roman"/>
          <w:sz w:val="24"/>
        </w:rPr>
        <w:t xml:space="preserve">wage </w:t>
      </w:r>
      <w:r w:rsidR="009C3AC3">
        <w:rPr>
          <w:rFonts w:ascii="Times New Roman" w:hAnsi="Times New Roman"/>
          <w:sz w:val="24"/>
        </w:rPr>
        <w:t xml:space="preserve">hours </w:t>
      </w:r>
      <w:r w:rsidR="008511AE">
        <w:rPr>
          <w:rFonts w:ascii="Times New Roman" w:hAnsi="Times New Roman"/>
          <w:sz w:val="24"/>
        </w:rPr>
        <w:t xml:space="preserve">for Federal cost are </w:t>
      </w:r>
      <w:r w:rsidR="00EF60C1">
        <w:rPr>
          <w:rFonts w:ascii="Times New Roman" w:hAnsi="Times New Roman"/>
          <w:sz w:val="24"/>
        </w:rPr>
        <w:t>958</w:t>
      </w:r>
      <w:r w:rsidR="009C3AC3">
        <w:rPr>
          <w:rFonts w:ascii="Times New Roman" w:hAnsi="Times New Roman"/>
          <w:sz w:val="24"/>
        </w:rPr>
        <w:t xml:space="preserve"> (34 hours + </w:t>
      </w:r>
      <w:r w:rsidR="00EF60C1">
        <w:rPr>
          <w:rFonts w:ascii="Times New Roman" w:hAnsi="Times New Roman"/>
          <w:sz w:val="24"/>
        </w:rPr>
        <w:t>924</w:t>
      </w:r>
      <w:r w:rsidR="009C3AC3">
        <w:rPr>
          <w:rFonts w:ascii="Times New Roman" w:hAnsi="Times New Roman"/>
          <w:sz w:val="24"/>
        </w:rPr>
        <w:t xml:space="preserve"> hours). </w:t>
      </w:r>
      <w:r w:rsidR="008511AE">
        <w:rPr>
          <w:rFonts w:ascii="Times New Roman" w:hAnsi="Times New Roman"/>
          <w:sz w:val="24"/>
        </w:rPr>
        <w:t xml:space="preserve"> </w:t>
      </w:r>
      <w:r w:rsidR="009C3AC3">
        <w:rPr>
          <w:rFonts w:ascii="Times New Roman" w:hAnsi="Times New Roman"/>
          <w:sz w:val="24"/>
        </w:rPr>
        <w:t xml:space="preserve">Annualized cost to the Federal governments </w:t>
      </w:r>
      <w:r w:rsidR="008511AE">
        <w:rPr>
          <w:rFonts w:ascii="Times New Roman" w:hAnsi="Times New Roman"/>
          <w:sz w:val="24"/>
        </w:rPr>
        <w:t>is $</w:t>
      </w:r>
      <w:r w:rsidR="00EF60C1">
        <w:rPr>
          <w:rFonts w:ascii="Times New Roman" w:hAnsi="Times New Roman"/>
          <w:sz w:val="24"/>
        </w:rPr>
        <w:t>86,095</w:t>
      </w:r>
      <w:r w:rsidR="009C3AC3">
        <w:rPr>
          <w:rFonts w:ascii="Times New Roman" w:hAnsi="Times New Roman"/>
          <w:sz w:val="24"/>
        </w:rPr>
        <w:t xml:space="preserve"> (</w:t>
      </w:r>
      <w:r w:rsidR="00EF60C1">
        <w:rPr>
          <w:rFonts w:ascii="Times New Roman" w:hAnsi="Times New Roman"/>
          <w:sz w:val="24"/>
        </w:rPr>
        <w:t>958</w:t>
      </w:r>
      <w:r w:rsidR="009C3AC3">
        <w:rPr>
          <w:rFonts w:ascii="Times New Roman" w:hAnsi="Times New Roman"/>
          <w:sz w:val="24"/>
        </w:rPr>
        <w:t xml:space="preserve"> hours x $</w:t>
      </w:r>
      <w:r w:rsidR="00EF60C1">
        <w:rPr>
          <w:rFonts w:ascii="Times New Roman" w:hAnsi="Times New Roman"/>
          <w:sz w:val="24"/>
        </w:rPr>
        <w:t>89,87</w:t>
      </w:r>
      <w:r w:rsidR="009C3AC3">
        <w:rPr>
          <w:rFonts w:ascii="Times New Roman" w:hAnsi="Times New Roman"/>
          <w:sz w:val="24"/>
        </w:rPr>
        <w:t xml:space="preserve">/hour).  </w:t>
      </w:r>
    </w:p>
    <w:p w:rsidR="00EF60C1" w:rsidP="00EF60C1" w14:paraId="2B4A933D"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rPr>
      </w:pPr>
    </w:p>
    <w:p w:rsidR="00EF60C1" w:rsidP="00EF60C1" w14:paraId="36BB233F"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rPr>
      </w:pPr>
    </w:p>
    <w:tbl>
      <w:tblPr>
        <w:tblW w:w="7600" w:type="dxa"/>
        <w:tblInd w:w="131" w:type="dxa"/>
        <w:tblLook w:val="04A0"/>
      </w:tblPr>
      <w:tblGrid>
        <w:gridCol w:w="1815"/>
        <w:gridCol w:w="1560"/>
        <w:gridCol w:w="1043"/>
        <w:gridCol w:w="953"/>
        <w:gridCol w:w="2229"/>
      </w:tblGrid>
      <w:tr w14:paraId="1CA8CEC8" w14:textId="77777777" w:rsidTr="000B1143">
        <w:tblPrEx>
          <w:tblW w:w="7600" w:type="dxa"/>
          <w:tblInd w:w="131" w:type="dxa"/>
          <w:tblLook w:val="04A0"/>
        </w:tblPrEx>
        <w:trPr>
          <w:trHeight w:val="620"/>
        </w:trPr>
        <w:tc>
          <w:tcPr>
            <w:tcW w:w="7600" w:type="dxa"/>
            <w:gridSpan w:val="5"/>
            <w:tcBorders>
              <w:top w:val="double" w:sz="6" w:space="0" w:color="auto"/>
              <w:left w:val="double" w:sz="6" w:space="0" w:color="auto"/>
              <w:bottom w:val="single" w:sz="4" w:space="0" w:color="auto"/>
              <w:right w:val="double" w:sz="6" w:space="0" w:color="000000"/>
            </w:tcBorders>
            <w:shd w:val="clear" w:color="000000" w:fill="FFFFFF"/>
            <w:vAlign w:val="center"/>
            <w:hideMark/>
          </w:tcPr>
          <w:p w:rsidR="000B1143" w:rsidRPr="000B1143" w:rsidP="000B1143" w14:paraId="7203F3B1" w14:textId="77777777">
            <w:pPr>
              <w:widowControl/>
              <w:autoSpaceDE/>
              <w:autoSpaceDN/>
              <w:adjustRightInd/>
              <w:jc w:val="center"/>
              <w:rPr>
                <w:rFonts w:ascii="Times New Roman" w:hAnsi="Times New Roman"/>
                <w:color w:val="000000"/>
                <w:sz w:val="24"/>
              </w:rPr>
            </w:pPr>
            <w:r w:rsidRPr="000B1143">
              <w:rPr>
                <w:rFonts w:ascii="Times New Roman" w:hAnsi="Times New Roman"/>
                <w:color w:val="000000"/>
                <w:sz w:val="24"/>
              </w:rPr>
              <w:t>Government Cost for 30 CFR PARTS 779/783</w:t>
            </w:r>
          </w:p>
        </w:tc>
      </w:tr>
      <w:tr w14:paraId="5BADAC78" w14:textId="77777777" w:rsidTr="000B1143">
        <w:tblPrEx>
          <w:tblW w:w="7600" w:type="dxa"/>
          <w:tblInd w:w="131" w:type="dxa"/>
          <w:tblLook w:val="04A0"/>
        </w:tblPrEx>
        <w:trPr>
          <w:trHeight w:val="940"/>
        </w:trPr>
        <w:tc>
          <w:tcPr>
            <w:tcW w:w="1840" w:type="dxa"/>
            <w:tcBorders>
              <w:top w:val="nil"/>
              <w:left w:val="double" w:sz="6" w:space="0" w:color="auto"/>
              <w:bottom w:val="single" w:sz="4" w:space="0" w:color="auto"/>
              <w:right w:val="single" w:sz="4" w:space="0" w:color="auto"/>
            </w:tcBorders>
            <w:shd w:val="clear" w:color="000000" w:fill="FFFFFF"/>
            <w:vAlign w:val="bottom"/>
            <w:hideMark/>
          </w:tcPr>
          <w:p w:rsidR="000B1143" w:rsidRPr="000B1143" w:rsidP="000B1143" w14:paraId="13117D57" w14:textId="77777777">
            <w:pPr>
              <w:widowControl/>
              <w:autoSpaceDE/>
              <w:autoSpaceDN/>
              <w:adjustRightInd/>
              <w:jc w:val="center"/>
              <w:rPr>
                <w:rFonts w:ascii="Times New Roman" w:hAnsi="Times New Roman"/>
                <w:color w:val="000000"/>
                <w:sz w:val="24"/>
              </w:rPr>
            </w:pPr>
            <w:r w:rsidRPr="000B1143">
              <w:rPr>
                <w:rFonts w:ascii="Times New Roman" w:hAnsi="Times New Roman"/>
                <w:color w:val="000000"/>
                <w:sz w:val="24"/>
              </w:rPr>
              <w:t>Sections</w:t>
            </w:r>
          </w:p>
        </w:tc>
        <w:tc>
          <w:tcPr>
            <w:tcW w:w="1580" w:type="dxa"/>
            <w:tcBorders>
              <w:top w:val="nil"/>
              <w:left w:val="nil"/>
              <w:bottom w:val="single" w:sz="4" w:space="0" w:color="auto"/>
              <w:right w:val="nil"/>
            </w:tcBorders>
            <w:shd w:val="clear" w:color="000000" w:fill="FFFFFF"/>
            <w:vAlign w:val="bottom"/>
            <w:hideMark/>
          </w:tcPr>
          <w:p w:rsidR="000B1143" w:rsidRPr="000B1143" w:rsidP="000B1143" w14:paraId="21022C4D" w14:textId="77777777">
            <w:pPr>
              <w:widowControl/>
              <w:autoSpaceDE/>
              <w:autoSpaceDN/>
              <w:adjustRightInd/>
              <w:jc w:val="center"/>
              <w:rPr>
                <w:rFonts w:ascii="Times New Roman" w:hAnsi="Times New Roman"/>
                <w:color w:val="000000"/>
                <w:sz w:val="24"/>
              </w:rPr>
            </w:pPr>
            <w:r w:rsidRPr="000B1143">
              <w:rPr>
                <w:rFonts w:ascii="Times New Roman" w:hAnsi="Times New Roman"/>
                <w:color w:val="000000"/>
                <w:sz w:val="24"/>
              </w:rPr>
              <w:t>Oversight Hours</w:t>
            </w:r>
          </w:p>
        </w:tc>
        <w:tc>
          <w:tcPr>
            <w:tcW w:w="960" w:type="dxa"/>
            <w:tcBorders>
              <w:top w:val="nil"/>
              <w:left w:val="nil"/>
              <w:bottom w:val="single" w:sz="4" w:space="0" w:color="auto"/>
              <w:right w:val="nil"/>
            </w:tcBorders>
            <w:shd w:val="clear" w:color="000000" w:fill="FFFFFF"/>
            <w:vAlign w:val="bottom"/>
            <w:hideMark/>
          </w:tcPr>
          <w:p w:rsidR="000B1143" w:rsidRPr="000B1143" w:rsidP="000B1143" w14:paraId="6B6A5A90" w14:textId="77777777">
            <w:pPr>
              <w:widowControl/>
              <w:autoSpaceDE/>
              <w:autoSpaceDN/>
              <w:adjustRightInd/>
              <w:jc w:val="center"/>
              <w:rPr>
                <w:rFonts w:ascii="Times New Roman" w:hAnsi="Times New Roman"/>
                <w:color w:val="000000"/>
                <w:sz w:val="24"/>
              </w:rPr>
            </w:pPr>
            <w:r w:rsidRPr="000B1143">
              <w:rPr>
                <w:rFonts w:ascii="Times New Roman" w:hAnsi="Times New Roman"/>
                <w:color w:val="000000"/>
                <w:sz w:val="24"/>
              </w:rPr>
              <w:t>Federal Program Hours</w:t>
            </w:r>
          </w:p>
        </w:tc>
        <w:tc>
          <w:tcPr>
            <w:tcW w:w="960" w:type="dxa"/>
            <w:tcBorders>
              <w:top w:val="nil"/>
              <w:left w:val="nil"/>
              <w:bottom w:val="single" w:sz="4" w:space="0" w:color="auto"/>
              <w:right w:val="nil"/>
            </w:tcBorders>
            <w:shd w:val="clear" w:color="000000" w:fill="FFFFFF"/>
            <w:vAlign w:val="bottom"/>
            <w:hideMark/>
          </w:tcPr>
          <w:p w:rsidR="000B1143" w:rsidRPr="000B1143" w:rsidP="000B1143" w14:paraId="6A214949" w14:textId="77777777">
            <w:pPr>
              <w:widowControl/>
              <w:autoSpaceDE/>
              <w:autoSpaceDN/>
              <w:adjustRightInd/>
              <w:jc w:val="center"/>
              <w:rPr>
                <w:rFonts w:ascii="Times New Roman" w:hAnsi="Times New Roman"/>
                <w:color w:val="000000"/>
                <w:sz w:val="24"/>
              </w:rPr>
            </w:pPr>
            <w:r w:rsidRPr="000B1143">
              <w:rPr>
                <w:rFonts w:ascii="Times New Roman" w:hAnsi="Times New Roman"/>
                <w:color w:val="000000"/>
                <w:sz w:val="24"/>
              </w:rPr>
              <w:t>Total Hours</w:t>
            </w:r>
          </w:p>
        </w:tc>
        <w:tc>
          <w:tcPr>
            <w:tcW w:w="2260" w:type="dxa"/>
            <w:tcBorders>
              <w:top w:val="nil"/>
              <w:left w:val="nil"/>
              <w:bottom w:val="single" w:sz="4" w:space="0" w:color="auto"/>
              <w:right w:val="double" w:sz="6" w:space="0" w:color="auto"/>
            </w:tcBorders>
            <w:shd w:val="clear" w:color="000000" w:fill="FFFFFF"/>
            <w:vAlign w:val="bottom"/>
            <w:hideMark/>
          </w:tcPr>
          <w:p w:rsidR="000B1143" w:rsidRPr="000B1143" w:rsidP="000B1143" w14:paraId="1A0562D8" w14:textId="77777777">
            <w:pPr>
              <w:widowControl/>
              <w:autoSpaceDE/>
              <w:autoSpaceDN/>
              <w:adjustRightInd/>
              <w:jc w:val="center"/>
              <w:rPr>
                <w:rFonts w:ascii="Times New Roman" w:hAnsi="Times New Roman"/>
                <w:color w:val="000000"/>
                <w:sz w:val="24"/>
              </w:rPr>
            </w:pPr>
            <w:r w:rsidRPr="000B1143">
              <w:rPr>
                <w:rFonts w:ascii="Times New Roman" w:hAnsi="Times New Roman"/>
                <w:color w:val="000000"/>
                <w:sz w:val="24"/>
              </w:rPr>
              <w:t>Total Cost ($) @$89.87/hour</w:t>
            </w:r>
          </w:p>
        </w:tc>
      </w:tr>
      <w:tr w14:paraId="45CE73B3" w14:textId="77777777" w:rsidTr="000B1143">
        <w:tblPrEx>
          <w:tblW w:w="7600" w:type="dxa"/>
          <w:tblInd w:w="131" w:type="dxa"/>
          <w:tblLook w:val="04A0"/>
        </w:tblPrEx>
        <w:trPr>
          <w:trHeight w:val="630"/>
        </w:trPr>
        <w:tc>
          <w:tcPr>
            <w:tcW w:w="1840" w:type="dxa"/>
            <w:tcBorders>
              <w:top w:val="nil"/>
              <w:left w:val="double" w:sz="6" w:space="0" w:color="auto"/>
              <w:bottom w:val="nil"/>
              <w:right w:val="single" w:sz="4" w:space="0" w:color="auto"/>
            </w:tcBorders>
            <w:shd w:val="clear" w:color="000000" w:fill="FFFFFF"/>
            <w:vAlign w:val="center"/>
            <w:hideMark/>
          </w:tcPr>
          <w:p w:rsidR="000B1143" w:rsidRPr="000B1143" w:rsidP="000B1143" w14:paraId="30BE53AF" w14:textId="77777777">
            <w:pPr>
              <w:widowControl/>
              <w:autoSpaceDE/>
              <w:autoSpaceDN/>
              <w:adjustRightInd/>
              <w:rPr>
                <w:rFonts w:ascii="Times New Roman" w:hAnsi="Times New Roman"/>
                <w:color w:val="000000"/>
                <w:sz w:val="24"/>
              </w:rPr>
            </w:pPr>
            <w:r w:rsidRPr="000B1143">
              <w:rPr>
                <w:rFonts w:ascii="Times New Roman" w:hAnsi="Times New Roman"/>
                <w:color w:val="000000"/>
                <w:sz w:val="24"/>
              </w:rPr>
              <w:t>779/783.11 &amp; .12</w:t>
            </w:r>
          </w:p>
        </w:tc>
        <w:tc>
          <w:tcPr>
            <w:tcW w:w="1580" w:type="dxa"/>
            <w:tcBorders>
              <w:top w:val="nil"/>
              <w:left w:val="nil"/>
              <w:bottom w:val="nil"/>
              <w:right w:val="nil"/>
            </w:tcBorders>
            <w:shd w:val="clear" w:color="000000" w:fill="FFFFFF"/>
            <w:vAlign w:val="center"/>
            <w:hideMark/>
          </w:tcPr>
          <w:p w:rsidR="000B1143" w:rsidRPr="000B1143" w:rsidP="000B1143" w14:paraId="109D1D1F" w14:textId="77777777">
            <w:pPr>
              <w:widowControl/>
              <w:autoSpaceDE/>
              <w:autoSpaceDN/>
              <w:adjustRightInd/>
              <w:jc w:val="center"/>
              <w:rPr>
                <w:rFonts w:ascii="Times New Roman" w:hAnsi="Times New Roman"/>
                <w:color w:val="000000"/>
                <w:sz w:val="24"/>
              </w:rPr>
            </w:pPr>
            <w:r w:rsidRPr="000B1143">
              <w:rPr>
                <w:rFonts w:ascii="Times New Roman" w:hAnsi="Times New Roman"/>
                <w:color w:val="000000"/>
                <w:sz w:val="24"/>
              </w:rPr>
              <w:t>10</w:t>
            </w:r>
          </w:p>
        </w:tc>
        <w:tc>
          <w:tcPr>
            <w:tcW w:w="960" w:type="dxa"/>
            <w:tcBorders>
              <w:top w:val="nil"/>
              <w:left w:val="nil"/>
              <w:bottom w:val="nil"/>
              <w:right w:val="nil"/>
            </w:tcBorders>
            <w:shd w:val="clear" w:color="000000" w:fill="FFFFFF"/>
            <w:vAlign w:val="center"/>
            <w:hideMark/>
          </w:tcPr>
          <w:p w:rsidR="000B1143" w:rsidRPr="000B1143" w:rsidP="000B1143" w14:paraId="7672D8BE" w14:textId="77777777">
            <w:pPr>
              <w:widowControl/>
              <w:autoSpaceDE/>
              <w:autoSpaceDN/>
              <w:adjustRightInd/>
              <w:jc w:val="center"/>
              <w:rPr>
                <w:rFonts w:ascii="Times New Roman" w:hAnsi="Times New Roman"/>
                <w:color w:val="000000"/>
                <w:sz w:val="24"/>
              </w:rPr>
            </w:pPr>
            <w:r w:rsidRPr="000B1143">
              <w:rPr>
                <w:rFonts w:ascii="Times New Roman" w:hAnsi="Times New Roman"/>
                <w:color w:val="000000"/>
                <w:sz w:val="24"/>
              </w:rPr>
              <w:t>480</w:t>
            </w:r>
          </w:p>
        </w:tc>
        <w:tc>
          <w:tcPr>
            <w:tcW w:w="960" w:type="dxa"/>
            <w:tcBorders>
              <w:top w:val="nil"/>
              <w:left w:val="nil"/>
              <w:bottom w:val="nil"/>
              <w:right w:val="nil"/>
            </w:tcBorders>
            <w:shd w:val="clear" w:color="000000" w:fill="FFFFFF"/>
            <w:vAlign w:val="center"/>
            <w:hideMark/>
          </w:tcPr>
          <w:p w:rsidR="000B1143" w:rsidRPr="000B1143" w:rsidP="000B1143" w14:paraId="2EF1F0DA" w14:textId="77777777">
            <w:pPr>
              <w:widowControl/>
              <w:autoSpaceDE/>
              <w:autoSpaceDN/>
              <w:adjustRightInd/>
              <w:jc w:val="center"/>
              <w:rPr>
                <w:rFonts w:ascii="Times New Roman" w:hAnsi="Times New Roman"/>
                <w:color w:val="000000"/>
                <w:sz w:val="24"/>
              </w:rPr>
            </w:pPr>
            <w:r w:rsidRPr="000B1143">
              <w:rPr>
                <w:rFonts w:ascii="Times New Roman" w:hAnsi="Times New Roman"/>
                <w:color w:val="000000"/>
                <w:sz w:val="24"/>
              </w:rPr>
              <w:t>490</w:t>
            </w:r>
          </w:p>
        </w:tc>
        <w:tc>
          <w:tcPr>
            <w:tcW w:w="2260" w:type="dxa"/>
            <w:tcBorders>
              <w:top w:val="nil"/>
              <w:left w:val="nil"/>
              <w:bottom w:val="nil"/>
              <w:right w:val="double" w:sz="6" w:space="0" w:color="auto"/>
            </w:tcBorders>
            <w:shd w:val="clear" w:color="000000" w:fill="FFFFFF"/>
            <w:vAlign w:val="center"/>
            <w:hideMark/>
          </w:tcPr>
          <w:p w:rsidR="000B1143" w:rsidRPr="000B1143" w:rsidP="000B1143" w14:paraId="12B1B08B" w14:textId="77777777">
            <w:pPr>
              <w:widowControl/>
              <w:autoSpaceDE/>
              <w:autoSpaceDN/>
              <w:adjustRightInd/>
              <w:jc w:val="center"/>
              <w:rPr>
                <w:rFonts w:ascii="Times New Roman" w:hAnsi="Times New Roman"/>
                <w:color w:val="000000"/>
                <w:sz w:val="24"/>
              </w:rPr>
            </w:pPr>
            <w:r w:rsidRPr="000B1143">
              <w:rPr>
                <w:rFonts w:ascii="Times New Roman" w:hAnsi="Times New Roman"/>
                <w:color w:val="000000"/>
                <w:sz w:val="24"/>
              </w:rPr>
              <w:t>44,036</w:t>
            </w:r>
          </w:p>
        </w:tc>
      </w:tr>
      <w:tr w14:paraId="173546C3" w14:textId="77777777" w:rsidTr="000B1143">
        <w:tblPrEx>
          <w:tblW w:w="7600" w:type="dxa"/>
          <w:tblInd w:w="131" w:type="dxa"/>
          <w:tblLook w:val="04A0"/>
        </w:tblPrEx>
        <w:trPr>
          <w:trHeight w:val="630"/>
        </w:trPr>
        <w:tc>
          <w:tcPr>
            <w:tcW w:w="1840" w:type="dxa"/>
            <w:tcBorders>
              <w:top w:val="nil"/>
              <w:left w:val="double" w:sz="6" w:space="0" w:color="auto"/>
              <w:bottom w:val="nil"/>
              <w:right w:val="single" w:sz="4" w:space="0" w:color="auto"/>
            </w:tcBorders>
            <w:shd w:val="clear" w:color="000000" w:fill="FFFFFF"/>
            <w:vAlign w:val="center"/>
            <w:hideMark/>
          </w:tcPr>
          <w:p w:rsidR="000B1143" w:rsidRPr="000B1143" w:rsidP="000B1143" w14:paraId="1C398481" w14:textId="77777777">
            <w:pPr>
              <w:widowControl/>
              <w:autoSpaceDE/>
              <w:autoSpaceDN/>
              <w:adjustRightInd/>
              <w:rPr>
                <w:rFonts w:ascii="Times New Roman" w:hAnsi="Times New Roman"/>
                <w:color w:val="000000"/>
                <w:sz w:val="24"/>
              </w:rPr>
            </w:pPr>
            <w:r w:rsidRPr="000B1143">
              <w:rPr>
                <w:rFonts w:ascii="Times New Roman" w:hAnsi="Times New Roman"/>
                <w:color w:val="000000"/>
                <w:sz w:val="24"/>
              </w:rPr>
              <w:t>779/783.18</w:t>
            </w:r>
          </w:p>
        </w:tc>
        <w:tc>
          <w:tcPr>
            <w:tcW w:w="1580" w:type="dxa"/>
            <w:tcBorders>
              <w:top w:val="nil"/>
              <w:left w:val="nil"/>
              <w:bottom w:val="nil"/>
              <w:right w:val="nil"/>
            </w:tcBorders>
            <w:shd w:val="clear" w:color="000000" w:fill="FFFFFF"/>
            <w:vAlign w:val="center"/>
            <w:hideMark/>
          </w:tcPr>
          <w:p w:rsidR="000B1143" w:rsidRPr="000B1143" w:rsidP="000B1143" w14:paraId="659D009C" w14:textId="77777777">
            <w:pPr>
              <w:widowControl/>
              <w:autoSpaceDE/>
              <w:autoSpaceDN/>
              <w:adjustRightInd/>
              <w:jc w:val="center"/>
              <w:rPr>
                <w:rFonts w:ascii="Times New Roman" w:hAnsi="Times New Roman"/>
                <w:color w:val="000000"/>
                <w:sz w:val="24"/>
              </w:rPr>
            </w:pPr>
            <w:r w:rsidRPr="000B1143">
              <w:rPr>
                <w:rFonts w:ascii="Times New Roman" w:hAnsi="Times New Roman"/>
                <w:color w:val="000000"/>
                <w:sz w:val="24"/>
              </w:rPr>
              <w:t>1</w:t>
            </w:r>
          </w:p>
        </w:tc>
        <w:tc>
          <w:tcPr>
            <w:tcW w:w="960" w:type="dxa"/>
            <w:tcBorders>
              <w:top w:val="nil"/>
              <w:left w:val="nil"/>
              <w:bottom w:val="nil"/>
              <w:right w:val="nil"/>
            </w:tcBorders>
            <w:shd w:val="clear" w:color="000000" w:fill="FFFFFF"/>
            <w:vAlign w:val="center"/>
            <w:hideMark/>
          </w:tcPr>
          <w:p w:rsidR="000B1143" w:rsidRPr="000B1143" w:rsidP="000B1143" w14:paraId="532D3FE8" w14:textId="77777777">
            <w:pPr>
              <w:widowControl/>
              <w:autoSpaceDE/>
              <w:autoSpaceDN/>
              <w:adjustRightInd/>
              <w:jc w:val="center"/>
              <w:rPr>
                <w:rFonts w:ascii="Times New Roman" w:hAnsi="Times New Roman"/>
                <w:color w:val="000000"/>
                <w:sz w:val="24"/>
              </w:rPr>
            </w:pPr>
            <w:r w:rsidRPr="000B1143">
              <w:rPr>
                <w:rFonts w:ascii="Times New Roman" w:hAnsi="Times New Roman"/>
                <w:color w:val="000000"/>
                <w:sz w:val="24"/>
              </w:rPr>
              <w:t>6</w:t>
            </w:r>
          </w:p>
        </w:tc>
        <w:tc>
          <w:tcPr>
            <w:tcW w:w="960" w:type="dxa"/>
            <w:tcBorders>
              <w:top w:val="nil"/>
              <w:left w:val="nil"/>
              <w:bottom w:val="nil"/>
              <w:right w:val="nil"/>
            </w:tcBorders>
            <w:shd w:val="clear" w:color="000000" w:fill="FFFFFF"/>
            <w:vAlign w:val="center"/>
            <w:hideMark/>
          </w:tcPr>
          <w:p w:rsidR="000B1143" w:rsidRPr="000B1143" w:rsidP="000B1143" w14:paraId="09F97BF4" w14:textId="77777777">
            <w:pPr>
              <w:widowControl/>
              <w:autoSpaceDE/>
              <w:autoSpaceDN/>
              <w:adjustRightInd/>
              <w:jc w:val="center"/>
              <w:rPr>
                <w:rFonts w:ascii="Times New Roman" w:hAnsi="Times New Roman"/>
                <w:color w:val="000000"/>
                <w:sz w:val="24"/>
              </w:rPr>
            </w:pPr>
            <w:r w:rsidRPr="000B1143">
              <w:rPr>
                <w:rFonts w:ascii="Times New Roman" w:hAnsi="Times New Roman"/>
                <w:color w:val="000000"/>
                <w:sz w:val="24"/>
              </w:rPr>
              <w:t>7</w:t>
            </w:r>
          </w:p>
        </w:tc>
        <w:tc>
          <w:tcPr>
            <w:tcW w:w="2260" w:type="dxa"/>
            <w:tcBorders>
              <w:top w:val="nil"/>
              <w:left w:val="nil"/>
              <w:bottom w:val="nil"/>
              <w:right w:val="double" w:sz="6" w:space="0" w:color="auto"/>
            </w:tcBorders>
            <w:shd w:val="clear" w:color="000000" w:fill="FFFFFF"/>
            <w:vAlign w:val="center"/>
            <w:hideMark/>
          </w:tcPr>
          <w:p w:rsidR="000B1143" w:rsidRPr="000B1143" w:rsidP="000B1143" w14:paraId="4314FCDB" w14:textId="77777777">
            <w:pPr>
              <w:widowControl/>
              <w:autoSpaceDE/>
              <w:autoSpaceDN/>
              <w:adjustRightInd/>
              <w:jc w:val="center"/>
              <w:rPr>
                <w:rFonts w:ascii="Times New Roman" w:hAnsi="Times New Roman"/>
                <w:color w:val="000000"/>
                <w:sz w:val="24"/>
              </w:rPr>
            </w:pPr>
            <w:r w:rsidRPr="000B1143">
              <w:rPr>
                <w:rFonts w:ascii="Times New Roman" w:hAnsi="Times New Roman"/>
                <w:color w:val="000000"/>
                <w:sz w:val="24"/>
              </w:rPr>
              <w:t>629</w:t>
            </w:r>
          </w:p>
        </w:tc>
      </w:tr>
      <w:tr w14:paraId="41861B1D" w14:textId="77777777" w:rsidTr="000B1143">
        <w:tblPrEx>
          <w:tblW w:w="7600" w:type="dxa"/>
          <w:tblInd w:w="131" w:type="dxa"/>
          <w:tblLook w:val="04A0"/>
        </w:tblPrEx>
        <w:trPr>
          <w:trHeight w:val="630"/>
        </w:trPr>
        <w:tc>
          <w:tcPr>
            <w:tcW w:w="1840" w:type="dxa"/>
            <w:tcBorders>
              <w:top w:val="nil"/>
              <w:left w:val="double" w:sz="6" w:space="0" w:color="auto"/>
              <w:bottom w:val="nil"/>
              <w:right w:val="single" w:sz="4" w:space="0" w:color="auto"/>
            </w:tcBorders>
            <w:shd w:val="clear" w:color="000000" w:fill="FFFFFF"/>
            <w:vAlign w:val="center"/>
            <w:hideMark/>
          </w:tcPr>
          <w:p w:rsidR="000B1143" w:rsidRPr="000B1143" w:rsidP="000B1143" w14:paraId="71E85B36" w14:textId="77777777">
            <w:pPr>
              <w:widowControl/>
              <w:autoSpaceDE/>
              <w:autoSpaceDN/>
              <w:adjustRightInd/>
              <w:rPr>
                <w:rFonts w:ascii="Times New Roman" w:hAnsi="Times New Roman"/>
                <w:color w:val="000000"/>
                <w:sz w:val="24"/>
              </w:rPr>
            </w:pPr>
            <w:r w:rsidRPr="000B1143">
              <w:rPr>
                <w:rFonts w:ascii="Times New Roman" w:hAnsi="Times New Roman"/>
                <w:color w:val="000000"/>
                <w:sz w:val="24"/>
              </w:rPr>
              <w:t>779/783.19</w:t>
            </w:r>
          </w:p>
        </w:tc>
        <w:tc>
          <w:tcPr>
            <w:tcW w:w="1580" w:type="dxa"/>
            <w:tcBorders>
              <w:top w:val="nil"/>
              <w:left w:val="nil"/>
              <w:bottom w:val="nil"/>
              <w:right w:val="nil"/>
            </w:tcBorders>
            <w:shd w:val="clear" w:color="000000" w:fill="FFFFFF"/>
            <w:vAlign w:val="center"/>
            <w:hideMark/>
          </w:tcPr>
          <w:p w:rsidR="000B1143" w:rsidRPr="000B1143" w:rsidP="000B1143" w14:paraId="7A00258B" w14:textId="77777777">
            <w:pPr>
              <w:widowControl/>
              <w:autoSpaceDE/>
              <w:autoSpaceDN/>
              <w:adjustRightInd/>
              <w:jc w:val="center"/>
              <w:rPr>
                <w:rFonts w:ascii="Times New Roman" w:hAnsi="Times New Roman"/>
                <w:color w:val="000000"/>
                <w:sz w:val="24"/>
              </w:rPr>
            </w:pPr>
            <w:r w:rsidRPr="000B1143">
              <w:rPr>
                <w:rFonts w:ascii="Times New Roman" w:hAnsi="Times New Roman"/>
                <w:color w:val="000000"/>
                <w:sz w:val="24"/>
              </w:rPr>
              <w:t>3</w:t>
            </w:r>
          </w:p>
        </w:tc>
        <w:tc>
          <w:tcPr>
            <w:tcW w:w="960" w:type="dxa"/>
            <w:tcBorders>
              <w:top w:val="nil"/>
              <w:left w:val="nil"/>
              <w:bottom w:val="nil"/>
              <w:right w:val="nil"/>
            </w:tcBorders>
            <w:shd w:val="clear" w:color="000000" w:fill="FFFFFF"/>
            <w:vAlign w:val="center"/>
            <w:hideMark/>
          </w:tcPr>
          <w:p w:rsidR="000B1143" w:rsidRPr="000B1143" w:rsidP="000B1143" w14:paraId="72AD3A4E" w14:textId="77777777">
            <w:pPr>
              <w:widowControl/>
              <w:autoSpaceDE/>
              <w:autoSpaceDN/>
              <w:adjustRightInd/>
              <w:jc w:val="center"/>
              <w:rPr>
                <w:rFonts w:ascii="Times New Roman" w:hAnsi="Times New Roman"/>
                <w:color w:val="000000"/>
                <w:sz w:val="24"/>
              </w:rPr>
            </w:pPr>
            <w:r w:rsidRPr="000B1143">
              <w:rPr>
                <w:rFonts w:ascii="Times New Roman" w:hAnsi="Times New Roman"/>
                <w:color w:val="000000"/>
                <w:sz w:val="24"/>
              </w:rPr>
              <w:t>18</w:t>
            </w:r>
          </w:p>
        </w:tc>
        <w:tc>
          <w:tcPr>
            <w:tcW w:w="960" w:type="dxa"/>
            <w:tcBorders>
              <w:top w:val="nil"/>
              <w:left w:val="nil"/>
              <w:bottom w:val="nil"/>
              <w:right w:val="nil"/>
            </w:tcBorders>
            <w:shd w:val="clear" w:color="000000" w:fill="FFFFFF"/>
            <w:vAlign w:val="center"/>
            <w:hideMark/>
          </w:tcPr>
          <w:p w:rsidR="000B1143" w:rsidRPr="000B1143" w:rsidP="000B1143" w14:paraId="7AA2C96E" w14:textId="77777777">
            <w:pPr>
              <w:widowControl/>
              <w:autoSpaceDE/>
              <w:autoSpaceDN/>
              <w:adjustRightInd/>
              <w:jc w:val="center"/>
              <w:rPr>
                <w:rFonts w:ascii="Times New Roman" w:hAnsi="Times New Roman"/>
                <w:color w:val="000000"/>
                <w:sz w:val="24"/>
              </w:rPr>
            </w:pPr>
            <w:r w:rsidRPr="000B1143">
              <w:rPr>
                <w:rFonts w:ascii="Times New Roman" w:hAnsi="Times New Roman"/>
                <w:color w:val="000000"/>
                <w:sz w:val="24"/>
              </w:rPr>
              <w:t>21</w:t>
            </w:r>
          </w:p>
        </w:tc>
        <w:tc>
          <w:tcPr>
            <w:tcW w:w="2260" w:type="dxa"/>
            <w:tcBorders>
              <w:top w:val="nil"/>
              <w:left w:val="nil"/>
              <w:bottom w:val="nil"/>
              <w:right w:val="double" w:sz="6" w:space="0" w:color="auto"/>
            </w:tcBorders>
            <w:shd w:val="clear" w:color="000000" w:fill="FFFFFF"/>
            <w:vAlign w:val="center"/>
            <w:hideMark/>
          </w:tcPr>
          <w:p w:rsidR="000B1143" w:rsidRPr="000B1143" w:rsidP="000B1143" w14:paraId="52166DFB" w14:textId="77777777">
            <w:pPr>
              <w:widowControl/>
              <w:autoSpaceDE/>
              <w:autoSpaceDN/>
              <w:adjustRightInd/>
              <w:jc w:val="center"/>
              <w:rPr>
                <w:rFonts w:ascii="Times New Roman" w:hAnsi="Times New Roman"/>
                <w:color w:val="000000"/>
                <w:sz w:val="24"/>
              </w:rPr>
            </w:pPr>
            <w:r w:rsidRPr="000B1143">
              <w:rPr>
                <w:rFonts w:ascii="Times New Roman" w:hAnsi="Times New Roman"/>
                <w:color w:val="000000"/>
                <w:sz w:val="24"/>
              </w:rPr>
              <w:t>1,887</w:t>
            </w:r>
          </w:p>
        </w:tc>
      </w:tr>
      <w:tr w14:paraId="420C8FD7" w14:textId="77777777" w:rsidTr="000B1143">
        <w:tblPrEx>
          <w:tblW w:w="7600" w:type="dxa"/>
          <w:tblInd w:w="131" w:type="dxa"/>
          <w:tblLook w:val="04A0"/>
        </w:tblPrEx>
        <w:trPr>
          <w:trHeight w:val="630"/>
        </w:trPr>
        <w:tc>
          <w:tcPr>
            <w:tcW w:w="1840" w:type="dxa"/>
            <w:tcBorders>
              <w:top w:val="nil"/>
              <w:left w:val="double" w:sz="6" w:space="0" w:color="auto"/>
              <w:bottom w:val="nil"/>
              <w:right w:val="single" w:sz="4" w:space="0" w:color="auto"/>
            </w:tcBorders>
            <w:shd w:val="clear" w:color="000000" w:fill="FFFFFF"/>
            <w:vAlign w:val="center"/>
            <w:hideMark/>
          </w:tcPr>
          <w:p w:rsidR="000B1143" w:rsidRPr="000B1143" w:rsidP="000B1143" w14:paraId="50CAF4B6" w14:textId="77777777">
            <w:pPr>
              <w:widowControl/>
              <w:autoSpaceDE/>
              <w:autoSpaceDN/>
              <w:adjustRightInd/>
              <w:rPr>
                <w:rFonts w:ascii="Times New Roman" w:hAnsi="Times New Roman"/>
                <w:color w:val="000000"/>
                <w:sz w:val="24"/>
              </w:rPr>
            </w:pPr>
            <w:r w:rsidRPr="000B1143">
              <w:rPr>
                <w:rFonts w:ascii="Times New Roman" w:hAnsi="Times New Roman"/>
                <w:color w:val="000000"/>
                <w:sz w:val="24"/>
              </w:rPr>
              <w:t>779/783.24</w:t>
            </w:r>
          </w:p>
        </w:tc>
        <w:tc>
          <w:tcPr>
            <w:tcW w:w="1580" w:type="dxa"/>
            <w:tcBorders>
              <w:top w:val="nil"/>
              <w:left w:val="nil"/>
              <w:bottom w:val="nil"/>
              <w:right w:val="nil"/>
            </w:tcBorders>
            <w:shd w:val="clear" w:color="000000" w:fill="FFFFFF"/>
            <w:vAlign w:val="center"/>
            <w:hideMark/>
          </w:tcPr>
          <w:p w:rsidR="000B1143" w:rsidRPr="000B1143" w:rsidP="000B1143" w14:paraId="151AC768" w14:textId="77777777">
            <w:pPr>
              <w:widowControl/>
              <w:autoSpaceDE/>
              <w:autoSpaceDN/>
              <w:adjustRightInd/>
              <w:jc w:val="center"/>
              <w:rPr>
                <w:rFonts w:ascii="Times New Roman" w:hAnsi="Times New Roman"/>
                <w:color w:val="000000"/>
                <w:sz w:val="24"/>
              </w:rPr>
            </w:pPr>
            <w:r w:rsidRPr="000B1143">
              <w:rPr>
                <w:rFonts w:ascii="Times New Roman" w:hAnsi="Times New Roman"/>
                <w:color w:val="000000"/>
                <w:sz w:val="24"/>
              </w:rPr>
              <w:t>10</w:t>
            </w:r>
          </w:p>
        </w:tc>
        <w:tc>
          <w:tcPr>
            <w:tcW w:w="960" w:type="dxa"/>
            <w:tcBorders>
              <w:top w:val="nil"/>
              <w:left w:val="nil"/>
              <w:bottom w:val="nil"/>
              <w:right w:val="nil"/>
            </w:tcBorders>
            <w:shd w:val="clear" w:color="000000" w:fill="FFFFFF"/>
            <w:vAlign w:val="center"/>
            <w:hideMark/>
          </w:tcPr>
          <w:p w:rsidR="000B1143" w:rsidRPr="000B1143" w:rsidP="000B1143" w14:paraId="3F6099BA" w14:textId="77777777">
            <w:pPr>
              <w:widowControl/>
              <w:autoSpaceDE/>
              <w:autoSpaceDN/>
              <w:adjustRightInd/>
              <w:jc w:val="center"/>
              <w:rPr>
                <w:rFonts w:ascii="Times New Roman" w:hAnsi="Times New Roman"/>
                <w:color w:val="000000"/>
                <w:sz w:val="24"/>
              </w:rPr>
            </w:pPr>
            <w:r w:rsidRPr="000B1143">
              <w:rPr>
                <w:rFonts w:ascii="Times New Roman" w:hAnsi="Times New Roman"/>
                <w:color w:val="000000"/>
                <w:sz w:val="24"/>
              </w:rPr>
              <w:t>180</w:t>
            </w:r>
          </w:p>
        </w:tc>
        <w:tc>
          <w:tcPr>
            <w:tcW w:w="960" w:type="dxa"/>
            <w:tcBorders>
              <w:top w:val="nil"/>
              <w:left w:val="nil"/>
              <w:bottom w:val="nil"/>
              <w:right w:val="nil"/>
            </w:tcBorders>
            <w:shd w:val="clear" w:color="000000" w:fill="FFFFFF"/>
            <w:vAlign w:val="center"/>
            <w:hideMark/>
          </w:tcPr>
          <w:p w:rsidR="000B1143" w:rsidRPr="000B1143" w:rsidP="000B1143" w14:paraId="77F65034" w14:textId="77777777">
            <w:pPr>
              <w:widowControl/>
              <w:autoSpaceDE/>
              <w:autoSpaceDN/>
              <w:adjustRightInd/>
              <w:jc w:val="center"/>
              <w:rPr>
                <w:rFonts w:ascii="Times New Roman" w:hAnsi="Times New Roman"/>
                <w:color w:val="000000"/>
                <w:sz w:val="24"/>
              </w:rPr>
            </w:pPr>
            <w:r w:rsidRPr="000B1143">
              <w:rPr>
                <w:rFonts w:ascii="Times New Roman" w:hAnsi="Times New Roman"/>
                <w:color w:val="000000"/>
                <w:sz w:val="24"/>
              </w:rPr>
              <w:t>190</w:t>
            </w:r>
          </w:p>
        </w:tc>
        <w:tc>
          <w:tcPr>
            <w:tcW w:w="2260" w:type="dxa"/>
            <w:tcBorders>
              <w:top w:val="nil"/>
              <w:left w:val="nil"/>
              <w:bottom w:val="nil"/>
              <w:right w:val="double" w:sz="6" w:space="0" w:color="auto"/>
            </w:tcBorders>
            <w:shd w:val="clear" w:color="000000" w:fill="FFFFFF"/>
            <w:vAlign w:val="center"/>
            <w:hideMark/>
          </w:tcPr>
          <w:p w:rsidR="000B1143" w:rsidRPr="000B1143" w:rsidP="000B1143" w14:paraId="3F6FE0B7" w14:textId="77777777">
            <w:pPr>
              <w:widowControl/>
              <w:autoSpaceDE/>
              <w:autoSpaceDN/>
              <w:adjustRightInd/>
              <w:jc w:val="center"/>
              <w:rPr>
                <w:rFonts w:ascii="Times New Roman" w:hAnsi="Times New Roman"/>
                <w:color w:val="000000"/>
                <w:sz w:val="24"/>
              </w:rPr>
            </w:pPr>
            <w:r w:rsidRPr="000B1143">
              <w:rPr>
                <w:rFonts w:ascii="Times New Roman" w:hAnsi="Times New Roman"/>
                <w:color w:val="000000"/>
                <w:sz w:val="24"/>
              </w:rPr>
              <w:t>17,075</w:t>
            </w:r>
          </w:p>
        </w:tc>
      </w:tr>
      <w:tr w14:paraId="5C0D7203" w14:textId="77777777" w:rsidTr="000B1143">
        <w:tblPrEx>
          <w:tblW w:w="7600" w:type="dxa"/>
          <w:tblInd w:w="131" w:type="dxa"/>
          <w:tblLook w:val="04A0"/>
        </w:tblPrEx>
        <w:trPr>
          <w:trHeight w:val="630"/>
        </w:trPr>
        <w:tc>
          <w:tcPr>
            <w:tcW w:w="1840" w:type="dxa"/>
            <w:tcBorders>
              <w:top w:val="nil"/>
              <w:left w:val="double" w:sz="6" w:space="0" w:color="auto"/>
              <w:bottom w:val="nil"/>
              <w:right w:val="single" w:sz="4" w:space="0" w:color="auto"/>
            </w:tcBorders>
            <w:shd w:val="clear" w:color="000000" w:fill="FFFFFF"/>
            <w:vAlign w:val="center"/>
            <w:hideMark/>
          </w:tcPr>
          <w:p w:rsidR="000B1143" w:rsidRPr="000B1143" w:rsidP="000B1143" w14:paraId="76F71041" w14:textId="77777777">
            <w:pPr>
              <w:widowControl/>
              <w:autoSpaceDE/>
              <w:autoSpaceDN/>
              <w:adjustRightInd/>
              <w:rPr>
                <w:rFonts w:ascii="Times New Roman" w:hAnsi="Times New Roman"/>
                <w:color w:val="000000"/>
                <w:sz w:val="24"/>
              </w:rPr>
            </w:pPr>
            <w:r w:rsidRPr="000B1143">
              <w:rPr>
                <w:rFonts w:ascii="Times New Roman" w:hAnsi="Times New Roman"/>
                <w:color w:val="000000"/>
                <w:sz w:val="24"/>
              </w:rPr>
              <w:t>779/783.25</w:t>
            </w:r>
          </w:p>
        </w:tc>
        <w:tc>
          <w:tcPr>
            <w:tcW w:w="1580" w:type="dxa"/>
            <w:tcBorders>
              <w:top w:val="nil"/>
              <w:left w:val="nil"/>
              <w:bottom w:val="nil"/>
              <w:right w:val="nil"/>
            </w:tcBorders>
            <w:shd w:val="clear" w:color="000000" w:fill="FFFFFF"/>
            <w:vAlign w:val="center"/>
            <w:hideMark/>
          </w:tcPr>
          <w:p w:rsidR="000B1143" w:rsidRPr="000B1143" w:rsidP="000B1143" w14:paraId="7F37960E" w14:textId="77777777">
            <w:pPr>
              <w:widowControl/>
              <w:autoSpaceDE/>
              <w:autoSpaceDN/>
              <w:adjustRightInd/>
              <w:jc w:val="center"/>
              <w:rPr>
                <w:rFonts w:ascii="Times New Roman" w:hAnsi="Times New Roman"/>
                <w:color w:val="000000"/>
                <w:sz w:val="24"/>
              </w:rPr>
            </w:pPr>
            <w:r w:rsidRPr="000B1143">
              <w:rPr>
                <w:rFonts w:ascii="Times New Roman" w:hAnsi="Times New Roman"/>
                <w:color w:val="000000"/>
                <w:sz w:val="24"/>
              </w:rPr>
              <w:t>10</w:t>
            </w:r>
          </w:p>
        </w:tc>
        <w:tc>
          <w:tcPr>
            <w:tcW w:w="960" w:type="dxa"/>
            <w:tcBorders>
              <w:top w:val="nil"/>
              <w:left w:val="nil"/>
              <w:bottom w:val="nil"/>
              <w:right w:val="nil"/>
            </w:tcBorders>
            <w:shd w:val="clear" w:color="000000" w:fill="FFFFFF"/>
            <w:vAlign w:val="center"/>
            <w:hideMark/>
          </w:tcPr>
          <w:p w:rsidR="000B1143" w:rsidRPr="000B1143" w:rsidP="000B1143" w14:paraId="12848E73" w14:textId="77777777">
            <w:pPr>
              <w:widowControl/>
              <w:autoSpaceDE/>
              <w:autoSpaceDN/>
              <w:adjustRightInd/>
              <w:jc w:val="center"/>
              <w:rPr>
                <w:rFonts w:ascii="Times New Roman" w:hAnsi="Times New Roman"/>
                <w:color w:val="000000"/>
                <w:sz w:val="24"/>
              </w:rPr>
            </w:pPr>
            <w:r w:rsidRPr="000B1143">
              <w:rPr>
                <w:rFonts w:ascii="Times New Roman" w:hAnsi="Times New Roman"/>
                <w:color w:val="000000"/>
                <w:sz w:val="24"/>
              </w:rPr>
              <w:t>240</w:t>
            </w:r>
          </w:p>
        </w:tc>
        <w:tc>
          <w:tcPr>
            <w:tcW w:w="960" w:type="dxa"/>
            <w:tcBorders>
              <w:top w:val="nil"/>
              <w:left w:val="nil"/>
              <w:bottom w:val="nil"/>
              <w:right w:val="nil"/>
            </w:tcBorders>
            <w:shd w:val="clear" w:color="000000" w:fill="FFFFFF"/>
            <w:vAlign w:val="center"/>
            <w:hideMark/>
          </w:tcPr>
          <w:p w:rsidR="000B1143" w:rsidRPr="000B1143" w:rsidP="000B1143" w14:paraId="025992E5" w14:textId="77777777">
            <w:pPr>
              <w:widowControl/>
              <w:autoSpaceDE/>
              <w:autoSpaceDN/>
              <w:adjustRightInd/>
              <w:jc w:val="center"/>
              <w:rPr>
                <w:rFonts w:ascii="Times New Roman" w:hAnsi="Times New Roman"/>
                <w:color w:val="000000"/>
                <w:sz w:val="24"/>
              </w:rPr>
            </w:pPr>
            <w:r w:rsidRPr="000B1143">
              <w:rPr>
                <w:rFonts w:ascii="Times New Roman" w:hAnsi="Times New Roman"/>
                <w:color w:val="000000"/>
                <w:sz w:val="24"/>
              </w:rPr>
              <w:t>250</w:t>
            </w:r>
          </w:p>
        </w:tc>
        <w:tc>
          <w:tcPr>
            <w:tcW w:w="2260" w:type="dxa"/>
            <w:tcBorders>
              <w:top w:val="nil"/>
              <w:left w:val="nil"/>
              <w:bottom w:val="nil"/>
              <w:right w:val="double" w:sz="6" w:space="0" w:color="auto"/>
            </w:tcBorders>
            <w:shd w:val="clear" w:color="000000" w:fill="FFFFFF"/>
            <w:vAlign w:val="center"/>
            <w:hideMark/>
          </w:tcPr>
          <w:p w:rsidR="000B1143" w:rsidRPr="000B1143" w:rsidP="000B1143" w14:paraId="416508C0" w14:textId="77777777">
            <w:pPr>
              <w:widowControl/>
              <w:autoSpaceDE/>
              <w:autoSpaceDN/>
              <w:adjustRightInd/>
              <w:jc w:val="center"/>
              <w:rPr>
                <w:rFonts w:ascii="Times New Roman" w:hAnsi="Times New Roman"/>
                <w:color w:val="000000"/>
                <w:sz w:val="24"/>
              </w:rPr>
            </w:pPr>
            <w:r w:rsidRPr="000B1143">
              <w:rPr>
                <w:rFonts w:ascii="Times New Roman" w:hAnsi="Times New Roman"/>
                <w:color w:val="000000"/>
                <w:sz w:val="24"/>
              </w:rPr>
              <w:t>22,468</w:t>
            </w:r>
          </w:p>
        </w:tc>
      </w:tr>
      <w:tr w14:paraId="480D05C9" w14:textId="77777777" w:rsidTr="000B1143">
        <w:tblPrEx>
          <w:tblW w:w="7600" w:type="dxa"/>
          <w:tblInd w:w="131" w:type="dxa"/>
          <w:tblLook w:val="04A0"/>
        </w:tblPrEx>
        <w:trPr>
          <w:trHeight w:val="630"/>
        </w:trPr>
        <w:tc>
          <w:tcPr>
            <w:tcW w:w="1840" w:type="dxa"/>
            <w:tcBorders>
              <w:top w:val="nil"/>
              <w:left w:val="double" w:sz="6" w:space="0" w:color="auto"/>
              <w:bottom w:val="double" w:sz="6" w:space="0" w:color="auto"/>
              <w:right w:val="single" w:sz="4" w:space="0" w:color="auto"/>
            </w:tcBorders>
            <w:shd w:val="clear" w:color="000000" w:fill="FFFFFF"/>
            <w:vAlign w:val="center"/>
            <w:hideMark/>
          </w:tcPr>
          <w:p w:rsidR="000B1143" w:rsidRPr="000B1143" w:rsidP="000B1143" w14:paraId="0ADBB9C8" w14:textId="77777777">
            <w:pPr>
              <w:widowControl/>
              <w:autoSpaceDE/>
              <w:autoSpaceDN/>
              <w:adjustRightInd/>
              <w:rPr>
                <w:rFonts w:ascii="Times New Roman" w:hAnsi="Times New Roman"/>
                <w:color w:val="000000"/>
                <w:sz w:val="24"/>
              </w:rPr>
            </w:pPr>
            <w:r w:rsidRPr="000B1143">
              <w:rPr>
                <w:rFonts w:ascii="Times New Roman" w:hAnsi="Times New Roman"/>
                <w:color w:val="000000"/>
                <w:sz w:val="24"/>
              </w:rPr>
              <w:t>Total</w:t>
            </w:r>
          </w:p>
        </w:tc>
        <w:tc>
          <w:tcPr>
            <w:tcW w:w="1580" w:type="dxa"/>
            <w:tcBorders>
              <w:top w:val="nil"/>
              <w:left w:val="nil"/>
              <w:bottom w:val="double" w:sz="6" w:space="0" w:color="auto"/>
              <w:right w:val="nil"/>
            </w:tcBorders>
            <w:shd w:val="clear" w:color="000000" w:fill="FFFFFF"/>
            <w:vAlign w:val="center"/>
            <w:hideMark/>
          </w:tcPr>
          <w:p w:rsidR="000B1143" w:rsidRPr="000B1143" w:rsidP="000B1143" w14:paraId="2A72D538" w14:textId="77777777">
            <w:pPr>
              <w:widowControl/>
              <w:autoSpaceDE/>
              <w:autoSpaceDN/>
              <w:adjustRightInd/>
              <w:jc w:val="center"/>
              <w:rPr>
                <w:rFonts w:ascii="Times New Roman" w:hAnsi="Times New Roman"/>
                <w:color w:val="000000"/>
                <w:sz w:val="24"/>
              </w:rPr>
            </w:pPr>
            <w:r w:rsidRPr="000B1143">
              <w:rPr>
                <w:rFonts w:ascii="Times New Roman" w:hAnsi="Times New Roman"/>
                <w:color w:val="000000"/>
                <w:sz w:val="24"/>
              </w:rPr>
              <w:t>34</w:t>
            </w:r>
          </w:p>
        </w:tc>
        <w:tc>
          <w:tcPr>
            <w:tcW w:w="960" w:type="dxa"/>
            <w:tcBorders>
              <w:top w:val="nil"/>
              <w:left w:val="nil"/>
              <w:bottom w:val="double" w:sz="6" w:space="0" w:color="auto"/>
              <w:right w:val="nil"/>
            </w:tcBorders>
            <w:shd w:val="clear" w:color="000000" w:fill="FFFFFF"/>
            <w:vAlign w:val="center"/>
            <w:hideMark/>
          </w:tcPr>
          <w:p w:rsidR="000B1143" w:rsidRPr="000B1143" w:rsidP="000B1143" w14:paraId="126A9B97" w14:textId="77777777">
            <w:pPr>
              <w:widowControl/>
              <w:autoSpaceDE/>
              <w:autoSpaceDN/>
              <w:adjustRightInd/>
              <w:jc w:val="center"/>
              <w:rPr>
                <w:rFonts w:ascii="Times New Roman" w:hAnsi="Times New Roman"/>
                <w:color w:val="000000"/>
                <w:sz w:val="24"/>
              </w:rPr>
            </w:pPr>
            <w:r w:rsidRPr="000B1143">
              <w:rPr>
                <w:rFonts w:ascii="Times New Roman" w:hAnsi="Times New Roman"/>
                <w:color w:val="000000"/>
                <w:sz w:val="24"/>
              </w:rPr>
              <w:t>924</w:t>
            </w:r>
          </w:p>
        </w:tc>
        <w:tc>
          <w:tcPr>
            <w:tcW w:w="960" w:type="dxa"/>
            <w:tcBorders>
              <w:top w:val="nil"/>
              <w:left w:val="nil"/>
              <w:bottom w:val="double" w:sz="6" w:space="0" w:color="auto"/>
              <w:right w:val="nil"/>
            </w:tcBorders>
            <w:shd w:val="clear" w:color="000000" w:fill="FFFFFF"/>
            <w:vAlign w:val="center"/>
            <w:hideMark/>
          </w:tcPr>
          <w:p w:rsidR="000B1143" w:rsidRPr="000B1143" w:rsidP="000B1143" w14:paraId="1EDFA5F5" w14:textId="77777777">
            <w:pPr>
              <w:widowControl/>
              <w:autoSpaceDE/>
              <w:autoSpaceDN/>
              <w:adjustRightInd/>
              <w:jc w:val="center"/>
              <w:rPr>
                <w:rFonts w:ascii="Times New Roman" w:hAnsi="Times New Roman"/>
                <w:color w:val="000000"/>
                <w:sz w:val="24"/>
              </w:rPr>
            </w:pPr>
            <w:r w:rsidRPr="000B1143">
              <w:rPr>
                <w:rFonts w:ascii="Times New Roman" w:hAnsi="Times New Roman"/>
                <w:color w:val="000000"/>
                <w:sz w:val="24"/>
              </w:rPr>
              <w:t>958</w:t>
            </w:r>
          </w:p>
        </w:tc>
        <w:tc>
          <w:tcPr>
            <w:tcW w:w="2260" w:type="dxa"/>
            <w:tcBorders>
              <w:top w:val="nil"/>
              <w:left w:val="nil"/>
              <w:bottom w:val="double" w:sz="6" w:space="0" w:color="auto"/>
              <w:right w:val="double" w:sz="6" w:space="0" w:color="auto"/>
            </w:tcBorders>
            <w:shd w:val="clear" w:color="000000" w:fill="FFFFFF"/>
            <w:vAlign w:val="center"/>
            <w:hideMark/>
          </w:tcPr>
          <w:p w:rsidR="000B1143" w:rsidRPr="000B1143" w:rsidP="000B1143" w14:paraId="04EE6107" w14:textId="77777777">
            <w:pPr>
              <w:widowControl/>
              <w:autoSpaceDE/>
              <w:autoSpaceDN/>
              <w:adjustRightInd/>
              <w:jc w:val="center"/>
              <w:rPr>
                <w:rFonts w:ascii="Times New Roman" w:hAnsi="Times New Roman"/>
                <w:color w:val="000000"/>
                <w:sz w:val="24"/>
              </w:rPr>
            </w:pPr>
            <w:r w:rsidRPr="000B1143">
              <w:rPr>
                <w:rFonts w:ascii="Times New Roman" w:hAnsi="Times New Roman"/>
                <w:color w:val="000000"/>
                <w:sz w:val="24"/>
              </w:rPr>
              <w:t>86,095</w:t>
            </w:r>
          </w:p>
        </w:tc>
      </w:tr>
    </w:tbl>
    <w:p w:rsidR="00EF60C1" w:rsidRPr="00780BC6" w:rsidP="00EF60C1" w14:paraId="4CB4F970"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rPr>
      </w:pPr>
    </w:p>
    <w:p w:rsidR="008511AE" w14:paraId="747A7103" w14:textId="3582104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b/>
          <w:i/>
          <w:sz w:val="24"/>
        </w:rPr>
      </w:pPr>
      <w:r>
        <w:rPr>
          <w:rFonts w:ascii="Times New Roman" w:hAnsi="Times New Roman"/>
          <w:b/>
          <w:i/>
          <w:sz w:val="24"/>
        </w:rPr>
        <w:br/>
      </w:r>
      <w:r>
        <w:rPr>
          <w:rFonts w:ascii="Times New Roman" w:hAnsi="Times New Roman"/>
          <w:b/>
          <w:i/>
          <w:sz w:val="24"/>
        </w:rPr>
        <w:br/>
      </w:r>
      <w:r>
        <w:rPr>
          <w:rFonts w:ascii="Times New Roman" w:hAnsi="Times New Roman"/>
          <w:b/>
          <w:i/>
          <w:sz w:val="24"/>
        </w:rPr>
        <w:br/>
      </w:r>
      <w:r>
        <w:rPr>
          <w:rFonts w:ascii="Times New Roman" w:hAnsi="Times New Roman"/>
          <w:b/>
          <w:i/>
          <w:sz w:val="24"/>
        </w:rPr>
        <w:br/>
      </w:r>
      <w:r>
        <w:rPr>
          <w:rFonts w:ascii="Times New Roman" w:hAnsi="Times New Roman"/>
          <w:b/>
          <w:i/>
          <w:sz w:val="24"/>
        </w:rPr>
        <w:br/>
      </w:r>
      <w:r>
        <w:rPr>
          <w:rFonts w:ascii="Times New Roman" w:hAnsi="Times New Roman"/>
          <w:b/>
          <w:i/>
          <w:sz w:val="24"/>
        </w:rPr>
        <w:br/>
      </w:r>
      <w:r w:rsidR="005C76CF">
        <w:rPr>
          <w:rFonts w:ascii="Times New Roman" w:hAnsi="Times New Roman"/>
          <w:b/>
          <w:i/>
          <w:sz w:val="24"/>
        </w:rPr>
        <w:br/>
      </w:r>
    </w:p>
    <w:p w:rsidR="00A57FED" w:rsidRPr="004C02E6" w:rsidP="00A57FED" w14:paraId="1A4E3FA0" w14:textId="35AC50C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Pr>
          <w:rFonts w:ascii="Times New Roman" w:hAnsi="Times New Roman"/>
          <w:b/>
          <w:i/>
          <w:sz w:val="24"/>
        </w:rPr>
        <w:br/>
      </w:r>
      <w:r>
        <w:rPr>
          <w:rFonts w:ascii="Times New Roman" w:hAnsi="Times New Roman"/>
          <w:b/>
          <w:i/>
          <w:sz w:val="24"/>
        </w:rPr>
        <w:br/>
      </w:r>
      <w:r>
        <w:rPr>
          <w:rFonts w:ascii="Times New Roman" w:hAnsi="Times New Roman"/>
          <w:b/>
          <w:i/>
          <w:sz w:val="24"/>
        </w:rPr>
        <w:br/>
      </w:r>
    </w:p>
    <w:p w:rsidR="00A57FED" w:rsidRPr="004C02E6" w:rsidP="00A57FED" w14:paraId="46EBA103"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p>
    <w:p w:rsidR="00971327" w:rsidRPr="007B0E32" w:rsidP="00971327" w14:paraId="11BBA94B" w14:textId="6B2ADE7B">
      <w:pPr>
        <w:pStyle w:val="BodyTextIndent3"/>
      </w:pPr>
      <w:r w:rsidRPr="004C02E6">
        <w:rPr>
          <w:b/>
          <w:i/>
        </w:rPr>
        <w:t>15.</w:t>
      </w:r>
      <w:r w:rsidRPr="004C02E6">
        <w:rPr>
          <w:b/>
          <w:i/>
        </w:rPr>
        <w:tab/>
        <w:t>Explain the reasons for any program changes or adjustments in hour or cost burden.</w:t>
      </w:r>
      <w:r>
        <w:rPr>
          <w:b/>
          <w:i/>
        </w:rPr>
        <w:br/>
      </w:r>
      <w:r>
        <w:rPr>
          <w:b/>
          <w:i/>
        </w:rPr>
        <w:br/>
      </w:r>
      <w:r w:rsidRPr="000C6DDC">
        <w:t xml:space="preserve">There are </w:t>
      </w:r>
      <w:r w:rsidR="00CC0B10">
        <w:t>108,855</w:t>
      </w:r>
      <w:r w:rsidR="00A203E9">
        <w:t xml:space="preserve"> </w:t>
      </w:r>
      <w:r w:rsidRPr="000C6DDC">
        <w:t xml:space="preserve">hours </w:t>
      </w:r>
      <w:r w:rsidR="00A203E9">
        <w:t xml:space="preserve">currently </w:t>
      </w:r>
      <w:r w:rsidRPr="000C6DDC">
        <w:t xml:space="preserve">approved for </w:t>
      </w:r>
      <w:r w:rsidR="00A203E9">
        <w:t xml:space="preserve">all sections </w:t>
      </w:r>
      <w:r w:rsidR="005B6BAB">
        <w:t>(</w:t>
      </w:r>
      <w:r w:rsidR="00A203E9">
        <w:t xml:space="preserve">Parts </w:t>
      </w:r>
      <w:r w:rsidRPr="00A203E9" w:rsidR="00A203E9">
        <w:t>779/783</w:t>
      </w:r>
      <w:r w:rsidR="005B6BAB">
        <w:t>)</w:t>
      </w:r>
      <w:r>
        <w:t>.</w:t>
      </w:r>
      <w:r w:rsidRPr="004C02E6">
        <w:t xml:space="preserve"> </w:t>
      </w:r>
      <w:r>
        <w:t xml:space="preserve"> </w:t>
      </w:r>
      <w:r w:rsidRPr="004C02E6">
        <w:t xml:space="preserve">This information collection request </w:t>
      </w:r>
      <w:r w:rsidR="00CC0B10">
        <w:t>reduces</w:t>
      </w:r>
      <w:r w:rsidR="00A203E9">
        <w:t xml:space="preserve"> burden hours by </w:t>
      </w:r>
      <w:r w:rsidR="00CC0B10">
        <w:t>22</w:t>
      </w:r>
      <w:r w:rsidR="00A203E9">
        <w:t>,</w:t>
      </w:r>
      <w:r w:rsidR="00CC0B10">
        <w:t>079</w:t>
      </w:r>
      <w:r w:rsidR="00A203E9">
        <w:t xml:space="preserve">. </w:t>
      </w:r>
      <w:r>
        <w:t xml:space="preserve">This </w:t>
      </w:r>
      <w:r w:rsidRPr="007B0E32">
        <w:t>adjustment</w:t>
      </w:r>
      <w:r>
        <w:t xml:space="preserve"> </w:t>
      </w:r>
      <w:r w:rsidR="00CC0B10">
        <w:t xml:space="preserve">is the result of reduced annual permitting activity from </w:t>
      </w:r>
      <w:r w:rsidR="00A203E9">
        <w:t xml:space="preserve">applications submitted by </w:t>
      </w:r>
      <w:r>
        <w:t>respondent</w:t>
      </w:r>
      <w:r w:rsidR="00A203E9">
        <w:t>s</w:t>
      </w:r>
      <w:r w:rsidR="003A5AD7">
        <w:t>.</w:t>
      </w:r>
      <w:r>
        <w:t xml:space="preserve"> </w:t>
      </w:r>
      <w:r w:rsidR="003A5AD7">
        <w:t xml:space="preserve">Total </w:t>
      </w:r>
      <w:r w:rsidRPr="007B0E32">
        <w:t>burden</w:t>
      </w:r>
      <w:r w:rsidR="003A5AD7">
        <w:t xml:space="preserve"> hours</w:t>
      </w:r>
      <w:r w:rsidRPr="007B0E32">
        <w:t xml:space="preserve"> will change as follows:</w:t>
      </w:r>
    </w:p>
    <w:p w:rsidR="00971327" w:rsidRPr="007B0E32" w:rsidP="00971327" w14:paraId="675A6E85" w14:textId="77777777">
      <w:pPr>
        <w:tabs>
          <w:tab w:val="left" w:pos="720"/>
        </w:tabs>
        <w:ind w:left="180"/>
        <w:rPr>
          <w:rFonts w:ascii="Times New Roman" w:hAnsi="Times New Roman"/>
          <w:sz w:val="24"/>
        </w:rPr>
      </w:pPr>
    </w:p>
    <w:p w:rsidR="00971327" w:rsidRPr="007B0E32" w:rsidP="00971327" w14:paraId="134EE113" w14:textId="0A25CE3E">
      <w:pPr>
        <w:tabs>
          <w:tab w:val="left" w:pos="900"/>
          <w:tab w:val="left" w:pos="1440"/>
        </w:tabs>
        <w:ind w:left="720"/>
        <w:rPr>
          <w:rFonts w:ascii="Times New Roman" w:hAnsi="Times New Roman"/>
          <w:sz w:val="24"/>
        </w:rPr>
      </w:pPr>
      <w:r>
        <w:rPr>
          <w:rFonts w:ascii="Times New Roman" w:hAnsi="Times New Roman"/>
          <w:sz w:val="24"/>
        </w:rPr>
        <w:tab/>
        <w:t xml:space="preserve">   </w:t>
      </w:r>
      <w:r w:rsidR="00CC0B10">
        <w:rPr>
          <w:rFonts w:ascii="Times New Roman" w:hAnsi="Times New Roman"/>
          <w:sz w:val="24"/>
        </w:rPr>
        <w:t>108,855</w:t>
      </w:r>
      <w:r>
        <w:rPr>
          <w:rFonts w:ascii="Times New Roman" w:hAnsi="Times New Roman"/>
          <w:sz w:val="24"/>
        </w:rPr>
        <w:t xml:space="preserve">  </w:t>
      </w:r>
      <w:r w:rsidRPr="007B0E32">
        <w:rPr>
          <w:rFonts w:ascii="Times New Roman" w:hAnsi="Times New Roman"/>
          <w:sz w:val="24"/>
        </w:rPr>
        <w:t>hours currently approved</w:t>
      </w:r>
    </w:p>
    <w:p w:rsidR="00971327" w:rsidRPr="007B0E32" w:rsidP="00971327" w14:paraId="541D59F0" w14:textId="63A4C5A9">
      <w:pPr>
        <w:tabs>
          <w:tab w:val="left" w:pos="900"/>
          <w:tab w:val="left" w:pos="1440"/>
        </w:tabs>
        <w:ind w:left="720"/>
        <w:rPr>
          <w:rFonts w:ascii="Times New Roman" w:hAnsi="Times New Roman"/>
          <w:sz w:val="24"/>
        </w:rPr>
      </w:pPr>
      <w:r w:rsidRPr="007B0E32">
        <w:rPr>
          <w:rFonts w:ascii="Times New Roman" w:hAnsi="Times New Roman"/>
          <w:sz w:val="24"/>
          <w:u w:val="single"/>
        </w:rPr>
        <w:t>-</w:t>
      </w:r>
      <w:r>
        <w:rPr>
          <w:rFonts w:ascii="Times New Roman" w:hAnsi="Times New Roman"/>
          <w:sz w:val="24"/>
          <w:u w:val="single"/>
        </w:rPr>
        <w:tab/>
        <w:t xml:space="preserve">   </w:t>
      </w:r>
      <w:r w:rsidR="00CC0B10">
        <w:rPr>
          <w:rFonts w:ascii="Times New Roman" w:hAnsi="Times New Roman"/>
          <w:sz w:val="24"/>
          <w:u w:val="single"/>
        </w:rPr>
        <w:t>22</w:t>
      </w:r>
      <w:r w:rsidR="009722D5">
        <w:rPr>
          <w:rFonts w:ascii="Times New Roman" w:hAnsi="Times New Roman"/>
          <w:sz w:val="24"/>
          <w:u w:val="single"/>
        </w:rPr>
        <w:t>,</w:t>
      </w:r>
      <w:r w:rsidR="00CC0B10">
        <w:rPr>
          <w:rFonts w:ascii="Times New Roman" w:hAnsi="Times New Roman"/>
          <w:sz w:val="24"/>
          <w:u w:val="single"/>
        </w:rPr>
        <w:t>079</w:t>
      </w:r>
      <w:r w:rsidRPr="007B0E32">
        <w:rPr>
          <w:rFonts w:ascii="Times New Roman" w:hAnsi="Times New Roman"/>
          <w:sz w:val="24"/>
        </w:rPr>
        <w:t xml:space="preserve"> </w:t>
      </w:r>
      <w:r>
        <w:rPr>
          <w:rFonts w:ascii="Times New Roman" w:hAnsi="Times New Roman"/>
          <w:sz w:val="24"/>
        </w:rPr>
        <w:t xml:space="preserve"> </w:t>
      </w:r>
      <w:r w:rsidRPr="007B0E32">
        <w:rPr>
          <w:rFonts w:ascii="Times New Roman" w:hAnsi="Times New Roman"/>
          <w:sz w:val="24"/>
        </w:rPr>
        <w:t>hours due to an adjustment</w:t>
      </w:r>
      <w:r w:rsidR="0073792C">
        <w:rPr>
          <w:rFonts w:ascii="Times New Roman" w:hAnsi="Times New Roman"/>
          <w:sz w:val="24"/>
        </w:rPr>
        <w:t xml:space="preserve"> </w:t>
      </w:r>
    </w:p>
    <w:p w:rsidR="00971327" w:rsidRPr="007B0E32" w:rsidP="00971327" w14:paraId="05102355" w14:textId="0B60BE86">
      <w:pPr>
        <w:tabs>
          <w:tab w:val="left" w:pos="900"/>
          <w:tab w:val="left" w:pos="1800"/>
        </w:tabs>
        <w:ind w:left="720"/>
        <w:rPr>
          <w:rFonts w:ascii="Times New Roman" w:hAnsi="Times New Roman"/>
          <w:sz w:val="24"/>
        </w:rPr>
      </w:pPr>
      <w:r>
        <w:rPr>
          <w:rFonts w:ascii="Times New Roman" w:hAnsi="Times New Roman"/>
          <w:sz w:val="24"/>
        </w:rPr>
        <w:tab/>
        <w:t xml:space="preserve">   </w:t>
      </w:r>
      <w:r w:rsidR="00CC0B10">
        <w:rPr>
          <w:rFonts w:ascii="Times New Roman" w:hAnsi="Times New Roman"/>
          <w:sz w:val="24"/>
        </w:rPr>
        <w:t>86,776</w:t>
      </w:r>
      <w:r>
        <w:rPr>
          <w:rFonts w:ascii="Times New Roman" w:hAnsi="Times New Roman"/>
          <w:sz w:val="24"/>
        </w:rPr>
        <w:t xml:space="preserve"> </w:t>
      </w:r>
      <w:r w:rsidRPr="007B0E32">
        <w:rPr>
          <w:rFonts w:ascii="Times New Roman" w:hAnsi="Times New Roman"/>
          <w:sz w:val="24"/>
        </w:rPr>
        <w:t>hours requested</w:t>
      </w:r>
    </w:p>
    <w:p w:rsidR="00A57FED" w:rsidRPr="004C02E6" w:rsidP="00A57FED" w14:paraId="588CB94B" w14:textId="572830D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Pr>
          <w:rFonts w:ascii="Times New Roman" w:hAnsi="Times New Roman"/>
          <w:b/>
          <w:i/>
          <w:sz w:val="24"/>
        </w:rPr>
        <w:br/>
      </w:r>
      <w:r>
        <w:rPr>
          <w:rFonts w:ascii="Times New Roman" w:hAnsi="Times New Roman"/>
          <w:b/>
          <w:i/>
          <w:sz w:val="24"/>
        </w:rPr>
        <w:br/>
      </w:r>
    </w:p>
    <w:p w:rsidR="00A57FED" w:rsidRPr="004C02E6" w:rsidP="00A57FED" w14:paraId="29AD5DD8"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p>
    <w:p w:rsidR="009C2E03" w:rsidRPr="004C02E6" w:rsidP="009C2E03" w14:paraId="36B7A9FC" w14:textId="77777777">
      <w:pPr>
        <w:tabs>
          <w:tab w:val="left" w:pos="-1440"/>
        </w:tabs>
        <w:ind w:left="720" w:hanging="720"/>
        <w:rPr>
          <w:rFonts w:ascii="Times New Roman" w:hAnsi="Times New Roman"/>
          <w:sz w:val="24"/>
        </w:rPr>
      </w:pPr>
      <w:r w:rsidRPr="004C02E6">
        <w:rPr>
          <w:rFonts w:ascii="Times New Roman" w:hAnsi="Times New Roman"/>
          <w:b/>
          <w:i/>
          <w:sz w:val="24"/>
        </w:rPr>
        <w:t>16.</w:t>
      </w:r>
      <w:r w:rsidRPr="004C02E6">
        <w:rPr>
          <w:rFonts w:ascii="Times New Roman" w:hAnsi="Times New Roman"/>
          <w:b/>
          <w:i/>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Pr>
          <w:rFonts w:ascii="Times New Roman" w:hAnsi="Times New Roman"/>
          <w:b/>
          <w:i/>
          <w:sz w:val="24"/>
        </w:rPr>
        <w:br/>
      </w:r>
      <w:r>
        <w:rPr>
          <w:rFonts w:ascii="Times New Roman" w:hAnsi="Times New Roman"/>
          <w:b/>
          <w:i/>
          <w:sz w:val="24"/>
        </w:rPr>
        <w:br/>
      </w:r>
      <w:r>
        <w:rPr>
          <w:rFonts w:ascii="Times New Roman" w:hAnsi="Times New Roman"/>
          <w:b/>
          <w:i/>
          <w:sz w:val="24"/>
        </w:rPr>
        <w:br/>
      </w:r>
      <w:r w:rsidRPr="004C02E6">
        <w:rPr>
          <w:rFonts w:ascii="Times New Roman" w:hAnsi="Times New Roman"/>
          <w:sz w:val="24"/>
        </w:rPr>
        <w:t>There are no plans for publication of this information.</w:t>
      </w:r>
    </w:p>
    <w:p w:rsidR="00A57FED" w:rsidRPr="004C02E6" w:rsidP="00A57FED" w14:paraId="7AF5FB03" w14:textId="3F00EF4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p>
    <w:p w:rsidR="00A57FED" w:rsidRPr="004C02E6" w:rsidP="00A57FED" w14:paraId="49AB903C"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p>
    <w:p w:rsidR="00266312" w:rsidRPr="004C02E6" w:rsidP="00266312" w14:paraId="2D0D261D" w14:textId="77777777">
      <w:pPr>
        <w:tabs>
          <w:tab w:val="left" w:pos="-1440"/>
        </w:tabs>
        <w:ind w:left="720" w:hanging="720"/>
        <w:rPr>
          <w:rFonts w:ascii="Times New Roman" w:hAnsi="Times New Roman"/>
          <w:sz w:val="24"/>
        </w:rPr>
      </w:pPr>
      <w:r w:rsidRPr="004C02E6">
        <w:rPr>
          <w:rFonts w:ascii="Times New Roman" w:hAnsi="Times New Roman"/>
          <w:b/>
          <w:i/>
          <w:sz w:val="24"/>
        </w:rPr>
        <w:t>17.</w:t>
      </w:r>
      <w:r w:rsidRPr="004C02E6">
        <w:rPr>
          <w:rFonts w:ascii="Times New Roman" w:hAnsi="Times New Roman"/>
          <w:b/>
          <w:i/>
          <w:sz w:val="24"/>
        </w:rPr>
        <w:tab/>
        <w:t>If seeking approval to not display the expiration date for OMB approval of the information collection, explain the reasons that display would be inappropriate.</w:t>
      </w:r>
      <w:r>
        <w:rPr>
          <w:rFonts w:ascii="Times New Roman" w:hAnsi="Times New Roman"/>
          <w:b/>
          <w:i/>
          <w:sz w:val="24"/>
        </w:rPr>
        <w:br/>
      </w:r>
      <w:r>
        <w:rPr>
          <w:rFonts w:ascii="Times New Roman" w:hAnsi="Times New Roman"/>
          <w:b/>
          <w:i/>
          <w:sz w:val="24"/>
        </w:rPr>
        <w:br/>
      </w:r>
      <w:r>
        <w:rPr>
          <w:rFonts w:ascii="Times New Roman" w:hAnsi="Times New Roman"/>
          <w:b/>
          <w:i/>
          <w:sz w:val="24"/>
        </w:rPr>
        <w:br/>
      </w:r>
      <w:r>
        <w:rPr>
          <w:rFonts w:ascii="Times New Roman" w:hAnsi="Times New Roman"/>
          <w:sz w:val="24"/>
        </w:rPr>
        <w:t>OSMRE</w:t>
      </w:r>
      <w:r w:rsidRPr="004C02E6">
        <w:rPr>
          <w:rFonts w:ascii="Times New Roman" w:hAnsi="Times New Roman"/>
          <w:sz w:val="24"/>
        </w:rPr>
        <w:t xml:space="preserve"> is not seeking a waiver from the requirement to display the expiration date for OMB approval, when appropriate.</w:t>
      </w:r>
    </w:p>
    <w:p w:rsidR="00266312" w:rsidRPr="004C02E6" w:rsidP="00266312" w14:paraId="6C7BF249" w14:textId="77777777">
      <w:pPr>
        <w:rPr>
          <w:rFonts w:ascii="Times New Roman" w:hAnsi="Times New Roman"/>
          <w:sz w:val="24"/>
        </w:rPr>
      </w:pPr>
    </w:p>
    <w:p w:rsidR="00A57FED" w:rsidRPr="004C02E6" w:rsidP="00A57FED" w14:paraId="55C9283C" w14:textId="6A0ACCD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p>
    <w:p w:rsidR="00A57FED" w:rsidRPr="004C02E6" w:rsidP="00A57FED" w14:paraId="211968DB"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p>
    <w:p w:rsidR="006A0150" w:rsidRPr="00985FDE" w:rsidP="006A0150" w14:paraId="33129993" w14:textId="77777777">
      <w:pPr>
        <w:tabs>
          <w:tab w:val="left" w:pos="-1440"/>
        </w:tabs>
        <w:ind w:left="720" w:hanging="720"/>
        <w:rPr>
          <w:rFonts w:ascii="Times New Roman" w:hAnsi="Times New Roman"/>
          <w:sz w:val="24"/>
        </w:rPr>
      </w:pPr>
      <w:r w:rsidRPr="004C02E6">
        <w:rPr>
          <w:rFonts w:ascii="Times New Roman" w:hAnsi="Times New Roman"/>
          <w:b/>
          <w:i/>
          <w:sz w:val="24"/>
        </w:rPr>
        <w:t>18.</w:t>
      </w:r>
      <w:r w:rsidRPr="004C02E6">
        <w:rPr>
          <w:rFonts w:ascii="Times New Roman" w:hAnsi="Times New Roman"/>
          <w:b/>
          <w:i/>
          <w:sz w:val="24"/>
        </w:rPr>
        <w:tab/>
        <w:t>Explain each exception to the topics of the certification statement identified in "Certification for Paperwork Reduction Act Submissions."</w:t>
      </w:r>
      <w:r>
        <w:rPr>
          <w:rFonts w:ascii="Times New Roman" w:hAnsi="Times New Roman"/>
          <w:b/>
          <w:i/>
          <w:sz w:val="24"/>
        </w:rPr>
        <w:br/>
      </w:r>
      <w:r>
        <w:rPr>
          <w:rFonts w:ascii="Times New Roman" w:hAnsi="Times New Roman"/>
          <w:b/>
          <w:i/>
          <w:sz w:val="24"/>
        </w:rPr>
        <w:br/>
      </w:r>
      <w:r>
        <w:rPr>
          <w:rFonts w:ascii="Times New Roman" w:hAnsi="Times New Roman"/>
          <w:b/>
          <w:i/>
          <w:sz w:val="24"/>
        </w:rPr>
        <w:br/>
      </w:r>
      <w:r>
        <w:rPr>
          <w:rFonts w:ascii="Times New Roman" w:hAnsi="Times New Roman"/>
          <w:b/>
          <w:i/>
          <w:sz w:val="24"/>
        </w:rPr>
        <w:br/>
      </w:r>
      <w:r w:rsidRPr="004C02E6">
        <w:rPr>
          <w:rFonts w:ascii="Times New Roman" w:hAnsi="Times New Roman"/>
          <w:sz w:val="24"/>
        </w:rPr>
        <w:t xml:space="preserve">There is no exception to </w:t>
      </w:r>
      <w:r w:rsidRPr="00985FDE">
        <w:rPr>
          <w:rFonts w:ascii="Times New Roman" w:hAnsi="Times New Roman"/>
          <w:sz w:val="24"/>
        </w:rPr>
        <w:t>the "Certification for Paperwork Reduction Act Submissions."</w:t>
      </w:r>
    </w:p>
    <w:p w:rsidR="00226991" w:rsidRPr="004C02E6" w:rsidP="003A5AD7" w14:paraId="66A9FB91" w14:textId="481FF5D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sectPr w:rsidSect="002F00BB">
      <w:footerReference w:type="even" r:id="rId9"/>
      <w:footerReference w:type="default" r:id="rId10"/>
      <w:endnotePr>
        <w:numFmt w:val="decimal"/>
      </w:endnotePr>
      <w:type w:val="continuous"/>
      <w:pgSz w:w="12240" w:h="15840"/>
      <w:pgMar w:top="1440" w:right="1440" w:bottom="1440" w:left="1440" w:header="1440" w:footer="144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1C12" w14:paraId="6E311A2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A1C12" w14:paraId="6CC5770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1C12" w14:paraId="78767B3E" w14:textId="77777777">
    <w:pPr>
      <w:spacing w:line="240" w:lineRule="exact"/>
    </w:pPr>
  </w:p>
  <w:p w:rsidR="004A1C12" w14:paraId="7462EA23" w14:textId="77777777">
    <w:pPr>
      <w:framePr w:wrap="around" w:vAnchor="text" w:hAnchor="margin" w:xAlign="center" w:y="1"/>
      <w:jc w:val="center"/>
      <w:rPr>
        <w:sz w:val="24"/>
      </w:rPr>
    </w:pPr>
    <w:r>
      <w:rPr>
        <w:sz w:val="24"/>
      </w:rPr>
      <w:fldChar w:fldCharType="begin"/>
    </w:r>
    <w:r>
      <w:rPr>
        <w:sz w:val="24"/>
      </w:rPr>
      <w:instrText xml:space="preserve">PAGE </w:instrText>
    </w:r>
    <w:r>
      <w:rPr>
        <w:sz w:val="24"/>
      </w:rPr>
      <w:fldChar w:fldCharType="separate"/>
    </w:r>
    <w:r>
      <w:rPr>
        <w:noProof/>
        <w:sz w:val="24"/>
      </w:rPr>
      <w:t>7</w:t>
    </w:r>
    <w:r>
      <w:rPr>
        <w:sz w:val="24"/>
      </w:rPr>
      <w:fldChar w:fldCharType="end"/>
    </w:r>
  </w:p>
  <w:p w:rsidR="004A1C12" w14:paraId="11BD4138" w14:textId="77777777">
    <w:pPr>
      <w:rPr>
        <w:sz w:val="24"/>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1"/>
    <w:multiLevelType w:val="singleLevel"/>
    <w:tmpl w:val="35320DBA"/>
    <w:lvl w:ilvl="0">
      <w:start w:val="1"/>
      <w:numFmt w:val="bullet"/>
      <w:lvlText w:val=""/>
      <w:lvlJc w:val="left"/>
      <w:pPr>
        <w:tabs>
          <w:tab w:val="num" w:pos="1440"/>
        </w:tabs>
        <w:ind w:left="1440" w:hanging="360"/>
      </w:pPr>
      <w:rPr>
        <w:rFonts w:ascii="Symbol" w:hAnsi="Symbol" w:hint="default"/>
      </w:rPr>
    </w:lvl>
  </w:abstractNum>
  <w:abstractNum w:abstractNumId="1">
    <w:nsid w:val="00000001"/>
    <w:multiLevelType w:val="multilevel"/>
    <w:tmpl w:val="00000000"/>
    <w:lvl w:ilvl="0">
      <w:start w:val="1"/>
      <w:numFmt w:val="decimal"/>
      <w:lvlText w:val="%1"/>
      <w:lvlJc w:val="left"/>
    </w:lvl>
    <w:lvl w:ilvl="1">
      <w:start w:val="1"/>
      <w:numFmt w:val="decimal"/>
      <w:pStyle w:val="Level2"/>
      <w:lvlText w:val="%2."/>
      <w:lvlJc w:val="left"/>
      <w:pPr>
        <w:tabs>
          <w:tab w:val="num" w:pos="1440"/>
        </w:tabs>
        <w:ind w:left="1440" w:hanging="720"/>
      </w:pPr>
      <w:rPr>
        <w:rFonts w:ascii="Times New Roman" w:hAnsi="Times New Roman" w:cs="Times New Roman"/>
        <w:sz w:val="24"/>
        <w:szCs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1A114656"/>
    <w:multiLevelType w:val="hybridMultilevel"/>
    <w:tmpl w:val="4872D388"/>
    <w:lvl w:ilvl="0">
      <w:start w:val="1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BF5427E"/>
    <w:multiLevelType w:val="hybridMultilevel"/>
    <w:tmpl w:val="0E8438AC"/>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36345C1"/>
    <w:multiLevelType w:val="hybridMultilevel"/>
    <w:tmpl w:val="5E44C994"/>
    <w:lvl w:ilvl="0">
      <w:start w:val="1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31E26586"/>
    <w:multiLevelType w:val="hybridMultilevel"/>
    <w:tmpl w:val="8A0C7D1A"/>
    <w:lvl w:ilvl="0">
      <w:start w:val="16"/>
      <w:numFmt w:val="decimal"/>
      <w:lvlText w:val="%1."/>
      <w:lvlJc w:val="left"/>
      <w:pPr>
        <w:tabs>
          <w:tab w:val="num" w:pos="720"/>
        </w:tabs>
        <w:ind w:left="720" w:hanging="660"/>
      </w:pPr>
      <w:rPr>
        <w:rFonts w:hint="default"/>
      </w:rPr>
    </w:lvl>
    <w:lvl w:ilvl="1">
      <w:start w:val="2"/>
      <w:numFmt w:val="upperLetter"/>
      <w:pStyle w:val="Heading3"/>
      <w:lvlText w:val="%2."/>
      <w:lvlJc w:val="left"/>
      <w:pPr>
        <w:tabs>
          <w:tab w:val="num" w:pos="1440"/>
        </w:tabs>
        <w:ind w:left="1440" w:hanging="660"/>
      </w:pPr>
      <w:rPr>
        <w:rFonts w:hint="default"/>
      </w:r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6">
    <w:nsid w:val="388625E4"/>
    <w:multiLevelType w:val="hybridMultilevel"/>
    <w:tmpl w:val="30685862"/>
    <w:lvl w:ilvl="0">
      <w:start w:val="9"/>
      <w:numFmt w:val="decimal"/>
      <w:lvlText w:val="%1."/>
      <w:lvlJc w:val="left"/>
      <w:pPr>
        <w:tabs>
          <w:tab w:val="num" w:pos="720"/>
        </w:tabs>
        <w:ind w:left="720" w:hanging="600"/>
      </w:pPr>
      <w:rPr>
        <w:rFonts w:hint="default"/>
      </w:rPr>
    </w:lvl>
    <w:lvl w:ilvl="1" w:tentative="1">
      <w:start w:val="1"/>
      <w:numFmt w:val="lowerLetter"/>
      <w:lvlText w:val="%2."/>
      <w:lvlJc w:val="left"/>
      <w:pPr>
        <w:tabs>
          <w:tab w:val="num" w:pos="1200"/>
        </w:tabs>
        <w:ind w:left="1200" w:hanging="360"/>
      </w:pPr>
    </w:lvl>
    <w:lvl w:ilvl="2" w:tentative="1">
      <w:start w:val="1"/>
      <w:numFmt w:val="lowerRoman"/>
      <w:lvlText w:val="%3."/>
      <w:lvlJc w:val="right"/>
      <w:pPr>
        <w:tabs>
          <w:tab w:val="num" w:pos="1920"/>
        </w:tabs>
        <w:ind w:left="1920" w:hanging="180"/>
      </w:pPr>
    </w:lvl>
    <w:lvl w:ilvl="3" w:tentative="1">
      <w:start w:val="1"/>
      <w:numFmt w:val="decimal"/>
      <w:lvlText w:val="%4."/>
      <w:lvlJc w:val="left"/>
      <w:pPr>
        <w:tabs>
          <w:tab w:val="num" w:pos="2640"/>
        </w:tabs>
        <w:ind w:left="2640" w:hanging="360"/>
      </w:pPr>
    </w:lvl>
    <w:lvl w:ilvl="4" w:tentative="1">
      <w:start w:val="1"/>
      <w:numFmt w:val="lowerLetter"/>
      <w:lvlText w:val="%5."/>
      <w:lvlJc w:val="left"/>
      <w:pPr>
        <w:tabs>
          <w:tab w:val="num" w:pos="3360"/>
        </w:tabs>
        <w:ind w:left="3360" w:hanging="360"/>
      </w:pPr>
    </w:lvl>
    <w:lvl w:ilvl="5" w:tentative="1">
      <w:start w:val="1"/>
      <w:numFmt w:val="lowerRoman"/>
      <w:lvlText w:val="%6."/>
      <w:lvlJc w:val="right"/>
      <w:pPr>
        <w:tabs>
          <w:tab w:val="num" w:pos="4080"/>
        </w:tabs>
        <w:ind w:left="4080" w:hanging="180"/>
      </w:pPr>
    </w:lvl>
    <w:lvl w:ilvl="6" w:tentative="1">
      <w:start w:val="1"/>
      <w:numFmt w:val="decimal"/>
      <w:lvlText w:val="%7."/>
      <w:lvlJc w:val="left"/>
      <w:pPr>
        <w:tabs>
          <w:tab w:val="num" w:pos="4800"/>
        </w:tabs>
        <w:ind w:left="4800" w:hanging="360"/>
      </w:pPr>
    </w:lvl>
    <w:lvl w:ilvl="7" w:tentative="1">
      <w:start w:val="1"/>
      <w:numFmt w:val="lowerLetter"/>
      <w:lvlText w:val="%8."/>
      <w:lvlJc w:val="left"/>
      <w:pPr>
        <w:tabs>
          <w:tab w:val="num" w:pos="5520"/>
        </w:tabs>
        <w:ind w:left="5520" w:hanging="360"/>
      </w:pPr>
    </w:lvl>
    <w:lvl w:ilvl="8" w:tentative="1">
      <w:start w:val="1"/>
      <w:numFmt w:val="lowerRoman"/>
      <w:lvlText w:val="%9."/>
      <w:lvlJc w:val="right"/>
      <w:pPr>
        <w:tabs>
          <w:tab w:val="num" w:pos="6240"/>
        </w:tabs>
        <w:ind w:left="6240" w:hanging="180"/>
      </w:pPr>
    </w:lvl>
  </w:abstractNum>
  <w:abstractNum w:abstractNumId="7">
    <w:nsid w:val="53CA33A0"/>
    <w:multiLevelType w:val="hybridMultilevel"/>
    <w:tmpl w:val="F470F62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nsid w:val="63AA49F8"/>
    <w:multiLevelType w:val="hybridMultilevel"/>
    <w:tmpl w:val="9DE01FA6"/>
    <w:lvl w:ilvl="0">
      <w:start w:val="15"/>
      <w:numFmt w:val="bullet"/>
      <w:lvlText w:val="-"/>
      <w:lvlJc w:val="left"/>
      <w:pPr>
        <w:ind w:left="1080" w:hanging="360"/>
      </w:pPr>
      <w:rPr>
        <w:rFonts w:ascii="Times New Roman" w:eastAsia="Times New Roman" w:hAnsi="Times New Roman" w:cs="Times New Roman" w:hint="default"/>
        <w:u w:val="no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64E31B6B"/>
    <w:multiLevelType w:val="hybridMultilevel"/>
    <w:tmpl w:val="1B282CF0"/>
    <w:lvl w:ilvl="0">
      <w:start w:val="10"/>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6BD35EC0"/>
    <w:multiLevelType w:val="hybridMultilevel"/>
    <w:tmpl w:val="D66EE464"/>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6C4B5AAF"/>
    <w:multiLevelType w:val="hybridMultilevel"/>
    <w:tmpl w:val="4AE46A94"/>
    <w:lvl w:ilvl="0">
      <w:start w:val="16"/>
      <w:numFmt w:val="decimal"/>
      <w:lvlText w:val="%1."/>
      <w:lvlJc w:val="left"/>
      <w:pPr>
        <w:tabs>
          <w:tab w:val="num" w:pos="780"/>
        </w:tabs>
        <w:ind w:left="780" w:hanging="660"/>
      </w:pPr>
      <w:rPr>
        <w:rFonts w:hint="default"/>
      </w:r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num w:numId="1" w16cid:durableId="682587026">
    <w:abstractNumId w:val="1"/>
    <w:lvlOverride w:ilvl="0">
      <w:startOverride w:val="1"/>
      <w:lvl w:ilvl="0">
        <w:start w:val="1"/>
        <w:numFmt w:val="decimal"/>
        <w:lvlText w:val="%1"/>
        <w:lvlJc w:val="left"/>
      </w:lvl>
    </w:lvlOverride>
    <w:lvlOverride w:ilvl="1">
      <w:startOverride w:val="2"/>
      <w:lvl w:ilvl="1">
        <w:start w:val="2"/>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903637829">
    <w:abstractNumId w:val="10"/>
  </w:num>
  <w:num w:numId="3" w16cid:durableId="972952627">
    <w:abstractNumId w:val="5"/>
  </w:num>
  <w:num w:numId="4" w16cid:durableId="1458373124">
    <w:abstractNumId w:val="4"/>
  </w:num>
  <w:num w:numId="5" w16cid:durableId="1318920900">
    <w:abstractNumId w:val="9"/>
  </w:num>
  <w:num w:numId="6" w16cid:durableId="1340814794">
    <w:abstractNumId w:val="6"/>
  </w:num>
  <w:num w:numId="7" w16cid:durableId="1807619030">
    <w:abstractNumId w:val="3"/>
  </w:num>
  <w:num w:numId="8" w16cid:durableId="433089565">
    <w:abstractNumId w:val="7"/>
  </w:num>
  <w:num w:numId="9" w16cid:durableId="472063363">
    <w:abstractNumId w:val="1"/>
    <w:lvlOverride w:ilvl="0">
      <w:startOverride w:val="15"/>
      <w:lvl w:ilvl="0">
        <w:start w:val="15"/>
        <w:numFmt w:val="decimal"/>
        <w:lvlText w:val="%1."/>
        <w:lvlJc w:val="left"/>
      </w:lvl>
    </w:lvlOverride>
  </w:num>
  <w:num w:numId="10" w16cid:durableId="728453497">
    <w:abstractNumId w:val="1"/>
  </w:num>
  <w:num w:numId="11" w16cid:durableId="1566574431">
    <w:abstractNumId w:val="8"/>
  </w:num>
  <w:num w:numId="12" w16cid:durableId="1247610410">
    <w:abstractNumId w:val="2"/>
  </w:num>
  <w:num w:numId="13" w16cid:durableId="14381845">
    <w:abstractNumId w:val="11"/>
  </w:num>
  <w:num w:numId="14" w16cid:durableId="1346175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mirrorMargin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endnotePr>
    <w:numFmt w:val="decimal"/>
  </w:endnotePr>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77A"/>
    <w:rsid w:val="000017F2"/>
    <w:rsid w:val="00003C29"/>
    <w:rsid w:val="0000465A"/>
    <w:rsid w:val="00010222"/>
    <w:rsid w:val="000124A7"/>
    <w:rsid w:val="00016927"/>
    <w:rsid w:val="0001793A"/>
    <w:rsid w:val="00017EFA"/>
    <w:rsid w:val="00020897"/>
    <w:rsid w:val="00021263"/>
    <w:rsid w:val="000318E1"/>
    <w:rsid w:val="00031F4B"/>
    <w:rsid w:val="00034ECA"/>
    <w:rsid w:val="00037F0D"/>
    <w:rsid w:val="00061106"/>
    <w:rsid w:val="00062549"/>
    <w:rsid w:val="000670A9"/>
    <w:rsid w:val="00067476"/>
    <w:rsid w:val="0006765B"/>
    <w:rsid w:val="00072F5F"/>
    <w:rsid w:val="00074A6D"/>
    <w:rsid w:val="00080983"/>
    <w:rsid w:val="00080F08"/>
    <w:rsid w:val="0008166E"/>
    <w:rsid w:val="00081E35"/>
    <w:rsid w:val="00083D54"/>
    <w:rsid w:val="00084037"/>
    <w:rsid w:val="00085CEF"/>
    <w:rsid w:val="00091537"/>
    <w:rsid w:val="00093B52"/>
    <w:rsid w:val="00097CD8"/>
    <w:rsid w:val="000A4D31"/>
    <w:rsid w:val="000A5224"/>
    <w:rsid w:val="000A58B6"/>
    <w:rsid w:val="000B1143"/>
    <w:rsid w:val="000B35C1"/>
    <w:rsid w:val="000B3DAD"/>
    <w:rsid w:val="000B59A0"/>
    <w:rsid w:val="000B612A"/>
    <w:rsid w:val="000C362E"/>
    <w:rsid w:val="000C59D7"/>
    <w:rsid w:val="000C6DDC"/>
    <w:rsid w:val="000D26D6"/>
    <w:rsid w:val="000D4435"/>
    <w:rsid w:val="000D521A"/>
    <w:rsid w:val="000D7FE4"/>
    <w:rsid w:val="000E1365"/>
    <w:rsid w:val="000E608D"/>
    <w:rsid w:val="000F0CBF"/>
    <w:rsid w:val="000F1708"/>
    <w:rsid w:val="000F61E5"/>
    <w:rsid w:val="000F74C9"/>
    <w:rsid w:val="00100378"/>
    <w:rsid w:val="001007EE"/>
    <w:rsid w:val="001031CB"/>
    <w:rsid w:val="0011205F"/>
    <w:rsid w:val="0012011A"/>
    <w:rsid w:val="001217D6"/>
    <w:rsid w:val="00121858"/>
    <w:rsid w:val="00121A72"/>
    <w:rsid w:val="0012677C"/>
    <w:rsid w:val="00140E79"/>
    <w:rsid w:val="001433EE"/>
    <w:rsid w:val="00144DA1"/>
    <w:rsid w:val="00150D13"/>
    <w:rsid w:val="0015174E"/>
    <w:rsid w:val="001557B5"/>
    <w:rsid w:val="00157DA6"/>
    <w:rsid w:val="001644F0"/>
    <w:rsid w:val="00165A31"/>
    <w:rsid w:val="00167191"/>
    <w:rsid w:val="001728E2"/>
    <w:rsid w:val="00173331"/>
    <w:rsid w:val="00173731"/>
    <w:rsid w:val="00181C0A"/>
    <w:rsid w:val="00191E1A"/>
    <w:rsid w:val="00194E7B"/>
    <w:rsid w:val="00196A91"/>
    <w:rsid w:val="001A0516"/>
    <w:rsid w:val="001A1BC4"/>
    <w:rsid w:val="001A4FBA"/>
    <w:rsid w:val="001A65F5"/>
    <w:rsid w:val="001C1CA7"/>
    <w:rsid w:val="001C4801"/>
    <w:rsid w:val="001C7F2B"/>
    <w:rsid w:val="001D09EC"/>
    <w:rsid w:val="001D5782"/>
    <w:rsid w:val="001D5F58"/>
    <w:rsid w:val="001E0404"/>
    <w:rsid w:val="001E3B67"/>
    <w:rsid w:val="001E5DE2"/>
    <w:rsid w:val="001F1EB9"/>
    <w:rsid w:val="001F30FB"/>
    <w:rsid w:val="001F41AD"/>
    <w:rsid w:val="00204F10"/>
    <w:rsid w:val="002058A1"/>
    <w:rsid w:val="00210CB0"/>
    <w:rsid w:val="0021257F"/>
    <w:rsid w:val="00213D8F"/>
    <w:rsid w:val="0021611B"/>
    <w:rsid w:val="0022429D"/>
    <w:rsid w:val="002249A6"/>
    <w:rsid w:val="00225A4A"/>
    <w:rsid w:val="00226991"/>
    <w:rsid w:val="0023318E"/>
    <w:rsid w:val="00234A23"/>
    <w:rsid w:val="00236F41"/>
    <w:rsid w:val="0024399A"/>
    <w:rsid w:val="00243AAD"/>
    <w:rsid w:val="00244BBD"/>
    <w:rsid w:val="002511E9"/>
    <w:rsid w:val="0025126E"/>
    <w:rsid w:val="00252EF8"/>
    <w:rsid w:val="00260ACE"/>
    <w:rsid w:val="00261368"/>
    <w:rsid w:val="002626E2"/>
    <w:rsid w:val="00265F45"/>
    <w:rsid w:val="00266312"/>
    <w:rsid w:val="00267DC1"/>
    <w:rsid w:val="00270782"/>
    <w:rsid w:val="0027223E"/>
    <w:rsid w:val="00272E50"/>
    <w:rsid w:val="00281A28"/>
    <w:rsid w:val="00281C15"/>
    <w:rsid w:val="002878D2"/>
    <w:rsid w:val="002A696B"/>
    <w:rsid w:val="002B023A"/>
    <w:rsid w:val="002B23EE"/>
    <w:rsid w:val="002B65DA"/>
    <w:rsid w:val="002C0FB6"/>
    <w:rsid w:val="002C20D9"/>
    <w:rsid w:val="002C438D"/>
    <w:rsid w:val="002D0EA2"/>
    <w:rsid w:val="002D1844"/>
    <w:rsid w:val="002D73EA"/>
    <w:rsid w:val="002E34E6"/>
    <w:rsid w:val="002F00BB"/>
    <w:rsid w:val="002F16A3"/>
    <w:rsid w:val="002F6E62"/>
    <w:rsid w:val="002F7831"/>
    <w:rsid w:val="00301644"/>
    <w:rsid w:val="0030373A"/>
    <w:rsid w:val="00304004"/>
    <w:rsid w:val="00306724"/>
    <w:rsid w:val="00311528"/>
    <w:rsid w:val="00320EA3"/>
    <w:rsid w:val="00324FAE"/>
    <w:rsid w:val="00325B8C"/>
    <w:rsid w:val="00327274"/>
    <w:rsid w:val="00330C9B"/>
    <w:rsid w:val="0033257F"/>
    <w:rsid w:val="0034296C"/>
    <w:rsid w:val="00345E3D"/>
    <w:rsid w:val="003464C8"/>
    <w:rsid w:val="00352C96"/>
    <w:rsid w:val="00360331"/>
    <w:rsid w:val="00360404"/>
    <w:rsid w:val="00371BF2"/>
    <w:rsid w:val="00373CF7"/>
    <w:rsid w:val="003750C6"/>
    <w:rsid w:val="00376AEF"/>
    <w:rsid w:val="003827F6"/>
    <w:rsid w:val="00382BBC"/>
    <w:rsid w:val="00384FC4"/>
    <w:rsid w:val="00391D9E"/>
    <w:rsid w:val="003A07F2"/>
    <w:rsid w:val="003A3A05"/>
    <w:rsid w:val="003A5109"/>
    <w:rsid w:val="003A5AD7"/>
    <w:rsid w:val="003A61DC"/>
    <w:rsid w:val="003A76BF"/>
    <w:rsid w:val="003C0E6C"/>
    <w:rsid w:val="003C1C2B"/>
    <w:rsid w:val="003C2A14"/>
    <w:rsid w:val="003C700D"/>
    <w:rsid w:val="003E0713"/>
    <w:rsid w:val="003E0CA6"/>
    <w:rsid w:val="003E24F1"/>
    <w:rsid w:val="003E32AF"/>
    <w:rsid w:val="003F0E64"/>
    <w:rsid w:val="003F19C4"/>
    <w:rsid w:val="003F4B4D"/>
    <w:rsid w:val="003F5684"/>
    <w:rsid w:val="003F61FC"/>
    <w:rsid w:val="004026D8"/>
    <w:rsid w:val="00404F5C"/>
    <w:rsid w:val="00420519"/>
    <w:rsid w:val="00421F1E"/>
    <w:rsid w:val="00422CE1"/>
    <w:rsid w:val="00422FA4"/>
    <w:rsid w:val="00425A8B"/>
    <w:rsid w:val="00427508"/>
    <w:rsid w:val="00433350"/>
    <w:rsid w:val="00443CBB"/>
    <w:rsid w:val="00454D5D"/>
    <w:rsid w:val="0045508C"/>
    <w:rsid w:val="00463E43"/>
    <w:rsid w:val="0046473A"/>
    <w:rsid w:val="00465CAD"/>
    <w:rsid w:val="00467B54"/>
    <w:rsid w:val="00471643"/>
    <w:rsid w:val="00471C9A"/>
    <w:rsid w:val="0047274E"/>
    <w:rsid w:val="00477D02"/>
    <w:rsid w:val="00484177"/>
    <w:rsid w:val="00484E72"/>
    <w:rsid w:val="00490A8C"/>
    <w:rsid w:val="004916F9"/>
    <w:rsid w:val="00491911"/>
    <w:rsid w:val="004925C7"/>
    <w:rsid w:val="004A1C12"/>
    <w:rsid w:val="004A350C"/>
    <w:rsid w:val="004B2E90"/>
    <w:rsid w:val="004B4163"/>
    <w:rsid w:val="004B4A24"/>
    <w:rsid w:val="004B4BD8"/>
    <w:rsid w:val="004B4F9D"/>
    <w:rsid w:val="004C02E6"/>
    <w:rsid w:val="004C3D69"/>
    <w:rsid w:val="004C4134"/>
    <w:rsid w:val="004C4E32"/>
    <w:rsid w:val="004C5079"/>
    <w:rsid w:val="004D459A"/>
    <w:rsid w:val="004D71AD"/>
    <w:rsid w:val="004E2C0C"/>
    <w:rsid w:val="004E3EEA"/>
    <w:rsid w:val="004E7F7B"/>
    <w:rsid w:val="004F0CA6"/>
    <w:rsid w:val="004F5B9D"/>
    <w:rsid w:val="004F5D94"/>
    <w:rsid w:val="00500412"/>
    <w:rsid w:val="005046BB"/>
    <w:rsid w:val="00505F55"/>
    <w:rsid w:val="00506478"/>
    <w:rsid w:val="00507BF6"/>
    <w:rsid w:val="00514E73"/>
    <w:rsid w:val="00517437"/>
    <w:rsid w:val="00522E0B"/>
    <w:rsid w:val="00533FCD"/>
    <w:rsid w:val="00540AC1"/>
    <w:rsid w:val="00540ACE"/>
    <w:rsid w:val="0054124C"/>
    <w:rsid w:val="00543B8E"/>
    <w:rsid w:val="00545797"/>
    <w:rsid w:val="00547EFD"/>
    <w:rsid w:val="0056456F"/>
    <w:rsid w:val="0056502E"/>
    <w:rsid w:val="00565E82"/>
    <w:rsid w:val="00584684"/>
    <w:rsid w:val="00593424"/>
    <w:rsid w:val="00595ADB"/>
    <w:rsid w:val="005A42AB"/>
    <w:rsid w:val="005A6BB3"/>
    <w:rsid w:val="005B044F"/>
    <w:rsid w:val="005B2203"/>
    <w:rsid w:val="005B485E"/>
    <w:rsid w:val="005B6BAB"/>
    <w:rsid w:val="005C2386"/>
    <w:rsid w:val="005C4266"/>
    <w:rsid w:val="005C46C3"/>
    <w:rsid w:val="005C587D"/>
    <w:rsid w:val="005C5F7B"/>
    <w:rsid w:val="005C76CF"/>
    <w:rsid w:val="005C7F5C"/>
    <w:rsid w:val="005E0113"/>
    <w:rsid w:val="005E0283"/>
    <w:rsid w:val="005E558E"/>
    <w:rsid w:val="005E5E40"/>
    <w:rsid w:val="005E718F"/>
    <w:rsid w:val="005F01D8"/>
    <w:rsid w:val="005F1E5B"/>
    <w:rsid w:val="005F21D9"/>
    <w:rsid w:val="005F3DF1"/>
    <w:rsid w:val="005F7250"/>
    <w:rsid w:val="00600C03"/>
    <w:rsid w:val="00602D88"/>
    <w:rsid w:val="00610E07"/>
    <w:rsid w:val="00612DB5"/>
    <w:rsid w:val="0061327C"/>
    <w:rsid w:val="0062170F"/>
    <w:rsid w:val="0063412B"/>
    <w:rsid w:val="0063793A"/>
    <w:rsid w:val="0064291D"/>
    <w:rsid w:val="00643CCF"/>
    <w:rsid w:val="006467EE"/>
    <w:rsid w:val="00650CA2"/>
    <w:rsid w:val="0065353D"/>
    <w:rsid w:val="00655991"/>
    <w:rsid w:val="00655C5C"/>
    <w:rsid w:val="006579CC"/>
    <w:rsid w:val="00657E02"/>
    <w:rsid w:val="006636FB"/>
    <w:rsid w:val="00664385"/>
    <w:rsid w:val="006653B8"/>
    <w:rsid w:val="00665613"/>
    <w:rsid w:val="00667289"/>
    <w:rsid w:val="0066734E"/>
    <w:rsid w:val="00671FD3"/>
    <w:rsid w:val="006724FE"/>
    <w:rsid w:val="00673D02"/>
    <w:rsid w:val="00695C22"/>
    <w:rsid w:val="00696E87"/>
    <w:rsid w:val="006A0150"/>
    <w:rsid w:val="006A1374"/>
    <w:rsid w:val="006A5400"/>
    <w:rsid w:val="006A5E8A"/>
    <w:rsid w:val="006A7F15"/>
    <w:rsid w:val="006B11BB"/>
    <w:rsid w:val="006B401E"/>
    <w:rsid w:val="006C2789"/>
    <w:rsid w:val="006D1541"/>
    <w:rsid w:val="006D1ECC"/>
    <w:rsid w:val="006E0958"/>
    <w:rsid w:val="006E5702"/>
    <w:rsid w:val="006E573E"/>
    <w:rsid w:val="006E7BA0"/>
    <w:rsid w:val="006F4D4F"/>
    <w:rsid w:val="006F4FEB"/>
    <w:rsid w:val="006F5554"/>
    <w:rsid w:val="006F6665"/>
    <w:rsid w:val="007046B9"/>
    <w:rsid w:val="007118B0"/>
    <w:rsid w:val="00715DFB"/>
    <w:rsid w:val="0073169A"/>
    <w:rsid w:val="0073274E"/>
    <w:rsid w:val="00732AF2"/>
    <w:rsid w:val="00734B19"/>
    <w:rsid w:val="0073792C"/>
    <w:rsid w:val="00742FA8"/>
    <w:rsid w:val="00744512"/>
    <w:rsid w:val="007477C3"/>
    <w:rsid w:val="00747985"/>
    <w:rsid w:val="00750039"/>
    <w:rsid w:val="007527A6"/>
    <w:rsid w:val="00752B5F"/>
    <w:rsid w:val="00757950"/>
    <w:rsid w:val="00766D52"/>
    <w:rsid w:val="007715D5"/>
    <w:rsid w:val="00775D82"/>
    <w:rsid w:val="00777DEB"/>
    <w:rsid w:val="00780BC6"/>
    <w:rsid w:val="0078250E"/>
    <w:rsid w:val="00787DE0"/>
    <w:rsid w:val="00793C09"/>
    <w:rsid w:val="0079550E"/>
    <w:rsid w:val="007A16CA"/>
    <w:rsid w:val="007A1B11"/>
    <w:rsid w:val="007A65C4"/>
    <w:rsid w:val="007A696E"/>
    <w:rsid w:val="007B0E32"/>
    <w:rsid w:val="007B1156"/>
    <w:rsid w:val="007B1DB3"/>
    <w:rsid w:val="007B20B8"/>
    <w:rsid w:val="007B7E0C"/>
    <w:rsid w:val="007C192E"/>
    <w:rsid w:val="007C4635"/>
    <w:rsid w:val="007C69F7"/>
    <w:rsid w:val="007C7C91"/>
    <w:rsid w:val="007D038F"/>
    <w:rsid w:val="007D67B4"/>
    <w:rsid w:val="007D7DCE"/>
    <w:rsid w:val="007E1914"/>
    <w:rsid w:val="007E51EC"/>
    <w:rsid w:val="007F1C28"/>
    <w:rsid w:val="007F4660"/>
    <w:rsid w:val="00800E30"/>
    <w:rsid w:val="00816188"/>
    <w:rsid w:val="00821CD9"/>
    <w:rsid w:val="008226D3"/>
    <w:rsid w:val="008251A7"/>
    <w:rsid w:val="008278DD"/>
    <w:rsid w:val="008317B6"/>
    <w:rsid w:val="00831CAE"/>
    <w:rsid w:val="00831D63"/>
    <w:rsid w:val="00833147"/>
    <w:rsid w:val="00834C0B"/>
    <w:rsid w:val="008359B0"/>
    <w:rsid w:val="00843F71"/>
    <w:rsid w:val="00844CE2"/>
    <w:rsid w:val="008454E1"/>
    <w:rsid w:val="00850308"/>
    <w:rsid w:val="008511AE"/>
    <w:rsid w:val="00851E6B"/>
    <w:rsid w:val="00851FCC"/>
    <w:rsid w:val="008632E6"/>
    <w:rsid w:val="0087018B"/>
    <w:rsid w:val="00877505"/>
    <w:rsid w:val="008838AB"/>
    <w:rsid w:val="008847E2"/>
    <w:rsid w:val="00885C8C"/>
    <w:rsid w:val="00890687"/>
    <w:rsid w:val="008965B4"/>
    <w:rsid w:val="008A403C"/>
    <w:rsid w:val="008A41E0"/>
    <w:rsid w:val="008A4E0D"/>
    <w:rsid w:val="008B22DE"/>
    <w:rsid w:val="008B3B24"/>
    <w:rsid w:val="008B5EE5"/>
    <w:rsid w:val="008B61BB"/>
    <w:rsid w:val="008C3FFB"/>
    <w:rsid w:val="008E04C1"/>
    <w:rsid w:val="008E092A"/>
    <w:rsid w:val="008E2F3A"/>
    <w:rsid w:val="008E3FFA"/>
    <w:rsid w:val="008E6AAB"/>
    <w:rsid w:val="008E75D8"/>
    <w:rsid w:val="008F0540"/>
    <w:rsid w:val="008F46A0"/>
    <w:rsid w:val="008F4F1C"/>
    <w:rsid w:val="00901510"/>
    <w:rsid w:val="00904798"/>
    <w:rsid w:val="00913AFC"/>
    <w:rsid w:val="00920DD7"/>
    <w:rsid w:val="0092378A"/>
    <w:rsid w:val="00930DF2"/>
    <w:rsid w:val="009322F5"/>
    <w:rsid w:val="0093503A"/>
    <w:rsid w:val="00937478"/>
    <w:rsid w:val="00937563"/>
    <w:rsid w:val="00940626"/>
    <w:rsid w:val="00940BE8"/>
    <w:rsid w:val="00943D4D"/>
    <w:rsid w:val="00944CFB"/>
    <w:rsid w:val="00944F62"/>
    <w:rsid w:val="00956F56"/>
    <w:rsid w:val="00964D85"/>
    <w:rsid w:val="00965FA4"/>
    <w:rsid w:val="00971327"/>
    <w:rsid w:val="009722D5"/>
    <w:rsid w:val="00977EB9"/>
    <w:rsid w:val="00985FDE"/>
    <w:rsid w:val="009903D1"/>
    <w:rsid w:val="00996F67"/>
    <w:rsid w:val="00997016"/>
    <w:rsid w:val="009A300A"/>
    <w:rsid w:val="009A4B76"/>
    <w:rsid w:val="009A64DE"/>
    <w:rsid w:val="009B02EB"/>
    <w:rsid w:val="009B068F"/>
    <w:rsid w:val="009B7BBB"/>
    <w:rsid w:val="009C1E2C"/>
    <w:rsid w:val="009C2E03"/>
    <w:rsid w:val="009C3AC3"/>
    <w:rsid w:val="009C440B"/>
    <w:rsid w:val="009C664F"/>
    <w:rsid w:val="009D1D77"/>
    <w:rsid w:val="009D271E"/>
    <w:rsid w:val="009D367D"/>
    <w:rsid w:val="009D5F9A"/>
    <w:rsid w:val="009E093E"/>
    <w:rsid w:val="009E0FE9"/>
    <w:rsid w:val="009E111D"/>
    <w:rsid w:val="009E1582"/>
    <w:rsid w:val="009E48AB"/>
    <w:rsid w:val="009F0848"/>
    <w:rsid w:val="009F4983"/>
    <w:rsid w:val="009F7B68"/>
    <w:rsid w:val="009F7BAB"/>
    <w:rsid w:val="00A0120E"/>
    <w:rsid w:val="00A018A7"/>
    <w:rsid w:val="00A06680"/>
    <w:rsid w:val="00A0782C"/>
    <w:rsid w:val="00A10B6B"/>
    <w:rsid w:val="00A11AA1"/>
    <w:rsid w:val="00A1393A"/>
    <w:rsid w:val="00A203E9"/>
    <w:rsid w:val="00A23B77"/>
    <w:rsid w:val="00A24657"/>
    <w:rsid w:val="00A34392"/>
    <w:rsid w:val="00A34723"/>
    <w:rsid w:val="00A37788"/>
    <w:rsid w:val="00A41E4C"/>
    <w:rsid w:val="00A42CFC"/>
    <w:rsid w:val="00A466D8"/>
    <w:rsid w:val="00A50EE5"/>
    <w:rsid w:val="00A52257"/>
    <w:rsid w:val="00A57FED"/>
    <w:rsid w:val="00A62BCC"/>
    <w:rsid w:val="00A65D2E"/>
    <w:rsid w:val="00A67AE6"/>
    <w:rsid w:val="00A70852"/>
    <w:rsid w:val="00A7716B"/>
    <w:rsid w:val="00A81E4E"/>
    <w:rsid w:val="00A85282"/>
    <w:rsid w:val="00A85405"/>
    <w:rsid w:val="00A9056B"/>
    <w:rsid w:val="00A9341F"/>
    <w:rsid w:val="00A97456"/>
    <w:rsid w:val="00AA0769"/>
    <w:rsid w:val="00AA215D"/>
    <w:rsid w:val="00AA4F30"/>
    <w:rsid w:val="00AA6BB6"/>
    <w:rsid w:val="00AB0BF8"/>
    <w:rsid w:val="00AB5F8D"/>
    <w:rsid w:val="00AB6599"/>
    <w:rsid w:val="00AC2E81"/>
    <w:rsid w:val="00AC440F"/>
    <w:rsid w:val="00AC5E3E"/>
    <w:rsid w:val="00AC6A91"/>
    <w:rsid w:val="00AD52F2"/>
    <w:rsid w:val="00AD5AE0"/>
    <w:rsid w:val="00AD671D"/>
    <w:rsid w:val="00AE19FD"/>
    <w:rsid w:val="00AE28B0"/>
    <w:rsid w:val="00AE43C4"/>
    <w:rsid w:val="00AE6868"/>
    <w:rsid w:val="00AE7B5E"/>
    <w:rsid w:val="00AF039A"/>
    <w:rsid w:val="00AF0720"/>
    <w:rsid w:val="00AF0907"/>
    <w:rsid w:val="00AF1AF8"/>
    <w:rsid w:val="00AF1BF0"/>
    <w:rsid w:val="00AF1C2C"/>
    <w:rsid w:val="00AF4B1D"/>
    <w:rsid w:val="00B003E5"/>
    <w:rsid w:val="00B0644D"/>
    <w:rsid w:val="00B07DB3"/>
    <w:rsid w:val="00B1472D"/>
    <w:rsid w:val="00B147E4"/>
    <w:rsid w:val="00B14CC6"/>
    <w:rsid w:val="00B17A5F"/>
    <w:rsid w:val="00B20AAC"/>
    <w:rsid w:val="00B26C27"/>
    <w:rsid w:val="00B36991"/>
    <w:rsid w:val="00B36A6F"/>
    <w:rsid w:val="00B4103B"/>
    <w:rsid w:val="00B41206"/>
    <w:rsid w:val="00B41729"/>
    <w:rsid w:val="00B4243D"/>
    <w:rsid w:val="00B56C51"/>
    <w:rsid w:val="00B61AAE"/>
    <w:rsid w:val="00B629AB"/>
    <w:rsid w:val="00B70813"/>
    <w:rsid w:val="00B73D90"/>
    <w:rsid w:val="00B81874"/>
    <w:rsid w:val="00B8508C"/>
    <w:rsid w:val="00B86651"/>
    <w:rsid w:val="00B94A22"/>
    <w:rsid w:val="00BA1CF0"/>
    <w:rsid w:val="00BA32AF"/>
    <w:rsid w:val="00BB0912"/>
    <w:rsid w:val="00BB30D5"/>
    <w:rsid w:val="00BB672D"/>
    <w:rsid w:val="00BC4B96"/>
    <w:rsid w:val="00BC766C"/>
    <w:rsid w:val="00BD4534"/>
    <w:rsid w:val="00BE1B6B"/>
    <w:rsid w:val="00BE302C"/>
    <w:rsid w:val="00BE4279"/>
    <w:rsid w:val="00BE56B1"/>
    <w:rsid w:val="00BE6CE0"/>
    <w:rsid w:val="00BE777A"/>
    <w:rsid w:val="00BF07F0"/>
    <w:rsid w:val="00C01C12"/>
    <w:rsid w:val="00C02E7F"/>
    <w:rsid w:val="00C05FAD"/>
    <w:rsid w:val="00C06248"/>
    <w:rsid w:val="00C112F6"/>
    <w:rsid w:val="00C20958"/>
    <w:rsid w:val="00C230E7"/>
    <w:rsid w:val="00C24EFB"/>
    <w:rsid w:val="00C24F00"/>
    <w:rsid w:val="00C26832"/>
    <w:rsid w:val="00C31C0F"/>
    <w:rsid w:val="00C32F2B"/>
    <w:rsid w:val="00C33535"/>
    <w:rsid w:val="00C3660C"/>
    <w:rsid w:val="00C416DF"/>
    <w:rsid w:val="00C471F9"/>
    <w:rsid w:val="00C548DC"/>
    <w:rsid w:val="00C562BF"/>
    <w:rsid w:val="00C65ED7"/>
    <w:rsid w:val="00C677A2"/>
    <w:rsid w:val="00C737B3"/>
    <w:rsid w:val="00C73BFA"/>
    <w:rsid w:val="00C76B93"/>
    <w:rsid w:val="00C803A7"/>
    <w:rsid w:val="00C83A5F"/>
    <w:rsid w:val="00C9185F"/>
    <w:rsid w:val="00C94390"/>
    <w:rsid w:val="00C96707"/>
    <w:rsid w:val="00CA1D04"/>
    <w:rsid w:val="00CA32F3"/>
    <w:rsid w:val="00CA425A"/>
    <w:rsid w:val="00CA543D"/>
    <w:rsid w:val="00CA782C"/>
    <w:rsid w:val="00CB3CC2"/>
    <w:rsid w:val="00CB6512"/>
    <w:rsid w:val="00CC0B10"/>
    <w:rsid w:val="00CC1570"/>
    <w:rsid w:val="00CD5541"/>
    <w:rsid w:val="00CD6139"/>
    <w:rsid w:val="00CE1D8A"/>
    <w:rsid w:val="00CE7438"/>
    <w:rsid w:val="00CE7569"/>
    <w:rsid w:val="00CF244B"/>
    <w:rsid w:val="00CF2659"/>
    <w:rsid w:val="00CF286F"/>
    <w:rsid w:val="00CF5B44"/>
    <w:rsid w:val="00CF64B6"/>
    <w:rsid w:val="00D02C54"/>
    <w:rsid w:val="00D0310A"/>
    <w:rsid w:val="00D04764"/>
    <w:rsid w:val="00D11815"/>
    <w:rsid w:val="00D11AC2"/>
    <w:rsid w:val="00D15D39"/>
    <w:rsid w:val="00D2028D"/>
    <w:rsid w:val="00D25B56"/>
    <w:rsid w:val="00D26B7E"/>
    <w:rsid w:val="00D27017"/>
    <w:rsid w:val="00D31AF9"/>
    <w:rsid w:val="00D323C7"/>
    <w:rsid w:val="00D323F0"/>
    <w:rsid w:val="00D431DB"/>
    <w:rsid w:val="00D44373"/>
    <w:rsid w:val="00D4726F"/>
    <w:rsid w:val="00D47814"/>
    <w:rsid w:val="00D50B09"/>
    <w:rsid w:val="00D563E4"/>
    <w:rsid w:val="00D6031F"/>
    <w:rsid w:val="00D647AA"/>
    <w:rsid w:val="00D760A4"/>
    <w:rsid w:val="00D763B7"/>
    <w:rsid w:val="00D80DFC"/>
    <w:rsid w:val="00D818C7"/>
    <w:rsid w:val="00D8607B"/>
    <w:rsid w:val="00D87F85"/>
    <w:rsid w:val="00D93009"/>
    <w:rsid w:val="00D95174"/>
    <w:rsid w:val="00D971DF"/>
    <w:rsid w:val="00DA2E89"/>
    <w:rsid w:val="00DA4FA0"/>
    <w:rsid w:val="00DA5EA9"/>
    <w:rsid w:val="00DB4FCC"/>
    <w:rsid w:val="00DC095A"/>
    <w:rsid w:val="00DC163F"/>
    <w:rsid w:val="00DD0ADA"/>
    <w:rsid w:val="00DD6603"/>
    <w:rsid w:val="00DE4EF3"/>
    <w:rsid w:val="00DE66DB"/>
    <w:rsid w:val="00DF021B"/>
    <w:rsid w:val="00DF08A0"/>
    <w:rsid w:val="00DF0DD3"/>
    <w:rsid w:val="00DF7DC9"/>
    <w:rsid w:val="00E01504"/>
    <w:rsid w:val="00E06C32"/>
    <w:rsid w:val="00E22D76"/>
    <w:rsid w:val="00E27242"/>
    <w:rsid w:val="00E27632"/>
    <w:rsid w:val="00E30843"/>
    <w:rsid w:val="00E32642"/>
    <w:rsid w:val="00E3602F"/>
    <w:rsid w:val="00E41A92"/>
    <w:rsid w:val="00E4238B"/>
    <w:rsid w:val="00E428E1"/>
    <w:rsid w:val="00E42ECE"/>
    <w:rsid w:val="00E43D07"/>
    <w:rsid w:val="00E43DD2"/>
    <w:rsid w:val="00E4464B"/>
    <w:rsid w:val="00E451D3"/>
    <w:rsid w:val="00E52CA9"/>
    <w:rsid w:val="00E534C4"/>
    <w:rsid w:val="00E53982"/>
    <w:rsid w:val="00E544D9"/>
    <w:rsid w:val="00E64F67"/>
    <w:rsid w:val="00E65073"/>
    <w:rsid w:val="00E66333"/>
    <w:rsid w:val="00E72D76"/>
    <w:rsid w:val="00E732DC"/>
    <w:rsid w:val="00E76348"/>
    <w:rsid w:val="00E82EA7"/>
    <w:rsid w:val="00E84553"/>
    <w:rsid w:val="00E85B7C"/>
    <w:rsid w:val="00E905A9"/>
    <w:rsid w:val="00E915A9"/>
    <w:rsid w:val="00E93983"/>
    <w:rsid w:val="00E93A54"/>
    <w:rsid w:val="00E93E4B"/>
    <w:rsid w:val="00E9545D"/>
    <w:rsid w:val="00E96494"/>
    <w:rsid w:val="00EA71B4"/>
    <w:rsid w:val="00EB47EE"/>
    <w:rsid w:val="00EB58E3"/>
    <w:rsid w:val="00EB5B7B"/>
    <w:rsid w:val="00EB7D8E"/>
    <w:rsid w:val="00EB7EA7"/>
    <w:rsid w:val="00ED7338"/>
    <w:rsid w:val="00ED7AA4"/>
    <w:rsid w:val="00ED7C04"/>
    <w:rsid w:val="00EE0922"/>
    <w:rsid w:val="00EE3C9B"/>
    <w:rsid w:val="00EE4154"/>
    <w:rsid w:val="00EE49C8"/>
    <w:rsid w:val="00EF0692"/>
    <w:rsid w:val="00EF1EBA"/>
    <w:rsid w:val="00EF5690"/>
    <w:rsid w:val="00EF5A9F"/>
    <w:rsid w:val="00EF60C1"/>
    <w:rsid w:val="00F01082"/>
    <w:rsid w:val="00F03DED"/>
    <w:rsid w:val="00F04B2C"/>
    <w:rsid w:val="00F06D92"/>
    <w:rsid w:val="00F11225"/>
    <w:rsid w:val="00F123D0"/>
    <w:rsid w:val="00F208B3"/>
    <w:rsid w:val="00F27386"/>
    <w:rsid w:val="00F313CA"/>
    <w:rsid w:val="00F327DA"/>
    <w:rsid w:val="00F37C71"/>
    <w:rsid w:val="00F42886"/>
    <w:rsid w:val="00F42A40"/>
    <w:rsid w:val="00F42E80"/>
    <w:rsid w:val="00F51B61"/>
    <w:rsid w:val="00F5473C"/>
    <w:rsid w:val="00F56FE6"/>
    <w:rsid w:val="00F64C89"/>
    <w:rsid w:val="00F70F65"/>
    <w:rsid w:val="00F74622"/>
    <w:rsid w:val="00F74AF8"/>
    <w:rsid w:val="00F74CD8"/>
    <w:rsid w:val="00F76773"/>
    <w:rsid w:val="00F802BE"/>
    <w:rsid w:val="00F810F5"/>
    <w:rsid w:val="00F856D1"/>
    <w:rsid w:val="00F9166E"/>
    <w:rsid w:val="00F967D7"/>
    <w:rsid w:val="00FA1669"/>
    <w:rsid w:val="00FA37A7"/>
    <w:rsid w:val="00FA3A29"/>
    <w:rsid w:val="00FB0D93"/>
    <w:rsid w:val="00FB11D2"/>
    <w:rsid w:val="00FB76B3"/>
    <w:rsid w:val="00FD4866"/>
    <w:rsid w:val="00FD7FA2"/>
    <w:rsid w:val="00FE0C3F"/>
    <w:rsid w:val="00FF08B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A4893B"/>
  <w15:docId w15:val="{5FC18ABE-9CB7-4570-882E-848D9F571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F00BB"/>
    <w:pPr>
      <w:widowControl w:val="0"/>
      <w:autoSpaceDE w:val="0"/>
      <w:autoSpaceDN w:val="0"/>
      <w:adjustRightInd w:val="0"/>
    </w:pPr>
    <w:rPr>
      <w:rFonts w:ascii="Courier" w:hAnsi="Courier"/>
      <w:szCs w:val="24"/>
    </w:rPr>
  </w:style>
  <w:style w:type="paragraph" w:styleId="Heading1">
    <w:name w:val="heading 1"/>
    <w:basedOn w:val="Normal"/>
    <w:next w:val="Normal"/>
    <w:qFormat/>
    <w:rsid w:val="002F00BB"/>
    <w:pPr>
      <w:keepNext/>
      <w:jc w:val="center"/>
      <w:outlineLvl w:val="0"/>
    </w:pPr>
    <w:rPr>
      <w:rFonts w:ascii="Times New Roman" w:hAnsi="Times New Roman"/>
      <w:b/>
      <w:bCs/>
      <w:sz w:val="24"/>
      <w:szCs w:val="20"/>
    </w:rPr>
  </w:style>
  <w:style w:type="paragraph" w:styleId="Heading2">
    <w:name w:val="heading 2"/>
    <w:basedOn w:val="Normal"/>
    <w:next w:val="Normal"/>
    <w:qFormat/>
    <w:rsid w:val="002F00BB"/>
    <w:pPr>
      <w:keepNext/>
      <w:ind w:left="720"/>
      <w:outlineLvl w:val="1"/>
    </w:pPr>
    <w:rPr>
      <w:rFonts w:ascii="Times New Roman" w:hAnsi="Times New Roman"/>
      <w:sz w:val="24"/>
    </w:rPr>
  </w:style>
  <w:style w:type="paragraph" w:styleId="Heading3">
    <w:name w:val="heading 3"/>
    <w:basedOn w:val="Normal"/>
    <w:next w:val="Normal"/>
    <w:qFormat/>
    <w:rsid w:val="002F00BB"/>
    <w:pPr>
      <w:keepNext/>
      <w:numPr>
        <w:ilvl w:val="1"/>
        <w:numId w:val="3"/>
      </w:numPr>
      <w:tabs>
        <w:tab w:val="left" w:pos="-1440"/>
        <w:tab w:val="clear" w:pos="1440"/>
      </w:tabs>
      <w:ind w:left="0" w:firstLine="0"/>
      <w:outlineLvl w:val="2"/>
    </w:pPr>
    <w:rPr>
      <w:rFonts w:ascii="Times New Roman" w:hAnsi="Times New Roman"/>
      <w:sz w:val="24"/>
      <w:u w:val="single"/>
    </w:rPr>
  </w:style>
  <w:style w:type="paragraph" w:styleId="Heading4">
    <w:name w:val="heading 4"/>
    <w:basedOn w:val="Normal"/>
    <w:next w:val="Normal"/>
    <w:qFormat/>
    <w:rsid w:val="002F00BB"/>
    <w:pPr>
      <w:keepNext/>
      <w:tabs>
        <w:tab w:val="left" w:pos="-1440"/>
      </w:tabs>
      <w:jc w:val="center"/>
      <w:outlineLvl w:val="3"/>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F00BB"/>
  </w:style>
  <w:style w:type="paragraph" w:customStyle="1" w:styleId="Level2">
    <w:name w:val="Level 2"/>
    <w:basedOn w:val="Normal"/>
    <w:rsid w:val="002F00BB"/>
    <w:pPr>
      <w:numPr>
        <w:ilvl w:val="1"/>
        <w:numId w:val="1"/>
      </w:numPr>
      <w:ind w:left="1440" w:hanging="720"/>
      <w:outlineLvl w:val="1"/>
    </w:pPr>
  </w:style>
  <w:style w:type="paragraph" w:styleId="BodyTextIndent">
    <w:name w:val="Body Text Indent"/>
    <w:basedOn w:val="Normal"/>
    <w:rsid w:val="002F00BB"/>
    <w:pPr>
      <w:ind w:left="720"/>
    </w:pPr>
    <w:rPr>
      <w:rFonts w:ascii="Times New Roman" w:hAnsi="Times New Roman"/>
      <w:sz w:val="24"/>
    </w:rPr>
  </w:style>
  <w:style w:type="paragraph" w:styleId="BodyTextIndent2">
    <w:name w:val="Body Text Indent 2"/>
    <w:basedOn w:val="Normal"/>
    <w:rsid w:val="002F00B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Pr>
      <w:rFonts w:ascii="Arial" w:hAnsi="Arial"/>
      <w:sz w:val="24"/>
    </w:rPr>
  </w:style>
  <w:style w:type="paragraph" w:styleId="BodyTextIndent3">
    <w:name w:val="Body Text Indent 3"/>
    <w:basedOn w:val="Normal"/>
    <w:rsid w:val="002F00BB"/>
    <w:pPr>
      <w:tabs>
        <w:tab w:val="left" w:pos="-1440"/>
      </w:tabs>
      <w:ind w:left="720" w:hanging="720"/>
    </w:pPr>
    <w:rPr>
      <w:rFonts w:ascii="Times New Roman" w:hAnsi="Times New Roman"/>
      <w:sz w:val="24"/>
    </w:rPr>
  </w:style>
  <w:style w:type="paragraph" w:styleId="BodyText">
    <w:name w:val="Body Text"/>
    <w:basedOn w:val="Normal"/>
    <w:rsid w:val="002F00BB"/>
    <w:rPr>
      <w:rFonts w:ascii="Times New Roman" w:hAnsi="Times New Roman"/>
      <w:sz w:val="24"/>
    </w:rPr>
  </w:style>
  <w:style w:type="paragraph" w:styleId="Footer">
    <w:name w:val="footer"/>
    <w:basedOn w:val="Normal"/>
    <w:rsid w:val="002F00BB"/>
    <w:pPr>
      <w:tabs>
        <w:tab w:val="center" w:pos="4320"/>
        <w:tab w:val="right" w:pos="8640"/>
      </w:tabs>
    </w:pPr>
  </w:style>
  <w:style w:type="character" w:styleId="PageNumber">
    <w:name w:val="page number"/>
    <w:basedOn w:val="DefaultParagraphFont"/>
    <w:rsid w:val="002F00BB"/>
  </w:style>
  <w:style w:type="table" w:styleId="TableGrid">
    <w:name w:val="Table Grid"/>
    <w:basedOn w:val="TableNormal"/>
    <w:rsid w:val="000D7FE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118B0"/>
    <w:rPr>
      <w:color w:val="0000FF"/>
      <w:u w:val="single"/>
    </w:rPr>
  </w:style>
  <w:style w:type="character" w:styleId="FollowedHyperlink">
    <w:name w:val="FollowedHyperlink"/>
    <w:rsid w:val="00C416DF"/>
    <w:rPr>
      <w:color w:val="800080"/>
      <w:u w:val="single"/>
    </w:rPr>
  </w:style>
  <w:style w:type="paragraph" w:customStyle="1" w:styleId="Quick1">
    <w:name w:val="Quick 1."/>
    <w:basedOn w:val="Normal"/>
    <w:rsid w:val="00545797"/>
    <w:pPr>
      <w:widowControl/>
      <w:autoSpaceDE/>
      <w:autoSpaceDN/>
      <w:adjustRightInd/>
    </w:pPr>
    <w:rPr>
      <w:rFonts w:ascii="Times New Roman" w:hAnsi="Times New Roman"/>
      <w:sz w:val="24"/>
    </w:rPr>
  </w:style>
  <w:style w:type="paragraph" w:styleId="BalloonText">
    <w:name w:val="Balloon Text"/>
    <w:basedOn w:val="Normal"/>
    <w:link w:val="BalloonTextChar"/>
    <w:rsid w:val="00D31AF9"/>
    <w:rPr>
      <w:rFonts w:ascii="Tahoma" w:hAnsi="Tahoma" w:cs="Tahoma"/>
      <w:sz w:val="16"/>
      <w:szCs w:val="16"/>
    </w:rPr>
  </w:style>
  <w:style w:type="character" w:customStyle="1" w:styleId="BalloonTextChar">
    <w:name w:val="Balloon Text Char"/>
    <w:link w:val="BalloonText"/>
    <w:rsid w:val="00D31AF9"/>
    <w:rPr>
      <w:rFonts w:ascii="Tahoma" w:hAnsi="Tahoma" w:cs="Tahoma"/>
      <w:sz w:val="16"/>
      <w:szCs w:val="16"/>
    </w:rPr>
  </w:style>
  <w:style w:type="paragraph" w:styleId="NormalWeb">
    <w:name w:val="Normal (Web)"/>
    <w:basedOn w:val="Normal"/>
    <w:uiPriority w:val="99"/>
    <w:unhideWhenUsed/>
    <w:rsid w:val="00265F45"/>
    <w:pPr>
      <w:widowControl/>
      <w:autoSpaceDE/>
      <w:autoSpaceDN/>
      <w:adjustRightInd/>
      <w:spacing w:before="100" w:beforeAutospacing="1" w:after="100" w:afterAutospacing="1"/>
    </w:pPr>
    <w:rPr>
      <w:rFonts w:ascii="Times New Roman" w:hAnsi="Times New Roman"/>
      <w:sz w:val="24"/>
    </w:rPr>
  </w:style>
  <w:style w:type="character" w:styleId="CommentReference">
    <w:name w:val="annotation reference"/>
    <w:rsid w:val="00EF5690"/>
    <w:rPr>
      <w:sz w:val="16"/>
      <w:szCs w:val="16"/>
    </w:rPr>
  </w:style>
  <w:style w:type="paragraph" w:styleId="CommentText">
    <w:name w:val="annotation text"/>
    <w:basedOn w:val="Normal"/>
    <w:link w:val="CommentTextChar"/>
    <w:rsid w:val="00EF5690"/>
    <w:rPr>
      <w:szCs w:val="20"/>
    </w:rPr>
  </w:style>
  <w:style w:type="character" w:customStyle="1" w:styleId="CommentTextChar">
    <w:name w:val="Comment Text Char"/>
    <w:link w:val="CommentText"/>
    <w:rsid w:val="00EF5690"/>
    <w:rPr>
      <w:rFonts w:ascii="Courier" w:hAnsi="Courier"/>
    </w:rPr>
  </w:style>
  <w:style w:type="paragraph" w:styleId="CommentSubject">
    <w:name w:val="annotation subject"/>
    <w:basedOn w:val="CommentText"/>
    <w:next w:val="CommentText"/>
    <w:link w:val="CommentSubjectChar"/>
    <w:rsid w:val="00EF5690"/>
    <w:rPr>
      <w:b/>
      <w:bCs/>
    </w:rPr>
  </w:style>
  <w:style w:type="character" w:customStyle="1" w:styleId="CommentSubjectChar">
    <w:name w:val="Comment Subject Char"/>
    <w:link w:val="CommentSubject"/>
    <w:rsid w:val="00EF5690"/>
    <w:rPr>
      <w:rFonts w:ascii="Courier" w:hAnsi="Courier"/>
      <w:b/>
      <w:bCs/>
    </w:rPr>
  </w:style>
  <w:style w:type="character" w:styleId="UnresolvedMention">
    <w:name w:val="Unresolved Mention"/>
    <w:basedOn w:val="DefaultParagraphFont"/>
    <w:uiPriority w:val="99"/>
    <w:semiHidden/>
    <w:unhideWhenUsed/>
    <w:rsid w:val="00AE19FD"/>
    <w:rPr>
      <w:color w:val="605E5C"/>
      <w:shd w:val="clear" w:color="auto" w:fill="E1DFDD"/>
    </w:rPr>
  </w:style>
  <w:style w:type="paragraph" w:styleId="Revision">
    <w:name w:val="Revision"/>
    <w:hidden/>
    <w:uiPriority w:val="99"/>
    <w:semiHidden/>
    <w:rsid w:val="009C664F"/>
    <w:rPr>
      <w:rFonts w:ascii="Courier" w:hAnsi="Courie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bls.gov/oes/current/naics4_212100.htm" TargetMode="External" /><Relationship Id="rId6" Type="http://schemas.openxmlformats.org/officeDocument/2006/relationships/hyperlink" Target="http://www.bls.gov/oes/current/naics4_999200.htm" TargetMode="External" /><Relationship Id="rId7" Type="http://schemas.openxmlformats.org/officeDocument/2006/relationships/hyperlink" Target="http://www.bls.gov/news.release/pdf/ecec.pdf" TargetMode="External" /><Relationship Id="rId8" Type="http://schemas.openxmlformats.org/officeDocument/2006/relationships/hyperlink" Target="https://www.opm.gov/policy-data-oversight/pay-leave/salaries-wages/salary-tables/pdf/2024/RUS_h.pdf"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84B4D-12F9-489D-9D78-75107D345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5411</Words>
  <Characters>30845</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Supporting Statement for Paperwork Reduction Act FOR 30 CFR PART 779</vt:lpstr>
    </vt:vector>
  </TitlesOfParts>
  <Company>Office of Surface Mining</Company>
  <LinksUpToDate>false</LinksUpToDate>
  <CharactersWithSpaces>36184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FOR 30 CFR PART 779</dc:title>
  <dc:creator>Office of Surface Mining</dc:creator>
  <cp:lastModifiedBy>Gehlhar, Mark J</cp:lastModifiedBy>
  <cp:revision>2</cp:revision>
  <cp:lastPrinted>2021-07-28T16:38:00Z</cp:lastPrinted>
  <dcterms:created xsi:type="dcterms:W3CDTF">2025-01-14T15:11:00Z</dcterms:created>
  <dcterms:modified xsi:type="dcterms:W3CDTF">2025-01-14T15:11:00Z</dcterms:modified>
</cp:coreProperties>
</file>