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E331E2" w:rsidP="003D4237" w14:paraId="15A46A7D" w14:textId="582BC5E0">
      <w:pPr>
        <w:tabs>
          <w:tab w:val="left" w:pos="360"/>
          <w:tab w:val="left" w:pos="720"/>
        </w:tabs>
        <w:jc w:val="center"/>
        <w:rPr>
          <w:rFonts w:ascii="Arial" w:hAnsi="Arial" w:cs="Arial"/>
          <w:b/>
          <w:bCs/>
          <w:caps/>
          <w:sz w:val="26"/>
          <w:szCs w:val="26"/>
        </w:rPr>
      </w:pPr>
      <w:r w:rsidRPr="00E331E2">
        <w:rPr>
          <w:rFonts w:ascii="Arial" w:hAnsi="Arial" w:cs="Arial"/>
          <w:caps/>
          <w:sz w:val="26"/>
          <w:szCs w:val="26"/>
          <w:lang w:val="en-CA"/>
        </w:rPr>
        <w:fldChar w:fldCharType="begin"/>
      </w:r>
      <w:r w:rsidRPr="00E331E2">
        <w:rPr>
          <w:rFonts w:ascii="Arial" w:hAnsi="Arial" w:cs="Arial"/>
          <w:caps/>
          <w:sz w:val="26"/>
          <w:szCs w:val="26"/>
          <w:lang w:val="en-CA"/>
        </w:rPr>
        <w:instrText xml:space="preserve"> SEQ CHAPTER \h \r 1</w:instrText>
      </w:r>
      <w:r w:rsidRPr="00E331E2">
        <w:rPr>
          <w:rFonts w:ascii="Arial" w:hAnsi="Arial" w:cs="Arial"/>
          <w:caps/>
          <w:sz w:val="26"/>
          <w:szCs w:val="26"/>
          <w:lang w:val="en-CA"/>
        </w:rPr>
        <w:fldChar w:fldCharType="separate"/>
      </w:r>
      <w:r w:rsidRPr="00E331E2">
        <w:rPr>
          <w:rFonts w:ascii="Arial" w:hAnsi="Arial" w:cs="Arial"/>
          <w:caps/>
          <w:sz w:val="26"/>
          <w:szCs w:val="26"/>
          <w:lang w:val="en-CA"/>
        </w:rPr>
        <w:fldChar w:fldCharType="end"/>
      </w:r>
      <w:r w:rsidRPr="00E331E2">
        <w:rPr>
          <w:rFonts w:ascii="Arial" w:hAnsi="Arial" w:cs="Arial"/>
          <w:b/>
          <w:bCs/>
          <w:caps/>
          <w:sz w:val="26"/>
          <w:szCs w:val="26"/>
        </w:rPr>
        <w:t xml:space="preserve">Supporting </w:t>
      </w:r>
      <w:r w:rsidRPr="00E331E2">
        <w:rPr>
          <w:rFonts w:ascii="Arial" w:hAnsi="Arial" w:cs="Arial"/>
          <w:b/>
          <w:bCs/>
          <w:caps/>
          <w:sz w:val="26"/>
          <w:szCs w:val="26"/>
        </w:rPr>
        <w:t>Statement</w:t>
      </w:r>
      <w:r w:rsidRPr="00E331E2">
        <w:rPr>
          <w:rFonts w:ascii="Arial" w:hAnsi="Arial" w:cs="Arial"/>
          <w:b/>
          <w:bCs/>
          <w:caps/>
          <w:sz w:val="26"/>
          <w:szCs w:val="26"/>
        </w:rPr>
        <w:t xml:space="preserve"> </w:t>
      </w:r>
      <w:r w:rsidRPr="00E331E2" w:rsidR="007851E9">
        <w:rPr>
          <w:rFonts w:ascii="Arial" w:hAnsi="Arial" w:cs="Arial"/>
          <w:b/>
          <w:bCs/>
          <w:caps/>
          <w:sz w:val="26"/>
          <w:szCs w:val="26"/>
        </w:rPr>
        <w:t>A</w:t>
      </w:r>
    </w:p>
    <w:p w:rsidR="009B359F" w:rsidRPr="00E331E2" w:rsidP="003D4237" w14:paraId="5F95EABE" w14:textId="77777777">
      <w:pPr>
        <w:tabs>
          <w:tab w:val="left" w:pos="360"/>
          <w:tab w:val="left" w:pos="720"/>
        </w:tabs>
        <w:jc w:val="center"/>
        <w:rPr>
          <w:rFonts w:ascii="Arial" w:hAnsi="Arial" w:cs="Arial"/>
          <w:b/>
          <w:bCs/>
          <w:sz w:val="26"/>
          <w:szCs w:val="26"/>
        </w:rPr>
      </w:pPr>
    </w:p>
    <w:p w:rsidR="006008A7" w:rsidRPr="00E331E2" w:rsidP="003D4237" w14:paraId="155B5F1D" w14:textId="77777777">
      <w:pPr>
        <w:tabs>
          <w:tab w:val="left" w:pos="360"/>
          <w:tab w:val="left" w:pos="720"/>
        </w:tabs>
        <w:jc w:val="center"/>
        <w:rPr>
          <w:rFonts w:ascii="Arial" w:hAnsi="Arial" w:cs="Arial"/>
          <w:b/>
          <w:bCs/>
          <w:sz w:val="26"/>
          <w:szCs w:val="26"/>
        </w:rPr>
      </w:pPr>
      <w:r w:rsidRPr="00E331E2">
        <w:rPr>
          <w:rFonts w:ascii="Arial" w:hAnsi="Arial" w:cs="Arial"/>
          <w:b/>
          <w:bCs/>
          <w:sz w:val="26"/>
          <w:szCs w:val="26"/>
        </w:rPr>
        <w:t xml:space="preserve">7 CFR Part 1; 43 CFR Part 45: 50 CFR Part </w:t>
      </w:r>
      <w:r w:rsidRPr="00E331E2">
        <w:rPr>
          <w:rFonts w:ascii="Arial" w:hAnsi="Arial" w:cs="Arial"/>
          <w:b/>
          <w:bCs/>
          <w:sz w:val="26"/>
          <w:szCs w:val="26"/>
        </w:rPr>
        <w:t>221;</w:t>
      </w:r>
    </w:p>
    <w:p w:rsidR="00295103" w:rsidRPr="00E331E2" w:rsidP="003D4237" w14:paraId="6D5C8A4A" w14:textId="77777777">
      <w:pPr>
        <w:tabs>
          <w:tab w:val="left" w:pos="360"/>
          <w:tab w:val="left" w:pos="720"/>
        </w:tabs>
        <w:jc w:val="center"/>
        <w:rPr>
          <w:rFonts w:ascii="Arial" w:hAnsi="Arial" w:cs="Arial"/>
          <w:b/>
          <w:bCs/>
          <w:sz w:val="26"/>
          <w:szCs w:val="26"/>
        </w:rPr>
      </w:pPr>
      <w:r w:rsidRPr="00E331E2">
        <w:rPr>
          <w:rFonts w:ascii="Arial" w:hAnsi="Arial" w:cs="Arial"/>
          <w:b/>
          <w:bCs/>
          <w:sz w:val="26"/>
          <w:szCs w:val="26"/>
        </w:rPr>
        <w:t>T</w:t>
      </w:r>
      <w:r w:rsidRPr="00E331E2" w:rsidR="006008A7">
        <w:rPr>
          <w:rFonts w:ascii="Arial" w:hAnsi="Arial" w:cs="Arial"/>
          <w:b/>
          <w:bCs/>
          <w:sz w:val="26"/>
          <w:szCs w:val="26"/>
        </w:rPr>
        <w:t>he Alternatives Process in Hydropower Licensing</w:t>
      </w:r>
    </w:p>
    <w:p w:rsidR="00295103" w:rsidRPr="00E331E2" w:rsidP="003D4237" w14:paraId="12321FEA" w14:textId="77777777">
      <w:pPr>
        <w:tabs>
          <w:tab w:val="left" w:pos="360"/>
          <w:tab w:val="left" w:pos="720"/>
        </w:tabs>
        <w:jc w:val="center"/>
        <w:rPr>
          <w:rFonts w:ascii="Arial" w:hAnsi="Arial" w:cs="Arial"/>
          <w:sz w:val="26"/>
          <w:szCs w:val="26"/>
        </w:rPr>
      </w:pPr>
      <w:r w:rsidRPr="00E331E2">
        <w:rPr>
          <w:rFonts w:ascii="Arial" w:hAnsi="Arial" w:cs="Arial"/>
          <w:b/>
          <w:bCs/>
          <w:sz w:val="26"/>
          <w:szCs w:val="26"/>
        </w:rPr>
        <w:t xml:space="preserve">OMB Control Number </w:t>
      </w:r>
      <w:r w:rsidRPr="00E331E2" w:rsidR="000A6293">
        <w:rPr>
          <w:rFonts w:ascii="Arial" w:hAnsi="Arial" w:cs="Arial"/>
          <w:b/>
          <w:bCs/>
          <w:sz w:val="26"/>
          <w:szCs w:val="26"/>
        </w:rPr>
        <w:t>1094</w:t>
      </w:r>
      <w:r w:rsidRPr="00E331E2">
        <w:rPr>
          <w:rFonts w:ascii="Arial" w:hAnsi="Arial" w:cs="Arial"/>
          <w:b/>
          <w:bCs/>
          <w:sz w:val="26"/>
          <w:szCs w:val="26"/>
        </w:rPr>
        <w:t>-</w:t>
      </w:r>
      <w:r w:rsidRPr="00E331E2" w:rsidR="000A6293">
        <w:rPr>
          <w:rFonts w:ascii="Arial" w:hAnsi="Arial" w:cs="Arial"/>
          <w:b/>
          <w:bCs/>
          <w:sz w:val="26"/>
          <w:szCs w:val="26"/>
        </w:rPr>
        <w:t>0001</w:t>
      </w:r>
    </w:p>
    <w:p w:rsidR="009B359F" w:rsidRPr="00E331E2" w:rsidP="003D4237" w14:paraId="27FEFE32" w14:textId="77777777">
      <w:pPr>
        <w:tabs>
          <w:tab w:val="left" w:pos="360"/>
          <w:tab w:val="left" w:pos="720"/>
        </w:tabs>
        <w:jc w:val="center"/>
        <w:rPr>
          <w:rFonts w:ascii="Arial" w:hAnsi="Arial" w:cs="Arial"/>
          <w:sz w:val="26"/>
          <w:szCs w:val="26"/>
        </w:rPr>
      </w:pPr>
    </w:p>
    <w:p w:rsidR="009B359F" w:rsidRPr="00E331E2" w:rsidP="003D4237" w14:paraId="7C6A81C0" w14:textId="77777777">
      <w:pPr>
        <w:tabs>
          <w:tab w:val="left" w:pos="360"/>
          <w:tab w:val="left" w:pos="720"/>
        </w:tabs>
        <w:rPr>
          <w:rFonts w:ascii="Arial" w:hAnsi="Arial" w:cs="Arial"/>
          <w:sz w:val="22"/>
          <w:szCs w:val="22"/>
        </w:rPr>
      </w:pPr>
      <w:r w:rsidRPr="00E331E2">
        <w:rPr>
          <w:rFonts w:ascii="Arial" w:hAnsi="Arial" w:cs="Arial"/>
          <w:b/>
          <w:sz w:val="22"/>
          <w:szCs w:val="22"/>
        </w:rPr>
        <w:t>Terms of Clearance:</w:t>
      </w:r>
      <w:r w:rsidRPr="00E331E2">
        <w:rPr>
          <w:rFonts w:ascii="Arial" w:hAnsi="Arial" w:cs="Arial"/>
          <w:sz w:val="22"/>
          <w:szCs w:val="22"/>
        </w:rPr>
        <w:t xml:space="preserve"> </w:t>
      </w:r>
      <w:r w:rsidRPr="00E331E2" w:rsidR="000A6293">
        <w:rPr>
          <w:rFonts w:ascii="Arial" w:hAnsi="Arial" w:cs="Arial"/>
          <w:sz w:val="22"/>
          <w:szCs w:val="22"/>
        </w:rPr>
        <w:t xml:space="preserve"> None</w:t>
      </w:r>
    </w:p>
    <w:p w:rsidR="009B359F" w:rsidRPr="00E331E2" w:rsidP="003D4237" w14:paraId="1D00AECB" w14:textId="77777777">
      <w:pPr>
        <w:tabs>
          <w:tab w:val="left" w:pos="360"/>
          <w:tab w:val="left" w:pos="720"/>
        </w:tabs>
        <w:jc w:val="center"/>
        <w:rPr>
          <w:rFonts w:ascii="Arial" w:hAnsi="Arial" w:cs="Arial"/>
          <w:sz w:val="22"/>
          <w:szCs w:val="22"/>
        </w:rPr>
      </w:pPr>
    </w:p>
    <w:p w:rsidR="00295103" w:rsidRPr="00E331E2" w:rsidP="003D4237" w14:paraId="3E3E67F4" w14:textId="77777777">
      <w:pPr>
        <w:tabs>
          <w:tab w:val="left" w:pos="360"/>
          <w:tab w:val="left" w:pos="720"/>
        </w:tabs>
        <w:ind w:left="360" w:hanging="360"/>
        <w:rPr>
          <w:rFonts w:ascii="Arial" w:hAnsi="Arial" w:cs="Arial"/>
          <w:sz w:val="22"/>
          <w:szCs w:val="22"/>
        </w:rPr>
      </w:pPr>
      <w:r w:rsidRPr="00E331E2">
        <w:rPr>
          <w:rFonts w:ascii="Arial" w:hAnsi="Arial" w:cs="Arial"/>
          <w:b/>
          <w:bCs/>
          <w:sz w:val="22"/>
          <w:szCs w:val="22"/>
        </w:rPr>
        <w:t>Justification</w:t>
      </w:r>
    </w:p>
    <w:p w:rsidR="00295103" w:rsidRPr="00E331E2" w:rsidP="003D4237" w14:paraId="7B26DD0B" w14:textId="77777777">
      <w:pPr>
        <w:tabs>
          <w:tab w:val="left" w:pos="360"/>
          <w:tab w:val="left" w:pos="720"/>
        </w:tabs>
        <w:rPr>
          <w:rFonts w:ascii="Arial" w:hAnsi="Arial" w:cs="Arial"/>
          <w:sz w:val="22"/>
          <w:szCs w:val="22"/>
        </w:rPr>
      </w:pPr>
    </w:p>
    <w:p w:rsidR="00295103" w:rsidRPr="00E331E2" w:rsidP="003D4237" w14:paraId="1CFAF44C" w14:textId="77777777">
      <w:pPr>
        <w:tabs>
          <w:tab w:val="left" w:pos="360"/>
          <w:tab w:val="left" w:pos="720"/>
        </w:tabs>
        <w:rPr>
          <w:rFonts w:ascii="Arial" w:hAnsi="Arial" w:cs="Arial"/>
          <w:b/>
          <w:sz w:val="22"/>
          <w:szCs w:val="22"/>
        </w:rPr>
      </w:pPr>
      <w:r w:rsidRPr="00E331E2">
        <w:rPr>
          <w:rFonts w:ascii="Arial" w:hAnsi="Arial" w:cs="Arial"/>
          <w:b/>
          <w:sz w:val="22"/>
          <w:szCs w:val="22"/>
        </w:rPr>
        <w:t>1.</w:t>
      </w:r>
      <w:r w:rsidRPr="00E331E2">
        <w:rPr>
          <w:rFonts w:ascii="Arial" w:hAnsi="Arial" w:cs="Arial"/>
          <w:b/>
          <w:sz w:val="22"/>
          <w:szCs w:val="22"/>
        </w:rPr>
        <w:tab/>
        <w:t>Explain the circumstances that make the collection of information necessary.  Identify any legal or administrative requirements that necessitate the collection.</w:t>
      </w:r>
    </w:p>
    <w:p w:rsidR="00A57ED4" w:rsidRPr="00E331E2" w:rsidP="003D4237" w14:paraId="627AC07A" w14:textId="77777777">
      <w:pPr>
        <w:tabs>
          <w:tab w:val="left" w:pos="360"/>
          <w:tab w:val="left" w:pos="720"/>
        </w:tabs>
        <w:rPr>
          <w:rFonts w:ascii="Arial" w:hAnsi="Arial" w:cs="Arial"/>
          <w:sz w:val="22"/>
          <w:szCs w:val="22"/>
        </w:rPr>
      </w:pPr>
    </w:p>
    <w:p w:rsidR="00EF14FC" w:rsidP="003D4237" w14:paraId="1A37035B" w14:textId="77777777">
      <w:pPr>
        <w:tabs>
          <w:tab w:val="left" w:pos="360"/>
          <w:tab w:val="left" w:pos="720"/>
        </w:tabs>
        <w:rPr>
          <w:rFonts w:ascii="Arial" w:hAnsi="Arial" w:cs="Arial"/>
          <w:sz w:val="22"/>
          <w:szCs w:val="22"/>
        </w:rPr>
      </w:pPr>
      <w:r w:rsidRPr="00E331E2">
        <w:rPr>
          <w:rFonts w:ascii="Arial" w:hAnsi="Arial" w:cs="Arial"/>
          <w:sz w:val="22"/>
          <w:szCs w:val="22"/>
        </w:rPr>
        <w:t xml:space="preserve">Under the Federal Power Act, as amended, hydropower licenses must be adapted to a comprehensive plan for improving or developing affected waterways, including protection of fish and wildlife.  (See, for example, 16 U.S.C. Sections 4(e) and 811.)  When Federal lands are involved, the relevant agency will also be able to participate in the review and development of conditions.  The agencies potentially having such review collaboration are the Departments of Interior, Commerce, and Agriculture. </w:t>
      </w:r>
    </w:p>
    <w:p w:rsidR="00EF14FC" w:rsidP="003D4237" w14:paraId="4B887746" w14:textId="77777777">
      <w:pPr>
        <w:tabs>
          <w:tab w:val="left" w:pos="360"/>
          <w:tab w:val="left" w:pos="720"/>
        </w:tabs>
        <w:rPr>
          <w:rFonts w:ascii="Arial" w:hAnsi="Arial" w:cs="Arial"/>
          <w:sz w:val="22"/>
          <w:szCs w:val="22"/>
        </w:rPr>
      </w:pPr>
    </w:p>
    <w:p w:rsidR="000A6293" w:rsidRPr="00E331E2" w:rsidP="003D4237" w14:paraId="4D54A1A1" w14:textId="304C9403">
      <w:pPr>
        <w:tabs>
          <w:tab w:val="left" w:pos="360"/>
          <w:tab w:val="left" w:pos="720"/>
        </w:tabs>
        <w:rPr>
          <w:rFonts w:ascii="Arial" w:hAnsi="Arial" w:cs="Arial"/>
          <w:sz w:val="22"/>
          <w:szCs w:val="22"/>
        </w:rPr>
      </w:pPr>
      <w:r w:rsidRPr="00E331E2">
        <w:rPr>
          <w:rFonts w:ascii="Arial" w:hAnsi="Arial" w:cs="Arial"/>
          <w:sz w:val="22"/>
          <w:szCs w:val="22"/>
        </w:rPr>
        <w:t xml:space="preserve">Under the Energy Policy Act of 2005, a license applicant for a new hydropower project may submit an alternative means of protecting a fishway from what was originally recommended by the Federal Energy Regulatory Commission during the licensing process.  For these alternative process submissions that may be proposed on federally owned or managed land, particular information must be provided to the relevant agency, which will be one of the three </w:t>
      </w:r>
      <w:r w:rsidRPr="00E331E2">
        <w:rPr>
          <w:rFonts w:ascii="Arial" w:hAnsi="Arial" w:cs="Arial"/>
          <w:sz w:val="22"/>
          <w:szCs w:val="22"/>
        </w:rPr>
        <w:t>aforementioned agencies</w:t>
      </w:r>
      <w:r w:rsidRPr="00E331E2">
        <w:rPr>
          <w:rFonts w:ascii="Arial" w:hAnsi="Arial" w:cs="Arial"/>
          <w:sz w:val="22"/>
          <w:szCs w:val="22"/>
        </w:rPr>
        <w:t xml:space="preserve">.  It is the development and provision of this </w:t>
      </w:r>
      <w:r w:rsidRPr="00E331E2">
        <w:rPr>
          <w:rFonts w:ascii="Arial" w:hAnsi="Arial" w:cs="Arial"/>
          <w:sz w:val="22"/>
          <w:szCs w:val="22"/>
        </w:rPr>
        <w:t>particular information</w:t>
      </w:r>
      <w:r w:rsidRPr="00E331E2">
        <w:rPr>
          <w:rFonts w:ascii="Arial" w:hAnsi="Arial" w:cs="Arial"/>
          <w:sz w:val="22"/>
          <w:szCs w:val="22"/>
        </w:rPr>
        <w:t xml:space="preserve"> to pursue an alternative process that is the subject of this information collection, 1094-0001.  The Department of the Interior </w:t>
      </w:r>
      <w:r w:rsidRPr="00E331E2" w:rsidR="005230FE">
        <w:rPr>
          <w:rFonts w:ascii="Arial" w:hAnsi="Arial" w:cs="Arial"/>
          <w:sz w:val="22"/>
          <w:szCs w:val="22"/>
        </w:rPr>
        <w:t>manages and submits</w:t>
      </w:r>
      <w:r w:rsidRPr="00E331E2">
        <w:rPr>
          <w:rFonts w:ascii="Arial" w:hAnsi="Arial" w:cs="Arial"/>
          <w:sz w:val="22"/>
          <w:szCs w:val="22"/>
        </w:rPr>
        <w:t xml:space="preserve"> this information collection renewal request to OMB on behalf of the three agencies.  The agencies have also published regulations implementing these statutory processes, including the alternatives process in hydropower licensing.</w:t>
      </w:r>
    </w:p>
    <w:p w:rsidR="000A6293" w:rsidRPr="00E331E2" w:rsidP="003D4237" w14:paraId="42C9783A" w14:textId="77777777">
      <w:pPr>
        <w:tabs>
          <w:tab w:val="left" w:pos="360"/>
          <w:tab w:val="left" w:pos="720"/>
        </w:tabs>
        <w:rPr>
          <w:rFonts w:ascii="Arial" w:hAnsi="Arial" w:cs="Arial"/>
          <w:sz w:val="22"/>
          <w:szCs w:val="22"/>
        </w:rPr>
      </w:pPr>
    </w:p>
    <w:p w:rsidR="000A6293" w:rsidRPr="00E331E2" w:rsidP="003D4237" w14:paraId="461621A3" w14:textId="77777777">
      <w:pPr>
        <w:tabs>
          <w:tab w:val="left" w:pos="360"/>
          <w:tab w:val="left" w:pos="720"/>
        </w:tabs>
        <w:rPr>
          <w:rFonts w:ascii="Arial" w:hAnsi="Arial" w:cs="Arial"/>
          <w:sz w:val="22"/>
          <w:szCs w:val="22"/>
        </w:rPr>
      </w:pPr>
      <w:r w:rsidRPr="00E331E2">
        <w:rPr>
          <w:rFonts w:ascii="Arial" w:hAnsi="Arial" w:cs="Arial"/>
          <w:sz w:val="22"/>
          <w:szCs w:val="22"/>
        </w:rPr>
        <w:t>In sum, the specific statutory and regulatory authority for this information collection is the Federal Power Act (FPA), 16 U.S.C. 797(e), 811, the Energy Policy Act of 2005 (</w:t>
      </w:r>
      <w:r w:rsidRPr="00E331E2">
        <w:rPr>
          <w:rFonts w:ascii="Arial" w:hAnsi="Arial" w:cs="Arial"/>
          <w:sz w:val="22"/>
          <w:szCs w:val="22"/>
        </w:rPr>
        <w:t>EPAct</w:t>
      </w:r>
      <w:r w:rsidRPr="00E331E2">
        <w:rPr>
          <w:rFonts w:ascii="Arial" w:hAnsi="Arial" w:cs="Arial"/>
          <w:sz w:val="22"/>
          <w:szCs w:val="22"/>
        </w:rPr>
        <w:t>), Pub. L. 109-58, particularly Section 241 which amended the FPA to add the alternatives process, and the implementing regulations by the three agencies, 7 CFR Part 1, 43 CFR Part 45, and 50 CFR Part 221, to implement section 241</w:t>
      </w:r>
      <w:r w:rsidRPr="00E331E2" w:rsidR="005230FE">
        <w:rPr>
          <w:rFonts w:ascii="Arial" w:hAnsi="Arial" w:cs="Arial"/>
          <w:sz w:val="22"/>
          <w:szCs w:val="22"/>
        </w:rPr>
        <w:t>.</w:t>
      </w:r>
    </w:p>
    <w:p w:rsidR="000A6293" w:rsidRPr="00E331E2" w:rsidP="003D4237" w14:paraId="5A153883" w14:textId="77777777">
      <w:pPr>
        <w:tabs>
          <w:tab w:val="left" w:pos="360"/>
          <w:tab w:val="left" w:pos="720"/>
        </w:tabs>
        <w:rPr>
          <w:rFonts w:ascii="Arial" w:hAnsi="Arial" w:cs="Arial"/>
          <w:sz w:val="22"/>
          <w:szCs w:val="22"/>
        </w:rPr>
      </w:pPr>
    </w:p>
    <w:p w:rsidR="00A57ED4" w:rsidRPr="00E331E2" w:rsidP="00A57ED4" w14:paraId="7B25F2AC" w14:textId="77777777">
      <w:pPr>
        <w:tabs>
          <w:tab w:val="left" w:pos="360"/>
          <w:tab w:val="left" w:pos="720"/>
        </w:tabs>
        <w:rPr>
          <w:rFonts w:ascii="Arial" w:hAnsi="Arial" w:cs="Arial"/>
          <w:b/>
          <w:sz w:val="22"/>
          <w:szCs w:val="22"/>
        </w:rPr>
      </w:pPr>
      <w:r w:rsidRPr="00E331E2">
        <w:rPr>
          <w:rFonts w:ascii="Arial" w:hAnsi="Arial" w:cs="Arial"/>
          <w:b/>
          <w:sz w:val="22"/>
          <w:szCs w:val="22"/>
        </w:rPr>
        <w:t>2.</w:t>
      </w:r>
      <w:r w:rsidRPr="00E331E2">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A57ED4" w:rsidRPr="00E331E2" w:rsidP="003D4237" w14:paraId="79DB9EB3" w14:textId="77777777">
      <w:pPr>
        <w:tabs>
          <w:tab w:val="left" w:pos="360"/>
          <w:tab w:val="left" w:pos="720"/>
        </w:tabs>
        <w:rPr>
          <w:rFonts w:ascii="Arial" w:hAnsi="Arial" w:cs="Arial"/>
          <w:sz w:val="22"/>
          <w:szCs w:val="22"/>
        </w:rPr>
      </w:pPr>
    </w:p>
    <w:p w:rsidR="0056760F" w:rsidP="003D4237" w14:paraId="796440B8" w14:textId="77777777">
      <w:pPr>
        <w:tabs>
          <w:tab w:val="left" w:pos="360"/>
          <w:tab w:val="left" w:pos="720"/>
        </w:tabs>
        <w:rPr>
          <w:rFonts w:ascii="Arial" w:hAnsi="Arial" w:cs="Arial"/>
          <w:sz w:val="22"/>
          <w:szCs w:val="22"/>
        </w:rPr>
      </w:pPr>
      <w:r w:rsidRPr="00E331E2">
        <w:rPr>
          <w:rFonts w:ascii="Arial" w:hAnsi="Arial" w:cs="Arial"/>
          <w:sz w:val="22"/>
          <w:szCs w:val="22"/>
        </w:rPr>
        <w:t xml:space="preserve">The Secretary of the agency involved must accept the proposed alternative if the Secretary determines, based on substantial evidence provided by a party to the license proceeding or otherwise available to the Secretary, </w:t>
      </w:r>
      <w:r w:rsidR="00E331E2">
        <w:rPr>
          <w:rFonts w:ascii="Arial" w:hAnsi="Arial" w:cs="Arial"/>
          <w:sz w:val="22"/>
          <w:szCs w:val="22"/>
        </w:rPr>
        <w:t>that:</w:t>
      </w:r>
    </w:p>
    <w:p w:rsidR="00E331E2" w:rsidRPr="00E331E2" w:rsidP="003D4237" w14:paraId="1613D140" w14:textId="77777777">
      <w:pPr>
        <w:tabs>
          <w:tab w:val="left" w:pos="360"/>
          <w:tab w:val="left" w:pos="720"/>
        </w:tabs>
        <w:rPr>
          <w:rFonts w:ascii="Arial" w:hAnsi="Arial" w:cs="Arial"/>
          <w:sz w:val="22"/>
          <w:szCs w:val="22"/>
        </w:rPr>
      </w:pPr>
    </w:p>
    <w:p w:rsidR="0056760F" w:rsidRPr="00E331E2" w:rsidP="0056760F" w14:paraId="114F4837" w14:textId="77777777">
      <w:pPr>
        <w:tabs>
          <w:tab w:val="left" w:pos="360"/>
          <w:tab w:val="left" w:pos="720"/>
        </w:tabs>
        <w:ind w:left="720" w:hanging="360"/>
        <w:rPr>
          <w:rFonts w:ascii="Arial" w:hAnsi="Arial" w:cs="Arial"/>
          <w:sz w:val="22"/>
          <w:szCs w:val="22"/>
        </w:rPr>
      </w:pPr>
      <w:r w:rsidRPr="00E331E2">
        <w:rPr>
          <w:rFonts w:ascii="Arial" w:hAnsi="Arial" w:cs="Arial"/>
          <w:sz w:val="22"/>
          <w:szCs w:val="22"/>
        </w:rPr>
        <w:t>(a)</w:t>
      </w:r>
      <w:r w:rsidRPr="00E331E2" w:rsidR="005230FE">
        <w:rPr>
          <w:rFonts w:ascii="Arial" w:hAnsi="Arial" w:cs="Arial"/>
          <w:sz w:val="22"/>
          <w:szCs w:val="22"/>
        </w:rPr>
        <w:tab/>
      </w:r>
      <w:r w:rsidRPr="00E331E2">
        <w:rPr>
          <w:rFonts w:ascii="Arial" w:hAnsi="Arial" w:cs="Arial"/>
          <w:sz w:val="22"/>
          <w:szCs w:val="22"/>
        </w:rPr>
        <w:t xml:space="preserve">the alternative condition provides for the adequate protection and utilization of the reservation, or that the alternative prescription will be no less protective than the fishway initially proposed by the Secretary, and </w:t>
      </w:r>
    </w:p>
    <w:p w:rsidR="000A6293" w:rsidRPr="00E331E2" w:rsidP="0056760F" w14:paraId="29920FCB" w14:textId="77777777">
      <w:pPr>
        <w:tabs>
          <w:tab w:val="left" w:pos="360"/>
          <w:tab w:val="left" w:pos="720"/>
        </w:tabs>
        <w:ind w:left="720" w:hanging="360"/>
        <w:rPr>
          <w:rFonts w:ascii="Arial" w:hAnsi="Arial" w:cs="Arial"/>
          <w:sz w:val="22"/>
          <w:szCs w:val="22"/>
        </w:rPr>
      </w:pPr>
      <w:r w:rsidRPr="00E331E2">
        <w:rPr>
          <w:rFonts w:ascii="Arial" w:hAnsi="Arial" w:cs="Arial"/>
          <w:sz w:val="22"/>
          <w:szCs w:val="22"/>
        </w:rPr>
        <w:t>(b)</w:t>
      </w:r>
      <w:r w:rsidRPr="00E331E2" w:rsidR="005230FE">
        <w:rPr>
          <w:rFonts w:ascii="Arial" w:hAnsi="Arial" w:cs="Arial"/>
          <w:sz w:val="22"/>
          <w:szCs w:val="22"/>
        </w:rPr>
        <w:tab/>
      </w:r>
      <w:r w:rsidRPr="00E331E2">
        <w:rPr>
          <w:rFonts w:ascii="Arial" w:hAnsi="Arial" w:cs="Arial"/>
          <w:sz w:val="22"/>
          <w:szCs w:val="22"/>
        </w:rPr>
        <w:t>the alternative will either cost significantly less to implement or result in improved operation of the project works for electricity production.</w:t>
      </w:r>
    </w:p>
    <w:p w:rsidR="000A6293" w:rsidRPr="00E331E2" w:rsidP="003D4237" w14:paraId="63749FDB" w14:textId="77777777">
      <w:pPr>
        <w:tabs>
          <w:tab w:val="left" w:pos="360"/>
          <w:tab w:val="left" w:pos="720"/>
        </w:tabs>
        <w:rPr>
          <w:rFonts w:ascii="Arial" w:hAnsi="Arial" w:cs="Arial"/>
          <w:sz w:val="22"/>
          <w:szCs w:val="22"/>
        </w:rPr>
      </w:pPr>
    </w:p>
    <w:p w:rsidR="000A6293" w:rsidRPr="00E331E2" w:rsidP="003D4237" w14:paraId="0C258ED8" w14:textId="77777777">
      <w:pPr>
        <w:tabs>
          <w:tab w:val="left" w:pos="360"/>
          <w:tab w:val="left" w:pos="720"/>
        </w:tabs>
        <w:rPr>
          <w:rFonts w:ascii="Arial" w:hAnsi="Arial" w:cs="Arial"/>
          <w:sz w:val="22"/>
          <w:szCs w:val="22"/>
        </w:rPr>
      </w:pPr>
      <w:r w:rsidRPr="00E331E2">
        <w:rPr>
          <w:rFonts w:ascii="Arial" w:hAnsi="Arial" w:cs="Arial"/>
          <w:sz w:val="22"/>
          <w:szCs w:val="22"/>
        </w:rPr>
        <w:t>In order to</w:t>
      </w:r>
      <w:r w:rsidRPr="00E331E2">
        <w:rPr>
          <w:rFonts w:ascii="Arial" w:hAnsi="Arial" w:cs="Arial"/>
          <w:sz w:val="22"/>
          <w:szCs w:val="22"/>
        </w:rPr>
        <w:t xml:space="preserve"> make this determination, the regulations require </w:t>
      </w:r>
      <w:r w:rsidRPr="00E331E2" w:rsidR="0056760F">
        <w:rPr>
          <w:rFonts w:ascii="Arial" w:hAnsi="Arial" w:cs="Arial"/>
          <w:sz w:val="22"/>
          <w:szCs w:val="22"/>
        </w:rPr>
        <w:t>the submission of</w:t>
      </w:r>
      <w:r w:rsidRPr="00E331E2">
        <w:rPr>
          <w:rFonts w:ascii="Arial" w:hAnsi="Arial" w:cs="Arial"/>
          <w:sz w:val="22"/>
          <w:szCs w:val="22"/>
        </w:rPr>
        <w:t xml:space="preserve"> all</w:t>
      </w:r>
      <w:r w:rsidRPr="00E331E2" w:rsidR="0056760F">
        <w:rPr>
          <w:rFonts w:ascii="Arial" w:hAnsi="Arial" w:cs="Arial"/>
          <w:sz w:val="22"/>
          <w:szCs w:val="22"/>
        </w:rPr>
        <w:t xml:space="preserve"> of the following information</w:t>
      </w:r>
      <w:r w:rsidRPr="00E331E2">
        <w:rPr>
          <w:rFonts w:ascii="Arial" w:hAnsi="Arial" w:cs="Arial"/>
          <w:sz w:val="22"/>
          <w:szCs w:val="22"/>
        </w:rPr>
        <w:t>, and hence that all of the following information be collected in this information collection:</w:t>
      </w:r>
    </w:p>
    <w:p w:rsidR="000A6293" w:rsidRPr="00E331E2" w:rsidP="003D4237" w14:paraId="17E5B8BB" w14:textId="77777777">
      <w:pPr>
        <w:tabs>
          <w:tab w:val="left" w:pos="360"/>
          <w:tab w:val="left" w:pos="720"/>
        </w:tabs>
        <w:rPr>
          <w:rFonts w:ascii="Arial" w:hAnsi="Arial" w:cs="Arial"/>
          <w:sz w:val="22"/>
          <w:szCs w:val="22"/>
        </w:rPr>
      </w:pPr>
    </w:p>
    <w:p w:rsidR="000A6293" w:rsidP="0056760F" w14:paraId="62ECA39D"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(1)</w:t>
      </w:r>
      <w:r w:rsidRPr="00E331E2" w:rsidR="0056760F">
        <w:rPr>
          <w:rFonts w:ascii="Arial" w:hAnsi="Arial" w:cs="Arial"/>
          <w:sz w:val="22"/>
          <w:szCs w:val="22"/>
        </w:rPr>
        <w:tab/>
      </w:r>
      <w:r w:rsidRPr="00E331E2">
        <w:rPr>
          <w:rFonts w:ascii="Arial" w:hAnsi="Arial" w:cs="Arial"/>
          <w:sz w:val="22"/>
          <w:szCs w:val="22"/>
        </w:rPr>
        <w:t>A description of the alternative, in an equivalent level of det</w:t>
      </w:r>
      <w:r w:rsidRPr="00E331E2" w:rsidR="0056760F">
        <w:rPr>
          <w:rFonts w:ascii="Arial" w:hAnsi="Arial" w:cs="Arial"/>
          <w:sz w:val="22"/>
          <w:szCs w:val="22"/>
        </w:rPr>
        <w:t xml:space="preserve">ail to the bureau’s preliminary </w:t>
      </w:r>
      <w:r w:rsidRPr="00E331E2">
        <w:rPr>
          <w:rFonts w:ascii="Arial" w:hAnsi="Arial" w:cs="Arial"/>
          <w:sz w:val="22"/>
          <w:szCs w:val="22"/>
        </w:rPr>
        <w:t xml:space="preserve">condition or </w:t>
      </w:r>
      <w:r w:rsidRPr="00E331E2">
        <w:rPr>
          <w:rFonts w:ascii="Arial" w:hAnsi="Arial" w:cs="Arial"/>
          <w:sz w:val="22"/>
          <w:szCs w:val="22"/>
        </w:rPr>
        <w:t>prescription;</w:t>
      </w:r>
    </w:p>
    <w:p w:rsidR="00696AD9" w:rsidRPr="00E331E2" w:rsidP="0056760F" w14:paraId="2B4DBB64" w14:textId="77777777">
      <w:pPr>
        <w:tabs>
          <w:tab w:val="left" w:pos="360"/>
          <w:tab w:val="left" w:pos="720"/>
          <w:tab w:val="left" w:pos="1080"/>
        </w:tabs>
        <w:ind w:left="720" w:hanging="360"/>
        <w:rPr>
          <w:rFonts w:ascii="Arial" w:hAnsi="Arial" w:cs="Arial"/>
          <w:sz w:val="22"/>
          <w:szCs w:val="22"/>
        </w:rPr>
      </w:pPr>
    </w:p>
    <w:p w:rsidR="000A6293" w:rsidP="0056760F" w14:paraId="601AC0BF"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(2)</w:t>
      </w:r>
      <w:r w:rsidRPr="00E331E2">
        <w:rPr>
          <w:rFonts w:ascii="Arial" w:hAnsi="Arial" w:cs="Arial"/>
          <w:sz w:val="22"/>
          <w:szCs w:val="22"/>
        </w:rPr>
        <w:tab/>
        <w:t>An explanation of how the alternative:</w:t>
      </w:r>
    </w:p>
    <w:p w:rsidR="00A05FBC" w:rsidRPr="00E331E2" w:rsidP="0056760F" w14:paraId="7D613BEB" w14:textId="77777777">
      <w:pPr>
        <w:tabs>
          <w:tab w:val="left" w:pos="360"/>
          <w:tab w:val="left" w:pos="720"/>
          <w:tab w:val="left" w:pos="1080"/>
        </w:tabs>
        <w:ind w:left="720" w:hanging="360"/>
        <w:rPr>
          <w:rFonts w:ascii="Arial" w:hAnsi="Arial" w:cs="Arial"/>
          <w:sz w:val="22"/>
          <w:szCs w:val="22"/>
        </w:rPr>
      </w:pPr>
    </w:p>
    <w:p w:rsidR="000A6293" w:rsidP="0056760F" w14:paraId="1644B317"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w:t>
      </w:r>
      <w:r w:rsidRPr="00E331E2">
        <w:rPr>
          <w:rFonts w:ascii="Arial" w:hAnsi="Arial" w:cs="Arial"/>
          <w:sz w:val="22"/>
          <w:szCs w:val="22"/>
        </w:rPr>
        <w:t>i</w:t>
      </w:r>
      <w:r w:rsidRPr="00E331E2">
        <w:rPr>
          <w:rFonts w:ascii="Arial" w:hAnsi="Arial" w:cs="Arial"/>
          <w:sz w:val="22"/>
          <w:szCs w:val="22"/>
        </w:rPr>
        <w:t>)</w:t>
      </w:r>
      <w:r w:rsidRPr="00E331E2" w:rsidR="0056760F">
        <w:rPr>
          <w:rFonts w:ascii="Arial" w:hAnsi="Arial" w:cs="Arial"/>
          <w:sz w:val="22"/>
          <w:szCs w:val="22"/>
        </w:rPr>
        <w:tab/>
      </w:r>
      <w:r w:rsidRPr="00E331E2">
        <w:rPr>
          <w:rFonts w:ascii="Arial" w:hAnsi="Arial" w:cs="Arial"/>
          <w:sz w:val="22"/>
          <w:szCs w:val="22"/>
        </w:rPr>
        <w:t>If a condition, will provide for the adequate protection and utilization of the</w:t>
      </w:r>
      <w:r w:rsidRPr="00E331E2" w:rsidR="0056760F">
        <w:rPr>
          <w:rFonts w:ascii="Arial" w:hAnsi="Arial" w:cs="Arial"/>
          <w:sz w:val="22"/>
          <w:szCs w:val="22"/>
        </w:rPr>
        <w:t xml:space="preserve"> </w:t>
      </w:r>
      <w:r w:rsidRPr="00E331E2">
        <w:rPr>
          <w:rFonts w:ascii="Arial" w:hAnsi="Arial" w:cs="Arial"/>
          <w:sz w:val="22"/>
          <w:szCs w:val="22"/>
        </w:rPr>
        <w:t>Reservation; or</w:t>
      </w:r>
    </w:p>
    <w:p w:rsidR="00A05FBC" w:rsidRPr="00E331E2" w:rsidP="0056760F" w14:paraId="649731A0" w14:textId="77777777">
      <w:pPr>
        <w:tabs>
          <w:tab w:val="left" w:pos="360"/>
          <w:tab w:val="left" w:pos="720"/>
          <w:tab w:val="left" w:pos="1080"/>
        </w:tabs>
        <w:ind w:left="720" w:hanging="360"/>
        <w:rPr>
          <w:rFonts w:ascii="Arial" w:hAnsi="Arial" w:cs="Arial"/>
          <w:sz w:val="22"/>
          <w:szCs w:val="22"/>
        </w:rPr>
      </w:pPr>
    </w:p>
    <w:p w:rsidR="000A6293" w:rsidP="0056760F" w14:paraId="1757B0C7"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(ii)</w:t>
      </w:r>
      <w:r w:rsidRPr="00E331E2" w:rsidR="0056760F">
        <w:rPr>
          <w:rFonts w:ascii="Arial" w:hAnsi="Arial" w:cs="Arial"/>
          <w:sz w:val="22"/>
          <w:szCs w:val="22"/>
        </w:rPr>
        <w:tab/>
      </w:r>
      <w:r w:rsidRPr="00E331E2">
        <w:rPr>
          <w:rFonts w:ascii="Arial" w:hAnsi="Arial" w:cs="Arial"/>
          <w:sz w:val="22"/>
          <w:szCs w:val="22"/>
        </w:rPr>
        <w:t xml:space="preserve">If a prescription, will be no less protective than the fishway prescribed by the </w:t>
      </w:r>
      <w:r w:rsidRPr="00E331E2">
        <w:rPr>
          <w:rFonts w:ascii="Arial" w:hAnsi="Arial" w:cs="Arial"/>
          <w:sz w:val="22"/>
          <w:szCs w:val="22"/>
        </w:rPr>
        <w:t>bureau;</w:t>
      </w:r>
    </w:p>
    <w:p w:rsidR="00696AD9" w:rsidRPr="00E331E2" w:rsidP="0056760F" w14:paraId="1A257A1E" w14:textId="77777777">
      <w:pPr>
        <w:tabs>
          <w:tab w:val="left" w:pos="360"/>
          <w:tab w:val="left" w:pos="720"/>
          <w:tab w:val="left" w:pos="1080"/>
        </w:tabs>
        <w:ind w:left="720" w:hanging="360"/>
        <w:rPr>
          <w:rFonts w:ascii="Arial" w:hAnsi="Arial" w:cs="Arial"/>
          <w:sz w:val="22"/>
          <w:szCs w:val="22"/>
        </w:rPr>
      </w:pPr>
    </w:p>
    <w:p w:rsidR="000A6293" w:rsidP="0056760F" w14:paraId="2ACA90BD"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(3)</w:t>
      </w:r>
      <w:r w:rsidRPr="00E331E2" w:rsidR="0056760F">
        <w:rPr>
          <w:rFonts w:ascii="Arial" w:hAnsi="Arial" w:cs="Arial"/>
          <w:sz w:val="22"/>
          <w:szCs w:val="22"/>
        </w:rPr>
        <w:tab/>
      </w:r>
      <w:r w:rsidRPr="00E331E2">
        <w:rPr>
          <w:rFonts w:ascii="Arial" w:hAnsi="Arial" w:cs="Arial"/>
          <w:sz w:val="22"/>
          <w:szCs w:val="22"/>
        </w:rPr>
        <w:t>An explanation of how the alternative, as compared to the preliminary condition or prescription, will:</w:t>
      </w:r>
    </w:p>
    <w:p w:rsidR="00A05FBC" w:rsidRPr="00E331E2" w:rsidP="0056760F" w14:paraId="381F7335" w14:textId="77777777">
      <w:pPr>
        <w:tabs>
          <w:tab w:val="left" w:pos="360"/>
          <w:tab w:val="left" w:pos="720"/>
          <w:tab w:val="left" w:pos="1080"/>
        </w:tabs>
        <w:ind w:left="720" w:hanging="360"/>
        <w:rPr>
          <w:rFonts w:ascii="Arial" w:hAnsi="Arial" w:cs="Arial"/>
          <w:sz w:val="22"/>
          <w:szCs w:val="22"/>
        </w:rPr>
      </w:pPr>
    </w:p>
    <w:p w:rsidR="000A6293" w:rsidP="0056760F" w14:paraId="29939C36"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w:t>
      </w:r>
      <w:r w:rsidRPr="00E331E2">
        <w:rPr>
          <w:rFonts w:ascii="Arial" w:hAnsi="Arial" w:cs="Arial"/>
          <w:sz w:val="22"/>
          <w:szCs w:val="22"/>
        </w:rPr>
        <w:t>i</w:t>
      </w:r>
      <w:r w:rsidRPr="00E331E2">
        <w:rPr>
          <w:rFonts w:ascii="Arial" w:hAnsi="Arial" w:cs="Arial"/>
          <w:sz w:val="22"/>
          <w:szCs w:val="22"/>
        </w:rPr>
        <w:t>)</w:t>
      </w:r>
      <w:r w:rsidRPr="00E331E2" w:rsidR="0056760F">
        <w:rPr>
          <w:rFonts w:ascii="Arial" w:hAnsi="Arial" w:cs="Arial"/>
          <w:sz w:val="22"/>
          <w:szCs w:val="22"/>
        </w:rPr>
        <w:tab/>
      </w:r>
      <w:r w:rsidRPr="00E331E2">
        <w:rPr>
          <w:rFonts w:ascii="Arial" w:hAnsi="Arial" w:cs="Arial"/>
          <w:sz w:val="22"/>
          <w:szCs w:val="22"/>
        </w:rPr>
        <w:t>Cost significantly less to implement; or</w:t>
      </w:r>
    </w:p>
    <w:p w:rsidR="00A05FBC" w:rsidRPr="00E331E2" w:rsidP="0056760F" w14:paraId="1EDC82EF" w14:textId="77777777">
      <w:pPr>
        <w:tabs>
          <w:tab w:val="left" w:pos="360"/>
          <w:tab w:val="left" w:pos="720"/>
          <w:tab w:val="left" w:pos="1080"/>
        </w:tabs>
        <w:ind w:left="720" w:hanging="360"/>
        <w:rPr>
          <w:rFonts w:ascii="Arial" w:hAnsi="Arial" w:cs="Arial"/>
          <w:sz w:val="22"/>
          <w:szCs w:val="22"/>
        </w:rPr>
      </w:pPr>
    </w:p>
    <w:p w:rsidR="000A6293" w:rsidP="0056760F" w14:paraId="0C97D0F6"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(ii)</w:t>
      </w:r>
      <w:r w:rsidRPr="00E331E2" w:rsidR="0056760F">
        <w:rPr>
          <w:rFonts w:ascii="Arial" w:hAnsi="Arial" w:cs="Arial"/>
          <w:sz w:val="22"/>
          <w:szCs w:val="22"/>
        </w:rPr>
        <w:tab/>
      </w:r>
      <w:r w:rsidRPr="00E331E2">
        <w:rPr>
          <w:rFonts w:ascii="Arial" w:hAnsi="Arial" w:cs="Arial"/>
          <w:sz w:val="22"/>
          <w:szCs w:val="22"/>
        </w:rPr>
        <w:t>Result in improved operation of the project works for electricity production.</w:t>
      </w:r>
    </w:p>
    <w:p w:rsidR="00696AD9" w:rsidRPr="00E331E2" w:rsidP="0056760F" w14:paraId="37382171" w14:textId="77777777">
      <w:pPr>
        <w:tabs>
          <w:tab w:val="left" w:pos="360"/>
          <w:tab w:val="left" w:pos="720"/>
          <w:tab w:val="left" w:pos="1080"/>
        </w:tabs>
        <w:ind w:left="720" w:hanging="360"/>
        <w:rPr>
          <w:rFonts w:ascii="Arial" w:hAnsi="Arial" w:cs="Arial"/>
          <w:sz w:val="22"/>
          <w:szCs w:val="22"/>
        </w:rPr>
      </w:pPr>
    </w:p>
    <w:p w:rsidR="000A6293" w:rsidP="0056760F" w14:paraId="7F67CF1A"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(4)</w:t>
      </w:r>
      <w:r w:rsidRPr="00E331E2">
        <w:rPr>
          <w:rFonts w:ascii="Arial" w:hAnsi="Arial" w:cs="Arial"/>
          <w:sz w:val="22"/>
          <w:szCs w:val="22"/>
        </w:rPr>
        <w:tab/>
        <w:t>An explanation of how the alternative or revised alternative will affect:</w:t>
      </w:r>
    </w:p>
    <w:p w:rsidR="00A05FBC" w:rsidRPr="00E331E2" w:rsidP="0056760F" w14:paraId="4C811D98" w14:textId="77777777">
      <w:pPr>
        <w:tabs>
          <w:tab w:val="left" w:pos="360"/>
          <w:tab w:val="left" w:pos="720"/>
          <w:tab w:val="left" w:pos="1080"/>
        </w:tabs>
        <w:ind w:left="720" w:hanging="360"/>
        <w:rPr>
          <w:rFonts w:ascii="Arial" w:hAnsi="Arial" w:cs="Arial"/>
          <w:sz w:val="22"/>
          <w:szCs w:val="22"/>
        </w:rPr>
      </w:pPr>
    </w:p>
    <w:p w:rsidR="000A6293" w:rsidP="0056760F" w14:paraId="10592185"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w:t>
      </w:r>
      <w:r w:rsidRPr="00E331E2">
        <w:rPr>
          <w:rFonts w:ascii="Arial" w:hAnsi="Arial" w:cs="Arial"/>
          <w:sz w:val="22"/>
          <w:szCs w:val="22"/>
        </w:rPr>
        <w:t>i</w:t>
      </w:r>
      <w:r w:rsidRPr="00E331E2">
        <w:rPr>
          <w:rFonts w:ascii="Arial" w:hAnsi="Arial" w:cs="Arial"/>
          <w:sz w:val="22"/>
          <w:szCs w:val="22"/>
        </w:rPr>
        <w:t>)</w:t>
      </w:r>
      <w:r w:rsidRPr="00E331E2" w:rsidR="0056760F">
        <w:rPr>
          <w:rFonts w:ascii="Arial" w:hAnsi="Arial" w:cs="Arial"/>
          <w:sz w:val="22"/>
          <w:szCs w:val="22"/>
        </w:rPr>
        <w:tab/>
      </w:r>
      <w:r w:rsidRPr="00E331E2">
        <w:rPr>
          <w:rFonts w:ascii="Arial" w:hAnsi="Arial" w:cs="Arial"/>
          <w:sz w:val="22"/>
          <w:szCs w:val="22"/>
        </w:rPr>
        <w:t xml:space="preserve">Energy supply, distribution, cost, and </w:t>
      </w:r>
      <w:r w:rsidRPr="00E331E2">
        <w:rPr>
          <w:rFonts w:ascii="Arial" w:hAnsi="Arial" w:cs="Arial"/>
          <w:sz w:val="22"/>
          <w:szCs w:val="22"/>
        </w:rPr>
        <w:t>use</w:t>
      </w:r>
      <w:r w:rsidRPr="00E331E2" w:rsidR="003F7C49">
        <w:rPr>
          <w:rFonts w:ascii="Arial" w:hAnsi="Arial" w:cs="Arial"/>
          <w:sz w:val="22"/>
          <w:szCs w:val="22"/>
        </w:rPr>
        <w:t>;</w:t>
      </w:r>
    </w:p>
    <w:p w:rsidR="00A05FBC" w:rsidRPr="00E331E2" w:rsidP="0056760F" w14:paraId="4667A1DD" w14:textId="77777777">
      <w:pPr>
        <w:tabs>
          <w:tab w:val="left" w:pos="360"/>
          <w:tab w:val="left" w:pos="720"/>
          <w:tab w:val="left" w:pos="1080"/>
        </w:tabs>
        <w:ind w:left="720" w:hanging="360"/>
        <w:rPr>
          <w:rFonts w:ascii="Arial" w:hAnsi="Arial" w:cs="Arial"/>
          <w:sz w:val="22"/>
          <w:szCs w:val="22"/>
        </w:rPr>
      </w:pPr>
    </w:p>
    <w:p w:rsidR="000A6293" w:rsidP="0056760F" w14:paraId="10B97E1E"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(ii)</w:t>
      </w:r>
      <w:r w:rsidRPr="00E331E2" w:rsidR="0056760F">
        <w:rPr>
          <w:rFonts w:ascii="Arial" w:hAnsi="Arial" w:cs="Arial"/>
          <w:sz w:val="22"/>
          <w:szCs w:val="22"/>
        </w:rPr>
        <w:tab/>
      </w:r>
      <w:r w:rsidRPr="00E331E2">
        <w:rPr>
          <w:rFonts w:ascii="Arial" w:hAnsi="Arial" w:cs="Arial"/>
          <w:sz w:val="22"/>
          <w:szCs w:val="22"/>
        </w:rPr>
        <w:t xml:space="preserve">Flood </w:t>
      </w:r>
      <w:r w:rsidRPr="00E331E2">
        <w:rPr>
          <w:rFonts w:ascii="Arial" w:hAnsi="Arial" w:cs="Arial"/>
          <w:sz w:val="22"/>
          <w:szCs w:val="22"/>
        </w:rPr>
        <w:t>control;</w:t>
      </w:r>
    </w:p>
    <w:p w:rsidR="00A05FBC" w:rsidRPr="00E331E2" w:rsidP="0056760F" w14:paraId="37280EC7" w14:textId="77777777">
      <w:pPr>
        <w:tabs>
          <w:tab w:val="left" w:pos="360"/>
          <w:tab w:val="left" w:pos="720"/>
          <w:tab w:val="left" w:pos="1080"/>
        </w:tabs>
        <w:ind w:left="720" w:hanging="360"/>
        <w:rPr>
          <w:rFonts w:ascii="Arial" w:hAnsi="Arial" w:cs="Arial"/>
          <w:sz w:val="22"/>
          <w:szCs w:val="22"/>
        </w:rPr>
      </w:pPr>
    </w:p>
    <w:p w:rsidR="000A6293" w:rsidP="0056760F" w14:paraId="16CBC5E2"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(iii)</w:t>
      </w:r>
      <w:r w:rsidRPr="00E331E2" w:rsidR="0056760F">
        <w:rPr>
          <w:rFonts w:ascii="Arial" w:hAnsi="Arial" w:cs="Arial"/>
          <w:sz w:val="22"/>
          <w:szCs w:val="22"/>
        </w:rPr>
        <w:tab/>
      </w:r>
      <w:r w:rsidRPr="00E331E2">
        <w:rPr>
          <w:rFonts w:ascii="Arial" w:hAnsi="Arial" w:cs="Arial"/>
          <w:sz w:val="22"/>
          <w:szCs w:val="22"/>
        </w:rPr>
        <w:t>Navigation;</w:t>
      </w:r>
    </w:p>
    <w:p w:rsidR="00A05FBC" w:rsidRPr="00E331E2" w:rsidP="0056760F" w14:paraId="22731D8F" w14:textId="77777777">
      <w:pPr>
        <w:tabs>
          <w:tab w:val="left" w:pos="360"/>
          <w:tab w:val="left" w:pos="720"/>
          <w:tab w:val="left" w:pos="1080"/>
        </w:tabs>
        <w:ind w:left="720" w:hanging="360"/>
        <w:rPr>
          <w:rFonts w:ascii="Arial" w:hAnsi="Arial" w:cs="Arial"/>
          <w:sz w:val="22"/>
          <w:szCs w:val="22"/>
        </w:rPr>
      </w:pPr>
    </w:p>
    <w:p w:rsidR="000A6293" w:rsidP="0056760F" w14:paraId="3541C21A"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(iv)</w:t>
      </w:r>
      <w:r w:rsidRPr="00E331E2" w:rsidR="0056760F">
        <w:rPr>
          <w:rFonts w:ascii="Arial" w:hAnsi="Arial" w:cs="Arial"/>
          <w:sz w:val="22"/>
          <w:szCs w:val="22"/>
        </w:rPr>
        <w:tab/>
      </w:r>
      <w:r w:rsidRPr="00E331E2">
        <w:rPr>
          <w:rFonts w:ascii="Arial" w:hAnsi="Arial" w:cs="Arial"/>
          <w:sz w:val="22"/>
          <w:szCs w:val="22"/>
        </w:rPr>
        <w:t xml:space="preserve">Water </w:t>
      </w:r>
      <w:r w:rsidRPr="00E331E2">
        <w:rPr>
          <w:rFonts w:ascii="Arial" w:hAnsi="Arial" w:cs="Arial"/>
          <w:sz w:val="22"/>
          <w:szCs w:val="22"/>
        </w:rPr>
        <w:t>supply;</w:t>
      </w:r>
    </w:p>
    <w:p w:rsidR="00A05FBC" w:rsidRPr="00E331E2" w:rsidP="0056760F" w14:paraId="36C04067" w14:textId="77777777">
      <w:pPr>
        <w:tabs>
          <w:tab w:val="left" w:pos="360"/>
          <w:tab w:val="left" w:pos="720"/>
          <w:tab w:val="left" w:pos="1080"/>
        </w:tabs>
        <w:ind w:left="720" w:hanging="360"/>
        <w:rPr>
          <w:rFonts w:ascii="Arial" w:hAnsi="Arial" w:cs="Arial"/>
          <w:sz w:val="22"/>
          <w:szCs w:val="22"/>
        </w:rPr>
      </w:pPr>
    </w:p>
    <w:p w:rsidR="000A6293" w:rsidP="0056760F" w14:paraId="08738AE9"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(v)</w:t>
      </w:r>
      <w:r w:rsidRPr="00E331E2" w:rsidR="0056760F">
        <w:rPr>
          <w:rFonts w:ascii="Arial" w:hAnsi="Arial" w:cs="Arial"/>
          <w:sz w:val="22"/>
          <w:szCs w:val="22"/>
        </w:rPr>
        <w:tab/>
      </w:r>
      <w:r w:rsidRPr="00E331E2">
        <w:rPr>
          <w:rFonts w:ascii="Arial" w:hAnsi="Arial" w:cs="Arial"/>
          <w:sz w:val="22"/>
          <w:szCs w:val="22"/>
        </w:rPr>
        <w:t>Air quality; and</w:t>
      </w:r>
    </w:p>
    <w:p w:rsidR="00A05FBC" w:rsidRPr="00E331E2" w:rsidP="0056760F" w14:paraId="53A4B7CD" w14:textId="77777777">
      <w:pPr>
        <w:tabs>
          <w:tab w:val="left" w:pos="360"/>
          <w:tab w:val="left" w:pos="720"/>
          <w:tab w:val="left" w:pos="1080"/>
        </w:tabs>
        <w:ind w:left="720" w:hanging="360"/>
        <w:rPr>
          <w:rFonts w:ascii="Arial" w:hAnsi="Arial" w:cs="Arial"/>
          <w:sz w:val="22"/>
          <w:szCs w:val="22"/>
        </w:rPr>
      </w:pPr>
    </w:p>
    <w:p w:rsidR="000A6293" w:rsidP="0056760F" w14:paraId="712C2549"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(vi)</w:t>
      </w:r>
      <w:r w:rsidRPr="00E331E2" w:rsidR="0056760F">
        <w:rPr>
          <w:rFonts w:ascii="Arial" w:hAnsi="Arial" w:cs="Arial"/>
          <w:sz w:val="22"/>
          <w:szCs w:val="22"/>
        </w:rPr>
        <w:tab/>
      </w:r>
      <w:r w:rsidRPr="00E331E2">
        <w:rPr>
          <w:rFonts w:ascii="Arial" w:hAnsi="Arial" w:cs="Arial"/>
          <w:sz w:val="22"/>
          <w:szCs w:val="22"/>
        </w:rPr>
        <w:t>Other aspects of environmental quality; and</w:t>
      </w:r>
    </w:p>
    <w:p w:rsidR="00696AD9" w:rsidRPr="00E331E2" w:rsidP="0056760F" w14:paraId="459F5E5A" w14:textId="77777777">
      <w:pPr>
        <w:tabs>
          <w:tab w:val="left" w:pos="360"/>
          <w:tab w:val="left" w:pos="720"/>
          <w:tab w:val="left" w:pos="1080"/>
        </w:tabs>
        <w:ind w:left="720" w:hanging="360"/>
        <w:rPr>
          <w:rFonts w:ascii="Arial" w:hAnsi="Arial" w:cs="Arial"/>
          <w:sz w:val="22"/>
          <w:szCs w:val="22"/>
        </w:rPr>
      </w:pPr>
    </w:p>
    <w:p w:rsidR="000A6293" w:rsidRPr="00E331E2" w:rsidP="0056760F" w14:paraId="0DF36DDA"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(5)</w:t>
      </w:r>
      <w:r w:rsidRPr="00E331E2">
        <w:rPr>
          <w:rFonts w:ascii="Arial" w:hAnsi="Arial" w:cs="Arial"/>
          <w:sz w:val="22"/>
          <w:szCs w:val="22"/>
        </w:rPr>
        <w:tab/>
        <w:t>Specific citations to any scientific studies, literature, an</w:t>
      </w:r>
      <w:r w:rsidRPr="00E331E2" w:rsidR="0056760F">
        <w:rPr>
          <w:rFonts w:ascii="Arial" w:hAnsi="Arial" w:cs="Arial"/>
          <w:sz w:val="22"/>
          <w:szCs w:val="22"/>
        </w:rPr>
        <w:t>d other documented information r</w:t>
      </w:r>
      <w:r w:rsidRPr="00E331E2">
        <w:rPr>
          <w:rFonts w:ascii="Arial" w:hAnsi="Arial" w:cs="Arial"/>
          <w:sz w:val="22"/>
          <w:szCs w:val="22"/>
        </w:rPr>
        <w:t>elied on to support the proposal.</w:t>
      </w:r>
    </w:p>
    <w:p w:rsidR="000A6293" w:rsidRPr="00E331E2" w:rsidP="003D4237" w14:paraId="4EC9FECA" w14:textId="77777777">
      <w:pPr>
        <w:tabs>
          <w:tab w:val="left" w:pos="360"/>
          <w:tab w:val="left" w:pos="720"/>
        </w:tabs>
        <w:rPr>
          <w:rFonts w:ascii="Arial" w:hAnsi="Arial" w:cs="Arial"/>
          <w:sz w:val="22"/>
          <w:szCs w:val="22"/>
        </w:rPr>
      </w:pPr>
    </w:p>
    <w:p w:rsidR="000A6293" w:rsidRPr="00E331E2" w:rsidP="003D4237" w14:paraId="364066DF" w14:textId="77777777">
      <w:pPr>
        <w:tabs>
          <w:tab w:val="left" w:pos="360"/>
          <w:tab w:val="left" w:pos="720"/>
        </w:tabs>
        <w:rPr>
          <w:rFonts w:ascii="Arial" w:hAnsi="Arial" w:cs="Arial"/>
          <w:sz w:val="22"/>
          <w:szCs w:val="22"/>
        </w:rPr>
      </w:pPr>
      <w:r w:rsidRPr="00E331E2">
        <w:rPr>
          <w:rFonts w:ascii="Arial" w:hAnsi="Arial" w:cs="Arial"/>
          <w:sz w:val="22"/>
          <w:szCs w:val="22"/>
        </w:rPr>
        <w:t xml:space="preserve">Each submission of information collected under the current collection has triggered that process authorized by the </w:t>
      </w:r>
      <w:r w:rsidRPr="00E331E2">
        <w:rPr>
          <w:rFonts w:ascii="Arial" w:hAnsi="Arial" w:cs="Arial"/>
          <w:sz w:val="22"/>
          <w:szCs w:val="22"/>
        </w:rPr>
        <w:t>EPAct</w:t>
      </w:r>
      <w:r w:rsidRPr="00E331E2">
        <w:rPr>
          <w:rFonts w:ascii="Arial" w:hAnsi="Arial" w:cs="Arial"/>
          <w:sz w:val="22"/>
          <w:szCs w:val="22"/>
        </w:rPr>
        <w:t xml:space="preserve"> and the Interim Final Rule</w:t>
      </w:r>
      <w:r w:rsidRPr="00E331E2" w:rsidR="00E60BD6">
        <w:rPr>
          <w:rFonts w:ascii="Arial" w:hAnsi="Arial" w:cs="Arial"/>
          <w:sz w:val="22"/>
          <w:szCs w:val="22"/>
        </w:rPr>
        <w:t>s</w:t>
      </w:r>
      <w:r w:rsidRPr="00E331E2">
        <w:rPr>
          <w:rFonts w:ascii="Arial" w:hAnsi="Arial" w:cs="Arial"/>
          <w:sz w:val="22"/>
          <w:szCs w:val="22"/>
        </w:rPr>
        <w:t xml:space="preserve"> </w:t>
      </w:r>
      <w:r w:rsidRPr="00E331E2" w:rsidR="005A7819">
        <w:rPr>
          <w:rFonts w:ascii="Arial" w:hAnsi="Arial" w:cs="Arial"/>
          <w:sz w:val="22"/>
          <w:szCs w:val="22"/>
        </w:rPr>
        <w:t xml:space="preserve">revised </w:t>
      </w:r>
      <w:r w:rsidRPr="00E331E2">
        <w:rPr>
          <w:rFonts w:ascii="Arial" w:hAnsi="Arial" w:cs="Arial"/>
          <w:sz w:val="22"/>
          <w:szCs w:val="22"/>
        </w:rPr>
        <w:t xml:space="preserve">on </w:t>
      </w:r>
      <w:r w:rsidRPr="00E331E2" w:rsidR="00555154">
        <w:rPr>
          <w:rFonts w:ascii="Arial" w:hAnsi="Arial" w:cs="Arial"/>
          <w:sz w:val="22"/>
          <w:szCs w:val="22"/>
        </w:rPr>
        <w:t xml:space="preserve">March 31, 2015, </w:t>
      </w:r>
      <w:r w:rsidRPr="00E331E2" w:rsidR="00E60BD6">
        <w:rPr>
          <w:rFonts w:ascii="Arial" w:hAnsi="Arial" w:cs="Arial"/>
          <w:sz w:val="22"/>
          <w:szCs w:val="22"/>
        </w:rPr>
        <w:t xml:space="preserve">and the revised rules as final on March 31, 2016, </w:t>
      </w:r>
      <w:r w:rsidRPr="00E331E2" w:rsidR="00555154">
        <w:rPr>
          <w:rFonts w:ascii="Arial" w:hAnsi="Arial" w:cs="Arial"/>
          <w:sz w:val="22"/>
          <w:szCs w:val="22"/>
        </w:rPr>
        <w:t xml:space="preserve">originally published </w:t>
      </w:r>
      <w:r w:rsidRPr="00E331E2" w:rsidR="00555154">
        <w:rPr>
          <w:rFonts w:ascii="Arial" w:hAnsi="Arial" w:cs="Arial"/>
          <w:sz w:val="22"/>
          <w:szCs w:val="22"/>
        </w:rPr>
        <w:t>in</w:t>
      </w:r>
      <w:r w:rsidRPr="00E331E2" w:rsidR="00555154">
        <w:rPr>
          <w:rFonts w:ascii="Arial" w:hAnsi="Arial" w:cs="Arial"/>
          <w:sz w:val="22"/>
          <w:szCs w:val="22"/>
        </w:rPr>
        <w:t xml:space="preserve"> </w:t>
      </w:r>
      <w:r w:rsidRPr="00E331E2">
        <w:rPr>
          <w:rFonts w:ascii="Arial" w:hAnsi="Arial" w:cs="Arial"/>
          <w:sz w:val="22"/>
          <w:szCs w:val="22"/>
        </w:rPr>
        <w:t xml:space="preserve">November 17, 2005.  The Department receiving the information submission acknowledges it, in writing, advising the submitter </w:t>
      </w:r>
      <w:r w:rsidRPr="00E331E2" w:rsidR="00216BA7">
        <w:rPr>
          <w:rFonts w:ascii="Arial" w:hAnsi="Arial" w:cs="Arial"/>
          <w:sz w:val="22"/>
          <w:szCs w:val="22"/>
        </w:rPr>
        <w:t>of its receipt</w:t>
      </w:r>
      <w:r w:rsidRPr="00E331E2">
        <w:rPr>
          <w:rFonts w:ascii="Arial" w:hAnsi="Arial" w:cs="Arial"/>
          <w:sz w:val="22"/>
          <w:szCs w:val="22"/>
        </w:rPr>
        <w:t>, and provid</w:t>
      </w:r>
      <w:r w:rsidRPr="00E331E2" w:rsidR="00216BA7">
        <w:rPr>
          <w:rFonts w:ascii="Arial" w:hAnsi="Arial" w:cs="Arial"/>
          <w:sz w:val="22"/>
          <w:szCs w:val="22"/>
        </w:rPr>
        <w:t>es</w:t>
      </w:r>
      <w:r w:rsidRPr="00E331E2">
        <w:rPr>
          <w:rFonts w:ascii="Arial" w:hAnsi="Arial" w:cs="Arial"/>
          <w:sz w:val="22"/>
          <w:szCs w:val="22"/>
        </w:rPr>
        <w:t xml:space="preserve"> a schedule of planned actions based on the receipt of the proposed alternative conditions and prescriptions.  In its initial acknowledgement letter, the Department also notifies the submitter that because the Department must consider any findings of the Administrative Law Judge on disputed issues of material fact pertaining to the conditions or prescriptions for which the alternatives were submitted, that it – in effect – cannot  file its response to the proposed alternatives and any potential modified conditions or prescriptions </w:t>
      </w:r>
      <w:r w:rsidRPr="00E331E2">
        <w:rPr>
          <w:rFonts w:ascii="Arial" w:hAnsi="Arial" w:cs="Arial"/>
          <w:sz w:val="22"/>
          <w:szCs w:val="22"/>
        </w:rPr>
        <w:t>until after receiving notice of the Administrative Law Judge’s final rulings.  (Note:  The schedule of planned actions typically states that the Department will file its response to the proposed alternatives and any potential modified conditions or prescriptions within 60 days after receiving notice of the Administrative Law Judge’s final rulings.)</w:t>
      </w:r>
    </w:p>
    <w:p w:rsidR="000A6293" w:rsidRPr="00E331E2" w:rsidP="003D4237" w14:paraId="5FB74A88" w14:textId="77777777">
      <w:pPr>
        <w:tabs>
          <w:tab w:val="left" w:pos="360"/>
          <w:tab w:val="left" w:pos="720"/>
        </w:tabs>
        <w:rPr>
          <w:rFonts w:ascii="Arial" w:hAnsi="Arial" w:cs="Arial"/>
          <w:sz w:val="22"/>
          <w:szCs w:val="22"/>
        </w:rPr>
      </w:pPr>
    </w:p>
    <w:p w:rsidR="00295103" w:rsidRPr="00E331E2" w:rsidP="003D4237" w14:paraId="15B3353A" w14:textId="77777777">
      <w:pPr>
        <w:tabs>
          <w:tab w:val="left" w:pos="360"/>
          <w:tab w:val="left" w:pos="720"/>
        </w:tabs>
        <w:rPr>
          <w:rFonts w:ascii="Arial" w:hAnsi="Arial" w:cs="Arial"/>
          <w:sz w:val="22"/>
          <w:szCs w:val="22"/>
        </w:rPr>
      </w:pPr>
      <w:r w:rsidRPr="00E331E2">
        <w:rPr>
          <w:rFonts w:ascii="Arial" w:hAnsi="Arial" w:cs="Arial"/>
          <w:b/>
          <w:sz w:val="22"/>
          <w:szCs w:val="22"/>
        </w:rPr>
        <w:t>3.</w:t>
      </w:r>
      <w:r w:rsidRPr="00E331E2">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57ED4" w:rsidRPr="00E331E2" w:rsidP="003D4237" w14:paraId="170DA22D" w14:textId="77777777">
      <w:pPr>
        <w:tabs>
          <w:tab w:val="left" w:pos="360"/>
          <w:tab w:val="left" w:pos="720"/>
        </w:tabs>
        <w:rPr>
          <w:rFonts w:ascii="Arial" w:hAnsi="Arial" w:cs="Arial"/>
          <w:sz w:val="22"/>
          <w:szCs w:val="22"/>
        </w:rPr>
      </w:pPr>
    </w:p>
    <w:p w:rsidR="000A6293" w:rsidRPr="00E331E2" w:rsidP="003D4237" w14:paraId="0113635B" w14:textId="624D47BD">
      <w:pPr>
        <w:tabs>
          <w:tab w:val="left" w:pos="360"/>
          <w:tab w:val="left" w:pos="720"/>
        </w:tabs>
        <w:rPr>
          <w:rFonts w:ascii="Arial" w:hAnsi="Arial" w:cs="Arial"/>
          <w:sz w:val="22"/>
          <w:szCs w:val="22"/>
        </w:rPr>
      </w:pPr>
      <w:r w:rsidRPr="00E331E2">
        <w:rPr>
          <w:rFonts w:ascii="Arial" w:hAnsi="Arial" w:cs="Arial"/>
          <w:sz w:val="22"/>
          <w:szCs w:val="22"/>
        </w:rPr>
        <w:t xml:space="preserve">The regulations provide for filing of alternatives on </w:t>
      </w:r>
      <w:r w:rsidRPr="00A32DD5" w:rsidR="00A32DD5">
        <w:rPr>
          <w:rFonts w:ascii="Arial" w:hAnsi="Arial" w:cs="Arial"/>
          <w:sz w:val="22"/>
          <w:szCs w:val="22"/>
        </w:rPr>
        <w:t>compact disc or other suitable media</w:t>
      </w:r>
      <w:r w:rsidRPr="00E331E2">
        <w:rPr>
          <w:rFonts w:ascii="Arial" w:hAnsi="Arial" w:cs="Arial"/>
          <w:sz w:val="22"/>
          <w:szCs w:val="22"/>
        </w:rPr>
        <w:t xml:space="preserve">.  </w:t>
      </w:r>
      <w:r w:rsidRPr="00E331E2" w:rsidR="00FE0DB9">
        <w:rPr>
          <w:rFonts w:ascii="Arial" w:hAnsi="Arial" w:cs="Arial"/>
          <w:sz w:val="22"/>
          <w:szCs w:val="22"/>
        </w:rPr>
        <w:t>It</w:t>
      </w:r>
      <w:r w:rsidRPr="00E331E2">
        <w:rPr>
          <w:rFonts w:ascii="Arial" w:hAnsi="Arial" w:cs="Arial"/>
          <w:sz w:val="22"/>
          <w:szCs w:val="22"/>
        </w:rPr>
        <w:t xml:space="preserve"> is expected that all alternatives will be filed in such manner.  However, for legal reasons, the original document must also be filed and served in non-electronic format.</w:t>
      </w:r>
    </w:p>
    <w:p w:rsidR="000A6293" w:rsidRPr="00E331E2" w:rsidP="003D4237" w14:paraId="5FD746B7" w14:textId="77777777">
      <w:pPr>
        <w:tabs>
          <w:tab w:val="left" w:pos="360"/>
          <w:tab w:val="left" w:pos="720"/>
        </w:tabs>
        <w:rPr>
          <w:rFonts w:ascii="Arial" w:hAnsi="Arial" w:cs="Arial"/>
          <w:sz w:val="22"/>
          <w:szCs w:val="22"/>
        </w:rPr>
      </w:pPr>
    </w:p>
    <w:p w:rsidR="00295103" w:rsidRPr="00E331E2" w:rsidP="00A57ED4" w14:paraId="60C0BE36" w14:textId="77777777">
      <w:pPr>
        <w:tabs>
          <w:tab w:val="left" w:pos="360"/>
          <w:tab w:val="left" w:pos="720"/>
        </w:tabs>
        <w:rPr>
          <w:rFonts w:ascii="Arial" w:hAnsi="Arial" w:cs="Arial"/>
          <w:b/>
          <w:sz w:val="22"/>
          <w:szCs w:val="22"/>
        </w:rPr>
      </w:pPr>
      <w:r w:rsidRPr="00E331E2">
        <w:rPr>
          <w:rFonts w:ascii="Arial" w:hAnsi="Arial" w:cs="Arial"/>
          <w:b/>
          <w:sz w:val="22"/>
          <w:szCs w:val="22"/>
        </w:rPr>
        <w:t>4.</w:t>
      </w:r>
      <w:r w:rsidRPr="00E331E2">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E331E2" w:rsidP="003D4237" w14:paraId="5D4DF9DA" w14:textId="77777777">
      <w:pPr>
        <w:tabs>
          <w:tab w:val="left" w:pos="360"/>
          <w:tab w:val="left" w:pos="720"/>
        </w:tabs>
        <w:rPr>
          <w:rFonts w:ascii="Arial" w:hAnsi="Arial" w:cs="Arial"/>
          <w:sz w:val="22"/>
          <w:szCs w:val="22"/>
        </w:rPr>
      </w:pPr>
    </w:p>
    <w:p w:rsidR="000A6293" w:rsidRPr="00E331E2" w:rsidP="003D4237" w14:paraId="1377110A" w14:textId="77777777">
      <w:pPr>
        <w:tabs>
          <w:tab w:val="left" w:pos="360"/>
          <w:tab w:val="left" w:pos="720"/>
        </w:tabs>
        <w:rPr>
          <w:rFonts w:ascii="Arial" w:hAnsi="Arial" w:cs="Arial"/>
          <w:sz w:val="22"/>
          <w:szCs w:val="22"/>
        </w:rPr>
      </w:pPr>
      <w:r w:rsidRPr="00E331E2">
        <w:rPr>
          <w:rFonts w:ascii="Arial" w:hAnsi="Arial" w:cs="Arial"/>
          <w:sz w:val="22"/>
          <w:szCs w:val="22"/>
        </w:rPr>
        <w:t xml:space="preserve">This information is not collected by any Federal agency </w:t>
      </w:r>
      <w:r w:rsidRPr="00E331E2" w:rsidR="00EF2AE3">
        <w:rPr>
          <w:rFonts w:ascii="Arial" w:hAnsi="Arial" w:cs="Arial"/>
          <w:sz w:val="22"/>
          <w:szCs w:val="22"/>
        </w:rPr>
        <w:t xml:space="preserve">other </w:t>
      </w:r>
      <w:r w:rsidRPr="00E331E2">
        <w:rPr>
          <w:rFonts w:ascii="Arial" w:hAnsi="Arial" w:cs="Arial"/>
          <w:sz w:val="22"/>
          <w:szCs w:val="22"/>
        </w:rPr>
        <w:t>than the 3 identified</w:t>
      </w:r>
      <w:r w:rsidRPr="00E331E2" w:rsidR="00FE0DB9">
        <w:rPr>
          <w:rFonts w:ascii="Arial" w:hAnsi="Arial" w:cs="Arial"/>
          <w:sz w:val="22"/>
          <w:szCs w:val="22"/>
        </w:rPr>
        <w:t xml:space="preserve"> (Departments of Interior, Commerce, and Agriculture)</w:t>
      </w:r>
      <w:r w:rsidRPr="00E331E2">
        <w:rPr>
          <w:rFonts w:ascii="Arial" w:hAnsi="Arial" w:cs="Arial"/>
          <w:sz w:val="22"/>
          <w:szCs w:val="22"/>
        </w:rPr>
        <w:t>.</w:t>
      </w:r>
    </w:p>
    <w:p w:rsidR="000A6293" w:rsidRPr="00E331E2" w:rsidP="003D4237" w14:paraId="59D5753D" w14:textId="77777777">
      <w:pPr>
        <w:tabs>
          <w:tab w:val="left" w:pos="360"/>
          <w:tab w:val="left" w:pos="720"/>
        </w:tabs>
        <w:rPr>
          <w:rFonts w:ascii="Arial" w:hAnsi="Arial" w:cs="Arial"/>
          <w:sz w:val="22"/>
          <w:szCs w:val="22"/>
        </w:rPr>
      </w:pPr>
    </w:p>
    <w:p w:rsidR="00A57ED4" w:rsidRPr="00E331E2" w:rsidP="00A57ED4" w14:paraId="6CFF7F5F" w14:textId="77777777">
      <w:pPr>
        <w:tabs>
          <w:tab w:val="left" w:pos="360"/>
          <w:tab w:val="left" w:pos="720"/>
        </w:tabs>
        <w:rPr>
          <w:rFonts w:ascii="Arial" w:hAnsi="Arial" w:cs="Arial"/>
          <w:b/>
          <w:sz w:val="22"/>
          <w:szCs w:val="22"/>
        </w:rPr>
      </w:pPr>
      <w:r w:rsidRPr="00E331E2">
        <w:rPr>
          <w:rFonts w:ascii="Arial" w:hAnsi="Arial" w:cs="Arial"/>
          <w:b/>
          <w:sz w:val="22"/>
          <w:szCs w:val="22"/>
        </w:rPr>
        <w:t>5.</w:t>
      </w:r>
      <w:r w:rsidRPr="00E331E2">
        <w:rPr>
          <w:rFonts w:ascii="Arial" w:hAnsi="Arial" w:cs="Arial"/>
          <w:b/>
          <w:sz w:val="22"/>
          <w:szCs w:val="22"/>
        </w:rPr>
        <w:tab/>
        <w:t>If the collection of information impacts small businesses or other small entities, describe any methods used to minimize burden.</w:t>
      </w:r>
    </w:p>
    <w:p w:rsidR="00295103" w:rsidRPr="00E331E2" w:rsidP="003D4237" w14:paraId="20C65407" w14:textId="77777777">
      <w:pPr>
        <w:tabs>
          <w:tab w:val="left" w:pos="360"/>
          <w:tab w:val="left" w:pos="720"/>
        </w:tabs>
        <w:rPr>
          <w:rFonts w:ascii="Arial" w:hAnsi="Arial" w:cs="Arial"/>
          <w:b/>
          <w:sz w:val="22"/>
          <w:szCs w:val="22"/>
        </w:rPr>
      </w:pPr>
    </w:p>
    <w:p w:rsidR="000A6293" w:rsidRPr="00E331E2" w:rsidP="003D4237" w14:paraId="73925566" w14:textId="77777777">
      <w:pPr>
        <w:tabs>
          <w:tab w:val="left" w:pos="360"/>
          <w:tab w:val="left" w:pos="720"/>
        </w:tabs>
        <w:rPr>
          <w:rFonts w:ascii="Arial" w:hAnsi="Arial" w:cs="Arial"/>
          <w:sz w:val="22"/>
          <w:szCs w:val="22"/>
        </w:rPr>
      </w:pPr>
      <w:r w:rsidRPr="00E331E2">
        <w:rPr>
          <w:rFonts w:ascii="Arial" w:hAnsi="Arial" w:cs="Arial"/>
          <w:sz w:val="22"/>
          <w:szCs w:val="22"/>
        </w:rPr>
        <w:t xml:space="preserve">The Departments certify that </w:t>
      </w:r>
      <w:r w:rsidRPr="00E331E2" w:rsidR="00EF2AE3">
        <w:rPr>
          <w:rFonts w:ascii="Arial" w:hAnsi="Arial" w:cs="Arial"/>
          <w:sz w:val="22"/>
          <w:szCs w:val="22"/>
        </w:rPr>
        <w:t xml:space="preserve">this information collection </w:t>
      </w:r>
      <w:r w:rsidRPr="00E331E2">
        <w:rPr>
          <w:rFonts w:ascii="Arial" w:hAnsi="Arial" w:cs="Arial"/>
          <w:sz w:val="22"/>
          <w:szCs w:val="22"/>
        </w:rPr>
        <w:t>will not have a significant economic effect on a substantial number of small entities under the Regulatory Flexibility Act (5 U.S.C. 601 et seq.).</w:t>
      </w:r>
    </w:p>
    <w:p w:rsidR="000A6293" w:rsidRPr="00E331E2" w:rsidP="003D4237" w14:paraId="4FE3277C" w14:textId="77777777">
      <w:pPr>
        <w:tabs>
          <w:tab w:val="left" w:pos="360"/>
          <w:tab w:val="left" w:pos="720"/>
        </w:tabs>
        <w:rPr>
          <w:rFonts w:ascii="Arial" w:hAnsi="Arial" w:cs="Arial"/>
          <w:sz w:val="22"/>
          <w:szCs w:val="22"/>
        </w:rPr>
      </w:pPr>
    </w:p>
    <w:p w:rsidR="000A6293" w:rsidRPr="00E331E2" w:rsidP="003D4237" w14:paraId="586E9C95" w14:textId="77777777">
      <w:pPr>
        <w:tabs>
          <w:tab w:val="left" w:pos="360"/>
          <w:tab w:val="left" w:pos="720"/>
        </w:tabs>
        <w:rPr>
          <w:rFonts w:ascii="Arial" w:hAnsi="Arial" w:cs="Arial"/>
          <w:sz w:val="22"/>
          <w:szCs w:val="22"/>
        </w:rPr>
      </w:pPr>
      <w:r w:rsidRPr="00E331E2">
        <w:rPr>
          <w:rFonts w:ascii="Arial" w:hAnsi="Arial" w:cs="Arial"/>
          <w:sz w:val="22"/>
          <w:szCs w:val="22"/>
        </w:rPr>
        <w:t xml:space="preserve">According to the Small Business Administration, for NAICS code 221111, hydroelectric power generation, a firm is small if, including its affiliates, its total electric output for the preceding fiscal year did not exceed 4 million megawatt hours.  Although the regulated community of FERC licensees does include a substantial number of small entities, the number of affected entities </w:t>
      </w:r>
      <w:r w:rsidRPr="00E331E2">
        <w:rPr>
          <w:rFonts w:ascii="Arial" w:hAnsi="Arial" w:cs="Arial"/>
          <w:sz w:val="22"/>
          <w:szCs w:val="22"/>
        </w:rPr>
        <w:t>in a given year</w:t>
      </w:r>
      <w:r w:rsidRPr="00E331E2">
        <w:rPr>
          <w:rFonts w:ascii="Arial" w:hAnsi="Arial" w:cs="Arial"/>
          <w:sz w:val="22"/>
          <w:szCs w:val="22"/>
        </w:rPr>
        <w:t xml:space="preserve"> is likely to very small, at most 1 per year.</w:t>
      </w:r>
    </w:p>
    <w:p w:rsidR="000A6293" w:rsidRPr="00E331E2" w:rsidP="003D4237" w14:paraId="2679E67C" w14:textId="77777777">
      <w:pPr>
        <w:tabs>
          <w:tab w:val="left" w:pos="360"/>
          <w:tab w:val="left" w:pos="720"/>
        </w:tabs>
        <w:rPr>
          <w:rFonts w:ascii="Arial" w:hAnsi="Arial" w:cs="Arial"/>
          <w:sz w:val="22"/>
          <w:szCs w:val="22"/>
        </w:rPr>
      </w:pPr>
    </w:p>
    <w:p w:rsidR="000A6293" w:rsidRPr="00E331E2" w:rsidP="003D4237" w14:paraId="2D8BDB2B" w14:textId="77777777">
      <w:pPr>
        <w:tabs>
          <w:tab w:val="left" w:pos="360"/>
          <w:tab w:val="left" w:pos="720"/>
        </w:tabs>
        <w:rPr>
          <w:rFonts w:ascii="Arial" w:hAnsi="Arial" w:cs="Arial"/>
          <w:sz w:val="22"/>
          <w:szCs w:val="22"/>
        </w:rPr>
      </w:pPr>
      <w:r w:rsidRPr="00E331E2">
        <w:rPr>
          <w:rFonts w:ascii="Arial" w:hAnsi="Arial" w:cs="Arial"/>
          <w:sz w:val="22"/>
          <w:szCs w:val="22"/>
        </w:rPr>
        <w:t xml:space="preserve">More importantly, the effect of the rules on small entities will not be significant.  Any entity affected by these rules will have already been heavily involved in a FERC hydropower licensing proceeding, </w:t>
      </w:r>
      <w:r w:rsidRPr="00E331E2">
        <w:rPr>
          <w:rFonts w:ascii="Arial" w:hAnsi="Arial" w:cs="Arial"/>
          <w:sz w:val="22"/>
          <w:szCs w:val="22"/>
        </w:rPr>
        <w:t>submitting</w:t>
      </w:r>
      <w:r w:rsidRPr="00E331E2">
        <w:rPr>
          <w:rFonts w:ascii="Arial" w:hAnsi="Arial" w:cs="Arial"/>
          <w:sz w:val="22"/>
          <w:szCs w:val="22"/>
        </w:rPr>
        <w:t xml:space="preserve"> and commenting on information in the record of that proceeding.  These rules merely provide an additional administrative procedure, should the entity choose to use it, to obtain a definitive ruling on disputed issues of material fact with respect to conditions and prescriptions to be included in the license.  Any cost to the entity will be incurred only when it decides that the cost will be justified by the benefits of the process.  </w:t>
      </w:r>
    </w:p>
    <w:p w:rsidR="0056396F" w:rsidRPr="00E331E2" w:rsidP="003D4237" w14:paraId="6963DC55" w14:textId="77777777">
      <w:pPr>
        <w:tabs>
          <w:tab w:val="left" w:pos="360"/>
          <w:tab w:val="left" w:pos="720"/>
        </w:tabs>
        <w:rPr>
          <w:rFonts w:ascii="Arial" w:hAnsi="Arial" w:cs="Arial"/>
          <w:sz w:val="22"/>
          <w:szCs w:val="22"/>
        </w:rPr>
      </w:pPr>
    </w:p>
    <w:p w:rsidR="000A6293" w:rsidRPr="00E331E2" w:rsidP="003D4237" w14:paraId="37088F4F" w14:textId="77777777">
      <w:pPr>
        <w:tabs>
          <w:tab w:val="left" w:pos="360"/>
          <w:tab w:val="left" w:pos="720"/>
        </w:tabs>
        <w:rPr>
          <w:rFonts w:ascii="Arial" w:hAnsi="Arial" w:cs="Arial"/>
          <w:sz w:val="22"/>
          <w:szCs w:val="22"/>
        </w:rPr>
      </w:pPr>
      <w:r w:rsidRPr="00E331E2">
        <w:rPr>
          <w:rFonts w:ascii="Arial" w:hAnsi="Arial" w:cs="Arial"/>
          <w:sz w:val="22"/>
          <w:szCs w:val="22"/>
        </w:rPr>
        <w:t>The Departments have also determined the information collected is the minimum necessary to specify, and properly consider, an alternative.</w:t>
      </w:r>
    </w:p>
    <w:p w:rsidR="000A6293" w:rsidRPr="00E331E2" w:rsidP="003D4237" w14:paraId="5E6E88CA" w14:textId="77777777">
      <w:pPr>
        <w:tabs>
          <w:tab w:val="left" w:pos="360"/>
          <w:tab w:val="left" w:pos="720"/>
        </w:tabs>
        <w:rPr>
          <w:rFonts w:ascii="Arial" w:hAnsi="Arial" w:cs="Arial"/>
          <w:sz w:val="22"/>
          <w:szCs w:val="22"/>
        </w:rPr>
      </w:pPr>
    </w:p>
    <w:p w:rsidR="00267AD1" w:rsidRPr="00E331E2" w:rsidP="00267AD1" w14:paraId="518284F9" w14:textId="77777777">
      <w:pPr>
        <w:tabs>
          <w:tab w:val="left" w:pos="360"/>
          <w:tab w:val="left" w:pos="720"/>
        </w:tabs>
        <w:rPr>
          <w:rFonts w:ascii="Arial" w:hAnsi="Arial" w:cs="Arial"/>
          <w:b/>
          <w:sz w:val="22"/>
          <w:szCs w:val="22"/>
        </w:rPr>
      </w:pPr>
      <w:r w:rsidRPr="00E331E2">
        <w:rPr>
          <w:rFonts w:ascii="Arial" w:hAnsi="Arial" w:cs="Arial"/>
          <w:b/>
          <w:sz w:val="22"/>
          <w:szCs w:val="22"/>
        </w:rPr>
        <w:t>6.</w:t>
      </w:r>
      <w:r w:rsidRPr="00E331E2">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295103" w:rsidRPr="00E331E2" w:rsidP="003D4237" w14:paraId="17342B43" w14:textId="77777777">
      <w:pPr>
        <w:tabs>
          <w:tab w:val="left" w:pos="360"/>
          <w:tab w:val="left" w:pos="720"/>
        </w:tabs>
        <w:rPr>
          <w:rFonts w:ascii="Arial" w:hAnsi="Arial" w:cs="Arial"/>
          <w:sz w:val="22"/>
          <w:szCs w:val="22"/>
        </w:rPr>
      </w:pPr>
    </w:p>
    <w:p w:rsidR="000A6293" w:rsidRPr="00E331E2" w:rsidP="003D4237" w14:paraId="476C64E8" w14:textId="77777777">
      <w:pPr>
        <w:tabs>
          <w:tab w:val="left" w:pos="360"/>
          <w:tab w:val="left" w:pos="720"/>
        </w:tabs>
        <w:rPr>
          <w:rFonts w:ascii="Arial" w:hAnsi="Arial" w:cs="Arial"/>
          <w:sz w:val="22"/>
          <w:szCs w:val="22"/>
        </w:rPr>
      </w:pPr>
      <w:r w:rsidRPr="00E331E2">
        <w:rPr>
          <w:rFonts w:ascii="Arial" w:hAnsi="Arial" w:cs="Arial"/>
          <w:sz w:val="22"/>
          <w:szCs w:val="22"/>
        </w:rPr>
        <w:t xml:space="preserve">If the information was not collected in accordance with </w:t>
      </w:r>
      <w:r w:rsidRPr="00E331E2" w:rsidR="00EF2AE3">
        <w:rPr>
          <w:rFonts w:ascii="Arial" w:hAnsi="Arial" w:cs="Arial"/>
          <w:sz w:val="22"/>
          <w:szCs w:val="22"/>
        </w:rPr>
        <w:t xml:space="preserve">the identified </w:t>
      </w:r>
      <w:r w:rsidRPr="00E331E2">
        <w:rPr>
          <w:rFonts w:ascii="Arial" w:hAnsi="Arial" w:cs="Arial"/>
          <w:sz w:val="22"/>
          <w:szCs w:val="22"/>
        </w:rPr>
        <w:t xml:space="preserve">regulations, the requirements of the </w:t>
      </w:r>
      <w:r w:rsidRPr="00E331E2">
        <w:rPr>
          <w:rFonts w:ascii="Arial" w:hAnsi="Arial" w:cs="Arial"/>
          <w:sz w:val="22"/>
          <w:szCs w:val="22"/>
        </w:rPr>
        <w:t>EPAct</w:t>
      </w:r>
      <w:r w:rsidRPr="00E331E2">
        <w:rPr>
          <w:rFonts w:ascii="Arial" w:hAnsi="Arial" w:cs="Arial"/>
          <w:sz w:val="22"/>
          <w:szCs w:val="22"/>
        </w:rPr>
        <w:t xml:space="preserve"> could not be met.</w:t>
      </w:r>
    </w:p>
    <w:p w:rsidR="000A6293" w:rsidRPr="00E331E2" w:rsidP="003D4237" w14:paraId="246801A2" w14:textId="77777777">
      <w:pPr>
        <w:tabs>
          <w:tab w:val="left" w:pos="360"/>
          <w:tab w:val="left" w:pos="720"/>
        </w:tabs>
        <w:rPr>
          <w:rFonts w:ascii="Arial" w:hAnsi="Arial" w:cs="Arial"/>
          <w:sz w:val="22"/>
          <w:szCs w:val="22"/>
        </w:rPr>
      </w:pPr>
    </w:p>
    <w:p w:rsidR="00267AD1" w:rsidRPr="00E331E2" w:rsidP="00267AD1" w14:paraId="4513662A" w14:textId="77777777">
      <w:pPr>
        <w:tabs>
          <w:tab w:val="left" w:pos="360"/>
          <w:tab w:val="left" w:pos="720"/>
        </w:tabs>
        <w:rPr>
          <w:rFonts w:ascii="Arial" w:hAnsi="Arial" w:cs="Arial"/>
          <w:b/>
          <w:sz w:val="22"/>
          <w:szCs w:val="22"/>
        </w:rPr>
      </w:pPr>
      <w:r w:rsidRPr="00E331E2">
        <w:rPr>
          <w:rFonts w:ascii="Arial" w:hAnsi="Arial" w:cs="Arial"/>
          <w:b/>
          <w:sz w:val="22"/>
          <w:szCs w:val="22"/>
        </w:rPr>
        <w:t>7.</w:t>
      </w:r>
      <w:r w:rsidRPr="00E331E2">
        <w:rPr>
          <w:rFonts w:ascii="Arial" w:hAnsi="Arial" w:cs="Arial"/>
          <w:b/>
          <w:sz w:val="22"/>
          <w:szCs w:val="22"/>
        </w:rPr>
        <w:tab/>
        <w:t>Explain any special circumstances that would cause an information collection to be conducted in a manner:</w:t>
      </w:r>
    </w:p>
    <w:p w:rsidR="00267AD1" w:rsidRPr="00E331E2" w:rsidP="00267AD1" w14:paraId="14432995"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r>
      <w:r w:rsidRPr="00E331E2">
        <w:rPr>
          <w:rFonts w:ascii="Arial" w:hAnsi="Arial" w:cs="Arial"/>
          <w:b/>
          <w:sz w:val="22"/>
          <w:szCs w:val="22"/>
        </w:rPr>
        <w:t>requiring</w:t>
      </w:r>
      <w:r w:rsidRPr="00E331E2">
        <w:rPr>
          <w:rFonts w:ascii="Arial" w:hAnsi="Arial" w:cs="Arial"/>
          <w:b/>
          <w:sz w:val="22"/>
          <w:szCs w:val="22"/>
        </w:rPr>
        <w:t xml:space="preserve"> respondents to report information to the agency more often than quarterly;</w:t>
      </w:r>
    </w:p>
    <w:p w:rsidR="00267AD1" w:rsidRPr="00E331E2" w:rsidP="00267AD1" w14:paraId="6F9F082D"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r>
      <w:r w:rsidRPr="00E331E2">
        <w:rPr>
          <w:rFonts w:ascii="Arial" w:hAnsi="Arial" w:cs="Arial"/>
          <w:b/>
          <w:sz w:val="22"/>
          <w:szCs w:val="22"/>
        </w:rPr>
        <w:t>requiring</w:t>
      </w:r>
      <w:r w:rsidRPr="00E331E2">
        <w:rPr>
          <w:rFonts w:ascii="Arial" w:hAnsi="Arial" w:cs="Arial"/>
          <w:b/>
          <w:sz w:val="22"/>
          <w:szCs w:val="22"/>
        </w:rPr>
        <w:t xml:space="preserve"> respondents to prepare a written response to a collection of information in fewer than 30 days after receipt of it;</w:t>
      </w:r>
    </w:p>
    <w:p w:rsidR="00267AD1" w:rsidRPr="00E331E2" w:rsidP="00267AD1" w14:paraId="43099863"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r>
      <w:r w:rsidRPr="00E331E2">
        <w:rPr>
          <w:rFonts w:ascii="Arial" w:hAnsi="Arial" w:cs="Arial"/>
          <w:b/>
          <w:sz w:val="22"/>
          <w:szCs w:val="22"/>
        </w:rPr>
        <w:t>requiring</w:t>
      </w:r>
      <w:r w:rsidRPr="00E331E2">
        <w:rPr>
          <w:rFonts w:ascii="Arial" w:hAnsi="Arial" w:cs="Arial"/>
          <w:b/>
          <w:sz w:val="22"/>
          <w:szCs w:val="22"/>
        </w:rPr>
        <w:t xml:space="preserve"> respondents to submit more than an original and two copies of any document;</w:t>
      </w:r>
    </w:p>
    <w:p w:rsidR="00267AD1" w:rsidRPr="00E331E2" w:rsidP="00267AD1" w14:paraId="6227F97C"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r>
      <w:r w:rsidRPr="00E331E2">
        <w:rPr>
          <w:rFonts w:ascii="Arial" w:hAnsi="Arial" w:cs="Arial"/>
          <w:b/>
          <w:sz w:val="22"/>
          <w:szCs w:val="22"/>
        </w:rPr>
        <w:t>requiring</w:t>
      </w:r>
      <w:r w:rsidRPr="00E331E2">
        <w:rPr>
          <w:rFonts w:ascii="Arial" w:hAnsi="Arial" w:cs="Arial"/>
          <w:b/>
          <w:sz w:val="22"/>
          <w:szCs w:val="22"/>
        </w:rPr>
        <w:t xml:space="preserve"> respondents to retain records, other than health, medical, government contract, grant-in-aid, or tax records, for more than three years;</w:t>
      </w:r>
    </w:p>
    <w:p w:rsidR="00267AD1" w:rsidRPr="00E331E2" w:rsidP="00267AD1" w14:paraId="329AFCFD"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r>
      <w:r w:rsidRPr="00E331E2">
        <w:rPr>
          <w:rFonts w:ascii="Arial" w:hAnsi="Arial" w:cs="Arial"/>
          <w:b/>
          <w:sz w:val="22"/>
          <w:szCs w:val="22"/>
        </w:rPr>
        <w:t>in</w:t>
      </w:r>
      <w:r w:rsidRPr="00E331E2">
        <w:rPr>
          <w:rFonts w:ascii="Arial" w:hAnsi="Arial" w:cs="Arial"/>
          <w:b/>
          <w:sz w:val="22"/>
          <w:szCs w:val="22"/>
        </w:rPr>
        <w:t xml:space="preserve"> connection with a statistical survey that is not designed to produce valid and reliable results that can be generalized to the universe of study;</w:t>
      </w:r>
    </w:p>
    <w:p w:rsidR="00267AD1" w:rsidRPr="00E331E2" w:rsidP="00267AD1" w14:paraId="7EE841CF"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r>
      <w:r w:rsidRPr="00E331E2">
        <w:rPr>
          <w:rFonts w:ascii="Arial" w:hAnsi="Arial" w:cs="Arial"/>
          <w:b/>
          <w:sz w:val="22"/>
          <w:szCs w:val="22"/>
        </w:rPr>
        <w:t>requiring</w:t>
      </w:r>
      <w:r w:rsidRPr="00E331E2">
        <w:rPr>
          <w:rFonts w:ascii="Arial" w:hAnsi="Arial" w:cs="Arial"/>
          <w:b/>
          <w:sz w:val="22"/>
          <w:szCs w:val="22"/>
        </w:rPr>
        <w:t xml:space="preserve"> the use of a statistical data classification that has not been reviewed and approved by OMB;</w:t>
      </w:r>
    </w:p>
    <w:p w:rsidR="00267AD1" w:rsidRPr="00E331E2" w:rsidP="00267AD1" w14:paraId="2F31A27A"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r>
      <w:r w:rsidRPr="00E331E2">
        <w:rPr>
          <w:rFonts w:ascii="Arial" w:hAnsi="Arial" w:cs="Arial"/>
          <w:b/>
          <w:sz w:val="22"/>
          <w:szCs w:val="22"/>
        </w:rPr>
        <w:t>that</w:t>
      </w:r>
      <w:r w:rsidRPr="00E331E2">
        <w:rPr>
          <w:rFonts w:ascii="Arial" w:hAnsi="Arial" w:cs="Arial"/>
          <w:b/>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67AD1" w:rsidRPr="00E331E2" w:rsidP="00267AD1" w14:paraId="1E32FAF6"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r>
      <w:r w:rsidRPr="00E331E2">
        <w:rPr>
          <w:rFonts w:ascii="Arial" w:hAnsi="Arial" w:cs="Arial"/>
          <w:b/>
          <w:sz w:val="22"/>
          <w:szCs w:val="22"/>
        </w:rPr>
        <w:t>requiring</w:t>
      </w:r>
      <w:r w:rsidRPr="00E331E2">
        <w:rPr>
          <w:rFonts w:ascii="Arial" w:hAnsi="Arial" w:cs="Arial"/>
          <w:b/>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295103" w:rsidRPr="00E331E2" w:rsidP="003D4237" w14:paraId="24D284A3" w14:textId="77777777">
      <w:pPr>
        <w:tabs>
          <w:tab w:val="left" w:pos="360"/>
          <w:tab w:val="left" w:pos="720"/>
        </w:tabs>
        <w:rPr>
          <w:rFonts w:ascii="Arial" w:hAnsi="Arial" w:cs="Arial"/>
          <w:sz w:val="22"/>
          <w:szCs w:val="22"/>
        </w:rPr>
      </w:pPr>
    </w:p>
    <w:p w:rsidR="000A6293" w:rsidRPr="00E331E2" w:rsidP="003D4237" w14:paraId="3B372FD1" w14:textId="77777777">
      <w:pPr>
        <w:tabs>
          <w:tab w:val="left" w:pos="360"/>
          <w:tab w:val="left" w:pos="720"/>
        </w:tabs>
        <w:rPr>
          <w:rFonts w:ascii="Arial" w:hAnsi="Arial" w:cs="Arial"/>
          <w:sz w:val="22"/>
          <w:szCs w:val="22"/>
        </w:rPr>
      </w:pPr>
      <w:r w:rsidRPr="00E331E2">
        <w:rPr>
          <w:rFonts w:ascii="Arial" w:hAnsi="Arial" w:cs="Arial"/>
          <w:sz w:val="22"/>
          <w:szCs w:val="22"/>
        </w:rPr>
        <w:t>There are no special circumstances that would require exceptions to 5 CFR 1320.5(d)(2).</w:t>
      </w:r>
    </w:p>
    <w:p w:rsidR="000A6293" w:rsidRPr="00E331E2" w:rsidP="003D4237" w14:paraId="4F322D28" w14:textId="77777777">
      <w:pPr>
        <w:tabs>
          <w:tab w:val="left" w:pos="360"/>
          <w:tab w:val="left" w:pos="720"/>
        </w:tabs>
        <w:rPr>
          <w:rFonts w:ascii="Arial" w:hAnsi="Arial" w:cs="Arial"/>
          <w:sz w:val="22"/>
          <w:szCs w:val="22"/>
        </w:rPr>
      </w:pPr>
    </w:p>
    <w:p w:rsidR="00267AD1" w:rsidRPr="00E331E2" w:rsidP="00267AD1" w14:paraId="52FB3544" w14:textId="77777777">
      <w:pPr>
        <w:tabs>
          <w:tab w:val="left" w:pos="360"/>
          <w:tab w:val="left" w:pos="720"/>
        </w:tabs>
        <w:rPr>
          <w:rFonts w:ascii="Arial" w:hAnsi="Arial" w:cs="Arial"/>
          <w:b/>
          <w:sz w:val="22"/>
          <w:szCs w:val="22"/>
        </w:rPr>
      </w:pPr>
      <w:r w:rsidRPr="00BD0362">
        <w:rPr>
          <w:rFonts w:ascii="Arial" w:hAnsi="Arial" w:cs="Arial"/>
          <w:b/>
          <w:sz w:val="22"/>
          <w:szCs w:val="22"/>
        </w:rPr>
        <w:t>8</w:t>
      </w:r>
      <w:r w:rsidRPr="00E331E2">
        <w:rPr>
          <w:rFonts w:ascii="Arial" w:hAnsi="Arial" w:cs="Arial"/>
          <w:b/>
          <w:sz w:val="22"/>
          <w:szCs w:val="22"/>
        </w:rPr>
        <w:t>.</w:t>
      </w:r>
      <w:r w:rsidRPr="00E331E2">
        <w:rPr>
          <w:rFonts w:ascii="Arial" w:hAnsi="Arial" w:cs="Arial"/>
          <w:b/>
          <w:sz w:val="22"/>
          <w:szCs w:val="22"/>
        </w:rPr>
        <w:tab/>
        <w:t xml:space="preserve">If applicable, provide a copy and identify the date and page number of </w:t>
      </w:r>
      <w:r w:rsidRPr="00E331E2">
        <w:rPr>
          <w:rFonts w:ascii="Arial" w:hAnsi="Arial" w:cs="Arial"/>
          <w:b/>
          <w:sz w:val="22"/>
          <w:szCs w:val="22"/>
        </w:rPr>
        <w:t>publication</w:t>
      </w:r>
      <w:r w:rsidRPr="00E331E2">
        <w:rPr>
          <w:rFonts w:ascii="Arial" w:hAnsi="Arial" w:cs="Arial"/>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67AD1" w:rsidRPr="00E331E2" w:rsidP="00267AD1" w14:paraId="0A375476" w14:textId="77777777">
      <w:pPr>
        <w:tabs>
          <w:tab w:val="left" w:pos="360"/>
          <w:tab w:val="left" w:pos="720"/>
        </w:tabs>
        <w:rPr>
          <w:rFonts w:ascii="Arial" w:hAnsi="Arial" w:cs="Arial"/>
          <w:b/>
          <w:sz w:val="22"/>
          <w:szCs w:val="22"/>
        </w:rPr>
      </w:pPr>
    </w:p>
    <w:p w:rsidR="00267AD1" w:rsidRPr="00E331E2" w:rsidP="00267AD1" w14:paraId="07AFF5C8" w14:textId="77777777">
      <w:pPr>
        <w:tabs>
          <w:tab w:val="left" w:pos="360"/>
          <w:tab w:val="left" w:pos="720"/>
        </w:tabs>
        <w:rPr>
          <w:rFonts w:ascii="Arial" w:hAnsi="Arial" w:cs="Arial"/>
          <w:b/>
          <w:sz w:val="22"/>
          <w:szCs w:val="22"/>
        </w:rPr>
      </w:pPr>
      <w:r w:rsidRPr="00E331E2">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67AD1" w:rsidRPr="00E331E2" w:rsidP="00267AD1" w14:paraId="0474B501" w14:textId="77777777">
      <w:pPr>
        <w:tabs>
          <w:tab w:val="left" w:pos="360"/>
          <w:tab w:val="left" w:pos="720"/>
        </w:tabs>
        <w:rPr>
          <w:rFonts w:ascii="Arial" w:hAnsi="Arial" w:cs="Arial"/>
          <w:b/>
          <w:sz w:val="22"/>
          <w:szCs w:val="22"/>
        </w:rPr>
      </w:pPr>
    </w:p>
    <w:p w:rsidR="000A6293" w:rsidRPr="00E331E2" w:rsidP="003D4237" w14:paraId="0C509573" w14:textId="7F10385C">
      <w:pPr>
        <w:tabs>
          <w:tab w:val="left" w:pos="360"/>
          <w:tab w:val="left" w:pos="720"/>
        </w:tabs>
        <w:rPr>
          <w:rFonts w:ascii="Arial" w:hAnsi="Arial" w:cs="Arial"/>
          <w:sz w:val="22"/>
          <w:szCs w:val="22"/>
        </w:rPr>
      </w:pPr>
      <w:r w:rsidRPr="00E331E2">
        <w:rPr>
          <w:rFonts w:ascii="Arial" w:hAnsi="Arial" w:cs="Arial"/>
          <w:sz w:val="22"/>
          <w:szCs w:val="22"/>
        </w:rPr>
        <w:t xml:space="preserve">The Department of the Interior’s notice seeking public comments was published </w:t>
      </w:r>
      <w:r w:rsidR="00D40075">
        <w:rPr>
          <w:rFonts w:ascii="Arial" w:hAnsi="Arial" w:cs="Arial"/>
          <w:sz w:val="22"/>
          <w:szCs w:val="22"/>
        </w:rPr>
        <w:t>June 7, 2024</w:t>
      </w:r>
      <w:r w:rsidR="00594720">
        <w:rPr>
          <w:rFonts w:ascii="Arial" w:hAnsi="Arial" w:cs="Arial"/>
          <w:sz w:val="22"/>
          <w:szCs w:val="22"/>
        </w:rPr>
        <w:t xml:space="preserve"> </w:t>
      </w:r>
      <w:r w:rsidR="00A357B6">
        <w:rPr>
          <w:rFonts w:ascii="Arial" w:hAnsi="Arial" w:cs="Arial"/>
          <w:sz w:val="22"/>
          <w:szCs w:val="22"/>
        </w:rPr>
        <w:t>(89 FR 48673)</w:t>
      </w:r>
      <w:r w:rsidRPr="00E331E2">
        <w:rPr>
          <w:rFonts w:ascii="Arial" w:hAnsi="Arial" w:cs="Arial"/>
          <w:sz w:val="22"/>
          <w:szCs w:val="22"/>
        </w:rPr>
        <w:t>.  No public comments were received in response to that notice.  Additionally, comments have not been received regarding the information collection over the past three years.</w:t>
      </w:r>
    </w:p>
    <w:p w:rsidR="000A6293" w:rsidRPr="00E331E2" w:rsidP="003D4237" w14:paraId="0A820518" w14:textId="77777777">
      <w:pPr>
        <w:tabs>
          <w:tab w:val="left" w:pos="360"/>
          <w:tab w:val="left" w:pos="720"/>
        </w:tabs>
        <w:rPr>
          <w:rFonts w:ascii="Arial" w:hAnsi="Arial" w:cs="Arial"/>
          <w:sz w:val="22"/>
          <w:szCs w:val="22"/>
        </w:rPr>
      </w:pPr>
    </w:p>
    <w:p w:rsidR="00EB4062" w:rsidRPr="00E331E2" w:rsidP="00EB4062" w14:paraId="390A128E" w14:textId="77777777">
      <w:pPr>
        <w:tabs>
          <w:tab w:val="left" w:pos="360"/>
          <w:tab w:val="left" w:pos="720"/>
        </w:tabs>
        <w:rPr>
          <w:rFonts w:ascii="Arial" w:hAnsi="Arial" w:cs="Arial"/>
          <w:b/>
          <w:sz w:val="22"/>
          <w:szCs w:val="22"/>
        </w:rPr>
      </w:pPr>
      <w:r w:rsidRPr="00E331E2">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B4062" w:rsidRPr="00E331E2" w:rsidP="00EB4062" w14:paraId="5276AB33" w14:textId="77777777">
      <w:pPr>
        <w:tabs>
          <w:tab w:val="left" w:pos="360"/>
          <w:tab w:val="left" w:pos="720"/>
        </w:tabs>
        <w:rPr>
          <w:rFonts w:ascii="Arial" w:hAnsi="Arial" w:cs="Arial"/>
          <w:sz w:val="22"/>
          <w:szCs w:val="22"/>
        </w:rPr>
      </w:pPr>
    </w:p>
    <w:p w:rsidR="001B2DC3" w:rsidP="003D4237" w14:paraId="7857ABED" w14:textId="3B3774C3">
      <w:pPr>
        <w:tabs>
          <w:tab w:val="left" w:pos="360"/>
          <w:tab w:val="left" w:pos="720"/>
        </w:tabs>
        <w:rPr>
          <w:rFonts w:ascii="Arial" w:hAnsi="Arial" w:cs="Arial"/>
          <w:sz w:val="22"/>
          <w:szCs w:val="22"/>
        </w:rPr>
      </w:pPr>
      <w:r w:rsidRPr="00E331E2">
        <w:rPr>
          <w:rFonts w:ascii="Arial" w:hAnsi="Arial" w:cs="Arial"/>
          <w:sz w:val="22"/>
          <w:szCs w:val="22"/>
        </w:rPr>
        <w:t xml:space="preserve">Between </w:t>
      </w:r>
      <w:r w:rsidR="00032F14">
        <w:rPr>
          <w:rFonts w:ascii="Arial" w:hAnsi="Arial" w:cs="Arial"/>
          <w:sz w:val="22"/>
          <w:szCs w:val="22"/>
        </w:rPr>
        <w:t xml:space="preserve">June </w:t>
      </w:r>
      <w:r w:rsidR="00837ABE">
        <w:rPr>
          <w:rFonts w:ascii="Arial" w:hAnsi="Arial" w:cs="Arial"/>
          <w:sz w:val="22"/>
          <w:szCs w:val="22"/>
        </w:rPr>
        <w:t>1</w:t>
      </w:r>
      <w:r w:rsidR="00063B0F">
        <w:rPr>
          <w:rFonts w:ascii="Arial" w:hAnsi="Arial" w:cs="Arial"/>
          <w:sz w:val="22"/>
          <w:szCs w:val="22"/>
        </w:rPr>
        <w:t xml:space="preserve">0, </w:t>
      </w:r>
      <w:r w:rsidR="00063B0F">
        <w:rPr>
          <w:rFonts w:ascii="Arial" w:hAnsi="Arial" w:cs="Arial"/>
          <w:sz w:val="22"/>
          <w:szCs w:val="22"/>
        </w:rPr>
        <w:t>2024</w:t>
      </w:r>
      <w:r w:rsidR="00063B0F">
        <w:rPr>
          <w:rFonts w:ascii="Arial" w:hAnsi="Arial" w:cs="Arial"/>
          <w:sz w:val="22"/>
          <w:szCs w:val="22"/>
        </w:rPr>
        <w:t xml:space="preserve"> and Ju</w:t>
      </w:r>
      <w:r w:rsidR="00BE4636">
        <w:rPr>
          <w:rFonts w:ascii="Arial" w:hAnsi="Arial" w:cs="Arial"/>
          <w:sz w:val="22"/>
          <w:szCs w:val="22"/>
        </w:rPr>
        <w:t xml:space="preserve">ly </w:t>
      </w:r>
      <w:r w:rsidR="002322BC">
        <w:rPr>
          <w:rFonts w:ascii="Arial" w:hAnsi="Arial" w:cs="Arial"/>
          <w:sz w:val="22"/>
          <w:szCs w:val="22"/>
        </w:rPr>
        <w:t>18</w:t>
      </w:r>
      <w:r w:rsidR="00BE4636">
        <w:rPr>
          <w:rFonts w:ascii="Arial" w:hAnsi="Arial" w:cs="Arial"/>
          <w:sz w:val="22"/>
          <w:szCs w:val="22"/>
        </w:rPr>
        <w:t>, 2024</w:t>
      </w:r>
      <w:r w:rsidR="00A17FD4">
        <w:rPr>
          <w:rFonts w:ascii="Arial" w:hAnsi="Arial" w:cs="Arial"/>
          <w:sz w:val="22"/>
          <w:szCs w:val="22"/>
        </w:rPr>
        <w:t xml:space="preserve">, </w:t>
      </w:r>
      <w:bookmarkStart w:id="0" w:name="_Hlk74731853"/>
      <w:r w:rsidR="00F01830">
        <w:rPr>
          <w:rFonts w:ascii="Arial" w:hAnsi="Arial" w:cs="Arial"/>
          <w:sz w:val="22"/>
          <w:szCs w:val="22"/>
        </w:rPr>
        <w:t xml:space="preserve">representatives or </w:t>
      </w:r>
      <w:r w:rsidRPr="00E331E2" w:rsidR="002B3F34">
        <w:rPr>
          <w:rFonts w:ascii="Arial" w:hAnsi="Arial" w:cs="Arial"/>
          <w:sz w:val="22"/>
          <w:szCs w:val="22"/>
        </w:rPr>
        <w:t xml:space="preserve">attorneys from </w:t>
      </w:r>
      <w:r w:rsidRPr="00E331E2">
        <w:rPr>
          <w:rFonts w:ascii="Arial" w:hAnsi="Arial" w:cs="Arial"/>
          <w:sz w:val="22"/>
          <w:szCs w:val="22"/>
        </w:rPr>
        <w:t xml:space="preserve">the following </w:t>
      </w:r>
      <w:r w:rsidRPr="00E331E2" w:rsidR="002B3F34">
        <w:rPr>
          <w:rFonts w:ascii="Arial" w:hAnsi="Arial" w:cs="Arial"/>
          <w:sz w:val="22"/>
          <w:szCs w:val="22"/>
        </w:rPr>
        <w:t>firm</w:t>
      </w:r>
      <w:r w:rsidR="00A97B26">
        <w:rPr>
          <w:rFonts w:ascii="Arial" w:hAnsi="Arial" w:cs="Arial"/>
          <w:sz w:val="22"/>
          <w:szCs w:val="22"/>
        </w:rPr>
        <w:t>s</w:t>
      </w:r>
      <w:r w:rsidRPr="00E331E2">
        <w:rPr>
          <w:rFonts w:ascii="Arial" w:hAnsi="Arial" w:cs="Arial"/>
          <w:sz w:val="22"/>
          <w:szCs w:val="22"/>
        </w:rPr>
        <w:t xml:space="preserve"> w</w:t>
      </w:r>
      <w:r w:rsidRPr="00E331E2" w:rsidR="00710949">
        <w:rPr>
          <w:rFonts w:ascii="Arial" w:hAnsi="Arial" w:cs="Arial"/>
          <w:sz w:val="22"/>
          <w:szCs w:val="22"/>
        </w:rPr>
        <w:t>ere</w:t>
      </w:r>
      <w:r w:rsidRPr="00E331E2">
        <w:rPr>
          <w:rFonts w:ascii="Arial" w:hAnsi="Arial" w:cs="Arial"/>
          <w:sz w:val="22"/>
          <w:szCs w:val="22"/>
        </w:rPr>
        <w:t xml:space="preserve"> contacted</w:t>
      </w:r>
      <w:bookmarkEnd w:id="0"/>
      <w:r>
        <w:rPr>
          <w:rFonts w:ascii="Arial" w:hAnsi="Arial" w:cs="Arial"/>
          <w:sz w:val="22"/>
          <w:szCs w:val="22"/>
        </w:rPr>
        <w:t>:</w:t>
      </w:r>
    </w:p>
    <w:p w:rsidR="001B2DC3" w:rsidP="003D4237" w14:paraId="12314DD3" w14:textId="77777777">
      <w:pPr>
        <w:tabs>
          <w:tab w:val="left" w:pos="360"/>
          <w:tab w:val="left" w:pos="720"/>
        </w:tabs>
        <w:rPr>
          <w:rFonts w:ascii="Arial" w:hAnsi="Arial" w:cs="Arial"/>
          <w:sz w:val="22"/>
          <w:szCs w:val="22"/>
        </w:rPr>
      </w:pPr>
    </w:p>
    <w:p w:rsidR="006C73FA" w:rsidRPr="008C56A3" w:rsidP="008C56A3" w14:paraId="6A0AB55E" w14:textId="5CF11C23">
      <w:pPr>
        <w:tabs>
          <w:tab w:val="left" w:pos="360"/>
          <w:tab w:val="left" w:pos="720"/>
        </w:tabs>
        <w:rPr>
          <w:rFonts w:ascii="Arial" w:hAnsi="Arial" w:cs="Arial"/>
          <w:sz w:val="22"/>
          <w:szCs w:val="22"/>
        </w:rPr>
      </w:pPr>
      <w:r w:rsidRPr="008C56A3">
        <w:rPr>
          <w:rFonts w:ascii="Arial" w:hAnsi="Arial" w:cs="Arial"/>
          <w:sz w:val="22"/>
          <w:szCs w:val="22"/>
        </w:rPr>
        <w:t xml:space="preserve">Rock Creek </w:t>
      </w:r>
      <w:r w:rsidRPr="008C56A3" w:rsidR="001178D6">
        <w:rPr>
          <w:rFonts w:ascii="Arial" w:hAnsi="Arial" w:cs="Arial"/>
          <w:sz w:val="22"/>
          <w:szCs w:val="22"/>
        </w:rPr>
        <w:t xml:space="preserve">Energy Group, LLP, 1 Thomas </w:t>
      </w:r>
      <w:r w:rsidRPr="008C56A3" w:rsidR="0095533F">
        <w:rPr>
          <w:rFonts w:ascii="Arial" w:hAnsi="Arial" w:cs="Arial"/>
          <w:sz w:val="22"/>
          <w:szCs w:val="22"/>
        </w:rPr>
        <w:t>Circle NW, Suite 700, Washington</w:t>
      </w:r>
      <w:r w:rsidRPr="008C56A3" w:rsidR="00752553">
        <w:rPr>
          <w:rFonts w:ascii="Arial" w:hAnsi="Arial" w:cs="Arial"/>
          <w:sz w:val="22"/>
          <w:szCs w:val="22"/>
        </w:rPr>
        <w:t xml:space="preserve">, D.C, </w:t>
      </w:r>
      <w:r w:rsidRPr="008C56A3" w:rsidR="00395D5B">
        <w:rPr>
          <w:rFonts w:ascii="Arial" w:hAnsi="Arial" w:cs="Arial"/>
          <w:sz w:val="22"/>
          <w:szCs w:val="22"/>
        </w:rPr>
        <w:t xml:space="preserve">20005, representing the </w:t>
      </w:r>
      <w:r w:rsidRPr="008C56A3" w:rsidR="00420DD1">
        <w:rPr>
          <w:rFonts w:ascii="Arial" w:hAnsi="Arial" w:cs="Arial"/>
          <w:sz w:val="22"/>
          <w:szCs w:val="22"/>
        </w:rPr>
        <w:t>Topsham Hydro Partners Limited</w:t>
      </w:r>
      <w:r w:rsidRPr="008C56A3" w:rsidR="007218BE">
        <w:rPr>
          <w:rFonts w:ascii="Arial" w:hAnsi="Arial" w:cs="Arial"/>
          <w:sz w:val="22"/>
          <w:szCs w:val="22"/>
        </w:rPr>
        <w:t xml:space="preserve"> Partnership,</w:t>
      </w:r>
      <w:r w:rsidRPr="008C56A3" w:rsidR="002F6C07">
        <w:rPr>
          <w:rFonts w:ascii="Arial" w:hAnsi="Arial" w:cs="Arial"/>
          <w:sz w:val="22"/>
          <w:szCs w:val="22"/>
        </w:rPr>
        <w:t xml:space="preserve"> representing the </w:t>
      </w:r>
      <w:r w:rsidRPr="008C56A3" w:rsidR="007B0B61">
        <w:rPr>
          <w:rFonts w:ascii="Arial" w:hAnsi="Arial" w:cs="Arial"/>
          <w:sz w:val="22"/>
          <w:szCs w:val="22"/>
        </w:rPr>
        <w:t>Pejepscot</w:t>
      </w:r>
      <w:r w:rsidRPr="008C56A3" w:rsidR="007B0B61">
        <w:rPr>
          <w:rFonts w:ascii="Arial" w:hAnsi="Arial" w:cs="Arial"/>
          <w:sz w:val="22"/>
          <w:szCs w:val="22"/>
        </w:rPr>
        <w:t xml:space="preserve"> Hydroelectric </w:t>
      </w:r>
      <w:r w:rsidRPr="008C56A3" w:rsidR="00C70B08">
        <w:rPr>
          <w:rFonts w:ascii="Arial" w:hAnsi="Arial" w:cs="Arial"/>
          <w:sz w:val="22"/>
          <w:szCs w:val="22"/>
        </w:rPr>
        <w:t xml:space="preserve">Project pursued alternatives </w:t>
      </w:r>
      <w:r w:rsidRPr="008C56A3" w:rsidR="004C3DEC">
        <w:rPr>
          <w:rFonts w:ascii="Arial" w:hAnsi="Arial" w:cs="Arial"/>
          <w:sz w:val="22"/>
          <w:szCs w:val="22"/>
        </w:rPr>
        <w:t xml:space="preserve">process submission with the Federal Government </w:t>
      </w:r>
      <w:r w:rsidRPr="008C56A3" w:rsidR="00687605">
        <w:rPr>
          <w:rFonts w:ascii="Arial" w:hAnsi="Arial" w:cs="Arial"/>
          <w:sz w:val="22"/>
          <w:szCs w:val="22"/>
        </w:rPr>
        <w:t xml:space="preserve">and provided an estimate </w:t>
      </w:r>
      <w:bookmarkStart w:id="1" w:name="_Hlk168905437"/>
      <w:r w:rsidR="00887859">
        <w:rPr>
          <w:rFonts w:ascii="Arial" w:hAnsi="Arial" w:cs="Arial"/>
          <w:sz w:val="22"/>
          <w:szCs w:val="22"/>
        </w:rPr>
        <w:t>800</w:t>
      </w:r>
      <w:r w:rsidRPr="008C56A3" w:rsidR="00687605">
        <w:rPr>
          <w:rFonts w:ascii="Arial" w:hAnsi="Arial" w:cs="Arial"/>
          <w:sz w:val="22"/>
          <w:szCs w:val="22"/>
        </w:rPr>
        <w:t xml:space="preserve"> total </w:t>
      </w:r>
      <w:r w:rsidRPr="008C56A3" w:rsidR="005A0F26">
        <w:rPr>
          <w:rFonts w:ascii="Arial" w:hAnsi="Arial" w:cs="Arial"/>
          <w:sz w:val="22"/>
          <w:szCs w:val="22"/>
        </w:rPr>
        <w:t>hours, including the civil engineering, research</w:t>
      </w:r>
      <w:r w:rsidRPr="008C56A3" w:rsidR="00A91DCE">
        <w:rPr>
          <w:rFonts w:ascii="Arial" w:hAnsi="Arial" w:cs="Arial"/>
          <w:sz w:val="22"/>
          <w:szCs w:val="22"/>
        </w:rPr>
        <w:t xml:space="preserve">, development of documentation, </w:t>
      </w:r>
      <w:r w:rsidRPr="00A77BAB" w:rsidR="00887859">
        <w:rPr>
          <w:rFonts w:ascii="Arial" w:hAnsi="Arial" w:cs="Arial"/>
          <w:sz w:val="22"/>
          <w:szCs w:val="22"/>
        </w:rPr>
        <w:t>work to reach agreement on alternative conditions,</w:t>
      </w:r>
      <w:r w:rsidR="00887859">
        <w:rPr>
          <w:rFonts w:ascii="Arial" w:hAnsi="Arial" w:cs="Arial"/>
          <w:sz w:val="22"/>
          <w:szCs w:val="22"/>
        </w:rPr>
        <w:t xml:space="preserve"> </w:t>
      </w:r>
      <w:r w:rsidRPr="008C56A3" w:rsidR="00A91DCE">
        <w:rPr>
          <w:rFonts w:ascii="Arial" w:hAnsi="Arial" w:cs="Arial"/>
          <w:sz w:val="22"/>
          <w:szCs w:val="22"/>
        </w:rPr>
        <w:t xml:space="preserve">etc. to </w:t>
      </w:r>
      <w:r w:rsidRPr="008C56A3" w:rsidR="00805BE3">
        <w:rPr>
          <w:rFonts w:ascii="Arial" w:hAnsi="Arial" w:cs="Arial"/>
          <w:sz w:val="22"/>
          <w:szCs w:val="22"/>
        </w:rPr>
        <w:t>present a submission of this type to the Government.</w:t>
      </w:r>
      <w:bookmarkEnd w:id="1"/>
    </w:p>
    <w:p w:rsidR="006C73FA" w:rsidP="003D4237" w14:paraId="29536203" w14:textId="77777777">
      <w:pPr>
        <w:tabs>
          <w:tab w:val="left" w:pos="360"/>
          <w:tab w:val="left" w:pos="720"/>
        </w:tabs>
        <w:rPr>
          <w:rFonts w:ascii="Arial" w:hAnsi="Arial" w:cs="Arial"/>
          <w:sz w:val="22"/>
          <w:szCs w:val="22"/>
        </w:rPr>
      </w:pPr>
    </w:p>
    <w:p w:rsidR="000D0279" w:rsidRPr="00645592" w:rsidP="008C56A3" w14:paraId="4B4B0275" w14:textId="0FF51F0A">
      <w:pPr>
        <w:tabs>
          <w:tab w:val="left" w:pos="360"/>
          <w:tab w:val="left" w:pos="720"/>
        </w:tabs>
        <w:rPr>
          <w:rFonts w:ascii="Arial" w:hAnsi="Arial" w:cs="Arial"/>
          <w:color w:val="202124"/>
          <w:sz w:val="22"/>
          <w:szCs w:val="22"/>
          <w:shd w:val="clear" w:color="auto" w:fill="FFFFFF"/>
        </w:rPr>
      </w:pPr>
      <w:r w:rsidRPr="00645592">
        <w:rPr>
          <w:rFonts w:ascii="Arial" w:hAnsi="Arial" w:cs="Arial"/>
          <w:sz w:val="22"/>
          <w:szCs w:val="22"/>
        </w:rPr>
        <w:t xml:space="preserve">Gomez and Sullivan Engineers, DPS, </w:t>
      </w:r>
      <w:r w:rsidRPr="00645592" w:rsidR="00105DA1">
        <w:rPr>
          <w:rFonts w:ascii="Arial" w:hAnsi="Arial" w:cs="Arial"/>
          <w:color w:val="202124"/>
          <w:sz w:val="22"/>
          <w:szCs w:val="22"/>
          <w:shd w:val="clear" w:color="auto" w:fill="FFFFFF"/>
        </w:rPr>
        <w:t xml:space="preserve">1961 </w:t>
      </w:r>
      <w:r w:rsidRPr="00645592" w:rsidR="00105DA1">
        <w:rPr>
          <w:rFonts w:ascii="Arial" w:hAnsi="Arial" w:cs="Arial"/>
          <w:color w:val="202124"/>
          <w:sz w:val="22"/>
          <w:szCs w:val="22"/>
          <w:shd w:val="clear" w:color="auto" w:fill="FFFFFF"/>
        </w:rPr>
        <w:t>Wehrle</w:t>
      </w:r>
      <w:r w:rsidRPr="00645592" w:rsidR="00105DA1">
        <w:rPr>
          <w:rFonts w:ascii="Arial" w:hAnsi="Arial" w:cs="Arial"/>
          <w:color w:val="202124"/>
          <w:sz w:val="22"/>
          <w:szCs w:val="22"/>
          <w:shd w:val="clear" w:color="auto" w:fill="FFFFFF"/>
        </w:rPr>
        <w:t xml:space="preserve"> Dr, Williamsville, NY 14221, </w:t>
      </w:r>
      <w:r w:rsidRPr="00645592" w:rsidR="00D87C49">
        <w:rPr>
          <w:rFonts w:ascii="Arial" w:hAnsi="Arial" w:cs="Arial"/>
          <w:color w:val="202124"/>
          <w:sz w:val="22"/>
          <w:szCs w:val="22"/>
          <w:shd w:val="clear" w:color="auto" w:fill="FFFFFF"/>
        </w:rPr>
        <w:t>representing the City of Waterv</w:t>
      </w:r>
      <w:r w:rsidRPr="00645592" w:rsidR="00420AD6">
        <w:rPr>
          <w:rFonts w:ascii="Arial" w:hAnsi="Arial" w:cs="Arial"/>
          <w:color w:val="202124"/>
          <w:sz w:val="22"/>
          <w:szCs w:val="22"/>
          <w:shd w:val="clear" w:color="auto" w:fill="FFFFFF"/>
        </w:rPr>
        <w:t xml:space="preserve">liet, pursuant to </w:t>
      </w:r>
      <w:r w:rsidRPr="00645592" w:rsidR="001C3D60">
        <w:rPr>
          <w:rFonts w:ascii="Arial" w:hAnsi="Arial" w:cs="Arial"/>
          <w:color w:val="202124"/>
          <w:sz w:val="22"/>
          <w:szCs w:val="22"/>
          <w:shd w:val="clear" w:color="auto" w:fill="FFFFFF"/>
        </w:rPr>
        <w:t xml:space="preserve">alternative </w:t>
      </w:r>
      <w:r w:rsidRPr="00645592" w:rsidR="007944D9">
        <w:rPr>
          <w:rFonts w:ascii="Arial" w:hAnsi="Arial" w:cs="Arial"/>
          <w:color w:val="202124"/>
          <w:sz w:val="22"/>
          <w:szCs w:val="22"/>
          <w:shd w:val="clear" w:color="auto" w:fill="FFFFFF"/>
        </w:rPr>
        <w:t>fishway prescription</w:t>
      </w:r>
      <w:r w:rsidRPr="00645592" w:rsidR="00926F27">
        <w:rPr>
          <w:rFonts w:ascii="Arial" w:hAnsi="Arial" w:cs="Arial"/>
          <w:color w:val="202124"/>
          <w:sz w:val="22"/>
          <w:szCs w:val="22"/>
          <w:shd w:val="clear" w:color="auto" w:fill="FFFFFF"/>
        </w:rPr>
        <w:t>s</w:t>
      </w:r>
      <w:r w:rsidRPr="00645592" w:rsidR="007944D9">
        <w:rPr>
          <w:rFonts w:ascii="Arial" w:hAnsi="Arial" w:cs="Arial"/>
          <w:color w:val="202124"/>
          <w:sz w:val="22"/>
          <w:szCs w:val="22"/>
          <w:shd w:val="clear" w:color="auto" w:fill="FFFFFF"/>
        </w:rPr>
        <w:t xml:space="preserve"> for the </w:t>
      </w:r>
      <w:r w:rsidRPr="00645592" w:rsidR="007944D9">
        <w:rPr>
          <w:rFonts w:ascii="Arial" w:hAnsi="Arial" w:cs="Arial"/>
          <w:color w:val="202124"/>
          <w:sz w:val="22"/>
          <w:szCs w:val="22"/>
          <w:shd w:val="clear" w:color="auto" w:fill="FFFFFF"/>
        </w:rPr>
        <w:t>Normanskill</w:t>
      </w:r>
      <w:r w:rsidRPr="00645592" w:rsidR="007944D9">
        <w:rPr>
          <w:rFonts w:ascii="Arial" w:hAnsi="Arial" w:cs="Arial"/>
          <w:color w:val="202124"/>
          <w:sz w:val="22"/>
          <w:szCs w:val="22"/>
          <w:shd w:val="clear" w:color="auto" w:fill="FFFFFF"/>
        </w:rPr>
        <w:t xml:space="preserve"> </w:t>
      </w:r>
      <w:r w:rsidRPr="00645592" w:rsidR="00457B49">
        <w:rPr>
          <w:rFonts w:ascii="Arial" w:hAnsi="Arial" w:cs="Arial"/>
          <w:color w:val="202124"/>
          <w:sz w:val="22"/>
          <w:szCs w:val="22"/>
          <w:shd w:val="clear" w:color="auto" w:fill="FFFFFF"/>
        </w:rPr>
        <w:t xml:space="preserve">Hydroelectric Project submission </w:t>
      </w:r>
      <w:r w:rsidRPr="00645592" w:rsidR="00926F27">
        <w:rPr>
          <w:rFonts w:ascii="Arial" w:hAnsi="Arial" w:cs="Arial"/>
          <w:color w:val="202124"/>
          <w:sz w:val="22"/>
          <w:szCs w:val="22"/>
          <w:shd w:val="clear" w:color="auto" w:fill="FFFFFF"/>
        </w:rPr>
        <w:t>with the Federal Government</w:t>
      </w:r>
      <w:r w:rsidRPr="00645592" w:rsidR="00625452">
        <w:rPr>
          <w:rFonts w:ascii="Arial" w:hAnsi="Arial" w:cs="Arial"/>
          <w:color w:val="202124"/>
          <w:sz w:val="22"/>
          <w:szCs w:val="22"/>
          <w:shd w:val="clear" w:color="auto" w:fill="FFFFFF"/>
        </w:rPr>
        <w:t xml:space="preserve"> and provided </w:t>
      </w:r>
      <w:bookmarkStart w:id="2" w:name="_Hlk168907502"/>
      <w:r w:rsidRPr="00645592" w:rsidR="004C3DB6">
        <w:rPr>
          <w:rFonts w:ascii="Arial" w:hAnsi="Arial" w:cs="Arial"/>
          <w:color w:val="202124"/>
          <w:sz w:val="22"/>
          <w:szCs w:val="22"/>
          <w:shd w:val="clear" w:color="auto" w:fill="FFFFFF"/>
        </w:rPr>
        <w:t xml:space="preserve">no reply to multiple emails, </w:t>
      </w:r>
      <w:r w:rsidRPr="00645592" w:rsidR="00E73D13">
        <w:rPr>
          <w:rFonts w:ascii="Arial" w:hAnsi="Arial" w:cs="Arial"/>
          <w:color w:val="202124"/>
          <w:sz w:val="22"/>
          <w:szCs w:val="22"/>
          <w:shd w:val="clear" w:color="auto" w:fill="FFFFFF"/>
        </w:rPr>
        <w:t xml:space="preserve">phone calls. </w:t>
      </w:r>
      <w:r w:rsidRPr="00645592" w:rsidR="00D14282">
        <w:rPr>
          <w:rFonts w:ascii="Arial" w:hAnsi="Arial" w:cs="Arial"/>
          <w:color w:val="202124"/>
          <w:sz w:val="22"/>
          <w:szCs w:val="22"/>
          <w:shd w:val="clear" w:color="auto" w:fill="FFFFFF"/>
        </w:rPr>
        <w:t xml:space="preserve">Regarding </w:t>
      </w:r>
      <w:r w:rsidRPr="00645592" w:rsidR="00625452">
        <w:rPr>
          <w:rFonts w:ascii="Arial" w:hAnsi="Arial" w:cs="Arial"/>
          <w:color w:val="202124"/>
          <w:sz w:val="22"/>
          <w:szCs w:val="22"/>
          <w:shd w:val="clear" w:color="auto" w:fill="FFFFFF"/>
        </w:rPr>
        <w:t>an estimate</w:t>
      </w:r>
      <w:r w:rsidRPr="00645592" w:rsidR="00D14282">
        <w:rPr>
          <w:rFonts w:ascii="Arial" w:hAnsi="Arial" w:cs="Arial"/>
          <w:color w:val="202124"/>
          <w:sz w:val="22"/>
          <w:szCs w:val="22"/>
          <w:shd w:val="clear" w:color="auto" w:fill="FFFFFF"/>
        </w:rPr>
        <w:t xml:space="preserve"> of </w:t>
      </w:r>
      <w:r w:rsidRPr="00645592" w:rsidR="00625452">
        <w:rPr>
          <w:rFonts w:ascii="Arial" w:hAnsi="Arial" w:cs="Arial"/>
          <w:sz w:val="22"/>
          <w:szCs w:val="22"/>
        </w:rPr>
        <w:t>total hours, including the civil engineering, research, development of documentation, etc. to present a submission of this type to the Government.</w:t>
      </w:r>
      <w:r w:rsidRPr="00645592" w:rsidR="00625452">
        <w:rPr>
          <w:rFonts w:ascii="Arial" w:hAnsi="Arial" w:cs="Arial"/>
          <w:color w:val="202124"/>
          <w:sz w:val="22"/>
          <w:szCs w:val="22"/>
          <w:shd w:val="clear" w:color="auto" w:fill="FFFFFF"/>
        </w:rPr>
        <w:t xml:space="preserve"> </w:t>
      </w:r>
      <w:bookmarkEnd w:id="2"/>
    </w:p>
    <w:p w:rsidR="00625452" w:rsidRPr="00645592" w:rsidP="003D4237" w14:paraId="1FA32CFF" w14:textId="77777777">
      <w:pPr>
        <w:tabs>
          <w:tab w:val="left" w:pos="360"/>
          <w:tab w:val="left" w:pos="720"/>
        </w:tabs>
        <w:rPr>
          <w:rFonts w:ascii="Arial" w:hAnsi="Arial" w:cs="Arial"/>
          <w:color w:val="202124"/>
          <w:sz w:val="22"/>
          <w:szCs w:val="22"/>
          <w:shd w:val="clear" w:color="auto" w:fill="FFFFFF"/>
        </w:rPr>
      </w:pPr>
    </w:p>
    <w:p w:rsidR="001061FA" w:rsidRPr="00645592" w:rsidP="00A77BAB" w14:paraId="06B99298" w14:textId="4D653813">
      <w:pPr>
        <w:tabs>
          <w:tab w:val="left" w:pos="360"/>
          <w:tab w:val="left" w:pos="720"/>
        </w:tabs>
        <w:rPr>
          <w:rFonts w:ascii="Arial" w:hAnsi="Arial" w:cs="Arial"/>
          <w:sz w:val="22"/>
          <w:szCs w:val="22"/>
        </w:rPr>
      </w:pPr>
      <w:r w:rsidRPr="00645592">
        <w:rPr>
          <w:rFonts w:ascii="Arial" w:hAnsi="Arial" w:cs="Arial"/>
          <w:sz w:val="22"/>
          <w:szCs w:val="22"/>
        </w:rPr>
        <w:t xml:space="preserve">Green Lake </w:t>
      </w:r>
      <w:r w:rsidRPr="00645592">
        <w:rPr>
          <w:rFonts w:ascii="Arial" w:hAnsi="Arial" w:cs="Arial"/>
          <w:sz w:val="22"/>
          <w:szCs w:val="22"/>
        </w:rPr>
        <w:t>Water Power</w:t>
      </w:r>
      <w:r w:rsidRPr="00645592">
        <w:rPr>
          <w:rFonts w:ascii="Arial" w:hAnsi="Arial" w:cs="Arial"/>
          <w:sz w:val="22"/>
          <w:szCs w:val="22"/>
        </w:rPr>
        <w:t xml:space="preserve"> C</w:t>
      </w:r>
      <w:r w:rsidRPr="00645592" w:rsidR="00591868">
        <w:rPr>
          <w:rFonts w:ascii="Arial" w:hAnsi="Arial" w:cs="Arial"/>
          <w:sz w:val="22"/>
          <w:szCs w:val="22"/>
        </w:rPr>
        <w:t xml:space="preserve">ompany, </w:t>
      </w:r>
      <w:r w:rsidRPr="00645592" w:rsidR="0017237B">
        <w:rPr>
          <w:rFonts w:ascii="Arial" w:hAnsi="Arial" w:cs="Arial"/>
          <w:sz w:val="22"/>
          <w:szCs w:val="22"/>
        </w:rPr>
        <w:t>120 Hatchery Way, Ellsworth, ME 046</w:t>
      </w:r>
      <w:r w:rsidRPr="00645592" w:rsidR="00452A86">
        <w:rPr>
          <w:rFonts w:ascii="Arial" w:hAnsi="Arial" w:cs="Arial"/>
          <w:sz w:val="22"/>
          <w:szCs w:val="22"/>
        </w:rPr>
        <w:t xml:space="preserve">05, </w:t>
      </w:r>
      <w:r w:rsidRPr="00645592" w:rsidR="007A5D83">
        <w:rPr>
          <w:rFonts w:ascii="Arial" w:hAnsi="Arial" w:cs="Arial"/>
          <w:sz w:val="22"/>
          <w:szCs w:val="22"/>
        </w:rPr>
        <w:t>pr</w:t>
      </w:r>
      <w:r w:rsidRPr="00645592" w:rsidR="00A67CAC">
        <w:rPr>
          <w:rFonts w:ascii="Arial" w:hAnsi="Arial" w:cs="Arial"/>
          <w:sz w:val="22"/>
          <w:szCs w:val="22"/>
        </w:rPr>
        <w:t xml:space="preserve">epared alternatives to the mandatory conditions and </w:t>
      </w:r>
      <w:r w:rsidRPr="00645592" w:rsidR="002D6CF2">
        <w:rPr>
          <w:rFonts w:ascii="Arial" w:hAnsi="Arial" w:cs="Arial"/>
          <w:sz w:val="22"/>
          <w:szCs w:val="22"/>
        </w:rPr>
        <w:t xml:space="preserve">prescriptions for the Green Lake Hydroelectric </w:t>
      </w:r>
      <w:r w:rsidRPr="00645592" w:rsidR="00591614">
        <w:rPr>
          <w:rFonts w:ascii="Arial" w:hAnsi="Arial" w:cs="Arial"/>
          <w:sz w:val="22"/>
          <w:szCs w:val="22"/>
        </w:rPr>
        <w:t>P</w:t>
      </w:r>
      <w:r w:rsidRPr="00645592" w:rsidR="002D6CF2">
        <w:rPr>
          <w:rFonts w:ascii="Arial" w:hAnsi="Arial" w:cs="Arial"/>
          <w:sz w:val="22"/>
          <w:szCs w:val="22"/>
        </w:rPr>
        <w:t>roject</w:t>
      </w:r>
      <w:r w:rsidRPr="00645592" w:rsidR="00F831F4">
        <w:rPr>
          <w:rFonts w:ascii="Arial" w:hAnsi="Arial" w:cs="Arial"/>
          <w:sz w:val="22"/>
          <w:szCs w:val="22"/>
        </w:rPr>
        <w:t xml:space="preserve"> submission with the Federal Government and provided </w:t>
      </w:r>
      <w:r w:rsidRPr="00645592" w:rsidR="00D177AA">
        <w:rPr>
          <w:rFonts w:ascii="Arial" w:hAnsi="Arial" w:cs="Arial"/>
          <w:color w:val="202124"/>
          <w:sz w:val="22"/>
          <w:szCs w:val="22"/>
          <w:shd w:val="clear" w:color="auto" w:fill="FFFFFF"/>
        </w:rPr>
        <w:t xml:space="preserve">an estimate </w:t>
      </w:r>
      <w:r w:rsidRPr="00645592" w:rsidR="00472562">
        <w:rPr>
          <w:rFonts w:ascii="Arial" w:hAnsi="Arial" w:cs="Arial"/>
          <w:color w:val="202124"/>
          <w:sz w:val="22"/>
          <w:szCs w:val="22"/>
          <w:shd w:val="clear" w:color="auto" w:fill="FFFFFF"/>
        </w:rPr>
        <w:t xml:space="preserve">950 total </w:t>
      </w:r>
      <w:r w:rsidRPr="00645592" w:rsidR="00D177AA">
        <w:rPr>
          <w:rFonts w:ascii="Arial" w:hAnsi="Arial" w:cs="Arial"/>
          <w:sz w:val="22"/>
          <w:szCs w:val="22"/>
        </w:rPr>
        <w:t>hours</w:t>
      </w:r>
      <w:r w:rsidRPr="00645592" w:rsidR="00472562">
        <w:rPr>
          <w:rFonts w:ascii="Arial" w:hAnsi="Arial" w:cs="Arial"/>
          <w:sz w:val="22"/>
          <w:szCs w:val="22"/>
        </w:rPr>
        <w:t xml:space="preserve"> present a submission of this type to the Government. This </w:t>
      </w:r>
      <w:r w:rsidRPr="00645592" w:rsidR="0004616B">
        <w:rPr>
          <w:rFonts w:ascii="Arial" w:hAnsi="Arial" w:cs="Arial"/>
          <w:sz w:val="22"/>
          <w:szCs w:val="22"/>
        </w:rPr>
        <w:t xml:space="preserve">total </w:t>
      </w:r>
      <w:r w:rsidRPr="00645592" w:rsidR="00D177AA">
        <w:rPr>
          <w:rFonts w:ascii="Arial" w:hAnsi="Arial" w:cs="Arial"/>
          <w:sz w:val="22"/>
          <w:szCs w:val="22"/>
        </w:rPr>
        <w:t>includ</w:t>
      </w:r>
      <w:r w:rsidRPr="00645592" w:rsidR="00472562">
        <w:rPr>
          <w:rFonts w:ascii="Arial" w:hAnsi="Arial" w:cs="Arial"/>
          <w:sz w:val="22"/>
          <w:szCs w:val="22"/>
        </w:rPr>
        <w:t>es</w:t>
      </w:r>
      <w:r w:rsidRPr="00645592" w:rsidR="00D177AA">
        <w:rPr>
          <w:rFonts w:ascii="Arial" w:hAnsi="Arial" w:cs="Arial"/>
          <w:sz w:val="22"/>
          <w:szCs w:val="22"/>
        </w:rPr>
        <w:t xml:space="preserve"> the civil engineering, research, development of documentation</w:t>
      </w:r>
      <w:r w:rsidRPr="00645592" w:rsidR="00472562">
        <w:rPr>
          <w:rFonts w:ascii="Arial" w:hAnsi="Arial" w:cs="Arial"/>
          <w:sz w:val="22"/>
          <w:szCs w:val="22"/>
        </w:rPr>
        <w:t xml:space="preserve"> etc. (estimated 500 hours) and</w:t>
      </w:r>
      <w:bookmarkStart w:id="3" w:name="_Hlk172124312"/>
      <w:r w:rsidRPr="00645592" w:rsidR="00472562">
        <w:rPr>
          <w:rFonts w:ascii="Arial" w:hAnsi="Arial" w:cs="Arial"/>
          <w:sz w:val="22"/>
          <w:szCs w:val="22"/>
        </w:rPr>
        <w:t xml:space="preserve"> additional subsequent work to reach agreement on conditions </w:t>
      </w:r>
      <w:r w:rsidRPr="00645592" w:rsidR="0004616B">
        <w:rPr>
          <w:rFonts w:ascii="Arial" w:hAnsi="Arial" w:cs="Arial"/>
          <w:sz w:val="22"/>
          <w:szCs w:val="22"/>
        </w:rPr>
        <w:t>(estimated</w:t>
      </w:r>
      <w:r w:rsidRPr="00645592" w:rsidR="00472562">
        <w:rPr>
          <w:rFonts w:ascii="Arial" w:hAnsi="Arial" w:cs="Arial"/>
          <w:sz w:val="22"/>
          <w:szCs w:val="22"/>
        </w:rPr>
        <w:t xml:space="preserve"> 450 hours</w:t>
      </w:r>
      <w:r w:rsidRPr="00645592" w:rsidR="0004616B">
        <w:rPr>
          <w:rFonts w:ascii="Arial" w:hAnsi="Arial" w:cs="Arial"/>
          <w:sz w:val="22"/>
          <w:szCs w:val="22"/>
        </w:rPr>
        <w:t>)</w:t>
      </w:r>
      <w:r w:rsidRPr="00645592" w:rsidR="00472562">
        <w:rPr>
          <w:rFonts w:ascii="Arial" w:hAnsi="Arial" w:cs="Arial"/>
          <w:sz w:val="22"/>
          <w:szCs w:val="22"/>
        </w:rPr>
        <w:t>.</w:t>
      </w:r>
      <w:bookmarkEnd w:id="3"/>
      <w:r w:rsidRPr="00645592" w:rsidR="00591614">
        <w:rPr>
          <w:rFonts w:ascii="Arial" w:hAnsi="Arial" w:cs="Arial"/>
          <w:sz w:val="22"/>
          <w:szCs w:val="22"/>
        </w:rPr>
        <w:t xml:space="preserve"> </w:t>
      </w:r>
    </w:p>
    <w:p w:rsidR="007218BE" w:rsidRPr="00645592" w:rsidP="003D4237" w14:paraId="7CEE02A6" w14:textId="3F73ECB5">
      <w:pPr>
        <w:tabs>
          <w:tab w:val="left" w:pos="360"/>
          <w:tab w:val="left" w:pos="720"/>
        </w:tabs>
        <w:rPr>
          <w:rFonts w:ascii="Arial" w:hAnsi="Arial" w:cs="Arial"/>
          <w:sz w:val="22"/>
          <w:szCs w:val="22"/>
          <w:highlight w:val="yellow"/>
        </w:rPr>
      </w:pPr>
    </w:p>
    <w:p w:rsidR="002E35F4" w:rsidRPr="00645592" w:rsidP="003D4237" w14:paraId="6A49827F" w14:textId="671B1219">
      <w:pPr>
        <w:tabs>
          <w:tab w:val="left" w:pos="360"/>
          <w:tab w:val="left" w:pos="720"/>
        </w:tabs>
        <w:rPr>
          <w:rFonts w:ascii="Arial" w:hAnsi="Arial" w:cs="Arial"/>
          <w:sz w:val="22"/>
          <w:szCs w:val="22"/>
        </w:rPr>
      </w:pPr>
      <w:r w:rsidRPr="00645592">
        <w:rPr>
          <w:rFonts w:ascii="Arial" w:hAnsi="Arial" w:cs="Arial"/>
          <w:sz w:val="22"/>
          <w:szCs w:val="22"/>
        </w:rPr>
        <w:t>Previously, attorneys from the following firms were contacted:</w:t>
      </w:r>
    </w:p>
    <w:p w:rsidR="002137DC" w:rsidP="003D4237" w14:paraId="1CDEC6AB" w14:textId="77777777">
      <w:pPr>
        <w:tabs>
          <w:tab w:val="left" w:pos="360"/>
          <w:tab w:val="left" w:pos="720"/>
        </w:tabs>
        <w:rPr>
          <w:rFonts w:ascii="Arial" w:hAnsi="Arial" w:cs="Arial"/>
          <w:sz w:val="22"/>
          <w:szCs w:val="22"/>
          <w:highlight w:val="yellow"/>
        </w:rPr>
      </w:pPr>
    </w:p>
    <w:p w:rsidR="001A5585" w:rsidRPr="00875FE6" w:rsidP="003D4237" w14:paraId="3D34938D" w14:textId="624E9D1B">
      <w:pPr>
        <w:tabs>
          <w:tab w:val="left" w:pos="360"/>
          <w:tab w:val="left" w:pos="720"/>
        </w:tabs>
        <w:rPr>
          <w:rFonts w:ascii="Arial" w:hAnsi="Arial" w:cs="Arial"/>
          <w:sz w:val="22"/>
          <w:szCs w:val="22"/>
        </w:rPr>
      </w:pPr>
      <w:r w:rsidRPr="00875FE6">
        <w:rPr>
          <w:rFonts w:ascii="Arial" w:hAnsi="Arial" w:cs="Arial"/>
          <w:sz w:val="22"/>
          <w:szCs w:val="22"/>
        </w:rPr>
        <w:t>VanNess</w:t>
      </w:r>
      <w:r w:rsidRPr="00875FE6">
        <w:rPr>
          <w:rFonts w:ascii="Arial" w:hAnsi="Arial" w:cs="Arial"/>
          <w:sz w:val="22"/>
          <w:szCs w:val="22"/>
        </w:rPr>
        <w:t xml:space="preserve"> Feldman, LLC, 1050 Thomas Jefferson Street</w:t>
      </w:r>
      <w:r w:rsidRPr="00875FE6" w:rsidR="004B0EA0">
        <w:rPr>
          <w:rFonts w:ascii="Arial" w:hAnsi="Arial" w:cs="Arial"/>
          <w:sz w:val="22"/>
          <w:szCs w:val="22"/>
        </w:rPr>
        <w:t xml:space="preserve">, NW, Washington, D.C 2007. Attorneys at </w:t>
      </w:r>
      <w:r w:rsidRPr="00875FE6" w:rsidR="004B0EA0">
        <w:rPr>
          <w:rFonts w:ascii="Arial" w:hAnsi="Arial" w:cs="Arial"/>
          <w:sz w:val="22"/>
          <w:szCs w:val="22"/>
        </w:rPr>
        <w:t>VanNess</w:t>
      </w:r>
      <w:r w:rsidRPr="00875FE6" w:rsidR="004B0EA0">
        <w:rPr>
          <w:rFonts w:ascii="Arial" w:hAnsi="Arial" w:cs="Arial"/>
          <w:sz w:val="22"/>
          <w:szCs w:val="22"/>
        </w:rPr>
        <w:t xml:space="preserve"> Feldman, LLC, representing the </w:t>
      </w:r>
      <w:r w:rsidRPr="00875FE6" w:rsidR="007544EF">
        <w:rPr>
          <w:rFonts w:ascii="Arial" w:hAnsi="Arial" w:cs="Arial"/>
          <w:sz w:val="22"/>
          <w:szCs w:val="22"/>
        </w:rPr>
        <w:t>Rollinsford Hydroelectric Project</w:t>
      </w:r>
      <w:r w:rsidRPr="00875FE6" w:rsidR="00FC14B3">
        <w:rPr>
          <w:rFonts w:ascii="Arial" w:hAnsi="Arial" w:cs="Arial"/>
          <w:sz w:val="22"/>
          <w:szCs w:val="22"/>
        </w:rPr>
        <w:t xml:space="preserve"> pursued alternatives process submission with the Federal Government and provided an estimate of </w:t>
      </w:r>
      <w:r w:rsidRPr="00875FE6" w:rsidR="00862CAC">
        <w:rPr>
          <w:rFonts w:ascii="Arial" w:hAnsi="Arial" w:cs="Arial"/>
          <w:sz w:val="22"/>
          <w:szCs w:val="22"/>
        </w:rPr>
        <w:t xml:space="preserve">90 </w:t>
      </w:r>
      <w:r w:rsidRPr="00875FE6" w:rsidR="00FC14B3">
        <w:rPr>
          <w:rFonts w:ascii="Arial" w:hAnsi="Arial" w:cs="Arial"/>
          <w:sz w:val="22"/>
          <w:szCs w:val="22"/>
        </w:rPr>
        <w:t xml:space="preserve">total hours, </w:t>
      </w:r>
      <w:bookmarkStart w:id="4" w:name="_Hlk68521082"/>
      <w:r w:rsidRPr="00875FE6" w:rsidR="00FC14B3">
        <w:rPr>
          <w:rFonts w:ascii="Arial" w:hAnsi="Arial" w:cs="Arial"/>
          <w:sz w:val="22"/>
          <w:szCs w:val="22"/>
        </w:rPr>
        <w:t xml:space="preserve">including </w:t>
      </w:r>
      <w:bookmarkStart w:id="5" w:name="_Hlk68519480"/>
      <w:r w:rsidRPr="00875FE6" w:rsidR="00FC14B3">
        <w:rPr>
          <w:rFonts w:ascii="Arial" w:hAnsi="Arial" w:cs="Arial"/>
          <w:sz w:val="22"/>
          <w:szCs w:val="22"/>
        </w:rPr>
        <w:t>the civil engineering, research, development of documentation, etc. to present a submission of this type to the Government</w:t>
      </w:r>
      <w:bookmarkEnd w:id="4"/>
      <w:bookmarkEnd w:id="5"/>
      <w:r w:rsidRPr="00875FE6">
        <w:rPr>
          <w:rFonts w:ascii="Arial" w:hAnsi="Arial" w:cs="Arial"/>
          <w:sz w:val="22"/>
          <w:szCs w:val="22"/>
        </w:rPr>
        <w:t>.</w:t>
      </w:r>
    </w:p>
    <w:p w:rsidR="001A5585" w:rsidRPr="00F86492" w:rsidP="003D4237" w14:paraId="0B55AA0F" w14:textId="77777777">
      <w:pPr>
        <w:tabs>
          <w:tab w:val="left" w:pos="360"/>
          <w:tab w:val="left" w:pos="720"/>
        </w:tabs>
        <w:rPr>
          <w:rFonts w:ascii="Arial" w:hAnsi="Arial" w:cs="Arial"/>
          <w:sz w:val="22"/>
          <w:szCs w:val="22"/>
          <w:highlight w:val="yellow"/>
        </w:rPr>
      </w:pPr>
    </w:p>
    <w:p w:rsidR="000120DB" w:rsidRPr="00F86492" w:rsidP="003D4237" w14:paraId="2D92A6A9" w14:textId="3E24CDB1">
      <w:pPr>
        <w:tabs>
          <w:tab w:val="left" w:pos="360"/>
          <w:tab w:val="left" w:pos="720"/>
        </w:tabs>
        <w:rPr>
          <w:rFonts w:ascii="Arial" w:hAnsi="Arial" w:cs="Arial"/>
          <w:sz w:val="22"/>
          <w:szCs w:val="22"/>
          <w:highlight w:val="yellow"/>
        </w:rPr>
      </w:pPr>
      <w:bookmarkStart w:id="6" w:name="_Hlk68519154"/>
      <w:r w:rsidRPr="00875FE6">
        <w:rPr>
          <w:rFonts w:ascii="Arial" w:hAnsi="Arial" w:cs="Arial"/>
          <w:sz w:val="22"/>
          <w:szCs w:val="22"/>
        </w:rPr>
        <w:t>Earth and Water Law, LLC</w:t>
      </w:r>
      <w:bookmarkEnd w:id="6"/>
      <w:r w:rsidRPr="00875FE6">
        <w:rPr>
          <w:rFonts w:ascii="Arial" w:hAnsi="Arial" w:cs="Arial"/>
          <w:sz w:val="22"/>
          <w:szCs w:val="22"/>
        </w:rPr>
        <w:t xml:space="preserve">, 230 Peachtree Street, NW, Atlanta, Georgia </w:t>
      </w:r>
      <w:r w:rsidRPr="00875FE6" w:rsidR="005E194A">
        <w:rPr>
          <w:rFonts w:ascii="Arial" w:hAnsi="Arial" w:cs="Arial"/>
          <w:sz w:val="22"/>
          <w:szCs w:val="22"/>
        </w:rPr>
        <w:t>30309. Attorneys at</w:t>
      </w:r>
      <w:r w:rsidRPr="00875FE6" w:rsidR="005E194A">
        <w:t xml:space="preserve"> </w:t>
      </w:r>
      <w:r w:rsidRPr="00875FE6" w:rsidR="005E194A">
        <w:rPr>
          <w:rFonts w:ascii="Arial" w:hAnsi="Arial" w:cs="Arial"/>
          <w:sz w:val="22"/>
          <w:szCs w:val="22"/>
        </w:rPr>
        <w:t xml:space="preserve">Earth and Water Law, LLC, representing the Augusta Canal Project, </w:t>
      </w:r>
      <w:r w:rsidRPr="00875FE6" w:rsidR="00DB1813">
        <w:rPr>
          <w:rFonts w:ascii="Arial" w:hAnsi="Arial" w:cs="Arial"/>
          <w:sz w:val="22"/>
          <w:szCs w:val="22"/>
        </w:rPr>
        <w:t>pursued the alternative process submission with the Federal Government. In response t</w:t>
      </w:r>
      <w:r w:rsidRPr="00875FE6" w:rsidR="00CC7FC9">
        <w:rPr>
          <w:rFonts w:ascii="Arial" w:hAnsi="Arial" w:cs="Arial"/>
          <w:sz w:val="22"/>
          <w:szCs w:val="22"/>
        </w:rPr>
        <w:t>o</w:t>
      </w:r>
      <w:r w:rsidRPr="00875FE6" w:rsidR="00DB1813">
        <w:rPr>
          <w:rFonts w:ascii="Arial" w:hAnsi="Arial" w:cs="Arial"/>
          <w:sz w:val="22"/>
          <w:szCs w:val="22"/>
        </w:rPr>
        <w:t xml:space="preserve"> the question what </w:t>
      </w:r>
      <w:r w:rsidRPr="00875FE6" w:rsidR="00DB1813">
        <w:rPr>
          <w:rFonts w:ascii="Arial" w:hAnsi="Arial" w:cs="Arial"/>
          <w:sz w:val="22"/>
          <w:szCs w:val="22"/>
        </w:rPr>
        <w:t>is an estimate of the total number of hours</w:t>
      </w:r>
      <w:r w:rsidRPr="00875FE6" w:rsidR="00DB1813">
        <w:rPr>
          <w:rFonts w:ascii="Arial" w:hAnsi="Arial" w:cs="Arial"/>
          <w:sz w:val="22"/>
          <w:szCs w:val="22"/>
        </w:rPr>
        <w:t xml:space="preserve">, including the civil engineering, research, development of documentation, etc. to present a submission of this type to the Government, </w:t>
      </w:r>
      <w:r w:rsidRPr="00875FE6" w:rsidR="00CC7FC9">
        <w:rPr>
          <w:rFonts w:ascii="Arial" w:hAnsi="Arial" w:cs="Arial"/>
          <w:sz w:val="22"/>
          <w:szCs w:val="22"/>
        </w:rPr>
        <w:t>we estimated after multiple calls between 100 and 250</w:t>
      </w:r>
      <w:r w:rsidRPr="00875FE6" w:rsidR="00DB1813">
        <w:rPr>
          <w:rFonts w:ascii="Arial" w:hAnsi="Arial" w:cs="Arial"/>
          <w:sz w:val="22"/>
          <w:szCs w:val="22"/>
        </w:rPr>
        <w:t xml:space="preserve"> hours. </w:t>
      </w:r>
      <w:r w:rsidRPr="00F86492" w:rsidR="00DB1813">
        <w:rPr>
          <w:rFonts w:ascii="Arial" w:hAnsi="Arial" w:cs="Arial"/>
          <w:sz w:val="22"/>
          <w:szCs w:val="22"/>
          <w:highlight w:val="yellow"/>
        </w:rPr>
        <w:t xml:space="preserve"> </w:t>
      </w:r>
    </w:p>
    <w:p w:rsidR="001B2DC3" w:rsidRPr="00F86492" w:rsidP="003D4237" w14:paraId="49BEBB03" w14:textId="77777777">
      <w:pPr>
        <w:tabs>
          <w:tab w:val="left" w:pos="360"/>
          <w:tab w:val="left" w:pos="720"/>
        </w:tabs>
        <w:rPr>
          <w:rFonts w:ascii="Arial" w:hAnsi="Arial" w:cs="Arial"/>
          <w:sz w:val="22"/>
          <w:szCs w:val="22"/>
          <w:highlight w:val="yellow"/>
        </w:rPr>
      </w:pPr>
    </w:p>
    <w:p w:rsidR="005A7CF4" w:rsidRPr="00875FE6" w:rsidP="003D4237" w14:paraId="45C2A111" w14:textId="77777777">
      <w:pPr>
        <w:tabs>
          <w:tab w:val="left" w:pos="360"/>
          <w:tab w:val="left" w:pos="720"/>
        </w:tabs>
        <w:rPr>
          <w:rFonts w:ascii="Arial" w:hAnsi="Arial" w:cs="Arial"/>
          <w:sz w:val="22"/>
          <w:szCs w:val="22"/>
        </w:rPr>
      </w:pPr>
      <w:r w:rsidRPr="00875FE6">
        <w:rPr>
          <w:rFonts w:ascii="Arial" w:hAnsi="Arial" w:cs="Arial"/>
          <w:sz w:val="22"/>
          <w:szCs w:val="22"/>
        </w:rPr>
        <w:t>Winston and Strawn, LLP, 1700 K Street, N.W., Was</w:t>
      </w:r>
      <w:r w:rsidRPr="00875FE6" w:rsidR="00453648">
        <w:rPr>
          <w:rFonts w:ascii="Arial" w:hAnsi="Arial" w:cs="Arial"/>
          <w:sz w:val="22"/>
          <w:szCs w:val="22"/>
        </w:rPr>
        <w:t>hington, D.C. 20006</w:t>
      </w:r>
      <w:r w:rsidRPr="00875FE6">
        <w:rPr>
          <w:rFonts w:ascii="Arial" w:hAnsi="Arial" w:cs="Arial"/>
          <w:sz w:val="22"/>
          <w:szCs w:val="22"/>
        </w:rPr>
        <w:t xml:space="preserve">.  </w:t>
      </w:r>
      <w:r w:rsidRPr="00875FE6" w:rsidR="00FB3615">
        <w:rPr>
          <w:rFonts w:ascii="Arial" w:hAnsi="Arial" w:cs="Arial"/>
          <w:sz w:val="22"/>
          <w:szCs w:val="22"/>
        </w:rPr>
        <w:t>A</w:t>
      </w:r>
      <w:r w:rsidRPr="00875FE6">
        <w:rPr>
          <w:rFonts w:ascii="Arial" w:hAnsi="Arial" w:cs="Arial"/>
          <w:sz w:val="22"/>
          <w:szCs w:val="22"/>
        </w:rPr>
        <w:t xml:space="preserve">ttorneys at Winston and Strawn, LLP, </w:t>
      </w:r>
      <w:r w:rsidRPr="00875FE6">
        <w:rPr>
          <w:rFonts w:ascii="Arial" w:hAnsi="Arial" w:cs="Arial"/>
          <w:sz w:val="22"/>
          <w:szCs w:val="22"/>
        </w:rPr>
        <w:t xml:space="preserve">represented </w:t>
      </w:r>
      <w:r w:rsidRPr="00875FE6">
        <w:rPr>
          <w:rFonts w:ascii="Arial" w:hAnsi="Arial" w:cs="Arial"/>
          <w:sz w:val="22"/>
          <w:szCs w:val="22"/>
        </w:rPr>
        <w:t>the Don Pedro Hydroelectric Project</w:t>
      </w:r>
      <w:r w:rsidRPr="00875FE6" w:rsidR="00DD4361">
        <w:rPr>
          <w:rFonts w:ascii="Arial" w:hAnsi="Arial" w:cs="Arial"/>
          <w:sz w:val="22"/>
          <w:szCs w:val="22"/>
        </w:rPr>
        <w:t xml:space="preserve"> </w:t>
      </w:r>
      <w:r w:rsidRPr="00875FE6">
        <w:rPr>
          <w:rFonts w:ascii="Arial" w:hAnsi="Arial" w:cs="Arial"/>
          <w:sz w:val="22"/>
          <w:szCs w:val="22"/>
        </w:rPr>
        <w:t xml:space="preserve">pursuing alternatives process submissions </w:t>
      </w:r>
      <w:r w:rsidRPr="00875FE6" w:rsidR="00DD4361">
        <w:rPr>
          <w:rFonts w:ascii="Arial" w:hAnsi="Arial" w:cs="Arial"/>
          <w:sz w:val="22"/>
          <w:szCs w:val="22"/>
        </w:rPr>
        <w:t>with the Federal Government</w:t>
      </w:r>
      <w:r w:rsidRPr="00875FE6">
        <w:rPr>
          <w:rFonts w:ascii="Arial" w:hAnsi="Arial" w:cs="Arial"/>
          <w:sz w:val="22"/>
          <w:szCs w:val="22"/>
        </w:rPr>
        <w:t xml:space="preserve">, reconfirmed </w:t>
      </w:r>
      <w:r w:rsidRPr="00875FE6" w:rsidR="00DD4361">
        <w:rPr>
          <w:rFonts w:ascii="Arial" w:hAnsi="Arial" w:cs="Arial"/>
          <w:sz w:val="22"/>
          <w:szCs w:val="22"/>
        </w:rPr>
        <w:t>500</w:t>
      </w:r>
      <w:r w:rsidRPr="00875FE6" w:rsidR="00DC1BFC">
        <w:rPr>
          <w:rFonts w:ascii="Arial" w:hAnsi="Arial" w:cs="Arial"/>
          <w:sz w:val="22"/>
          <w:szCs w:val="22"/>
        </w:rPr>
        <w:t>-600</w:t>
      </w:r>
      <w:r w:rsidRPr="00875FE6" w:rsidR="00DD4361">
        <w:rPr>
          <w:rFonts w:ascii="Arial" w:hAnsi="Arial" w:cs="Arial"/>
          <w:sz w:val="22"/>
          <w:szCs w:val="22"/>
        </w:rPr>
        <w:t xml:space="preserve"> total hours</w:t>
      </w:r>
      <w:r w:rsidRPr="00875FE6">
        <w:rPr>
          <w:rFonts w:ascii="Arial" w:hAnsi="Arial" w:cs="Arial"/>
          <w:sz w:val="22"/>
          <w:szCs w:val="22"/>
        </w:rPr>
        <w:t xml:space="preserve">. </w:t>
      </w:r>
    </w:p>
    <w:p w:rsidR="003A5C85" w:rsidRPr="00875FE6" w:rsidP="003D4237" w14:paraId="41326A10" w14:textId="77777777">
      <w:pPr>
        <w:tabs>
          <w:tab w:val="left" w:pos="360"/>
          <w:tab w:val="left" w:pos="720"/>
        </w:tabs>
        <w:rPr>
          <w:rFonts w:ascii="Arial" w:hAnsi="Arial" w:cs="Arial"/>
          <w:sz w:val="22"/>
          <w:szCs w:val="22"/>
        </w:rPr>
      </w:pPr>
    </w:p>
    <w:p w:rsidR="00B908EA" w:rsidRPr="00F86492" w:rsidP="003D4237" w14:paraId="3302CC11" w14:textId="526D2BB4">
      <w:pPr>
        <w:tabs>
          <w:tab w:val="left" w:pos="360"/>
          <w:tab w:val="left" w:pos="720"/>
        </w:tabs>
        <w:rPr>
          <w:rFonts w:ascii="Arial" w:hAnsi="Arial" w:cs="Arial"/>
          <w:sz w:val="22"/>
          <w:szCs w:val="22"/>
          <w:highlight w:val="yellow"/>
        </w:rPr>
      </w:pPr>
      <w:r w:rsidRPr="00875FE6">
        <w:rPr>
          <w:rFonts w:ascii="Arial" w:hAnsi="Arial" w:cs="Arial"/>
          <w:sz w:val="22"/>
          <w:szCs w:val="22"/>
        </w:rPr>
        <w:t xml:space="preserve">Winston and Strawn, LLP, 1700 K Street, N.W., Washington, D.C. 20006. </w:t>
      </w:r>
      <w:r w:rsidRPr="00875FE6" w:rsidR="0013489A">
        <w:rPr>
          <w:rFonts w:ascii="Arial" w:hAnsi="Arial" w:cs="Arial"/>
          <w:sz w:val="22"/>
          <w:szCs w:val="22"/>
        </w:rPr>
        <w:t xml:space="preserve"> </w:t>
      </w:r>
      <w:r w:rsidRPr="00875FE6">
        <w:rPr>
          <w:rFonts w:ascii="Arial" w:hAnsi="Arial" w:cs="Arial"/>
          <w:sz w:val="22"/>
          <w:szCs w:val="22"/>
        </w:rPr>
        <w:t>Attorney, at</w:t>
      </w:r>
      <w:r w:rsidRPr="00875FE6" w:rsidR="00DD4361">
        <w:rPr>
          <w:rFonts w:ascii="Arial" w:hAnsi="Arial" w:cs="Arial"/>
          <w:sz w:val="22"/>
          <w:szCs w:val="22"/>
        </w:rPr>
        <w:t xml:space="preserve"> Winston and Strawn, LLP, represented </w:t>
      </w:r>
      <w:r w:rsidRPr="00875FE6" w:rsidR="00450130">
        <w:rPr>
          <w:rFonts w:ascii="Arial" w:hAnsi="Arial" w:cs="Arial"/>
          <w:sz w:val="22"/>
          <w:szCs w:val="22"/>
        </w:rPr>
        <w:t>the Drum Spaulding Project</w:t>
      </w:r>
      <w:r w:rsidRPr="00875FE6">
        <w:rPr>
          <w:rFonts w:ascii="Arial" w:hAnsi="Arial" w:cs="Arial"/>
          <w:sz w:val="22"/>
          <w:szCs w:val="22"/>
        </w:rPr>
        <w:t xml:space="preserve"> pursuing alternatives process submissions with the Federal Government</w:t>
      </w:r>
      <w:r w:rsidRPr="00875FE6" w:rsidR="00450130">
        <w:rPr>
          <w:rFonts w:ascii="Arial" w:hAnsi="Arial" w:cs="Arial"/>
          <w:sz w:val="22"/>
          <w:szCs w:val="22"/>
        </w:rPr>
        <w:t>, reconfirmed 225 to 300 hours</w:t>
      </w:r>
      <w:r w:rsidRPr="00875FE6">
        <w:rPr>
          <w:rFonts w:ascii="Arial" w:hAnsi="Arial" w:cs="Arial"/>
          <w:sz w:val="22"/>
          <w:szCs w:val="22"/>
        </w:rPr>
        <w:t>.</w:t>
      </w:r>
      <w:r w:rsidRPr="00F86492" w:rsidR="00450130">
        <w:rPr>
          <w:rFonts w:ascii="Arial" w:hAnsi="Arial" w:cs="Arial"/>
          <w:sz w:val="22"/>
          <w:szCs w:val="22"/>
          <w:highlight w:val="yellow"/>
        </w:rPr>
        <w:t xml:space="preserve"> </w:t>
      </w:r>
    </w:p>
    <w:p w:rsidR="00DD4361" w:rsidRPr="00F86492" w:rsidP="003D4237" w14:paraId="0D5B7F52" w14:textId="77777777">
      <w:pPr>
        <w:tabs>
          <w:tab w:val="left" w:pos="360"/>
          <w:tab w:val="left" w:pos="720"/>
        </w:tabs>
        <w:rPr>
          <w:rFonts w:ascii="Arial" w:hAnsi="Arial" w:cs="Arial"/>
          <w:strike/>
          <w:sz w:val="22"/>
          <w:szCs w:val="22"/>
          <w:highlight w:val="yellow"/>
        </w:rPr>
      </w:pPr>
    </w:p>
    <w:p w:rsidR="00FD6F93" w:rsidRPr="00875FE6" w:rsidP="003D4237" w14:paraId="0A3029C9" w14:textId="77777777">
      <w:pPr>
        <w:tabs>
          <w:tab w:val="left" w:pos="360"/>
          <w:tab w:val="left" w:pos="720"/>
        </w:tabs>
        <w:rPr>
          <w:rFonts w:ascii="Arial" w:hAnsi="Arial" w:cs="Arial"/>
          <w:sz w:val="22"/>
          <w:szCs w:val="22"/>
        </w:rPr>
      </w:pPr>
      <w:r w:rsidRPr="00875FE6">
        <w:rPr>
          <w:rFonts w:ascii="Arial" w:hAnsi="Arial" w:cs="Arial"/>
          <w:sz w:val="22"/>
          <w:szCs w:val="22"/>
        </w:rPr>
        <w:t>Holland &amp; Knight, 800 17</w:t>
      </w:r>
      <w:r w:rsidRPr="00875FE6">
        <w:rPr>
          <w:rFonts w:ascii="Arial" w:hAnsi="Arial" w:cs="Arial"/>
          <w:sz w:val="22"/>
          <w:szCs w:val="22"/>
          <w:vertAlign w:val="superscript"/>
        </w:rPr>
        <w:t>th</w:t>
      </w:r>
      <w:r w:rsidRPr="00875FE6">
        <w:rPr>
          <w:rFonts w:ascii="Arial" w:hAnsi="Arial" w:cs="Arial"/>
          <w:sz w:val="22"/>
          <w:szCs w:val="22"/>
        </w:rPr>
        <w:t xml:space="preserve"> Street, NW, Suite 1100, Washington, D.C. 20006.  Attorney with Holland &amp; Knight represented the Merced Irrigation District and the East Texas Electric Cooperative, </w:t>
      </w:r>
      <w:r w:rsidRPr="00875FE6">
        <w:rPr>
          <w:rFonts w:ascii="Arial" w:hAnsi="Arial" w:cs="Arial"/>
          <w:sz w:val="22"/>
          <w:szCs w:val="22"/>
        </w:rPr>
        <w:t>Inc.</w:t>
      </w:r>
      <w:r w:rsidRPr="00875FE6">
        <w:rPr>
          <w:rFonts w:ascii="Arial" w:hAnsi="Arial" w:cs="Arial"/>
          <w:sz w:val="22"/>
          <w:szCs w:val="22"/>
        </w:rPr>
        <w:t xml:space="preserve"> and pursued alternatives process submissions with the Federal Government.  </w:t>
      </w:r>
      <w:bookmarkStart w:id="7" w:name="_Hlk68518599"/>
      <w:r w:rsidRPr="00875FE6">
        <w:rPr>
          <w:rFonts w:ascii="Arial" w:hAnsi="Arial" w:cs="Arial"/>
          <w:sz w:val="22"/>
          <w:szCs w:val="22"/>
        </w:rPr>
        <w:t xml:space="preserve">In response to the question what </w:t>
      </w:r>
      <w:r w:rsidRPr="00875FE6">
        <w:rPr>
          <w:rFonts w:ascii="Arial" w:hAnsi="Arial" w:cs="Arial"/>
          <w:sz w:val="22"/>
          <w:szCs w:val="22"/>
        </w:rPr>
        <w:t>is an estimate of the total number of hours</w:t>
      </w:r>
      <w:r w:rsidRPr="00875FE6">
        <w:rPr>
          <w:rFonts w:ascii="Arial" w:hAnsi="Arial" w:cs="Arial"/>
          <w:sz w:val="22"/>
          <w:szCs w:val="22"/>
        </w:rPr>
        <w:t xml:space="preserve">, including the civil </w:t>
      </w:r>
      <w:r w:rsidRPr="00875FE6">
        <w:rPr>
          <w:rFonts w:ascii="Arial" w:hAnsi="Arial" w:cs="Arial"/>
          <w:sz w:val="22"/>
          <w:szCs w:val="22"/>
        </w:rPr>
        <w:t>engineering, research, development of documentation, etc. to present a submission of this type to the Government, their previous submission of 450 hours was reconfirmed</w:t>
      </w:r>
      <w:bookmarkEnd w:id="7"/>
      <w:r w:rsidRPr="00875FE6">
        <w:rPr>
          <w:rFonts w:ascii="Arial" w:hAnsi="Arial" w:cs="Arial"/>
          <w:sz w:val="22"/>
          <w:szCs w:val="22"/>
        </w:rPr>
        <w:t>.</w:t>
      </w:r>
    </w:p>
    <w:p w:rsidR="00FD6F93" w:rsidRPr="00875FE6" w:rsidP="003D4237" w14:paraId="74BFB1F3" w14:textId="77777777">
      <w:pPr>
        <w:tabs>
          <w:tab w:val="left" w:pos="360"/>
          <w:tab w:val="left" w:pos="720"/>
        </w:tabs>
        <w:rPr>
          <w:rFonts w:ascii="Arial" w:hAnsi="Arial" w:cs="Arial"/>
          <w:sz w:val="22"/>
          <w:szCs w:val="22"/>
        </w:rPr>
      </w:pPr>
    </w:p>
    <w:p w:rsidR="000A6293" w:rsidRPr="00E331E2" w:rsidP="003D4237" w14:paraId="791A9E60" w14:textId="77777777">
      <w:pPr>
        <w:tabs>
          <w:tab w:val="left" w:pos="360"/>
          <w:tab w:val="left" w:pos="720"/>
        </w:tabs>
        <w:rPr>
          <w:rFonts w:ascii="Arial" w:hAnsi="Arial" w:cs="Arial"/>
          <w:sz w:val="22"/>
          <w:szCs w:val="22"/>
        </w:rPr>
      </w:pPr>
      <w:r w:rsidRPr="00875FE6">
        <w:rPr>
          <w:rFonts w:ascii="Arial" w:hAnsi="Arial" w:cs="Arial"/>
          <w:sz w:val="22"/>
          <w:szCs w:val="22"/>
        </w:rPr>
        <w:t>Van Ness Feldman, P.C.</w:t>
      </w:r>
      <w:r w:rsidRPr="00875FE6">
        <w:rPr>
          <w:rFonts w:ascii="Arial" w:hAnsi="Arial" w:cs="Arial"/>
          <w:sz w:val="22"/>
          <w:szCs w:val="22"/>
        </w:rPr>
        <w:t>, 1050 Thomas Jefferson Str</w:t>
      </w:r>
      <w:r w:rsidRPr="00875FE6">
        <w:rPr>
          <w:rFonts w:ascii="Arial" w:hAnsi="Arial" w:cs="Arial"/>
          <w:sz w:val="22"/>
          <w:szCs w:val="22"/>
        </w:rPr>
        <w:t xml:space="preserve">eet, NW, Washington, D.C. 20007. Attorney from the Van Ness Feldman, P.C., </w:t>
      </w:r>
      <w:r w:rsidRPr="00875FE6">
        <w:rPr>
          <w:rFonts w:ascii="Arial" w:hAnsi="Arial" w:cs="Arial"/>
          <w:sz w:val="22"/>
          <w:szCs w:val="22"/>
        </w:rPr>
        <w:t>pursu</w:t>
      </w:r>
      <w:r w:rsidRPr="00875FE6">
        <w:rPr>
          <w:rFonts w:ascii="Arial" w:hAnsi="Arial" w:cs="Arial"/>
          <w:sz w:val="22"/>
          <w:szCs w:val="22"/>
        </w:rPr>
        <w:t>ed</w:t>
      </w:r>
      <w:r w:rsidRPr="00875FE6">
        <w:rPr>
          <w:rFonts w:ascii="Arial" w:hAnsi="Arial" w:cs="Arial"/>
          <w:sz w:val="22"/>
          <w:szCs w:val="22"/>
        </w:rPr>
        <w:t xml:space="preserve"> alternatives process submissions</w:t>
      </w:r>
      <w:r w:rsidRPr="00875FE6">
        <w:rPr>
          <w:rFonts w:ascii="Arial" w:hAnsi="Arial" w:cs="Arial"/>
          <w:sz w:val="22"/>
          <w:szCs w:val="22"/>
        </w:rPr>
        <w:t xml:space="preserve"> </w:t>
      </w:r>
      <w:r w:rsidRPr="00875FE6" w:rsidR="009E01C0">
        <w:rPr>
          <w:rFonts w:ascii="Arial" w:hAnsi="Arial" w:cs="Arial"/>
          <w:sz w:val="22"/>
          <w:szCs w:val="22"/>
        </w:rPr>
        <w:t>to the Federal Government</w:t>
      </w:r>
      <w:r w:rsidRPr="00875FE6">
        <w:rPr>
          <w:rFonts w:ascii="Arial" w:hAnsi="Arial" w:cs="Arial"/>
          <w:sz w:val="22"/>
          <w:szCs w:val="22"/>
        </w:rPr>
        <w:t>.  In response to a</w:t>
      </w:r>
      <w:r w:rsidRPr="00875FE6">
        <w:rPr>
          <w:rFonts w:ascii="Arial" w:hAnsi="Arial" w:cs="Arial"/>
          <w:sz w:val="22"/>
          <w:szCs w:val="22"/>
        </w:rPr>
        <w:t xml:space="preserve"> telephone call, the Attorney re</w:t>
      </w:r>
      <w:r w:rsidRPr="00875FE6">
        <w:rPr>
          <w:rFonts w:ascii="Arial" w:hAnsi="Arial" w:cs="Arial"/>
          <w:sz w:val="22"/>
          <w:szCs w:val="22"/>
        </w:rPr>
        <w:t>confirmed his previous estimate of 1,000 total hours, including the civil engineering, research, development of documentation, etc. to present a submission of this type to the Government.</w:t>
      </w:r>
      <w:r w:rsidRPr="00875FE6" w:rsidR="00883660">
        <w:rPr>
          <w:rFonts w:ascii="Arial" w:hAnsi="Arial" w:cs="Arial"/>
          <w:sz w:val="22"/>
          <w:szCs w:val="22"/>
        </w:rPr>
        <w:t xml:space="preserve"> These estimates are based on </w:t>
      </w:r>
      <w:r w:rsidRPr="00875FE6">
        <w:rPr>
          <w:rFonts w:ascii="Arial" w:hAnsi="Arial" w:cs="Arial"/>
          <w:sz w:val="22"/>
          <w:szCs w:val="22"/>
        </w:rPr>
        <w:t>his</w:t>
      </w:r>
      <w:r w:rsidRPr="00875FE6" w:rsidR="00883660">
        <w:rPr>
          <w:rFonts w:ascii="Arial" w:hAnsi="Arial" w:cs="Arial"/>
          <w:sz w:val="22"/>
          <w:szCs w:val="22"/>
        </w:rPr>
        <w:t xml:space="preserve"> experience in pursuing alternative process submission for the Klamath Hydroelectric Project</w:t>
      </w:r>
      <w:r w:rsidRPr="00875FE6" w:rsidR="008B4679">
        <w:rPr>
          <w:rFonts w:ascii="Arial" w:hAnsi="Arial" w:cs="Arial"/>
          <w:sz w:val="22"/>
          <w:szCs w:val="22"/>
        </w:rPr>
        <w:t>, a complicated case</w:t>
      </w:r>
      <w:r w:rsidRPr="00875FE6" w:rsidR="00883660">
        <w:rPr>
          <w:rFonts w:ascii="Arial" w:hAnsi="Arial" w:cs="Arial"/>
          <w:sz w:val="22"/>
          <w:szCs w:val="22"/>
        </w:rPr>
        <w:t>.</w:t>
      </w:r>
      <w:r w:rsidRPr="00875FE6" w:rsidR="008B4679">
        <w:rPr>
          <w:rFonts w:ascii="Arial" w:hAnsi="Arial" w:cs="Arial"/>
          <w:sz w:val="22"/>
          <w:szCs w:val="22"/>
        </w:rPr>
        <w:t xml:space="preserve"> According to </w:t>
      </w:r>
      <w:r w:rsidRPr="00875FE6" w:rsidR="009E01C0">
        <w:rPr>
          <w:rFonts w:ascii="Arial" w:hAnsi="Arial" w:cs="Arial"/>
          <w:sz w:val="22"/>
          <w:szCs w:val="22"/>
        </w:rPr>
        <w:t>him</w:t>
      </w:r>
      <w:r w:rsidRPr="00875FE6" w:rsidR="008B4679">
        <w:rPr>
          <w:rFonts w:ascii="Arial" w:hAnsi="Arial" w:cs="Arial"/>
          <w:sz w:val="22"/>
          <w:szCs w:val="22"/>
        </w:rPr>
        <w:t>, a case with one or two issues would require much less work.</w:t>
      </w:r>
      <w:r w:rsidRPr="00E331E2" w:rsidR="008B4679">
        <w:rPr>
          <w:rFonts w:ascii="Arial" w:hAnsi="Arial" w:cs="Arial"/>
          <w:sz w:val="22"/>
          <w:szCs w:val="22"/>
        </w:rPr>
        <w:t xml:space="preserve">  </w:t>
      </w:r>
    </w:p>
    <w:p w:rsidR="000A6293" w:rsidRPr="00E331E2" w:rsidP="003D4237" w14:paraId="0D3AC6AF" w14:textId="77777777">
      <w:pPr>
        <w:tabs>
          <w:tab w:val="left" w:pos="360"/>
          <w:tab w:val="left" w:pos="720"/>
        </w:tabs>
        <w:rPr>
          <w:rFonts w:ascii="Arial" w:hAnsi="Arial" w:cs="Arial"/>
          <w:sz w:val="22"/>
          <w:szCs w:val="22"/>
        </w:rPr>
      </w:pPr>
    </w:p>
    <w:p w:rsidR="000A6293" w:rsidRPr="00E331E2" w:rsidP="003D4237" w14:paraId="22E4DA27" w14:textId="4ED399E5">
      <w:pPr>
        <w:tabs>
          <w:tab w:val="left" w:pos="360"/>
          <w:tab w:val="left" w:pos="720"/>
        </w:tabs>
        <w:rPr>
          <w:rFonts w:ascii="Arial" w:hAnsi="Arial" w:cs="Arial"/>
          <w:sz w:val="22"/>
          <w:szCs w:val="22"/>
        </w:rPr>
      </w:pPr>
      <w:r w:rsidRPr="00E331E2">
        <w:rPr>
          <w:rFonts w:ascii="Arial" w:hAnsi="Arial" w:cs="Arial"/>
          <w:sz w:val="22"/>
          <w:szCs w:val="22"/>
        </w:rPr>
        <w:t xml:space="preserve">Taking these estimates </w:t>
      </w:r>
      <w:r w:rsidRPr="00E331E2">
        <w:rPr>
          <w:rFonts w:ascii="Arial" w:hAnsi="Arial" w:cs="Arial"/>
          <w:sz w:val="22"/>
          <w:szCs w:val="22"/>
        </w:rPr>
        <w:t>together, and</w:t>
      </w:r>
      <w:r w:rsidRPr="00E331E2">
        <w:rPr>
          <w:rFonts w:ascii="Arial" w:hAnsi="Arial" w:cs="Arial"/>
          <w:sz w:val="22"/>
          <w:szCs w:val="22"/>
        </w:rPr>
        <w:t xml:space="preserve"> recognizing that there is a team effort on behalf of a company to prepare such a submission, we have determined that 500 hours is a good estimate to capture the range between the simpler versus the more complex projects.</w:t>
      </w:r>
    </w:p>
    <w:p w:rsidR="000A6293" w:rsidRPr="00E331E2" w:rsidP="003D4237" w14:paraId="4091D4F2" w14:textId="77777777">
      <w:pPr>
        <w:tabs>
          <w:tab w:val="left" w:pos="360"/>
          <w:tab w:val="left" w:pos="720"/>
        </w:tabs>
        <w:rPr>
          <w:rFonts w:ascii="Arial" w:hAnsi="Arial" w:cs="Arial"/>
          <w:sz w:val="22"/>
          <w:szCs w:val="22"/>
        </w:rPr>
      </w:pPr>
    </w:p>
    <w:p w:rsidR="00267AD1" w:rsidRPr="00E331E2" w:rsidP="00267AD1" w14:paraId="35A32C65" w14:textId="77777777">
      <w:pPr>
        <w:tabs>
          <w:tab w:val="left" w:pos="360"/>
          <w:tab w:val="left" w:pos="720"/>
        </w:tabs>
        <w:rPr>
          <w:rFonts w:ascii="Arial" w:hAnsi="Arial" w:cs="Arial"/>
          <w:b/>
          <w:sz w:val="22"/>
          <w:szCs w:val="22"/>
        </w:rPr>
      </w:pPr>
      <w:r w:rsidRPr="00E331E2">
        <w:rPr>
          <w:rFonts w:ascii="Arial" w:hAnsi="Arial" w:cs="Arial"/>
          <w:b/>
          <w:sz w:val="22"/>
          <w:szCs w:val="22"/>
        </w:rPr>
        <w:t>9.</w:t>
      </w:r>
      <w:r w:rsidRPr="00E331E2">
        <w:rPr>
          <w:rFonts w:ascii="Arial" w:hAnsi="Arial" w:cs="Arial"/>
          <w:b/>
          <w:sz w:val="22"/>
          <w:szCs w:val="22"/>
        </w:rPr>
        <w:tab/>
        <w:t>Explain any decision to provide any payment or gift to respondents, other than remuneration of contractors or grantees.</w:t>
      </w:r>
    </w:p>
    <w:p w:rsidR="00295103" w:rsidRPr="00E331E2" w:rsidP="003D4237" w14:paraId="4FEAE86C" w14:textId="77777777">
      <w:pPr>
        <w:tabs>
          <w:tab w:val="left" w:pos="360"/>
          <w:tab w:val="left" w:pos="720"/>
        </w:tabs>
        <w:rPr>
          <w:rFonts w:ascii="Arial" w:hAnsi="Arial" w:cs="Arial"/>
          <w:sz w:val="22"/>
          <w:szCs w:val="22"/>
        </w:rPr>
      </w:pPr>
    </w:p>
    <w:p w:rsidR="000A6293" w:rsidRPr="00E331E2" w:rsidP="003D4237" w14:paraId="01E346E3" w14:textId="77777777">
      <w:pPr>
        <w:tabs>
          <w:tab w:val="left" w:pos="360"/>
          <w:tab w:val="left" w:pos="720"/>
        </w:tabs>
        <w:rPr>
          <w:rFonts w:ascii="Arial" w:hAnsi="Arial" w:cs="Arial"/>
          <w:sz w:val="22"/>
          <w:szCs w:val="22"/>
        </w:rPr>
      </w:pPr>
      <w:r w:rsidRPr="00E331E2">
        <w:rPr>
          <w:rFonts w:ascii="Arial" w:hAnsi="Arial" w:cs="Arial"/>
          <w:sz w:val="22"/>
          <w:szCs w:val="22"/>
        </w:rPr>
        <w:t>No payments or gifts will be provided to respondents.</w:t>
      </w:r>
    </w:p>
    <w:p w:rsidR="000A6293" w:rsidRPr="00E331E2" w:rsidP="003D4237" w14:paraId="0723292B" w14:textId="77777777">
      <w:pPr>
        <w:tabs>
          <w:tab w:val="left" w:pos="360"/>
          <w:tab w:val="left" w:pos="720"/>
        </w:tabs>
        <w:rPr>
          <w:rFonts w:ascii="Arial" w:hAnsi="Arial" w:cs="Arial"/>
          <w:sz w:val="22"/>
          <w:szCs w:val="22"/>
        </w:rPr>
      </w:pPr>
    </w:p>
    <w:p w:rsidR="00267AD1" w:rsidRPr="00E331E2" w:rsidP="00267AD1" w14:paraId="6AEEFAA9" w14:textId="77777777">
      <w:pPr>
        <w:tabs>
          <w:tab w:val="left" w:pos="360"/>
          <w:tab w:val="left" w:pos="720"/>
        </w:tabs>
        <w:rPr>
          <w:rFonts w:ascii="Arial" w:hAnsi="Arial" w:cs="Arial"/>
          <w:b/>
          <w:sz w:val="22"/>
          <w:szCs w:val="22"/>
        </w:rPr>
      </w:pPr>
      <w:r w:rsidRPr="00E331E2">
        <w:rPr>
          <w:rFonts w:ascii="Arial" w:hAnsi="Arial" w:cs="Arial"/>
          <w:b/>
          <w:sz w:val="22"/>
          <w:szCs w:val="22"/>
        </w:rPr>
        <w:t>10.</w:t>
      </w:r>
      <w:r w:rsidRPr="00E331E2">
        <w:rPr>
          <w:rFonts w:ascii="Arial" w:hAnsi="Arial" w:cs="Arial"/>
          <w:b/>
          <w:sz w:val="22"/>
          <w:szCs w:val="22"/>
        </w:rPr>
        <w:tab/>
        <w:t>Describe any assurance of confidentiality provided to respondents and the basis for the assurance in statute, regulation, or agency policy.</w:t>
      </w:r>
    </w:p>
    <w:p w:rsidR="004A6DFA" w:rsidRPr="00E331E2" w:rsidP="003D4237" w14:paraId="6D132463" w14:textId="77777777">
      <w:pPr>
        <w:tabs>
          <w:tab w:val="left" w:pos="360"/>
          <w:tab w:val="left" w:pos="720"/>
        </w:tabs>
        <w:ind w:left="360" w:hanging="360"/>
        <w:rPr>
          <w:rFonts w:ascii="Arial" w:hAnsi="Arial" w:cs="Arial"/>
          <w:sz w:val="22"/>
          <w:szCs w:val="22"/>
        </w:rPr>
      </w:pPr>
    </w:p>
    <w:p w:rsidR="000A6293" w:rsidRPr="00E331E2" w:rsidP="003D4237" w14:paraId="1267D664" w14:textId="77777777">
      <w:pPr>
        <w:tabs>
          <w:tab w:val="left" w:pos="360"/>
          <w:tab w:val="left" w:pos="720"/>
        </w:tabs>
        <w:ind w:left="360" w:hanging="360"/>
        <w:rPr>
          <w:rFonts w:ascii="Arial" w:hAnsi="Arial" w:cs="Arial"/>
          <w:sz w:val="22"/>
          <w:szCs w:val="22"/>
        </w:rPr>
      </w:pPr>
      <w:r w:rsidRPr="00E331E2">
        <w:rPr>
          <w:rFonts w:ascii="Arial" w:hAnsi="Arial" w:cs="Arial"/>
          <w:sz w:val="22"/>
          <w:szCs w:val="22"/>
        </w:rPr>
        <w:t>There is no assurance of confidentiality provided to respondents.</w:t>
      </w:r>
    </w:p>
    <w:p w:rsidR="000A6293" w:rsidRPr="00E331E2" w:rsidP="003D4237" w14:paraId="34986783" w14:textId="77777777">
      <w:pPr>
        <w:tabs>
          <w:tab w:val="left" w:pos="360"/>
          <w:tab w:val="left" w:pos="720"/>
        </w:tabs>
        <w:ind w:left="360" w:hanging="360"/>
        <w:rPr>
          <w:rFonts w:ascii="Arial" w:hAnsi="Arial" w:cs="Arial"/>
          <w:sz w:val="22"/>
          <w:szCs w:val="22"/>
        </w:rPr>
      </w:pPr>
    </w:p>
    <w:p w:rsidR="00267AD1" w:rsidRPr="00E331E2" w:rsidP="00267AD1" w14:paraId="55C7D45F" w14:textId="77777777">
      <w:pPr>
        <w:tabs>
          <w:tab w:val="left" w:pos="360"/>
          <w:tab w:val="left" w:pos="720"/>
        </w:tabs>
        <w:rPr>
          <w:rFonts w:ascii="Arial" w:hAnsi="Arial" w:cs="Arial"/>
          <w:b/>
          <w:sz w:val="22"/>
          <w:szCs w:val="22"/>
        </w:rPr>
      </w:pPr>
      <w:r w:rsidRPr="00E331E2">
        <w:rPr>
          <w:rFonts w:ascii="Arial" w:hAnsi="Arial" w:cs="Arial"/>
          <w:b/>
          <w:sz w:val="22"/>
          <w:szCs w:val="22"/>
        </w:rPr>
        <w:t>11.</w:t>
      </w:r>
      <w:r w:rsidRPr="00E331E2">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E331E2" w:rsidP="003D4237" w14:paraId="6E2B1ACC" w14:textId="77777777">
      <w:pPr>
        <w:tabs>
          <w:tab w:val="left" w:pos="360"/>
          <w:tab w:val="left" w:pos="720"/>
        </w:tabs>
        <w:rPr>
          <w:rFonts w:ascii="Arial" w:hAnsi="Arial" w:cs="Arial"/>
          <w:sz w:val="22"/>
          <w:szCs w:val="22"/>
        </w:rPr>
      </w:pPr>
    </w:p>
    <w:p w:rsidR="000A6293" w:rsidRPr="00E331E2" w:rsidP="003D4237" w14:paraId="06AFFF98" w14:textId="77777777">
      <w:pPr>
        <w:tabs>
          <w:tab w:val="left" w:pos="360"/>
          <w:tab w:val="left" w:pos="720"/>
        </w:tabs>
        <w:rPr>
          <w:rFonts w:ascii="Arial" w:hAnsi="Arial" w:cs="Arial"/>
          <w:sz w:val="22"/>
          <w:szCs w:val="22"/>
        </w:rPr>
      </w:pPr>
      <w:r w:rsidRPr="00E331E2">
        <w:rPr>
          <w:rFonts w:ascii="Arial" w:hAnsi="Arial" w:cs="Arial"/>
          <w:sz w:val="22"/>
          <w:szCs w:val="22"/>
        </w:rPr>
        <w:t>None of the information requested is considered sensitive.</w:t>
      </w:r>
    </w:p>
    <w:p w:rsidR="000A6293" w:rsidRPr="00E331E2" w:rsidP="003D4237" w14:paraId="28ED2AE2" w14:textId="77777777">
      <w:pPr>
        <w:tabs>
          <w:tab w:val="left" w:pos="360"/>
          <w:tab w:val="left" w:pos="720"/>
        </w:tabs>
        <w:rPr>
          <w:rFonts w:ascii="Arial" w:hAnsi="Arial" w:cs="Arial"/>
          <w:sz w:val="22"/>
          <w:szCs w:val="22"/>
        </w:rPr>
      </w:pPr>
    </w:p>
    <w:p w:rsidR="00267AD1" w:rsidRPr="00E331E2" w:rsidP="00267AD1" w14:paraId="2D92F093"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12.</w:t>
      </w:r>
      <w:r w:rsidRPr="00E331E2">
        <w:rPr>
          <w:rFonts w:ascii="Arial" w:hAnsi="Arial" w:cs="Arial"/>
          <w:b/>
          <w:sz w:val="22"/>
          <w:szCs w:val="22"/>
        </w:rPr>
        <w:tab/>
        <w:t>Provide estimates of the hour burden of the collection of information.  The statement should:</w:t>
      </w:r>
    </w:p>
    <w:p w:rsidR="00267AD1" w:rsidRPr="00E331E2" w:rsidP="00267AD1" w14:paraId="79241463"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67AD1" w:rsidRPr="00E331E2" w:rsidP="00267AD1" w14:paraId="782F03C3"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 xml:space="preserve">If this request for approval covers more than one form, provide separate hour burden estimates for each </w:t>
      </w:r>
      <w:r w:rsidRPr="00E331E2">
        <w:rPr>
          <w:rFonts w:ascii="Arial" w:hAnsi="Arial" w:cs="Arial"/>
          <w:b/>
          <w:sz w:val="22"/>
          <w:szCs w:val="22"/>
        </w:rPr>
        <w:t>form</w:t>
      </w:r>
      <w:r w:rsidRPr="00E331E2">
        <w:rPr>
          <w:rFonts w:ascii="Arial" w:hAnsi="Arial" w:cs="Arial"/>
          <w:b/>
          <w:sz w:val="22"/>
          <w:szCs w:val="22"/>
        </w:rPr>
        <w:t xml:space="preserve"> and aggregate the hour burdens.</w:t>
      </w:r>
    </w:p>
    <w:p w:rsidR="00267AD1" w:rsidRPr="00E331E2" w:rsidP="00267AD1" w14:paraId="3EB03BF6"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 xml:space="preserve">Provide estimates of annualized cost to respondents for the hour burdens for collections of information, identifying and using appropriate wage rate categories.  The cost of contracting out or paying outside parties for information collection </w:t>
      </w:r>
      <w:r w:rsidRPr="00E331E2">
        <w:rPr>
          <w:rFonts w:ascii="Arial" w:hAnsi="Arial" w:cs="Arial"/>
          <w:b/>
          <w:sz w:val="22"/>
          <w:szCs w:val="22"/>
        </w:rPr>
        <w:t>activities should not be included here.</w:t>
      </w:r>
    </w:p>
    <w:p w:rsidR="000A6293" w:rsidRPr="00E331E2" w:rsidP="003D4237" w14:paraId="09F92A68" w14:textId="77777777">
      <w:pPr>
        <w:tabs>
          <w:tab w:val="left" w:pos="360"/>
          <w:tab w:val="left" w:pos="720"/>
        </w:tabs>
        <w:ind w:left="720" w:hanging="720"/>
        <w:rPr>
          <w:rFonts w:ascii="Arial" w:hAnsi="Arial" w:cs="Arial"/>
          <w:sz w:val="22"/>
          <w:szCs w:val="22"/>
        </w:rPr>
      </w:pPr>
    </w:p>
    <w:p w:rsidR="006008A7" w:rsidRPr="00E331E2" w:rsidP="006008A7" w14:paraId="36DC89AF" w14:textId="0DC583CF">
      <w:pPr>
        <w:rPr>
          <w:rFonts w:ascii="Arial" w:hAnsi="Arial" w:cs="Arial"/>
          <w:sz w:val="22"/>
          <w:szCs w:val="22"/>
        </w:rPr>
      </w:pPr>
      <w:r w:rsidRPr="00E331E2">
        <w:rPr>
          <w:rFonts w:ascii="Arial" w:hAnsi="Arial" w:cs="Arial"/>
          <w:sz w:val="22"/>
          <w:szCs w:val="22"/>
        </w:rPr>
        <w:t xml:space="preserve">We estimate that we will receive </w:t>
      </w:r>
      <w:r w:rsidRPr="00E331E2">
        <w:rPr>
          <w:rFonts w:ascii="Arial" w:hAnsi="Arial" w:cs="Arial"/>
          <w:b/>
          <w:sz w:val="22"/>
          <w:szCs w:val="22"/>
        </w:rPr>
        <w:t>5 responses</w:t>
      </w:r>
      <w:r w:rsidRPr="00E331E2">
        <w:rPr>
          <w:rFonts w:ascii="Arial" w:hAnsi="Arial" w:cs="Arial"/>
          <w:sz w:val="22"/>
          <w:szCs w:val="22"/>
        </w:rPr>
        <w:t xml:space="preserve"> totaling </w:t>
      </w:r>
      <w:r w:rsidRPr="00E331E2">
        <w:rPr>
          <w:rFonts w:ascii="Arial" w:hAnsi="Arial" w:cs="Arial"/>
          <w:b/>
          <w:sz w:val="22"/>
          <w:szCs w:val="22"/>
        </w:rPr>
        <w:t>2,500 burden hours</w:t>
      </w:r>
      <w:r w:rsidRPr="00E331E2">
        <w:rPr>
          <w:rFonts w:ascii="Arial" w:hAnsi="Arial" w:cs="Arial"/>
          <w:sz w:val="22"/>
          <w:szCs w:val="22"/>
        </w:rPr>
        <w:t xml:space="preserve">.  We estimate the annual dollar value of the burden hours is </w:t>
      </w:r>
      <w:r w:rsidRPr="00553709">
        <w:rPr>
          <w:rFonts w:ascii="Arial" w:hAnsi="Arial" w:cs="Arial"/>
          <w:b/>
          <w:sz w:val="22"/>
          <w:szCs w:val="22"/>
        </w:rPr>
        <w:t>$</w:t>
      </w:r>
      <w:r w:rsidRPr="00553709" w:rsidR="00384F67">
        <w:rPr>
          <w:rFonts w:ascii="Arial" w:hAnsi="Arial" w:cs="Arial"/>
          <w:b/>
          <w:sz w:val="22"/>
          <w:szCs w:val="22"/>
        </w:rPr>
        <w:t>1</w:t>
      </w:r>
      <w:r w:rsidRPr="00553709" w:rsidR="005E696D">
        <w:rPr>
          <w:rFonts w:ascii="Arial" w:hAnsi="Arial" w:cs="Arial"/>
          <w:b/>
          <w:sz w:val="22"/>
          <w:szCs w:val="22"/>
        </w:rPr>
        <w:t>66,325</w:t>
      </w:r>
      <w:r w:rsidRPr="00E331E2">
        <w:rPr>
          <w:rFonts w:ascii="Arial" w:hAnsi="Arial" w:cs="Arial"/>
          <w:sz w:val="22"/>
          <w:szCs w:val="22"/>
        </w:rPr>
        <w:t xml:space="preserve"> (rounded).</w:t>
      </w:r>
    </w:p>
    <w:p w:rsidR="006008A7" w:rsidRPr="00E331E2" w:rsidP="003D4237" w14:paraId="459AD75D" w14:textId="77777777">
      <w:pPr>
        <w:tabs>
          <w:tab w:val="left" w:pos="360"/>
          <w:tab w:val="left" w:pos="720"/>
        </w:tabs>
        <w:rPr>
          <w:rFonts w:ascii="Arial" w:hAnsi="Arial" w:cs="Arial"/>
          <w:sz w:val="22"/>
          <w:szCs w:val="22"/>
        </w:rPr>
      </w:pPr>
    </w:p>
    <w:p w:rsidR="000A6293" w:rsidRPr="00E331E2" w:rsidP="003D4237" w14:paraId="6044EDFD" w14:textId="77777777">
      <w:pPr>
        <w:tabs>
          <w:tab w:val="left" w:pos="360"/>
          <w:tab w:val="left" w:pos="720"/>
        </w:tabs>
        <w:rPr>
          <w:rFonts w:ascii="Arial" w:hAnsi="Arial" w:cs="Arial"/>
          <w:sz w:val="22"/>
          <w:szCs w:val="22"/>
        </w:rPr>
      </w:pPr>
      <w:r w:rsidRPr="00E331E2">
        <w:rPr>
          <w:rFonts w:ascii="Arial" w:hAnsi="Arial" w:cs="Arial"/>
          <w:sz w:val="22"/>
          <w:szCs w:val="22"/>
        </w:rPr>
        <w:t>We polled t</w:t>
      </w:r>
      <w:r w:rsidRPr="00E331E2">
        <w:rPr>
          <w:rFonts w:ascii="Arial" w:hAnsi="Arial" w:cs="Arial"/>
          <w:sz w:val="22"/>
          <w:szCs w:val="22"/>
        </w:rPr>
        <w:t>he three Departments that participate in the review</w:t>
      </w:r>
      <w:r w:rsidRPr="00E331E2">
        <w:rPr>
          <w:rFonts w:ascii="Arial" w:hAnsi="Arial" w:cs="Arial"/>
          <w:sz w:val="22"/>
          <w:szCs w:val="22"/>
        </w:rPr>
        <w:t xml:space="preserve"> (Interior, Commerce, and Agriculture)</w:t>
      </w:r>
      <w:r w:rsidRPr="00E331E2">
        <w:rPr>
          <w:rFonts w:ascii="Arial" w:hAnsi="Arial" w:cs="Arial"/>
          <w:sz w:val="22"/>
          <w:szCs w:val="22"/>
        </w:rPr>
        <w:t xml:space="preserve"> and development of hydropower licensing conditions. </w:t>
      </w:r>
      <w:r w:rsidRPr="00E331E2">
        <w:rPr>
          <w:rFonts w:ascii="Arial" w:hAnsi="Arial" w:cs="Arial"/>
          <w:sz w:val="22"/>
          <w:szCs w:val="22"/>
        </w:rPr>
        <w:t xml:space="preserve"> </w:t>
      </w:r>
      <w:r w:rsidRPr="00E331E2">
        <w:rPr>
          <w:rFonts w:ascii="Arial" w:hAnsi="Arial" w:cs="Arial"/>
          <w:sz w:val="22"/>
          <w:szCs w:val="22"/>
        </w:rPr>
        <w:t xml:space="preserve">The expected annual total for all three agencies combined, based on actual experience and on best predictions going forward, is five (5) per year.    </w:t>
      </w:r>
    </w:p>
    <w:p w:rsidR="000A6293" w:rsidRPr="00E331E2" w:rsidP="003D4237" w14:paraId="4F6AEFA1" w14:textId="77777777">
      <w:pPr>
        <w:tabs>
          <w:tab w:val="left" w:pos="360"/>
          <w:tab w:val="left" w:pos="720"/>
        </w:tabs>
        <w:rPr>
          <w:rFonts w:ascii="Arial" w:hAnsi="Arial" w:cs="Arial"/>
          <w:sz w:val="22"/>
          <w:szCs w:val="22"/>
        </w:rPr>
      </w:pPr>
    </w:p>
    <w:p w:rsidR="000A6293" w:rsidRPr="00E331E2" w:rsidP="003D4237" w14:paraId="5477E2D5" w14:textId="6B0BCC44">
      <w:pPr>
        <w:tabs>
          <w:tab w:val="left" w:pos="360"/>
          <w:tab w:val="left" w:pos="720"/>
        </w:tabs>
        <w:rPr>
          <w:rFonts w:ascii="Arial" w:hAnsi="Arial" w:cs="Arial"/>
          <w:sz w:val="22"/>
          <w:szCs w:val="22"/>
        </w:rPr>
      </w:pPr>
      <w:r w:rsidRPr="00E331E2">
        <w:rPr>
          <w:rFonts w:ascii="Arial" w:hAnsi="Arial" w:cs="Arial"/>
          <w:sz w:val="22"/>
          <w:szCs w:val="22"/>
        </w:rPr>
        <w:t xml:space="preserve">The estimated 500 hours of burden on the public for each such submission was derived by polling </w:t>
      </w:r>
      <w:r w:rsidRPr="00E331E2" w:rsidR="005C6D96">
        <w:rPr>
          <w:rFonts w:ascii="Arial" w:hAnsi="Arial" w:cs="Arial"/>
          <w:sz w:val="22"/>
          <w:szCs w:val="22"/>
        </w:rPr>
        <w:t xml:space="preserve">four </w:t>
      </w:r>
      <w:r w:rsidRPr="00E331E2">
        <w:rPr>
          <w:rFonts w:ascii="Arial" w:hAnsi="Arial" w:cs="Arial"/>
          <w:sz w:val="22"/>
          <w:szCs w:val="22"/>
        </w:rPr>
        <w:t xml:space="preserve">persons who had worked on such submissions and approximating an average of their experienced number of hours.  The amounts varied from a low of </w:t>
      </w:r>
      <w:r w:rsidRPr="00E331E2" w:rsidR="005C6D96">
        <w:rPr>
          <w:rFonts w:ascii="Arial" w:hAnsi="Arial" w:cs="Arial"/>
          <w:sz w:val="22"/>
          <w:szCs w:val="22"/>
        </w:rPr>
        <w:t>100</w:t>
      </w:r>
      <w:r w:rsidRPr="00E331E2">
        <w:rPr>
          <w:rFonts w:ascii="Arial" w:hAnsi="Arial" w:cs="Arial"/>
          <w:sz w:val="22"/>
          <w:szCs w:val="22"/>
        </w:rPr>
        <w:t>-</w:t>
      </w:r>
      <w:r w:rsidRPr="00E331E2" w:rsidR="005C6D96">
        <w:rPr>
          <w:rFonts w:ascii="Arial" w:hAnsi="Arial" w:cs="Arial"/>
          <w:sz w:val="22"/>
          <w:szCs w:val="22"/>
        </w:rPr>
        <w:t xml:space="preserve">115 </w:t>
      </w:r>
      <w:r w:rsidRPr="00E331E2">
        <w:rPr>
          <w:rFonts w:ascii="Arial" w:hAnsi="Arial" w:cs="Arial"/>
          <w:sz w:val="22"/>
          <w:szCs w:val="22"/>
        </w:rPr>
        <w:t xml:space="preserve">hours to a high of 1,000 hours, with an intermediate 500 hours.  The respondents explained that the complexity of the proposed alternative project varied, which is why the times to prepare their submissions varied.  Based on </w:t>
      </w:r>
      <w:r w:rsidRPr="00E331E2">
        <w:rPr>
          <w:rFonts w:ascii="Arial" w:hAnsi="Arial" w:cs="Arial"/>
          <w:sz w:val="22"/>
          <w:szCs w:val="22"/>
        </w:rPr>
        <w:t>all of</w:t>
      </w:r>
      <w:r w:rsidRPr="00E331E2">
        <w:rPr>
          <w:rFonts w:ascii="Arial" w:hAnsi="Arial" w:cs="Arial"/>
          <w:sz w:val="22"/>
          <w:szCs w:val="22"/>
        </w:rPr>
        <w:t xml:space="preserve"> the explanations, it was determined that 500 hours was a reasonable summation of the different levels of experience.</w:t>
      </w:r>
    </w:p>
    <w:p w:rsidR="000A6293" w:rsidRPr="00E331E2" w:rsidP="003D4237" w14:paraId="1645DC13" w14:textId="77777777">
      <w:pPr>
        <w:tabs>
          <w:tab w:val="left" w:pos="360"/>
          <w:tab w:val="left" w:pos="720"/>
        </w:tabs>
        <w:rPr>
          <w:rFonts w:ascii="Arial" w:hAnsi="Arial" w:cs="Arial"/>
          <w:sz w:val="22"/>
          <w:szCs w:val="22"/>
        </w:rPr>
      </w:pPr>
    </w:p>
    <w:p w:rsidR="000A6293" w:rsidRPr="00E331E2" w:rsidP="003D4237" w14:paraId="11187E73" w14:textId="77777777">
      <w:pPr>
        <w:tabs>
          <w:tab w:val="left" w:pos="360"/>
          <w:tab w:val="left" w:pos="720"/>
        </w:tabs>
        <w:rPr>
          <w:rFonts w:ascii="Arial" w:hAnsi="Arial" w:cs="Arial"/>
          <w:sz w:val="22"/>
          <w:szCs w:val="22"/>
        </w:rPr>
      </w:pPr>
      <w:r w:rsidRPr="00E331E2">
        <w:rPr>
          <w:rFonts w:ascii="Arial" w:hAnsi="Arial" w:cs="Arial"/>
          <w:sz w:val="22"/>
          <w:szCs w:val="22"/>
        </w:rPr>
        <w:t xml:space="preserve">Since there are an estimated 5 collections per year, that yields an hour burden to the public of an estimated 2,500 hours.  </w:t>
      </w:r>
    </w:p>
    <w:p w:rsidR="000A6293" w:rsidRPr="00E331E2" w:rsidP="003D4237" w14:paraId="73B7C86F" w14:textId="77777777">
      <w:pPr>
        <w:tabs>
          <w:tab w:val="left" w:pos="360"/>
          <w:tab w:val="left" w:pos="720"/>
        </w:tabs>
        <w:ind w:left="720" w:hanging="720"/>
        <w:rPr>
          <w:rFonts w:ascii="Arial" w:hAnsi="Arial" w:cs="Arial"/>
          <w:sz w:val="22"/>
          <w:szCs w:val="22"/>
        </w:rPr>
      </w:pPr>
    </w:p>
    <w:p w:rsidR="00295103" w:rsidRPr="00E331E2" w:rsidP="003D4237" w14:paraId="6C912F2D" w14:textId="77777777">
      <w:pPr>
        <w:tabs>
          <w:tab w:val="left" w:pos="360"/>
          <w:tab w:val="left" w:pos="720"/>
        </w:tabs>
        <w:ind w:left="720" w:hanging="720"/>
        <w:rPr>
          <w:rFonts w:ascii="Arial" w:hAnsi="Arial" w:cs="Arial"/>
          <w:sz w:val="22"/>
          <w:szCs w:val="22"/>
        </w:rPr>
      </w:pPr>
      <w:r w:rsidRPr="00E331E2">
        <w:rPr>
          <w:rFonts w:ascii="Arial" w:hAnsi="Arial" w:cs="Arial"/>
          <w:sz w:val="22"/>
          <w:szCs w:val="22"/>
        </w:rPr>
        <w:tab/>
        <w:t>*</w:t>
      </w:r>
      <w:r w:rsidRPr="00E331E2">
        <w:rPr>
          <w:rFonts w:ascii="Arial" w:hAnsi="Arial" w:cs="Arial"/>
          <w:sz w:val="22"/>
          <w:szCs w:val="22"/>
        </w:rPr>
        <w:tab/>
        <w:t xml:space="preserve">If this request for approval covers more than one form, provide separate hour burden estimates for each </w:t>
      </w:r>
      <w:r w:rsidRPr="00E331E2">
        <w:rPr>
          <w:rFonts w:ascii="Arial" w:hAnsi="Arial" w:cs="Arial"/>
          <w:sz w:val="22"/>
          <w:szCs w:val="22"/>
        </w:rPr>
        <w:t>form</w:t>
      </w:r>
      <w:r w:rsidRPr="00E331E2">
        <w:rPr>
          <w:rFonts w:ascii="Arial" w:hAnsi="Arial" w:cs="Arial"/>
          <w:sz w:val="22"/>
          <w:szCs w:val="22"/>
        </w:rPr>
        <w:t xml:space="preserve"> and aggregate the hour burdens.</w:t>
      </w:r>
    </w:p>
    <w:p w:rsidR="00295103" w:rsidRPr="00E331E2" w:rsidP="003D4237" w14:paraId="18CBBE12" w14:textId="77777777">
      <w:pPr>
        <w:tabs>
          <w:tab w:val="left" w:pos="360"/>
          <w:tab w:val="left" w:pos="720"/>
        </w:tabs>
        <w:ind w:left="720" w:hanging="720"/>
        <w:rPr>
          <w:rFonts w:ascii="Arial" w:hAnsi="Arial" w:cs="Arial"/>
          <w:sz w:val="22"/>
          <w:szCs w:val="22"/>
        </w:rPr>
      </w:pPr>
      <w:r w:rsidRPr="00E331E2">
        <w:rPr>
          <w:rFonts w:ascii="Arial" w:hAnsi="Arial" w:cs="Arial"/>
          <w:sz w:val="22"/>
          <w:szCs w:val="22"/>
        </w:rPr>
        <w:tab/>
        <w:t>*</w:t>
      </w:r>
      <w:r w:rsidRPr="00E331E2">
        <w:rPr>
          <w:rFonts w:ascii="Arial" w:hAnsi="Arial" w:cs="Arial"/>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331E2" w:rsidR="00DE7630">
        <w:rPr>
          <w:rFonts w:ascii="Arial" w:hAnsi="Arial" w:cs="Arial"/>
          <w:sz w:val="22"/>
          <w:szCs w:val="22"/>
        </w:rPr>
        <w:t>.</w:t>
      </w:r>
    </w:p>
    <w:p w:rsidR="00295103" w:rsidRPr="00E331E2" w:rsidP="003D4237" w14:paraId="5B478198" w14:textId="77777777">
      <w:pPr>
        <w:tabs>
          <w:tab w:val="left" w:pos="360"/>
          <w:tab w:val="left" w:pos="720"/>
        </w:tabs>
        <w:rPr>
          <w:rFonts w:ascii="Arial" w:hAnsi="Arial" w:cs="Arial"/>
          <w:sz w:val="22"/>
          <w:szCs w:val="22"/>
        </w:rPr>
      </w:pPr>
    </w:p>
    <w:p w:rsidR="000A6293" w:rsidRPr="00E331E2" w:rsidP="003D4237" w14:paraId="614381E1" w14:textId="2DFC1836">
      <w:pPr>
        <w:tabs>
          <w:tab w:val="left" w:pos="360"/>
          <w:tab w:val="left" w:pos="720"/>
        </w:tabs>
        <w:rPr>
          <w:rFonts w:ascii="Arial" w:hAnsi="Arial" w:cs="Arial"/>
          <w:sz w:val="22"/>
          <w:szCs w:val="22"/>
        </w:rPr>
      </w:pPr>
      <w:r w:rsidRPr="00E331E2">
        <w:rPr>
          <w:rFonts w:ascii="Arial" w:hAnsi="Arial" w:cs="Arial"/>
          <w:sz w:val="22"/>
          <w:szCs w:val="22"/>
        </w:rPr>
        <w:t xml:space="preserve">We used Bureau of Labor Statistics </w:t>
      </w:r>
      <w:r w:rsidRPr="00E331E2" w:rsidR="00384F67">
        <w:rPr>
          <w:rFonts w:ascii="Arial" w:hAnsi="Arial" w:cs="Arial"/>
          <w:sz w:val="22"/>
          <w:szCs w:val="22"/>
        </w:rPr>
        <w:t xml:space="preserve">(BLS) </w:t>
      </w:r>
      <w:r w:rsidRPr="00E331E2">
        <w:rPr>
          <w:rFonts w:ascii="Arial" w:hAnsi="Arial" w:cs="Arial"/>
          <w:sz w:val="22"/>
          <w:szCs w:val="22"/>
        </w:rPr>
        <w:t>Occupational Employment and Wages (May 20</w:t>
      </w:r>
      <w:r w:rsidR="008377E9">
        <w:rPr>
          <w:rFonts w:ascii="Arial" w:hAnsi="Arial" w:cs="Arial"/>
          <w:sz w:val="22"/>
          <w:szCs w:val="22"/>
        </w:rPr>
        <w:t>2</w:t>
      </w:r>
      <w:r w:rsidR="00724B59">
        <w:rPr>
          <w:rFonts w:ascii="Arial" w:hAnsi="Arial" w:cs="Arial"/>
          <w:sz w:val="22"/>
          <w:szCs w:val="22"/>
        </w:rPr>
        <w:t>3</w:t>
      </w:r>
      <w:r w:rsidRPr="00E331E2">
        <w:rPr>
          <w:rFonts w:ascii="Arial" w:hAnsi="Arial" w:cs="Arial"/>
          <w:sz w:val="22"/>
          <w:szCs w:val="22"/>
        </w:rPr>
        <w:t>) to obtain the National Industry-Specific Occupational Employment and Wage Estimates for NAICS 17-2051, “</w:t>
      </w:r>
      <w:hyperlink r:id="rId5" w:history="1">
        <w:r w:rsidRPr="00E331E2">
          <w:rPr>
            <w:rStyle w:val="Hyperlink"/>
            <w:rFonts w:ascii="Arial" w:hAnsi="Arial" w:cs="Arial"/>
            <w:sz w:val="22"/>
            <w:szCs w:val="22"/>
          </w:rPr>
          <w:t>Civil Engineers</w:t>
        </w:r>
      </w:hyperlink>
      <w:r w:rsidRPr="00E331E2">
        <w:rPr>
          <w:rFonts w:ascii="Arial" w:hAnsi="Arial" w:cs="Arial"/>
          <w:sz w:val="22"/>
          <w:szCs w:val="22"/>
        </w:rPr>
        <w:t>” which lists a mean hourly wage rate as $4</w:t>
      </w:r>
      <w:r w:rsidR="009F23EA">
        <w:rPr>
          <w:rFonts w:ascii="Arial" w:hAnsi="Arial" w:cs="Arial"/>
          <w:sz w:val="22"/>
          <w:szCs w:val="22"/>
        </w:rPr>
        <w:t>8.64</w:t>
      </w:r>
      <w:r w:rsidRPr="00E331E2">
        <w:rPr>
          <w:rFonts w:ascii="Arial" w:hAnsi="Arial" w:cs="Arial"/>
          <w:sz w:val="22"/>
          <w:szCs w:val="22"/>
        </w:rPr>
        <w:t xml:space="preserve">.  </w:t>
      </w:r>
      <w:r w:rsidRPr="00E331E2" w:rsidR="00384F67">
        <w:rPr>
          <w:rFonts w:ascii="Arial" w:hAnsi="Arial" w:cs="Arial"/>
          <w:sz w:val="22"/>
          <w:szCs w:val="22"/>
        </w:rPr>
        <w:t xml:space="preserve">In </w:t>
      </w:r>
      <w:bookmarkStart w:id="8" w:name="_Hlk71640794"/>
      <w:r w:rsidRPr="00E331E2" w:rsidR="00384F67">
        <w:rPr>
          <w:rFonts w:ascii="Arial" w:hAnsi="Arial" w:cs="Arial"/>
          <w:sz w:val="22"/>
          <w:szCs w:val="22"/>
        </w:rPr>
        <w:t>accordance with BLS News Relea</w:t>
      </w:r>
      <w:r w:rsidR="00B064E5">
        <w:rPr>
          <w:rFonts w:ascii="Arial" w:hAnsi="Arial" w:cs="Arial"/>
          <w:sz w:val="22"/>
          <w:szCs w:val="22"/>
        </w:rPr>
        <w:t>se</w:t>
      </w:r>
      <w:r w:rsidR="00486F29">
        <w:rPr>
          <w:rFonts w:ascii="Arial" w:hAnsi="Arial" w:cs="Arial"/>
          <w:sz w:val="22"/>
          <w:szCs w:val="22"/>
        </w:rPr>
        <w:t xml:space="preserve"> </w:t>
      </w:r>
      <w:hyperlink r:id="rId6" w:history="1">
        <w:r w:rsidRPr="00C118D7" w:rsidR="004D10B1">
          <w:rPr>
            <w:rStyle w:val="Hyperlink"/>
            <w:rFonts w:ascii="Arial" w:hAnsi="Arial" w:cs="Arial"/>
            <w:sz w:val="22"/>
            <w:szCs w:val="22"/>
          </w:rPr>
          <w:t>https://www.bls.gov/news.release/ecec.t01.htm</w:t>
        </w:r>
      </w:hyperlink>
      <w:r w:rsidR="004D10B1">
        <w:rPr>
          <w:rFonts w:ascii="Arial" w:hAnsi="Arial" w:cs="Arial"/>
          <w:sz w:val="22"/>
          <w:szCs w:val="22"/>
        </w:rPr>
        <w:t xml:space="preserve"> </w:t>
      </w:r>
      <w:r w:rsidRPr="00E331E2" w:rsidR="00384F67">
        <w:rPr>
          <w:rFonts w:ascii="Arial" w:hAnsi="Arial" w:cs="Arial"/>
          <w:sz w:val="22"/>
          <w:szCs w:val="22"/>
        </w:rPr>
        <w:t xml:space="preserve">dated </w:t>
      </w:r>
      <w:r w:rsidR="00486F29">
        <w:rPr>
          <w:rFonts w:ascii="Arial" w:hAnsi="Arial" w:cs="Arial"/>
          <w:sz w:val="22"/>
          <w:szCs w:val="22"/>
        </w:rPr>
        <w:t>March 202</w:t>
      </w:r>
      <w:r w:rsidR="00DD1D5E">
        <w:rPr>
          <w:rFonts w:ascii="Arial" w:hAnsi="Arial" w:cs="Arial"/>
          <w:sz w:val="22"/>
          <w:szCs w:val="22"/>
        </w:rPr>
        <w:t>4</w:t>
      </w:r>
      <w:bookmarkEnd w:id="8"/>
      <w:r w:rsidRPr="00E331E2" w:rsidR="00384F67">
        <w:rPr>
          <w:rFonts w:ascii="Arial" w:hAnsi="Arial" w:cs="Arial"/>
          <w:sz w:val="22"/>
          <w:szCs w:val="22"/>
        </w:rPr>
        <w:t xml:space="preserve">, we multiplied this rate by </w:t>
      </w:r>
      <w:r w:rsidR="006C61E4">
        <w:rPr>
          <w:rFonts w:ascii="Arial" w:hAnsi="Arial" w:cs="Arial"/>
          <w:sz w:val="22"/>
          <w:szCs w:val="22"/>
        </w:rPr>
        <w:t>1</w:t>
      </w:r>
      <w:r w:rsidR="00A53F7D">
        <w:rPr>
          <w:rFonts w:ascii="Arial" w:hAnsi="Arial" w:cs="Arial"/>
          <w:sz w:val="22"/>
          <w:szCs w:val="22"/>
        </w:rPr>
        <w:t>.</w:t>
      </w:r>
      <w:r w:rsidR="006C61E4">
        <w:rPr>
          <w:rFonts w:ascii="Arial" w:hAnsi="Arial" w:cs="Arial"/>
          <w:sz w:val="22"/>
          <w:szCs w:val="22"/>
        </w:rPr>
        <w:t>42</w:t>
      </w:r>
      <w:r w:rsidRPr="00E331E2" w:rsidR="00384F67">
        <w:rPr>
          <w:rFonts w:ascii="Arial" w:hAnsi="Arial" w:cs="Arial"/>
          <w:sz w:val="22"/>
          <w:szCs w:val="22"/>
        </w:rPr>
        <w:t xml:space="preserve"> to obtain a fully burdened hourly rate of $</w:t>
      </w:r>
      <w:r w:rsidR="006C61E4">
        <w:rPr>
          <w:rFonts w:ascii="Arial" w:hAnsi="Arial" w:cs="Arial"/>
          <w:sz w:val="22"/>
          <w:szCs w:val="22"/>
        </w:rPr>
        <w:t>69.</w:t>
      </w:r>
      <w:r w:rsidR="00BC352B">
        <w:rPr>
          <w:rFonts w:ascii="Arial" w:hAnsi="Arial" w:cs="Arial"/>
          <w:sz w:val="22"/>
          <w:szCs w:val="22"/>
        </w:rPr>
        <w:t>07</w:t>
      </w:r>
      <w:r w:rsidR="00F734ED">
        <w:rPr>
          <w:rFonts w:ascii="Arial" w:hAnsi="Arial" w:cs="Arial"/>
          <w:sz w:val="22"/>
          <w:szCs w:val="22"/>
        </w:rPr>
        <w:t>.</w:t>
      </w:r>
      <w:r w:rsidRPr="00E331E2">
        <w:rPr>
          <w:rFonts w:ascii="Arial" w:hAnsi="Arial" w:cs="Arial"/>
          <w:sz w:val="22"/>
          <w:szCs w:val="22"/>
        </w:rPr>
        <w:t xml:space="preserve"> This hourly rate, multiplied by the total number of </w:t>
      </w:r>
      <w:r w:rsidRPr="00553709">
        <w:rPr>
          <w:rFonts w:ascii="Arial" w:hAnsi="Arial" w:cs="Arial"/>
          <w:sz w:val="22"/>
          <w:szCs w:val="22"/>
        </w:rPr>
        <w:t xml:space="preserve">2,500 hours (500 hours </w:t>
      </w:r>
      <w:r w:rsidRPr="00553709" w:rsidR="00384F67">
        <w:rPr>
          <w:rFonts w:ascii="Arial" w:hAnsi="Arial" w:cs="Arial"/>
          <w:sz w:val="22"/>
          <w:szCs w:val="22"/>
        </w:rPr>
        <w:t>x</w:t>
      </w:r>
      <w:r w:rsidRPr="00553709">
        <w:rPr>
          <w:rFonts w:ascii="Arial" w:hAnsi="Arial" w:cs="Arial"/>
          <w:sz w:val="22"/>
          <w:szCs w:val="22"/>
        </w:rPr>
        <w:t xml:space="preserve"> estimated 5</w:t>
      </w:r>
      <w:r w:rsidRPr="00E331E2">
        <w:rPr>
          <w:rFonts w:ascii="Arial" w:hAnsi="Arial" w:cs="Arial"/>
          <w:sz w:val="22"/>
          <w:szCs w:val="22"/>
        </w:rPr>
        <w:t xml:space="preserve"> annual submissions) </w:t>
      </w:r>
      <w:r w:rsidRPr="00E331E2" w:rsidR="00726432">
        <w:rPr>
          <w:rFonts w:ascii="Arial" w:hAnsi="Arial" w:cs="Arial"/>
          <w:sz w:val="22"/>
          <w:szCs w:val="22"/>
        </w:rPr>
        <w:t>yields a total burden of $</w:t>
      </w:r>
      <w:r w:rsidR="00F734ED">
        <w:rPr>
          <w:rFonts w:ascii="Arial" w:hAnsi="Arial" w:cs="Arial"/>
          <w:sz w:val="22"/>
          <w:szCs w:val="22"/>
        </w:rPr>
        <w:t>172,</w:t>
      </w:r>
      <w:r w:rsidR="00555892">
        <w:rPr>
          <w:rFonts w:ascii="Arial" w:hAnsi="Arial" w:cs="Arial"/>
          <w:sz w:val="22"/>
          <w:szCs w:val="22"/>
        </w:rPr>
        <w:t>6</w:t>
      </w:r>
      <w:r w:rsidR="00F734ED">
        <w:rPr>
          <w:rFonts w:ascii="Arial" w:hAnsi="Arial" w:cs="Arial"/>
          <w:sz w:val="22"/>
          <w:szCs w:val="22"/>
        </w:rPr>
        <w:t>72</w:t>
      </w:r>
      <w:r w:rsidRPr="00E331E2">
        <w:rPr>
          <w:rFonts w:ascii="Arial" w:hAnsi="Arial" w:cs="Arial"/>
          <w:sz w:val="22"/>
          <w:szCs w:val="22"/>
        </w:rPr>
        <w:t>.</w:t>
      </w:r>
    </w:p>
    <w:p w:rsidR="000A6293" w:rsidRPr="00E331E2" w:rsidP="003D4237" w14:paraId="75DA7086" w14:textId="77777777">
      <w:pPr>
        <w:tabs>
          <w:tab w:val="left" w:pos="360"/>
          <w:tab w:val="left" w:pos="720"/>
        </w:tabs>
        <w:rPr>
          <w:rFonts w:ascii="Arial" w:hAnsi="Arial" w:cs="Arial"/>
          <w:sz w:val="22"/>
          <w:szCs w:val="22"/>
        </w:rPr>
      </w:pPr>
    </w:p>
    <w:p w:rsidR="00267AD1" w:rsidRPr="00E331E2" w:rsidP="00092F6F" w14:paraId="581BB213" w14:textId="77777777">
      <w:pPr>
        <w:tabs>
          <w:tab w:val="left" w:pos="360"/>
          <w:tab w:val="left" w:pos="720"/>
        </w:tabs>
        <w:ind w:left="360" w:hanging="360"/>
        <w:rPr>
          <w:rFonts w:ascii="Arial" w:hAnsi="Arial" w:cs="Arial"/>
          <w:b/>
          <w:sz w:val="22"/>
          <w:szCs w:val="22"/>
        </w:rPr>
      </w:pPr>
      <w:r w:rsidRPr="00E331E2">
        <w:rPr>
          <w:rFonts w:ascii="Arial" w:hAnsi="Arial" w:cs="Arial"/>
          <w:b/>
          <w:sz w:val="22"/>
          <w:szCs w:val="22"/>
        </w:rPr>
        <w:t>13.</w:t>
      </w:r>
      <w:r w:rsidRPr="00E331E2">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267AD1" w:rsidRPr="00E331E2" w:rsidP="00092F6F" w14:paraId="398B643C" w14:textId="77777777">
      <w:pPr>
        <w:tabs>
          <w:tab w:val="left" w:pos="360"/>
          <w:tab w:val="left" w:pos="720"/>
        </w:tabs>
        <w:ind w:left="360" w:hanging="36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E331E2">
        <w:rPr>
          <w:rFonts w:ascii="Arial" w:hAnsi="Arial" w:cs="Arial"/>
          <w:b/>
          <w:sz w:val="22"/>
          <w:szCs w:val="22"/>
        </w:rPr>
        <w:t>take into account</w:t>
      </w:r>
      <w:r w:rsidRPr="00E331E2">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E331E2">
        <w:rPr>
          <w:rFonts w:ascii="Arial" w:hAnsi="Arial" w:cs="Arial"/>
          <w:b/>
          <w:sz w:val="22"/>
          <w:szCs w:val="22"/>
        </w:rPr>
        <w:t>time period</w:t>
      </w:r>
      <w:r w:rsidRPr="00E331E2">
        <w:rPr>
          <w:rFonts w:ascii="Arial" w:hAnsi="Arial" w:cs="Arial"/>
          <w:b/>
          <w:sz w:val="22"/>
          <w:szCs w:val="22"/>
        </w:rPr>
        <w:t xml:space="preserve"> over which costs will be incurred.  Capital and start-up costs include, among other items, preparations for collecting information such as purchasing computers and software; monitoring, sampling, </w:t>
      </w:r>
      <w:r w:rsidRPr="00E331E2">
        <w:rPr>
          <w:rFonts w:ascii="Arial" w:hAnsi="Arial" w:cs="Arial"/>
          <w:b/>
          <w:sz w:val="22"/>
          <w:szCs w:val="22"/>
        </w:rPr>
        <w:t>drilling</w:t>
      </w:r>
      <w:r w:rsidRPr="00E331E2">
        <w:rPr>
          <w:rFonts w:ascii="Arial" w:hAnsi="Arial" w:cs="Arial"/>
          <w:b/>
          <w:sz w:val="22"/>
          <w:szCs w:val="22"/>
        </w:rPr>
        <w:t xml:space="preserve"> and testing equipment; and record storage facilities.</w:t>
      </w:r>
    </w:p>
    <w:p w:rsidR="00267AD1" w:rsidRPr="00E331E2" w:rsidP="00092F6F" w14:paraId="339129C4" w14:textId="77777777">
      <w:pPr>
        <w:tabs>
          <w:tab w:val="left" w:pos="360"/>
          <w:tab w:val="left" w:pos="720"/>
        </w:tabs>
        <w:ind w:left="360" w:hanging="36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 xml:space="preserve">If cost estimates are expected to vary widely, agencies should present ranges of </w:t>
      </w:r>
      <w:r w:rsidRPr="00E331E2">
        <w:rPr>
          <w:rFonts w:ascii="Arial" w:hAnsi="Arial" w:cs="Arial"/>
          <w:b/>
          <w:sz w:val="22"/>
          <w:szCs w:val="22"/>
        </w:rPr>
        <w:t xml:space="preserve">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E331E2">
        <w:rPr>
          <w:rFonts w:ascii="Arial" w:hAnsi="Arial" w:cs="Arial"/>
          <w:b/>
          <w:sz w:val="22"/>
          <w:szCs w:val="22"/>
        </w:rPr>
        <w:t>process</w:t>
      </w:r>
      <w:r w:rsidRPr="00E331E2">
        <w:rPr>
          <w:rFonts w:ascii="Arial" w:hAnsi="Arial" w:cs="Arial"/>
          <w:b/>
          <w:sz w:val="22"/>
          <w:szCs w:val="22"/>
        </w:rPr>
        <w:t xml:space="preserve"> and use existing economic or regulatory impact analysis associated with the rulemaking containing the information collection, as appropriate.</w:t>
      </w:r>
    </w:p>
    <w:p w:rsidR="00267AD1" w:rsidRPr="00E331E2" w:rsidP="00092F6F" w14:paraId="62FC011E" w14:textId="77777777">
      <w:pPr>
        <w:tabs>
          <w:tab w:val="left" w:pos="360"/>
          <w:tab w:val="left" w:pos="720"/>
        </w:tabs>
        <w:ind w:left="360" w:hanging="36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A6293" w:rsidRPr="00E331E2" w:rsidP="003D4237" w14:paraId="78C3CF96" w14:textId="77777777">
      <w:pPr>
        <w:tabs>
          <w:tab w:val="left" w:pos="360"/>
          <w:tab w:val="left" w:pos="720"/>
        </w:tabs>
        <w:ind w:left="720" w:hanging="360"/>
        <w:rPr>
          <w:rFonts w:ascii="Arial" w:hAnsi="Arial" w:cs="Arial"/>
          <w:sz w:val="22"/>
          <w:szCs w:val="22"/>
        </w:rPr>
      </w:pPr>
    </w:p>
    <w:p w:rsidR="00295103" w:rsidRPr="00E331E2" w:rsidP="00545457" w14:paraId="0AFF98B8" w14:textId="77777777">
      <w:pPr>
        <w:tabs>
          <w:tab w:val="left" w:pos="360"/>
          <w:tab w:val="left" w:pos="720"/>
        </w:tabs>
        <w:rPr>
          <w:rFonts w:ascii="Arial" w:hAnsi="Arial" w:cs="Arial"/>
          <w:sz w:val="22"/>
          <w:szCs w:val="22"/>
        </w:rPr>
      </w:pPr>
      <w:r w:rsidRPr="00E331E2">
        <w:rPr>
          <w:rFonts w:ascii="Arial" w:hAnsi="Arial" w:cs="Arial"/>
          <w:sz w:val="22"/>
          <w:szCs w:val="22"/>
        </w:rPr>
        <w:t xml:space="preserve">Not applicable. </w:t>
      </w:r>
      <w:r w:rsidRPr="00E331E2" w:rsidR="00545457">
        <w:rPr>
          <w:rFonts w:ascii="Arial" w:hAnsi="Arial" w:cs="Arial"/>
          <w:sz w:val="22"/>
          <w:szCs w:val="22"/>
        </w:rPr>
        <w:t xml:space="preserve"> </w:t>
      </w:r>
      <w:r w:rsidRPr="00E331E2" w:rsidR="000A6293">
        <w:rPr>
          <w:rFonts w:ascii="Arial" w:hAnsi="Arial" w:cs="Arial"/>
          <w:sz w:val="22"/>
          <w:szCs w:val="22"/>
        </w:rPr>
        <w:t>We have identified no reporting or recordkeeping “non-hour” cost burdens for this collection of information.</w:t>
      </w:r>
    </w:p>
    <w:p w:rsidR="00295103" w:rsidRPr="00E331E2" w:rsidP="003D4237" w14:paraId="0A927BA0" w14:textId="77777777">
      <w:pPr>
        <w:tabs>
          <w:tab w:val="left" w:pos="360"/>
          <w:tab w:val="left" w:pos="720"/>
        </w:tabs>
        <w:rPr>
          <w:rFonts w:ascii="Arial" w:hAnsi="Arial" w:cs="Arial"/>
          <w:sz w:val="22"/>
          <w:szCs w:val="22"/>
        </w:rPr>
      </w:pPr>
    </w:p>
    <w:p w:rsidR="00267AD1" w:rsidRPr="00E331E2" w:rsidP="00267AD1" w14:paraId="309D661E" w14:textId="77777777">
      <w:pPr>
        <w:tabs>
          <w:tab w:val="left" w:pos="360"/>
          <w:tab w:val="left" w:pos="720"/>
        </w:tabs>
        <w:rPr>
          <w:rFonts w:ascii="Arial" w:hAnsi="Arial" w:cs="Arial"/>
          <w:b/>
          <w:sz w:val="22"/>
          <w:szCs w:val="22"/>
        </w:rPr>
      </w:pPr>
      <w:r w:rsidRPr="00E331E2">
        <w:rPr>
          <w:rFonts w:ascii="Arial" w:hAnsi="Arial" w:cs="Arial"/>
          <w:b/>
          <w:sz w:val="22"/>
          <w:szCs w:val="22"/>
        </w:rPr>
        <w:t>14.</w:t>
      </w:r>
      <w:r w:rsidRPr="00E331E2">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0758B" w:rsidRPr="00E331E2" w:rsidP="003D4237" w14:paraId="21636132" w14:textId="77777777">
      <w:pPr>
        <w:tabs>
          <w:tab w:val="left" w:pos="360"/>
          <w:tab w:val="left" w:pos="720"/>
        </w:tabs>
        <w:ind w:left="360" w:hanging="360"/>
        <w:rPr>
          <w:rFonts w:ascii="Arial" w:hAnsi="Arial" w:cs="Arial"/>
          <w:sz w:val="22"/>
          <w:szCs w:val="22"/>
        </w:rPr>
      </w:pPr>
    </w:p>
    <w:p w:rsidR="00A00D25" w:rsidRPr="00E331E2" w:rsidP="003D4237" w14:paraId="7C947BE6" w14:textId="400874BB">
      <w:pPr>
        <w:tabs>
          <w:tab w:val="left" w:pos="360"/>
          <w:tab w:val="left" w:pos="720"/>
        </w:tabs>
        <w:rPr>
          <w:rFonts w:ascii="Arial" w:hAnsi="Arial" w:cs="Arial"/>
          <w:sz w:val="22"/>
          <w:szCs w:val="22"/>
        </w:rPr>
      </w:pPr>
      <w:r w:rsidRPr="00E331E2">
        <w:rPr>
          <w:rFonts w:ascii="Arial" w:hAnsi="Arial" w:cs="Arial"/>
          <w:sz w:val="22"/>
          <w:szCs w:val="22"/>
        </w:rPr>
        <w:t xml:space="preserve">We estimate the annual cost to the Federal government to be </w:t>
      </w:r>
      <w:r w:rsidRPr="00E331E2">
        <w:rPr>
          <w:rFonts w:ascii="Arial" w:hAnsi="Arial" w:cs="Arial"/>
          <w:b/>
          <w:sz w:val="22"/>
          <w:szCs w:val="22"/>
        </w:rPr>
        <w:t>$</w:t>
      </w:r>
      <w:r w:rsidR="00937283">
        <w:rPr>
          <w:rFonts w:ascii="Arial" w:hAnsi="Arial" w:cs="Arial"/>
          <w:b/>
          <w:sz w:val="22"/>
          <w:szCs w:val="22"/>
        </w:rPr>
        <w:t>8</w:t>
      </w:r>
      <w:r w:rsidR="004F46E5">
        <w:rPr>
          <w:rFonts w:ascii="Arial" w:hAnsi="Arial" w:cs="Arial"/>
          <w:b/>
          <w:sz w:val="22"/>
          <w:szCs w:val="22"/>
        </w:rPr>
        <w:t>7</w:t>
      </w:r>
      <w:r w:rsidR="00937283">
        <w:rPr>
          <w:rFonts w:ascii="Arial" w:hAnsi="Arial" w:cs="Arial"/>
          <w:b/>
          <w:sz w:val="22"/>
          <w:szCs w:val="22"/>
        </w:rPr>
        <w:t>,</w:t>
      </w:r>
      <w:r w:rsidR="001D6A2F">
        <w:rPr>
          <w:rFonts w:ascii="Arial" w:hAnsi="Arial" w:cs="Arial"/>
          <w:b/>
          <w:sz w:val="22"/>
          <w:szCs w:val="22"/>
        </w:rPr>
        <w:t>163</w:t>
      </w:r>
      <w:r w:rsidRPr="00E331E2">
        <w:rPr>
          <w:rFonts w:ascii="Arial" w:hAnsi="Arial" w:cs="Arial"/>
          <w:sz w:val="22"/>
          <w:szCs w:val="22"/>
        </w:rPr>
        <w:t xml:space="preserve"> (rounded).  </w:t>
      </w:r>
    </w:p>
    <w:p w:rsidR="00A00D25" w:rsidRPr="00E331E2" w:rsidP="003D4237" w14:paraId="6762245B" w14:textId="77777777">
      <w:pPr>
        <w:tabs>
          <w:tab w:val="left" w:pos="360"/>
          <w:tab w:val="left" w:pos="720"/>
        </w:tabs>
        <w:rPr>
          <w:rFonts w:ascii="Arial" w:hAnsi="Arial" w:cs="Arial"/>
          <w:sz w:val="22"/>
          <w:szCs w:val="22"/>
        </w:rPr>
      </w:pPr>
    </w:p>
    <w:p w:rsidR="00A00D25" w:rsidRPr="00E331E2" w:rsidP="003D4237" w14:paraId="3B19B65D" w14:textId="42019B04">
      <w:pPr>
        <w:tabs>
          <w:tab w:val="left" w:pos="360"/>
          <w:tab w:val="left" w:pos="720"/>
        </w:tabs>
        <w:rPr>
          <w:rFonts w:ascii="Arial" w:hAnsi="Arial" w:cs="Arial"/>
          <w:sz w:val="22"/>
          <w:szCs w:val="22"/>
        </w:rPr>
      </w:pPr>
      <w:r w:rsidRPr="00E331E2">
        <w:rPr>
          <w:rFonts w:ascii="Arial" w:hAnsi="Arial" w:cs="Arial"/>
          <w:sz w:val="22"/>
          <w:szCs w:val="22"/>
        </w:rPr>
        <w:t xml:space="preserve">We used the Office of Personnel Management Salary Table </w:t>
      </w:r>
      <w:hyperlink r:id="rId7" w:history="1">
        <w:r w:rsidRPr="00C118D7" w:rsidR="00F46D81">
          <w:rPr>
            <w:rStyle w:val="Hyperlink"/>
            <w:rFonts w:ascii="Arial" w:hAnsi="Arial" w:cs="Arial"/>
            <w:sz w:val="22"/>
            <w:szCs w:val="22"/>
          </w:rPr>
          <w:t>2024-DCB</w:t>
        </w:r>
      </w:hyperlink>
      <w:r w:rsidR="00C20CA6">
        <w:rPr>
          <w:rFonts w:ascii="Arial" w:hAnsi="Arial" w:cs="Arial"/>
          <w:sz w:val="22"/>
          <w:szCs w:val="22"/>
        </w:rPr>
        <w:t xml:space="preserve"> </w:t>
      </w:r>
      <w:hyperlink r:id="rId8" w:history="1">
        <w:r w:rsidRPr="00C118D7" w:rsidR="006652A5">
          <w:rPr>
            <w:rStyle w:val="Hyperlink"/>
            <w:rFonts w:ascii="Arial" w:hAnsi="Arial" w:cs="Arial"/>
            <w:sz w:val="22"/>
            <w:szCs w:val="22"/>
          </w:rPr>
          <w:t>https://www.opm.gov/policy-data-oversight/pay-leave/salaries-wages/2024/general-schedule/</w:t>
        </w:r>
      </w:hyperlink>
      <w:r w:rsidR="006652A5">
        <w:rPr>
          <w:rFonts w:ascii="Arial" w:hAnsi="Arial" w:cs="Arial"/>
          <w:sz w:val="22"/>
          <w:szCs w:val="22"/>
        </w:rPr>
        <w:t xml:space="preserve"> </w:t>
      </w:r>
      <w:r w:rsidR="00C20CA6">
        <w:rPr>
          <w:rFonts w:ascii="Arial" w:hAnsi="Arial" w:cs="Arial"/>
          <w:sz w:val="22"/>
          <w:szCs w:val="22"/>
        </w:rPr>
        <w:t>to</w:t>
      </w:r>
      <w:r w:rsidRPr="00E331E2">
        <w:rPr>
          <w:rFonts w:ascii="Arial" w:hAnsi="Arial" w:cs="Arial"/>
          <w:sz w:val="22"/>
          <w:szCs w:val="22"/>
        </w:rPr>
        <w:t xml:space="preserve"> determine the hourly wage rate for a GS-14, step</w:t>
      </w:r>
      <w:r w:rsidR="006C138B">
        <w:rPr>
          <w:rFonts w:ascii="Arial" w:hAnsi="Arial" w:cs="Arial"/>
          <w:sz w:val="22"/>
          <w:szCs w:val="22"/>
        </w:rPr>
        <w:t xml:space="preserve"> 7</w:t>
      </w:r>
      <w:r w:rsidRPr="00E331E2">
        <w:rPr>
          <w:rFonts w:ascii="Arial" w:hAnsi="Arial" w:cs="Arial"/>
          <w:sz w:val="22"/>
          <w:szCs w:val="22"/>
        </w:rPr>
        <w:t>.  To calculate benefits, we multiplied the hourly rate ($</w:t>
      </w:r>
      <w:r w:rsidR="00AA2799">
        <w:rPr>
          <w:rFonts w:ascii="Arial" w:hAnsi="Arial" w:cs="Arial"/>
          <w:sz w:val="22"/>
          <w:szCs w:val="22"/>
        </w:rPr>
        <w:t>8</w:t>
      </w:r>
      <w:r w:rsidR="006C138B">
        <w:rPr>
          <w:rFonts w:ascii="Arial" w:hAnsi="Arial" w:cs="Arial"/>
          <w:sz w:val="22"/>
          <w:szCs w:val="22"/>
        </w:rPr>
        <w:t>0.</w:t>
      </w:r>
      <w:r w:rsidR="00061D13">
        <w:rPr>
          <w:rFonts w:ascii="Arial" w:hAnsi="Arial" w:cs="Arial"/>
          <w:sz w:val="22"/>
          <w:szCs w:val="22"/>
        </w:rPr>
        <w:t>1</w:t>
      </w:r>
      <w:r w:rsidR="006C138B">
        <w:rPr>
          <w:rFonts w:ascii="Arial" w:hAnsi="Arial" w:cs="Arial"/>
          <w:sz w:val="22"/>
          <w:szCs w:val="22"/>
        </w:rPr>
        <w:t>5</w:t>
      </w:r>
      <w:r w:rsidRPr="00E331E2">
        <w:rPr>
          <w:rFonts w:ascii="Arial" w:hAnsi="Arial" w:cs="Arial"/>
          <w:sz w:val="22"/>
          <w:szCs w:val="22"/>
        </w:rPr>
        <w:t xml:space="preserve">) by </w:t>
      </w:r>
      <w:r w:rsidR="00E52284">
        <w:rPr>
          <w:rFonts w:ascii="Arial" w:hAnsi="Arial" w:cs="Arial"/>
          <w:sz w:val="22"/>
          <w:szCs w:val="22"/>
        </w:rPr>
        <w:t>1.45</w:t>
      </w:r>
      <w:r w:rsidRPr="00E331E2">
        <w:rPr>
          <w:rFonts w:ascii="Arial" w:hAnsi="Arial" w:cs="Arial"/>
          <w:sz w:val="22"/>
          <w:szCs w:val="22"/>
        </w:rPr>
        <w:t xml:space="preserve"> to account for benefits in accordance with </w:t>
      </w:r>
      <w:r w:rsidRPr="00E331E2" w:rsidR="006C138B">
        <w:rPr>
          <w:rFonts w:ascii="Arial" w:hAnsi="Arial" w:cs="Arial"/>
          <w:sz w:val="22"/>
          <w:szCs w:val="22"/>
        </w:rPr>
        <w:t>accordance with BLS News Relea</w:t>
      </w:r>
      <w:r w:rsidR="006C138B">
        <w:rPr>
          <w:rFonts w:ascii="Arial" w:hAnsi="Arial" w:cs="Arial"/>
          <w:sz w:val="22"/>
          <w:szCs w:val="22"/>
        </w:rPr>
        <w:t xml:space="preserve">se </w:t>
      </w:r>
      <w:hyperlink r:id="rId9" w:history="1">
        <w:r w:rsidRPr="00C0739F" w:rsidR="006C138B">
          <w:rPr>
            <w:rStyle w:val="Hyperlink"/>
            <w:rFonts w:ascii="Arial" w:hAnsi="Arial" w:cs="Arial"/>
            <w:sz w:val="22"/>
            <w:szCs w:val="22"/>
          </w:rPr>
          <w:t>USDL-21-0437</w:t>
        </w:r>
      </w:hyperlink>
      <w:r w:rsidR="006C138B">
        <w:rPr>
          <w:rFonts w:ascii="Arial" w:hAnsi="Arial" w:cs="Arial"/>
          <w:sz w:val="22"/>
          <w:szCs w:val="22"/>
        </w:rPr>
        <w:t>, March 18, 20</w:t>
      </w:r>
      <w:r w:rsidR="000F5610">
        <w:rPr>
          <w:rFonts w:ascii="Arial" w:hAnsi="Arial" w:cs="Arial"/>
          <w:sz w:val="22"/>
          <w:szCs w:val="22"/>
        </w:rPr>
        <w:t>24</w:t>
      </w:r>
      <w:r w:rsidR="006C138B">
        <w:rPr>
          <w:rFonts w:ascii="Arial" w:hAnsi="Arial" w:cs="Arial"/>
          <w:sz w:val="22"/>
          <w:szCs w:val="22"/>
        </w:rPr>
        <w:t>, USDL</w:t>
      </w:r>
      <w:r w:rsidRPr="00E331E2">
        <w:rPr>
          <w:rFonts w:ascii="Arial" w:hAnsi="Arial" w:cs="Arial"/>
          <w:sz w:val="22"/>
          <w:szCs w:val="22"/>
        </w:rPr>
        <w:t xml:space="preserve"> Employer Costs for Employee Compensation—March 20</w:t>
      </w:r>
      <w:r w:rsidR="006C138B">
        <w:rPr>
          <w:rFonts w:ascii="Arial" w:hAnsi="Arial" w:cs="Arial"/>
          <w:sz w:val="22"/>
          <w:szCs w:val="22"/>
        </w:rPr>
        <w:t>2</w:t>
      </w:r>
      <w:r w:rsidR="005733C0">
        <w:rPr>
          <w:rFonts w:ascii="Arial" w:hAnsi="Arial" w:cs="Arial"/>
          <w:sz w:val="22"/>
          <w:szCs w:val="22"/>
        </w:rPr>
        <w:t>4</w:t>
      </w:r>
      <w:r w:rsidRPr="00E331E2">
        <w:rPr>
          <w:rFonts w:ascii="Arial" w:hAnsi="Arial" w:cs="Arial"/>
          <w:sz w:val="22"/>
          <w:szCs w:val="22"/>
        </w:rPr>
        <w:t>, resulting in an hourly cost factor of $</w:t>
      </w:r>
      <w:r w:rsidR="00CB46CB">
        <w:rPr>
          <w:rFonts w:ascii="Arial" w:hAnsi="Arial" w:cs="Arial"/>
          <w:sz w:val="22"/>
          <w:szCs w:val="22"/>
        </w:rPr>
        <w:t>11</w:t>
      </w:r>
      <w:r w:rsidR="001B221A">
        <w:rPr>
          <w:rFonts w:ascii="Arial" w:hAnsi="Arial" w:cs="Arial"/>
          <w:sz w:val="22"/>
          <w:szCs w:val="22"/>
        </w:rPr>
        <w:t>6.2</w:t>
      </w:r>
      <w:r w:rsidR="00A708FE">
        <w:rPr>
          <w:rFonts w:ascii="Arial" w:hAnsi="Arial" w:cs="Arial"/>
          <w:sz w:val="22"/>
          <w:szCs w:val="22"/>
        </w:rPr>
        <w:t>2</w:t>
      </w:r>
      <w:r w:rsidRPr="00E331E2">
        <w:rPr>
          <w:rFonts w:ascii="Arial" w:hAnsi="Arial" w:cs="Arial"/>
          <w:sz w:val="22"/>
          <w:szCs w:val="22"/>
        </w:rPr>
        <w:t>.  Taking this hourly rate of $</w:t>
      </w:r>
      <w:r w:rsidR="00CB46CB">
        <w:rPr>
          <w:rFonts w:ascii="Arial" w:hAnsi="Arial" w:cs="Arial"/>
          <w:sz w:val="22"/>
          <w:szCs w:val="22"/>
        </w:rPr>
        <w:t>11</w:t>
      </w:r>
      <w:r w:rsidR="00A708FE">
        <w:rPr>
          <w:rFonts w:ascii="Arial" w:hAnsi="Arial" w:cs="Arial"/>
          <w:sz w:val="22"/>
          <w:szCs w:val="22"/>
        </w:rPr>
        <w:t>6</w:t>
      </w:r>
      <w:r w:rsidR="00CB46CB">
        <w:rPr>
          <w:rFonts w:ascii="Arial" w:hAnsi="Arial" w:cs="Arial"/>
          <w:sz w:val="22"/>
          <w:szCs w:val="22"/>
        </w:rPr>
        <w:t>.</w:t>
      </w:r>
      <w:r w:rsidR="00A708FE">
        <w:rPr>
          <w:rFonts w:ascii="Arial" w:hAnsi="Arial" w:cs="Arial"/>
          <w:sz w:val="22"/>
          <w:szCs w:val="22"/>
        </w:rPr>
        <w:t>22</w:t>
      </w:r>
      <w:r w:rsidRPr="00E331E2">
        <w:rPr>
          <w:rFonts w:ascii="Arial" w:hAnsi="Arial" w:cs="Arial"/>
          <w:sz w:val="22"/>
          <w:szCs w:val="22"/>
        </w:rPr>
        <w:t>, multiplying by 150 hours per review, yields $1</w:t>
      </w:r>
      <w:r w:rsidR="00CB46CB">
        <w:rPr>
          <w:rFonts w:ascii="Arial" w:hAnsi="Arial" w:cs="Arial"/>
          <w:sz w:val="22"/>
          <w:szCs w:val="22"/>
        </w:rPr>
        <w:t>7</w:t>
      </w:r>
      <w:r w:rsidRPr="00E331E2">
        <w:rPr>
          <w:rFonts w:ascii="Arial" w:hAnsi="Arial" w:cs="Arial"/>
          <w:sz w:val="22"/>
          <w:szCs w:val="22"/>
        </w:rPr>
        <w:t>,</w:t>
      </w:r>
      <w:r w:rsidR="00CC3F4F">
        <w:rPr>
          <w:rFonts w:ascii="Arial" w:hAnsi="Arial" w:cs="Arial"/>
          <w:sz w:val="22"/>
          <w:szCs w:val="22"/>
        </w:rPr>
        <w:t>432.63</w:t>
      </w:r>
      <w:r w:rsidR="00CB46CB">
        <w:rPr>
          <w:rFonts w:ascii="Arial" w:hAnsi="Arial" w:cs="Arial"/>
          <w:sz w:val="22"/>
          <w:szCs w:val="22"/>
        </w:rPr>
        <w:t xml:space="preserve"> </w:t>
      </w:r>
      <w:r w:rsidRPr="00E331E2">
        <w:rPr>
          <w:rFonts w:ascii="Arial" w:hAnsi="Arial" w:cs="Arial"/>
          <w:sz w:val="22"/>
          <w:szCs w:val="22"/>
        </w:rPr>
        <w:t>per case; this sum multiplied by the expected 5 occurrences per year yields a total cost to the Government of $</w:t>
      </w:r>
      <w:r w:rsidR="00CB46CB">
        <w:rPr>
          <w:rFonts w:ascii="Arial" w:hAnsi="Arial" w:cs="Arial"/>
          <w:sz w:val="22"/>
          <w:szCs w:val="22"/>
        </w:rPr>
        <w:t>8</w:t>
      </w:r>
      <w:r w:rsidR="00CC3F4F">
        <w:rPr>
          <w:rFonts w:ascii="Arial" w:hAnsi="Arial" w:cs="Arial"/>
          <w:sz w:val="22"/>
          <w:szCs w:val="22"/>
        </w:rPr>
        <w:t>7</w:t>
      </w:r>
      <w:r w:rsidR="00CB46CB">
        <w:rPr>
          <w:rFonts w:ascii="Arial" w:hAnsi="Arial" w:cs="Arial"/>
          <w:sz w:val="22"/>
          <w:szCs w:val="22"/>
        </w:rPr>
        <w:t>,</w:t>
      </w:r>
      <w:r w:rsidR="00093C60">
        <w:rPr>
          <w:rFonts w:ascii="Arial" w:hAnsi="Arial" w:cs="Arial"/>
          <w:sz w:val="22"/>
          <w:szCs w:val="22"/>
        </w:rPr>
        <w:t>163.13</w:t>
      </w:r>
      <w:r w:rsidRPr="00E331E2">
        <w:rPr>
          <w:rFonts w:ascii="Arial" w:hAnsi="Arial" w:cs="Arial"/>
          <w:sz w:val="22"/>
          <w:szCs w:val="22"/>
        </w:rPr>
        <w:t xml:space="preserve"> annually.</w:t>
      </w:r>
    </w:p>
    <w:p w:rsidR="00A00D25" w:rsidRPr="00E331E2" w:rsidP="003D4237" w14:paraId="6475D890" w14:textId="77777777">
      <w:pPr>
        <w:tabs>
          <w:tab w:val="left" w:pos="360"/>
          <w:tab w:val="left" w:pos="720"/>
        </w:tabs>
        <w:rPr>
          <w:rFonts w:ascii="Arial" w:hAnsi="Arial" w:cs="Arial"/>
          <w:sz w:val="22"/>
          <w:szCs w:val="22"/>
        </w:rPr>
      </w:pPr>
    </w:p>
    <w:p w:rsidR="000A6293" w:rsidRPr="00E331E2" w:rsidP="003D4237" w14:paraId="1801F0CB" w14:textId="77777777">
      <w:pPr>
        <w:tabs>
          <w:tab w:val="left" w:pos="360"/>
          <w:tab w:val="left" w:pos="720"/>
        </w:tabs>
        <w:rPr>
          <w:rFonts w:ascii="Arial" w:hAnsi="Arial" w:cs="Arial"/>
          <w:sz w:val="22"/>
          <w:szCs w:val="22"/>
        </w:rPr>
      </w:pPr>
      <w:r w:rsidRPr="00E331E2">
        <w:rPr>
          <w:rFonts w:ascii="Arial" w:hAnsi="Arial" w:cs="Arial"/>
          <w:sz w:val="22"/>
          <w:szCs w:val="22"/>
        </w:rPr>
        <w:t>We estimate t</w:t>
      </w:r>
      <w:r w:rsidRPr="00E331E2">
        <w:rPr>
          <w:rFonts w:ascii="Arial" w:hAnsi="Arial" w:cs="Arial"/>
          <w:sz w:val="22"/>
          <w:szCs w:val="22"/>
        </w:rPr>
        <w:t xml:space="preserve">he annual cost of the data collection based on the agencies’ experience with analyzing and considering each alternative.  </w:t>
      </w:r>
      <w:r w:rsidRPr="00E331E2">
        <w:rPr>
          <w:rFonts w:ascii="Arial" w:hAnsi="Arial" w:cs="Arial"/>
          <w:sz w:val="22"/>
          <w:szCs w:val="22"/>
        </w:rPr>
        <w:t>We considered e</w:t>
      </w:r>
      <w:r w:rsidRPr="00E331E2">
        <w:rPr>
          <w:rFonts w:ascii="Arial" w:hAnsi="Arial" w:cs="Arial"/>
          <w:sz w:val="22"/>
          <w:szCs w:val="22"/>
        </w:rPr>
        <w:t xml:space="preserve">ach information collection reviewed </w:t>
      </w:r>
      <w:r w:rsidRPr="00E331E2">
        <w:rPr>
          <w:rFonts w:ascii="Arial" w:hAnsi="Arial" w:cs="Arial"/>
          <w:sz w:val="22"/>
          <w:szCs w:val="22"/>
        </w:rPr>
        <w:t xml:space="preserve">in </w:t>
      </w:r>
      <w:r w:rsidRPr="00E331E2">
        <w:rPr>
          <w:rFonts w:ascii="Arial" w:hAnsi="Arial" w:cs="Arial"/>
          <w:sz w:val="22"/>
          <w:szCs w:val="22"/>
        </w:rPr>
        <w:t>relat</w:t>
      </w:r>
      <w:r w:rsidRPr="00E331E2">
        <w:rPr>
          <w:rFonts w:ascii="Arial" w:hAnsi="Arial" w:cs="Arial"/>
          <w:sz w:val="22"/>
          <w:szCs w:val="22"/>
        </w:rPr>
        <w:t>ion</w:t>
      </w:r>
      <w:r w:rsidRPr="00E331E2">
        <w:rPr>
          <w:rFonts w:ascii="Arial" w:hAnsi="Arial" w:cs="Arial"/>
          <w:sz w:val="22"/>
          <w:szCs w:val="22"/>
        </w:rPr>
        <w:t xml:space="preserve"> to a single alternative review.  Such time includes initial review and analysis, efforts to generate a response, and a reasonable amount of time to deal with issues that flow from the submission.  Although there is variation in the review time for different projects, some reportedly taking as little as 60 hours, and some taking more than 300 hours, in assessing the reports of the different reviewers, it was determined that 150 hours is a good measure of the typical range of time expended per project review.  Any variation is due to the differences in levels of complexity between projects, and the varying amounts of </w:t>
      </w:r>
      <w:r w:rsidRPr="00E331E2">
        <w:rPr>
          <w:rFonts w:ascii="Arial" w:hAnsi="Arial" w:cs="Arial"/>
          <w:sz w:val="22"/>
          <w:szCs w:val="22"/>
        </w:rPr>
        <w:t>necessary</w:t>
      </w:r>
      <w:r w:rsidRPr="00E331E2">
        <w:rPr>
          <w:rFonts w:ascii="Arial" w:hAnsi="Arial" w:cs="Arial"/>
          <w:sz w:val="22"/>
          <w:szCs w:val="22"/>
        </w:rPr>
        <w:t xml:space="preserve"> follow up and discussion.  </w:t>
      </w:r>
    </w:p>
    <w:p w:rsidR="000A6293" w:rsidRPr="00E331E2" w:rsidP="003D4237" w14:paraId="1D7F657A" w14:textId="77777777">
      <w:pPr>
        <w:tabs>
          <w:tab w:val="left" w:pos="360"/>
          <w:tab w:val="left" w:pos="720"/>
        </w:tabs>
        <w:rPr>
          <w:rFonts w:ascii="Arial" w:hAnsi="Arial" w:cs="Arial"/>
          <w:sz w:val="22"/>
          <w:szCs w:val="22"/>
        </w:rPr>
      </w:pPr>
    </w:p>
    <w:p w:rsidR="00267AD1" w:rsidRPr="00E331E2" w:rsidP="00267AD1" w14:paraId="3B64C8F8" w14:textId="77777777">
      <w:pPr>
        <w:tabs>
          <w:tab w:val="left" w:pos="360"/>
          <w:tab w:val="left" w:pos="720"/>
        </w:tabs>
        <w:rPr>
          <w:rFonts w:ascii="Arial" w:hAnsi="Arial" w:cs="Arial"/>
          <w:b/>
          <w:sz w:val="22"/>
          <w:szCs w:val="22"/>
        </w:rPr>
      </w:pPr>
      <w:r w:rsidRPr="00E331E2">
        <w:rPr>
          <w:rFonts w:ascii="Arial" w:hAnsi="Arial" w:cs="Arial"/>
          <w:b/>
          <w:sz w:val="22"/>
          <w:szCs w:val="22"/>
        </w:rPr>
        <w:t>15.</w:t>
      </w:r>
      <w:r w:rsidRPr="00E331E2">
        <w:rPr>
          <w:rFonts w:ascii="Arial" w:hAnsi="Arial" w:cs="Arial"/>
          <w:b/>
          <w:sz w:val="22"/>
          <w:szCs w:val="22"/>
        </w:rPr>
        <w:tab/>
        <w:t>Explain the reasons for any program changes or adjustments in hour or cost burden.</w:t>
      </w:r>
    </w:p>
    <w:p w:rsidR="00295103" w:rsidRPr="00E331E2" w:rsidP="003D4237" w14:paraId="247EAF28" w14:textId="77777777">
      <w:pPr>
        <w:tabs>
          <w:tab w:val="left" w:pos="360"/>
          <w:tab w:val="left" w:pos="720"/>
        </w:tabs>
        <w:rPr>
          <w:rFonts w:ascii="Arial" w:hAnsi="Arial" w:cs="Arial"/>
          <w:sz w:val="22"/>
          <w:szCs w:val="22"/>
        </w:rPr>
      </w:pPr>
    </w:p>
    <w:p w:rsidR="000A6293" w:rsidRPr="00E331E2" w:rsidP="003D4237" w14:paraId="2B125BF0" w14:textId="77777777">
      <w:pPr>
        <w:tabs>
          <w:tab w:val="left" w:pos="360"/>
          <w:tab w:val="left" w:pos="720"/>
        </w:tabs>
        <w:rPr>
          <w:rFonts w:ascii="Arial" w:hAnsi="Arial" w:cs="Arial"/>
          <w:sz w:val="22"/>
          <w:szCs w:val="22"/>
        </w:rPr>
      </w:pPr>
      <w:r w:rsidRPr="00E331E2">
        <w:rPr>
          <w:rFonts w:ascii="Arial" w:hAnsi="Arial" w:cs="Arial"/>
          <w:sz w:val="22"/>
          <w:szCs w:val="22"/>
        </w:rPr>
        <w:t>There are no program changes.  The burden remains to 2,500 hours for 5 estimated annual number of respondents.</w:t>
      </w:r>
    </w:p>
    <w:p w:rsidR="000A6293" w:rsidRPr="00E331E2" w:rsidP="003D4237" w14:paraId="7A5DC7D2" w14:textId="77777777">
      <w:pPr>
        <w:tabs>
          <w:tab w:val="left" w:pos="360"/>
          <w:tab w:val="left" w:pos="720"/>
        </w:tabs>
        <w:rPr>
          <w:rFonts w:ascii="Arial" w:hAnsi="Arial" w:cs="Arial"/>
          <w:sz w:val="22"/>
          <w:szCs w:val="22"/>
        </w:rPr>
      </w:pPr>
    </w:p>
    <w:p w:rsidR="00A036FD" w:rsidRPr="00E331E2" w:rsidP="00A036FD" w14:paraId="7AC7C7FC" w14:textId="77777777">
      <w:pPr>
        <w:tabs>
          <w:tab w:val="left" w:pos="360"/>
          <w:tab w:val="left" w:pos="720"/>
        </w:tabs>
        <w:rPr>
          <w:rFonts w:ascii="Arial" w:hAnsi="Arial" w:cs="Arial"/>
          <w:b/>
          <w:sz w:val="22"/>
          <w:szCs w:val="22"/>
        </w:rPr>
      </w:pPr>
      <w:r w:rsidRPr="00E331E2">
        <w:rPr>
          <w:rFonts w:ascii="Arial" w:hAnsi="Arial" w:cs="Arial"/>
          <w:b/>
          <w:sz w:val="22"/>
          <w:szCs w:val="22"/>
        </w:rPr>
        <w:t>16.</w:t>
      </w:r>
      <w:r w:rsidRPr="00E331E2">
        <w:rPr>
          <w:rFonts w:ascii="Arial" w:hAnsi="Arial" w:cs="Arial"/>
          <w:b/>
          <w:sz w:val="22"/>
          <w:szCs w:val="22"/>
        </w:rPr>
        <w:tab/>
        <w:t xml:space="preserve">For collections of information whose results will be published, outline plans for tabulation and publication.  Address any complex analytical techniques that will be used.  </w:t>
      </w:r>
      <w:r w:rsidRPr="00E331E2">
        <w:rPr>
          <w:rFonts w:ascii="Arial" w:hAnsi="Arial" w:cs="Arial"/>
          <w:b/>
          <w:sz w:val="22"/>
          <w:szCs w:val="22"/>
        </w:rPr>
        <w:t>Provide the time schedule for the entire project, including beginning and ending dates of the collection of information, completion of report, publication dates, and other actions.</w:t>
      </w:r>
    </w:p>
    <w:p w:rsidR="00295103" w:rsidRPr="00E331E2" w:rsidP="003D4237" w14:paraId="5D5002C2" w14:textId="77777777">
      <w:pPr>
        <w:tabs>
          <w:tab w:val="left" w:pos="360"/>
          <w:tab w:val="left" w:pos="720"/>
        </w:tabs>
        <w:rPr>
          <w:rFonts w:ascii="Arial" w:hAnsi="Arial" w:cs="Arial"/>
          <w:sz w:val="22"/>
          <w:szCs w:val="22"/>
        </w:rPr>
      </w:pPr>
    </w:p>
    <w:p w:rsidR="000A6293" w:rsidRPr="00E331E2" w:rsidP="003D4237" w14:paraId="6186C230" w14:textId="77777777">
      <w:pPr>
        <w:tabs>
          <w:tab w:val="left" w:pos="360"/>
          <w:tab w:val="left" w:pos="720"/>
        </w:tabs>
        <w:rPr>
          <w:rFonts w:ascii="Arial" w:hAnsi="Arial" w:cs="Arial"/>
          <w:sz w:val="22"/>
          <w:szCs w:val="22"/>
        </w:rPr>
      </w:pPr>
      <w:r w:rsidRPr="00E331E2">
        <w:rPr>
          <w:rFonts w:ascii="Arial" w:hAnsi="Arial" w:cs="Arial"/>
          <w:sz w:val="22"/>
          <w:szCs w:val="22"/>
        </w:rPr>
        <w:t>There are no plans for tabulation and publication of this information collection.</w:t>
      </w:r>
    </w:p>
    <w:p w:rsidR="000A6293" w:rsidRPr="00E331E2" w:rsidP="003D4237" w14:paraId="09D492FE" w14:textId="77777777">
      <w:pPr>
        <w:tabs>
          <w:tab w:val="left" w:pos="360"/>
          <w:tab w:val="left" w:pos="720"/>
        </w:tabs>
        <w:rPr>
          <w:rFonts w:ascii="Arial" w:hAnsi="Arial" w:cs="Arial"/>
          <w:sz w:val="22"/>
          <w:szCs w:val="22"/>
        </w:rPr>
      </w:pPr>
    </w:p>
    <w:p w:rsidR="00A036FD" w:rsidRPr="00E331E2" w:rsidP="00A036FD" w14:paraId="3B17CECC" w14:textId="77777777">
      <w:pPr>
        <w:tabs>
          <w:tab w:val="left" w:pos="360"/>
          <w:tab w:val="left" w:pos="720"/>
        </w:tabs>
        <w:rPr>
          <w:rFonts w:ascii="Arial" w:hAnsi="Arial" w:cs="Arial"/>
          <w:b/>
          <w:sz w:val="22"/>
          <w:szCs w:val="22"/>
        </w:rPr>
      </w:pPr>
      <w:r w:rsidRPr="00E331E2">
        <w:rPr>
          <w:rFonts w:ascii="Arial" w:hAnsi="Arial" w:cs="Arial"/>
          <w:b/>
          <w:sz w:val="22"/>
          <w:szCs w:val="22"/>
        </w:rPr>
        <w:t>17.</w:t>
      </w:r>
      <w:r w:rsidRPr="00E331E2">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E331E2" w:rsidP="003D4237" w14:paraId="1B654E9D" w14:textId="77777777">
      <w:pPr>
        <w:tabs>
          <w:tab w:val="left" w:pos="360"/>
          <w:tab w:val="left" w:pos="720"/>
        </w:tabs>
        <w:rPr>
          <w:rFonts w:ascii="Arial" w:hAnsi="Arial" w:cs="Arial"/>
          <w:sz w:val="22"/>
          <w:szCs w:val="22"/>
        </w:rPr>
      </w:pPr>
    </w:p>
    <w:p w:rsidR="000A6293" w:rsidRPr="00E331E2" w:rsidP="003D4237" w14:paraId="1885A319" w14:textId="77777777">
      <w:pPr>
        <w:tabs>
          <w:tab w:val="left" w:pos="360"/>
          <w:tab w:val="left" w:pos="720"/>
        </w:tabs>
        <w:rPr>
          <w:rFonts w:ascii="Arial" w:hAnsi="Arial" w:cs="Arial"/>
          <w:sz w:val="22"/>
          <w:szCs w:val="22"/>
        </w:rPr>
      </w:pPr>
      <w:r w:rsidRPr="00E331E2">
        <w:rPr>
          <w:rFonts w:ascii="Arial" w:hAnsi="Arial" w:cs="Arial"/>
          <w:sz w:val="22"/>
          <w:szCs w:val="22"/>
        </w:rPr>
        <w:t>There is no practical place to display it because parties proposing an alternative to a condition or prescription that one or more of the Departments develop for inclusion in a hydropower license issued by the Federal Energy Regulatory Commission (FERC) under the FPA are not required to do so using any specific agency-developed form or information collection instrument.</w:t>
      </w:r>
    </w:p>
    <w:p w:rsidR="000A6293" w:rsidRPr="00E331E2" w:rsidP="003D4237" w14:paraId="59CEA330" w14:textId="77777777">
      <w:pPr>
        <w:tabs>
          <w:tab w:val="left" w:pos="360"/>
          <w:tab w:val="left" w:pos="720"/>
        </w:tabs>
        <w:rPr>
          <w:rFonts w:ascii="Arial" w:hAnsi="Arial" w:cs="Arial"/>
          <w:sz w:val="22"/>
          <w:szCs w:val="22"/>
        </w:rPr>
      </w:pPr>
    </w:p>
    <w:p w:rsidR="00A036FD" w:rsidRPr="00E331E2" w:rsidP="00A036FD" w14:paraId="67574F9D" w14:textId="77777777">
      <w:pPr>
        <w:tabs>
          <w:tab w:val="left" w:pos="360"/>
          <w:tab w:val="left" w:pos="720"/>
        </w:tabs>
        <w:rPr>
          <w:rFonts w:ascii="Arial" w:hAnsi="Arial" w:cs="Arial"/>
          <w:b/>
          <w:sz w:val="22"/>
          <w:szCs w:val="22"/>
        </w:rPr>
      </w:pPr>
      <w:r w:rsidRPr="00E331E2">
        <w:rPr>
          <w:rFonts w:ascii="Arial" w:hAnsi="Arial" w:cs="Arial"/>
          <w:b/>
          <w:sz w:val="22"/>
          <w:szCs w:val="22"/>
        </w:rPr>
        <w:t>18.</w:t>
      </w:r>
      <w:r w:rsidRPr="00E331E2">
        <w:rPr>
          <w:rFonts w:ascii="Arial" w:hAnsi="Arial" w:cs="Arial"/>
          <w:b/>
          <w:sz w:val="22"/>
          <w:szCs w:val="22"/>
        </w:rPr>
        <w:tab/>
        <w:t>Explain each exception to the topics of the certification statement identified in "Certification for Paperwork Reduction Act Submissions."</w:t>
      </w:r>
    </w:p>
    <w:p w:rsidR="00295103" w:rsidRPr="00E331E2" w:rsidP="003D4237" w14:paraId="1B961873" w14:textId="77777777">
      <w:pPr>
        <w:tabs>
          <w:tab w:val="left" w:pos="360"/>
          <w:tab w:val="left" w:pos="720"/>
        </w:tabs>
        <w:rPr>
          <w:rFonts w:ascii="Arial" w:hAnsi="Arial" w:cs="Arial"/>
          <w:sz w:val="22"/>
          <w:szCs w:val="22"/>
        </w:rPr>
      </w:pPr>
    </w:p>
    <w:p w:rsidR="000A6293" w:rsidRPr="00E331E2" w:rsidP="003D4237" w14:paraId="6834A228" w14:textId="77777777">
      <w:pPr>
        <w:tabs>
          <w:tab w:val="left" w:pos="360"/>
          <w:tab w:val="left" w:pos="720"/>
        </w:tabs>
        <w:rPr>
          <w:rFonts w:ascii="Arial" w:hAnsi="Arial" w:cs="Arial"/>
          <w:sz w:val="22"/>
          <w:szCs w:val="22"/>
        </w:rPr>
      </w:pPr>
      <w:r w:rsidRPr="00E331E2">
        <w:rPr>
          <w:rFonts w:ascii="Arial" w:hAnsi="Arial" w:cs="Arial"/>
          <w:sz w:val="22"/>
          <w:szCs w:val="22"/>
        </w:rPr>
        <w:t>We are not requesting exceptions to the certification statement.</w:t>
      </w:r>
    </w:p>
    <w:sectPr w:rsidSect="00BE4082">
      <w:footerReference w:type="default" r:id="rId10"/>
      <w:type w:val="continuous"/>
      <w:pgSz w:w="12240" w:h="15840"/>
      <w:pgMar w:top="1440" w:right="1440" w:bottom="720" w:left="1440" w:header="1440" w:footer="8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082" w:rsidRPr="00E331E2" w:rsidP="00BE4082" w14:paraId="5491B0FA" w14:textId="77777777">
    <w:pPr>
      <w:pStyle w:val="Footer"/>
      <w:jc w:val="center"/>
      <w:rPr>
        <w:rFonts w:ascii="Arial" w:hAnsi="Arial" w:cs="Arial"/>
        <w:sz w:val="22"/>
      </w:rPr>
    </w:pPr>
  </w:p>
  <w:p w:rsidR="00BE4082" w:rsidRPr="00E331E2" w:rsidP="00BE4082" w14:paraId="743F435B" w14:textId="77777777">
    <w:pPr>
      <w:pStyle w:val="Footer"/>
      <w:jc w:val="center"/>
      <w:rPr>
        <w:rFonts w:ascii="Arial" w:hAnsi="Arial" w:cs="Arial"/>
        <w:sz w:val="22"/>
      </w:rPr>
    </w:pPr>
    <w:r w:rsidRPr="00E331E2">
      <w:rPr>
        <w:rFonts w:ascii="Arial" w:hAnsi="Arial" w:cs="Arial"/>
        <w:sz w:val="22"/>
      </w:rPr>
      <w:t xml:space="preserve">- </w:t>
    </w:r>
    <w:r w:rsidRPr="00E331E2">
      <w:rPr>
        <w:rFonts w:ascii="Arial" w:hAnsi="Arial" w:cs="Arial"/>
        <w:sz w:val="22"/>
      </w:rPr>
      <w:fldChar w:fldCharType="begin"/>
    </w:r>
    <w:r w:rsidRPr="00E331E2">
      <w:rPr>
        <w:rFonts w:ascii="Arial" w:hAnsi="Arial" w:cs="Arial"/>
        <w:sz w:val="22"/>
      </w:rPr>
      <w:instrText xml:space="preserve"> PAGE   \* MERGEFORMAT </w:instrText>
    </w:r>
    <w:r w:rsidRPr="00E331E2">
      <w:rPr>
        <w:rFonts w:ascii="Arial" w:hAnsi="Arial" w:cs="Arial"/>
        <w:sz w:val="22"/>
      </w:rPr>
      <w:fldChar w:fldCharType="separate"/>
    </w:r>
    <w:r w:rsidR="00624316">
      <w:rPr>
        <w:rFonts w:ascii="Arial" w:hAnsi="Arial" w:cs="Arial"/>
        <w:noProof/>
        <w:sz w:val="22"/>
      </w:rPr>
      <w:t>4</w:t>
    </w:r>
    <w:r w:rsidRPr="00E331E2">
      <w:rPr>
        <w:rFonts w:ascii="Arial" w:hAnsi="Arial" w:cs="Arial"/>
        <w:noProof/>
        <w:sz w:val="22"/>
      </w:rPr>
      <w:fldChar w:fldCharType="end"/>
    </w:r>
    <w:r w:rsidRPr="00E331E2">
      <w:rPr>
        <w:rFonts w:ascii="Arial" w:hAnsi="Arial" w:cs="Arial"/>
        <w:noProof/>
        <w:sz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B40D5F"/>
    <w:multiLevelType w:val="hybridMultilevel"/>
    <w:tmpl w:val="68F61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428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40A"/>
    <w:rsid w:val="00006BCF"/>
    <w:rsid w:val="000120DB"/>
    <w:rsid w:val="000257C8"/>
    <w:rsid w:val="00026233"/>
    <w:rsid w:val="00032F14"/>
    <w:rsid w:val="00045753"/>
    <w:rsid w:val="0004616B"/>
    <w:rsid w:val="00061D13"/>
    <w:rsid w:val="00063B0F"/>
    <w:rsid w:val="00063B7A"/>
    <w:rsid w:val="00073887"/>
    <w:rsid w:val="00092F6F"/>
    <w:rsid w:val="00093C60"/>
    <w:rsid w:val="000A21E9"/>
    <w:rsid w:val="000A6293"/>
    <w:rsid w:val="000A6DD0"/>
    <w:rsid w:val="000D0279"/>
    <w:rsid w:val="000E4C6D"/>
    <w:rsid w:val="000F1C17"/>
    <w:rsid w:val="000F3AF1"/>
    <w:rsid w:val="000F5610"/>
    <w:rsid w:val="00105DA1"/>
    <w:rsid w:val="001061FA"/>
    <w:rsid w:val="0011620F"/>
    <w:rsid w:val="001178D6"/>
    <w:rsid w:val="001247B1"/>
    <w:rsid w:val="0013489A"/>
    <w:rsid w:val="00153A87"/>
    <w:rsid w:val="00162B02"/>
    <w:rsid w:val="0017237B"/>
    <w:rsid w:val="001838A0"/>
    <w:rsid w:val="00195DB8"/>
    <w:rsid w:val="001A5585"/>
    <w:rsid w:val="001B221A"/>
    <w:rsid w:val="001B2DC3"/>
    <w:rsid w:val="001B70D2"/>
    <w:rsid w:val="001C3D60"/>
    <w:rsid w:val="001C46A1"/>
    <w:rsid w:val="001D3171"/>
    <w:rsid w:val="001D6A2F"/>
    <w:rsid w:val="001E13F0"/>
    <w:rsid w:val="00212D1C"/>
    <w:rsid w:val="002137DC"/>
    <w:rsid w:val="00216BA7"/>
    <w:rsid w:val="002322BC"/>
    <w:rsid w:val="00246E91"/>
    <w:rsid w:val="002536DC"/>
    <w:rsid w:val="00257043"/>
    <w:rsid w:val="002640C4"/>
    <w:rsid w:val="00266A81"/>
    <w:rsid w:val="00267AD1"/>
    <w:rsid w:val="00295103"/>
    <w:rsid w:val="002A2B8B"/>
    <w:rsid w:val="002B078F"/>
    <w:rsid w:val="002B3F34"/>
    <w:rsid w:val="002C4A44"/>
    <w:rsid w:val="002D6CF2"/>
    <w:rsid w:val="002E35F4"/>
    <w:rsid w:val="002F3313"/>
    <w:rsid w:val="002F48D5"/>
    <w:rsid w:val="002F5E6A"/>
    <w:rsid w:val="002F6C07"/>
    <w:rsid w:val="00314684"/>
    <w:rsid w:val="00317E0D"/>
    <w:rsid w:val="00324BB7"/>
    <w:rsid w:val="00330CF0"/>
    <w:rsid w:val="00352210"/>
    <w:rsid w:val="00372942"/>
    <w:rsid w:val="00384F67"/>
    <w:rsid w:val="00395D5B"/>
    <w:rsid w:val="003A5C85"/>
    <w:rsid w:val="003B0F14"/>
    <w:rsid w:val="003B26C0"/>
    <w:rsid w:val="003C3292"/>
    <w:rsid w:val="003D09D8"/>
    <w:rsid w:val="003D4237"/>
    <w:rsid w:val="003E6581"/>
    <w:rsid w:val="003E75AF"/>
    <w:rsid w:val="003E7AF6"/>
    <w:rsid w:val="003F797E"/>
    <w:rsid w:val="003F7A66"/>
    <w:rsid w:val="003F7C49"/>
    <w:rsid w:val="0040497E"/>
    <w:rsid w:val="004114B0"/>
    <w:rsid w:val="004127BA"/>
    <w:rsid w:val="00420AD6"/>
    <w:rsid w:val="00420DD1"/>
    <w:rsid w:val="004252CD"/>
    <w:rsid w:val="00430D1A"/>
    <w:rsid w:val="00442584"/>
    <w:rsid w:val="00444E80"/>
    <w:rsid w:val="00450130"/>
    <w:rsid w:val="00452A86"/>
    <w:rsid w:val="00453648"/>
    <w:rsid w:val="00457B49"/>
    <w:rsid w:val="00457E07"/>
    <w:rsid w:val="00472562"/>
    <w:rsid w:val="0047472C"/>
    <w:rsid w:val="00486F29"/>
    <w:rsid w:val="00492189"/>
    <w:rsid w:val="00497CFA"/>
    <w:rsid w:val="004A6DFA"/>
    <w:rsid w:val="004B0EA0"/>
    <w:rsid w:val="004B733F"/>
    <w:rsid w:val="004C2594"/>
    <w:rsid w:val="004C3DB6"/>
    <w:rsid w:val="004C3DEC"/>
    <w:rsid w:val="004D10B1"/>
    <w:rsid w:val="004E76A7"/>
    <w:rsid w:val="004F46E5"/>
    <w:rsid w:val="004F5D47"/>
    <w:rsid w:val="004F7116"/>
    <w:rsid w:val="005049F7"/>
    <w:rsid w:val="005230FE"/>
    <w:rsid w:val="00524436"/>
    <w:rsid w:val="00525467"/>
    <w:rsid w:val="0052798A"/>
    <w:rsid w:val="00544CBB"/>
    <w:rsid w:val="00545457"/>
    <w:rsid w:val="00547582"/>
    <w:rsid w:val="00550D14"/>
    <w:rsid w:val="00553709"/>
    <w:rsid w:val="00555154"/>
    <w:rsid w:val="00555892"/>
    <w:rsid w:val="0056396F"/>
    <w:rsid w:val="0056760F"/>
    <w:rsid w:val="005733C0"/>
    <w:rsid w:val="005908C2"/>
    <w:rsid w:val="00591614"/>
    <w:rsid w:val="00591868"/>
    <w:rsid w:val="00594720"/>
    <w:rsid w:val="005A0F26"/>
    <w:rsid w:val="005A7819"/>
    <w:rsid w:val="005A783E"/>
    <w:rsid w:val="005A7CF4"/>
    <w:rsid w:val="005B3E18"/>
    <w:rsid w:val="005B4088"/>
    <w:rsid w:val="005C26A1"/>
    <w:rsid w:val="005C6D96"/>
    <w:rsid w:val="005D39A7"/>
    <w:rsid w:val="005E0031"/>
    <w:rsid w:val="005E194A"/>
    <w:rsid w:val="005E20D0"/>
    <w:rsid w:val="005E696D"/>
    <w:rsid w:val="006008A7"/>
    <w:rsid w:val="006036A3"/>
    <w:rsid w:val="0060758B"/>
    <w:rsid w:val="006133B5"/>
    <w:rsid w:val="00624316"/>
    <w:rsid w:val="00625452"/>
    <w:rsid w:val="00625C6F"/>
    <w:rsid w:val="00631F7D"/>
    <w:rsid w:val="00637CE4"/>
    <w:rsid w:val="00645592"/>
    <w:rsid w:val="00656062"/>
    <w:rsid w:val="006652A5"/>
    <w:rsid w:val="00666EF3"/>
    <w:rsid w:val="00687605"/>
    <w:rsid w:val="00696AD9"/>
    <w:rsid w:val="006A382F"/>
    <w:rsid w:val="006C138B"/>
    <w:rsid w:val="006C61E4"/>
    <w:rsid w:val="006C73FA"/>
    <w:rsid w:val="006D1BA9"/>
    <w:rsid w:val="006E339F"/>
    <w:rsid w:val="006E64A8"/>
    <w:rsid w:val="006F01EB"/>
    <w:rsid w:val="00701C0C"/>
    <w:rsid w:val="007026DD"/>
    <w:rsid w:val="00710949"/>
    <w:rsid w:val="007117F0"/>
    <w:rsid w:val="007218BE"/>
    <w:rsid w:val="00724B59"/>
    <w:rsid w:val="00726432"/>
    <w:rsid w:val="00744D60"/>
    <w:rsid w:val="007467C1"/>
    <w:rsid w:val="00752553"/>
    <w:rsid w:val="007544EF"/>
    <w:rsid w:val="0077055C"/>
    <w:rsid w:val="00777563"/>
    <w:rsid w:val="00782079"/>
    <w:rsid w:val="007851E9"/>
    <w:rsid w:val="00787587"/>
    <w:rsid w:val="007944D9"/>
    <w:rsid w:val="007A5D83"/>
    <w:rsid w:val="007B0B61"/>
    <w:rsid w:val="007B6C52"/>
    <w:rsid w:val="007C35FA"/>
    <w:rsid w:val="007D19D4"/>
    <w:rsid w:val="007E21B5"/>
    <w:rsid w:val="00801A8E"/>
    <w:rsid w:val="00805BE3"/>
    <w:rsid w:val="0081259F"/>
    <w:rsid w:val="00817E09"/>
    <w:rsid w:val="008246D4"/>
    <w:rsid w:val="008330DE"/>
    <w:rsid w:val="008377E9"/>
    <w:rsid w:val="00837ABE"/>
    <w:rsid w:val="00845E77"/>
    <w:rsid w:val="00846E02"/>
    <w:rsid w:val="00862CAC"/>
    <w:rsid w:val="00870567"/>
    <w:rsid w:val="00875FE6"/>
    <w:rsid w:val="00883660"/>
    <w:rsid w:val="00887859"/>
    <w:rsid w:val="008B4679"/>
    <w:rsid w:val="008C1AC4"/>
    <w:rsid w:val="008C2DEB"/>
    <w:rsid w:val="008C56A3"/>
    <w:rsid w:val="008E0D66"/>
    <w:rsid w:val="008F608A"/>
    <w:rsid w:val="009117F3"/>
    <w:rsid w:val="009132C1"/>
    <w:rsid w:val="00926F27"/>
    <w:rsid w:val="009300EB"/>
    <w:rsid w:val="00932781"/>
    <w:rsid w:val="00933FFD"/>
    <w:rsid w:val="00937283"/>
    <w:rsid w:val="00944C21"/>
    <w:rsid w:val="0095533F"/>
    <w:rsid w:val="0095645D"/>
    <w:rsid w:val="0096227C"/>
    <w:rsid w:val="00965798"/>
    <w:rsid w:val="00967D5B"/>
    <w:rsid w:val="00973BD4"/>
    <w:rsid w:val="0098517C"/>
    <w:rsid w:val="009B01B6"/>
    <w:rsid w:val="009B359F"/>
    <w:rsid w:val="009C0B26"/>
    <w:rsid w:val="009D0697"/>
    <w:rsid w:val="009E01C0"/>
    <w:rsid w:val="009F23EA"/>
    <w:rsid w:val="00A00D25"/>
    <w:rsid w:val="00A01DDA"/>
    <w:rsid w:val="00A036FD"/>
    <w:rsid w:val="00A05236"/>
    <w:rsid w:val="00A053BB"/>
    <w:rsid w:val="00A05FBC"/>
    <w:rsid w:val="00A1246A"/>
    <w:rsid w:val="00A17FD4"/>
    <w:rsid w:val="00A21783"/>
    <w:rsid w:val="00A32DD5"/>
    <w:rsid w:val="00A34DA0"/>
    <w:rsid w:val="00A357B6"/>
    <w:rsid w:val="00A53F7D"/>
    <w:rsid w:val="00A575A1"/>
    <w:rsid w:val="00A57ED4"/>
    <w:rsid w:val="00A661FB"/>
    <w:rsid w:val="00A67CAC"/>
    <w:rsid w:val="00A708FE"/>
    <w:rsid w:val="00A77BAB"/>
    <w:rsid w:val="00A91DCE"/>
    <w:rsid w:val="00A93115"/>
    <w:rsid w:val="00A97B26"/>
    <w:rsid w:val="00AA2799"/>
    <w:rsid w:val="00AB43DB"/>
    <w:rsid w:val="00AC1F72"/>
    <w:rsid w:val="00AE06D8"/>
    <w:rsid w:val="00AE1DD6"/>
    <w:rsid w:val="00AE4556"/>
    <w:rsid w:val="00AE534A"/>
    <w:rsid w:val="00AF4938"/>
    <w:rsid w:val="00B064E5"/>
    <w:rsid w:val="00B23E78"/>
    <w:rsid w:val="00B31E4A"/>
    <w:rsid w:val="00B40326"/>
    <w:rsid w:val="00B5282A"/>
    <w:rsid w:val="00B65B05"/>
    <w:rsid w:val="00B80313"/>
    <w:rsid w:val="00B86E3A"/>
    <w:rsid w:val="00B908EA"/>
    <w:rsid w:val="00BA345B"/>
    <w:rsid w:val="00BC352B"/>
    <w:rsid w:val="00BD0362"/>
    <w:rsid w:val="00BD1E0F"/>
    <w:rsid w:val="00BD20A1"/>
    <w:rsid w:val="00BE4082"/>
    <w:rsid w:val="00BE4636"/>
    <w:rsid w:val="00BE7D44"/>
    <w:rsid w:val="00C0739F"/>
    <w:rsid w:val="00C118D7"/>
    <w:rsid w:val="00C20CA6"/>
    <w:rsid w:val="00C217E0"/>
    <w:rsid w:val="00C3669B"/>
    <w:rsid w:val="00C521C4"/>
    <w:rsid w:val="00C70B08"/>
    <w:rsid w:val="00C758F6"/>
    <w:rsid w:val="00C95F13"/>
    <w:rsid w:val="00CB0464"/>
    <w:rsid w:val="00CB46CB"/>
    <w:rsid w:val="00CC29A4"/>
    <w:rsid w:val="00CC3F4F"/>
    <w:rsid w:val="00CC6DE4"/>
    <w:rsid w:val="00CC7FC9"/>
    <w:rsid w:val="00CF5911"/>
    <w:rsid w:val="00CF7F2D"/>
    <w:rsid w:val="00D14282"/>
    <w:rsid w:val="00D177AA"/>
    <w:rsid w:val="00D2358F"/>
    <w:rsid w:val="00D36274"/>
    <w:rsid w:val="00D37822"/>
    <w:rsid w:val="00D40075"/>
    <w:rsid w:val="00D520C4"/>
    <w:rsid w:val="00D55971"/>
    <w:rsid w:val="00D55F8F"/>
    <w:rsid w:val="00D7560B"/>
    <w:rsid w:val="00D87C49"/>
    <w:rsid w:val="00D90355"/>
    <w:rsid w:val="00D90E29"/>
    <w:rsid w:val="00DA0559"/>
    <w:rsid w:val="00DB1813"/>
    <w:rsid w:val="00DC1BFC"/>
    <w:rsid w:val="00DC4670"/>
    <w:rsid w:val="00DD1D5E"/>
    <w:rsid w:val="00DD4361"/>
    <w:rsid w:val="00DE1FFE"/>
    <w:rsid w:val="00DE2F45"/>
    <w:rsid w:val="00DE7630"/>
    <w:rsid w:val="00DF0C87"/>
    <w:rsid w:val="00DF33F9"/>
    <w:rsid w:val="00E017CD"/>
    <w:rsid w:val="00E1292A"/>
    <w:rsid w:val="00E150CF"/>
    <w:rsid w:val="00E24E4B"/>
    <w:rsid w:val="00E331E2"/>
    <w:rsid w:val="00E37429"/>
    <w:rsid w:val="00E52284"/>
    <w:rsid w:val="00E55431"/>
    <w:rsid w:val="00E6013B"/>
    <w:rsid w:val="00E60BD6"/>
    <w:rsid w:val="00E73D13"/>
    <w:rsid w:val="00E909EB"/>
    <w:rsid w:val="00EA21F0"/>
    <w:rsid w:val="00EA32FB"/>
    <w:rsid w:val="00EA6112"/>
    <w:rsid w:val="00EB4062"/>
    <w:rsid w:val="00EC0D2E"/>
    <w:rsid w:val="00ED390E"/>
    <w:rsid w:val="00EE2620"/>
    <w:rsid w:val="00EE4748"/>
    <w:rsid w:val="00EF14FC"/>
    <w:rsid w:val="00EF25C1"/>
    <w:rsid w:val="00EF2AE3"/>
    <w:rsid w:val="00EF6283"/>
    <w:rsid w:val="00EF6F16"/>
    <w:rsid w:val="00F01830"/>
    <w:rsid w:val="00F348A3"/>
    <w:rsid w:val="00F36524"/>
    <w:rsid w:val="00F45BBC"/>
    <w:rsid w:val="00F45D47"/>
    <w:rsid w:val="00F46D81"/>
    <w:rsid w:val="00F66E0B"/>
    <w:rsid w:val="00F734ED"/>
    <w:rsid w:val="00F73931"/>
    <w:rsid w:val="00F82AA1"/>
    <w:rsid w:val="00F831F4"/>
    <w:rsid w:val="00F86492"/>
    <w:rsid w:val="00FA73CF"/>
    <w:rsid w:val="00FB3615"/>
    <w:rsid w:val="00FC14B3"/>
    <w:rsid w:val="00FD6F93"/>
    <w:rsid w:val="00FE0DB9"/>
    <w:rsid w:val="00FE6BDC"/>
    <w:rsid w:val="00FF0B09"/>
    <w:rsid w:val="00FF2C5A"/>
    <w:rsid w:val="00FF3C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7C734BD"/>
  <w15:docId w15:val="{A79DFE37-D6C0-44F7-BF1D-93B0B25F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CommentReference">
    <w:name w:val="annotation reference"/>
    <w:uiPriority w:val="99"/>
    <w:semiHidden/>
    <w:unhideWhenUsed/>
    <w:rsid w:val="00AE4556"/>
    <w:rPr>
      <w:sz w:val="16"/>
      <w:szCs w:val="16"/>
    </w:rPr>
  </w:style>
  <w:style w:type="paragraph" w:styleId="CommentText">
    <w:name w:val="annotation text"/>
    <w:basedOn w:val="Normal"/>
    <w:link w:val="CommentTextChar"/>
    <w:uiPriority w:val="99"/>
    <w:semiHidden/>
    <w:unhideWhenUsed/>
    <w:rsid w:val="00AE4556"/>
    <w:rPr>
      <w:lang w:val="x-none" w:eastAsia="x-none"/>
    </w:rPr>
  </w:style>
  <w:style w:type="character" w:customStyle="1" w:styleId="CommentTextChar">
    <w:name w:val="Comment Text Char"/>
    <w:link w:val="CommentText"/>
    <w:uiPriority w:val="99"/>
    <w:semiHidden/>
    <w:rsid w:val="00AE455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E4556"/>
    <w:rPr>
      <w:b/>
      <w:bCs/>
    </w:rPr>
  </w:style>
  <w:style w:type="character" w:customStyle="1" w:styleId="CommentSubjectChar">
    <w:name w:val="Comment Subject Char"/>
    <w:link w:val="CommentSubject"/>
    <w:uiPriority w:val="99"/>
    <w:semiHidden/>
    <w:rsid w:val="00AE4556"/>
    <w:rPr>
      <w:rFonts w:ascii="Times New Roman" w:hAnsi="Times New Roman"/>
      <w:b/>
      <w:bCs/>
    </w:rPr>
  </w:style>
  <w:style w:type="character" w:styleId="Hyperlink">
    <w:name w:val="Hyperlink"/>
    <w:uiPriority w:val="99"/>
    <w:unhideWhenUsed/>
    <w:rsid w:val="00845E77"/>
    <w:rPr>
      <w:color w:val="0000FF"/>
      <w:u w:val="single"/>
    </w:rPr>
  </w:style>
  <w:style w:type="character" w:styleId="FollowedHyperlink">
    <w:name w:val="FollowedHyperlink"/>
    <w:uiPriority w:val="99"/>
    <w:semiHidden/>
    <w:unhideWhenUsed/>
    <w:rsid w:val="0052798A"/>
    <w:rPr>
      <w:color w:val="800080"/>
      <w:u w:val="single"/>
    </w:rPr>
  </w:style>
  <w:style w:type="paragraph" w:styleId="Header">
    <w:name w:val="header"/>
    <w:basedOn w:val="Normal"/>
    <w:link w:val="HeaderChar"/>
    <w:uiPriority w:val="99"/>
    <w:unhideWhenUsed/>
    <w:rsid w:val="00BE4082"/>
    <w:pPr>
      <w:tabs>
        <w:tab w:val="center" w:pos="4680"/>
        <w:tab w:val="right" w:pos="9360"/>
      </w:tabs>
    </w:pPr>
  </w:style>
  <w:style w:type="character" w:customStyle="1" w:styleId="HeaderChar">
    <w:name w:val="Header Char"/>
    <w:link w:val="Header"/>
    <w:uiPriority w:val="99"/>
    <w:rsid w:val="00BE4082"/>
    <w:rPr>
      <w:rFonts w:ascii="Times New Roman" w:hAnsi="Times New Roman"/>
    </w:rPr>
  </w:style>
  <w:style w:type="paragraph" w:styleId="Footer">
    <w:name w:val="footer"/>
    <w:basedOn w:val="Normal"/>
    <w:link w:val="FooterChar"/>
    <w:uiPriority w:val="99"/>
    <w:unhideWhenUsed/>
    <w:rsid w:val="00BE4082"/>
    <w:pPr>
      <w:tabs>
        <w:tab w:val="center" w:pos="4680"/>
        <w:tab w:val="right" w:pos="9360"/>
      </w:tabs>
    </w:pPr>
  </w:style>
  <w:style w:type="character" w:customStyle="1" w:styleId="FooterChar">
    <w:name w:val="Footer Char"/>
    <w:link w:val="Footer"/>
    <w:uiPriority w:val="99"/>
    <w:rsid w:val="00BE4082"/>
    <w:rPr>
      <w:rFonts w:ascii="Times New Roman" w:hAnsi="Times New Roman"/>
    </w:rPr>
  </w:style>
  <w:style w:type="character" w:styleId="UnresolvedMention">
    <w:name w:val="Unresolved Mention"/>
    <w:basedOn w:val="DefaultParagraphFont"/>
    <w:uiPriority w:val="99"/>
    <w:semiHidden/>
    <w:unhideWhenUsed/>
    <w:rsid w:val="00932781"/>
    <w:rPr>
      <w:color w:val="605E5C"/>
      <w:shd w:val="clear" w:color="auto" w:fill="E1DFDD"/>
    </w:rPr>
  </w:style>
  <w:style w:type="paragraph" w:styleId="ListParagraph">
    <w:name w:val="List Paragraph"/>
    <w:basedOn w:val="Normal"/>
    <w:uiPriority w:val="34"/>
    <w:qFormat/>
    <w:rsid w:val="004F5D47"/>
    <w:pPr>
      <w:ind w:left="720"/>
      <w:contextualSpacing/>
    </w:pPr>
  </w:style>
  <w:style w:type="paragraph" w:customStyle="1" w:styleId="xmsonormal">
    <w:name w:val="x_msonormal"/>
    <w:basedOn w:val="Normal"/>
    <w:rsid w:val="002E35F4"/>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172051.htm" TargetMode="External" /><Relationship Id="rId6" Type="http://schemas.openxmlformats.org/officeDocument/2006/relationships/hyperlink" Target="https://www.bls.gov/news.release/ecec.t01.htm" TargetMode="External" /><Relationship Id="rId7" Type="http://schemas.openxmlformats.org/officeDocument/2006/relationships/hyperlink" Target="2024-DCB" TargetMode="External" /><Relationship Id="rId8" Type="http://schemas.openxmlformats.org/officeDocument/2006/relationships/hyperlink" Target="https://www.opm.gov/policy-data-oversight/pay-leave/salaries-wages/2024/general-schedule/"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B8BF6-2C12-4198-B6D7-8F5C4EA9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3925</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Alam, Shawn K</cp:lastModifiedBy>
  <cp:revision>47</cp:revision>
  <cp:lastPrinted>2024-06-10T12:34:00Z</cp:lastPrinted>
  <dcterms:created xsi:type="dcterms:W3CDTF">2024-08-14T17:35:00Z</dcterms:created>
  <dcterms:modified xsi:type="dcterms:W3CDTF">2024-08-14T19:02:00Z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vt:i4>
  </property>
  <property fmtid="{D5CDD505-2E9C-101B-9397-08002B2CF9AE}" pid="3" name="lqmsess">
    <vt:lpwstr>9d23d0cc-8d26-4578-8e07-61c5cafd7dd8</vt:lpwstr>
  </property>
  <property fmtid="{D5CDD505-2E9C-101B-9397-08002B2CF9AE}" pid="4" name="_AdHocReviewCycleID">
    <vt:i4>-1123186704</vt:i4>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EmailSubject">
    <vt:lpwstr>ICR 1094-0001</vt:lpwstr>
  </property>
  <property fmtid="{D5CDD505-2E9C-101B-9397-08002B2CF9AE}" pid="8" name="_NewReviewCycle">
    <vt:lpwstr/>
  </property>
  <property fmtid="{D5CDD505-2E9C-101B-9397-08002B2CF9AE}" pid="9" name="_ReviewingToolsShownOnce">
    <vt:lpwstr/>
  </property>
</Properties>
</file>