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7585" w:rsidP="00242A13" w14:paraId="2D70BBE2" w14:textId="6C472EA8">
      <w:pPr>
        <w:jc w:val="center"/>
        <w:rPr>
          <w:b/>
          <w:bCs/>
        </w:rPr>
      </w:pPr>
      <w:r w:rsidRPr="00B235CF">
        <w:rPr>
          <w:b/>
          <w:bCs/>
        </w:rPr>
        <w:t>SUPPORTING STATEMENT</w:t>
      </w:r>
      <w:r w:rsidR="00787478">
        <w:rPr>
          <w:b/>
          <w:bCs/>
        </w:rPr>
        <w:t xml:space="preserve"> </w:t>
      </w:r>
      <w:r w:rsidR="00242A13">
        <w:rPr>
          <w:b/>
          <w:bCs/>
        </w:rPr>
        <w:t xml:space="preserve">FOR THE ADMINISTRATION OF THE </w:t>
      </w:r>
      <w:r w:rsidR="0054073C">
        <w:rPr>
          <w:b/>
          <w:bCs/>
        </w:rPr>
        <w:t xml:space="preserve">2023 </w:t>
      </w:r>
      <w:r w:rsidR="00242A13">
        <w:rPr>
          <w:b/>
          <w:bCs/>
        </w:rPr>
        <w:t>CENSUS OF MEDICAL EXAMINER AND CORONER OFFICES</w:t>
      </w:r>
    </w:p>
    <w:p w:rsidR="0058091B" w:rsidRPr="00B235CF" w:rsidP="00B235CF" w14:paraId="58E49A47" w14:textId="77777777">
      <w:pPr>
        <w:rPr>
          <w:b/>
          <w:bCs/>
        </w:rPr>
      </w:pPr>
    </w:p>
    <w:p w:rsidR="00EA5E4F" w:rsidRPr="00EA5E4F" w:rsidP="00EA5E4F" w14:paraId="75D345B2" w14:textId="7F0DE010">
      <w:pPr>
        <w:pStyle w:val="Heading1"/>
        <w:numPr>
          <w:ilvl w:val="0"/>
          <w:numId w:val="16"/>
        </w:numPr>
        <w:spacing w:before="0" w:after="240"/>
        <w:ind w:left="360"/>
        <w:rPr>
          <w:rFonts w:ascii="Times New Roman" w:hAnsi="Times New Roman" w:cs="Times New Roman"/>
          <w:b/>
          <w:bCs/>
          <w:color w:val="auto"/>
          <w:sz w:val="24"/>
          <w:szCs w:val="24"/>
        </w:rPr>
      </w:pPr>
      <w:r w:rsidRPr="00B6047E">
        <w:rPr>
          <w:rFonts w:ascii="Times New Roman" w:hAnsi="Times New Roman" w:cs="Times New Roman"/>
          <w:b/>
          <w:bCs/>
          <w:color w:val="auto"/>
          <w:sz w:val="24"/>
          <w:szCs w:val="24"/>
        </w:rPr>
        <w:t>JUSTIFICATION</w:t>
      </w:r>
    </w:p>
    <w:p w:rsidR="00EA5E4F" w:rsidP="00EA5E4F" w14:paraId="3929E6BA" w14:textId="7205FA15">
      <w:pPr>
        <w:pStyle w:val="Heading2"/>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Overview</w:t>
      </w:r>
    </w:p>
    <w:p w:rsidR="004F6C33" w:rsidP="00401CC0" w14:paraId="68CE98C3" w14:textId="38A14962">
      <w:pPr>
        <w:autoSpaceDE w:val="0"/>
        <w:autoSpaceDN w:val="0"/>
        <w:adjustRightInd w:val="0"/>
        <w:rPr>
          <w:rFonts w:ascii="TimesNewRomanPSMT" w:hAnsi="TimesNewRomanPSMT" w:cs="TimesNewRomanPSMT"/>
        </w:rPr>
      </w:pPr>
      <w:r>
        <w:rPr>
          <w:rFonts w:ascii="TimesNewRomanPSMT" w:hAnsi="TimesNewRomanPSMT" w:cs="TimesNewRomanPSMT"/>
        </w:rPr>
        <w:t xml:space="preserve">The Bureau of Justice Statistics (BJS) </w:t>
      </w:r>
      <w:r w:rsidR="0018379E">
        <w:rPr>
          <w:rFonts w:ascii="TimesNewRomanPSMT" w:hAnsi="TimesNewRomanPSMT" w:cs="TimesNewRomanPSMT"/>
        </w:rPr>
        <w:t xml:space="preserve">requests clearance from the </w:t>
      </w:r>
      <w:r>
        <w:rPr>
          <w:rFonts w:ascii="TimesNewRomanPSMT" w:hAnsi="TimesNewRomanPSMT" w:cs="TimesNewRomanPSMT"/>
        </w:rPr>
        <w:t xml:space="preserve">Office of Management and Budget (OMB) </w:t>
      </w:r>
      <w:r>
        <w:rPr>
          <w:rFonts w:ascii="TimesNewRomanPSMT" w:hAnsi="TimesNewRomanPSMT" w:cs="TimesNewRomanPSMT"/>
        </w:rPr>
        <w:t xml:space="preserve">to </w:t>
      </w:r>
      <w:r>
        <w:rPr>
          <w:rFonts w:ascii="TimesNewRomanPSMT" w:hAnsi="TimesNewRomanPSMT" w:cs="TimesNewRomanPSMT"/>
        </w:rPr>
        <w:t>administer</w:t>
      </w:r>
      <w:r>
        <w:rPr>
          <w:rFonts w:ascii="TimesNewRomanPSMT" w:hAnsi="TimesNewRomanPSMT" w:cs="TimesNewRomanPSMT"/>
        </w:rPr>
        <w:t xml:space="preserve"> the </w:t>
      </w:r>
      <w:r>
        <w:rPr>
          <w:rFonts w:ascii="TimesNewRomanPS-BoldMT" w:hAnsi="TimesNewRomanPS-BoldMT" w:cs="TimesNewRomanPS-BoldMT"/>
          <w:b/>
          <w:bCs/>
        </w:rPr>
        <w:t>20</w:t>
      </w:r>
      <w:r w:rsidR="0005527F">
        <w:rPr>
          <w:rFonts w:ascii="TimesNewRomanPS-BoldMT" w:hAnsi="TimesNewRomanPS-BoldMT" w:cs="TimesNewRomanPS-BoldMT"/>
          <w:b/>
          <w:bCs/>
        </w:rPr>
        <w:t>23</w:t>
      </w:r>
      <w:r>
        <w:rPr>
          <w:rFonts w:ascii="TimesNewRomanPS-BoldMT" w:hAnsi="TimesNewRomanPS-BoldMT" w:cs="TimesNewRomanPS-BoldMT"/>
          <w:b/>
          <w:bCs/>
        </w:rPr>
        <w:t xml:space="preserve"> C</w:t>
      </w:r>
      <w:r w:rsidR="003D6656">
        <w:rPr>
          <w:rFonts w:ascii="TimesNewRomanPS-BoldMT" w:hAnsi="TimesNewRomanPS-BoldMT" w:cs="TimesNewRomanPS-BoldMT"/>
          <w:b/>
          <w:bCs/>
        </w:rPr>
        <w:t>e</w:t>
      </w:r>
      <w:r>
        <w:rPr>
          <w:rFonts w:ascii="TimesNewRomanPS-BoldMT" w:hAnsi="TimesNewRomanPS-BoldMT" w:cs="TimesNewRomanPS-BoldMT"/>
          <w:b/>
          <w:bCs/>
        </w:rPr>
        <w:t>nsus of Medical</w:t>
      </w:r>
      <w:r>
        <w:rPr>
          <w:rFonts w:ascii="TimesNewRomanPS-BoldMT" w:hAnsi="TimesNewRomanPS-BoldMT" w:cs="TimesNewRomanPS-BoldMT"/>
          <w:b/>
          <w:bCs/>
        </w:rPr>
        <w:t xml:space="preserve"> </w:t>
      </w:r>
      <w:r>
        <w:rPr>
          <w:rFonts w:ascii="TimesNewRomanPS-BoldMT" w:hAnsi="TimesNewRomanPS-BoldMT" w:cs="TimesNewRomanPS-BoldMT"/>
          <w:b/>
          <w:bCs/>
        </w:rPr>
        <w:t>Examiner and Coroner Offices (CMEC</w:t>
      </w:r>
      <w:r w:rsidR="00D91061">
        <w:rPr>
          <w:rFonts w:ascii="TimesNewRomanPS-BoldMT" w:hAnsi="TimesNewRomanPS-BoldMT" w:cs="TimesNewRomanPS-BoldMT"/>
          <w:b/>
          <w:bCs/>
        </w:rPr>
        <w:t>; attachment 1</w:t>
      </w:r>
      <w:r>
        <w:rPr>
          <w:rFonts w:ascii="TimesNewRomanPS-BoldMT" w:hAnsi="TimesNewRomanPS-BoldMT" w:cs="TimesNewRomanPS-BoldMT"/>
          <w:b/>
          <w:bCs/>
        </w:rPr>
        <w:t>)</w:t>
      </w:r>
      <w:r>
        <w:rPr>
          <w:rFonts w:ascii="TimesNewRomanPSMT" w:hAnsi="TimesNewRomanPSMT" w:cs="TimesNewRomanPSMT"/>
        </w:rPr>
        <w:t xml:space="preserve">. The survey builds on the previous </w:t>
      </w:r>
      <w:r w:rsidR="0005527F">
        <w:rPr>
          <w:rFonts w:ascii="TimesNewRomanPSMT" w:hAnsi="TimesNewRomanPSMT" w:cs="TimesNewRomanPSMT"/>
        </w:rPr>
        <w:t>administrations</w:t>
      </w:r>
      <w:r>
        <w:rPr>
          <w:rFonts w:ascii="TimesNewRomanPSMT" w:hAnsi="TimesNewRomanPSMT" w:cs="TimesNewRomanPSMT"/>
        </w:rPr>
        <w:t xml:space="preserve"> of the</w:t>
      </w:r>
      <w:r w:rsidR="0005527F">
        <w:rPr>
          <w:rFonts w:ascii="TimesNewRomanPSMT" w:hAnsi="TimesNewRomanPSMT" w:cs="TimesNewRomanPSMT"/>
        </w:rPr>
        <w:t xml:space="preserve"> </w:t>
      </w:r>
      <w:r>
        <w:rPr>
          <w:rFonts w:ascii="TimesNewRomanPSMT" w:hAnsi="TimesNewRomanPSMT" w:cs="TimesNewRomanPSMT"/>
        </w:rPr>
        <w:t xml:space="preserve">CMEC data collection </w:t>
      </w:r>
      <w:r w:rsidR="0005527F">
        <w:rPr>
          <w:rFonts w:ascii="TimesNewRomanPSMT" w:hAnsi="TimesNewRomanPSMT" w:cs="TimesNewRomanPSMT"/>
        </w:rPr>
        <w:t>that used 2004 and 2018 reference years</w:t>
      </w:r>
      <w:r>
        <w:rPr>
          <w:rFonts w:ascii="TimesNewRomanPSMT" w:hAnsi="TimesNewRomanPSMT" w:cs="TimesNewRomanPSMT"/>
        </w:rPr>
        <w:t xml:space="preserve">. </w:t>
      </w:r>
      <w:r w:rsidRPr="004F6C33">
        <w:rPr>
          <w:rFonts w:ascii="TimesNewRomanPSMT" w:hAnsi="TimesNewRomanPSMT" w:cs="TimesNewRomanPSMT"/>
        </w:rPr>
        <w:t xml:space="preserve">OMB provided a generic clearance for cognitive testing of the proposed 2023 </w:t>
      </w:r>
      <w:r>
        <w:rPr>
          <w:rFonts w:ascii="TimesNewRomanPSMT" w:hAnsi="TimesNewRomanPSMT" w:cs="TimesNewRomanPSMT"/>
        </w:rPr>
        <w:t>CMEC</w:t>
      </w:r>
      <w:r w:rsidRPr="004F6C33">
        <w:rPr>
          <w:rFonts w:ascii="TimesNewRomanPSMT" w:hAnsi="TimesNewRomanPSMT" w:cs="TimesNewRomanPSMT"/>
        </w:rPr>
        <w:t xml:space="preserve"> instrument in </w:t>
      </w:r>
      <w:r w:rsidRPr="00DA5C18" w:rsidR="00044BD5">
        <w:rPr>
          <w:rFonts w:ascii="TimesNewRomanPSMT" w:hAnsi="TimesNewRomanPSMT" w:cs="TimesNewRomanPSMT"/>
        </w:rPr>
        <w:t xml:space="preserve">November </w:t>
      </w:r>
      <w:r w:rsidRPr="00DA5C18" w:rsidR="00246F67">
        <w:rPr>
          <w:rFonts w:ascii="TimesNewRomanPSMT" w:hAnsi="TimesNewRomanPSMT" w:cs="TimesNewRomanPSMT"/>
        </w:rPr>
        <w:t>2023</w:t>
      </w:r>
      <w:r w:rsidRPr="00DA5C18">
        <w:rPr>
          <w:rFonts w:ascii="TimesNewRomanPSMT" w:hAnsi="TimesNewRomanPSMT" w:cs="TimesNewRomanPSMT"/>
        </w:rPr>
        <w:t xml:space="preserve"> (OMB No. 1121-</w:t>
      </w:r>
      <w:r w:rsidRPr="00DA5C18" w:rsidR="00044BD5">
        <w:rPr>
          <w:rFonts w:ascii="TimesNewRomanPSMT" w:hAnsi="TimesNewRomanPSMT" w:cs="TimesNewRomanPSMT"/>
        </w:rPr>
        <w:t>0339</w:t>
      </w:r>
      <w:r w:rsidRPr="00DA5C18">
        <w:rPr>
          <w:rFonts w:ascii="TimesNewRomanPSMT" w:hAnsi="TimesNewRomanPSMT" w:cs="TimesNewRomanPSMT"/>
        </w:rPr>
        <w:t xml:space="preserve">, expires </w:t>
      </w:r>
      <w:r w:rsidRPr="00DA5C18" w:rsidR="00044BD5">
        <w:rPr>
          <w:rFonts w:ascii="TimesNewRomanPSMT" w:hAnsi="TimesNewRomanPSMT" w:cs="TimesNewRomanPSMT"/>
        </w:rPr>
        <w:t>4</w:t>
      </w:r>
      <w:r w:rsidRPr="00DA5C18">
        <w:rPr>
          <w:rFonts w:ascii="TimesNewRomanPSMT" w:hAnsi="TimesNewRomanPSMT" w:cs="TimesNewRomanPSMT"/>
        </w:rPr>
        <w:t>/</w:t>
      </w:r>
      <w:r w:rsidRPr="00DA5C18" w:rsidR="00044BD5">
        <w:rPr>
          <w:rFonts w:ascii="TimesNewRomanPSMT" w:hAnsi="TimesNewRomanPSMT" w:cs="TimesNewRomanPSMT"/>
        </w:rPr>
        <w:t>30</w:t>
      </w:r>
      <w:r w:rsidRPr="00DA5C18">
        <w:rPr>
          <w:rFonts w:ascii="TimesNewRomanPSMT" w:hAnsi="TimesNewRomanPSMT" w:cs="TimesNewRomanPSMT"/>
        </w:rPr>
        <w:t>/</w:t>
      </w:r>
      <w:r w:rsidR="00044BD5">
        <w:rPr>
          <w:rFonts w:ascii="TimesNewRomanPSMT" w:hAnsi="TimesNewRomanPSMT" w:cs="TimesNewRomanPSMT"/>
        </w:rPr>
        <w:t>2025</w:t>
      </w:r>
      <w:r w:rsidRPr="004F6C33">
        <w:rPr>
          <w:rFonts w:ascii="TimesNewRomanPSMT" w:hAnsi="TimesNewRomanPSMT" w:cs="TimesNewRomanPSMT"/>
        </w:rPr>
        <w:t>). With cognitive testing now complete, BJS seeks to proceed with data collection.</w:t>
      </w:r>
    </w:p>
    <w:p w:rsidR="00DB1AAE" w:rsidP="00401CC0" w14:paraId="38BFC91C" w14:textId="77777777">
      <w:pPr>
        <w:autoSpaceDE w:val="0"/>
        <w:autoSpaceDN w:val="0"/>
        <w:adjustRightInd w:val="0"/>
        <w:rPr>
          <w:rFonts w:ascii="TimesNewRomanPSMT" w:hAnsi="TimesNewRomanPSMT" w:cs="TimesNewRomanPSMT"/>
        </w:rPr>
      </w:pPr>
    </w:p>
    <w:p w:rsidR="00434B6E" w:rsidP="00434B6E" w14:paraId="45CDD5CA" w14:textId="77777777">
      <w:pPr>
        <w:autoSpaceDE w:val="0"/>
        <w:autoSpaceDN w:val="0"/>
        <w:adjustRightInd w:val="0"/>
        <w:rPr>
          <w:rFonts w:ascii="TimesNewRomanPSMT" w:hAnsi="TimesNewRomanPSMT" w:cs="TimesNewRomanPSMT"/>
        </w:rPr>
      </w:pPr>
      <w:r w:rsidRPr="00434B6E">
        <w:rPr>
          <w:rFonts w:ascii="TimesNewRomanPSMT" w:hAnsi="TimesNewRomanPSMT" w:cs="TimesNewRomanPSMT"/>
        </w:rPr>
        <w:t>To reduce respondent burden and improve the utility of the data collection, BJS made the following revisions to the 2018 CMEC instrument. Changes to CMEC-1 for the 2023 CMEC include —</w:t>
      </w:r>
    </w:p>
    <w:p w:rsidR="00434B6E" w:rsidRPr="00434B6E" w:rsidP="00434B6E" w14:paraId="4808AA47" w14:textId="77777777">
      <w:pPr>
        <w:autoSpaceDE w:val="0"/>
        <w:autoSpaceDN w:val="0"/>
        <w:adjustRightInd w:val="0"/>
        <w:rPr>
          <w:rFonts w:ascii="TimesNewRomanPSMT" w:hAnsi="TimesNewRomanPSMT" w:cs="TimesNewRomanPSMT"/>
        </w:rPr>
      </w:pPr>
    </w:p>
    <w:p w:rsidR="00434B6E" w:rsidRPr="00434B6E" w:rsidP="00434B6E" w14:paraId="048F8DDD" w14:textId="452D8F2A">
      <w:pPr>
        <w:pStyle w:val="ListParagraph"/>
        <w:numPr>
          <w:ilvl w:val="0"/>
          <w:numId w:val="26"/>
        </w:numPr>
        <w:autoSpaceDE w:val="0"/>
        <w:autoSpaceDN w:val="0"/>
        <w:adjustRightInd w:val="0"/>
        <w:rPr>
          <w:rFonts w:ascii="TimesNewRomanPSMT" w:hAnsi="TimesNewRomanPSMT" w:cs="TimesNewRomanPSMT"/>
        </w:rPr>
      </w:pPr>
      <w:r w:rsidRPr="00434B6E">
        <w:rPr>
          <w:rFonts w:ascii="TimesNewRomanPSMT" w:hAnsi="TimesNewRomanPSMT" w:cs="TimesNewRomanPSMT"/>
        </w:rPr>
        <w:t xml:space="preserve">Removing questions when the information was not critical or could be obtained elsewhere, the item applied to a minority of MEC offices, </w:t>
      </w:r>
      <w:r w:rsidR="00607245">
        <w:rPr>
          <w:rFonts w:ascii="TimesNewRomanPSMT" w:hAnsi="TimesNewRomanPSMT" w:cs="TimesNewRomanPSMT"/>
        </w:rPr>
        <w:t>or</w:t>
      </w:r>
      <w:r w:rsidRPr="00434B6E">
        <w:rPr>
          <w:rFonts w:ascii="TimesNewRomanPSMT" w:hAnsi="TimesNewRomanPSMT" w:cs="TimesNewRomanPSMT"/>
        </w:rPr>
        <w:t xml:space="preserve"> the question proved difficult for respondents during cognitive testing. </w:t>
      </w:r>
    </w:p>
    <w:p w:rsidR="00434B6E" w:rsidRPr="00434B6E" w:rsidP="00434B6E" w14:paraId="124204D8" w14:textId="41BBF7D6">
      <w:pPr>
        <w:pStyle w:val="ListParagraph"/>
        <w:numPr>
          <w:ilvl w:val="0"/>
          <w:numId w:val="26"/>
        </w:numPr>
        <w:autoSpaceDE w:val="0"/>
        <w:autoSpaceDN w:val="0"/>
        <w:adjustRightInd w:val="0"/>
        <w:rPr>
          <w:rFonts w:ascii="TimesNewRomanPSMT" w:hAnsi="TimesNewRomanPSMT" w:cs="TimesNewRomanPSMT"/>
        </w:rPr>
      </w:pPr>
      <w:r w:rsidRPr="00434B6E">
        <w:rPr>
          <w:rFonts w:ascii="TimesNewRomanPSMT" w:hAnsi="TimesNewRomanPSMT" w:cs="TimesNewRomanPSMT"/>
        </w:rPr>
        <w:t xml:space="preserve">Reducing the data points that respondents will need to complete </w:t>
      </w:r>
      <w:r w:rsidRPr="00434B6E">
        <w:rPr>
          <w:rFonts w:ascii="TimesNewRomanPSMT" w:hAnsi="TimesNewRomanPSMT" w:cs="TimesNewRomanPSMT"/>
        </w:rPr>
        <w:t>through the use of</w:t>
      </w:r>
      <w:r w:rsidRPr="00434B6E">
        <w:rPr>
          <w:rFonts w:ascii="TimesNewRomanPSMT" w:hAnsi="TimesNewRomanPSMT" w:cs="TimesNewRomanPSMT"/>
        </w:rPr>
        <w:t xml:space="preserve"> new skip patterns. </w:t>
      </w:r>
    </w:p>
    <w:p w:rsidR="00DB1AAE" w:rsidRPr="00434B6E" w:rsidP="00434B6E" w14:paraId="50504892" w14:textId="7FDA1758">
      <w:pPr>
        <w:pStyle w:val="ListParagraph"/>
        <w:numPr>
          <w:ilvl w:val="0"/>
          <w:numId w:val="26"/>
        </w:numPr>
        <w:autoSpaceDE w:val="0"/>
        <w:autoSpaceDN w:val="0"/>
        <w:adjustRightInd w:val="0"/>
        <w:rPr>
          <w:rFonts w:ascii="TimesNewRomanPSMT" w:hAnsi="TimesNewRomanPSMT" w:cs="TimesNewRomanPSMT"/>
        </w:rPr>
      </w:pPr>
      <w:r w:rsidRPr="00434B6E">
        <w:rPr>
          <w:rFonts w:ascii="TimesNewRomanPSMT" w:hAnsi="TimesNewRomanPSMT" w:cs="TimesNewRomanPSMT"/>
        </w:rPr>
        <w:t>Adding questions to better assess (1) resource issues in CMEC offices, including the availability of mental health and wellness resources and the extent to which staff incur out-of-pocket expenses and have access to work vehicles; (2) how autopsies are handled; (3) preparedness for mass fatality events; (4) how unidentified human remains are held, disposed of, and what biometric samples are collected prior to disposition; and (5) how offices dispose of unclaimed human remains and whether there is outreach to the Veterans Administration to determine veteran status.</w:t>
      </w:r>
    </w:p>
    <w:p w:rsidR="00434B6E" w:rsidRPr="00DB1AAE" w:rsidP="00434B6E" w14:paraId="1E5C3CF9" w14:textId="77777777">
      <w:pPr>
        <w:autoSpaceDE w:val="0"/>
        <w:autoSpaceDN w:val="0"/>
        <w:adjustRightInd w:val="0"/>
        <w:rPr>
          <w:rFonts w:ascii="TimesNewRomanPSMT" w:hAnsi="TimesNewRomanPSMT" w:cs="TimesNewRomanPSMT"/>
        </w:rPr>
      </w:pPr>
    </w:p>
    <w:p w:rsidR="00F0214E" w:rsidP="004F6C33" w14:paraId="3FF8DB40" w14:textId="32EFECA2">
      <w:pPr>
        <w:autoSpaceDE w:val="0"/>
        <w:autoSpaceDN w:val="0"/>
        <w:adjustRightInd w:val="0"/>
        <w:rPr>
          <w:rFonts w:ascii="TimesNewRomanPSMT" w:hAnsi="TimesNewRomanPSMT" w:cs="TimesNewRomanPSMT"/>
        </w:rPr>
      </w:pPr>
      <w:r w:rsidRPr="004652D7">
        <w:rPr>
          <w:rFonts w:ascii="TimesNewRomanPSMT" w:hAnsi="TimesNewRomanPSMT" w:cs="TimesNewRomanPSMT"/>
        </w:rPr>
        <w:t xml:space="preserve">BJS plans to field the </w:t>
      </w:r>
      <w:r>
        <w:rPr>
          <w:rFonts w:ascii="TimesNewRomanPSMT" w:hAnsi="TimesNewRomanPSMT" w:cs="TimesNewRomanPSMT"/>
        </w:rPr>
        <w:t xml:space="preserve">2023 </w:t>
      </w:r>
      <w:r w:rsidRPr="004652D7">
        <w:rPr>
          <w:rFonts w:ascii="TimesNewRomanPSMT" w:hAnsi="TimesNewRomanPSMT" w:cs="TimesNewRomanPSMT"/>
        </w:rPr>
        <w:t xml:space="preserve">CMEC from September 2024 through July 2025. </w:t>
      </w:r>
      <w:r w:rsidRPr="6B090802" w:rsidR="004F6C33">
        <w:rPr>
          <w:rFonts w:ascii="TimesNewRomanPSMT" w:hAnsi="TimesNewRomanPSMT" w:cs="TimesNewRomanPSMT"/>
        </w:rPr>
        <w:t xml:space="preserve">The </w:t>
      </w:r>
      <w:r w:rsidRPr="6B090802" w:rsidR="008367C1">
        <w:rPr>
          <w:rFonts w:ascii="TimesNewRomanPSMT" w:hAnsi="TimesNewRomanPSMT" w:cs="TimesNewRomanPSMT"/>
        </w:rPr>
        <w:t>goal</w:t>
      </w:r>
      <w:r w:rsidRPr="6B090802" w:rsidR="004F6C33">
        <w:rPr>
          <w:rFonts w:ascii="TimesNewRomanPSMT" w:hAnsi="TimesNewRomanPSMT" w:cs="TimesNewRomanPSMT"/>
        </w:rPr>
        <w:t xml:space="preserve"> of the data collection is to gather and report information on</w:t>
      </w:r>
      <w:r w:rsidR="002E21F5">
        <w:rPr>
          <w:rFonts w:ascii="TimesNewRomanPSMT" w:hAnsi="TimesNewRomanPSMT" w:cs="TimesNewRomanPSMT"/>
        </w:rPr>
        <w:t xml:space="preserve"> </w:t>
      </w:r>
      <w:r w:rsidRPr="6B090802" w:rsidR="004F6C33">
        <w:rPr>
          <w:rFonts w:ascii="TimesNewRomanPSMT" w:hAnsi="TimesNewRomanPSMT" w:cs="TimesNewRomanPSMT"/>
        </w:rPr>
        <w:t xml:space="preserve">the </w:t>
      </w:r>
      <w:r w:rsidR="00255476">
        <w:rPr>
          <w:rFonts w:ascii="TimesNewRomanPSMT" w:hAnsi="TimesNewRomanPSMT" w:cs="TimesNewRomanPSMT"/>
        </w:rPr>
        <w:t>operations</w:t>
      </w:r>
      <w:r w:rsidRPr="6B090802" w:rsidR="004F6C33">
        <w:rPr>
          <w:rFonts w:ascii="TimesNewRomanPSMT" w:hAnsi="TimesNewRomanPSMT" w:cs="TimesNewRomanPSMT"/>
        </w:rPr>
        <w:t xml:space="preserve"> of </w:t>
      </w:r>
      <w:r w:rsidR="00255476">
        <w:rPr>
          <w:rFonts w:ascii="TimesNewRomanPSMT" w:hAnsi="TimesNewRomanPSMT" w:cs="TimesNewRomanPSMT"/>
        </w:rPr>
        <w:t xml:space="preserve">the </w:t>
      </w:r>
      <w:r w:rsidR="009C35C3">
        <w:rPr>
          <w:rFonts w:ascii="TimesNewRomanPSMT" w:hAnsi="TimesNewRomanPSMT" w:cs="TimesNewRomanPSMT"/>
        </w:rPr>
        <w:t xml:space="preserve">public </w:t>
      </w:r>
      <w:r w:rsidRPr="001807AA" w:rsidR="009C35C3">
        <w:rPr>
          <w:rFonts w:ascii="TimesNewRomanPSMT" w:hAnsi="TimesNewRomanPSMT" w:cs="TimesNewRomanPSMT"/>
        </w:rPr>
        <w:t>offices</w:t>
      </w:r>
      <w:r w:rsidR="009C35C3">
        <w:rPr>
          <w:rFonts w:ascii="TimesNewRomanPSMT" w:hAnsi="TimesNewRomanPSMT" w:cs="TimesNewRomanPSMT"/>
        </w:rPr>
        <w:t xml:space="preserve"> </w:t>
      </w:r>
      <w:r w:rsidR="00255476">
        <w:rPr>
          <w:rFonts w:ascii="TimesNewRomanPSMT" w:hAnsi="TimesNewRomanPSMT" w:cs="TimesNewRomanPSMT"/>
        </w:rPr>
        <w:t xml:space="preserve">that </w:t>
      </w:r>
      <w:r w:rsidR="009C35C3">
        <w:rPr>
          <w:rFonts w:ascii="TimesNewRomanPSMT" w:hAnsi="TimesNewRomanPSMT" w:cs="TimesNewRomanPSMT"/>
        </w:rPr>
        <w:t xml:space="preserve">conduct medicolegal death investigations (MDI) </w:t>
      </w:r>
      <w:r w:rsidRPr="6B090802" w:rsidR="009C35C3">
        <w:rPr>
          <w:rFonts w:ascii="TimesNewRomanPSMT" w:hAnsi="TimesNewRomanPSMT" w:cs="TimesNewRomanPSMT"/>
        </w:rPr>
        <w:t>in the United States</w:t>
      </w:r>
      <w:r w:rsidRPr="6B090802" w:rsidR="004F6C33">
        <w:rPr>
          <w:rFonts w:ascii="TimesNewRomanPSMT" w:hAnsi="TimesNewRomanPSMT" w:cs="TimesNewRomanPSMT"/>
        </w:rPr>
        <w:t xml:space="preserve">, </w:t>
      </w:r>
      <w:r w:rsidR="00F971BA">
        <w:rPr>
          <w:rFonts w:ascii="TimesNewRomanPSMT" w:hAnsi="TimesNewRomanPSMT" w:cs="TimesNewRomanPSMT"/>
        </w:rPr>
        <w:t>including</w:t>
      </w:r>
      <w:r w:rsidR="001B3FC9">
        <w:rPr>
          <w:rFonts w:ascii="TimesNewRomanPSMT" w:hAnsi="TimesNewRomanPSMT" w:cs="TimesNewRomanPSMT"/>
        </w:rPr>
        <w:t xml:space="preserve"> their</w:t>
      </w:r>
      <w:r w:rsidRPr="6B090802" w:rsidR="004F6C33">
        <w:rPr>
          <w:rFonts w:ascii="TimesNewRomanPSMT" w:hAnsi="TimesNewRomanPSMT" w:cs="TimesNewRomanPSMT"/>
        </w:rPr>
        <w:t xml:space="preserve"> budget</w:t>
      </w:r>
      <w:r w:rsidR="001B3FC9">
        <w:rPr>
          <w:rFonts w:ascii="TimesNewRomanPSMT" w:hAnsi="TimesNewRomanPSMT" w:cs="TimesNewRomanPSMT"/>
        </w:rPr>
        <w:t>,</w:t>
      </w:r>
      <w:r w:rsidRPr="6B090802" w:rsidR="004F6C33">
        <w:rPr>
          <w:rFonts w:ascii="TimesNewRomanPSMT" w:hAnsi="TimesNewRomanPSMT" w:cs="TimesNewRomanPSMT"/>
        </w:rPr>
        <w:t xml:space="preserve"> staffing</w:t>
      </w:r>
      <w:r w:rsidR="001B3FC9">
        <w:rPr>
          <w:rFonts w:ascii="TimesNewRomanPSMT" w:hAnsi="TimesNewRomanPSMT" w:cs="TimesNewRomanPSMT"/>
        </w:rPr>
        <w:t>, and</w:t>
      </w:r>
      <w:r w:rsidRPr="6B090802" w:rsidR="004F6C33">
        <w:rPr>
          <w:rFonts w:ascii="TimesNewRomanPSMT" w:hAnsi="TimesNewRomanPSMT" w:cs="TimesNewRomanPSMT"/>
        </w:rPr>
        <w:t xml:space="preserve"> workload </w:t>
      </w:r>
      <w:r w:rsidR="00F971BA">
        <w:rPr>
          <w:rFonts w:ascii="TimesNewRomanPSMT" w:hAnsi="TimesNewRomanPSMT" w:cs="TimesNewRomanPSMT"/>
        </w:rPr>
        <w:t xml:space="preserve">(e.g., </w:t>
      </w:r>
      <w:r w:rsidRPr="6B090802" w:rsidR="004F6C33">
        <w:rPr>
          <w:rFonts w:ascii="TimesNewRomanPSMT" w:hAnsi="TimesNewRomanPSMT" w:cs="TimesNewRomanPSMT"/>
        </w:rPr>
        <w:t>referred</w:t>
      </w:r>
      <w:r w:rsidRPr="6B090802" w:rsidR="004F6C33">
        <w:rPr>
          <w:rFonts w:ascii="TimesNewRomanPSMT" w:hAnsi="TimesNewRomanPSMT" w:cs="TimesNewRomanPSMT"/>
        </w:rPr>
        <w:t xml:space="preserve"> and accepted cases, backlogs, and autopsies</w:t>
      </w:r>
      <w:r w:rsidR="00F971BA">
        <w:rPr>
          <w:rFonts w:ascii="TimesNewRomanPSMT" w:hAnsi="TimesNewRomanPSMT" w:cs="TimesNewRomanPSMT"/>
        </w:rPr>
        <w:t>)</w:t>
      </w:r>
      <w:r w:rsidRPr="6B090802" w:rsidR="004F6C33">
        <w:rPr>
          <w:rFonts w:ascii="TimesNewRomanPSMT" w:hAnsi="TimesNewRomanPSMT" w:cs="TimesNewRomanPSMT"/>
        </w:rPr>
        <w:t>. Through the CMEC</w:t>
      </w:r>
      <w:r w:rsidR="00853D3F">
        <w:rPr>
          <w:rFonts w:ascii="TimesNewRomanPSMT" w:hAnsi="TimesNewRomanPSMT" w:cs="TimesNewRomanPSMT"/>
        </w:rPr>
        <w:t xml:space="preserve"> questionnaire</w:t>
      </w:r>
      <w:r w:rsidRPr="6B090802" w:rsidR="004F6C33">
        <w:rPr>
          <w:rFonts w:ascii="TimesNewRomanPSMT" w:hAnsi="TimesNewRomanPSMT" w:cs="TimesNewRomanPSMT"/>
        </w:rPr>
        <w:t xml:space="preserve">, BJS </w:t>
      </w:r>
      <w:r w:rsidR="00835AE1">
        <w:rPr>
          <w:rFonts w:ascii="TimesNewRomanPSMT" w:hAnsi="TimesNewRomanPSMT" w:cs="TimesNewRomanPSMT"/>
        </w:rPr>
        <w:t xml:space="preserve">will </w:t>
      </w:r>
      <w:r w:rsidRPr="6B090802" w:rsidR="004F6C33">
        <w:rPr>
          <w:rFonts w:ascii="TimesNewRomanPSMT" w:hAnsi="TimesNewRomanPSMT" w:cs="TimesNewRomanPSMT"/>
        </w:rPr>
        <w:t>collect data on the expenditures, records and evidence retention policies, and resources of the</w:t>
      </w:r>
      <w:r w:rsidR="009C35C3">
        <w:rPr>
          <w:rFonts w:ascii="TimesNewRomanPSMT" w:hAnsi="TimesNewRomanPSMT" w:cs="TimesNewRomanPSMT"/>
        </w:rPr>
        <w:t xml:space="preserve"> offices.</w:t>
      </w:r>
      <w:r w:rsidRPr="6B090802" w:rsidR="004F6C33">
        <w:rPr>
          <w:rFonts w:ascii="TimesNewRomanPSMT" w:hAnsi="TimesNewRomanPSMT" w:cs="TimesNewRomanPSMT"/>
        </w:rPr>
        <w:t xml:space="preserve"> The CMEC </w:t>
      </w:r>
      <w:r w:rsidR="00835AE1">
        <w:rPr>
          <w:rFonts w:ascii="TimesNewRomanPSMT" w:hAnsi="TimesNewRomanPSMT" w:cs="TimesNewRomanPSMT"/>
        </w:rPr>
        <w:t xml:space="preserve">will </w:t>
      </w:r>
      <w:r w:rsidRPr="6B090802" w:rsidR="004F6C33">
        <w:rPr>
          <w:rFonts w:ascii="TimesNewRomanPSMT" w:hAnsi="TimesNewRomanPSMT" w:cs="TimesNewRomanPSMT"/>
        </w:rPr>
        <w:t xml:space="preserve">also gather information on administrative characteristics </w:t>
      </w:r>
      <w:r w:rsidRPr="6B090802" w:rsidR="00A4709A">
        <w:rPr>
          <w:rFonts w:ascii="TimesNewRomanPSMT" w:hAnsi="TimesNewRomanPSMT" w:cs="TimesNewRomanPSMT"/>
        </w:rPr>
        <w:t xml:space="preserve">of </w:t>
      </w:r>
      <w:r w:rsidR="00A4709A">
        <w:rPr>
          <w:rFonts w:ascii="TimesNewRomanPSMT" w:hAnsi="TimesNewRomanPSMT" w:cs="TimesNewRomanPSMT"/>
        </w:rPr>
        <w:t>the</w:t>
      </w:r>
      <w:r w:rsidR="009C35C3">
        <w:rPr>
          <w:rFonts w:ascii="TimesNewRomanPSMT" w:hAnsi="TimesNewRomanPSMT" w:cs="TimesNewRomanPSMT"/>
        </w:rPr>
        <w:t xml:space="preserve"> </w:t>
      </w:r>
      <w:r w:rsidR="009755A6">
        <w:rPr>
          <w:rFonts w:ascii="TimesNewRomanPSMT" w:hAnsi="TimesNewRomanPSMT" w:cs="TimesNewRomanPSMT"/>
        </w:rPr>
        <w:t>agencies</w:t>
      </w:r>
      <w:r w:rsidRPr="6B090802" w:rsidR="004F6C33">
        <w:rPr>
          <w:rFonts w:ascii="TimesNewRomanPSMT" w:hAnsi="TimesNewRomanPSMT" w:cs="TimesNewRomanPSMT"/>
        </w:rPr>
        <w:t xml:space="preserve">, including </w:t>
      </w:r>
      <w:r w:rsidR="00F4398A">
        <w:rPr>
          <w:rFonts w:ascii="TimesNewRomanPSMT" w:hAnsi="TimesNewRomanPSMT" w:cs="TimesNewRomanPSMT"/>
        </w:rPr>
        <w:t>type</w:t>
      </w:r>
      <w:r w:rsidR="009755A6">
        <w:rPr>
          <w:rFonts w:ascii="TimesNewRomanPSMT" w:hAnsi="TimesNewRomanPSMT" w:cs="TimesNewRomanPSMT"/>
        </w:rPr>
        <w:t xml:space="preserve"> of office (e.g., medical examiner or coroner), number and type</w:t>
      </w:r>
      <w:r w:rsidR="00F4398A">
        <w:rPr>
          <w:rFonts w:ascii="TimesNewRomanPSMT" w:hAnsi="TimesNewRomanPSMT" w:cs="TimesNewRomanPSMT"/>
        </w:rPr>
        <w:t xml:space="preserve">s of </w:t>
      </w:r>
      <w:r w:rsidR="009755A6">
        <w:rPr>
          <w:rFonts w:ascii="TimesNewRomanPSMT" w:hAnsi="TimesNewRomanPSMT" w:cs="TimesNewRomanPSMT"/>
        </w:rPr>
        <w:t xml:space="preserve">employees </w:t>
      </w:r>
      <w:r w:rsidRPr="6B090802" w:rsidR="004F6C33">
        <w:rPr>
          <w:rFonts w:ascii="TimesNewRomanPSMT" w:hAnsi="TimesNewRomanPSMT" w:cs="TimesNewRomanPSMT"/>
        </w:rPr>
        <w:t xml:space="preserve">(e.g., forensic pathologists, </w:t>
      </w:r>
      <w:r w:rsidR="009755A6">
        <w:rPr>
          <w:rFonts w:ascii="TimesNewRomanPSMT" w:hAnsi="TimesNewRomanPSMT" w:cs="TimesNewRomanPSMT"/>
        </w:rPr>
        <w:t>death investigators</w:t>
      </w:r>
      <w:r w:rsidRPr="6B090802" w:rsidR="004F6C33">
        <w:rPr>
          <w:rFonts w:ascii="TimesNewRomanPSMT" w:hAnsi="TimesNewRomanPSMT" w:cs="TimesNewRomanPSMT"/>
        </w:rPr>
        <w:t xml:space="preserve">, </w:t>
      </w:r>
      <w:r w:rsidR="009755A6">
        <w:rPr>
          <w:rFonts w:ascii="TimesNewRomanPSMT" w:hAnsi="TimesNewRomanPSMT" w:cs="TimesNewRomanPSMT"/>
        </w:rPr>
        <w:t>and</w:t>
      </w:r>
      <w:r w:rsidRPr="6B090802" w:rsidR="004F6C33">
        <w:rPr>
          <w:rFonts w:ascii="TimesNewRomanPSMT" w:hAnsi="TimesNewRomanPSMT" w:cs="TimesNewRomanPSMT"/>
        </w:rPr>
        <w:t xml:space="preserve"> support personnel), </w:t>
      </w:r>
      <w:r w:rsidR="009755A6">
        <w:rPr>
          <w:rFonts w:ascii="TimesNewRomanPSMT" w:hAnsi="TimesNewRomanPSMT" w:cs="TimesNewRomanPSMT"/>
        </w:rPr>
        <w:t xml:space="preserve">types of </w:t>
      </w:r>
      <w:r w:rsidRPr="6B090802" w:rsidR="004F6C33">
        <w:rPr>
          <w:rFonts w:ascii="TimesNewRomanPSMT" w:hAnsi="TimesNewRomanPSMT" w:cs="TimesNewRomanPSMT"/>
        </w:rPr>
        <w:t>specialized death investigations, and size and type of jurisdiction serve</w:t>
      </w:r>
      <w:r w:rsidR="009755A6">
        <w:rPr>
          <w:rFonts w:ascii="TimesNewRomanPSMT" w:hAnsi="TimesNewRomanPSMT" w:cs="TimesNewRomanPSMT"/>
        </w:rPr>
        <w:t>d</w:t>
      </w:r>
      <w:r w:rsidRPr="6B090802" w:rsidR="004F6C33">
        <w:rPr>
          <w:rFonts w:ascii="TimesNewRomanPSMT" w:hAnsi="TimesNewRomanPSMT" w:cs="TimesNewRomanPSMT"/>
        </w:rPr>
        <w:t xml:space="preserve">. </w:t>
      </w:r>
    </w:p>
    <w:p w:rsidR="00401CC0" w:rsidRPr="004652D7" w:rsidP="00401CC0" w14:paraId="0C65AAFF" w14:textId="77777777">
      <w:pPr>
        <w:autoSpaceDE w:val="0"/>
        <w:autoSpaceDN w:val="0"/>
        <w:adjustRightInd w:val="0"/>
        <w:rPr>
          <w:rFonts w:ascii="TimesNewRomanPSMT" w:hAnsi="TimesNewRomanPSMT" w:cs="TimesNewRomanPSMT"/>
        </w:rPr>
      </w:pPr>
    </w:p>
    <w:p w:rsidR="006A078B" w:rsidRPr="007A7D0D" w:rsidP="006A078B" w14:paraId="1780B169" w14:textId="4DCD65D4">
      <w:pPr>
        <w:autoSpaceDE w:val="0"/>
        <w:autoSpaceDN w:val="0"/>
      </w:pPr>
      <w:bookmarkStart w:id="0" w:name="_Hlk169781585"/>
      <w:r w:rsidRPr="007A7D0D">
        <w:t xml:space="preserve">BJS </w:t>
      </w:r>
      <w:r>
        <w:t>intends to conduct the</w:t>
      </w:r>
      <w:r w:rsidRPr="007A7D0D">
        <w:t xml:space="preserve"> </w:t>
      </w:r>
      <w:r w:rsidR="00EB3585">
        <w:t xml:space="preserve">2023 </w:t>
      </w:r>
      <w:r w:rsidRPr="007A7D0D">
        <w:t xml:space="preserve">CMEC among </w:t>
      </w:r>
      <w:r w:rsidR="00F12B1A">
        <w:t xml:space="preserve">approximately </w:t>
      </w:r>
      <w:r>
        <w:t xml:space="preserve">3,000 </w:t>
      </w:r>
      <w:r w:rsidR="00EB3585">
        <w:t xml:space="preserve">state and local </w:t>
      </w:r>
      <w:r w:rsidRPr="007A7D0D">
        <w:t>offices that me</w:t>
      </w:r>
      <w:r>
        <w:t>e</w:t>
      </w:r>
      <w:r w:rsidRPr="007A7D0D">
        <w:t xml:space="preserve">t </w:t>
      </w:r>
      <w:r w:rsidR="00E835A6">
        <w:t xml:space="preserve">one of </w:t>
      </w:r>
      <w:r w:rsidRPr="007A7D0D">
        <w:t>the following eligibility</w:t>
      </w:r>
      <w:r w:rsidR="00E835A6">
        <w:t xml:space="preserve"> criteria</w:t>
      </w:r>
      <w:r w:rsidRPr="007A7D0D">
        <w:t>—</w:t>
      </w:r>
    </w:p>
    <w:p w:rsidR="006A078B" w:rsidRPr="007A7D0D" w:rsidP="006A078B" w14:paraId="3F22BD85" w14:textId="77777777">
      <w:pPr>
        <w:autoSpaceDE w:val="0"/>
        <w:autoSpaceDN w:val="0"/>
      </w:pPr>
    </w:p>
    <w:p w:rsidR="006A078B" w:rsidRPr="007A7D0D" w:rsidP="006A0C00" w14:paraId="32CD6FE2" w14:textId="4147AF26">
      <w:pPr>
        <w:pStyle w:val="ListParagraph"/>
        <w:numPr>
          <w:ilvl w:val="0"/>
          <w:numId w:val="28"/>
        </w:numPr>
        <w:autoSpaceDE w:val="0"/>
        <w:autoSpaceDN w:val="0"/>
      </w:pPr>
      <w:r>
        <w:t>T</w:t>
      </w:r>
      <w:r w:rsidRPr="007A7D0D">
        <w:t xml:space="preserve">he office investigates to determine a cause and manner of </w:t>
      </w:r>
      <w:r w:rsidRPr="007A7D0D">
        <w:t>death;</w:t>
      </w:r>
      <w:r w:rsidRPr="007A7D0D">
        <w:t xml:space="preserve"> </w:t>
      </w:r>
    </w:p>
    <w:p w:rsidR="006A078B" w:rsidP="006A0C00" w14:paraId="0E49FF68" w14:textId="7021F00F">
      <w:pPr>
        <w:pStyle w:val="ListParagraph"/>
        <w:numPr>
          <w:ilvl w:val="0"/>
          <w:numId w:val="28"/>
        </w:numPr>
        <w:autoSpaceDE w:val="0"/>
        <w:autoSpaceDN w:val="0"/>
      </w:pPr>
      <w:r>
        <w:t>T</w:t>
      </w:r>
      <w:r w:rsidRPr="007A7D0D">
        <w:t>he coroner</w:t>
      </w:r>
      <w:r w:rsidR="00F12B1A">
        <w:t>,</w:t>
      </w:r>
      <w:r w:rsidRPr="007A7D0D">
        <w:t xml:space="preserve"> medical examiner</w:t>
      </w:r>
      <w:r w:rsidR="00F12B1A">
        <w:t>,</w:t>
      </w:r>
      <w:r w:rsidRPr="007A7D0D">
        <w:t xml:space="preserve"> or forensic pathologist within the office signs death </w:t>
      </w:r>
      <w:r w:rsidRPr="007A7D0D">
        <w:t>certificates;</w:t>
      </w:r>
      <w:r w:rsidRPr="007A7D0D">
        <w:t xml:space="preserve"> </w:t>
      </w:r>
    </w:p>
    <w:p w:rsidR="006A078B" w:rsidRPr="007A7D0D" w:rsidP="006A0C00" w14:paraId="47D7E523" w14:textId="5A2A3F12">
      <w:pPr>
        <w:pStyle w:val="ListParagraph"/>
        <w:numPr>
          <w:ilvl w:val="0"/>
          <w:numId w:val="28"/>
        </w:numPr>
        <w:autoSpaceDE w:val="0"/>
        <w:autoSpaceDN w:val="0"/>
      </w:pPr>
      <w:r>
        <w:t>T</w:t>
      </w:r>
      <w:r>
        <w:t xml:space="preserve">he Texas </w:t>
      </w:r>
      <w:r w:rsidR="005A2AB0">
        <w:t>j</w:t>
      </w:r>
      <w:r>
        <w:t xml:space="preserve">ustice of the </w:t>
      </w:r>
      <w:r w:rsidR="005A2AB0">
        <w:t>p</w:t>
      </w:r>
      <w:r>
        <w:t>eace perform</w:t>
      </w:r>
      <w:r w:rsidR="005A2AB0">
        <w:t>s</w:t>
      </w:r>
      <w:r>
        <w:t xml:space="preserve"> medicolegal death investigations in addition to other court-derived responsibilities; </w:t>
      </w:r>
      <w:r w:rsidR="005A2AB0">
        <w:t>or</w:t>
      </w:r>
      <w:r w:rsidRPr="007A7D0D">
        <w:t xml:space="preserve"> </w:t>
      </w:r>
    </w:p>
    <w:p w:rsidR="006A078B" w:rsidRPr="007A7D0D" w:rsidP="006A0C00" w14:paraId="407E5DEF" w14:textId="3A3B1727">
      <w:pPr>
        <w:pStyle w:val="ListParagraph"/>
        <w:numPr>
          <w:ilvl w:val="0"/>
          <w:numId w:val="28"/>
        </w:numPr>
        <w:autoSpaceDE w:val="0"/>
        <w:autoSpaceDN w:val="0"/>
      </w:pPr>
      <w:r>
        <w:t>T</w:t>
      </w:r>
      <w:r w:rsidRPr="007A7D0D">
        <w:t>he office determines when autopsies should be performed, even if the autopsy is performed outside of the office.</w:t>
      </w:r>
    </w:p>
    <w:bookmarkEnd w:id="0"/>
    <w:p w:rsidR="006A078B" w:rsidRPr="007A7D0D" w:rsidP="006A078B" w14:paraId="4AE67B15" w14:textId="77777777">
      <w:pPr>
        <w:autoSpaceDE w:val="0"/>
        <w:autoSpaceDN w:val="0"/>
      </w:pPr>
    </w:p>
    <w:p w:rsidR="00C640EF" w:rsidP="006A078B" w14:paraId="5D965224" w14:textId="791D1081">
      <w:pPr>
        <w:autoSpaceDE w:val="0"/>
        <w:autoSpaceDN w:val="0"/>
      </w:pPr>
      <w:r>
        <w:t>These 3,000 agencies include both MEC offices and justices of the peace (JP</w:t>
      </w:r>
      <w:r w:rsidR="0084563F">
        <w:t>s</w:t>
      </w:r>
      <w:r>
        <w:t>) in Texas.</w:t>
      </w:r>
    </w:p>
    <w:p w:rsidR="006A078B" w:rsidP="00C640EF" w14:paraId="070CA5A1" w14:textId="384C6CD7">
      <w:pPr>
        <w:pStyle w:val="ListParagraph"/>
        <w:numPr>
          <w:ilvl w:val="0"/>
          <w:numId w:val="19"/>
        </w:numPr>
        <w:autoSpaceDE w:val="0"/>
        <w:autoSpaceDN w:val="0"/>
      </w:pPr>
      <w:r w:rsidRPr="00D91061">
        <w:rPr>
          <w:b/>
          <w:bCs/>
        </w:rPr>
        <w:t>MEC Offices</w:t>
      </w:r>
      <w:r>
        <w:t xml:space="preserve">: </w:t>
      </w:r>
      <w:r w:rsidRPr="007A7D0D">
        <w:t xml:space="preserve">Using the current National Directory of Law Enforcement Administrators (NDLEA) and list of offices maintained by the CDC’s Collaborating Office for Medical Examiners and Coroners, BJS has identified about </w:t>
      </w:r>
      <w:r w:rsidR="00597B99">
        <w:t>3</w:t>
      </w:r>
      <w:r w:rsidRPr="00815391">
        <w:t>00</w:t>
      </w:r>
      <w:r w:rsidRPr="007A7D0D">
        <w:t xml:space="preserve"> new MEC offices that </w:t>
      </w:r>
      <w:r>
        <w:t>performed</w:t>
      </w:r>
      <w:r w:rsidRPr="007A7D0D">
        <w:t xml:space="preserve"> </w:t>
      </w:r>
      <w:r>
        <w:t>MDI work</w:t>
      </w:r>
      <w:r w:rsidRPr="007A7D0D">
        <w:t xml:space="preserve"> in 2023, increasing the total number of MEC offices eligible for the 2023 CMEC to approximately 2,</w:t>
      </w:r>
      <w:r w:rsidR="00597B99">
        <w:t>3</w:t>
      </w:r>
      <w:r w:rsidRPr="007A7D0D">
        <w:t xml:space="preserve">00.   </w:t>
      </w:r>
    </w:p>
    <w:p w:rsidR="006A078B" w:rsidP="00D91061" w14:paraId="38BDC120" w14:textId="09FF6A61">
      <w:pPr>
        <w:pStyle w:val="ListParagraph"/>
        <w:numPr>
          <w:ilvl w:val="0"/>
          <w:numId w:val="19"/>
        </w:numPr>
        <w:autoSpaceDE w:val="0"/>
        <w:autoSpaceDN w:val="0"/>
      </w:pPr>
      <w:r w:rsidRPr="00C640EF">
        <w:rPr>
          <w:b/>
          <w:bCs/>
        </w:rPr>
        <w:t xml:space="preserve">JPs in Texas: </w:t>
      </w:r>
      <w:r>
        <w:t>To</w:t>
      </w:r>
      <w:r>
        <w:t xml:space="preserve"> provide more comprehensive statistics on the nation’s MDI work outside of the traditional MEC offices, the 2023 CMEC will include the approximately 700 justices of the peace (JPs) in Texas that </w:t>
      </w:r>
      <w:r w:rsidRPr="007A7D0D">
        <w:t>make cause and manner of death determinations but</w:t>
      </w:r>
      <w:r>
        <w:t xml:space="preserve"> were </w:t>
      </w:r>
      <w:r w:rsidRPr="007A7D0D">
        <w:t xml:space="preserve">out of scope for the 2004 and 2018 CMECs. Texas is unique in how its death investigation functions are apportioned. Texas law states that once a county reaches a population of 2 million, it is required to transition to a medical examiner system. The rest of Texas has the responsibilities of death investigation assigned to local JPs, whose duties are </w:t>
      </w:r>
      <w:r w:rsidRPr="007A7D0D">
        <w:t>similar to</w:t>
      </w:r>
      <w:r w:rsidRPr="007A7D0D">
        <w:t xml:space="preserve"> coroners in other states. </w:t>
      </w:r>
      <w:r>
        <w:t>The</w:t>
      </w:r>
      <w:r w:rsidRPr="007A7D0D">
        <w:t xml:space="preserve"> JPs provide death investigation services in </w:t>
      </w:r>
      <w:r w:rsidRPr="007A7D0D">
        <w:t>the majority of</w:t>
      </w:r>
      <w:r w:rsidRPr="007A7D0D">
        <w:t xml:space="preserve"> Texas’ 254 counties. </w:t>
      </w:r>
      <w:r>
        <w:t xml:space="preserve">The JPs in Texas have largely been excluded from federal surveys of MEC offices, as they also </w:t>
      </w:r>
      <w:r w:rsidRPr="007A7D0D">
        <w:t xml:space="preserve">have </w:t>
      </w:r>
      <w:r>
        <w:t xml:space="preserve">a </w:t>
      </w:r>
      <w:r w:rsidRPr="007A7D0D">
        <w:t xml:space="preserve">myriad </w:t>
      </w:r>
      <w:r>
        <w:t xml:space="preserve">of </w:t>
      </w:r>
      <w:r w:rsidRPr="007A7D0D">
        <w:t>other responsibilities</w:t>
      </w:r>
      <w:r>
        <w:t>, and l</w:t>
      </w:r>
      <w:r w:rsidRPr="007A7D0D">
        <w:t>ittle is known about the death investigation system</w:t>
      </w:r>
      <w:r>
        <w:t xml:space="preserve"> across these agencies</w:t>
      </w:r>
      <w:r w:rsidRPr="007A7D0D">
        <w:t>.</w:t>
      </w:r>
      <w:r>
        <w:t xml:space="preserve"> </w:t>
      </w:r>
      <w:r w:rsidR="0038711C">
        <w:t>T</w:t>
      </w:r>
      <w:r>
        <w:t xml:space="preserve">hese offices serve about 40% of the population of Texas and represent a large body of </w:t>
      </w:r>
      <w:r w:rsidR="0038711C">
        <w:t>MDI</w:t>
      </w:r>
      <w:r>
        <w:t xml:space="preserve"> work that has not been documented in a systematic way. The 2023 CMEC will provide much-needed insight into how the MDI operations</w:t>
      </w:r>
      <w:r w:rsidRPr="007A7D0D">
        <w:t xml:space="preserve"> </w:t>
      </w:r>
      <w:r>
        <w:t>of JPs compare to those within MEC offices.</w:t>
      </w:r>
    </w:p>
    <w:p w:rsidR="006A078B" w:rsidP="006A078B" w14:paraId="62A6C323" w14:textId="77777777">
      <w:pPr>
        <w:autoSpaceDE w:val="0"/>
        <w:autoSpaceDN w:val="0"/>
      </w:pPr>
    </w:p>
    <w:p w:rsidR="006A078B" w:rsidP="006A078B" w14:paraId="3298FFBD" w14:textId="458F67B0">
      <w:pPr>
        <w:autoSpaceDE w:val="0"/>
        <w:autoSpaceDN w:val="0"/>
      </w:pPr>
      <w:r>
        <w:t>The approximately 3,000 agencies in the 2023 CMEC (including 2,</w:t>
      </w:r>
      <w:r w:rsidR="00F90581">
        <w:t>3</w:t>
      </w:r>
      <w:r>
        <w:t xml:space="preserve">00 MEC offices and 700 JPs in Texas) will receive the same questionnaire. </w:t>
      </w:r>
      <w:r w:rsidRPr="007A7D0D">
        <w:t>Th</w:t>
      </w:r>
      <w:r>
        <w:t xml:space="preserve">e 700 JPs in Texas, however, will receive </w:t>
      </w:r>
      <w:r w:rsidRPr="007A7D0D">
        <w:t xml:space="preserve">a specialized </w:t>
      </w:r>
      <w:r>
        <w:t>letter inviting them to participate as a new group in the CMEC</w:t>
      </w:r>
      <w:r w:rsidR="004907AF">
        <w:t xml:space="preserve"> (</w:t>
      </w:r>
      <w:r w:rsidRPr="002101FA" w:rsidR="004907AF">
        <w:rPr>
          <w:b/>
          <w:bCs/>
        </w:rPr>
        <w:t>Attachment 6</w:t>
      </w:r>
      <w:r w:rsidR="004907AF">
        <w:t>)</w:t>
      </w:r>
      <w:r>
        <w:t xml:space="preserve">. As with the </w:t>
      </w:r>
      <w:r w:rsidR="00597B99">
        <w:t>2,300</w:t>
      </w:r>
      <w:r>
        <w:t xml:space="preserve"> MEC</w:t>
      </w:r>
      <w:r w:rsidR="00F90581">
        <w:t xml:space="preserve"> offices</w:t>
      </w:r>
      <w:r>
        <w:t xml:space="preserve">, BJS and RTI will also send nonresponse follow-up emails to the 700 JPs in Texas to encourage their participation.  </w:t>
      </w:r>
    </w:p>
    <w:p w:rsidR="00F0214E" w:rsidP="00401CC0" w14:paraId="10B49E6F" w14:textId="77777777">
      <w:pPr>
        <w:autoSpaceDE w:val="0"/>
        <w:autoSpaceDN w:val="0"/>
        <w:adjustRightInd w:val="0"/>
        <w:rPr>
          <w:rFonts w:ascii="TimesNewRomanPSMT" w:hAnsi="TimesNewRomanPSMT" w:cs="TimesNewRomanPSMT"/>
        </w:rPr>
      </w:pPr>
    </w:p>
    <w:p w:rsidR="000005CE" w:rsidP="000005CE" w14:paraId="04DC62B0" w14:textId="578AE8BD">
      <w:pPr>
        <w:autoSpaceDE w:val="0"/>
        <w:autoSpaceDN w:val="0"/>
        <w:adjustRightInd w:val="0"/>
        <w:rPr>
          <w:rFonts w:ascii="TimesNewRomanPSMT" w:hAnsi="TimesNewRomanPSMT" w:cs="TimesNewRomanPSMT"/>
        </w:rPr>
      </w:pPr>
      <w:r>
        <w:rPr>
          <w:rFonts w:ascii="TimesNewRomanPSMT" w:hAnsi="TimesNewRomanPSMT" w:cs="TimesNewRomanPSMT"/>
        </w:rPr>
        <w:t>S</w:t>
      </w:r>
      <w:r>
        <w:rPr>
          <w:rFonts w:ascii="TimesNewRomanPSMT" w:hAnsi="TimesNewRomanPSMT" w:cs="TimesNewRomanPSMT"/>
        </w:rPr>
        <w:t>imilar to</w:t>
      </w:r>
      <w:r>
        <w:rPr>
          <w:rFonts w:ascii="TimesNewRomanPSMT" w:hAnsi="TimesNewRomanPSMT" w:cs="TimesNewRomanPSMT"/>
        </w:rPr>
        <w:t xml:space="preserve"> </w:t>
      </w:r>
      <w:r w:rsidRPr="3A2A44E0">
        <w:rPr>
          <w:rFonts w:ascii="TimesNewRomanPSMT" w:hAnsi="TimesNewRomanPSMT" w:cs="TimesNewRomanPSMT"/>
        </w:rPr>
        <w:t xml:space="preserve">the </w:t>
      </w:r>
      <w:r>
        <w:rPr>
          <w:rFonts w:ascii="TimesNewRomanPSMT" w:hAnsi="TimesNewRomanPSMT" w:cs="TimesNewRomanPSMT"/>
        </w:rPr>
        <w:t>2004 and 2018</w:t>
      </w:r>
      <w:r w:rsidRPr="3A2A44E0">
        <w:rPr>
          <w:rFonts w:ascii="TimesNewRomanPSMT" w:hAnsi="TimesNewRomanPSMT" w:cs="TimesNewRomanPSMT"/>
        </w:rPr>
        <w:t xml:space="preserve"> CMEC, </w:t>
      </w:r>
      <w:r w:rsidRPr="6B090802">
        <w:rPr>
          <w:rFonts w:ascii="TimesNewRomanPSMT" w:hAnsi="TimesNewRomanPSMT" w:cs="TimesNewRomanPSMT"/>
        </w:rPr>
        <w:t>BJS plans to conduct a census rather than a sample survey for the 2023 CMEC</w:t>
      </w:r>
      <w:r>
        <w:rPr>
          <w:rFonts w:ascii="TimesNewRomanPSMT" w:hAnsi="TimesNewRomanPSMT" w:cs="TimesNewRomanPSMT"/>
        </w:rPr>
        <w:t>.</w:t>
      </w:r>
      <w:r w:rsidRPr="6B090802">
        <w:rPr>
          <w:rFonts w:ascii="TimesNewRomanPSMT" w:hAnsi="TimesNewRomanPSMT" w:cs="TimesNewRomanPSMT"/>
        </w:rPr>
        <w:t xml:space="preserve"> Interest among federal, state, and local agencies relies on the study to ascertain the basic needs of MEC</w:t>
      </w:r>
      <w:r w:rsidR="008667F1">
        <w:rPr>
          <w:rFonts w:ascii="TimesNewRomanPSMT" w:hAnsi="TimesNewRomanPSMT" w:cs="TimesNewRomanPSMT"/>
        </w:rPr>
        <w:t xml:space="preserve"> office</w:t>
      </w:r>
      <w:r w:rsidRPr="6B090802">
        <w:rPr>
          <w:rFonts w:ascii="TimesNewRomanPSMT" w:hAnsi="TimesNewRomanPSMT" w:cs="TimesNewRomanPSMT"/>
        </w:rPr>
        <w:t xml:space="preserve">s nationwide. There is a known shortage of forensic pathologists and </w:t>
      </w:r>
      <w:r w:rsidR="0021313C">
        <w:rPr>
          <w:rFonts w:ascii="TimesNewRomanPSMT" w:hAnsi="TimesNewRomanPSMT" w:cs="TimesNewRomanPSMT"/>
        </w:rPr>
        <w:t>MDI</w:t>
      </w:r>
      <w:r w:rsidRPr="6B090802">
        <w:rPr>
          <w:rFonts w:ascii="TimesNewRomanPSMT" w:hAnsi="TimesNewRomanPSMT" w:cs="TimesNewRomanPSMT"/>
        </w:rPr>
        <w:t xml:space="preserve"> staff nationwide.</w:t>
      </w:r>
      <w:r>
        <w:rPr>
          <w:rStyle w:val="FootnoteReference"/>
          <w:rFonts w:ascii="TimesNewRomanPSMT" w:hAnsi="TimesNewRomanPSMT"/>
        </w:rPr>
        <w:footnoteReference w:id="3"/>
      </w:r>
      <w:r w:rsidRPr="6B090802">
        <w:rPr>
          <w:rFonts w:ascii="TimesNewRomanPSMT" w:hAnsi="TimesNewRomanPSMT" w:cs="TimesNewRomanPSMT"/>
          <w:sz w:val="16"/>
          <w:szCs w:val="16"/>
        </w:rPr>
        <w:t xml:space="preserve"> </w:t>
      </w:r>
      <w:r>
        <w:rPr>
          <w:rFonts w:ascii="TimesNewRomanPSMT" w:hAnsi="TimesNewRomanPSMT" w:cs="TimesNewRomanPSMT"/>
        </w:rPr>
        <w:t>T</w:t>
      </w:r>
      <w:r w:rsidRPr="6B090802">
        <w:rPr>
          <w:rFonts w:ascii="TimesNewRomanPSMT" w:hAnsi="TimesNewRomanPSMT" w:cs="TimesNewRomanPSMT"/>
        </w:rPr>
        <w:t xml:space="preserve">he extent of the problem as measured by national caseload is </w:t>
      </w:r>
      <w:r>
        <w:rPr>
          <w:rFonts w:ascii="TimesNewRomanPSMT" w:hAnsi="TimesNewRomanPSMT" w:cs="TimesNewRomanPSMT"/>
        </w:rPr>
        <w:t>currently</w:t>
      </w:r>
      <w:r w:rsidRPr="6B090802">
        <w:rPr>
          <w:rFonts w:ascii="TimesNewRomanPSMT" w:hAnsi="TimesNewRomanPSMT" w:cs="TimesNewRomanPSMT"/>
        </w:rPr>
        <w:t xml:space="preserve"> based on the 2018 CMEC</w:t>
      </w:r>
      <w:r>
        <w:rPr>
          <w:rFonts w:ascii="TimesNewRomanPSMT" w:hAnsi="TimesNewRomanPSMT" w:cs="TimesNewRomanPSMT"/>
        </w:rPr>
        <w:t xml:space="preserve">. The 2023 CMEC is needed to </w:t>
      </w:r>
      <w:r w:rsidRPr="6B090802">
        <w:rPr>
          <w:rFonts w:ascii="TimesNewRomanPSMT" w:hAnsi="TimesNewRomanPSMT" w:cs="TimesNewRomanPSMT"/>
        </w:rPr>
        <w:t>identify the national caseload of death investigation cases and the staffing in place to address this caseload</w:t>
      </w:r>
      <w:r>
        <w:rPr>
          <w:rFonts w:ascii="TimesNewRomanPSMT" w:hAnsi="TimesNewRomanPSMT" w:cs="TimesNewRomanPSMT"/>
        </w:rPr>
        <w:t xml:space="preserve"> </w:t>
      </w:r>
      <w:r>
        <w:rPr>
          <w:rFonts w:ascii="TimesNewRomanPSMT" w:hAnsi="TimesNewRomanPSMT" w:cs="TimesNewRomanPSMT"/>
        </w:rPr>
        <w:t>since 2018</w:t>
      </w:r>
      <w:r w:rsidR="0018379E">
        <w:rPr>
          <w:rFonts w:ascii="TimesNewRomanPSMT" w:hAnsi="TimesNewRomanPSMT" w:cs="TimesNewRomanPSMT"/>
        </w:rPr>
        <w:t>, particularly</w:t>
      </w:r>
      <w:r w:rsidRPr="0018379E" w:rsidR="0018379E">
        <w:rPr>
          <w:rFonts w:ascii="TimesNewRomanPSMT" w:hAnsi="TimesNewRomanPSMT" w:cs="TimesNewRomanPSMT"/>
        </w:rPr>
        <w:t xml:space="preserve"> </w:t>
      </w:r>
      <w:r w:rsidR="0018379E">
        <w:rPr>
          <w:rFonts w:ascii="TimesNewRomanPSMT" w:hAnsi="TimesNewRomanPSMT" w:cs="TimesNewRomanPSMT"/>
        </w:rPr>
        <w:t>following</w:t>
      </w:r>
      <w:r w:rsidRPr="6B090802" w:rsidR="0018379E">
        <w:rPr>
          <w:rFonts w:ascii="TimesNewRomanPSMT" w:hAnsi="TimesNewRomanPSMT" w:cs="TimesNewRomanPSMT"/>
        </w:rPr>
        <w:t xml:space="preserve"> the COVID-19 pandemic and </w:t>
      </w:r>
      <w:r w:rsidR="0018379E">
        <w:rPr>
          <w:rFonts w:ascii="TimesNewRomanPSMT" w:hAnsi="TimesNewRomanPSMT" w:cs="TimesNewRomanPSMT"/>
        </w:rPr>
        <w:t xml:space="preserve">the ongoing </w:t>
      </w:r>
      <w:r w:rsidRPr="6B090802" w:rsidR="0018379E">
        <w:rPr>
          <w:rFonts w:ascii="TimesNewRomanPSMT" w:hAnsi="TimesNewRomanPSMT" w:cs="TimesNewRomanPSMT"/>
        </w:rPr>
        <w:t>opioid epidemic.</w:t>
      </w:r>
      <w:r>
        <w:rPr>
          <w:rStyle w:val="FootnoteReference"/>
          <w:rFonts w:ascii="TimesNewRomanPSMT" w:hAnsi="TimesNewRomanPSMT"/>
        </w:rPr>
        <w:footnoteReference w:id="4"/>
      </w:r>
      <w:r>
        <w:rPr>
          <w:rFonts w:ascii="TimesNewRomanPSMT" w:hAnsi="TimesNewRomanPSMT" w:cs="TimesNewRomanPSMT"/>
        </w:rPr>
        <w:t xml:space="preserve"> It will also provide new insight into the work being done where </w:t>
      </w:r>
      <w:r w:rsidR="005F72C1">
        <w:rPr>
          <w:rFonts w:ascii="TimesNewRomanPSMT" w:hAnsi="TimesNewRomanPSMT" w:cs="TimesNewRomanPSMT"/>
        </w:rPr>
        <w:t>JPs</w:t>
      </w:r>
      <w:r>
        <w:rPr>
          <w:rFonts w:ascii="TimesNewRomanPSMT" w:hAnsi="TimesNewRomanPSMT" w:cs="TimesNewRomanPSMT"/>
        </w:rPr>
        <w:t xml:space="preserve"> perform medicolegal death investigations. </w:t>
      </w:r>
    </w:p>
    <w:p w:rsidR="000005CE" w:rsidP="000005CE" w14:paraId="15C2BD3A" w14:textId="77777777">
      <w:pPr>
        <w:autoSpaceDE w:val="0"/>
        <w:autoSpaceDN w:val="0"/>
        <w:adjustRightInd w:val="0"/>
        <w:rPr>
          <w:rFonts w:ascii="TimesNewRomanPSMT" w:hAnsi="TimesNewRomanPSMT" w:cs="TimesNewRomanPSMT"/>
        </w:rPr>
      </w:pPr>
    </w:p>
    <w:p w:rsidR="000005CE" w:rsidP="000005CE" w14:paraId="7DD53E07" w14:textId="7C5CC1A7">
      <w:pPr>
        <w:autoSpaceDE w:val="0"/>
        <w:autoSpaceDN w:val="0"/>
        <w:adjustRightInd w:val="0"/>
        <w:rPr>
          <w:rFonts w:ascii="TimesNewRomanPSMT" w:hAnsi="TimesNewRomanPSMT" w:cs="TimesNewRomanPSMT"/>
        </w:rPr>
      </w:pPr>
      <w:r w:rsidRPr="6B090802">
        <w:rPr>
          <w:rFonts w:ascii="TimesNewRomanPSMT" w:hAnsi="TimesNewRomanPSMT" w:cs="TimesNewRomanPSMT"/>
        </w:rPr>
        <w:t xml:space="preserve">With a census design, the </w:t>
      </w:r>
      <w:r>
        <w:rPr>
          <w:rFonts w:ascii="TimesNewRomanPSMT" w:hAnsi="TimesNewRomanPSMT" w:cs="TimesNewRomanPSMT"/>
        </w:rPr>
        <w:t xml:space="preserve">2023 </w:t>
      </w:r>
      <w:r w:rsidRPr="6B090802">
        <w:rPr>
          <w:rFonts w:ascii="TimesNewRomanPSMT" w:hAnsi="TimesNewRomanPSMT" w:cs="TimesNewRomanPSMT"/>
        </w:rPr>
        <w:t xml:space="preserve">data will comprehensively inform national, state, and local </w:t>
      </w:r>
      <w:r w:rsidRPr="6B090802">
        <w:rPr>
          <w:rFonts w:ascii="TimesNewRomanPSMT" w:hAnsi="TimesNewRomanPSMT" w:cs="TimesNewRomanPSMT"/>
        </w:rPr>
        <w:t>policy-making</w:t>
      </w:r>
      <w:r w:rsidRPr="6B090802">
        <w:rPr>
          <w:rFonts w:ascii="TimesNewRomanPSMT" w:hAnsi="TimesNewRomanPSMT" w:cs="TimesNewRomanPSMT"/>
        </w:rPr>
        <w:t xml:space="preserve"> and budget planning.</w:t>
      </w:r>
      <w:r>
        <w:rPr>
          <w:rFonts w:ascii="TimesNewRomanPSMT" w:hAnsi="TimesNewRomanPSMT" w:cs="TimesNewRomanPSMT"/>
        </w:rPr>
        <w:t xml:space="preserve"> Information generated by the 2023 CMEC will help to improve our national understanding of MEC</w:t>
      </w:r>
      <w:r w:rsidR="008667F1">
        <w:rPr>
          <w:rFonts w:ascii="TimesNewRomanPSMT" w:hAnsi="TimesNewRomanPSMT" w:cs="TimesNewRomanPSMT"/>
        </w:rPr>
        <w:t xml:space="preserve"> office</w:t>
      </w:r>
      <w:r>
        <w:rPr>
          <w:rFonts w:ascii="TimesNewRomanPSMT" w:hAnsi="TimesNewRomanPSMT" w:cs="TimesNewRomanPSMT"/>
        </w:rPr>
        <w:t>s and their operations</w:t>
      </w:r>
      <w:r w:rsidR="00200749">
        <w:rPr>
          <w:rFonts w:ascii="TimesNewRomanPSMT" w:hAnsi="TimesNewRomanPSMT" w:cs="TimesNewRomanPSMT"/>
        </w:rPr>
        <w:t>, including the Texas JPs</w:t>
      </w:r>
      <w:r>
        <w:rPr>
          <w:rFonts w:ascii="TimesNewRomanPSMT" w:hAnsi="TimesNewRomanPSMT" w:cs="TimesNewRomanPSMT"/>
        </w:rPr>
        <w:t xml:space="preserve">. The information will be </w:t>
      </w:r>
      <w:r w:rsidR="0018379E">
        <w:rPr>
          <w:rFonts w:ascii="TimesNewRomanPSMT" w:hAnsi="TimesNewRomanPSMT" w:cs="TimesNewRomanPSMT"/>
        </w:rPr>
        <w:t>used by governments</w:t>
      </w:r>
      <w:r>
        <w:rPr>
          <w:rFonts w:ascii="TimesNewRomanPSMT" w:hAnsi="TimesNewRomanPSMT" w:cs="TimesNewRomanPSMT"/>
        </w:rPr>
        <w:t xml:space="preserve"> to assess </w:t>
      </w:r>
      <w:r w:rsidR="0018379E">
        <w:rPr>
          <w:rFonts w:ascii="TimesNewRomanPSMT" w:hAnsi="TimesNewRomanPSMT" w:cs="TimesNewRomanPSMT"/>
        </w:rPr>
        <w:t>where</w:t>
      </w:r>
      <w:r>
        <w:rPr>
          <w:rFonts w:ascii="TimesNewRomanPSMT" w:hAnsi="TimesNewRomanPSMT" w:cs="TimesNewRomanPSMT"/>
        </w:rPr>
        <w:t xml:space="preserve"> additional resources </w:t>
      </w:r>
      <w:r w:rsidR="0018379E">
        <w:rPr>
          <w:rFonts w:ascii="TimesNewRomanPSMT" w:hAnsi="TimesNewRomanPSMT" w:cs="TimesNewRomanPSMT"/>
        </w:rPr>
        <w:t xml:space="preserve">are needed </w:t>
      </w:r>
      <w:r>
        <w:rPr>
          <w:rFonts w:ascii="TimesNewRomanPSMT" w:hAnsi="TimesNewRomanPSMT" w:cs="TimesNewRomanPSMT"/>
        </w:rPr>
        <w:t>for development,</w:t>
      </w:r>
      <w:r w:rsidR="00385085">
        <w:rPr>
          <w:rFonts w:ascii="TimesNewRomanPSMT" w:hAnsi="TimesNewRomanPSMT" w:cs="TimesNewRomanPSMT"/>
        </w:rPr>
        <w:t xml:space="preserve"> </w:t>
      </w:r>
      <w:r w:rsidRPr="6B090802">
        <w:rPr>
          <w:rFonts w:ascii="TimesNewRomanPSMT" w:hAnsi="TimesNewRomanPSMT" w:cs="TimesNewRomanPSMT"/>
        </w:rPr>
        <w:t>improvement, and/or expansion of criminal justice death investigation capabilities.</w:t>
      </w:r>
    </w:p>
    <w:p w:rsidR="000005CE" w:rsidP="00401CC0" w14:paraId="3AA8A0AF" w14:textId="77777777">
      <w:pPr>
        <w:autoSpaceDE w:val="0"/>
        <w:autoSpaceDN w:val="0"/>
        <w:adjustRightInd w:val="0"/>
        <w:rPr>
          <w:rFonts w:ascii="TimesNewRomanPSMT" w:hAnsi="TimesNewRomanPSMT" w:cs="TimesNewRomanPSMT"/>
        </w:rPr>
      </w:pPr>
    </w:p>
    <w:p w:rsidR="001C560B" w:rsidRPr="00B8502C" w:rsidP="00AF7585" w14:paraId="70C60E22" w14:textId="77777777">
      <w:pPr>
        <w:rPr>
          <w:highlight w:val="yellow"/>
        </w:rPr>
      </w:pPr>
    </w:p>
    <w:p w:rsidR="00AF7585" w:rsidRPr="00B8502C" w:rsidP="00EA5E4F" w14:paraId="64209CB4" w14:textId="3BBA97D4">
      <w:pPr>
        <w:pStyle w:val="Heading2"/>
        <w:spacing w:before="0" w:after="240" w:line="240" w:lineRule="auto"/>
        <w:jc w:val="left"/>
        <w:rPr>
          <w:highlight w:val="yellow"/>
        </w:rPr>
      </w:pPr>
      <w:r w:rsidRPr="00AB16BC">
        <w:rPr>
          <w:rFonts w:ascii="Times New Roman" w:hAnsi="Times New Roman" w:cs="Times New Roman"/>
          <w:bCs w:val="0"/>
          <w:sz w:val="24"/>
          <w:szCs w:val="24"/>
        </w:rPr>
        <w:t>1.</w:t>
      </w:r>
      <w:r w:rsidRPr="00AB16BC">
        <w:rPr>
          <w:rFonts w:ascii="Times New Roman" w:hAnsi="Times New Roman" w:cs="Times New Roman"/>
          <w:b w:val="0"/>
          <w:sz w:val="24"/>
          <w:szCs w:val="24"/>
        </w:rPr>
        <w:t xml:space="preserve"> </w:t>
      </w:r>
      <w:r w:rsidRPr="00AB16BC">
        <w:rPr>
          <w:rFonts w:ascii="Times New Roman" w:hAnsi="Times New Roman" w:cs="Times New Roman"/>
          <w:bCs w:val="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B16BC">
        <w:rPr>
          <w:rFonts w:ascii="Times New Roman" w:hAnsi="Times New Roman" w:cs="Times New Roman"/>
          <w:b w:val="0"/>
          <w:sz w:val="24"/>
          <w:szCs w:val="24"/>
        </w:rPr>
        <w:t>.</w:t>
      </w:r>
    </w:p>
    <w:p w:rsidR="00F87F3A" w:rsidP="00F87F3A" w14:paraId="57E782B9" w14:textId="16769657">
      <w:r>
        <w:t>Under Title 34, United States Code, § 10132, BJS is authorized</w:t>
      </w:r>
      <w:r w:rsidR="00E05060">
        <w:t xml:space="preserve"> </w:t>
      </w:r>
      <w:r>
        <w:t>to collect and analyze statistical information concerning the operation of the criminal justice</w:t>
      </w:r>
      <w:r w:rsidR="00E05060">
        <w:t xml:space="preserve"> </w:t>
      </w:r>
      <w:r>
        <w:t>system at the federal, state, tribal, and local levels</w:t>
      </w:r>
      <w:r w:rsidR="00B90D53">
        <w:t xml:space="preserve"> (</w:t>
      </w:r>
      <w:r w:rsidRPr="00B90D53" w:rsidR="00B90D53">
        <w:rPr>
          <w:b/>
          <w:bCs/>
        </w:rPr>
        <w:t xml:space="preserve">Attachment </w:t>
      </w:r>
      <w:r w:rsidR="00D73B20">
        <w:rPr>
          <w:b/>
          <w:bCs/>
        </w:rPr>
        <w:t>2</w:t>
      </w:r>
      <w:r w:rsidR="00B90D53">
        <w:t>). BJS</w:t>
      </w:r>
      <w:r w:rsidRPr="00AB16BC" w:rsidR="00B90D53">
        <w:t xml:space="preserve"> disseminates</w:t>
      </w:r>
      <w:r w:rsidR="00741942">
        <w:t xml:space="preserve"> critical</w:t>
      </w:r>
      <w:r w:rsidRPr="00AB16BC" w:rsidR="00B90D53">
        <w:t xml:space="preserve"> high-quality information and statistics to inform policymakers, </w:t>
      </w:r>
      <w:r w:rsidR="00246F67">
        <w:t xml:space="preserve">budget directors, </w:t>
      </w:r>
      <w:r w:rsidRPr="00AB16BC" w:rsidR="00B90D53">
        <w:t xml:space="preserve">researchers, criminal justice practitioners, and the public. </w:t>
      </w:r>
      <w:r>
        <w:t>The CMEC furthers the Department of</w:t>
      </w:r>
      <w:r w:rsidR="00B90D53">
        <w:t xml:space="preserve"> </w:t>
      </w:r>
      <w:r>
        <w:t>Justice’s mission by providing insight into the nation’s MDI system process and infrastructure to</w:t>
      </w:r>
      <w:r w:rsidR="00B90D53">
        <w:t xml:space="preserve"> </w:t>
      </w:r>
      <w:r>
        <w:t>identify trends and challenges.</w:t>
      </w:r>
      <w:r w:rsidR="00FB6DA7">
        <w:t xml:space="preserve"> </w:t>
      </w:r>
      <w:r w:rsidRPr="00FB6DA7" w:rsidR="00FB6DA7">
        <w:t xml:space="preserve">BJS is required to protect information identifiable to a private person from unauthorized disclosure and may not publicly release data in a way that could reasonably identify a specific private person [34 U.S.C. § 10231]. </w:t>
      </w:r>
      <w:r w:rsidR="00FB6DA7">
        <w:t>CMEC</w:t>
      </w:r>
      <w:r w:rsidRPr="00FB6DA7" w:rsidR="00FB6DA7">
        <w:t xml:space="preserve"> data will be maintained under the security provisions outlined in U.S. Department of Justice regulations 28 CFR §22.23. The </w:t>
      </w:r>
      <w:hyperlink r:id="rId9" w:history="1">
        <w:r w:rsidRPr="0058006B" w:rsidR="00FB6DA7">
          <w:rPr>
            <w:rStyle w:val="Hyperlink"/>
          </w:rPr>
          <w:t>BJS Data Protection Guidelines</w:t>
        </w:r>
      </w:hyperlink>
      <w:r w:rsidR="00FB6DA7">
        <w:rPr>
          <w:rStyle w:val="Hyperlink"/>
        </w:rPr>
        <w:t xml:space="preserve"> </w:t>
      </w:r>
      <w:r w:rsidRPr="00FB6DA7" w:rsidR="00FB6DA7">
        <w:t>provide more detailed information on how BJS and its data collection agents will use and protect data collected under BJS’s authority.</w:t>
      </w:r>
    </w:p>
    <w:p w:rsidR="00F87F3A" w:rsidP="00F87F3A" w14:paraId="4EB17732" w14:textId="77777777"/>
    <w:p w:rsidR="00B90D53" w:rsidP="00F87F3A" w14:paraId="4207072E" w14:textId="02949F2D">
      <w:r>
        <w:t>MDI is a critical operation in the criminal justice and public safety systems that investigates all</w:t>
      </w:r>
      <w:r w:rsidR="00E05060">
        <w:t xml:space="preserve"> </w:t>
      </w:r>
      <w:r>
        <w:t xml:space="preserve">suspicious or violent deaths, </w:t>
      </w:r>
      <w:r w:rsidR="00C705A0">
        <w:t>helps law enforcement determine</w:t>
      </w:r>
      <w:r>
        <w:t xml:space="preserve"> whether to pursue criminal investigations surrounding</w:t>
      </w:r>
      <w:r w:rsidR="00E05060">
        <w:t xml:space="preserve"> </w:t>
      </w:r>
      <w:r>
        <w:t xml:space="preserve">deaths, and acts as an early warning system of instances of increased mortality related to </w:t>
      </w:r>
      <w:r w:rsidR="00246F67">
        <w:t xml:space="preserve">epidemics and pandemics, </w:t>
      </w:r>
      <w:r>
        <w:t>drug</w:t>
      </w:r>
      <w:r w:rsidR="00E05060">
        <w:t xml:space="preserve"> </w:t>
      </w:r>
      <w:r>
        <w:t xml:space="preserve">overdoses, </w:t>
      </w:r>
      <w:r w:rsidR="001E3BB7">
        <w:t xml:space="preserve">and </w:t>
      </w:r>
      <w:r>
        <w:t>biological or chemical terrorism. As such, MEC</w:t>
      </w:r>
      <w:r w:rsidR="008667F1">
        <w:t xml:space="preserve"> office</w:t>
      </w:r>
      <w:r>
        <w:t>s operate alongside and within the</w:t>
      </w:r>
      <w:r w:rsidR="00246F67">
        <w:t xml:space="preserve"> </w:t>
      </w:r>
      <w:r>
        <w:t>criminal justice system to ensure justice and public safety. These agencies are also a key</w:t>
      </w:r>
      <w:r w:rsidR="00E05060">
        <w:t xml:space="preserve"> </w:t>
      </w:r>
      <w:r>
        <w:t xml:space="preserve">contributor to statistical data on the </w:t>
      </w:r>
      <w:r w:rsidR="00CB38FF">
        <w:t>MDI</w:t>
      </w:r>
      <w:r>
        <w:t xml:space="preserve"> infrastructure. They</w:t>
      </w:r>
      <w:r w:rsidR="00246F67">
        <w:t xml:space="preserve"> </w:t>
      </w:r>
      <w:r>
        <w:t xml:space="preserve">contribute to federal data collections such as the </w:t>
      </w:r>
      <w:r w:rsidR="00246F67">
        <w:t>CDC’s</w:t>
      </w:r>
      <w:r>
        <w:t xml:space="preserve"> National</w:t>
      </w:r>
      <w:r w:rsidR="00246F67">
        <w:t xml:space="preserve"> </w:t>
      </w:r>
      <w:r>
        <w:t>Violent Death Reporting System, the National Vital Statistics System, State</w:t>
      </w:r>
      <w:r w:rsidR="00246F67">
        <w:t xml:space="preserve"> </w:t>
      </w:r>
      <w:r>
        <w:t>Unintentional Drug Overdose Reporting System, the Enhanced State Opioid</w:t>
      </w:r>
      <w:r w:rsidR="00246F67">
        <w:t xml:space="preserve"> </w:t>
      </w:r>
      <w:r>
        <w:t>Overdose Surveillance, and the National Highway Traffic Safety Administration’s</w:t>
      </w:r>
      <w:r w:rsidR="00246F67">
        <w:t xml:space="preserve"> </w:t>
      </w:r>
      <w:r>
        <w:t xml:space="preserve">Fatality Analysis Reporting System. </w:t>
      </w:r>
    </w:p>
    <w:p w:rsidR="00B90D53" w:rsidP="00F87F3A" w14:paraId="21BB462E" w14:textId="77777777"/>
    <w:p w:rsidR="00F87F3A" w:rsidP="00F87F3A" w14:paraId="7B42C1EA" w14:textId="0EFBAD86">
      <w:r>
        <w:t xml:space="preserve">The CMEC is the sole source of national estimates of personnel, resources, </w:t>
      </w:r>
      <w:r w:rsidR="000E29EC">
        <w:t xml:space="preserve">workloads, </w:t>
      </w:r>
      <w:r>
        <w:t>policies, and practices of MEC</w:t>
      </w:r>
      <w:r w:rsidR="008667F1">
        <w:t xml:space="preserve"> office</w:t>
      </w:r>
      <w:r w:rsidR="006A3BDA">
        <w:t>s</w:t>
      </w:r>
      <w:r>
        <w:t>, which agencies, such the</w:t>
      </w:r>
      <w:r w:rsidR="00B90D53">
        <w:t xml:space="preserve"> </w:t>
      </w:r>
      <w:r>
        <w:t xml:space="preserve">Department of Health and Human Services, use for context to inform public health statistics. </w:t>
      </w:r>
      <w:r w:rsidR="00310E29">
        <w:t>According to</w:t>
      </w:r>
      <w:r>
        <w:t xml:space="preserve"> the </w:t>
      </w:r>
      <w:r w:rsidR="00310E29">
        <w:t>previous</w:t>
      </w:r>
      <w:r>
        <w:t xml:space="preserve"> CMEC</w:t>
      </w:r>
      <w:r w:rsidR="00310E29">
        <w:t>,</w:t>
      </w:r>
      <w:r>
        <w:t xml:space="preserve"> MEC</w:t>
      </w:r>
      <w:r w:rsidR="008667F1">
        <w:t xml:space="preserve"> office</w:t>
      </w:r>
      <w:r>
        <w:t xml:space="preserve">s </w:t>
      </w:r>
      <w:r w:rsidR="00310E29">
        <w:t>had</w:t>
      </w:r>
      <w:r>
        <w:t xml:space="preserve"> </w:t>
      </w:r>
      <w:r w:rsidR="00B90D53">
        <w:t>nearly 11,000</w:t>
      </w:r>
      <w:r>
        <w:t xml:space="preserve"> fulltime employees </w:t>
      </w:r>
      <w:r w:rsidR="00310E29">
        <w:t xml:space="preserve">in 2018 </w:t>
      </w:r>
      <w:r>
        <w:t>and had an estimated</w:t>
      </w:r>
      <w:r w:rsidR="00E05060">
        <w:t xml:space="preserve"> </w:t>
      </w:r>
      <w:r>
        <w:t>annual budget that totaled $</w:t>
      </w:r>
      <w:r w:rsidR="00B90D53">
        <w:t>1</w:t>
      </w:r>
      <w:r>
        <w:t xml:space="preserve">.5 </w:t>
      </w:r>
      <w:r w:rsidR="00B90D53">
        <w:t>b</w:t>
      </w:r>
      <w:r>
        <w:t>illion, for an average of $</w:t>
      </w:r>
      <w:r w:rsidR="00B90D53">
        <w:t>775</w:t>
      </w:r>
      <w:r>
        <w:t>,000 per office</w:t>
      </w:r>
      <w:r w:rsidR="009511E1">
        <w:t>.</w:t>
      </w:r>
      <w:r>
        <w:rPr>
          <w:rStyle w:val="FootnoteReference"/>
        </w:rPr>
        <w:footnoteReference w:id="5"/>
      </w:r>
      <w:r>
        <w:t xml:space="preserve"> Moreover, </w:t>
      </w:r>
      <w:r w:rsidR="66336F5C">
        <w:t>more</w:t>
      </w:r>
      <w:r w:rsidR="00B90D53">
        <w:t xml:space="preserve"> than</w:t>
      </w:r>
      <w:r w:rsidR="009216DF">
        <w:t xml:space="preserve"> </w:t>
      </w:r>
      <w:r w:rsidR="00B90D53">
        <w:t>1.3 million</w:t>
      </w:r>
      <w:r>
        <w:t xml:space="preserve"> deaths</w:t>
      </w:r>
      <w:r w:rsidR="00B90D53">
        <w:t xml:space="preserve"> were referred to MEC</w:t>
      </w:r>
      <w:r w:rsidR="008667F1">
        <w:t xml:space="preserve"> office</w:t>
      </w:r>
      <w:r w:rsidR="00B90D53">
        <w:t>s in 2018</w:t>
      </w:r>
      <w:r>
        <w:t>, of which</w:t>
      </w:r>
      <w:r w:rsidR="00B90D53">
        <w:t xml:space="preserve"> over 600</w:t>
      </w:r>
      <w:r>
        <w:t>,000 were investigated by their offices.</w:t>
      </w:r>
      <w:r w:rsidR="00B90D53">
        <w:t xml:space="preserve"> T</w:t>
      </w:r>
      <w:r>
        <w:t xml:space="preserve">here were about </w:t>
      </w:r>
      <w:r w:rsidR="00B90D53">
        <w:t>11,380</w:t>
      </w:r>
      <w:r>
        <w:t xml:space="preserve"> unidentified human</w:t>
      </w:r>
      <w:r w:rsidR="00E05060">
        <w:t xml:space="preserve"> </w:t>
      </w:r>
      <w:r>
        <w:t xml:space="preserve">decedents </w:t>
      </w:r>
      <w:r w:rsidR="00B90D53">
        <w:t xml:space="preserve">in 2018, which provides a key baseline for the National Institute of Justice’s </w:t>
      </w:r>
      <w:r w:rsidR="000E29EC">
        <w:t xml:space="preserve">(NIJ’s) </w:t>
      </w:r>
      <w:r w:rsidR="00B90D53">
        <w:t xml:space="preserve">National Missing and Unidentified Persons </w:t>
      </w:r>
      <w:r w:rsidR="00082EEC">
        <w:t>S</w:t>
      </w:r>
      <w:r w:rsidR="00B90D53">
        <w:t>ystem</w:t>
      </w:r>
      <w:r w:rsidR="00082EEC">
        <w:t xml:space="preserve"> </w:t>
      </w:r>
      <w:r w:rsidR="00082EEC">
        <w:rPr>
          <w:rFonts w:ascii="TimesNewRomanPSMT" w:hAnsi="TimesNewRomanPSMT" w:cs="TimesNewRomanPSMT"/>
        </w:rPr>
        <w:t>(NamUs)</w:t>
      </w:r>
      <w:r>
        <w:t>.</w:t>
      </w:r>
      <w:r w:rsidR="00310E29">
        <w:t xml:space="preserve"> </w:t>
      </w:r>
    </w:p>
    <w:p w:rsidR="00E05060" w:rsidP="00F87F3A" w14:paraId="6598BCD0" w14:textId="77777777"/>
    <w:p w:rsidR="00F87F3A" w:rsidP="00DD0B29" w14:paraId="5945139D" w14:textId="274507BD">
      <w:r w:rsidRPr="00551488">
        <w:t>NIJ’s</w:t>
      </w:r>
      <w:r w:rsidR="00B21428">
        <w:t xml:space="preserve"> 2019 needs assessment of the forensic community</w:t>
      </w:r>
      <w:r w:rsidRPr="00551488">
        <w:t xml:space="preserve"> to Congress </w:t>
      </w:r>
      <w:r w:rsidR="00D92225">
        <w:t>highlighted that “the levels of staffing, budgets, resources, and supplies are too inconsistent to ensure that death investigations are of the same quality across the United States</w:t>
      </w:r>
      <w:r w:rsidR="00587C60">
        <w:t>.</w:t>
      </w:r>
      <w:r w:rsidR="00D92225">
        <w:t>”</w:t>
      </w:r>
      <w:r w:rsidR="001C667E">
        <w:t xml:space="preserve"> B</w:t>
      </w:r>
      <w:r w:rsidR="00175E6F">
        <w:t>efore</w:t>
      </w:r>
      <w:r w:rsidRPr="00551488" w:rsidR="00175E6F">
        <w:t xml:space="preserve"> COVID-19, Le et al.</w:t>
      </w:r>
      <w:r w:rsidR="009511E1">
        <w:t xml:space="preserve"> (2019)</w:t>
      </w:r>
      <w:r w:rsidRPr="00551488" w:rsidR="00175E6F">
        <w:t xml:space="preserve"> found that despite having a high-risk job, only one-third of MEC</w:t>
      </w:r>
      <w:r w:rsidR="008667F1">
        <w:t xml:space="preserve"> office</w:t>
      </w:r>
      <w:r w:rsidRPr="00551488" w:rsidR="00175E6F">
        <w:t>s received training in infectious diseases.</w:t>
      </w:r>
      <w:r>
        <w:rPr>
          <w:rStyle w:val="FootnoteReference"/>
        </w:rPr>
        <w:footnoteReference w:id="6"/>
      </w:r>
      <w:r w:rsidRPr="00551488" w:rsidR="00175E6F">
        <w:t xml:space="preserve"> </w:t>
      </w:r>
      <w:r w:rsidR="00B21428">
        <w:t xml:space="preserve">Since then, </w:t>
      </w:r>
      <w:r w:rsidR="00D92225">
        <w:t xml:space="preserve">state and </w:t>
      </w:r>
      <w:r w:rsidR="00B21428">
        <w:t>local evidence shows the critical nature of this fragile</w:t>
      </w:r>
      <w:r w:rsidR="00D92225">
        <w:t xml:space="preserve"> national</w:t>
      </w:r>
      <w:r w:rsidR="00B21428">
        <w:t xml:space="preserve"> workforce </w:t>
      </w:r>
      <w:r w:rsidR="00D92225">
        <w:t xml:space="preserve">and its </w:t>
      </w:r>
      <w:r w:rsidR="00B21428">
        <w:t>pipeline</w:t>
      </w:r>
      <w:r w:rsidR="001C667E">
        <w:t>, with demands on these offices increasing, with opioid related deaths</w:t>
      </w:r>
      <w:r>
        <w:rPr>
          <w:rStyle w:val="FootnoteReference"/>
        </w:rPr>
        <w:footnoteReference w:id="7"/>
      </w:r>
      <w:r w:rsidR="001C667E">
        <w:t xml:space="preserve"> and homicide fatalities both rising</w:t>
      </w:r>
      <w:r>
        <w:rPr>
          <w:rStyle w:val="FootnoteReference"/>
        </w:rPr>
        <w:footnoteReference w:id="8"/>
      </w:r>
      <w:r w:rsidR="001C667E">
        <w:t>, on top of the COVID-19 pandemic and an increase</w:t>
      </w:r>
      <w:r w:rsidR="00B41E56">
        <w:t xml:space="preserve"> in</w:t>
      </w:r>
      <w:r w:rsidR="001C667E">
        <w:t xml:space="preserve"> public </w:t>
      </w:r>
      <w:r w:rsidR="00B41E56">
        <w:t>deaths in custody</w:t>
      </w:r>
      <w:r>
        <w:rPr>
          <w:rStyle w:val="FootnoteReference"/>
        </w:rPr>
        <w:footnoteReference w:id="9"/>
      </w:r>
      <w:r w:rsidR="001C667E">
        <w:t>, that these offices have had to manage and adapt to</w:t>
      </w:r>
      <w:r w:rsidR="00B21428">
        <w:t>.</w:t>
      </w:r>
      <w:r w:rsidR="001C667E">
        <w:t xml:space="preserve"> </w:t>
      </w:r>
      <w:r w:rsidR="00B21428">
        <w:t>For example, i</w:t>
      </w:r>
      <w:r>
        <w:t>n</w:t>
      </w:r>
      <w:r>
        <w:t xml:space="preserve"> May 2023, the Oregon Medical Examiner’s Division </w:t>
      </w:r>
      <w:r>
        <w:t xml:space="preserve">reported </w:t>
      </w:r>
      <w:r>
        <w:t>that the</w:t>
      </w:r>
      <w:r w:rsidR="009511E1">
        <w:t>y</w:t>
      </w:r>
      <w:r>
        <w:t xml:space="preserve"> were no longer performing autopsies unless the deaths were suspicious, homicides, or child/infant deaths given the overwhelming caseload and shortage of forensic pathologists.</w:t>
      </w:r>
      <w:r>
        <w:rPr>
          <w:rStyle w:val="FootnoteReference"/>
        </w:rPr>
        <w:footnoteReference w:id="10"/>
      </w:r>
      <w:r>
        <w:t xml:space="preserve"> In May 2022, the Maryland Office of the Chief Medical Examiner was in danger of losing their </w:t>
      </w:r>
      <w:r w:rsidR="001E5129">
        <w:t>accreditation due to chronic understaffing.</w:t>
      </w:r>
      <w:r>
        <w:rPr>
          <w:rStyle w:val="FootnoteReference"/>
        </w:rPr>
        <w:footnoteReference w:id="11"/>
      </w:r>
    </w:p>
    <w:p w:rsidR="0059544B" w:rsidP="00DD0B29" w14:paraId="7DC5DE44" w14:textId="77777777"/>
    <w:p w:rsidR="0059544B" w:rsidRPr="0059544B" w:rsidP="0059544B" w14:paraId="0093D461" w14:textId="701F627C">
      <w:r>
        <w:t>The 202</w:t>
      </w:r>
      <w:r w:rsidR="005516BA">
        <w:t>3</w:t>
      </w:r>
      <w:r>
        <w:t xml:space="preserve"> </w:t>
      </w:r>
      <w:r w:rsidRPr="0059544B">
        <w:t xml:space="preserve">CMEC is </w:t>
      </w:r>
      <w:r>
        <w:t>necessary to gain an updated</w:t>
      </w:r>
      <w:r w:rsidRPr="0059544B">
        <w:t xml:space="preserve"> understand</w:t>
      </w:r>
      <w:r>
        <w:t>ing of</w:t>
      </w:r>
      <w:r w:rsidRPr="0059544B">
        <w:t xml:space="preserve"> the national extent of the</w:t>
      </w:r>
      <w:r>
        <w:t xml:space="preserve"> local and state </w:t>
      </w:r>
      <w:r w:rsidRPr="0059544B">
        <w:t>issues mentioned</w:t>
      </w:r>
      <w:r>
        <w:t xml:space="preserve"> above,</w:t>
      </w:r>
      <w:r w:rsidRPr="0059544B">
        <w:t xml:space="preserve"> how MEC</w:t>
      </w:r>
      <w:r w:rsidR="008667F1">
        <w:t xml:space="preserve"> office</w:t>
      </w:r>
      <w:r w:rsidRPr="0059544B">
        <w:t>s have changed since 2018</w:t>
      </w:r>
      <w:r>
        <w:t xml:space="preserve">, and to obtain a better picture of the infrastructure </w:t>
      </w:r>
      <w:r w:rsidR="00BD07E6">
        <w:t xml:space="preserve">underlying </w:t>
      </w:r>
      <w:r>
        <w:t xml:space="preserve">the U.S. </w:t>
      </w:r>
      <w:r w:rsidR="00CB38FF">
        <w:t>MDI</w:t>
      </w:r>
      <w:r>
        <w:t xml:space="preserve"> system.</w:t>
      </w:r>
    </w:p>
    <w:p w:rsidR="0059544B" w:rsidP="00DD0B29" w14:paraId="579EFAD3" w14:textId="77777777"/>
    <w:p w:rsidR="001E5129" w:rsidP="00283F15" w14:paraId="72A6F810" w14:textId="77777777">
      <w:pPr>
        <w:pStyle w:val="Heading2"/>
        <w:spacing w:before="0" w:after="240" w:line="240" w:lineRule="auto"/>
        <w:jc w:val="left"/>
        <w:rPr>
          <w:rFonts w:ascii="Times New Roman" w:hAnsi="Times New Roman" w:cs="Times New Roman"/>
          <w:b w:val="0"/>
          <w:sz w:val="24"/>
          <w:szCs w:val="24"/>
        </w:rPr>
      </w:pPr>
      <w:r w:rsidRPr="00AB16BC">
        <w:rPr>
          <w:rFonts w:ascii="Times New Roman" w:hAnsi="Times New Roman" w:cs="Times New Roman"/>
          <w:bCs w:val="0"/>
          <w:sz w:val="24"/>
          <w:szCs w:val="24"/>
        </w:rPr>
        <w:t>2.</w:t>
      </w:r>
      <w:r>
        <w:rPr>
          <w:rFonts w:ascii="Times New Roman" w:hAnsi="Times New Roman" w:cs="Times New Roman"/>
          <w:b w:val="0"/>
          <w:sz w:val="24"/>
          <w:szCs w:val="24"/>
        </w:rPr>
        <w:t xml:space="preserve"> </w:t>
      </w:r>
      <w:r w:rsidRPr="00AB16BC">
        <w:rPr>
          <w:rFonts w:ascii="Times New Roman" w:hAnsi="Times New Roman" w:cs="Times New Roman"/>
          <w:bCs w:val="0"/>
          <w:sz w:val="24"/>
          <w:szCs w:val="24"/>
        </w:rPr>
        <w:t>Indicate how, by whom, and for what purpose the information is to be used. Except for a new collection, indicate the actual use the agency has made of the information received from the current collection</w:t>
      </w:r>
      <w:r w:rsidRPr="00AB16BC">
        <w:rPr>
          <w:rFonts w:ascii="Times New Roman" w:hAnsi="Times New Roman" w:cs="Times New Roman"/>
          <w:b w:val="0"/>
          <w:sz w:val="24"/>
          <w:szCs w:val="24"/>
        </w:rPr>
        <w:t xml:space="preserve">. </w:t>
      </w:r>
    </w:p>
    <w:p w:rsidR="001319BC" w:rsidP="001319BC" w14:paraId="572B5C82" w14:textId="4404A0C4">
      <w:pPr>
        <w:rPr>
          <w:b/>
          <w:bCs/>
        </w:rPr>
      </w:pPr>
      <w:r>
        <w:rPr>
          <w:b/>
          <w:bCs/>
        </w:rPr>
        <w:t xml:space="preserve">BJS Uses </w:t>
      </w:r>
    </w:p>
    <w:p w:rsidR="001319BC" w:rsidP="001319BC" w14:paraId="112BF64D" w14:textId="77777777">
      <w:pPr>
        <w:rPr>
          <w:b/>
          <w:bCs/>
        </w:rPr>
      </w:pPr>
    </w:p>
    <w:p w:rsidR="001319BC" w:rsidP="001319BC" w14:paraId="0BB06D07" w14:textId="465D2A77">
      <w:pPr>
        <w:autoSpaceDE w:val="0"/>
        <w:autoSpaceDN w:val="0"/>
        <w:adjustRightInd w:val="0"/>
        <w:rPr>
          <w:rFonts w:ascii="TimesNewRomanPSMT" w:hAnsi="TimesNewRomanPSMT" w:cs="TimesNewRomanPSMT"/>
        </w:rPr>
      </w:pPr>
      <w:r w:rsidRPr="6B090802">
        <w:rPr>
          <w:rFonts w:ascii="TimesNewRomanPSMT" w:hAnsi="TimesNewRomanPSMT" w:cs="TimesNewRomanPSMT"/>
        </w:rPr>
        <w:t>Since 2002, BJS has conducted the Census of Publicly Funded Forensic Crime Laboratories</w:t>
      </w:r>
      <w:r w:rsidR="006C4BA7">
        <w:rPr>
          <w:rFonts w:ascii="TimesNewRomanPSMT" w:hAnsi="TimesNewRomanPSMT" w:cs="TimesNewRomanPSMT"/>
        </w:rPr>
        <w:t xml:space="preserve"> (CPFFCL</w:t>
      </w:r>
      <w:r w:rsidR="009511E1">
        <w:rPr>
          <w:rFonts w:ascii="TimesNewRomanPSMT" w:hAnsi="TimesNewRomanPSMT" w:cs="TimesNewRomanPSMT"/>
        </w:rPr>
        <w:t xml:space="preserve">; </w:t>
      </w:r>
      <w:r w:rsidRPr="6B090802">
        <w:rPr>
          <w:rFonts w:ascii="TimesNewRomanPSMT" w:hAnsi="TimesNewRomanPSMT" w:cs="TimesNewRomanPSMT"/>
        </w:rPr>
        <w:t>OMB #</w:t>
      </w:r>
      <w:r w:rsidRPr="00884447">
        <w:rPr>
          <w:rFonts w:ascii="TimesNewRomanPSMT" w:hAnsi="TimesNewRomanPSMT" w:cs="TimesNewRomanPSMT"/>
        </w:rPr>
        <w:t>1121-0269</w:t>
      </w:r>
      <w:r w:rsidRPr="6B090802">
        <w:rPr>
          <w:rFonts w:ascii="TimesNewRomanPSMT" w:hAnsi="TimesNewRomanPSMT" w:cs="TimesNewRomanPSMT"/>
        </w:rPr>
        <w:t>)</w:t>
      </w:r>
      <w:r w:rsidR="009511E1">
        <w:rPr>
          <w:rFonts w:ascii="TimesNewRomanPSMT" w:hAnsi="TimesNewRomanPSMT" w:cs="TimesNewRomanPSMT"/>
        </w:rPr>
        <w:t>,</w:t>
      </w:r>
      <w:r w:rsidRPr="6B090802">
        <w:rPr>
          <w:rFonts w:ascii="TimesNewRomanPSMT" w:hAnsi="TimesNewRomanPSMT" w:cs="TimesNewRomanPSMT"/>
        </w:rPr>
        <w:t xml:space="preserve"> </w:t>
      </w:r>
      <w:r w:rsidR="009511E1">
        <w:rPr>
          <w:rFonts w:ascii="TimesNewRomanPSMT" w:hAnsi="TimesNewRomanPSMT" w:cs="TimesNewRomanPSMT"/>
        </w:rPr>
        <w:t xml:space="preserve">which </w:t>
      </w:r>
      <w:r>
        <w:rPr>
          <w:rFonts w:ascii="TimesNewRomanPSMT" w:hAnsi="TimesNewRomanPSMT" w:cs="TimesNewRomanPSMT"/>
        </w:rPr>
        <w:t xml:space="preserve">complements the </w:t>
      </w:r>
      <w:r w:rsidR="00134FC2">
        <w:rPr>
          <w:rFonts w:ascii="TimesNewRomanPSMT" w:hAnsi="TimesNewRomanPSMT" w:cs="TimesNewRomanPSMT"/>
        </w:rPr>
        <w:t>CMEC</w:t>
      </w:r>
      <w:r>
        <w:rPr>
          <w:rFonts w:ascii="TimesNewRomanPSMT" w:hAnsi="TimesNewRomanPSMT" w:cs="TimesNewRomanPSMT"/>
        </w:rPr>
        <w:t xml:space="preserve"> as both MEC</w:t>
      </w:r>
      <w:r w:rsidR="008667F1">
        <w:rPr>
          <w:rFonts w:ascii="TimesNewRomanPSMT" w:hAnsi="TimesNewRomanPSMT" w:cs="TimesNewRomanPSMT"/>
        </w:rPr>
        <w:t xml:space="preserve"> office</w:t>
      </w:r>
      <w:r>
        <w:rPr>
          <w:rFonts w:ascii="TimesNewRomanPSMT" w:hAnsi="TimesNewRomanPSMT" w:cs="TimesNewRomanPSMT"/>
        </w:rPr>
        <w:t xml:space="preserve">s and </w:t>
      </w:r>
      <w:r w:rsidR="006C4BA7">
        <w:rPr>
          <w:rFonts w:ascii="TimesNewRomanPSMT" w:hAnsi="TimesNewRomanPSMT" w:cs="TimesNewRomanPSMT"/>
        </w:rPr>
        <w:t>f</w:t>
      </w:r>
      <w:r>
        <w:rPr>
          <w:rFonts w:ascii="TimesNewRomanPSMT" w:hAnsi="TimesNewRomanPSMT" w:cs="TimesNewRomanPSMT"/>
        </w:rPr>
        <w:t xml:space="preserve">orensic </w:t>
      </w:r>
      <w:r w:rsidR="006C4BA7">
        <w:rPr>
          <w:rFonts w:ascii="TimesNewRomanPSMT" w:hAnsi="TimesNewRomanPSMT" w:cs="TimesNewRomanPSMT"/>
        </w:rPr>
        <w:t>c</w:t>
      </w:r>
      <w:r>
        <w:rPr>
          <w:rFonts w:ascii="TimesNewRomanPSMT" w:hAnsi="TimesNewRomanPSMT" w:cs="TimesNewRomanPSMT"/>
        </w:rPr>
        <w:t xml:space="preserve">rime </w:t>
      </w:r>
      <w:r w:rsidR="006C4BA7">
        <w:rPr>
          <w:rFonts w:ascii="TimesNewRomanPSMT" w:hAnsi="TimesNewRomanPSMT" w:cs="TimesNewRomanPSMT"/>
        </w:rPr>
        <w:t>l</w:t>
      </w:r>
      <w:r>
        <w:rPr>
          <w:rFonts w:ascii="TimesNewRomanPSMT" w:hAnsi="TimesNewRomanPSMT" w:cs="TimesNewRomanPSMT"/>
        </w:rPr>
        <w:t xml:space="preserve">aboratories serve as primary support agencies to law enforcement agencies and their operations. </w:t>
      </w:r>
      <w:r w:rsidR="00FB6DA7">
        <w:t xml:space="preserve">The CMEC is the only national source of personnel, resources, workloads, policies, and practices across MEC offices. </w:t>
      </w:r>
      <w:r>
        <w:rPr>
          <w:rFonts w:ascii="TimesNewRomanPSMT" w:hAnsi="TimesNewRomanPSMT" w:cs="TimesNewRomanPSMT"/>
        </w:rPr>
        <w:t xml:space="preserve">Through the 2018 CMEC, which achieved an 81% response rate, </w:t>
      </w:r>
      <w:r w:rsidRPr="6B090802">
        <w:rPr>
          <w:rFonts w:ascii="TimesNewRomanPSMT" w:hAnsi="TimesNewRomanPSMT" w:cs="TimesNewRomanPSMT"/>
        </w:rPr>
        <w:t>BJS documented the number of MEC</w:t>
      </w:r>
      <w:r w:rsidR="008667F1">
        <w:rPr>
          <w:rFonts w:ascii="TimesNewRomanPSMT" w:hAnsi="TimesNewRomanPSMT" w:cs="TimesNewRomanPSMT"/>
        </w:rPr>
        <w:t xml:space="preserve"> office</w:t>
      </w:r>
      <w:r w:rsidRPr="6B090802">
        <w:rPr>
          <w:rFonts w:ascii="TimesNewRomanPSMT" w:hAnsi="TimesNewRomanPSMT" w:cs="TimesNewRomanPSMT"/>
        </w:rPr>
        <w:t xml:space="preserve">s conducting MDI in the United States and provided key statistics regarding their operations, infrastructure, and resources. BJS’s reports </w:t>
      </w:r>
      <w:hyperlink r:id="rId10" w:history="1">
        <w:r w:rsidRPr="001E5129" w:rsidR="00303AB5">
          <w:rPr>
            <w:rStyle w:val="Hyperlink"/>
          </w:rPr>
          <w:t>Medical Examiners and Coroner</w:t>
        </w:r>
        <w:r w:rsidR="007F1CFF">
          <w:rPr>
            <w:rStyle w:val="Hyperlink"/>
          </w:rPr>
          <w:t>s</w:t>
        </w:r>
        <w:r w:rsidRPr="001E5129" w:rsidR="00303AB5">
          <w:rPr>
            <w:rStyle w:val="Hyperlink"/>
          </w:rPr>
          <w:t>’ Offices, 2004</w:t>
        </w:r>
      </w:hyperlink>
      <w:r w:rsidRPr="6B090802">
        <w:rPr>
          <w:rFonts w:ascii="TimesNewRomanPSMT" w:hAnsi="TimesNewRomanPSMT" w:cs="TimesNewRomanPSMT"/>
        </w:rPr>
        <w:t xml:space="preserve"> and </w:t>
      </w:r>
      <w:hyperlink r:id="rId11" w:history="1">
        <w:r w:rsidRPr="001E5129" w:rsidR="00303AB5">
          <w:rPr>
            <w:rStyle w:val="Hyperlink"/>
          </w:rPr>
          <w:t>Medical Examiner and Coroner Offices, 2018</w:t>
        </w:r>
      </w:hyperlink>
      <w:r w:rsidRPr="6B090802">
        <w:rPr>
          <w:rFonts w:ascii="TimesNewRomanPSMT" w:hAnsi="TimesNewRomanPSMT" w:cs="TimesNewRomanPSMT"/>
        </w:rPr>
        <w:t xml:space="preserve"> remain the only comprehensive source of </w:t>
      </w:r>
      <w:r w:rsidR="00E803F4">
        <w:rPr>
          <w:rFonts w:ascii="TimesNewRomanPSMT" w:hAnsi="TimesNewRomanPSMT" w:cs="TimesNewRomanPSMT"/>
        </w:rPr>
        <w:t>administrative</w:t>
      </w:r>
      <w:r w:rsidRPr="6B090802">
        <w:rPr>
          <w:rFonts w:ascii="TimesNewRomanPSMT" w:hAnsi="TimesNewRomanPSMT" w:cs="TimesNewRomanPSMT"/>
        </w:rPr>
        <w:t xml:space="preserve"> data </w:t>
      </w:r>
      <w:r w:rsidR="007A2CB5">
        <w:rPr>
          <w:rFonts w:ascii="TimesNewRomanPSMT" w:hAnsi="TimesNewRomanPSMT" w:cs="TimesNewRomanPSMT"/>
        </w:rPr>
        <w:t>on how</w:t>
      </w:r>
      <w:r w:rsidRPr="6B090802">
        <w:rPr>
          <w:rFonts w:ascii="TimesNewRomanPSMT" w:hAnsi="TimesNewRomanPSMT" w:cs="TimesNewRomanPSMT"/>
        </w:rPr>
        <w:t xml:space="preserve"> MDI systems var</w:t>
      </w:r>
      <w:r w:rsidR="007A2CB5">
        <w:rPr>
          <w:rFonts w:ascii="TimesNewRomanPSMT" w:hAnsi="TimesNewRomanPSMT" w:cs="TimesNewRomanPSMT"/>
        </w:rPr>
        <w:t>y</w:t>
      </w:r>
      <w:r w:rsidRPr="6B090802">
        <w:rPr>
          <w:rFonts w:ascii="TimesNewRomanPSMT" w:hAnsi="TimesNewRomanPSMT" w:cs="TimesNewRomanPSMT"/>
        </w:rPr>
        <w:t xml:space="preserve"> widely across jurisdiction size, caseload, staffing, procedures performed, record retention, use of national databases, and budget</w:t>
      </w:r>
      <w:r w:rsidR="007A2CB5">
        <w:rPr>
          <w:rFonts w:ascii="TimesNewRomanPSMT" w:hAnsi="TimesNewRomanPSMT" w:cs="TimesNewRomanPSMT"/>
        </w:rPr>
        <w:t>s</w:t>
      </w:r>
      <w:r w:rsidRPr="6B090802">
        <w:rPr>
          <w:rFonts w:ascii="TimesNewRomanPSMT" w:hAnsi="TimesNewRomanPSMT" w:cs="TimesNewRomanPSMT"/>
        </w:rPr>
        <w:t>.</w:t>
      </w:r>
    </w:p>
    <w:p w:rsidR="001319BC" w:rsidP="001319BC" w14:paraId="0A536FBA" w14:textId="77777777">
      <w:pPr>
        <w:autoSpaceDE w:val="0"/>
        <w:autoSpaceDN w:val="0"/>
        <w:adjustRightInd w:val="0"/>
        <w:rPr>
          <w:rFonts w:ascii="TimesNewRomanPSMT" w:hAnsi="TimesNewRomanPSMT" w:cs="TimesNewRomanPSMT"/>
        </w:rPr>
      </w:pPr>
    </w:p>
    <w:p w:rsidR="00FB6DA7" w:rsidP="00FB6DA7" w14:paraId="3D90180B" w14:textId="77777777">
      <w:r>
        <w:t>Based on the 2018 CMEC, BJS filled key information gaps related to the national death caseload, including tribal lands cases; MEC office accreditation status; certification status of investigative staff; expanded and refined office functions and responsibilities (e.g., next of kin communications); autopsy and toxicology outsourcing costs, policies, and practices; the number of unidentified human remains in the custody of each office; access to key investigative resources; expenses; and specialized investigation teams.</w:t>
      </w:r>
    </w:p>
    <w:p w:rsidR="00FB6DA7" w:rsidP="00FB6DA7" w14:paraId="51FC1509" w14:textId="77777777"/>
    <w:p w:rsidR="00F87F3A" w:rsidP="00F87F3A" w14:paraId="16493C6B" w14:textId="663E8C12">
      <w:r>
        <w:t xml:space="preserve">BJS will use </w:t>
      </w:r>
      <w:r w:rsidR="00FB6DA7">
        <w:t xml:space="preserve">the 2023 </w:t>
      </w:r>
      <w:r>
        <w:t>CMEC data to gain a</w:t>
      </w:r>
      <w:r w:rsidR="001E5129">
        <w:t xml:space="preserve">n enhanced </w:t>
      </w:r>
      <w:r>
        <w:t>understanding of the national caseload of deaths that</w:t>
      </w:r>
      <w:r w:rsidR="00E05060">
        <w:t xml:space="preserve"> </w:t>
      </w:r>
      <w:r>
        <w:t>require medicolegal death investigations, as well as the staffing, infrastructure, and resources that</w:t>
      </w:r>
      <w:r w:rsidR="00E05060">
        <w:t xml:space="preserve"> </w:t>
      </w:r>
      <w:r>
        <w:t xml:space="preserve">are available to process these cases. </w:t>
      </w:r>
      <w:r w:rsidR="00545DD6">
        <w:t>T</w:t>
      </w:r>
      <w:r w:rsidR="001E5129">
        <w:t xml:space="preserve">he </w:t>
      </w:r>
      <w:r>
        <w:t>20</w:t>
      </w:r>
      <w:r w:rsidR="001E5129">
        <w:t>23</w:t>
      </w:r>
      <w:r>
        <w:t xml:space="preserve"> CMEC will document the status of the MEC</w:t>
      </w:r>
      <w:r w:rsidR="008667F1">
        <w:t xml:space="preserve"> office</w:t>
      </w:r>
      <w:r>
        <w:t>s</w:t>
      </w:r>
      <w:r w:rsidR="00545DD6">
        <w:t>'</w:t>
      </w:r>
      <w:r>
        <w:t xml:space="preserve"> case management and laboratory information</w:t>
      </w:r>
      <w:r w:rsidR="001E5129">
        <w:t xml:space="preserve"> </w:t>
      </w:r>
      <w:r>
        <w:t>management systems, which have been slower to transition to automated systems compared to</w:t>
      </w:r>
      <w:r w:rsidR="001E5129">
        <w:t xml:space="preserve"> </w:t>
      </w:r>
      <w:r>
        <w:t>forensic</w:t>
      </w:r>
      <w:r w:rsidR="000120A7">
        <w:t xml:space="preserve"> crime laboratories</w:t>
      </w:r>
      <w:r>
        <w:t xml:space="preserve">. </w:t>
      </w:r>
    </w:p>
    <w:p w:rsidR="00E05060" w:rsidP="00F87F3A" w14:paraId="62EADB3D" w14:textId="77777777"/>
    <w:p w:rsidR="001E5129" w:rsidP="00F87F3A" w14:paraId="482795CA" w14:textId="1B991BE0">
      <w:r>
        <w:t>The k</w:t>
      </w:r>
      <w:r w:rsidR="00B94AF2">
        <w:t xml:space="preserve">ey measures of the 2023 CMEC </w:t>
      </w:r>
      <w:r>
        <w:t>that BJS uses to achieve its mission includ</w:t>
      </w:r>
      <w:r w:rsidR="00323ED3">
        <w:t>e</w:t>
      </w:r>
      <w:r>
        <w:t>:</w:t>
      </w:r>
    </w:p>
    <w:p w:rsidR="00B94AF2" w:rsidP="00F87F3A" w14:paraId="2514C627" w14:textId="77777777"/>
    <w:p w:rsidR="00B94AF2" w:rsidP="00B94AF2" w14:paraId="476FAE2C" w14:textId="1CF7DA01">
      <w:pPr>
        <w:pStyle w:val="ListParagraph"/>
        <w:numPr>
          <w:ilvl w:val="0"/>
          <w:numId w:val="25"/>
        </w:numPr>
      </w:pPr>
      <w:r>
        <w:t>S</w:t>
      </w:r>
      <w:r>
        <w:t xml:space="preserve">taffing, </w:t>
      </w:r>
      <w:r w:rsidR="004907AF">
        <w:t>which are salient</w:t>
      </w:r>
      <w:r>
        <w:t xml:space="preserve"> given the national pipeline shortage of forensic pathologists and medicolegal death </w:t>
      </w:r>
      <w:r>
        <w:t>investigators;</w:t>
      </w:r>
    </w:p>
    <w:p w:rsidR="00DA4263" w:rsidP="00B94AF2" w14:paraId="53D21E40" w14:textId="5B5202F5">
      <w:pPr>
        <w:pStyle w:val="ListParagraph"/>
        <w:numPr>
          <w:ilvl w:val="0"/>
          <w:numId w:val="25"/>
        </w:numPr>
      </w:pPr>
      <w:r>
        <w:t xml:space="preserve">Policies and </w:t>
      </w:r>
      <w:r>
        <w:t>procedures;</w:t>
      </w:r>
    </w:p>
    <w:p w:rsidR="00B94AF2" w:rsidP="00B94AF2" w14:paraId="3F89B7D4" w14:textId="082AD655">
      <w:pPr>
        <w:pStyle w:val="ListParagraph"/>
        <w:numPr>
          <w:ilvl w:val="0"/>
          <w:numId w:val="25"/>
        </w:numPr>
      </w:pPr>
      <w:r>
        <w:t>Budget</w:t>
      </w:r>
      <w:r w:rsidR="00972E38">
        <w:t xml:space="preserve"> and resources</w:t>
      </w:r>
      <w:r>
        <w:t>;</w:t>
      </w:r>
      <w:r w:rsidR="004907AF">
        <w:t xml:space="preserve"> and</w:t>
      </w:r>
    </w:p>
    <w:p w:rsidR="00B94AF2" w:rsidP="00B94AF2" w14:paraId="594438FD" w14:textId="32F95D1D">
      <w:pPr>
        <w:pStyle w:val="ListParagraph"/>
        <w:numPr>
          <w:ilvl w:val="0"/>
          <w:numId w:val="25"/>
        </w:numPr>
      </w:pPr>
      <w:r>
        <w:t>C</w:t>
      </w:r>
      <w:r>
        <w:t xml:space="preserve">aseload, </w:t>
      </w:r>
      <w:r>
        <w:t>including</w:t>
      </w:r>
      <w:r w:rsidR="0086765B">
        <w:t xml:space="preserve"> the </w:t>
      </w:r>
      <w:r>
        <w:t xml:space="preserve">number of unidentified </w:t>
      </w:r>
      <w:r>
        <w:t>human</w:t>
      </w:r>
      <w:r>
        <w:t xml:space="preserve"> remains</w:t>
      </w:r>
      <w:r w:rsidR="0086765B">
        <w:t xml:space="preserve"> on record and autopsies performed</w:t>
      </w:r>
      <w:r w:rsidR="004907AF">
        <w:t xml:space="preserve">. </w:t>
      </w:r>
    </w:p>
    <w:p w:rsidR="00B21428" w:rsidP="00F87F3A" w14:paraId="020D20B0" w14:textId="77777777"/>
    <w:p w:rsidR="00665E36" w:rsidRPr="00B8502C" w:rsidP="00665E36" w14:paraId="73931955" w14:textId="500E3DBC">
      <w:pPr>
        <w:rPr>
          <w:b/>
        </w:rPr>
      </w:pPr>
      <w:r w:rsidRPr="00B8502C">
        <w:rPr>
          <w:b/>
        </w:rPr>
        <w:t xml:space="preserve">Uses of the </w:t>
      </w:r>
      <w:r w:rsidRPr="00B8502C" w:rsidR="00F86DFB">
        <w:rPr>
          <w:b/>
        </w:rPr>
        <w:t>CMEC</w:t>
      </w:r>
      <w:r w:rsidRPr="00B8502C">
        <w:rPr>
          <w:b/>
        </w:rPr>
        <w:t xml:space="preserve"> by others</w:t>
      </w:r>
    </w:p>
    <w:p w:rsidR="00665E36" w:rsidRPr="00B8502C" w:rsidP="00665E36" w14:paraId="6D3FD8F9" w14:textId="77777777"/>
    <w:p w:rsidR="00F87F3A" w:rsidP="00F87F3A" w14:paraId="3BD678CF" w14:textId="1E1BA1B2">
      <w:r>
        <w:rPr>
          <w:rFonts w:eastAsia="MS Mincho"/>
        </w:rPr>
        <w:t>BJS makes available to the public the CMEC</w:t>
      </w:r>
      <w:r w:rsidRPr="00646724">
        <w:rPr>
          <w:rFonts w:eastAsia="MS Mincho"/>
        </w:rPr>
        <w:t xml:space="preserve"> data and documentation at the </w:t>
      </w:r>
      <w:r>
        <w:rPr>
          <w:rFonts w:eastAsia="MS Mincho"/>
        </w:rPr>
        <w:t>National Archive of Criminal Justice Data (</w:t>
      </w:r>
      <w:r w:rsidRPr="00646724">
        <w:rPr>
          <w:rFonts w:eastAsia="MS Mincho"/>
        </w:rPr>
        <w:t>NACJD</w:t>
      </w:r>
      <w:r>
        <w:rPr>
          <w:rFonts w:eastAsia="MS Mincho"/>
        </w:rPr>
        <w:t>)</w:t>
      </w:r>
      <w:r w:rsidRPr="00646724">
        <w:rPr>
          <w:rFonts w:eastAsia="MS Mincho"/>
        </w:rPr>
        <w:t xml:space="preserve">. </w:t>
      </w:r>
      <w:r>
        <w:t xml:space="preserve">From April 2021 to April 2024, the documentation or data were downloaded 502 times across 158 unique users. </w:t>
      </w:r>
      <w:r>
        <w:t xml:space="preserve">Because </w:t>
      </w:r>
      <w:r w:rsidR="002A6163">
        <w:t>MEC</w:t>
      </w:r>
      <w:r w:rsidR="008667F1">
        <w:t xml:space="preserve"> office</w:t>
      </w:r>
      <w:r w:rsidR="002A6163">
        <w:t>s</w:t>
      </w:r>
      <w:r>
        <w:t xml:space="preserve"> are situated at the crossroads of public health and</w:t>
      </w:r>
      <w:r w:rsidR="00E57119">
        <w:t xml:space="preserve"> </w:t>
      </w:r>
      <w:r>
        <w:t xml:space="preserve">safety, CMEC </w:t>
      </w:r>
      <w:r w:rsidR="00E57119">
        <w:t>data are</w:t>
      </w:r>
      <w:r>
        <w:t xml:space="preserve"> highly relevant to the work of law enforcement</w:t>
      </w:r>
      <w:r w:rsidR="00CF3DAA">
        <w:t xml:space="preserve"> </w:t>
      </w:r>
      <w:r>
        <w:t>practitioners, the</w:t>
      </w:r>
      <w:r w:rsidR="00E57119">
        <w:t xml:space="preserve"> </w:t>
      </w:r>
      <w:r>
        <w:t>professional research community, and public health agencies</w:t>
      </w:r>
      <w:r w:rsidR="4F7F21D7">
        <w:t>,</w:t>
      </w:r>
      <w:r>
        <w:t xml:space="preserve"> as the collection</w:t>
      </w:r>
      <w:r w:rsidR="00E57119">
        <w:t xml:space="preserve"> </w:t>
      </w:r>
      <w:r>
        <w:t>provides</w:t>
      </w:r>
      <w:r w:rsidR="00E57119">
        <w:t xml:space="preserve"> </w:t>
      </w:r>
      <w:r w:rsidR="001749E0">
        <w:t>official</w:t>
      </w:r>
      <w:r>
        <w:t xml:space="preserve"> statistics on the staffing, budget, resources, and infrastructure in place to</w:t>
      </w:r>
      <w:r w:rsidR="00E57119">
        <w:t xml:space="preserve"> </w:t>
      </w:r>
      <w:r>
        <w:t>investigate questioned deaths.</w:t>
      </w:r>
    </w:p>
    <w:p w:rsidR="00CF3DAA" w:rsidP="00F87F3A" w14:paraId="46F1EBB2" w14:textId="77777777"/>
    <w:p w:rsidR="006C5976" w:rsidP="006C5976" w14:paraId="366ACAA8" w14:textId="77777777">
      <w:r>
        <w:t xml:space="preserve">Examples of users and uses of these data </w:t>
      </w:r>
      <w:r w:rsidRPr="000D087F">
        <w:t>include—</w:t>
      </w:r>
    </w:p>
    <w:p w:rsidR="006C5976" w:rsidP="00F87F3A" w14:paraId="5E50A161" w14:textId="77777777"/>
    <w:p w:rsidR="00E57119" w:rsidP="00E57119" w14:paraId="2BE75910" w14:textId="1E22C02A">
      <w:r w:rsidRPr="00D91061">
        <w:rPr>
          <w:b/>
          <w:bCs/>
        </w:rPr>
        <w:t>F</w:t>
      </w:r>
      <w:r w:rsidRPr="00D91061" w:rsidR="00F87F3A">
        <w:rPr>
          <w:b/>
          <w:bCs/>
        </w:rPr>
        <w:t>ederal, state, and local agencies</w:t>
      </w:r>
      <w:r w:rsidR="00F87F3A">
        <w:t xml:space="preserve"> </w:t>
      </w:r>
      <w:r w:rsidR="006C5976">
        <w:t xml:space="preserve">-- </w:t>
      </w:r>
      <w:r w:rsidR="00F87F3A">
        <w:t>for comparative</w:t>
      </w:r>
      <w:r w:rsidR="00CF3DAA">
        <w:t xml:space="preserve"> </w:t>
      </w:r>
      <w:r w:rsidR="00F87F3A">
        <w:t xml:space="preserve">statistical purposes and benchmarks for funding </w:t>
      </w:r>
      <w:r w:rsidR="62A68F26">
        <w:t>and</w:t>
      </w:r>
      <w:r w:rsidR="00F87F3A">
        <w:t xml:space="preserve"> resources</w:t>
      </w:r>
      <w:r>
        <w:t>, such as the average operating budget for MEC</w:t>
      </w:r>
      <w:r w:rsidR="008667F1">
        <w:t xml:space="preserve"> office</w:t>
      </w:r>
      <w:r>
        <w:t>s by jurisdiction size</w:t>
      </w:r>
      <w:r w:rsidR="00F87F3A">
        <w:t xml:space="preserve">. </w:t>
      </w:r>
      <w:r>
        <w:t>CMEC data are included in multiple government reports</w:t>
      </w:r>
      <w:r w:rsidR="001F28FC">
        <w:t>, presentations</w:t>
      </w:r>
      <w:r>
        <w:t>,</w:t>
      </w:r>
      <w:r w:rsidR="001F28FC">
        <w:t xml:space="preserve"> and publications</w:t>
      </w:r>
      <w:r>
        <w:t xml:space="preserve"> including:</w:t>
      </w:r>
    </w:p>
    <w:p w:rsidR="00CF3DAA" w:rsidP="00F87F3A" w14:paraId="1D102F5E" w14:textId="77777777"/>
    <w:p w:rsidR="00AB693E" w:rsidRPr="00FB5568" w:rsidP="00AB693E" w14:paraId="05209A80" w14:textId="5791B640">
      <w:pPr>
        <w:pStyle w:val="ListParagraph"/>
        <w:numPr>
          <w:ilvl w:val="0"/>
          <w:numId w:val="4"/>
        </w:numPr>
        <w:rPr>
          <w:color w:val="000000" w:themeColor="text1"/>
        </w:rPr>
      </w:pPr>
      <w:r w:rsidRPr="00FB5568">
        <w:rPr>
          <w:color w:val="000000" w:themeColor="text1"/>
        </w:rPr>
        <w:t>Dr. Joyce DeJong, Chief Medical Examiner for several counties in Michigan</w:t>
      </w:r>
      <w:r w:rsidR="005F2818">
        <w:rPr>
          <w:color w:val="000000" w:themeColor="text1"/>
        </w:rPr>
        <w:t xml:space="preserve"> and President of the National Association of Medical Examiner (NAME)</w:t>
      </w:r>
      <w:r w:rsidRPr="00FB5568">
        <w:rPr>
          <w:color w:val="000000" w:themeColor="text1"/>
        </w:rPr>
        <w:t xml:space="preserve">, referenced staffing data from the 2018 CMEC in presentations on the forensic pathologist workforce shortage at both the 2023 International Association of Coroners and Medical Examiners </w:t>
      </w:r>
      <w:r w:rsidR="005F2818">
        <w:rPr>
          <w:color w:val="000000" w:themeColor="text1"/>
        </w:rPr>
        <w:t xml:space="preserve">(IACME) </w:t>
      </w:r>
      <w:r w:rsidRPr="00FB5568">
        <w:rPr>
          <w:color w:val="000000" w:themeColor="text1"/>
        </w:rPr>
        <w:t>training symposium and NAME annual meeting.</w:t>
      </w:r>
    </w:p>
    <w:p w:rsidR="001D12F2" w:rsidP="002616FC" w14:paraId="798EFA3A" w14:textId="728038B5">
      <w:pPr>
        <w:pStyle w:val="ListParagraph"/>
        <w:numPr>
          <w:ilvl w:val="0"/>
          <w:numId w:val="4"/>
        </w:numPr>
      </w:pPr>
      <w:r>
        <w:t xml:space="preserve">A June 2023 article posted on the </w:t>
      </w:r>
      <w:r w:rsidR="00B015F5">
        <w:t>Federation of American Scientists webpage</w:t>
      </w:r>
      <w:r>
        <w:rPr>
          <w:rStyle w:val="FootnoteReference"/>
        </w:rPr>
        <w:footnoteReference w:id="12"/>
      </w:r>
      <w:r w:rsidR="00B015F5">
        <w:t xml:space="preserve"> provided CMEC statistics from 2018 to highlight that only 43% of MEC</w:t>
      </w:r>
      <w:r w:rsidR="008667F1">
        <w:t xml:space="preserve"> office</w:t>
      </w:r>
      <w:r w:rsidR="00B015F5">
        <w:t>s have</w:t>
      </w:r>
      <w:r w:rsidRPr="00B015F5" w:rsidR="00B015F5">
        <w:t xml:space="preserve"> computerized case management system to track deaths and work completed</w:t>
      </w:r>
      <w:r w:rsidR="00B015F5">
        <w:t xml:space="preserve"> and </w:t>
      </w:r>
      <w:r w:rsidRPr="00B015F5" w:rsidR="00B015F5">
        <w:t xml:space="preserve">that </w:t>
      </w:r>
      <w:r w:rsidR="00B015F5">
        <w:t>only</w:t>
      </w:r>
      <w:r w:rsidRPr="00B015F5" w:rsidR="00B015F5">
        <w:t xml:space="preserve"> 80% of agencies have access to the internet outside of their personal devices. In</w:t>
      </w:r>
      <w:r w:rsidR="008A6DF4">
        <w:t xml:space="preserve"> addition, the article highlights the resources and infrastructure in place to perform their work</w:t>
      </w:r>
      <w:r w:rsidRPr="00B015F5" w:rsidR="00B015F5">
        <w:t>.</w:t>
      </w:r>
      <w:r w:rsidR="00590765">
        <w:t xml:space="preserve"> </w:t>
      </w:r>
    </w:p>
    <w:p w:rsidR="00AB693E" w:rsidP="00AB693E" w14:paraId="69545184" w14:textId="034F7C7D">
      <w:pPr>
        <w:pStyle w:val="ListParagraph"/>
        <w:numPr>
          <w:ilvl w:val="0"/>
          <w:numId w:val="4"/>
        </w:numPr>
      </w:pPr>
      <w:r w:rsidRPr="00FB5568">
        <w:rPr>
          <w:color w:val="000000" w:themeColor="text1"/>
        </w:rPr>
        <w:t xml:space="preserve">Coroner Bobbi </w:t>
      </w:r>
      <w:r>
        <w:t>Jo O’Neal from Charleston County, SC gave a presentation to the NIJ/CDC funded MDI</w:t>
      </w:r>
      <w:r w:rsidR="000C713D">
        <w:t xml:space="preserve"> </w:t>
      </w:r>
      <w:r>
        <w:t>Data</w:t>
      </w:r>
      <w:r w:rsidR="000C713D">
        <w:t xml:space="preserve"> </w:t>
      </w:r>
      <w:r>
        <w:t>Workgroup that included a slide with data from the 2018 CMEC.  She also has used the data in testifying before her state legislators</w:t>
      </w:r>
      <w:r w:rsidR="009511E1">
        <w:t>.</w:t>
      </w:r>
      <w:r>
        <w:rPr>
          <w:rStyle w:val="FootnoteReference"/>
        </w:rPr>
        <w:footnoteReference w:id="13"/>
      </w:r>
      <w:r>
        <w:t xml:space="preserve"> </w:t>
      </w:r>
    </w:p>
    <w:p w:rsidR="005423B9" w:rsidP="002616FC" w14:paraId="3650A793" w14:textId="54FF3197">
      <w:pPr>
        <w:pStyle w:val="ListParagraph"/>
        <w:numPr>
          <w:ilvl w:val="0"/>
          <w:numId w:val="4"/>
        </w:numPr>
      </w:pPr>
      <w:r>
        <w:t xml:space="preserve">The 2019 NIJ Report to Congress: </w:t>
      </w:r>
      <w:r w:rsidRPr="005423B9">
        <w:t>Needs Assessment of Forensic Laboratories and Medical Examiner/Coroner Offices</w:t>
      </w:r>
      <w:r>
        <w:t xml:space="preserve"> referenced the CMEC six times regarding the 2004 CMEC data related to the number of offices in operation, staffing,</w:t>
      </w:r>
      <w:r w:rsidR="00590765">
        <w:t xml:space="preserve"> </w:t>
      </w:r>
      <w:r>
        <w:t>and caseload.</w:t>
      </w:r>
      <w:r>
        <w:rPr>
          <w:rStyle w:val="FootnoteReference"/>
        </w:rPr>
        <w:footnoteReference w:id="14"/>
      </w:r>
      <w:r>
        <w:t xml:space="preserve"> </w:t>
      </w:r>
    </w:p>
    <w:p w:rsidR="00F87F3A" w:rsidP="002616FC" w14:paraId="2DCEE334" w14:textId="0D45619B">
      <w:pPr>
        <w:pStyle w:val="ListParagraph"/>
        <w:numPr>
          <w:ilvl w:val="0"/>
          <w:numId w:val="4"/>
        </w:numPr>
      </w:pPr>
      <w:r>
        <w:t>An April 2018 NIJ journal article focused on NamUs and referenced the CMEC’s findings regarding the</w:t>
      </w:r>
      <w:r w:rsidR="00CF3DAA">
        <w:t xml:space="preserve"> </w:t>
      </w:r>
      <w:r>
        <w:t>4,400 unidentified decedents in 2004. Moreover, the 4,400 estimate is also an</w:t>
      </w:r>
      <w:r w:rsidR="00CF3DAA">
        <w:t xml:space="preserve"> </w:t>
      </w:r>
      <w:r>
        <w:t>unattributed reference on the NamUs main webpage.</w:t>
      </w:r>
      <w:r>
        <w:rPr>
          <w:rStyle w:val="FootnoteReference"/>
        </w:rPr>
        <w:footnoteReference w:id="15"/>
      </w:r>
    </w:p>
    <w:p w:rsidR="00AB693E" w:rsidRPr="00FB5568" w:rsidP="00AB693E" w14:paraId="16FFB360" w14:textId="1103D4AB">
      <w:pPr>
        <w:pStyle w:val="ListParagraph"/>
        <w:numPr>
          <w:ilvl w:val="0"/>
          <w:numId w:val="4"/>
        </w:numPr>
        <w:rPr>
          <w:color w:val="000000" w:themeColor="text1"/>
        </w:rPr>
      </w:pPr>
      <w:r w:rsidRPr="00FB5568">
        <w:rPr>
          <w:color w:val="000000" w:themeColor="text1"/>
        </w:rPr>
        <w:t xml:space="preserve">Dr. Michael Murphy, former </w:t>
      </w:r>
      <w:r w:rsidR="005F2818">
        <w:rPr>
          <w:color w:val="000000" w:themeColor="text1"/>
        </w:rPr>
        <w:t>Coroner</w:t>
      </w:r>
      <w:r w:rsidRPr="00FB5568">
        <w:rPr>
          <w:color w:val="000000" w:themeColor="text1"/>
        </w:rPr>
        <w:t xml:space="preserve"> for the Clark County Coroner’s Office, NV</w:t>
      </w:r>
      <w:r w:rsidR="005F2818">
        <w:rPr>
          <w:color w:val="000000" w:themeColor="text1"/>
        </w:rPr>
        <w:t xml:space="preserve"> and past president of the International Association of Coroners and Medical Examiners</w:t>
      </w:r>
      <w:r w:rsidRPr="00FB5568">
        <w:rPr>
          <w:color w:val="000000" w:themeColor="text1"/>
        </w:rPr>
        <w:t>, used the map from the BJS report “Medical Examiners and Coroners’ Offices, 2004</w:t>
      </w:r>
      <w:r w:rsidR="008667F1">
        <w:rPr>
          <w:color w:val="000000" w:themeColor="text1"/>
        </w:rPr>
        <w:t>”</w:t>
      </w:r>
      <w:r w:rsidRPr="00FB5568">
        <w:rPr>
          <w:color w:val="000000" w:themeColor="text1"/>
        </w:rPr>
        <w:t xml:space="preserve"> to show the U.S. states by type of MEC system during his presentation at the 2018 International Association of Coroners and Medical Examiners (IACME) training symposium in Las Vegas, NV in July 2018.</w:t>
      </w:r>
    </w:p>
    <w:p w:rsidR="00AB693E" w:rsidRPr="00FB5568" w:rsidP="00AB693E" w14:paraId="0B6DDAD3" w14:textId="77777777">
      <w:pPr>
        <w:pStyle w:val="ListParagraph"/>
        <w:numPr>
          <w:ilvl w:val="0"/>
          <w:numId w:val="4"/>
        </w:numPr>
        <w:rPr>
          <w:color w:val="000000" w:themeColor="text1"/>
        </w:rPr>
      </w:pPr>
      <w:r w:rsidRPr="00FB5568">
        <w:rPr>
          <w:color w:val="000000" w:themeColor="text1"/>
        </w:rPr>
        <w:t>Dr. Andrew Baker, former National Association of Medical Examiners president and Chief Medical Examiner of Hennepin County, MN, referenced the CMEC 2004 data to highlight caseload and workforce numbers in his keynote address at the 2018 Society of Forensic Toxicologists in Minneapolis, MN in October 2018.</w:t>
      </w:r>
    </w:p>
    <w:p w:rsidR="00F87F3A" w:rsidP="00F87F3A" w14:paraId="767B2D9D" w14:textId="6E91CFFA"/>
    <w:p w:rsidR="001522F8" w:rsidP="001522F8" w14:paraId="33992DF5" w14:textId="77777777">
      <w:pPr>
        <w:autoSpaceDE w:val="0"/>
        <w:autoSpaceDN w:val="0"/>
        <w:adjustRightInd w:val="0"/>
        <w:rPr>
          <w:rFonts w:ascii="TimesNewRomanPSMT" w:hAnsi="TimesNewRomanPSMT" w:cs="TimesNewRomanPSMT"/>
        </w:rPr>
      </w:pPr>
      <w:r w:rsidRPr="6B090802">
        <w:rPr>
          <w:rFonts w:ascii="TimesNewRomanPSMT" w:hAnsi="TimesNewRomanPSMT" w:cs="TimesNewRomanPSMT"/>
        </w:rPr>
        <w:t>In</w:t>
      </w:r>
      <w:r>
        <w:rPr>
          <w:rFonts w:ascii="TimesNewRomanPSMT" w:hAnsi="TimesNewRomanPSMT" w:cs="TimesNewRomanPSMT"/>
        </w:rPr>
        <w:t xml:space="preserve"> addition, i</w:t>
      </w:r>
      <w:r w:rsidRPr="6B090802">
        <w:rPr>
          <w:rFonts w:ascii="TimesNewRomanPSMT" w:hAnsi="TimesNewRomanPSMT" w:cs="TimesNewRomanPSMT"/>
        </w:rPr>
        <w:t xml:space="preserve">nformation collected by the CMEC concerning caseload, staffing, and certification of </w:t>
      </w:r>
      <w:r>
        <w:rPr>
          <w:rFonts w:ascii="TimesNewRomanPSMT" w:hAnsi="TimesNewRomanPSMT" w:cs="TimesNewRomanPSMT"/>
        </w:rPr>
        <w:t>medicolegal death investigators</w:t>
      </w:r>
      <w:r w:rsidRPr="6B090802">
        <w:rPr>
          <w:rFonts w:ascii="TimesNewRomanPSMT" w:hAnsi="TimesNewRomanPSMT" w:cs="TimesNewRomanPSMT"/>
        </w:rPr>
        <w:t xml:space="preserve"> and accreditation of MEC offices nationwide, will inform the national need for forensic pathologists and supporting staff, as well as support and inform national efforts currently underway by the Bureau of Justice Assistance</w:t>
      </w:r>
      <w:r>
        <w:rPr>
          <w:rFonts w:ascii="TimesNewRomanPSMT" w:hAnsi="TimesNewRomanPSMT" w:cs="TimesNewRomanPSMT"/>
        </w:rPr>
        <w:t xml:space="preserve"> (BJA)</w:t>
      </w:r>
      <w:r w:rsidRPr="6B090802">
        <w:rPr>
          <w:rFonts w:ascii="TimesNewRomanPSMT" w:hAnsi="TimesNewRomanPSMT" w:cs="TimesNewRomanPSMT"/>
        </w:rPr>
        <w:t xml:space="preserve"> to provide funding that will facilitate </w:t>
      </w:r>
      <w:r w:rsidRPr="004652D7">
        <w:rPr>
          <w:rFonts w:ascii="TimesNewRomanPSMT" w:hAnsi="TimesNewRomanPSMT" w:cs="TimesNewRomanPSMT"/>
        </w:rPr>
        <w:t>MEC</w:t>
      </w:r>
      <w:r>
        <w:rPr>
          <w:rFonts w:ascii="TimesNewRomanPSMT" w:hAnsi="TimesNewRomanPSMT" w:cs="TimesNewRomanPSMT"/>
        </w:rPr>
        <w:t xml:space="preserve"> </w:t>
      </w:r>
      <w:r>
        <w:rPr>
          <w:color w:val="000000" w:themeColor="text1"/>
        </w:rPr>
        <w:t>office</w:t>
      </w:r>
      <w:r w:rsidRPr="004652D7">
        <w:rPr>
          <w:rFonts w:ascii="TimesNewRomanPSMT" w:hAnsi="TimesNewRomanPSMT" w:cs="TimesNewRomanPSMT"/>
        </w:rPr>
        <w:t xml:space="preserve">s to achieve higher success through its Strengthening the Medical Examiner-Coroner System Program (see </w:t>
      </w:r>
      <w:hyperlink r:id="rId12">
        <w:r w:rsidRPr="004652D7">
          <w:rPr>
            <w:rStyle w:val="Hyperlink"/>
            <w:rFonts w:ascii="TimesNewRomanPSMT" w:hAnsi="TimesNewRomanPSMT" w:cs="TimesNewRomanPSMT"/>
          </w:rPr>
          <w:t>https://bja.ojp.gov/program/strengthening-mec/overview</w:t>
        </w:r>
      </w:hyperlink>
      <w:r w:rsidRPr="004652D7">
        <w:rPr>
          <w:rFonts w:ascii="TimesNewRomanPSMT" w:hAnsi="TimesNewRomanPSMT" w:cs="TimesNewRomanPSMT"/>
        </w:rPr>
        <w:t xml:space="preserve">). The 2023 CMEC will also provide needed data to inform the development of </w:t>
      </w:r>
      <w:r w:rsidRPr="004652D7">
        <w:rPr>
          <w:rFonts w:ascii="TimesNewRomanPSMT" w:hAnsi="TimesNewRomanPSMT" w:cs="TimesNewRomanPSMT"/>
        </w:rPr>
        <w:t>current and future Department of Justice funding programs. For</w:t>
      </w:r>
      <w:r w:rsidRPr="6B090802">
        <w:rPr>
          <w:rFonts w:ascii="TimesNewRomanPSMT" w:hAnsi="TimesNewRomanPSMT" w:cs="TimesNewRomanPSMT"/>
        </w:rPr>
        <w:t xml:space="preserve"> example, </w:t>
      </w:r>
      <w:r>
        <w:rPr>
          <w:rFonts w:ascii="TimesNewRomanPSMT" w:hAnsi="TimesNewRomanPSMT" w:cs="TimesNewRomanPSMT"/>
        </w:rPr>
        <w:t>t</w:t>
      </w:r>
      <w:r w:rsidRPr="6B090802">
        <w:rPr>
          <w:rFonts w:ascii="TimesNewRomanPSMT" w:hAnsi="TimesNewRomanPSMT" w:cs="TimesNewRomanPSMT"/>
        </w:rPr>
        <w:t xml:space="preserve">he </w:t>
      </w:r>
      <w:r>
        <w:rPr>
          <w:rFonts w:ascii="TimesNewRomanPSMT" w:hAnsi="TimesNewRomanPSMT" w:cs="TimesNewRomanPSMT"/>
        </w:rPr>
        <w:t xml:space="preserve">BJA </w:t>
      </w:r>
      <w:r w:rsidRPr="6B090802">
        <w:rPr>
          <w:rFonts w:ascii="TimesNewRomanPSMT" w:hAnsi="TimesNewRomanPSMT" w:cs="TimesNewRomanPSMT"/>
        </w:rPr>
        <w:t xml:space="preserve">Paul Coverdell Forensic Science Improvement Grants Program aims to improve the quality and timeliness of forensic science and MEC services by providing funds to implement new technologies, train forensic pathologists, and help eliminate backlogs. Having updated data will help inform </w:t>
      </w:r>
      <w:r>
        <w:rPr>
          <w:rFonts w:ascii="TimesNewRomanPSMT" w:hAnsi="TimesNewRomanPSMT" w:cs="TimesNewRomanPSMT"/>
        </w:rPr>
        <w:t>BJA</w:t>
      </w:r>
      <w:r w:rsidRPr="6B090802">
        <w:rPr>
          <w:rFonts w:ascii="TimesNewRomanPSMT" w:hAnsi="TimesNewRomanPSMT" w:cs="TimesNewRomanPSMT"/>
        </w:rPr>
        <w:t xml:space="preserve"> about the most efficient areas to target its grant funding.</w:t>
      </w:r>
    </w:p>
    <w:p w:rsidR="001522F8" w:rsidRPr="00F87F3A" w:rsidP="001522F8" w14:paraId="1684CE92" w14:textId="77777777">
      <w:pPr>
        <w:rPr>
          <w:rFonts w:ascii="TimesNewRomanPSMT" w:hAnsi="TimesNewRomanPSMT" w:cs="TimesNewRomanPSMT"/>
        </w:rPr>
      </w:pPr>
    </w:p>
    <w:p w:rsidR="009A5053" w:rsidRPr="00173155" w:rsidP="00173155" w14:paraId="460D2EB2" w14:textId="77777777">
      <w:pPr>
        <w:rPr>
          <w:rFonts w:ascii="TimesNewRomanPSMT" w:hAnsi="TimesNewRomanPSMT" w:cs="TimesNewRomanPSMT"/>
        </w:rPr>
      </w:pPr>
      <w:r w:rsidRPr="00173155">
        <w:rPr>
          <w:rFonts w:ascii="TimesNewRomanPSMT" w:hAnsi="TimesNewRomanPSMT" w:cs="TimesNewRomanPSMT"/>
        </w:rPr>
        <w:t xml:space="preserve">The Department of Justice’s Office of Justice Programs and the Department of Health and Human Services formed the Medicolegal Death Investigation Federal Interagency Working Group (MDI-WG; see </w:t>
      </w:r>
      <w:hyperlink r:id="rId13" w:history="1">
        <w:r w:rsidRPr="00173155">
          <w:rPr>
            <w:rStyle w:val="Hyperlink"/>
            <w:rFonts w:ascii="TimesNewRomanPSMT" w:hAnsi="TimesNewRomanPSMT" w:cs="TimesNewRomanPSMT"/>
          </w:rPr>
          <w:t>https://ojp.gov/resources/ojp-hhs-mdi-wg.htm</w:t>
        </w:r>
      </w:hyperlink>
      <w:r w:rsidRPr="00173155">
        <w:rPr>
          <w:rFonts w:ascii="TimesNewRomanPSMT" w:hAnsi="TimesNewRomanPSMT" w:cs="TimesNewRomanPSMT"/>
        </w:rPr>
        <w:t xml:space="preserve">) in March 2018 to coordinate federal initiatives to strengthen the MDI system and support death investigation services practiced by MEC offices across the United States. The 2023 CMEC will support this effort by providing data that will speak to many key areas and provide relevant data to inform the working group of appropriate next steps in terms of budgets, planning, needs, and areas for program growth and outreach. </w:t>
      </w:r>
      <w:r w:rsidRPr="00173155" w:rsidR="005E1A66">
        <w:rPr>
          <w:rFonts w:ascii="TimesNewRomanPSMT" w:hAnsi="TimesNewRomanPSMT" w:cs="TimesNewRomanPSMT"/>
        </w:rPr>
        <w:t>In addition to the key measures identified in Section 5, the consulted MEC experts considered the following as key measures for their community:</w:t>
      </w:r>
      <w:r w:rsidRPr="00173155" w:rsidR="002C3FFE">
        <w:rPr>
          <w:rFonts w:ascii="TimesNewRomanPSMT" w:hAnsi="TimesNewRomanPSMT" w:cs="TimesNewRomanPSMT"/>
        </w:rPr>
        <w:t xml:space="preserve">  </w:t>
      </w:r>
    </w:p>
    <w:p w:rsidR="001522F8" w:rsidRPr="005E1A66" w:rsidP="005E1A66" w14:paraId="53EF5131" w14:textId="37229DD1">
      <w:pPr>
        <w:pStyle w:val="ListParagraph"/>
        <w:numPr>
          <w:ilvl w:val="0"/>
          <w:numId w:val="27"/>
        </w:numPr>
        <w:rPr>
          <w:rFonts w:ascii="TimesNewRomanPSMT" w:hAnsi="TimesNewRomanPSMT" w:cs="TimesNewRomanPSMT"/>
        </w:rPr>
      </w:pPr>
      <w:r w:rsidRPr="005E1A66">
        <w:rPr>
          <w:rFonts w:ascii="TimesNewRomanPSMT" w:hAnsi="TimesNewRomanPSMT" w:cs="TimesNewRomanPSMT"/>
        </w:rPr>
        <w:t xml:space="preserve">Number and types of MEC offices, including Texas </w:t>
      </w:r>
      <w:r w:rsidRPr="005E1A66">
        <w:rPr>
          <w:rFonts w:ascii="TimesNewRomanPSMT" w:hAnsi="TimesNewRomanPSMT" w:cs="TimesNewRomanPSMT"/>
        </w:rPr>
        <w:t>JPs</w:t>
      </w:r>
      <w:r w:rsidR="005E1A66">
        <w:rPr>
          <w:rFonts w:ascii="TimesNewRomanPSMT" w:hAnsi="TimesNewRomanPSMT" w:cs="TimesNewRomanPSMT"/>
        </w:rPr>
        <w:t>;</w:t>
      </w:r>
    </w:p>
    <w:p w:rsidR="001522F8" w:rsidRPr="00CF3DAA" w:rsidP="001522F8" w14:paraId="1F0AB39F" w14:textId="46D75939">
      <w:pPr>
        <w:pStyle w:val="ListParagraph"/>
        <w:numPr>
          <w:ilvl w:val="0"/>
          <w:numId w:val="6"/>
        </w:numPr>
        <w:rPr>
          <w:rFonts w:ascii="TimesNewRomanPSMT" w:hAnsi="TimesNewRomanPSMT" w:cs="TimesNewRomanPSMT"/>
        </w:rPr>
      </w:pPr>
      <w:r w:rsidRPr="00CF3DAA">
        <w:rPr>
          <w:rFonts w:ascii="TimesNewRomanPSMT" w:hAnsi="TimesNewRomanPSMT" w:cs="TimesNewRomanPSMT"/>
        </w:rPr>
        <w:t xml:space="preserve">Number of full-time and part-time personnel and their responsibilities and </w:t>
      </w:r>
      <w:r w:rsidRPr="00CF3DAA">
        <w:rPr>
          <w:rFonts w:ascii="TimesNewRomanPSMT" w:hAnsi="TimesNewRomanPSMT" w:cs="TimesNewRomanPSMT"/>
        </w:rPr>
        <w:t>roles</w:t>
      </w:r>
      <w:r w:rsidR="005E1A66">
        <w:rPr>
          <w:rFonts w:ascii="TimesNewRomanPSMT" w:hAnsi="TimesNewRomanPSMT" w:cs="TimesNewRomanPSMT"/>
        </w:rPr>
        <w:t>;</w:t>
      </w:r>
    </w:p>
    <w:p w:rsidR="001522F8" w:rsidRPr="00CF3DAA" w:rsidP="001522F8" w14:paraId="7899A709" w14:textId="6AF08D4D">
      <w:pPr>
        <w:pStyle w:val="ListParagraph"/>
        <w:numPr>
          <w:ilvl w:val="0"/>
          <w:numId w:val="6"/>
        </w:numPr>
        <w:rPr>
          <w:rFonts w:ascii="TimesNewRomanPSMT" w:hAnsi="TimesNewRomanPSMT" w:cs="TimesNewRomanPSMT"/>
        </w:rPr>
      </w:pPr>
      <w:r w:rsidRPr="00CF3DAA">
        <w:rPr>
          <w:rFonts w:ascii="TimesNewRomanPSMT" w:hAnsi="TimesNewRomanPSMT" w:cs="TimesNewRomanPSMT"/>
        </w:rPr>
        <w:t>Average total operating budgets</w:t>
      </w:r>
      <w:r w:rsidR="005E1A66">
        <w:rPr>
          <w:rFonts w:ascii="TimesNewRomanPSMT" w:hAnsi="TimesNewRomanPSMT" w:cs="TimesNewRomanPSMT"/>
        </w:rPr>
        <w:t xml:space="preserve"> and personal resources used for MEC office operational </w:t>
      </w:r>
      <w:r w:rsidR="005E1A66">
        <w:rPr>
          <w:rFonts w:ascii="TimesNewRomanPSMT" w:hAnsi="TimesNewRomanPSMT" w:cs="TimesNewRomanPSMT"/>
        </w:rPr>
        <w:t>needs;</w:t>
      </w:r>
    </w:p>
    <w:p w:rsidR="001522F8" w:rsidRPr="00CF3DAA" w:rsidP="001522F8" w14:paraId="39AA0107" w14:textId="3329EA6B">
      <w:pPr>
        <w:pStyle w:val="ListParagraph"/>
        <w:numPr>
          <w:ilvl w:val="0"/>
          <w:numId w:val="6"/>
        </w:numPr>
        <w:rPr>
          <w:rFonts w:ascii="TimesNewRomanPSMT" w:hAnsi="TimesNewRomanPSMT" w:cs="TimesNewRomanPSMT"/>
        </w:rPr>
      </w:pPr>
      <w:r w:rsidRPr="00CF3DAA">
        <w:rPr>
          <w:rFonts w:ascii="TimesNewRomanPSMT" w:hAnsi="TimesNewRomanPSMT" w:cs="TimesNewRomanPSMT"/>
        </w:rPr>
        <w:t>Caseloads and autopsies performed</w:t>
      </w:r>
      <w:r w:rsidR="005E1A66">
        <w:rPr>
          <w:rFonts w:ascii="TimesNewRomanPSMT" w:hAnsi="TimesNewRomanPSMT" w:cs="TimesNewRomanPSMT"/>
        </w:rPr>
        <w:t xml:space="preserve"> and outsourced; and</w:t>
      </w:r>
    </w:p>
    <w:p w:rsidR="001522F8" w:rsidP="001522F8" w14:paraId="49F62DA7" w14:textId="77777777">
      <w:pPr>
        <w:pStyle w:val="ListParagraph"/>
        <w:numPr>
          <w:ilvl w:val="0"/>
          <w:numId w:val="6"/>
        </w:numPr>
        <w:rPr>
          <w:rFonts w:ascii="TimesNewRomanPSMT" w:hAnsi="TimesNewRomanPSMT" w:cs="TimesNewRomanPSMT"/>
        </w:rPr>
      </w:pPr>
      <w:r w:rsidRPr="00CF3DAA">
        <w:rPr>
          <w:rFonts w:ascii="TimesNewRomanPSMT" w:hAnsi="TimesNewRomanPSMT" w:cs="TimesNewRomanPSMT"/>
        </w:rPr>
        <w:t xml:space="preserve">Policies and procedures regarding autopsies and </w:t>
      </w:r>
      <w:r>
        <w:rPr>
          <w:rFonts w:ascii="TimesNewRomanPSMT" w:hAnsi="TimesNewRomanPSMT" w:cs="TimesNewRomanPSMT"/>
        </w:rPr>
        <w:t>MDI</w:t>
      </w:r>
      <w:r w:rsidRPr="00CF3DAA">
        <w:rPr>
          <w:rFonts w:ascii="TimesNewRomanPSMT" w:hAnsi="TimesNewRomanPSMT" w:cs="TimesNewRomanPSMT"/>
        </w:rPr>
        <w:t>.</w:t>
      </w:r>
    </w:p>
    <w:p w:rsidR="001522F8" w:rsidRPr="00CF3DAA" w:rsidP="00D91061" w14:paraId="38A73332" w14:textId="77777777">
      <w:pPr>
        <w:pStyle w:val="ListParagraph"/>
        <w:rPr>
          <w:rFonts w:ascii="TimesNewRomanPSMT" w:hAnsi="TimesNewRomanPSMT" w:cs="TimesNewRomanPSMT"/>
        </w:rPr>
      </w:pPr>
    </w:p>
    <w:p w:rsidR="006C5976" w:rsidP="006C5976" w14:paraId="67A1B6B8" w14:textId="6C840604">
      <w:pPr>
        <w:rPr>
          <w:bCs/>
        </w:rPr>
      </w:pPr>
      <w:r w:rsidRPr="001875A2">
        <w:rPr>
          <w:b/>
          <w:bCs/>
        </w:rPr>
        <w:t>Academia and Independent Researchers</w:t>
      </w:r>
      <w:r w:rsidRPr="001875A2">
        <w:t xml:space="preserve"> – </w:t>
      </w:r>
      <w:r w:rsidRPr="00903A7E">
        <w:t>T</w:t>
      </w:r>
      <w:r>
        <w:t xml:space="preserve">o conduct research on a range of criminal justice topics. </w:t>
      </w:r>
      <w:r>
        <w:rPr>
          <w:bCs/>
        </w:rPr>
        <w:t>Below is a sample of publications using data from the CMEC in the last four years.</w:t>
      </w:r>
    </w:p>
    <w:p w:rsidR="0006314F" w:rsidRPr="0006314F" w:rsidP="0006314F" w14:paraId="0E5F5453" w14:textId="72437942">
      <w:pPr>
        <w:pStyle w:val="xmsonormal"/>
        <w:numPr>
          <w:ilvl w:val="0"/>
          <w:numId w:val="7"/>
        </w:numPr>
        <w:rPr>
          <w:rFonts w:ascii="Times New Roman" w:hAnsi="Times New Roman" w:cs="Times New Roman"/>
          <w:sz w:val="28"/>
          <w:szCs w:val="28"/>
        </w:rPr>
      </w:pPr>
      <w:r w:rsidRPr="0006314F">
        <w:rPr>
          <w:rFonts w:ascii="Times New Roman" w:hAnsi="Times New Roman" w:cs="Times New Roman"/>
        </w:rPr>
        <w:t>Mitchell, R. &amp; Aronson, J.  (2023)</w:t>
      </w:r>
      <w:r>
        <w:rPr>
          <w:rFonts w:ascii="Times New Roman" w:hAnsi="Times New Roman" w:cs="Times New Roman"/>
        </w:rPr>
        <w:t>.</w:t>
      </w:r>
      <w:r w:rsidRPr="0006314F">
        <w:rPr>
          <w:rFonts w:ascii="Times New Roman" w:hAnsi="Times New Roman" w:cs="Times New Roman"/>
        </w:rPr>
        <w:t xml:space="preserve"> </w:t>
      </w:r>
      <w:r w:rsidRPr="0006314F">
        <w:rPr>
          <w:rFonts w:ascii="Times New Roman" w:hAnsi="Times New Roman" w:cs="Times New Roman"/>
          <w:i/>
          <w:iCs/>
        </w:rPr>
        <w:t>Death in Custody: How America Ignores the Truth and What We Can Do about It</w:t>
      </w:r>
      <w:r w:rsidRPr="0006314F">
        <w:rPr>
          <w:rFonts w:ascii="Times New Roman" w:hAnsi="Times New Roman" w:cs="Times New Roman"/>
        </w:rPr>
        <w:t>.  John Hopkins University Press.</w:t>
      </w:r>
    </w:p>
    <w:p w:rsidR="00AB693E" w:rsidRPr="00FB5568" w:rsidP="00AB693E" w14:paraId="6F68F096" w14:textId="55010F66">
      <w:pPr>
        <w:pStyle w:val="BodyText2"/>
        <w:numPr>
          <w:ilvl w:val="0"/>
          <w:numId w:val="7"/>
        </w:numPr>
        <w:rPr>
          <w:i/>
          <w:iCs/>
          <w:sz w:val="22"/>
          <w:szCs w:val="22"/>
        </w:rPr>
      </w:pPr>
      <w:r w:rsidRPr="00FB70F3">
        <w:t>Ascolese</w:t>
      </w:r>
      <w:r w:rsidRPr="00FB70F3">
        <w:t xml:space="preserve">, M., Keyes, K., </w:t>
      </w:r>
      <w:r w:rsidRPr="00FB70F3">
        <w:t>Ropero</w:t>
      </w:r>
      <w:r w:rsidRPr="00FB70F3">
        <w:t xml:space="preserve">-Miller, J., Wire, S., </w:t>
      </w:r>
      <w:r w:rsidR="006F4890">
        <w:t xml:space="preserve">&amp; </w:t>
      </w:r>
      <w:r w:rsidRPr="00FB70F3">
        <w:t>Smiley-McDonald, H.  (2024) Mass fatality</w:t>
      </w:r>
      <w:r w:rsidRPr="00C9165C">
        <w:rPr>
          <w:sz w:val="22"/>
          <w:szCs w:val="22"/>
        </w:rPr>
        <w:t xml:space="preserve"> </w:t>
      </w:r>
      <w:r w:rsidRPr="00FB70F3">
        <w:t>and disaster response preparedness across medical examiner and coroner offices in the United States.</w:t>
      </w:r>
      <w:r w:rsidRPr="00FB70F3">
        <w:rPr>
          <w:i/>
          <w:iCs/>
        </w:rPr>
        <w:t xml:space="preserve"> Forensic Science International: Synergy, 8,</w:t>
      </w:r>
      <w:r w:rsidRPr="00FB70F3">
        <w:t xml:space="preserve"> 100462.</w:t>
      </w:r>
      <w:r w:rsidRPr="00FB70F3">
        <w:rPr>
          <w:i/>
          <w:iCs/>
        </w:rPr>
        <w:t xml:space="preserve"> </w:t>
      </w:r>
      <w:hyperlink r:id="rId14" w:history="1">
        <w:r w:rsidRPr="00FB70F3">
          <w:rPr>
            <w:rStyle w:val="Hyperlink"/>
            <w:color w:val="auto"/>
          </w:rPr>
          <w:t>https://doi.org/10.1016/j.fsisyn.2024.100462</w:t>
        </w:r>
      </w:hyperlink>
      <w:r w:rsidRPr="00FB70F3">
        <w:t>.</w:t>
      </w:r>
    </w:p>
    <w:p w:rsidR="006F4890" w:rsidRPr="006F4890" w:rsidP="006F4890" w14:paraId="3837D2A9" w14:textId="69622D97">
      <w:pPr>
        <w:pStyle w:val="BodyText2"/>
        <w:numPr>
          <w:ilvl w:val="0"/>
          <w:numId w:val="7"/>
        </w:numPr>
        <w:rPr>
          <w:i/>
          <w:iCs/>
        </w:rPr>
      </w:pPr>
      <w:r>
        <w:t xml:space="preserve">Weinstein, L.C. Keyes, K.A., Brooks, C., </w:t>
      </w:r>
      <w:r>
        <w:t>Ascolese</w:t>
      </w:r>
      <w:r>
        <w:t xml:space="preserve">, M.A., Smiley-McDonald, H.M., </w:t>
      </w:r>
      <w:r>
        <w:t>Ropero</w:t>
      </w:r>
      <w:r>
        <w:t xml:space="preserve">-Miller, J.D. (2024) Technology use among the nation’s medical examiner and coroner offices: Data from the 2018 Census of Medical Examiner and Coroner Offices. Forensic Science International: Synergy, 8, 100477, </w:t>
      </w:r>
      <w:hyperlink r:id="rId15" w:history="1">
        <w:r w:rsidRPr="00330907">
          <w:rPr>
            <w:rStyle w:val="Hyperlink"/>
          </w:rPr>
          <w:t>https://doi.org/10.1016/j.fsisyn.2024.100477</w:t>
        </w:r>
      </w:hyperlink>
      <w:r>
        <w:t>.</w:t>
      </w:r>
    </w:p>
    <w:p w:rsidR="00AB693E" w:rsidRPr="006F4890" w:rsidP="006F4890" w14:paraId="27E29065" w14:textId="3E03F0C0">
      <w:pPr>
        <w:pStyle w:val="BodyText2"/>
        <w:numPr>
          <w:ilvl w:val="0"/>
          <w:numId w:val="7"/>
        </w:numPr>
        <w:rPr>
          <w:i/>
          <w:iCs/>
        </w:rPr>
      </w:pPr>
      <w:r w:rsidRPr="00175E6F">
        <w:t xml:space="preserve">Smiley-McDonald, H., Keyes, K.A., Wire, S., Greenwell, K., Santos, N.A., &amp; </w:t>
      </w:r>
      <w:r w:rsidRPr="00175E6F">
        <w:t>Ropero</w:t>
      </w:r>
      <w:r w:rsidRPr="00175E6F">
        <w:t>-Miller, J.D. (2024). The impacts of governing agency: A comparison of resources in the patchwork of medicolegal death investigation systems.</w:t>
      </w:r>
      <w:r w:rsidRPr="006F4890">
        <w:rPr>
          <w:i/>
          <w:iCs/>
        </w:rPr>
        <w:t xml:space="preserve"> Forensic Science International: Synergy</w:t>
      </w:r>
      <w:r w:rsidRPr="00175E6F">
        <w:t xml:space="preserve">, 8, 100467. </w:t>
      </w:r>
      <w:hyperlink r:id="rId16" w:history="1">
        <w:r w:rsidRPr="00814551" w:rsidR="008667F1">
          <w:rPr>
            <w:rStyle w:val="Hyperlink"/>
          </w:rPr>
          <w:t>https://doi</w:t>
        </w:r>
        <w:r w:rsidRPr="00814551">
          <w:rPr>
            <w:rStyle w:val="Hyperlink"/>
          </w:rPr>
          <w:t>.org/10.1016/j.fsisyn.2024.100467</w:t>
        </w:r>
      </w:hyperlink>
      <w:r w:rsidRPr="00175E6F">
        <w:t>.</w:t>
      </w:r>
    </w:p>
    <w:p w:rsidR="004907AF" w:rsidP="004907AF" w14:paraId="0C154EC4" w14:textId="6F0A824F">
      <w:pPr>
        <w:pStyle w:val="ListParagraph"/>
        <w:numPr>
          <w:ilvl w:val="0"/>
          <w:numId w:val="7"/>
        </w:numPr>
      </w:pPr>
      <w:r>
        <w:t>Ropero</w:t>
      </w:r>
      <w:r>
        <w:t xml:space="preserve">-Miller, J.D., Pitts, W.J., Imran, A., Bell, R.A., &amp; Smiley-McDonald, H.M. (2024). Medicolegal death investigations on tribal lands—underrepresented or underserved? </w:t>
      </w:r>
      <w:r w:rsidRPr="004907AF">
        <w:rPr>
          <w:i/>
          <w:iCs/>
        </w:rPr>
        <w:t>Forensic Science International: Synergy, 8,</w:t>
      </w:r>
      <w:r>
        <w:t xml:space="preserve"> 100480. https://doi.org/10.1016/j.fsisyn.2024.100480.</w:t>
      </w:r>
    </w:p>
    <w:p w:rsidR="00182505" w:rsidP="002616FC" w14:paraId="590C30AF" w14:textId="71455686">
      <w:pPr>
        <w:pStyle w:val="ListParagraph"/>
        <w:numPr>
          <w:ilvl w:val="0"/>
          <w:numId w:val="7"/>
        </w:numPr>
      </w:pPr>
      <w:r w:rsidRPr="00182505">
        <w:t xml:space="preserve">Rodriguez, A. L., Smiley-McDonald, H. M., Cummings, M. S., Wire, S., Slack, D., Williams, C. L., Keyes, K. A., &amp; </w:t>
      </w:r>
      <w:r w:rsidRPr="00182505">
        <w:t>Ropero</w:t>
      </w:r>
      <w:r w:rsidRPr="00182505">
        <w:t xml:space="preserve">-Miller, J. D. (2022). Understanding unidentified </w:t>
      </w:r>
      <w:r w:rsidRPr="00182505">
        <w:t xml:space="preserve">human remains investigations through the United States census data. </w:t>
      </w:r>
      <w:r w:rsidRPr="00FB70F3">
        <w:rPr>
          <w:i/>
          <w:iCs/>
        </w:rPr>
        <w:t>Forensic Science International: Synergy</w:t>
      </w:r>
      <w:r w:rsidRPr="00182505">
        <w:t xml:space="preserve">, 4, 100225. </w:t>
      </w:r>
      <w:hyperlink r:id="rId17" w:history="1">
        <w:r w:rsidRPr="00717AFD">
          <w:rPr>
            <w:rStyle w:val="Hyperlink"/>
          </w:rPr>
          <w:t>https://doi.org/10.1016/j.fsisyn.2022.100225</w:t>
        </w:r>
      </w:hyperlink>
    </w:p>
    <w:p w:rsidR="00182505" w:rsidRPr="00FB70F3" w:rsidP="002616FC" w14:paraId="1E211B20" w14:textId="100E3D97">
      <w:pPr>
        <w:pStyle w:val="ListParagraph"/>
        <w:numPr>
          <w:ilvl w:val="0"/>
          <w:numId w:val="7"/>
        </w:numPr>
        <w:rPr>
          <w:i/>
          <w:iCs/>
        </w:rPr>
      </w:pPr>
      <w:r w:rsidRPr="002616FC">
        <w:t>Ropero</w:t>
      </w:r>
      <w:r w:rsidRPr="002616FC">
        <w:t xml:space="preserve">‐Miller, J. D., Smiley‐McDonald, H. M., Zimmer, S. A., &amp; Bollinger, K. M. (2020). A Census of medicolegal death investigation in the United States: A need to determine the state of our nation’s toxicology laboratories and their preparedness for the </w:t>
      </w:r>
      <w:r w:rsidRPr="00FB70F3">
        <w:rPr>
          <w:i/>
          <w:iCs/>
        </w:rPr>
        <w:t xml:space="preserve">current drug overdose epidemic. Journal of </w:t>
      </w:r>
      <w:r w:rsidR="00AF0E8C">
        <w:rPr>
          <w:i/>
          <w:iCs/>
        </w:rPr>
        <w:t>F</w:t>
      </w:r>
      <w:r w:rsidRPr="00FB70F3" w:rsidR="00AF0E8C">
        <w:rPr>
          <w:i/>
          <w:iCs/>
        </w:rPr>
        <w:t xml:space="preserve">orensic </w:t>
      </w:r>
      <w:r w:rsidR="00AF0E8C">
        <w:rPr>
          <w:i/>
          <w:iCs/>
        </w:rPr>
        <w:t>S</w:t>
      </w:r>
      <w:r w:rsidRPr="00FB70F3" w:rsidR="00AF0E8C">
        <w:rPr>
          <w:i/>
          <w:iCs/>
        </w:rPr>
        <w:t>ciences</w:t>
      </w:r>
      <w:r w:rsidRPr="00FB70F3">
        <w:rPr>
          <w:i/>
          <w:iCs/>
        </w:rPr>
        <w:t>, 65(2), 544-549.</w:t>
      </w:r>
    </w:p>
    <w:p w:rsidR="00182505" w:rsidP="00182505" w14:paraId="6A14D58C" w14:textId="77777777"/>
    <w:p w:rsidR="00F87F3A" w:rsidRPr="00B8502C" w:rsidP="00F87F3A" w14:paraId="2820DF2C" w14:textId="77777777"/>
    <w:p w:rsidR="00CF51CE" w:rsidRPr="00B6047E" w:rsidP="00EA5E4F" w14:paraId="7C790217" w14:textId="77777777">
      <w:pPr>
        <w:pStyle w:val="Heading2"/>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87F3A" w:rsidP="00F87F3A" w14:paraId="486A2FD3" w14:textId="2E93283F">
      <w:r w:rsidRPr="00F87F3A">
        <w:t xml:space="preserve">The </w:t>
      </w:r>
      <w:r w:rsidR="000E0101">
        <w:t>2023</w:t>
      </w:r>
      <w:r w:rsidRPr="00F87F3A" w:rsidR="000E0101">
        <w:t xml:space="preserve"> </w:t>
      </w:r>
      <w:r w:rsidRPr="00F87F3A">
        <w:t xml:space="preserve">CMEC </w:t>
      </w:r>
      <w:r w:rsidR="00804914">
        <w:t xml:space="preserve">will </w:t>
      </w:r>
      <w:r w:rsidRPr="00F87F3A">
        <w:t>use a multi-mode design in which respondents are directed to a web</w:t>
      </w:r>
      <w:r w:rsidR="00590765">
        <w:t xml:space="preserve"> </w:t>
      </w:r>
      <w:r w:rsidRPr="00F87F3A">
        <w:t xml:space="preserve">survey through mailed and emailed </w:t>
      </w:r>
      <w:r w:rsidRPr="00F87F3A" w:rsidR="0077129F">
        <w:t>in</w:t>
      </w:r>
      <w:r w:rsidR="0077129F">
        <w:t>vi</w:t>
      </w:r>
      <w:r w:rsidR="009F6476">
        <w:t>tations</w:t>
      </w:r>
      <w:r w:rsidRPr="00F87F3A">
        <w:t>. The web survey will be hosted by BJS’s data</w:t>
      </w:r>
      <w:r w:rsidR="009F6476">
        <w:t xml:space="preserve"> </w:t>
      </w:r>
      <w:r w:rsidRPr="00F87F3A">
        <w:t>collection agent RTI International (RTI)</w:t>
      </w:r>
      <w:r w:rsidR="000F6199">
        <w:t xml:space="preserve"> and will be</w:t>
      </w:r>
      <w:r w:rsidR="00DE07F5">
        <w:t xml:space="preserve"> available at</w:t>
      </w:r>
      <w:r w:rsidR="000F6199">
        <w:t xml:space="preserve"> </w:t>
      </w:r>
      <w:r w:rsidRPr="00632C94" w:rsidR="000F6199">
        <w:t>www.bjscmec.</w:t>
      </w:r>
      <w:r w:rsidRPr="00632C94" w:rsidR="00632C94">
        <w:t>rti.</w:t>
      </w:r>
      <w:r w:rsidRPr="00632C94" w:rsidR="000F6199">
        <w:t>org</w:t>
      </w:r>
      <w:r w:rsidRPr="00F87F3A">
        <w:t>.</w:t>
      </w:r>
    </w:p>
    <w:p w:rsidR="0005527F" w:rsidRPr="00F87F3A" w:rsidP="00F87F3A" w14:paraId="07D3DD68" w14:textId="77777777"/>
    <w:p w:rsidR="00F87F3A" w:rsidP="00F87F3A" w14:paraId="72DE32E8" w14:textId="505E18CC">
      <w:r w:rsidRPr="00F87F3A">
        <w:t xml:space="preserve">The </w:t>
      </w:r>
      <w:r w:rsidR="00055299">
        <w:t xml:space="preserve">2023 </w:t>
      </w:r>
      <w:r w:rsidRPr="00F87F3A">
        <w:t xml:space="preserve">CMEC instrument has been designed for online data collection </w:t>
      </w:r>
      <w:r w:rsidR="1523F697">
        <w:t xml:space="preserve">by RTI’s web programming team </w:t>
      </w:r>
      <w:r w:rsidR="00DE07F5">
        <w:t xml:space="preserve">using the same </w:t>
      </w:r>
      <w:r w:rsidR="7B398D0C">
        <w:t xml:space="preserve">software from </w:t>
      </w:r>
      <w:r w:rsidR="002E65C5">
        <w:t>the</w:t>
      </w:r>
      <w:r w:rsidR="7B398D0C">
        <w:t xml:space="preserve"> 2018 CMEC</w:t>
      </w:r>
      <w:r w:rsidR="1523F697">
        <w:t xml:space="preserve">. </w:t>
      </w:r>
      <w:r w:rsidRPr="00F87F3A" w:rsidR="00082813">
        <w:t>Th</w:t>
      </w:r>
      <w:r w:rsidR="00082813">
        <w:t>e survey</w:t>
      </w:r>
      <w:r w:rsidRPr="00F87F3A" w:rsidR="00082813">
        <w:t xml:space="preserve"> </w:t>
      </w:r>
      <w:r w:rsidRPr="00F87F3A">
        <w:t xml:space="preserve">software will allow RTI to </w:t>
      </w:r>
      <w:r w:rsidR="28891E35">
        <w:t xml:space="preserve">keep an updated database of contact information for agencies, which will further allow the team to </w:t>
      </w:r>
      <w:r>
        <w:t>send</w:t>
      </w:r>
      <w:r w:rsidRPr="00F87F3A">
        <w:t xml:space="preserve"> </w:t>
      </w:r>
      <w:r>
        <w:t>email</w:t>
      </w:r>
      <w:r w:rsidR="44FA9B54">
        <w:t>s</w:t>
      </w:r>
      <w:r w:rsidRPr="00F87F3A">
        <w:t xml:space="preserve"> to respondents explaining the </w:t>
      </w:r>
      <w:r w:rsidR="65CD4F5D">
        <w:t xml:space="preserve">purpose of the </w:t>
      </w:r>
      <w:r>
        <w:t>CMEC</w:t>
      </w:r>
      <w:r w:rsidRPr="00F87F3A">
        <w:t xml:space="preserve"> </w:t>
      </w:r>
      <w:r w:rsidR="4F11E896">
        <w:t>and</w:t>
      </w:r>
      <w:r w:rsidRPr="00F87F3A">
        <w:t xml:space="preserve"> a hyperlink to the</w:t>
      </w:r>
      <w:r w:rsidR="005423B9">
        <w:t xml:space="preserve"> </w:t>
      </w:r>
      <w:r w:rsidRPr="00F87F3A">
        <w:t xml:space="preserve">questionnaire. </w:t>
      </w:r>
      <w:r w:rsidR="303B0840">
        <w:t>Each r</w:t>
      </w:r>
      <w:r>
        <w:t>espondent</w:t>
      </w:r>
      <w:r w:rsidRPr="00F87F3A">
        <w:t xml:space="preserve"> will </w:t>
      </w:r>
      <w:r>
        <w:t>have</w:t>
      </w:r>
      <w:r w:rsidRPr="00F87F3A">
        <w:t xml:space="preserve"> a unique </w:t>
      </w:r>
      <w:r w:rsidR="00984D7C">
        <w:t xml:space="preserve">Case </w:t>
      </w:r>
      <w:r w:rsidRPr="00F87F3A">
        <w:t>Identification Number and</w:t>
      </w:r>
      <w:r w:rsidR="722775C7">
        <w:t xml:space="preserve"> </w:t>
      </w:r>
      <w:r w:rsidRPr="00F87F3A">
        <w:t>password provided by RTI to access the website to complete the census form.</w:t>
      </w:r>
      <w:r w:rsidR="005423B9">
        <w:t xml:space="preserve"> </w:t>
      </w:r>
      <w:r w:rsidRPr="00F87F3A">
        <w:t>The web survey application will include data validation and logic checks to help ensure</w:t>
      </w:r>
      <w:r w:rsidR="005423B9">
        <w:t xml:space="preserve"> </w:t>
      </w:r>
      <w:r w:rsidRPr="00F87F3A">
        <w:t>responses are consistent, within range, and follow proper skip patterns as necessary. If a</w:t>
      </w:r>
      <w:r w:rsidR="005423B9">
        <w:t xml:space="preserve"> </w:t>
      </w:r>
      <w:r w:rsidRPr="00F87F3A">
        <w:t xml:space="preserve">respondent provides an answer that </w:t>
      </w:r>
      <w:r w:rsidR="00CE40EE">
        <w:t>i</w:t>
      </w:r>
      <w:r w:rsidRPr="00F87F3A" w:rsidR="00CE40EE">
        <w:t xml:space="preserve">s </w:t>
      </w:r>
      <w:r w:rsidRPr="00F87F3A">
        <w:t>out-of-range or inconsistent with answers elsewhere in</w:t>
      </w:r>
      <w:r w:rsidR="005423B9">
        <w:t xml:space="preserve"> </w:t>
      </w:r>
      <w:r w:rsidRPr="00F87F3A">
        <w:t>the survey, they will be prompted to verify their answers as accurate. These processes will help</w:t>
      </w:r>
      <w:r w:rsidR="005423B9">
        <w:t xml:space="preserve"> </w:t>
      </w:r>
      <w:r w:rsidRPr="00F87F3A">
        <w:t>improve data quality and minimize respondent burden by reducing the need for extensive data</w:t>
      </w:r>
      <w:r w:rsidR="005423B9">
        <w:t xml:space="preserve"> </w:t>
      </w:r>
      <w:r w:rsidRPr="00F87F3A">
        <w:t>verification follow-up contact. Respondents will be able to start the survey, break off, and</w:t>
      </w:r>
      <w:r w:rsidR="005423B9">
        <w:t xml:space="preserve"> </w:t>
      </w:r>
      <w:r w:rsidRPr="00F87F3A">
        <w:t>resume the survey from where they left off</w:t>
      </w:r>
      <w:r w:rsidR="0FF9FA46">
        <w:t xml:space="preserve"> with answers saved</w:t>
      </w:r>
      <w:r>
        <w:t>.</w:t>
      </w:r>
      <w:r w:rsidRPr="00F87F3A">
        <w:t xml:space="preserve"> </w:t>
      </w:r>
      <w:r w:rsidR="0054591C">
        <w:t>At any point during the process</w:t>
      </w:r>
      <w:r w:rsidR="00803E99">
        <w:t xml:space="preserve">, respondents will have the ability to print a copy of the </w:t>
      </w:r>
      <w:r w:rsidR="00DE07F5">
        <w:t>questions</w:t>
      </w:r>
      <w:r w:rsidR="00803E99">
        <w:t xml:space="preserve"> through a PDF format</w:t>
      </w:r>
      <w:r w:rsidR="0054591C">
        <w:t xml:space="preserve"> so they can have a “working copy” to share with others to help gather data</w:t>
      </w:r>
      <w:r w:rsidR="00803E99">
        <w:t xml:space="preserve">. </w:t>
      </w:r>
      <w:r w:rsidR="003D39F1">
        <w:t xml:space="preserve">Respondents will be able to respond to the survey using mobile devices, such as tablets. </w:t>
      </w:r>
      <w:r w:rsidRPr="00F87F3A">
        <w:t>The software allows for real-time online tracking of</w:t>
      </w:r>
      <w:r>
        <w:t xml:space="preserve"> respondents thereby allowing BJS to track the completion of each office’s responses. </w:t>
      </w:r>
      <w:r w:rsidR="008C3F8A">
        <w:t xml:space="preserve">The survey software supports the export of data and </w:t>
      </w:r>
      <w:r w:rsidR="008C3F8A">
        <w:t>paradata</w:t>
      </w:r>
      <w:r w:rsidR="008C3F8A">
        <w:t xml:space="preserve"> as specified by BJS</w:t>
      </w:r>
      <w:r w:rsidR="00803E99">
        <w:t xml:space="preserve">. </w:t>
      </w:r>
    </w:p>
    <w:p w:rsidR="005423B9" w:rsidP="00F87F3A" w14:paraId="3190E7B4" w14:textId="77777777"/>
    <w:p w:rsidR="00F87F3A" w:rsidP="00F87F3A" w14:paraId="37FA8593" w14:textId="5A55E23A">
      <w:r>
        <w:t>Agencies may have several reasons why they do not respond via the internet; for example, some</w:t>
      </w:r>
      <w:r w:rsidR="005423B9">
        <w:t xml:space="preserve"> </w:t>
      </w:r>
      <w:r>
        <w:t>might not have reliable internet access</w:t>
      </w:r>
      <w:r w:rsidR="4E379D42">
        <w:t>,</w:t>
      </w:r>
      <w:r>
        <w:t xml:space="preserve"> and others might find it difficult to complete the CMEC</w:t>
      </w:r>
      <w:r w:rsidR="005423B9">
        <w:t xml:space="preserve"> </w:t>
      </w:r>
      <w:r>
        <w:t>online because of the complexity of the requested data or the need to involve multiple people in</w:t>
      </w:r>
      <w:r w:rsidR="00590765">
        <w:t xml:space="preserve"> </w:t>
      </w:r>
      <w:r>
        <w:t xml:space="preserve">preparing the response. </w:t>
      </w:r>
      <w:r w:rsidR="002E65C5">
        <w:t>A</w:t>
      </w:r>
      <w:r w:rsidR="003F0F58">
        <w:t>bout</w:t>
      </w:r>
      <w:r w:rsidR="00863FD3">
        <w:t xml:space="preserve"> 27% of </w:t>
      </w:r>
      <w:r w:rsidR="002E65C5">
        <w:t xml:space="preserve">the 2018 CMEC </w:t>
      </w:r>
      <w:r w:rsidR="00863FD3">
        <w:t>respondents</w:t>
      </w:r>
      <w:r w:rsidR="002E65C5">
        <w:t xml:space="preserve"> </w:t>
      </w:r>
      <w:r w:rsidR="00863FD3">
        <w:t>completed the paper version of th</w:t>
      </w:r>
      <w:r w:rsidR="003F0F58">
        <w:t xml:space="preserve">e </w:t>
      </w:r>
      <w:r w:rsidR="00055299">
        <w:t>questionnaire</w:t>
      </w:r>
      <w:r w:rsidR="00863FD3">
        <w:t xml:space="preserve">. </w:t>
      </w:r>
      <w:r>
        <w:t xml:space="preserve">Agencies </w:t>
      </w:r>
      <w:r w:rsidR="00055299">
        <w:t xml:space="preserve">will receive </w:t>
      </w:r>
      <w:r w:rsidR="00AB693E">
        <w:t xml:space="preserve">a paper </w:t>
      </w:r>
      <w:r>
        <w:t>version</w:t>
      </w:r>
      <w:r w:rsidR="00055299">
        <w:t xml:space="preserve"> of the 2023 CMEC </w:t>
      </w:r>
      <w:r w:rsidR="00065DFA">
        <w:t xml:space="preserve">questionnaire </w:t>
      </w:r>
      <w:r w:rsidR="00055299">
        <w:t>upon request</w:t>
      </w:r>
      <w:r>
        <w:t xml:space="preserve">. </w:t>
      </w:r>
      <w:r w:rsidR="00BE6A31">
        <w:t>Furthermore,</w:t>
      </w:r>
      <w:r w:rsidR="3E4472AF">
        <w:t xml:space="preserve"> a</w:t>
      </w:r>
      <w:r>
        <w:t xml:space="preserve"> paper copy of the</w:t>
      </w:r>
      <w:r w:rsidR="467F1991">
        <w:t xml:space="preserve"> </w:t>
      </w:r>
      <w:r>
        <w:t xml:space="preserve">questionnaire will be mailed in a reminder mailing to </w:t>
      </w:r>
      <w:r>
        <w:t>nonresponders</w:t>
      </w:r>
      <w:r>
        <w:t>. In addition, agencies will</w:t>
      </w:r>
      <w:r w:rsidR="00590765">
        <w:t xml:space="preserve"> </w:t>
      </w:r>
      <w:r>
        <w:t xml:space="preserve">be able to download a PDF version of the survey from the </w:t>
      </w:r>
      <w:r w:rsidR="002E65C5">
        <w:t>CMEC</w:t>
      </w:r>
      <w:r>
        <w:t xml:space="preserve"> website that can be printed or</w:t>
      </w:r>
      <w:r w:rsidR="00590765">
        <w:t xml:space="preserve"> </w:t>
      </w:r>
      <w:r>
        <w:t xml:space="preserve">e-mailed to </w:t>
      </w:r>
      <w:r w:rsidR="00065DFA">
        <w:t>their</w:t>
      </w:r>
      <w:r>
        <w:t xml:space="preserve"> staff. Respondents can </w:t>
      </w:r>
      <w:r w:rsidR="00BC25C4">
        <w:t xml:space="preserve">also </w:t>
      </w:r>
      <w:r>
        <w:t xml:space="preserve">complete the survey </w:t>
      </w:r>
      <w:r w:rsidR="00BC25C4">
        <w:t>in paper format</w:t>
      </w:r>
      <w:r>
        <w:t xml:space="preserve"> and transcribe it into</w:t>
      </w:r>
      <w:r w:rsidR="00BC25C4">
        <w:t xml:space="preserve"> </w:t>
      </w:r>
      <w:r>
        <w:t xml:space="preserve">the online survey instrument, </w:t>
      </w:r>
      <w:r w:rsidR="04543C77">
        <w:t xml:space="preserve">or </w:t>
      </w:r>
      <w:r>
        <w:t>scan and return the completed form via email, or return the</w:t>
      </w:r>
      <w:r w:rsidR="00BC25C4">
        <w:t xml:space="preserve"> </w:t>
      </w:r>
      <w:r>
        <w:t xml:space="preserve">completed form via mail. </w:t>
      </w:r>
    </w:p>
    <w:p w:rsidR="005423B9" w:rsidP="00F87F3A" w14:paraId="4985210F" w14:textId="77777777"/>
    <w:p w:rsidR="00EA5E4F" w:rsidRPr="00F87F3A" w:rsidP="00F87F3A" w14:paraId="66C5AC88" w14:textId="6C9D06C0"/>
    <w:p w:rsidR="00AF7585" w:rsidRPr="00B8502C" w:rsidP="00EA5E4F" w14:paraId="0D3FD5C8" w14:textId="1EEA9B1C">
      <w:pPr>
        <w:pStyle w:val="Heading2"/>
        <w:keepNext w:val="0"/>
        <w:keepLines w:val="0"/>
        <w:spacing w:before="0" w:after="240" w:line="240" w:lineRule="auto"/>
        <w:jc w:val="left"/>
      </w:pPr>
      <w:r w:rsidRPr="00AB16BC">
        <w:rPr>
          <w:rFonts w:ascii="Times New Roman" w:hAnsi="Times New Roman" w:cs="Times New Roman"/>
          <w:bCs w:val="0"/>
          <w:sz w:val="24"/>
          <w:szCs w:val="24"/>
        </w:rPr>
        <w:t>4.</w:t>
      </w:r>
      <w:r w:rsidRPr="00AB16BC">
        <w:rPr>
          <w:rFonts w:ascii="Times New Roman" w:hAnsi="Times New Roman" w:cs="Times New Roman"/>
          <w:b w:val="0"/>
          <w:sz w:val="24"/>
          <w:szCs w:val="24"/>
        </w:rPr>
        <w:t xml:space="preserve"> </w:t>
      </w:r>
      <w:r w:rsidRPr="00AB16BC">
        <w:rPr>
          <w:rFonts w:ascii="Times New Roman" w:hAnsi="Times New Roman" w:cs="Times New Roman"/>
          <w:sz w:val="24"/>
          <w:szCs w:val="24"/>
        </w:rPr>
        <w:t xml:space="preserve">Describe efforts to identify duplication. Show specifically why any similar information already available cannot be used or modified for use for the purposes described in Item A.2 above. </w:t>
      </w:r>
    </w:p>
    <w:p w:rsidR="00F87F3A" w:rsidP="008D487A" w14:paraId="58279E17" w14:textId="5F18E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74D0">
        <w:t xml:space="preserve">After reviewing other BJS surveys, federal data collections, and </w:t>
      </w:r>
      <w:r>
        <w:t xml:space="preserve">relevant academic </w:t>
      </w:r>
      <w:r w:rsidRPr="005474D0">
        <w:t xml:space="preserve">literature, BJS finds that the </w:t>
      </w:r>
      <w:r>
        <w:t>CMEC</w:t>
      </w:r>
      <w:r w:rsidRPr="005474D0">
        <w:t xml:space="preserve"> provides information that is not duplicated by other </w:t>
      </w:r>
      <w:r>
        <w:t xml:space="preserve">federal or non-federal </w:t>
      </w:r>
      <w:r w:rsidRPr="005474D0">
        <w:t xml:space="preserve">data collections. </w:t>
      </w:r>
      <w:r>
        <w:t xml:space="preserve">This </w:t>
      </w:r>
      <w:r w:rsidR="008E3B4A">
        <w:t xml:space="preserve">CMEC </w:t>
      </w:r>
      <w:r>
        <w:t>is</w:t>
      </w:r>
      <w:r w:rsidR="008E3B4A">
        <w:t xml:space="preserve"> </w:t>
      </w:r>
      <w:r>
        <w:t xml:space="preserve">the only </w:t>
      </w:r>
      <w:r>
        <w:t>agency</w:t>
      </w:r>
      <w:r>
        <w:t>-level</w:t>
      </w:r>
      <w:r>
        <w:t xml:space="preserve"> survey that gather</w:t>
      </w:r>
      <w:r w:rsidR="008E3B4A">
        <w:t>s</w:t>
      </w:r>
      <w:r>
        <w:t xml:space="preserve"> </w:t>
      </w:r>
      <w:r w:rsidR="002D40FB">
        <w:t xml:space="preserve">national </w:t>
      </w:r>
      <w:r>
        <w:t xml:space="preserve">data on the </w:t>
      </w:r>
      <w:r w:rsidR="0054591C">
        <w:t>infrastructure</w:t>
      </w:r>
      <w:r w:rsidR="008D487A">
        <w:t xml:space="preserve"> </w:t>
      </w:r>
      <w:r>
        <w:t>and</w:t>
      </w:r>
      <w:r w:rsidR="00590765">
        <w:t xml:space="preserve"> </w:t>
      </w:r>
      <w:r w:rsidR="000B641A">
        <w:t>o</w:t>
      </w:r>
      <w:r>
        <w:t>perations of the MDI</w:t>
      </w:r>
      <w:r w:rsidR="3791F60A">
        <w:t xml:space="preserve"> system</w:t>
      </w:r>
      <w:r>
        <w:t>. Other federal agencies that collect data from MEC</w:t>
      </w:r>
      <w:r w:rsidR="008667F1">
        <w:t xml:space="preserve"> office</w:t>
      </w:r>
      <w:r>
        <w:t>s are</w:t>
      </w:r>
      <w:r w:rsidR="0BA98FF3">
        <w:t xml:space="preserve"> </w:t>
      </w:r>
      <w:r w:rsidR="008E3B4A">
        <w:t>focused on</w:t>
      </w:r>
      <w:r>
        <w:t xml:space="preserve"> the deaths </w:t>
      </w:r>
      <w:r w:rsidR="008E3B4A">
        <w:t>themselves rather than the work of the MEC</w:t>
      </w:r>
      <w:r w:rsidR="008667F1">
        <w:t xml:space="preserve"> office</w:t>
      </w:r>
      <w:r w:rsidR="008E3B4A">
        <w:t>s</w:t>
      </w:r>
      <w:r>
        <w:t>.</w:t>
      </w:r>
      <w:r w:rsidR="008D487A">
        <w:t xml:space="preserve"> </w:t>
      </w:r>
      <w:r>
        <w:t>Examples of these collections include the CDC’s National Violent Death Reporting System, the National Vital Statistics</w:t>
      </w:r>
      <w:r w:rsidR="005423B9">
        <w:t xml:space="preserve"> </w:t>
      </w:r>
      <w:r>
        <w:t xml:space="preserve">System, the Enhanced State Opioid Overdose Surveillance, </w:t>
      </w:r>
      <w:r w:rsidR="002D40FB">
        <w:t xml:space="preserve">and </w:t>
      </w:r>
      <w:r>
        <w:t xml:space="preserve">the </w:t>
      </w:r>
      <w:bookmarkStart w:id="1" w:name="_Hlk163569262"/>
      <w:r>
        <w:t>Sudden</w:t>
      </w:r>
      <w:r w:rsidR="005423B9">
        <w:t xml:space="preserve"> </w:t>
      </w:r>
      <w:r>
        <w:t>Death in the Young Case Registry</w:t>
      </w:r>
      <w:bookmarkEnd w:id="1"/>
      <w:r w:rsidR="002D40FB">
        <w:t xml:space="preserve"> as well as</w:t>
      </w:r>
      <w:r>
        <w:t xml:space="preserve"> the National Highway Traffic Safety</w:t>
      </w:r>
      <w:r w:rsidR="005423B9">
        <w:t xml:space="preserve"> </w:t>
      </w:r>
      <w:r>
        <w:t xml:space="preserve">Administration’s Fatality Analysis Reporting System. </w:t>
      </w:r>
    </w:p>
    <w:p w:rsidR="005423B9" w:rsidP="00F87F3A" w14:paraId="11EC9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053F" w:rsidP="00590765" w14:paraId="5F7EB3F1" w14:textId="15B8E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BJS’s other data collection concerning forensic science, the CPFFCL</w:t>
      </w:r>
      <w:r w:rsidR="008F0F33">
        <w:t xml:space="preserve"> </w:t>
      </w:r>
      <w:r w:rsidR="009A6B1F">
        <w:t>(OM</w:t>
      </w:r>
      <w:r>
        <w:t>B #1121-0269), was last fielded in 20</w:t>
      </w:r>
      <w:r w:rsidR="00456F05">
        <w:t>20</w:t>
      </w:r>
      <w:r>
        <w:t xml:space="preserve"> and included 14</w:t>
      </w:r>
      <w:r w:rsidR="005423B9">
        <w:t xml:space="preserve"> </w:t>
      </w:r>
      <w:r>
        <w:t>MEC</w:t>
      </w:r>
      <w:r w:rsidR="008667F1">
        <w:t xml:space="preserve"> office</w:t>
      </w:r>
      <w:r>
        <w:t xml:space="preserve">s. </w:t>
      </w:r>
      <w:r w:rsidR="003863AA">
        <w:t xml:space="preserve">CMEC and CPFFCL are designed to complement each other. </w:t>
      </w:r>
      <w:r>
        <w:t>In certain jurisdictions, an MEC office may be within a forensic crime laboratory,</w:t>
      </w:r>
      <w:r w:rsidR="00590765">
        <w:t xml:space="preserve"> </w:t>
      </w:r>
      <w:r>
        <w:t>or conversely, a crime laboratory may be located within an MEC office. The CMEC will specify</w:t>
      </w:r>
      <w:r w:rsidR="005423B9">
        <w:t xml:space="preserve"> </w:t>
      </w:r>
      <w:r>
        <w:t>that we are interested only in information related to the MDI portion of the office and in those</w:t>
      </w:r>
      <w:r w:rsidR="005423B9">
        <w:t xml:space="preserve"> </w:t>
      </w:r>
      <w:r>
        <w:t>personnel who are assigned to MDI</w:t>
      </w:r>
      <w:r w:rsidR="5D0E2285">
        <w:t>-</w:t>
      </w:r>
      <w:r>
        <w:t>related roles and duties. The CPFFCL asks questions</w:t>
      </w:r>
      <w:r w:rsidR="005423B9">
        <w:t xml:space="preserve"> </w:t>
      </w:r>
      <w:r>
        <w:t>relevant to a broader array of forensic sciences</w:t>
      </w:r>
      <w:r w:rsidR="0E2DCF6A">
        <w:t>,</w:t>
      </w:r>
      <w:r>
        <w:t xml:space="preserve"> while the CMEC asks questions related</w:t>
      </w:r>
      <w:r w:rsidR="005423B9">
        <w:t xml:space="preserve"> </w:t>
      </w:r>
      <w:r>
        <w:t>specifically to MDI personnel, policies, and practices. BJS plans to field the next CPFFCL in</w:t>
      </w:r>
      <w:r w:rsidR="00590765">
        <w:t xml:space="preserve"> </w:t>
      </w:r>
      <w:r>
        <w:t>202</w:t>
      </w:r>
      <w:r w:rsidR="005423B9">
        <w:t>5</w:t>
      </w:r>
      <w:r>
        <w:t xml:space="preserve">. </w:t>
      </w:r>
    </w:p>
    <w:p w:rsidR="00F87F3A" w:rsidP="00F87F3A" w14:paraId="69599929" w14:textId="2D55A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46409A" w14:paraId="0282DE99" w14:textId="19E22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Another survey that collects information from similar agencies is </w:t>
      </w:r>
      <w:r>
        <w:t>BJS’s Census of State and Local Law Enforcement Agencies (CSLLEA</w:t>
      </w:r>
      <w:r w:rsidR="008F0F33">
        <w:t xml:space="preserve">; </w:t>
      </w:r>
      <w:r>
        <w:t>OMB #1121-0346)</w:t>
      </w:r>
      <w:r w:rsidR="00590765">
        <w:t xml:space="preserve"> </w:t>
      </w:r>
      <w:r>
        <w:t xml:space="preserve">which </w:t>
      </w:r>
      <w:r>
        <w:t>includes sheriffs’ offices. Some of these offices, notably in California, are also coroner offices.</w:t>
      </w:r>
      <w:r w:rsidR="00590765">
        <w:t xml:space="preserve"> </w:t>
      </w:r>
      <w:r>
        <w:t>In the 2004 CMEC, 44 offices, largely concentrated in California, were sheriff-coroner offices.</w:t>
      </w:r>
      <w:r w:rsidR="00590765">
        <w:t xml:space="preserve"> </w:t>
      </w:r>
      <w:r>
        <w:t xml:space="preserve">While </w:t>
      </w:r>
      <w:r w:rsidRPr="0046409A">
        <w:t>there is a small overlap in the offices included in both studies, the questions asked in the</w:t>
      </w:r>
      <w:r w:rsidR="00590765">
        <w:t xml:space="preserve"> </w:t>
      </w:r>
      <w:r w:rsidRPr="0046409A">
        <w:t>CMEC are different from CSLLEA. The CSLLEA includes items on the number and sex of law</w:t>
      </w:r>
      <w:r w:rsidR="00590765">
        <w:t xml:space="preserve"> </w:t>
      </w:r>
      <w:r w:rsidRPr="0046409A">
        <w:t>enforcement officers employed by law enforcement agencies, and duties performed by the</w:t>
      </w:r>
      <w:r w:rsidR="00590765">
        <w:t xml:space="preserve"> </w:t>
      </w:r>
      <w:r w:rsidRPr="0046409A">
        <w:t>officers. The CSLLEA launched in</w:t>
      </w:r>
      <w:r w:rsidRPr="0046409A" w:rsidR="0046409A">
        <w:t xml:space="preserve"> </w:t>
      </w:r>
      <w:r w:rsidRPr="0046409A" w:rsidR="3DDF8920">
        <w:t>September 2022</w:t>
      </w:r>
      <w:r w:rsidRPr="0046409A">
        <w:t xml:space="preserve"> and data collection </w:t>
      </w:r>
      <w:r w:rsidR="00EB1919">
        <w:t>was</w:t>
      </w:r>
      <w:r w:rsidRPr="0046409A">
        <w:t xml:space="preserve"> completed </w:t>
      </w:r>
      <w:r w:rsidRPr="0046409A" w:rsidR="0F7F11A8">
        <w:t>in 2023</w:t>
      </w:r>
      <w:r w:rsidRPr="0046409A">
        <w:t>.</w:t>
      </w:r>
    </w:p>
    <w:p w:rsidR="46169E06" w:rsidP="46169E06" w14:paraId="37BC95D5" w14:textId="1F792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F87F3A" w14:paraId="3EA90C72" w14:textId="01B0A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only survey identified that includes a small set of overlapping data collection items is the</w:t>
      </w:r>
      <w:r w:rsidR="00590765">
        <w:t xml:space="preserve"> </w:t>
      </w:r>
      <w:r>
        <w:t>Drug Enforcement Administration’s National Forensic Laboratory Information System</w:t>
      </w:r>
      <w:r w:rsidR="00590765">
        <w:t xml:space="preserve"> </w:t>
      </w:r>
      <w:r>
        <w:t xml:space="preserve">(NFLIS) Medical Examiner/Coroner Office </w:t>
      </w:r>
      <w:r w:rsidR="009B54D5">
        <w:t xml:space="preserve">(MEC) </w:t>
      </w:r>
      <w:r>
        <w:t>survey, which was primarily focused on obtaining</w:t>
      </w:r>
      <w:r w:rsidR="00590765">
        <w:t xml:space="preserve"> </w:t>
      </w:r>
      <w:r>
        <w:t>toxicology-related policies and requesting practices from MEC</w:t>
      </w:r>
      <w:r w:rsidR="008667F1">
        <w:t xml:space="preserve"> office</w:t>
      </w:r>
      <w:r>
        <w:t>s nationwide in 20</w:t>
      </w:r>
      <w:r w:rsidR="005423B9">
        <w:t>22</w:t>
      </w:r>
      <w:r>
        <w:t xml:space="preserve">. The </w:t>
      </w:r>
      <w:r w:rsidR="005423B9">
        <w:t>6</w:t>
      </w:r>
      <w:r>
        <w:t>-month 20</w:t>
      </w:r>
      <w:r w:rsidR="005423B9">
        <w:t>23</w:t>
      </w:r>
      <w:r>
        <w:t xml:space="preserve"> NFLIS MEC survey data collection yielded a </w:t>
      </w:r>
      <w:r w:rsidR="00882C1B">
        <w:t>78</w:t>
      </w:r>
      <w:r>
        <w:t>% response rate for complete</w:t>
      </w:r>
      <w:r w:rsidR="00590765">
        <w:t xml:space="preserve"> </w:t>
      </w:r>
      <w:r>
        <w:t>surveys.</w:t>
      </w:r>
      <w:r w:rsidR="00882C1B">
        <w:t xml:space="preserve"> </w:t>
      </w:r>
      <w:r>
        <w:t xml:space="preserve">BJS identified </w:t>
      </w:r>
      <w:r w:rsidR="00882C1B">
        <w:t>four</w:t>
      </w:r>
      <w:r>
        <w:t xml:space="preserve"> potential areas of overlap between CMEC and NFLIS:</w:t>
      </w:r>
    </w:p>
    <w:p w:rsidR="00882C1B" w:rsidP="00F87F3A" w14:paraId="6B966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D95259" w14:paraId="39E8B9DE" w14:textId="69A45BDD">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Type of office – NFLIS asked respondents to indicate the type of office in which they</w:t>
      </w:r>
      <w:r w:rsidR="00882C1B">
        <w:t xml:space="preserve"> </w:t>
      </w:r>
      <w:r>
        <w:t>work (State medical examiner, district/regional medical examiner, etc.). CMEC, on the</w:t>
      </w:r>
      <w:r w:rsidR="00882C1B">
        <w:t xml:space="preserve"> </w:t>
      </w:r>
      <w:r>
        <w:t>other hand, asks two questions: 1) what best describes the death investigation office</w:t>
      </w:r>
      <w:r w:rsidR="00882C1B">
        <w:t xml:space="preserve"> </w:t>
      </w:r>
      <w:r>
        <w:t>(coroner or medical examiner) and 2) what level of government best describes the office</w:t>
      </w:r>
      <w:r w:rsidR="00590765">
        <w:t xml:space="preserve"> </w:t>
      </w:r>
      <w:r>
        <w:t>(city, county, district, state). Although both data collections ask about the type of office,</w:t>
      </w:r>
      <w:r w:rsidR="00590765">
        <w:t xml:space="preserve"> </w:t>
      </w:r>
      <w:r>
        <w:t>it is a very low burden for offices to answer, and it is crucial to identify the type of office</w:t>
      </w:r>
      <w:r w:rsidR="00590765">
        <w:t xml:space="preserve"> </w:t>
      </w:r>
      <w:r>
        <w:t>surveyed. Asking this question consistently will allow for analysis of any changes in the</w:t>
      </w:r>
      <w:r w:rsidR="00590765">
        <w:t xml:space="preserve"> </w:t>
      </w:r>
      <w:r>
        <w:t>type of office operating and provide important context for the office’s data (</w:t>
      </w:r>
      <w:r w:rsidR="00590765">
        <w:t xml:space="preserve">e.g., </w:t>
      </w:r>
      <w:r>
        <w:t>caseload).</w:t>
      </w:r>
    </w:p>
    <w:p w:rsidR="00882C1B" w:rsidP="00F87F3A" w14:paraId="66C82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9930FA" w14:paraId="2CADEFB7" w14:textId="000517CE">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Jurisdiction(s) served – Both CMEC and NFLIS ask respondents to identify (via an open</w:t>
      </w:r>
      <w:r w:rsidR="00882C1B">
        <w:t xml:space="preserve"> </w:t>
      </w:r>
      <w:r>
        <w:t>text field) which jurisdictions they serve (e.g., Illinois, Los Angeles County, New York</w:t>
      </w:r>
      <w:r w:rsidR="00882C1B">
        <w:t xml:space="preserve"> </w:t>
      </w:r>
      <w:r>
        <w:t>City, First Judicial District). While NFLIS also asked respondents to identify the size of</w:t>
      </w:r>
      <w:r w:rsidR="00882C1B">
        <w:t xml:space="preserve"> </w:t>
      </w:r>
      <w:r>
        <w:t xml:space="preserve">the population they serve, CMEC does not. BJS needs to collect this information </w:t>
      </w:r>
      <w:r w:rsidR="00590765">
        <w:t>to</w:t>
      </w:r>
      <w:r>
        <w:t xml:space="preserve"> link population size estimates to the office based on what jurisdictions it serves. It is</w:t>
      </w:r>
      <w:r w:rsidR="00882C1B">
        <w:t xml:space="preserve"> </w:t>
      </w:r>
      <w:r>
        <w:t>also important to obtain an up-to-date understanding of jurisdictions served because this</w:t>
      </w:r>
      <w:r w:rsidR="00590765">
        <w:t xml:space="preserve"> </w:t>
      </w:r>
      <w:r w:rsidR="00882C1B">
        <w:t>m</w:t>
      </w:r>
      <w:r>
        <w:t>ay change over time. Most coroners are elected officials. In counties in which the</w:t>
      </w:r>
      <w:r w:rsidR="00590765">
        <w:t xml:space="preserve"> </w:t>
      </w:r>
      <w:r>
        <w:t>coroner’s elected position is unfilled, it is common to outsource coroner responsibilities</w:t>
      </w:r>
      <w:r w:rsidR="00882C1B">
        <w:t xml:space="preserve"> </w:t>
      </w:r>
      <w:r>
        <w:t xml:space="preserve">to a neighboring jurisdiction. Keeping this information </w:t>
      </w:r>
      <w:r w:rsidR="0037068F">
        <w:t>updated</w:t>
      </w:r>
      <w:r>
        <w:t xml:space="preserve"> is necessary to link the</w:t>
      </w:r>
      <w:r w:rsidR="00590765">
        <w:t xml:space="preserve"> </w:t>
      </w:r>
      <w:r>
        <w:t>population served to reasons for potential increases or decreases in caseload</w:t>
      </w:r>
      <w:r w:rsidR="00882C1B">
        <w:t xml:space="preserve"> </w:t>
      </w:r>
      <w:r>
        <w:t>and budget.</w:t>
      </w:r>
    </w:p>
    <w:p w:rsidR="00882C1B" w:rsidP="00F87F3A" w14:paraId="613149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7F4C52" w14:paraId="266148BE" w14:textId="256CB822">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Caseload – Both CMEC and NFLIS ask about the number of cases (deaths) referred to</w:t>
      </w:r>
      <w:r w:rsidR="00882C1B">
        <w:t xml:space="preserve"> </w:t>
      </w:r>
      <w:r>
        <w:t>offices, accepted by offices, and autopsies performed by offices. CMEC also asks how</w:t>
      </w:r>
      <w:r w:rsidR="00882C1B">
        <w:t xml:space="preserve"> </w:t>
      </w:r>
      <w:r>
        <w:t>many referred and accepted cases came from tribal lands. While both collections may</w:t>
      </w:r>
      <w:r w:rsidR="00590765">
        <w:t xml:space="preserve"> </w:t>
      </w:r>
      <w:r>
        <w:t>collect the same data point, it is necessary that CMEC ask this to be able to understand</w:t>
      </w:r>
      <w:r w:rsidR="00590765">
        <w:t xml:space="preserve"> </w:t>
      </w:r>
      <w:r>
        <w:t>the context in which cases from tribal lands are referred to and accepted by MEC offices.</w:t>
      </w:r>
    </w:p>
    <w:p w:rsidR="00882C1B" w:rsidP="00882C1B" w14:paraId="7A04913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D85434" w14:paraId="1B8BF2CA" w14:textId="7348890E">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Use of computerized management system – NFLIS focused on the office’s use of</w:t>
      </w:r>
      <w:r w:rsidR="00590765">
        <w:t xml:space="preserve"> </w:t>
      </w:r>
      <w:r>
        <w:t>laboratory information management systems (LIMS) with probing questions on data</w:t>
      </w:r>
      <w:r w:rsidR="00590765">
        <w:t xml:space="preserve"> </w:t>
      </w:r>
      <w:r>
        <w:t>fields, file types, and specific software used for the information management system.</w:t>
      </w:r>
      <w:r w:rsidR="00590765">
        <w:t xml:space="preserve"> </w:t>
      </w:r>
      <w:r>
        <w:t>CMEC asks more broadly whether offices have a computerized management system</w:t>
      </w:r>
      <w:r w:rsidR="00590765">
        <w:t xml:space="preserve"> </w:t>
      </w:r>
      <w:r>
        <w:t>(CMS) beyond spreadsheet software (</w:t>
      </w:r>
      <w:r w:rsidR="00590765">
        <w:t>e.g.,</w:t>
      </w:r>
      <w:r>
        <w:t xml:space="preserve"> Excel) and whether the CMS is networked so</w:t>
      </w:r>
      <w:r w:rsidR="00590765">
        <w:t xml:space="preserve"> </w:t>
      </w:r>
      <w:r>
        <w:t>that it is available to all authorized users.</w:t>
      </w:r>
    </w:p>
    <w:p w:rsidR="00882C1B" w:rsidP="00882C1B" w14:paraId="6A05D61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F87F3A" w14:paraId="4A27E167" w14:textId="40177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D314F2">
        <w:t xml:space="preserve">most recent </w:t>
      </w:r>
      <w:r>
        <w:t>NFLIS</w:t>
      </w:r>
      <w:r w:rsidR="001F28FC">
        <w:t>-MEC survey</w:t>
      </w:r>
      <w:r>
        <w:t xml:space="preserve"> had a reference year of 20</w:t>
      </w:r>
      <w:r w:rsidR="00882C1B">
        <w:t>21</w:t>
      </w:r>
      <w:r>
        <w:t>. CMEC will use a reference year of 20</w:t>
      </w:r>
      <w:r w:rsidR="00882C1B">
        <w:t>23</w:t>
      </w:r>
      <w:r>
        <w:t>. The answers</w:t>
      </w:r>
      <w:r w:rsidR="00590765">
        <w:t xml:space="preserve"> </w:t>
      </w:r>
      <w:r>
        <w:t>to most of these questions, especially those of caseload</w:t>
      </w:r>
      <w:r w:rsidR="00882C1B">
        <w:t xml:space="preserve"> and</w:t>
      </w:r>
      <w:r>
        <w:t xml:space="preserve"> use of computerized management</w:t>
      </w:r>
      <w:r w:rsidR="00590765">
        <w:t xml:space="preserve"> </w:t>
      </w:r>
      <w:r>
        <w:t>systems</w:t>
      </w:r>
      <w:r w:rsidR="008A6EEC">
        <w:t>,</w:t>
      </w:r>
      <w:r>
        <w:t xml:space="preserve"> may have changed in the intervening</w:t>
      </w:r>
      <w:r w:rsidR="00882C1B">
        <w:t xml:space="preserve"> </w:t>
      </w:r>
      <w:r>
        <w:t>years. Collecting this information with a different reference year affords BJS and others the</w:t>
      </w:r>
      <w:r w:rsidR="00882C1B">
        <w:t xml:space="preserve"> </w:t>
      </w:r>
      <w:r>
        <w:t xml:space="preserve">ability to analyze more current data. </w:t>
      </w:r>
    </w:p>
    <w:p w:rsidR="00F87F3A" w:rsidP="00F87F3A" w14:paraId="4F8163AB" w14:textId="31D98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F51CE" w:rsidRPr="003A1432" w:rsidP="00CF51CE" w14:paraId="2737C8C1"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rPr>
      </w:pPr>
      <w:r w:rsidRPr="003A1432">
        <w:rPr>
          <w:b/>
          <w:iCs/>
        </w:rPr>
        <w:t>Efforts to Minimize Burden</w:t>
      </w:r>
    </w:p>
    <w:p w:rsidR="00AF7585" w:rsidRPr="00B8502C" w:rsidP="00AF7585" w14:paraId="685712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F87F3A" w14:paraId="3EE22488" w14:textId="0EB3D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8C3F8A">
        <w:t xml:space="preserve">2023 </w:t>
      </w:r>
      <w:r>
        <w:t>CMEC was designed to minimize response burden in several</w:t>
      </w:r>
      <w:r w:rsidR="00882C1B">
        <w:t xml:space="preserve"> </w:t>
      </w:r>
      <w:r>
        <w:t>ways. First, based on feedback received from the agencies through an expert panel and cognitive</w:t>
      </w:r>
      <w:r w:rsidR="00882C1B">
        <w:t xml:space="preserve"> </w:t>
      </w:r>
      <w:r>
        <w:t>interviews, the new instrument features questions that have been refined to increase clarity and</w:t>
      </w:r>
      <w:r w:rsidR="00590765">
        <w:t xml:space="preserve"> </w:t>
      </w:r>
      <w:r>
        <w:t>improve response options where needed. Second, the 20</w:t>
      </w:r>
      <w:r w:rsidR="00882C1B">
        <w:t>23</w:t>
      </w:r>
      <w:r>
        <w:t xml:space="preserve"> CMEC was </w:t>
      </w:r>
      <w:r w:rsidR="00AE6445">
        <w:t>de</w:t>
      </w:r>
      <w:r w:rsidR="008B533C">
        <w:t>veloped</w:t>
      </w:r>
      <w:r>
        <w:t xml:space="preserve"> for a web-based</w:t>
      </w:r>
      <w:r w:rsidR="00882C1B">
        <w:t xml:space="preserve"> </w:t>
      </w:r>
      <w:r>
        <w:t xml:space="preserve">data collection and includes </w:t>
      </w:r>
      <w:r w:rsidR="00FE4313">
        <w:t>filter questions</w:t>
      </w:r>
      <w:r w:rsidR="00BA19A7">
        <w:t xml:space="preserve">, </w:t>
      </w:r>
      <w:r>
        <w:t>built-in skip patterns</w:t>
      </w:r>
      <w:r w:rsidR="00BA19A7">
        <w:t>,</w:t>
      </w:r>
      <w:r>
        <w:t xml:space="preserve"> and data checks. </w:t>
      </w:r>
      <w:r w:rsidR="0046476B">
        <w:rPr>
          <w:rFonts w:ascii="TimesNewRomanPSMT" w:hAnsi="TimesNewRomanPSMT" w:cs="TimesNewRomanPSMT"/>
        </w:rPr>
        <w:t xml:space="preserve">Although the number of questions has increased from 63 items to 75 items between the 2018 and 2023 instruments, the number of data points that are being collected has decreased from 172 to 135, reflecting streamlined response categories and the reduction of multi-part questions. In addition, the number of skip patterns has increased between the 2018 and 2023 instruments, thereby further </w:t>
      </w:r>
      <w:r w:rsidR="0046476B">
        <w:rPr>
          <w:rFonts w:ascii="TimesNewRomanPSMT" w:hAnsi="TimesNewRomanPSMT" w:cs="TimesNewRomanPSMT"/>
        </w:rPr>
        <w:t xml:space="preserve">reducing the burden from 2018 to 2023 for some respondents. </w:t>
      </w:r>
      <w:r w:rsidR="00C501F5">
        <w:rPr>
          <w:rFonts w:ascii="TimesNewRomanPSMT" w:hAnsi="TimesNewRomanPSMT" w:cs="TimesNewRomanPSMT"/>
        </w:rPr>
        <w:t>The 2023 CMEC</w:t>
      </w:r>
      <w:r>
        <w:t xml:space="preserve"> was </w:t>
      </w:r>
      <w:r w:rsidR="003007FD">
        <w:t xml:space="preserve">also </w:t>
      </w:r>
      <w:r>
        <w:t>designed with best</w:t>
      </w:r>
      <w:r w:rsidR="00882C1B">
        <w:t xml:space="preserve"> </w:t>
      </w:r>
      <w:r>
        <w:t>practice</w:t>
      </w:r>
      <w:r w:rsidR="00882C1B">
        <w:t xml:space="preserve"> </w:t>
      </w:r>
      <w:r>
        <w:t xml:space="preserve">web layouts including matrices where appropriate. </w:t>
      </w:r>
      <w:r w:rsidR="003007FD">
        <w:t>In addition, i</w:t>
      </w:r>
      <w:r w:rsidR="00C501F5">
        <w:t>t</w:t>
      </w:r>
      <w:r>
        <w:t xml:space="preserve"> was designed</w:t>
      </w:r>
      <w:r w:rsidR="001D1B4A">
        <w:t xml:space="preserve"> </w:t>
      </w:r>
      <w:r>
        <w:t>to have more yes/no questions to obtain information about access to resources based on expert</w:t>
      </w:r>
      <w:r w:rsidR="001D1B4A">
        <w:t xml:space="preserve"> </w:t>
      </w:r>
      <w:r>
        <w:t>panel feedback that suggested dire basic needs within the community.</w:t>
      </w:r>
    </w:p>
    <w:p w:rsidR="00882C1B" w:rsidP="00F87F3A" w14:paraId="49ABD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0D7C8E" w14:paraId="51D898E0" w14:textId="23622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 the 20</w:t>
      </w:r>
      <w:r w:rsidR="00882C1B">
        <w:t>23</w:t>
      </w:r>
      <w:r>
        <w:t xml:space="preserve"> CMEC</w:t>
      </w:r>
      <w:r w:rsidR="00882C1B">
        <w:t>,</w:t>
      </w:r>
      <w:r>
        <w:t xml:space="preserve"> BJS consulted with an expert panel that was composed of medical</w:t>
      </w:r>
      <w:r w:rsidR="001D1B4A">
        <w:t xml:space="preserve"> </w:t>
      </w:r>
      <w:r>
        <w:t>examiners and coroners from various states and sized agencies. BJS incorporated feedback from</w:t>
      </w:r>
      <w:r w:rsidR="00590765">
        <w:t xml:space="preserve"> </w:t>
      </w:r>
      <w:r>
        <w:t xml:space="preserve">this panel and cognitively tested a revised version of the instrument </w:t>
      </w:r>
      <w:bookmarkStart w:id="2" w:name="_Hlk163463628"/>
      <w:r>
        <w:t xml:space="preserve">with </w:t>
      </w:r>
      <w:r w:rsidR="000E4BFC">
        <w:t>31</w:t>
      </w:r>
      <w:r>
        <w:t xml:space="preserve"> respondents (</w:t>
      </w:r>
      <w:r w:rsidR="00882C1B">
        <w:t>1</w:t>
      </w:r>
      <w:r w:rsidR="000E4BFC">
        <w:t>4</w:t>
      </w:r>
      <w:r w:rsidR="00590765">
        <w:t xml:space="preserve"> </w:t>
      </w:r>
      <w:r>
        <w:t>coroners</w:t>
      </w:r>
      <w:r w:rsidR="00882C1B">
        <w:t>,</w:t>
      </w:r>
      <w:r>
        <w:t xml:space="preserve"> </w:t>
      </w:r>
      <w:r w:rsidR="00882C1B">
        <w:t>1</w:t>
      </w:r>
      <w:r w:rsidR="000E4BFC">
        <w:t>4</w:t>
      </w:r>
      <w:r>
        <w:t xml:space="preserve"> medical examiners</w:t>
      </w:r>
      <w:r w:rsidR="00882C1B">
        <w:t>, and 3 justices of the peace</w:t>
      </w:r>
      <w:r>
        <w:t>)</w:t>
      </w:r>
      <w:bookmarkEnd w:id="2"/>
      <w:r>
        <w:t xml:space="preserve"> under BJS’s generic clearance (OMB # 1121-0339). The</w:t>
      </w:r>
      <w:r w:rsidR="001D1B4A">
        <w:t xml:space="preserve"> </w:t>
      </w:r>
      <w:r>
        <w:t xml:space="preserve">resulting instrument represents a thorough redesign. See </w:t>
      </w:r>
      <w:r w:rsidRPr="00362001">
        <w:rPr>
          <w:b/>
          <w:bCs/>
        </w:rPr>
        <w:t xml:space="preserve">Attachment </w:t>
      </w:r>
      <w:r w:rsidR="00336C8E">
        <w:rPr>
          <w:b/>
          <w:bCs/>
        </w:rPr>
        <w:t>3</w:t>
      </w:r>
      <w:r w:rsidRPr="00362001">
        <w:rPr>
          <w:b/>
          <w:bCs/>
        </w:rPr>
        <w:t xml:space="preserve"> </w:t>
      </w:r>
      <w:r>
        <w:t>for the complete</w:t>
      </w:r>
      <w:r w:rsidR="001D1B4A">
        <w:t xml:space="preserve"> </w:t>
      </w:r>
      <w:r>
        <w:t>cognitive testing report, including the protocol for testing the instrument</w:t>
      </w:r>
      <w:r w:rsidR="008F2A49">
        <w:t>; all referenced question numbers refer to the tested instrument and may not be the same in the final instrument due to the redesign</w:t>
      </w:r>
      <w:r>
        <w:t>.</w:t>
      </w:r>
      <w:r w:rsidR="009E59DD">
        <w:t xml:space="preserve"> </w:t>
      </w:r>
      <w:r w:rsidR="00AA4446">
        <w:t xml:space="preserve">   </w:t>
      </w:r>
    </w:p>
    <w:p w:rsidR="00A719D6" w:rsidP="00F87F3A" w14:paraId="3702B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F87F3A" w14:paraId="4B07C669" w14:textId="47974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w:t>
      </w:r>
      <w:r>
        <w:t xml:space="preserve"> expect</w:t>
      </w:r>
      <w:r>
        <w:t>s</w:t>
      </w:r>
      <w:r>
        <w:t xml:space="preserve"> that many respondents will complete the survey online</w:t>
      </w:r>
      <w:r w:rsidR="00CB12DC">
        <w:t>,</w:t>
      </w:r>
      <w:r w:rsidR="00C96369">
        <w:t xml:space="preserve"> thus, w</w:t>
      </w:r>
      <w:r>
        <w:t>eb-based system functions</w:t>
      </w:r>
      <w:r w:rsidR="00590765">
        <w:t xml:space="preserve"> </w:t>
      </w:r>
      <w:r>
        <w:t>will be in place to ease the burden of survey completion. RTI uses an intelligent log-in program</w:t>
      </w:r>
      <w:r w:rsidR="00590765">
        <w:t xml:space="preserve"> </w:t>
      </w:r>
      <w:r>
        <w:t>for data collection, which will store MEC office information and responses, allowing for multi</w:t>
      </w:r>
      <w:r w:rsidR="00A719D6">
        <w:t>-</w:t>
      </w:r>
      <w:r>
        <w:t>session</w:t>
      </w:r>
      <w:r w:rsidR="00A719D6">
        <w:t xml:space="preserve"> </w:t>
      </w:r>
      <w:r>
        <w:t>completion of the survey instrument. Since many offices, particularly the larger ones,</w:t>
      </w:r>
      <w:r w:rsidR="00590765">
        <w:t xml:space="preserve"> </w:t>
      </w:r>
      <w:r>
        <w:t>will need to seek multiple information sources within their organizations to answer different</w:t>
      </w:r>
      <w:r w:rsidR="00A719D6">
        <w:t xml:space="preserve"> </w:t>
      </w:r>
      <w:r>
        <w:t>sections, this will reduce burden by facilitating data entry from different sources. It will also</w:t>
      </w:r>
      <w:r w:rsidR="00590765">
        <w:t xml:space="preserve"> </w:t>
      </w:r>
      <w:r>
        <w:t xml:space="preserve">reduce burden by allowing respondents </w:t>
      </w:r>
      <w:r w:rsidR="000814C2">
        <w:t>to pause in completing the survey</w:t>
      </w:r>
      <w:r>
        <w:t xml:space="preserve"> pending confirmation of</w:t>
      </w:r>
      <w:r w:rsidR="00590765">
        <w:t xml:space="preserve"> </w:t>
      </w:r>
      <w:r>
        <w:t>information from others in the office.</w:t>
      </w:r>
    </w:p>
    <w:p w:rsidR="00A719D6" w:rsidP="00F87F3A" w14:paraId="674D69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00F87F3A" w14:paraId="7BF5DE57" w14:textId="0A24C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Since some respondents will complete the CMEC using paper forms, survey methodologists</w:t>
      </w:r>
      <w:r w:rsidR="00A719D6">
        <w:t xml:space="preserve"> </w:t>
      </w:r>
      <w:r>
        <w:t>have evaluated the questions and layout to ensure that the instrument is formatted appropriately</w:t>
      </w:r>
      <w:r w:rsidR="00A719D6">
        <w:t xml:space="preserve"> </w:t>
      </w:r>
      <w:r>
        <w:t>for what is being asked of respondents. This includes ensuring that instructions and questions are</w:t>
      </w:r>
      <w:r w:rsidR="00A719D6">
        <w:t xml:space="preserve"> </w:t>
      </w:r>
      <w:r>
        <w:t>clear, adjacent to one another, and definitions for terms are provided as necessary and placed</w:t>
      </w:r>
      <w:r w:rsidR="00A719D6">
        <w:t xml:space="preserve"> </w:t>
      </w:r>
      <w:r>
        <w:t>near the question to which they refer. This evaluation, along with feedback from expert panelists</w:t>
      </w:r>
      <w:r w:rsidR="00590765">
        <w:t xml:space="preserve"> </w:t>
      </w:r>
      <w:r>
        <w:t>and cognitive interview participants, has helped refine the current survey instrument.</w:t>
      </w:r>
    </w:p>
    <w:p w:rsidR="00F87F3A" w:rsidP="00F87F3A" w14:paraId="4AAF18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8502C" w:rsidP="00F87F3A" w14:paraId="09DB6157" w14:textId="2A9B3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RTI will also </w:t>
      </w:r>
      <w:r>
        <w:t>provide assistance</w:t>
      </w:r>
      <w:r>
        <w:t xml:space="preserve"> by phone and email. A toll-free help line will be </w:t>
      </w:r>
      <w:r w:rsidR="00590765">
        <w:t>established,</w:t>
      </w:r>
      <w:r>
        <w:t xml:space="preserve"> and</w:t>
      </w:r>
      <w:r w:rsidR="00590765">
        <w:t xml:space="preserve"> </w:t>
      </w:r>
      <w:r>
        <w:t>staff will be available during regular business hours. When staff are not available, calls will be</w:t>
      </w:r>
      <w:r w:rsidR="00590765">
        <w:t xml:space="preserve"> </w:t>
      </w:r>
      <w:r>
        <w:t>routed to voicemail. Messages will be responded to within 24 hours. A dedicated CMEC help</w:t>
      </w:r>
      <w:r w:rsidR="00590765">
        <w:t xml:space="preserve"> </w:t>
      </w:r>
      <w:r>
        <w:t>email address will be provided with all written materials and emails. Phone numbers and email</w:t>
      </w:r>
      <w:r w:rsidR="00590765">
        <w:t xml:space="preserve"> </w:t>
      </w:r>
      <w:r>
        <w:t>addresses will be provided to respondents to ensure timely communications.</w:t>
      </w:r>
      <w:r w:rsidRPr="00B8502C">
        <w:t xml:space="preserve"> </w:t>
      </w:r>
    </w:p>
    <w:p w:rsidR="007E2EED" w:rsidP="00E64F19" w14:paraId="4CE99943" w14:textId="4E5C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502C">
        <w:t xml:space="preserve"> </w:t>
      </w:r>
    </w:p>
    <w:p w:rsidR="00CF51CE" w:rsidRPr="00B6047E" w:rsidP="00EA5E4F" w14:paraId="46F83E6B" w14:textId="77777777">
      <w:pPr>
        <w:pStyle w:val="Heading2"/>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 xml:space="preserve">5. If the collection of information impacts small businesses or other small entities, describe any methods used to minimize burden. </w:t>
      </w:r>
    </w:p>
    <w:p w:rsidR="00CF51CE" w:rsidRPr="00AB16BC" w:rsidP="00CF51CE" w14:paraId="36E79A9A" w14:textId="5790EAF5">
      <w:pPr>
        <w:rPr>
          <w:color w:val="000000"/>
        </w:rPr>
      </w:pPr>
      <w:r>
        <w:rPr>
          <w:rStyle w:val="ui-provider"/>
        </w:rPr>
        <w:t xml:space="preserve">The CMEC data collection may indirectly involve small </w:t>
      </w:r>
      <w:r w:rsidR="00917671">
        <w:rPr>
          <w:rStyle w:val="ui-provider"/>
        </w:rPr>
        <w:t>offices</w:t>
      </w:r>
      <w:r>
        <w:rPr>
          <w:rStyle w:val="ui-provider"/>
        </w:rPr>
        <w:t xml:space="preserve"> that may jointly serve a role as an MEC office.</w:t>
      </w:r>
      <w:r>
        <w:rPr>
          <w:color w:val="000000"/>
        </w:rPr>
        <w:t xml:space="preserve"> </w:t>
      </w:r>
      <w:r w:rsidRPr="003A1432">
        <w:rPr>
          <w:color w:val="000000"/>
        </w:rPr>
        <w:t xml:space="preserve">BJS continues to use web-based data collection instruments to ease reporting and reduce the need for follow-up due to errors in reporting and incorrect skips caught by programmatic edit checks. Questions on the </w:t>
      </w:r>
      <w:r>
        <w:rPr>
          <w:color w:val="000000"/>
        </w:rPr>
        <w:t>CMEC</w:t>
      </w:r>
      <w:r w:rsidRPr="003A1432">
        <w:rPr>
          <w:color w:val="000000"/>
        </w:rPr>
        <w:t xml:space="preserve"> instrument have been streamlined such that</w:t>
      </w:r>
      <w:r>
        <w:rPr>
          <w:color w:val="000000"/>
        </w:rPr>
        <w:t xml:space="preserve"> most responses allow </w:t>
      </w:r>
      <w:r>
        <w:rPr>
          <w:color w:val="000000"/>
        </w:rPr>
        <w:t>respondents</w:t>
      </w:r>
      <w:r>
        <w:rPr>
          <w:color w:val="000000"/>
        </w:rPr>
        <w:t xml:space="preserve"> to select from a list of options without needing to provide narratives or consult raw data pulls.</w:t>
      </w:r>
      <w:r w:rsidR="008A6BF3">
        <w:rPr>
          <w:color w:val="000000"/>
        </w:rPr>
        <w:t xml:space="preserve"> Additionally, cognitive testing participants </w:t>
      </w:r>
      <w:r w:rsidR="0054591C">
        <w:rPr>
          <w:color w:val="000000"/>
        </w:rPr>
        <w:t>included representatives from</w:t>
      </w:r>
      <w:r w:rsidR="008A6BF3">
        <w:rPr>
          <w:color w:val="000000"/>
        </w:rPr>
        <w:t xml:space="preserve"> small jurisdictions </w:t>
      </w:r>
      <w:r w:rsidR="0054591C">
        <w:rPr>
          <w:color w:val="000000"/>
        </w:rPr>
        <w:t>who</w:t>
      </w:r>
      <w:r w:rsidR="008A6BF3">
        <w:rPr>
          <w:color w:val="000000"/>
        </w:rPr>
        <w:t xml:space="preserve"> provided feedback that was used to further reduce burden.</w:t>
      </w:r>
      <w:r>
        <w:rPr>
          <w:color w:val="000000"/>
        </w:rPr>
        <w:t xml:space="preserve"> This is intended to allow for easier response burden as it avoids extensive data requests </w:t>
      </w:r>
      <w:r>
        <w:rPr>
          <w:color w:val="000000"/>
        </w:rPr>
        <w:t xml:space="preserve">or entry. For small agencies that may not be able to submit electronically, the </w:t>
      </w:r>
      <w:r>
        <w:rPr>
          <w:color w:val="000000"/>
        </w:rPr>
        <w:t>CMEC</w:t>
      </w:r>
      <w:r>
        <w:rPr>
          <w:color w:val="000000"/>
        </w:rPr>
        <w:t xml:space="preserve"> will also be available via paper and phone. </w:t>
      </w:r>
    </w:p>
    <w:p w:rsidR="00CF51CE" w:rsidRPr="00B8502C" w:rsidP="00E64F19" w14:paraId="3A937B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7283" w:rsidRPr="00AB16BC" w:rsidP="00EA5E4F" w14:paraId="525179D0" w14:textId="77777777">
      <w:pPr>
        <w:pStyle w:val="Heading2"/>
        <w:spacing w:before="0" w:after="24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6</w:t>
      </w:r>
      <w:r w:rsidRPr="00AB16BC">
        <w:rPr>
          <w:rFonts w:ascii="Times New Roman" w:hAnsi="Times New Roman" w:cs="Times New Roman"/>
          <w:b w:val="0"/>
          <w:sz w:val="24"/>
          <w:szCs w:val="24"/>
        </w:rPr>
        <w:t>.</w:t>
      </w:r>
      <w:r>
        <w:rPr>
          <w:rFonts w:ascii="Times New Roman" w:hAnsi="Times New Roman" w:cs="Times New Roman"/>
          <w:b w:val="0"/>
          <w:sz w:val="24"/>
          <w:szCs w:val="24"/>
        </w:rPr>
        <w:t xml:space="preserve"> </w:t>
      </w:r>
      <w:r w:rsidRPr="00AB16BC">
        <w:rPr>
          <w:rFonts w:ascii="Times New Roman" w:hAnsi="Times New Roman" w:cs="Times New Roman"/>
          <w:bCs w:val="0"/>
          <w:sz w:val="24"/>
          <w:szCs w:val="24"/>
        </w:rPr>
        <w:t>Describe the consequence to federal program or policy activities if the collection is not conducted or is conducted less frequently, as well as any technical or legal obstacles to reducing burden</w:t>
      </w:r>
      <w:r w:rsidRPr="00BE7283">
        <w:rPr>
          <w:rFonts w:ascii="Times New Roman" w:hAnsi="Times New Roman" w:cs="Times New Roman"/>
          <w:sz w:val="24"/>
          <w:szCs w:val="24"/>
        </w:rPr>
        <w:t>.</w:t>
      </w:r>
      <w:r w:rsidRPr="00AB16BC">
        <w:rPr>
          <w:rFonts w:ascii="Times New Roman" w:hAnsi="Times New Roman" w:cs="Times New Roman"/>
          <w:sz w:val="24"/>
          <w:szCs w:val="24"/>
          <w:u w:val="single"/>
        </w:rPr>
        <w:t xml:space="preserve"> </w:t>
      </w:r>
    </w:p>
    <w:p w:rsidR="00AB5FEB" w:rsidP="00AB5FEB" w14:paraId="6B113D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Should the 2023 CMEC not be fielded, the 2018 data will remain the most comprehensive information about the MDI system. These data are dated and provide little insight into how the MDI infrastructure has changed or evolved given two major national health crises, including the COVID-19 pandemic and the ongoing opioid epidemic, set against the national forensic staffing pipeline shortage. Moreover, federal programs aimed to support the MDI system through a funding stream, such as BJA’s Strengthening the Medical Examiner-Coroner System Program, will continue to base some of the funding and programmatic needs on these old, outdated data.</w:t>
      </w:r>
    </w:p>
    <w:p w:rsidR="00AB5FEB" w:rsidP="0C508F5E" w14:paraId="47501D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7283" w:rsidP="0C508F5E" w14:paraId="505E9890" w14:textId="69E9B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understands from the leadership from the National Association of Medical Examiners, International Association of</w:t>
      </w:r>
      <w:r>
        <w:t xml:space="preserve"> </w:t>
      </w:r>
      <w:r>
        <w:t>Coroners &amp; Medical Examiners, and the American Board of Medicolegal Death Investigators</w:t>
      </w:r>
      <w:r w:rsidR="006972EB">
        <w:t xml:space="preserve"> </w:t>
      </w:r>
      <w:r>
        <w:t xml:space="preserve">that there is great interest and </w:t>
      </w:r>
      <w:r>
        <w:t xml:space="preserve">continued </w:t>
      </w:r>
      <w:r>
        <w:t xml:space="preserve">support of the CMEC </w:t>
      </w:r>
      <w:r>
        <w:t xml:space="preserve">to update </w:t>
      </w:r>
      <w:r>
        <w:t>national understanding of the</w:t>
      </w:r>
      <w:r>
        <w:t xml:space="preserve"> </w:t>
      </w:r>
      <w:r>
        <w:t>state of the MDI</w:t>
      </w:r>
      <w:r w:rsidR="32F2D158">
        <w:t xml:space="preserve"> system</w:t>
      </w:r>
      <w:r>
        <w:t>. BJS</w:t>
      </w:r>
      <w:r>
        <w:t xml:space="preserve"> </w:t>
      </w:r>
      <w:r>
        <w:t xml:space="preserve">plans to field the CPFFCL in </w:t>
      </w:r>
      <w:r>
        <w:t>2025</w:t>
      </w:r>
      <w:r>
        <w:t xml:space="preserve"> with a reference date of 20</w:t>
      </w:r>
      <w:r>
        <w:t>24</w:t>
      </w:r>
      <w:r>
        <w:t>. Keeping these</w:t>
      </w:r>
      <w:r>
        <w:t xml:space="preserve"> </w:t>
      </w:r>
      <w:r>
        <w:t xml:space="preserve">collections on </w:t>
      </w:r>
      <w:r>
        <w:t>this</w:t>
      </w:r>
      <w:r>
        <w:t xml:space="preserve"> schedule will allow BJS and others to examine trends in the fields of</w:t>
      </w:r>
      <w:r>
        <w:t xml:space="preserve"> </w:t>
      </w:r>
      <w:r>
        <w:t xml:space="preserve">forensic sciences more broadly. </w:t>
      </w:r>
    </w:p>
    <w:p w:rsidR="00BE7283" w:rsidP="00F87F3A" w14:paraId="6C34E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RPr="00B8502C" w:rsidP="00F87F3A" w14:paraId="063AE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7283" w:rsidRPr="00B6047E" w:rsidP="00EA5E4F" w14:paraId="23DF9628" w14:textId="77777777">
      <w:pPr>
        <w:pStyle w:val="Heading2"/>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7. Explain any special circumstances that would cause an information collection to be conducted in a manner:</w:t>
      </w:r>
    </w:p>
    <w:p w:rsidR="00BE7283" w:rsidRPr="007B3BD3" w:rsidP="002616FC" w14:paraId="5390528C"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 xml:space="preserve">requiring respondents to report information to the agency more often than </w:t>
      </w:r>
      <w:r w:rsidRPr="6B090802">
        <w:rPr>
          <w:b/>
          <w:bCs/>
        </w:rPr>
        <w:t>quarterly;</w:t>
      </w:r>
    </w:p>
    <w:p w:rsidR="00BE7283" w:rsidRPr="007B3BD3" w:rsidP="002616FC" w14:paraId="62BBB2C7"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 xml:space="preserve">requiring respondents to prepare a written response to a collection of information in fewer than 30 days after receipt of </w:t>
      </w:r>
      <w:r w:rsidRPr="6B090802">
        <w:rPr>
          <w:b/>
          <w:bCs/>
        </w:rPr>
        <w:t>it;</w:t>
      </w:r>
    </w:p>
    <w:p w:rsidR="00BE7283" w:rsidRPr="007B3BD3" w:rsidP="002616FC" w14:paraId="55C6680A"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 xml:space="preserve">requiring respondents to submit more than an original and two copies of any </w:t>
      </w:r>
      <w:r w:rsidRPr="6B090802">
        <w:rPr>
          <w:b/>
          <w:bCs/>
        </w:rPr>
        <w:t>document;</w:t>
      </w:r>
    </w:p>
    <w:p w:rsidR="00BE7283" w:rsidRPr="007B3BD3" w:rsidP="002616FC" w14:paraId="3792291E"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 xml:space="preserve">requiring respondents to retain records, other than health, medical, government contract, grant-in-aid, or tax records for more than three </w:t>
      </w:r>
      <w:r w:rsidRPr="6B090802">
        <w:rPr>
          <w:b/>
          <w:bCs/>
        </w:rPr>
        <w:t>years;</w:t>
      </w:r>
    </w:p>
    <w:p w:rsidR="00BE7283" w:rsidRPr="007B3BD3" w:rsidP="002616FC" w14:paraId="7D40236F"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 xml:space="preserve">in connection with a statistical survey, that is not designed to produce valid and reliable results that can be generalized to the universe of </w:t>
      </w:r>
      <w:r w:rsidRPr="6B090802">
        <w:rPr>
          <w:b/>
          <w:bCs/>
        </w:rPr>
        <w:t>study;</w:t>
      </w:r>
    </w:p>
    <w:p w:rsidR="00BE7283" w:rsidRPr="007B3BD3" w:rsidP="002616FC" w14:paraId="209C5ABA"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 xml:space="preserve">requiring the use of statistical data classification that has not been reviewed and approved by </w:t>
      </w:r>
      <w:r w:rsidRPr="6B090802">
        <w:rPr>
          <w:b/>
          <w:bCs/>
        </w:rPr>
        <w:t>OMB;</w:t>
      </w:r>
    </w:p>
    <w:p w:rsidR="00BE7283" w:rsidRPr="007B3BD3" w:rsidP="002616FC" w14:paraId="29515FB9"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E7283" w:rsidRPr="007B3BD3" w:rsidP="002616FC" w14:paraId="31D200FE" w14:textId="77777777">
      <w:pPr>
        <w:pStyle w:val="Level1"/>
        <w:widowControl/>
        <w:numPr>
          <w:ilvl w:val="0"/>
          <w:numId w:val="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6B090802">
        <w:rPr>
          <w:b/>
          <w:bCs/>
        </w:rPr>
        <w:t>requiring respondents to submit proprietary trade secret, or other confidential information unless the agency can demonstrate that it has instituted procedures to protect the information's confidentially to the extent permitted by law.</w:t>
      </w:r>
    </w:p>
    <w:p w:rsidR="00AF7585" w:rsidRPr="00B8502C" w:rsidP="00AF7585" w14:paraId="3FB679C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B5FEB" w:rsidRPr="00D4451A" w:rsidP="00AB5FEB" w14:paraId="75233FA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A7DC9">
        <w:t>There are no special circumstances</w:t>
      </w:r>
      <w:r>
        <w:t>.</w:t>
      </w:r>
    </w:p>
    <w:p w:rsidR="00A26AF7" w:rsidRPr="00B8502C" w:rsidP="00AF7585" w14:paraId="2CFCB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40D59" w:rsidRPr="005D648A" w:rsidP="00EA5E4F" w14:paraId="24517200" w14:textId="77777777">
      <w:pPr>
        <w:pStyle w:val="Heading2"/>
        <w:spacing w:before="0" w:after="240" w:line="240" w:lineRule="auto"/>
        <w:jc w:val="left"/>
        <w:rPr>
          <w:rFonts w:ascii="Times New Roman" w:hAnsi="Times New Roman" w:cs="Times New Roman"/>
          <w:sz w:val="24"/>
          <w:szCs w:val="24"/>
        </w:rPr>
      </w:pPr>
      <w:r w:rsidRPr="001A45A3">
        <w:rPr>
          <w:rFonts w:ascii="Times New Roman" w:hAnsi="Times New Roman" w:cs="Times New Roman"/>
          <w:bCs w:val="0"/>
          <w:sz w:val="24"/>
          <w:szCs w:val="24"/>
        </w:rPr>
        <w:t>8</w:t>
      </w:r>
      <w:r w:rsidRPr="00DE3495">
        <w:rPr>
          <w:rFonts w:ascii="Times New Roman" w:hAnsi="Times New Roman" w:cs="Times New Roman"/>
          <w:b w:val="0"/>
          <w:sz w:val="24"/>
          <w:szCs w:val="24"/>
        </w:rPr>
        <w:t>.</w:t>
      </w:r>
      <w:r>
        <w:rPr>
          <w:rFonts w:ascii="Times New Roman" w:hAnsi="Times New Roman" w:cs="Times New Roman"/>
          <w:b w:val="0"/>
          <w:sz w:val="24"/>
          <w:szCs w:val="24"/>
        </w:rPr>
        <w:t xml:space="preserve"> </w:t>
      </w:r>
      <w:r w:rsidRPr="00DE3495">
        <w:rPr>
          <w:rFonts w:ascii="Times New Roman" w:hAnsi="Times New Roman" w:cs="Times New Roman"/>
          <w:b w:val="0"/>
          <w:sz w:val="24"/>
          <w:szCs w:val="24"/>
        </w:rPr>
        <w:t xml:space="preserve"> </w:t>
      </w:r>
      <w:r w:rsidRPr="005D648A">
        <w:rPr>
          <w:rFonts w:ascii="Times New Roman" w:hAnsi="Times New Roman" w:cs="Times New Roman"/>
          <w:sz w:val="24"/>
          <w:szCs w:val="24"/>
        </w:rPr>
        <w:t xml:space="preserve">If applicable, provide a copy and identify the date and page number of </w:t>
      </w:r>
      <w:r w:rsidRPr="005D648A">
        <w:rPr>
          <w:rFonts w:ascii="Times New Roman" w:hAnsi="Times New Roman" w:cs="Times New Roman"/>
          <w:sz w:val="24"/>
          <w:szCs w:val="24"/>
        </w:rPr>
        <w:t>publication</w:t>
      </w:r>
      <w:r w:rsidRPr="005D648A">
        <w:rPr>
          <w:rFonts w:ascii="Times New Roman" w:hAnsi="Times New Roman" w:cs="Times New Roman"/>
          <w:sz w:val="24"/>
          <w:szCs w:val="24"/>
        </w:rPr>
        <w:t xml:space="preserve"> in the </w:t>
      </w:r>
      <w:r w:rsidRPr="005D648A">
        <w:rPr>
          <w:rFonts w:ascii="Times New Roman" w:hAnsi="Times New Roman" w:cs="Times New Roman"/>
          <w:i/>
          <w:iCs/>
          <w:sz w:val="24"/>
          <w:szCs w:val="24"/>
        </w:rPr>
        <w:t>Federal Register</w:t>
      </w:r>
      <w:r w:rsidRPr="005D648A">
        <w:rPr>
          <w:rFonts w:ascii="Times New Roman" w:hAnsi="Times New Roman" w:cs="Times New Roman"/>
          <w:sz w:val="24"/>
          <w:szCs w:val="24"/>
        </w:rPr>
        <w:t xml:space="preserve"> of the agency's notice, required by 5 CFR 1320.8(d), soliciting comments on the information collection prior to submission to OMB.</w:t>
      </w:r>
      <w:r>
        <w:rPr>
          <w:rFonts w:ascii="Times New Roman" w:hAnsi="Times New Roman" w:cs="Times New Roman"/>
          <w:sz w:val="24"/>
          <w:szCs w:val="24"/>
        </w:rPr>
        <w:t xml:space="preserve"> </w:t>
      </w:r>
      <w:r w:rsidRPr="005D648A">
        <w:rPr>
          <w:rFonts w:ascii="Times New Roman" w:hAnsi="Times New Roman" w:cs="Times New Roman"/>
          <w:sz w:val="24"/>
          <w:szCs w:val="24"/>
        </w:rPr>
        <w:t>Summarize public comments received in response to that notice and describe actions taken by the agency in response to these comments.</w:t>
      </w:r>
      <w:r>
        <w:rPr>
          <w:rFonts w:ascii="Times New Roman" w:hAnsi="Times New Roman" w:cs="Times New Roman"/>
          <w:sz w:val="24"/>
          <w:szCs w:val="24"/>
        </w:rPr>
        <w:t xml:space="preserve"> </w:t>
      </w:r>
      <w:r w:rsidRPr="005D648A">
        <w:rPr>
          <w:rFonts w:ascii="Times New Roman" w:hAnsi="Times New Roman" w:cs="Times New Roman"/>
          <w:sz w:val="24"/>
          <w:szCs w:val="24"/>
        </w:rPr>
        <w:t>Specifically address comments received on cost and hour burden.</w:t>
      </w:r>
    </w:p>
    <w:p w:rsidR="00D40D59" w:rsidRPr="00B6047E" w:rsidP="00B6047E" w14:paraId="638F3740" w14:textId="77777777">
      <w:pPr>
        <w:pStyle w:val="ListParagraph"/>
        <w:numPr>
          <w:ilvl w:val="0"/>
          <w:numId w:val="15"/>
        </w:numPr>
        <w:rPr>
          <w:b/>
          <w:bCs/>
        </w:rPr>
      </w:pPr>
      <w:r w:rsidRPr="00B6047E">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40D59" w:rsidRPr="00B6047E" w:rsidP="00B6047E" w14:paraId="08478D83" w14:textId="77777777">
      <w:pPr>
        <w:pStyle w:val="ListParagraph"/>
        <w:numPr>
          <w:ilvl w:val="0"/>
          <w:numId w:val="15"/>
        </w:numPr>
        <w:rPr>
          <w:b/>
          <w:bCs/>
        </w:rPr>
      </w:pPr>
      <w:r w:rsidRPr="00B6047E">
        <w:rPr>
          <w:b/>
          <w:bCs/>
        </w:rPr>
        <w:t xml:space="preserve">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w:t>
      </w:r>
      <w:r w:rsidRPr="00B6047E">
        <w:rPr>
          <w:b/>
          <w:bCs/>
        </w:rPr>
        <w:t>explained</w:t>
      </w:r>
    </w:p>
    <w:p w:rsidR="00C6356B" w:rsidRPr="00B8502C" w:rsidP="00C6356B" w14:paraId="0631934F" w14:textId="77777777">
      <w:pPr>
        <w:shd w:val="solid" w:color="FFFFFF" w:fill="FFFFFF"/>
        <w:tabs>
          <w:tab w:val="left" w:pos="360"/>
          <w:tab w:val="left" w:pos="840"/>
          <w:tab w:val="left" w:pos="1341"/>
          <w:tab w:val="left" w:pos="2794"/>
        </w:tabs>
      </w:pPr>
    </w:p>
    <w:p w:rsidR="00D40D59" w:rsidRPr="009C0E93" w:rsidP="00D40D59" w14:paraId="58612C99" w14:textId="57DE4F86">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7630">
        <w:t>The research under this clearance is consistent with the guidelines in 5 CFR 1320.8(d).</w:t>
      </w:r>
      <w:r>
        <w:t xml:space="preserve"> </w:t>
      </w:r>
      <w:r w:rsidRPr="00AB16BC">
        <w:t xml:space="preserve">The 60-day notice for public commentary was published in the Federal Register, Volume </w:t>
      </w:r>
      <w:r w:rsidR="00983A03">
        <w:t>89</w:t>
      </w:r>
      <w:r w:rsidRPr="00AB16BC">
        <w:t xml:space="preserve">, Number </w:t>
      </w:r>
      <w:r w:rsidR="00983A03">
        <w:t>99</w:t>
      </w:r>
      <w:r w:rsidRPr="00AB16BC">
        <w:t xml:space="preserve">, pages </w:t>
      </w:r>
      <w:r w:rsidR="00983A03">
        <w:t>44712-44713</w:t>
      </w:r>
      <w:r w:rsidRPr="00AB16BC">
        <w:t xml:space="preserve"> on </w:t>
      </w:r>
      <w:r w:rsidR="00983A03">
        <w:t>May 21, 2024</w:t>
      </w:r>
      <w:r>
        <w:t xml:space="preserve"> (</w:t>
      </w:r>
      <w:r w:rsidRPr="005C0ED6">
        <w:rPr>
          <w:b/>
          <w:bCs/>
        </w:rPr>
        <w:t>Attachment 4</w:t>
      </w:r>
      <w:r w:rsidRPr="00645366">
        <w:t xml:space="preserve">). </w:t>
      </w:r>
      <w:r w:rsidR="00983A03">
        <w:t xml:space="preserve">BJS advertised this notice on its webpage and social media feeds. </w:t>
      </w:r>
      <w:r w:rsidRPr="00645366">
        <w:t xml:space="preserve">The comment period ended on </w:t>
      </w:r>
      <w:r w:rsidR="00983A03">
        <w:t>July 22, 2024</w:t>
      </w:r>
      <w:r w:rsidRPr="00645366">
        <w:t xml:space="preserve">. </w:t>
      </w:r>
      <w:r w:rsidRPr="005D095B">
        <w:t xml:space="preserve">In response to the 60-day notice, BJS </w:t>
      </w:r>
      <w:r w:rsidRPr="005D095B" w:rsidR="00E93D96">
        <w:t xml:space="preserve">received </w:t>
      </w:r>
      <w:r w:rsidRPr="005D095B" w:rsidR="009338C4">
        <w:t xml:space="preserve">and responded to </w:t>
      </w:r>
      <w:r w:rsidRPr="005D095B" w:rsidR="00E93D96">
        <w:t xml:space="preserve">one </w:t>
      </w:r>
      <w:r w:rsidRPr="005D095B" w:rsidR="009338C4">
        <w:t xml:space="preserve">set of </w:t>
      </w:r>
      <w:r w:rsidRPr="005D095B" w:rsidR="00E93D96">
        <w:t>comment</w:t>
      </w:r>
      <w:r w:rsidRPr="005D095B" w:rsidR="009338C4">
        <w:t>s</w:t>
      </w:r>
      <w:r w:rsidRPr="005D095B" w:rsidR="00F30026">
        <w:t xml:space="preserve"> from a coroner with a non-profit organization</w:t>
      </w:r>
      <w:r w:rsidRPr="005D095B" w:rsidR="00E93D96">
        <w:t xml:space="preserve"> (</w:t>
      </w:r>
      <w:r w:rsidRPr="005D095B" w:rsidR="00E93D96">
        <w:rPr>
          <w:b/>
          <w:bCs/>
        </w:rPr>
        <w:t>Attachm</w:t>
      </w:r>
      <w:r w:rsidRPr="009F5AF9" w:rsidR="00E93D96">
        <w:rPr>
          <w:b/>
          <w:bCs/>
        </w:rPr>
        <w:t xml:space="preserve">ent </w:t>
      </w:r>
      <w:r w:rsidRPr="009F5AF9" w:rsidR="00E442A0">
        <w:rPr>
          <w:b/>
          <w:bCs/>
        </w:rPr>
        <w:t>4</w:t>
      </w:r>
      <w:r w:rsidRPr="009F5AF9" w:rsidR="00E93D96">
        <w:t>)</w:t>
      </w:r>
      <w:r w:rsidRPr="009F5AF9">
        <w:t xml:space="preserve">. The 30-day notice for public commentary was published in the </w:t>
      </w:r>
      <w:r w:rsidR="009F5AF9">
        <w:t>f</w:t>
      </w:r>
      <w:r w:rsidRPr="009F5AF9">
        <w:t xml:space="preserve">ederal </w:t>
      </w:r>
      <w:r w:rsidR="009F5AF9">
        <w:t>r</w:t>
      </w:r>
      <w:r w:rsidRPr="009F5AF9">
        <w:t>egister</w:t>
      </w:r>
      <w:r w:rsidR="009F5AF9">
        <w:t xml:space="preserve"> following the </w:t>
      </w:r>
      <w:r w:rsidR="00DB7AA6">
        <w:t>expiration</w:t>
      </w:r>
      <w:r w:rsidR="009F5AF9">
        <w:t xml:space="preserve"> of the 60-day comment period</w:t>
      </w:r>
      <w:r w:rsidRPr="009F5AF9">
        <w:t xml:space="preserve"> (</w:t>
      </w:r>
      <w:r w:rsidRPr="009F5AF9">
        <w:rPr>
          <w:b/>
          <w:bCs/>
        </w:rPr>
        <w:t>Attachment 5</w:t>
      </w:r>
      <w:r w:rsidRPr="009F5AF9">
        <w:t>).</w:t>
      </w:r>
      <w:r w:rsidRPr="00E93D96">
        <w:t xml:space="preserve"> </w:t>
      </w:r>
    </w:p>
    <w:p w:rsidR="00D40D59" w:rsidP="00F87F3A" w14:paraId="4490F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P="1BA219C1" w14:paraId="6F86D782" w14:textId="695EEB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 expert panel of practitioners was gathered to assess the instrument used for the </w:t>
      </w:r>
      <w:r w:rsidR="00FE03ED">
        <w:t>20</w:t>
      </w:r>
      <w:r w:rsidR="00DB628A">
        <w:t>23</w:t>
      </w:r>
      <w:r w:rsidR="00FE03ED">
        <w:t xml:space="preserve"> </w:t>
      </w:r>
      <w:r>
        <w:t>CMEC.</w:t>
      </w:r>
      <w:r w:rsidR="00FE03ED">
        <w:t xml:space="preserve"> </w:t>
      </w:r>
      <w:r>
        <w:t>These panelists included practitioners from both medical examiner and coroner offices. Panelists</w:t>
      </w:r>
      <w:r w:rsidR="00FE03ED">
        <w:t xml:space="preserve"> </w:t>
      </w:r>
      <w:r>
        <w:t>were provided with the survey instrument and materials from BJS and RTI introducing the</w:t>
      </w:r>
      <w:r w:rsidR="00FE03ED">
        <w:t xml:space="preserve"> </w:t>
      </w:r>
      <w:r>
        <w:t>project and BJS’s goals in conducting the census. Panelists were asked to assess the survey form</w:t>
      </w:r>
      <w:r w:rsidR="00FE03ED">
        <w:t xml:space="preserve"> </w:t>
      </w:r>
      <w:r>
        <w:t>for clarity of the questions, relevance of the questions to the field, and to provide updates from the field that ought to be included in the form. BJS, RTI, and the expert</w:t>
      </w:r>
      <w:r w:rsidR="00FE03ED">
        <w:t xml:space="preserve"> </w:t>
      </w:r>
      <w:r>
        <w:t xml:space="preserve">panelists gathered for a </w:t>
      </w:r>
      <w:r w:rsidR="00D40D59">
        <w:t>two</w:t>
      </w:r>
      <w:r>
        <w:t xml:space="preserve">-day meeting </w:t>
      </w:r>
      <w:r w:rsidR="00CD563C">
        <w:t>during</w:t>
      </w:r>
      <w:r w:rsidR="00B97003">
        <w:t xml:space="preserve"> March of 2023 </w:t>
      </w:r>
      <w:r>
        <w:t xml:space="preserve">to discuss the </w:t>
      </w:r>
      <w:r w:rsidR="281BB67F">
        <w:t xml:space="preserve">census </w:t>
      </w:r>
      <w:r>
        <w:t>form item-by-item. Feedback from this</w:t>
      </w:r>
      <w:r w:rsidR="00FE03ED">
        <w:t xml:space="preserve"> </w:t>
      </w:r>
      <w:r>
        <w:t>expert panel was used to inform instrument design for cognitive testing discussed above. Expert</w:t>
      </w:r>
      <w:r w:rsidR="00FE03ED">
        <w:t xml:space="preserve"> </w:t>
      </w:r>
      <w:r>
        <w:t xml:space="preserve">panelists are included in </w:t>
      </w:r>
      <w:r w:rsidRPr="007032BC">
        <w:rPr>
          <w:b/>
          <w:bCs/>
        </w:rPr>
        <w:t>Table 1</w:t>
      </w:r>
      <w:r w:rsidRPr="00B8502C" w:rsidR="00C6356B">
        <w:t>.</w:t>
      </w:r>
    </w:p>
    <w:p w:rsidR="00F87F3A" w:rsidP="00F87F3A" w14:paraId="4226E1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7F3A" w:rsidRPr="00803E99" w:rsidP="00F87F3A" w14:paraId="61A1E0D6" w14:textId="3108E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03E99">
        <w:rPr>
          <w:b/>
          <w:bCs/>
        </w:rPr>
        <w:t xml:space="preserve">Table </w:t>
      </w:r>
      <w:r w:rsidRPr="00803E99" w:rsidR="00A851AC">
        <w:rPr>
          <w:b/>
          <w:bCs/>
        </w:rPr>
        <w:t>1</w:t>
      </w:r>
      <w:r w:rsidRPr="00803E99">
        <w:rPr>
          <w:b/>
          <w:bCs/>
        </w:rPr>
        <w:t>. Expert panelists</w:t>
      </w:r>
      <w:r w:rsidRPr="00803E99" w:rsidR="00D40D59">
        <w:rPr>
          <w:b/>
          <w:bCs/>
        </w:rPr>
        <w:t xml:space="preserve"> for BJS meeting on the 2023 CMEC </w:t>
      </w:r>
      <w:r w:rsidRPr="00803E99" w:rsidR="00D40D59">
        <w:rPr>
          <w:b/>
          <w:bCs/>
        </w:rPr>
        <w:t>instrument</w:t>
      </w:r>
    </w:p>
    <w:tbl>
      <w:tblPr>
        <w:tblStyle w:val="TableGrid"/>
        <w:tblW w:w="0" w:type="auto"/>
        <w:tblLook w:val="04A0"/>
      </w:tblPr>
      <w:tblGrid>
        <w:gridCol w:w="2065"/>
        <w:gridCol w:w="2520"/>
        <w:gridCol w:w="4765"/>
      </w:tblGrid>
      <w:tr w14:paraId="327B95B3" w14:textId="15DC3584" w:rsidTr="00D40D59">
        <w:tblPrEx>
          <w:tblW w:w="0" w:type="auto"/>
          <w:tblLook w:val="04A0"/>
        </w:tblPrEx>
        <w:tc>
          <w:tcPr>
            <w:tcW w:w="2065" w:type="dxa"/>
          </w:tcPr>
          <w:p w:rsidR="00D40D59" w:rsidRPr="00D40D59" w:rsidP="00F87F3A" w14:paraId="19971819" w14:textId="2324E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D40D59">
              <w:rPr>
                <w:rFonts w:ascii="Times New Roman" w:hAnsi="Times New Roman"/>
                <w:b/>
                <w:bCs/>
                <w:sz w:val="22"/>
                <w:szCs w:val="22"/>
              </w:rPr>
              <w:t>Name</w:t>
            </w:r>
          </w:p>
        </w:tc>
        <w:tc>
          <w:tcPr>
            <w:tcW w:w="2520" w:type="dxa"/>
          </w:tcPr>
          <w:p w:rsidR="00D40D59" w:rsidRPr="00D40D59" w:rsidP="00F87F3A" w14:paraId="54844648" w14:textId="5A33C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D40D59">
              <w:rPr>
                <w:rFonts w:ascii="Times New Roman" w:hAnsi="Times New Roman"/>
                <w:b/>
                <w:bCs/>
                <w:sz w:val="22"/>
                <w:szCs w:val="22"/>
              </w:rPr>
              <w:t>Position</w:t>
            </w:r>
          </w:p>
        </w:tc>
        <w:tc>
          <w:tcPr>
            <w:tcW w:w="4765" w:type="dxa"/>
          </w:tcPr>
          <w:p w:rsidR="00D40D59" w:rsidRPr="00D40D59" w:rsidP="00F87F3A" w14:paraId="3BFDB7C9" w14:textId="1DC77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D40D59">
              <w:rPr>
                <w:rFonts w:ascii="Times New Roman" w:hAnsi="Times New Roman"/>
                <w:b/>
                <w:bCs/>
                <w:sz w:val="22"/>
                <w:szCs w:val="22"/>
              </w:rPr>
              <w:t>Organization</w:t>
            </w:r>
          </w:p>
        </w:tc>
      </w:tr>
      <w:tr w14:paraId="46E46990" w14:textId="0F8061A7" w:rsidTr="00D40D59">
        <w:tblPrEx>
          <w:tblW w:w="0" w:type="auto"/>
          <w:tblLook w:val="04A0"/>
        </w:tblPrEx>
        <w:tc>
          <w:tcPr>
            <w:tcW w:w="2065" w:type="dxa"/>
          </w:tcPr>
          <w:p w:rsidR="00D40D59" w:rsidRPr="00D40D59" w:rsidP="00F87F3A" w14:paraId="4A2AB37E" w14:textId="53DA5D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 xml:space="preserve">Kathy </w:t>
            </w:r>
            <w:r w:rsidRPr="00D40D59">
              <w:rPr>
                <w:rFonts w:ascii="Times New Roman" w:hAnsi="Times New Roman"/>
                <w:sz w:val="22"/>
                <w:szCs w:val="22"/>
              </w:rPr>
              <w:t>Pinneri</w:t>
            </w:r>
          </w:p>
        </w:tc>
        <w:tc>
          <w:tcPr>
            <w:tcW w:w="2520" w:type="dxa"/>
          </w:tcPr>
          <w:p w:rsidR="00D40D59" w:rsidRPr="00D40D59" w:rsidP="00F87F3A" w14:paraId="6334BCD7" w14:textId="6EC6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Director</w:t>
            </w:r>
          </w:p>
        </w:tc>
        <w:tc>
          <w:tcPr>
            <w:tcW w:w="4765" w:type="dxa"/>
          </w:tcPr>
          <w:p w:rsidR="00D40D59" w:rsidRPr="00D40D59" w:rsidP="00F87F3A" w14:paraId="4B2F1005" w14:textId="0C107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Montgomery Forensic Science Center (Texas)</w:t>
            </w:r>
          </w:p>
        </w:tc>
      </w:tr>
      <w:tr w14:paraId="6C6CCDAF" w14:textId="67866D2D" w:rsidTr="00D40D59">
        <w:tblPrEx>
          <w:tblW w:w="0" w:type="auto"/>
          <w:tblLook w:val="04A0"/>
        </w:tblPrEx>
        <w:tc>
          <w:tcPr>
            <w:tcW w:w="2065" w:type="dxa"/>
          </w:tcPr>
          <w:p w:rsidR="00D40D59" w:rsidRPr="00D40D59" w:rsidP="00F87F3A" w14:paraId="43B2910E" w14:textId="7A242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Ted Brown</w:t>
            </w:r>
          </w:p>
        </w:tc>
        <w:tc>
          <w:tcPr>
            <w:tcW w:w="2520" w:type="dxa"/>
          </w:tcPr>
          <w:p w:rsidR="00D40D59" w:rsidRPr="00D40D59" w:rsidP="00F87F3A" w14:paraId="34739476" w14:textId="35495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Chief Medical Examiner</w:t>
            </w:r>
          </w:p>
        </w:tc>
        <w:tc>
          <w:tcPr>
            <w:tcW w:w="4765" w:type="dxa"/>
          </w:tcPr>
          <w:p w:rsidR="00D40D59" w:rsidRPr="00D40D59" w:rsidP="00F87F3A" w14:paraId="2B173DA0" w14:textId="28FA2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Arkansas State Crime Laboratory (Arkansas)</w:t>
            </w:r>
          </w:p>
        </w:tc>
      </w:tr>
      <w:tr w14:paraId="0E0EC8A7" w14:textId="35A3FAA4" w:rsidTr="00D40D59">
        <w:tblPrEx>
          <w:tblW w:w="0" w:type="auto"/>
          <w:tblLook w:val="04A0"/>
        </w:tblPrEx>
        <w:tc>
          <w:tcPr>
            <w:tcW w:w="2065" w:type="dxa"/>
          </w:tcPr>
          <w:p w:rsidR="00D40D59" w:rsidRPr="00D40D59" w:rsidP="00F87F3A" w14:paraId="251B9435" w14:textId="0FED7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Shane Sheets</w:t>
            </w:r>
          </w:p>
        </w:tc>
        <w:tc>
          <w:tcPr>
            <w:tcW w:w="2520" w:type="dxa"/>
          </w:tcPr>
          <w:p w:rsidR="00D40D59" w:rsidRPr="00D40D59" w:rsidP="00F87F3A" w14:paraId="2E1182CE" w14:textId="62D09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Director</w:t>
            </w:r>
          </w:p>
        </w:tc>
        <w:tc>
          <w:tcPr>
            <w:tcW w:w="4765" w:type="dxa"/>
          </w:tcPr>
          <w:p w:rsidR="00D40D59" w:rsidRPr="00D40D59" w:rsidP="00F87F3A" w14:paraId="6ED34569" w14:textId="539D0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Midwest Medical Examiner’s Office (Minnesota)</w:t>
            </w:r>
          </w:p>
        </w:tc>
      </w:tr>
      <w:tr w14:paraId="1146B877" w14:textId="3A1AB333" w:rsidTr="00D40D59">
        <w:tblPrEx>
          <w:tblW w:w="0" w:type="auto"/>
          <w:tblLook w:val="04A0"/>
        </w:tblPrEx>
        <w:tc>
          <w:tcPr>
            <w:tcW w:w="2065" w:type="dxa"/>
          </w:tcPr>
          <w:p w:rsidR="00D40D59" w:rsidRPr="00D40D59" w:rsidP="00F87F3A" w14:paraId="683465E3" w14:textId="2F01D4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Bobbi Jo O’Neal</w:t>
            </w:r>
          </w:p>
        </w:tc>
        <w:tc>
          <w:tcPr>
            <w:tcW w:w="2520" w:type="dxa"/>
          </w:tcPr>
          <w:p w:rsidR="00D40D59" w:rsidRPr="00D40D59" w:rsidP="00F87F3A" w14:paraId="3D35B0A6" w14:textId="2AD70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Coroner</w:t>
            </w:r>
          </w:p>
        </w:tc>
        <w:tc>
          <w:tcPr>
            <w:tcW w:w="4765" w:type="dxa"/>
          </w:tcPr>
          <w:p w:rsidR="00D40D59" w:rsidRPr="00D40D59" w:rsidP="00F87F3A" w14:paraId="2D596E4A" w14:textId="7CC9B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Charleston County Coroner’s Office (South Carolina)</w:t>
            </w:r>
          </w:p>
        </w:tc>
      </w:tr>
      <w:tr w14:paraId="39156B99" w14:textId="5AE8E0A7" w:rsidTr="00D40D59">
        <w:tblPrEx>
          <w:tblW w:w="0" w:type="auto"/>
          <w:tblLook w:val="04A0"/>
        </w:tblPrEx>
        <w:tc>
          <w:tcPr>
            <w:tcW w:w="2065" w:type="dxa"/>
          </w:tcPr>
          <w:p w:rsidR="00D40D59" w:rsidRPr="00D40D59" w:rsidP="00F87F3A" w14:paraId="611F625A" w14:textId="2D157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 xml:space="preserve">Jennifer </w:t>
            </w:r>
            <w:r w:rsidRPr="00D40D59">
              <w:rPr>
                <w:rFonts w:ascii="Times New Roman" w:hAnsi="Times New Roman"/>
                <w:sz w:val="22"/>
                <w:szCs w:val="22"/>
              </w:rPr>
              <w:t>Snippen</w:t>
            </w:r>
          </w:p>
        </w:tc>
        <w:tc>
          <w:tcPr>
            <w:tcW w:w="2520" w:type="dxa"/>
          </w:tcPr>
          <w:p w:rsidR="00D40D59" w:rsidRPr="00D40D59" w:rsidP="00F87F3A" w14:paraId="0C0D0E96" w14:textId="0D253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Board-Certified Medicolegal Death Investigator/Researcher</w:t>
            </w:r>
          </w:p>
        </w:tc>
        <w:tc>
          <w:tcPr>
            <w:tcW w:w="4765" w:type="dxa"/>
          </w:tcPr>
          <w:p w:rsidR="00D40D59" w:rsidRPr="00D40D59" w:rsidP="00F87F3A" w14:paraId="32FF435B" w14:textId="1E2A5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Oregon State University (Oregon)</w:t>
            </w:r>
          </w:p>
        </w:tc>
      </w:tr>
      <w:tr w14:paraId="51CC73F7" w14:textId="05C7C7FD" w:rsidTr="00D40D59">
        <w:tblPrEx>
          <w:tblW w:w="0" w:type="auto"/>
          <w:tblLook w:val="04A0"/>
        </w:tblPrEx>
        <w:tc>
          <w:tcPr>
            <w:tcW w:w="2065" w:type="dxa"/>
          </w:tcPr>
          <w:p w:rsidR="00D40D59" w:rsidRPr="00D40D59" w:rsidP="00F87F3A" w14:paraId="05CD97BD" w14:textId="0C7EBC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Lina Evans</w:t>
            </w:r>
          </w:p>
        </w:tc>
        <w:tc>
          <w:tcPr>
            <w:tcW w:w="2520" w:type="dxa"/>
          </w:tcPr>
          <w:p w:rsidR="00D40D59" w:rsidRPr="00D40D59" w:rsidP="00F87F3A" w14:paraId="3B42E841" w14:textId="3F859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Coroner</w:t>
            </w:r>
          </w:p>
        </w:tc>
        <w:tc>
          <w:tcPr>
            <w:tcW w:w="4765" w:type="dxa"/>
          </w:tcPr>
          <w:p w:rsidR="00D40D59" w:rsidRPr="00D40D59" w:rsidP="00F87F3A" w14:paraId="5C4FE4CA" w14:textId="7235C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Shelby County Coroner (Alabama)</w:t>
            </w:r>
          </w:p>
        </w:tc>
      </w:tr>
      <w:tr w14:paraId="0C50FB2D" w14:textId="77777777" w:rsidTr="00D40D59">
        <w:tblPrEx>
          <w:tblW w:w="0" w:type="auto"/>
          <w:tblLook w:val="04A0"/>
        </w:tblPrEx>
        <w:tc>
          <w:tcPr>
            <w:tcW w:w="2065" w:type="dxa"/>
          </w:tcPr>
          <w:p w:rsidR="00D40D59" w:rsidRPr="00D40D59" w:rsidP="00F87F3A" w14:paraId="4CDC5263" w14:textId="1D9E2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David Lash</w:t>
            </w:r>
          </w:p>
        </w:tc>
        <w:tc>
          <w:tcPr>
            <w:tcW w:w="2520" w:type="dxa"/>
          </w:tcPr>
          <w:p w:rsidR="00D40D59" w:rsidRPr="00D40D59" w:rsidP="00F87F3A" w14:paraId="3B517083" w14:textId="3EF14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Deputy Coroner</w:t>
            </w:r>
          </w:p>
        </w:tc>
        <w:tc>
          <w:tcPr>
            <w:tcW w:w="4765" w:type="dxa"/>
          </w:tcPr>
          <w:p w:rsidR="00D40D59" w:rsidRPr="00D40D59" w:rsidP="00F87F3A" w14:paraId="3E56358B" w14:textId="401A0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40D59">
              <w:rPr>
                <w:rFonts w:ascii="Times New Roman" w:hAnsi="Times New Roman"/>
                <w:sz w:val="22"/>
                <w:szCs w:val="22"/>
              </w:rPr>
              <w:t>Shelby County Coroner (Alabama)</w:t>
            </w:r>
          </w:p>
        </w:tc>
      </w:tr>
    </w:tbl>
    <w:p w:rsidR="00C6356B" w:rsidP="00F87F3A" w14:paraId="36ECFDC4" w14:textId="28F98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502C">
        <w:t xml:space="preserve"> </w:t>
      </w:r>
    </w:p>
    <w:p w:rsidR="00D40D59" w:rsidRPr="00AB16BC" w:rsidP="7852C545" w14:paraId="23919693" w14:textId="70861A9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Pr="00AB16BC">
        <w:t xml:space="preserve">instrument was then </w:t>
      </w:r>
      <w:r w:rsidRPr="000E4BFC">
        <w:t xml:space="preserve">cognitively tested. </w:t>
      </w:r>
      <w:r w:rsidRPr="000E4BFC" w:rsidR="000E4BFC">
        <w:t>Thirty-one</w:t>
      </w:r>
      <w:r w:rsidRPr="000E4BFC">
        <w:t xml:space="preserve"> </w:t>
      </w:r>
      <w:r w:rsidRPr="000E4BFC" w:rsidR="00631C32">
        <w:t>MEC</w:t>
      </w:r>
      <w:r w:rsidR="008667F1">
        <w:t xml:space="preserve"> office</w:t>
      </w:r>
      <w:r w:rsidRPr="000E4BFC">
        <w:t>s across the country</w:t>
      </w:r>
      <w:r w:rsidRPr="000E4BFC" w:rsidR="000E4BFC">
        <w:t>—</w:t>
      </w:r>
      <w:r w:rsidRPr="000E4BFC">
        <w:t xml:space="preserve">distributed across small, large, </w:t>
      </w:r>
      <w:r w:rsidRPr="000E4BFC" w:rsidR="00590765">
        <w:t>state,</w:t>
      </w:r>
      <w:r w:rsidRPr="000E4BFC">
        <w:t xml:space="preserve"> and local agencies</w:t>
      </w:r>
      <w:r w:rsidRPr="000E4BFC" w:rsidR="00631C32">
        <w:t xml:space="preserve"> and representing coroner,</w:t>
      </w:r>
      <w:r w:rsidR="00631C32">
        <w:t xml:space="preserve"> medical examiner, and justice of the peace offices</w:t>
      </w:r>
      <w:r w:rsidR="000E4BFC">
        <w:t>—</w:t>
      </w:r>
      <w:r w:rsidRPr="00AB16BC">
        <w:t xml:space="preserve">were emailed a draft of the </w:t>
      </w:r>
      <w:r w:rsidR="613A11E6">
        <w:t>original and addendum/</w:t>
      </w:r>
      <w:r>
        <w:t>supplement</w:t>
      </w:r>
      <w:r w:rsidRPr="00AB16BC">
        <w:t xml:space="preserve"> instrument, and a time was set up to talk through the instrument with a cognitive interviewer</w:t>
      </w:r>
      <w:r>
        <w:t xml:space="preserve"> (</w:t>
      </w:r>
      <w:r w:rsidRPr="00907BE9">
        <w:rPr>
          <w:b/>
          <w:bCs/>
        </w:rPr>
        <w:t xml:space="preserve">Table </w:t>
      </w:r>
      <w:r w:rsidRPr="00907BE9" w:rsidR="008D4B54">
        <w:rPr>
          <w:b/>
          <w:bCs/>
        </w:rPr>
        <w:t>2</w:t>
      </w:r>
      <w:r>
        <w:t>)</w:t>
      </w:r>
      <w:r w:rsidRPr="00AB16BC">
        <w:t xml:space="preserve">. </w:t>
      </w:r>
      <w:r w:rsidR="00B76734">
        <w:t>R</w:t>
      </w:r>
      <w:r w:rsidRPr="00AB16BC">
        <w:t xml:space="preserve">epresentatives </w:t>
      </w:r>
      <w:r w:rsidR="77950CAD">
        <w:t>were asked to</w:t>
      </w:r>
      <w:r w:rsidRPr="00AB16BC">
        <w:t xml:space="preserve"> comment on question wording, response categories and layout, and </w:t>
      </w:r>
      <w:r w:rsidR="0080512B">
        <w:t xml:space="preserve">to </w:t>
      </w:r>
      <w:r w:rsidRPr="00AB16BC">
        <w:t>identi</w:t>
      </w:r>
      <w:r w:rsidR="0080512B">
        <w:t>fy</w:t>
      </w:r>
      <w:r w:rsidRPr="00AB16BC">
        <w:t xml:space="preserve"> any issues with recall or ability to complete the instrument. Results from cognitive interviewing were used to make final revisions to the instrument.</w:t>
      </w:r>
      <w:r>
        <w:t xml:space="preserve"> </w:t>
      </w:r>
    </w:p>
    <w:p w:rsidR="00D40D59" w:rsidP="00F87F3A" w14:paraId="5E23EEEB" w14:textId="20915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40D59" w:rsidRPr="00803E99" w:rsidP="00F87F3A" w14:paraId="02980E2D" w14:textId="544EC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bookmarkStart w:id="3" w:name="_Hlk163464355"/>
      <w:r w:rsidRPr="00803E99">
        <w:rPr>
          <w:b/>
          <w:bCs/>
        </w:rPr>
        <w:t xml:space="preserve">Table </w:t>
      </w:r>
      <w:r w:rsidRPr="00803E99" w:rsidR="008D4B54">
        <w:rPr>
          <w:b/>
          <w:bCs/>
        </w:rPr>
        <w:t>2</w:t>
      </w:r>
      <w:r w:rsidRPr="00803E99">
        <w:rPr>
          <w:b/>
          <w:bCs/>
        </w:rPr>
        <w:t xml:space="preserve">. </w:t>
      </w:r>
      <w:r w:rsidR="00B76734">
        <w:rPr>
          <w:b/>
          <w:bCs/>
        </w:rPr>
        <w:t>A</w:t>
      </w:r>
      <w:r w:rsidRPr="00803E99">
        <w:rPr>
          <w:b/>
          <w:bCs/>
        </w:rPr>
        <w:t xml:space="preserve">gencies participating in the 2023 CMEC cognitive </w:t>
      </w:r>
      <w:r w:rsidRPr="00803E99">
        <w:rPr>
          <w:b/>
          <w:bCs/>
        </w:rPr>
        <w:t>interviews</w:t>
      </w:r>
    </w:p>
    <w:tbl>
      <w:tblPr>
        <w:tblStyle w:val="TableGrid"/>
        <w:tblW w:w="9355" w:type="dxa"/>
        <w:tblLook w:val="04A0"/>
      </w:tblPr>
      <w:tblGrid>
        <w:gridCol w:w="2344"/>
        <w:gridCol w:w="1327"/>
        <w:gridCol w:w="4948"/>
        <w:gridCol w:w="736"/>
      </w:tblGrid>
      <w:tr w14:paraId="7D3AC7E9" w14:textId="77777777" w:rsidTr="00D610D5">
        <w:tblPrEx>
          <w:tblW w:w="9355" w:type="dxa"/>
          <w:tblLook w:val="04A0"/>
        </w:tblPrEx>
        <w:trPr>
          <w:trHeight w:val="647"/>
        </w:trPr>
        <w:tc>
          <w:tcPr>
            <w:tcW w:w="2407" w:type="dxa"/>
            <w:vAlign w:val="center"/>
          </w:tcPr>
          <w:p w:rsidR="009138E4" w:rsidRPr="00D610D5" w:rsidP="008F0F33" w14:paraId="21F0FA02" w14:textId="46219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610D5">
              <w:rPr>
                <w:b/>
                <w:bCs/>
              </w:rPr>
              <w:t>Agency</w:t>
            </w:r>
            <w:r w:rsidRPr="00D610D5">
              <w:rPr>
                <w:b/>
                <w:bCs/>
              </w:rPr>
              <w:t xml:space="preserve"> Type</w:t>
            </w:r>
          </w:p>
        </w:tc>
        <w:tc>
          <w:tcPr>
            <w:tcW w:w="1098" w:type="dxa"/>
            <w:vAlign w:val="center"/>
          </w:tcPr>
          <w:p w:rsidR="009138E4" w:rsidRPr="00D610D5" w:rsidP="008F0F33" w14:paraId="34B3EE3A" w14:textId="1194D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P</w:t>
            </w:r>
            <w:r w:rsidRPr="00D610D5" w:rsidR="00B76734">
              <w:rPr>
                <w:b/>
                <w:bCs/>
              </w:rPr>
              <w:t xml:space="preserve">opulation </w:t>
            </w:r>
            <w:r w:rsidRPr="00D610D5">
              <w:rPr>
                <w:b/>
                <w:bCs/>
              </w:rPr>
              <w:t>Size</w:t>
            </w:r>
          </w:p>
        </w:tc>
        <w:tc>
          <w:tcPr>
            <w:tcW w:w="5130" w:type="dxa"/>
            <w:vAlign w:val="center"/>
          </w:tcPr>
          <w:p w:rsidR="009138E4" w:rsidRPr="00D610D5" w:rsidP="008F0F33" w14:paraId="75C6F631" w14:textId="76CFE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610D5">
              <w:rPr>
                <w:b/>
                <w:bCs/>
              </w:rPr>
              <w:t>Agency</w:t>
            </w:r>
            <w:r w:rsidRPr="00D610D5">
              <w:rPr>
                <w:b/>
                <w:bCs/>
              </w:rPr>
              <w:t xml:space="preserve"> Name</w:t>
            </w:r>
          </w:p>
        </w:tc>
        <w:tc>
          <w:tcPr>
            <w:tcW w:w="720" w:type="dxa"/>
            <w:vAlign w:val="center"/>
          </w:tcPr>
          <w:p w:rsidR="009138E4" w:rsidRPr="00D610D5" w:rsidP="008F0F33" w14:paraId="6CDFAECF" w14:textId="58380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610D5">
              <w:rPr>
                <w:b/>
                <w:bCs/>
              </w:rPr>
              <w:t>State</w:t>
            </w:r>
          </w:p>
        </w:tc>
      </w:tr>
      <w:tr w14:paraId="5B8D6309" w14:textId="77777777" w:rsidTr="003C40CB">
        <w:tblPrEx>
          <w:tblW w:w="9355" w:type="dxa"/>
          <w:tblLook w:val="04A0"/>
        </w:tblPrEx>
        <w:tc>
          <w:tcPr>
            <w:tcW w:w="2407" w:type="dxa"/>
            <w:vAlign w:val="bottom"/>
          </w:tcPr>
          <w:p w:rsidR="00CC2613" w:rsidRPr="00CC2613" w:rsidP="00CC2613" w14:paraId="53144355" w14:textId="465573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4B68004D" w14:textId="574A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2,230,000</w:t>
            </w:r>
          </w:p>
        </w:tc>
        <w:tc>
          <w:tcPr>
            <w:tcW w:w="5130" w:type="dxa"/>
            <w:vAlign w:val="bottom"/>
          </w:tcPr>
          <w:p w:rsidR="00CC2613" w:rsidRPr="00CC2613" w:rsidP="00CC2613" w14:paraId="6FE05D71" w14:textId="4CF9A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Clark County Coroner </w:t>
            </w:r>
          </w:p>
        </w:tc>
        <w:tc>
          <w:tcPr>
            <w:tcW w:w="720" w:type="dxa"/>
            <w:vAlign w:val="bottom"/>
          </w:tcPr>
          <w:p w:rsidR="00CC2613" w:rsidRPr="00CC2613" w:rsidP="00CC2613" w14:paraId="0D6D9F3B" w14:textId="20EFB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NV</w:t>
            </w:r>
          </w:p>
        </w:tc>
      </w:tr>
      <w:tr w14:paraId="60FF3CEB" w14:textId="77777777" w:rsidTr="003C40CB">
        <w:tblPrEx>
          <w:tblW w:w="9355" w:type="dxa"/>
          <w:tblLook w:val="04A0"/>
        </w:tblPrEx>
        <w:tc>
          <w:tcPr>
            <w:tcW w:w="2407" w:type="dxa"/>
            <w:vAlign w:val="bottom"/>
          </w:tcPr>
          <w:p w:rsidR="00CC2613" w:rsidRPr="00CC2613" w:rsidP="00CC2613" w14:paraId="5A1D35B9" w14:textId="27120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2DA2D1CD" w14:textId="79017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131,749</w:t>
            </w:r>
          </w:p>
        </w:tc>
        <w:tc>
          <w:tcPr>
            <w:tcW w:w="5130" w:type="dxa"/>
            <w:vAlign w:val="bottom"/>
          </w:tcPr>
          <w:p w:rsidR="00CC2613" w:rsidRPr="00CC2613" w:rsidP="00CC2613" w14:paraId="5A5765E9" w14:textId="483EB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Missouri River Coroner</w:t>
            </w:r>
          </w:p>
        </w:tc>
        <w:tc>
          <w:tcPr>
            <w:tcW w:w="720" w:type="dxa"/>
            <w:vAlign w:val="bottom"/>
          </w:tcPr>
          <w:p w:rsidR="00CC2613" w:rsidRPr="00CC2613" w:rsidP="00CC2613" w14:paraId="65ED7D93" w14:textId="2995E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ND</w:t>
            </w:r>
          </w:p>
        </w:tc>
      </w:tr>
      <w:tr w14:paraId="04230B91" w14:textId="77777777" w:rsidTr="003C40CB">
        <w:tblPrEx>
          <w:tblW w:w="9355" w:type="dxa"/>
          <w:tblLook w:val="04A0"/>
        </w:tblPrEx>
        <w:tc>
          <w:tcPr>
            <w:tcW w:w="2407" w:type="dxa"/>
            <w:vAlign w:val="bottom"/>
          </w:tcPr>
          <w:p w:rsidR="00CC2613" w:rsidRPr="00CC2613" w:rsidP="00CC2613" w14:paraId="3AD0F8C9" w14:textId="771A2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7DE502B2" w14:textId="41741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44,291</w:t>
            </w:r>
          </w:p>
        </w:tc>
        <w:tc>
          <w:tcPr>
            <w:tcW w:w="5130" w:type="dxa"/>
            <w:vAlign w:val="bottom"/>
          </w:tcPr>
          <w:p w:rsidR="00CC2613" w:rsidRPr="00CC2613" w:rsidP="00CC2613" w14:paraId="55A55209" w14:textId="1CF19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Douglas County Coroner </w:t>
            </w:r>
          </w:p>
        </w:tc>
        <w:tc>
          <w:tcPr>
            <w:tcW w:w="720" w:type="dxa"/>
            <w:vAlign w:val="bottom"/>
          </w:tcPr>
          <w:p w:rsidR="00CC2613" w:rsidRPr="00CC2613" w:rsidP="00CC2613" w14:paraId="42490859" w14:textId="7B7C3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WA</w:t>
            </w:r>
          </w:p>
        </w:tc>
      </w:tr>
      <w:tr w14:paraId="7851ADA5" w14:textId="77777777" w:rsidTr="003C40CB">
        <w:tblPrEx>
          <w:tblW w:w="9355" w:type="dxa"/>
          <w:tblLook w:val="04A0"/>
        </w:tblPrEx>
        <w:tc>
          <w:tcPr>
            <w:tcW w:w="2407" w:type="dxa"/>
            <w:vAlign w:val="bottom"/>
          </w:tcPr>
          <w:p w:rsidR="00CC2613" w:rsidRPr="00CC2613" w:rsidP="00CC2613" w14:paraId="44989BB3" w14:textId="6805B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2D9A0443" w14:textId="3DF1B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23,060</w:t>
            </w:r>
          </w:p>
        </w:tc>
        <w:tc>
          <w:tcPr>
            <w:tcW w:w="5130" w:type="dxa"/>
            <w:vAlign w:val="bottom"/>
          </w:tcPr>
          <w:p w:rsidR="00CC2613" w:rsidRPr="00CC2613" w:rsidP="00CC2613" w14:paraId="08A236D7" w14:textId="7D497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Crawford County Coroner </w:t>
            </w:r>
          </w:p>
        </w:tc>
        <w:tc>
          <w:tcPr>
            <w:tcW w:w="720" w:type="dxa"/>
            <w:vAlign w:val="bottom"/>
          </w:tcPr>
          <w:p w:rsidR="00CC2613" w:rsidRPr="00CC2613" w:rsidP="00CC2613" w14:paraId="521E87EF" w14:textId="07834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MO</w:t>
            </w:r>
          </w:p>
        </w:tc>
      </w:tr>
      <w:tr w14:paraId="5623F95F" w14:textId="77777777" w:rsidTr="003C40CB">
        <w:tblPrEx>
          <w:tblW w:w="9355" w:type="dxa"/>
          <w:tblLook w:val="04A0"/>
        </w:tblPrEx>
        <w:tc>
          <w:tcPr>
            <w:tcW w:w="2407" w:type="dxa"/>
            <w:vAlign w:val="bottom"/>
          </w:tcPr>
          <w:p w:rsidR="00CC2613" w:rsidRPr="00CC2613" w:rsidP="00CC2613" w14:paraId="07133D48" w14:textId="517E9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0822B71F" w14:textId="7FA2E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129,523</w:t>
            </w:r>
          </w:p>
        </w:tc>
        <w:tc>
          <w:tcPr>
            <w:tcW w:w="5130" w:type="dxa"/>
            <w:vAlign w:val="bottom"/>
          </w:tcPr>
          <w:p w:rsidR="00CC2613" w:rsidRPr="00CC2613" w:rsidP="00CC2613" w14:paraId="36D7CA13" w14:textId="283FA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Skagit County Coroner </w:t>
            </w:r>
          </w:p>
        </w:tc>
        <w:tc>
          <w:tcPr>
            <w:tcW w:w="720" w:type="dxa"/>
            <w:vAlign w:val="bottom"/>
          </w:tcPr>
          <w:p w:rsidR="00CC2613" w:rsidRPr="00CC2613" w:rsidP="00CC2613" w14:paraId="0F6FFC05" w14:textId="2D7AA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WA</w:t>
            </w:r>
          </w:p>
        </w:tc>
      </w:tr>
      <w:tr w14:paraId="5C3291D6" w14:textId="77777777" w:rsidTr="003C40CB">
        <w:tblPrEx>
          <w:tblW w:w="9355" w:type="dxa"/>
          <w:tblLook w:val="04A0"/>
        </w:tblPrEx>
        <w:tc>
          <w:tcPr>
            <w:tcW w:w="2407" w:type="dxa"/>
            <w:vAlign w:val="bottom"/>
          </w:tcPr>
          <w:p w:rsidR="00CC2613" w:rsidRPr="00CC2613" w:rsidP="00CC2613" w14:paraId="6B8AA7AD" w14:textId="55A16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414F84DE" w14:textId="2C9DBA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20,948</w:t>
            </w:r>
          </w:p>
        </w:tc>
        <w:tc>
          <w:tcPr>
            <w:tcW w:w="5130" w:type="dxa"/>
            <w:vAlign w:val="bottom"/>
          </w:tcPr>
          <w:p w:rsidR="00CC2613" w:rsidRPr="00CC2613" w:rsidP="00CC2613" w14:paraId="22A91D94" w14:textId="73945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Fairfield County Coroner</w:t>
            </w:r>
          </w:p>
        </w:tc>
        <w:tc>
          <w:tcPr>
            <w:tcW w:w="720" w:type="dxa"/>
            <w:vAlign w:val="bottom"/>
          </w:tcPr>
          <w:p w:rsidR="00CC2613" w:rsidRPr="00CC2613" w:rsidP="00CC2613" w14:paraId="4CE083F1" w14:textId="7E8E9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SC</w:t>
            </w:r>
          </w:p>
        </w:tc>
      </w:tr>
      <w:tr w14:paraId="4963012D" w14:textId="77777777" w:rsidTr="003C40CB">
        <w:tblPrEx>
          <w:tblW w:w="9355" w:type="dxa"/>
          <w:tblLook w:val="04A0"/>
        </w:tblPrEx>
        <w:tc>
          <w:tcPr>
            <w:tcW w:w="2407" w:type="dxa"/>
            <w:vAlign w:val="bottom"/>
          </w:tcPr>
          <w:p w:rsidR="00CC2613" w:rsidRPr="00CC2613" w:rsidP="00CC2613" w14:paraId="20A5D234" w14:textId="3EF57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147DC6CC" w14:textId="6A31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17,400</w:t>
            </w:r>
          </w:p>
        </w:tc>
        <w:tc>
          <w:tcPr>
            <w:tcW w:w="5130" w:type="dxa"/>
            <w:vAlign w:val="bottom"/>
          </w:tcPr>
          <w:p w:rsidR="00CC2613" w:rsidRPr="00CC2613" w:rsidP="00CC2613" w14:paraId="38403289" w14:textId="61EF3F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Park County Coroner </w:t>
            </w:r>
          </w:p>
        </w:tc>
        <w:tc>
          <w:tcPr>
            <w:tcW w:w="720" w:type="dxa"/>
            <w:vAlign w:val="bottom"/>
          </w:tcPr>
          <w:p w:rsidR="00CC2613" w:rsidRPr="00CC2613" w:rsidP="00CC2613" w14:paraId="11DF94FA" w14:textId="5ED0C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w:t>
            </w:r>
          </w:p>
        </w:tc>
      </w:tr>
      <w:tr w14:paraId="181B445E" w14:textId="77777777" w:rsidTr="003C40CB">
        <w:tblPrEx>
          <w:tblW w:w="9355" w:type="dxa"/>
          <w:tblLook w:val="04A0"/>
        </w:tblPrEx>
        <w:tc>
          <w:tcPr>
            <w:tcW w:w="2407" w:type="dxa"/>
            <w:vAlign w:val="bottom"/>
          </w:tcPr>
          <w:p w:rsidR="00CC2613" w:rsidRPr="00CC2613" w:rsidP="00CC2613" w14:paraId="5AEF843E" w14:textId="0AD07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31B12CAB" w14:textId="79CEE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53,500</w:t>
            </w:r>
          </w:p>
        </w:tc>
        <w:tc>
          <w:tcPr>
            <w:tcW w:w="5130" w:type="dxa"/>
            <w:vAlign w:val="bottom"/>
          </w:tcPr>
          <w:p w:rsidR="00CC2613" w:rsidRPr="00CC2613" w:rsidP="00CC2613" w14:paraId="750B7668" w14:textId="54872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Fulton County Coroner </w:t>
            </w:r>
          </w:p>
        </w:tc>
        <w:tc>
          <w:tcPr>
            <w:tcW w:w="720" w:type="dxa"/>
            <w:vAlign w:val="bottom"/>
          </w:tcPr>
          <w:p w:rsidR="00CC2613" w:rsidRPr="00CC2613" w:rsidP="00CC2613" w14:paraId="53CA6F43" w14:textId="5547D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NY</w:t>
            </w:r>
          </w:p>
        </w:tc>
      </w:tr>
      <w:tr w14:paraId="1FC78461" w14:textId="77777777" w:rsidTr="003C40CB">
        <w:tblPrEx>
          <w:tblW w:w="9355" w:type="dxa"/>
          <w:tblLook w:val="04A0"/>
        </w:tblPrEx>
        <w:tc>
          <w:tcPr>
            <w:tcW w:w="2407" w:type="dxa"/>
            <w:vAlign w:val="bottom"/>
          </w:tcPr>
          <w:p w:rsidR="00CC2613" w:rsidRPr="00CC2613" w:rsidP="00CC2613" w14:paraId="63E18E24" w14:textId="410C0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5F16EF97" w14:textId="04AA4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375,000</w:t>
            </w:r>
          </w:p>
        </w:tc>
        <w:tc>
          <w:tcPr>
            <w:tcW w:w="5130" w:type="dxa"/>
            <w:vAlign w:val="bottom"/>
          </w:tcPr>
          <w:p w:rsidR="00CC2613" w:rsidRPr="00CC2613" w:rsidP="00CC2613" w14:paraId="0DF25F02" w14:textId="3AFC5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Lehigh County Coroner </w:t>
            </w:r>
          </w:p>
        </w:tc>
        <w:tc>
          <w:tcPr>
            <w:tcW w:w="720" w:type="dxa"/>
            <w:vAlign w:val="bottom"/>
          </w:tcPr>
          <w:p w:rsidR="00CC2613" w:rsidRPr="00CC2613" w:rsidP="00CC2613" w14:paraId="26337977" w14:textId="5D3F0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PA</w:t>
            </w:r>
          </w:p>
        </w:tc>
      </w:tr>
      <w:tr w14:paraId="07887BC5" w14:textId="77777777" w:rsidTr="003C40CB">
        <w:tblPrEx>
          <w:tblW w:w="9355" w:type="dxa"/>
          <w:tblLook w:val="04A0"/>
        </w:tblPrEx>
        <w:tc>
          <w:tcPr>
            <w:tcW w:w="2407" w:type="dxa"/>
            <w:vAlign w:val="bottom"/>
          </w:tcPr>
          <w:p w:rsidR="00CC2613" w:rsidRPr="00CC2613" w:rsidP="00CC2613" w14:paraId="68C81B36" w14:textId="551A9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5FC8C2A1" w14:textId="78AD3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16,500</w:t>
            </w:r>
          </w:p>
        </w:tc>
        <w:tc>
          <w:tcPr>
            <w:tcW w:w="5130" w:type="dxa"/>
            <w:vAlign w:val="bottom"/>
          </w:tcPr>
          <w:p w:rsidR="00CC2613" w:rsidRPr="00CC2613" w:rsidP="00CC2613" w14:paraId="33DF766D" w14:textId="27B17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Madison County Coroner </w:t>
            </w:r>
          </w:p>
        </w:tc>
        <w:tc>
          <w:tcPr>
            <w:tcW w:w="720" w:type="dxa"/>
            <w:vAlign w:val="bottom"/>
          </w:tcPr>
          <w:p w:rsidR="00CC2613" w:rsidRPr="00CC2613" w:rsidP="00CC2613" w14:paraId="1ECF0892" w14:textId="5DD85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ID</w:t>
            </w:r>
          </w:p>
        </w:tc>
      </w:tr>
      <w:tr w14:paraId="504262CC" w14:textId="77777777" w:rsidTr="003C40CB">
        <w:tblPrEx>
          <w:tblW w:w="9355" w:type="dxa"/>
          <w:tblLook w:val="04A0"/>
        </w:tblPrEx>
        <w:tc>
          <w:tcPr>
            <w:tcW w:w="2407" w:type="dxa"/>
            <w:vAlign w:val="bottom"/>
          </w:tcPr>
          <w:p w:rsidR="00CC2613" w:rsidRPr="00CC2613" w:rsidP="00CC2613" w14:paraId="5DCC8278" w14:textId="4F920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09B61030" w14:textId="2FCEA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61,700</w:t>
            </w:r>
          </w:p>
        </w:tc>
        <w:tc>
          <w:tcPr>
            <w:tcW w:w="5130" w:type="dxa"/>
            <w:vAlign w:val="bottom"/>
          </w:tcPr>
          <w:p w:rsidR="00CC2613" w:rsidRPr="00CC2613" w:rsidP="00CC2613" w14:paraId="2897A5B4" w14:textId="2606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Garfield County Coroner</w:t>
            </w:r>
          </w:p>
        </w:tc>
        <w:tc>
          <w:tcPr>
            <w:tcW w:w="720" w:type="dxa"/>
            <w:vAlign w:val="bottom"/>
          </w:tcPr>
          <w:p w:rsidR="00CC2613" w:rsidRPr="00CC2613" w:rsidP="00CC2613" w14:paraId="5CBCC0EE" w14:textId="5D9B8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w:t>
            </w:r>
          </w:p>
        </w:tc>
      </w:tr>
      <w:tr w14:paraId="73A6FC34" w14:textId="77777777" w:rsidTr="003C40CB">
        <w:tblPrEx>
          <w:tblW w:w="9355" w:type="dxa"/>
          <w:tblLook w:val="04A0"/>
        </w:tblPrEx>
        <w:tc>
          <w:tcPr>
            <w:tcW w:w="2407" w:type="dxa"/>
            <w:vAlign w:val="bottom"/>
          </w:tcPr>
          <w:p w:rsidR="00CC2613" w:rsidRPr="00CC2613" w:rsidP="00CC2613" w14:paraId="184EAD43" w14:textId="33E37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1D59A50E" w14:textId="38FCF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764,000</w:t>
            </w:r>
          </w:p>
        </w:tc>
        <w:tc>
          <w:tcPr>
            <w:tcW w:w="5130" w:type="dxa"/>
            <w:vAlign w:val="bottom"/>
          </w:tcPr>
          <w:p w:rsidR="00CC2613" w:rsidRPr="00CC2613" w:rsidP="00CC2613" w14:paraId="131DC907" w14:textId="5AE9B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San Mateo County, Office of the Coroner</w:t>
            </w:r>
          </w:p>
        </w:tc>
        <w:tc>
          <w:tcPr>
            <w:tcW w:w="720" w:type="dxa"/>
            <w:vAlign w:val="bottom"/>
          </w:tcPr>
          <w:p w:rsidR="00CC2613" w:rsidRPr="00CC2613" w:rsidP="00CC2613" w14:paraId="78B5DB32" w14:textId="53706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CA</w:t>
            </w:r>
          </w:p>
        </w:tc>
      </w:tr>
      <w:tr w14:paraId="3083C250" w14:textId="77777777" w:rsidTr="003C40CB">
        <w:tblPrEx>
          <w:tblW w:w="9355" w:type="dxa"/>
          <w:tblLook w:val="04A0"/>
        </w:tblPrEx>
        <w:tc>
          <w:tcPr>
            <w:tcW w:w="2407" w:type="dxa"/>
            <w:vAlign w:val="bottom"/>
          </w:tcPr>
          <w:p w:rsidR="00CC2613" w:rsidRPr="00CC2613" w:rsidP="00CC2613" w14:paraId="3EBAD542" w14:textId="1997E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20942663" w14:textId="746C6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53,500</w:t>
            </w:r>
          </w:p>
        </w:tc>
        <w:tc>
          <w:tcPr>
            <w:tcW w:w="5130" w:type="dxa"/>
            <w:vAlign w:val="bottom"/>
          </w:tcPr>
          <w:p w:rsidR="00CC2613" w:rsidRPr="00CC2613" w:rsidP="00CC2613" w14:paraId="6E915C88" w14:textId="7CF2A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Coffee County Coroner</w:t>
            </w:r>
          </w:p>
        </w:tc>
        <w:tc>
          <w:tcPr>
            <w:tcW w:w="720" w:type="dxa"/>
            <w:vAlign w:val="bottom"/>
          </w:tcPr>
          <w:p w:rsidR="00CC2613" w:rsidRPr="00CC2613" w:rsidP="00CC2613" w14:paraId="5997D2ED" w14:textId="2BEA0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AL</w:t>
            </w:r>
          </w:p>
        </w:tc>
      </w:tr>
      <w:tr w14:paraId="70835453" w14:textId="77777777" w:rsidTr="003C40CB">
        <w:tblPrEx>
          <w:tblW w:w="9355" w:type="dxa"/>
          <w:tblLook w:val="04A0"/>
        </w:tblPrEx>
        <w:tc>
          <w:tcPr>
            <w:tcW w:w="2407" w:type="dxa"/>
            <w:vAlign w:val="bottom"/>
          </w:tcPr>
          <w:p w:rsidR="00CC2613" w:rsidRPr="00CC2613" w:rsidP="00CC2613" w14:paraId="11C14DCC" w14:textId="4CD74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Coroner</w:t>
            </w:r>
          </w:p>
        </w:tc>
        <w:tc>
          <w:tcPr>
            <w:tcW w:w="1098" w:type="dxa"/>
            <w:vAlign w:val="bottom"/>
          </w:tcPr>
          <w:p w:rsidR="00CC2613" w:rsidRPr="00CC2613" w:rsidP="00CC2613" w14:paraId="3FD23E83" w14:textId="7AEF0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495,000</w:t>
            </w:r>
          </w:p>
        </w:tc>
        <w:tc>
          <w:tcPr>
            <w:tcW w:w="5130" w:type="dxa"/>
            <w:vAlign w:val="bottom"/>
          </w:tcPr>
          <w:p w:rsidR="00CC2613" w:rsidRPr="00CC2613" w:rsidP="00CC2613" w14:paraId="7FB4F24A" w14:textId="3EFE4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Ada County Coroner Office</w:t>
            </w:r>
          </w:p>
        </w:tc>
        <w:tc>
          <w:tcPr>
            <w:tcW w:w="720" w:type="dxa"/>
            <w:vAlign w:val="bottom"/>
          </w:tcPr>
          <w:p w:rsidR="00CC2613" w:rsidRPr="00CC2613" w:rsidP="00CC2613" w14:paraId="5BC004C1" w14:textId="3D483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ID</w:t>
            </w:r>
          </w:p>
        </w:tc>
      </w:tr>
      <w:tr w14:paraId="198AD63F" w14:textId="77777777" w:rsidTr="003C40CB">
        <w:tblPrEx>
          <w:tblW w:w="9355" w:type="dxa"/>
          <w:tblLook w:val="04A0"/>
        </w:tblPrEx>
        <w:tc>
          <w:tcPr>
            <w:tcW w:w="2407" w:type="dxa"/>
            <w:vAlign w:val="bottom"/>
          </w:tcPr>
          <w:p w:rsidR="00CC2613" w:rsidRPr="00CC2613" w:rsidP="00CC2613" w14:paraId="4F7F67E8" w14:textId="15844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65C20BE4" w14:textId="0E11B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106,480</w:t>
            </w:r>
          </w:p>
        </w:tc>
        <w:tc>
          <w:tcPr>
            <w:tcW w:w="5130" w:type="dxa"/>
            <w:vAlign w:val="bottom"/>
          </w:tcPr>
          <w:p w:rsidR="00CC2613" w:rsidRPr="00CC2613" w:rsidP="00CC2613" w14:paraId="604F1726" w14:textId="57FF3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Walworth County Medical Examiner’s Office</w:t>
            </w:r>
          </w:p>
        </w:tc>
        <w:tc>
          <w:tcPr>
            <w:tcW w:w="720" w:type="dxa"/>
            <w:vAlign w:val="bottom"/>
          </w:tcPr>
          <w:p w:rsidR="00CC2613" w:rsidRPr="00CC2613" w:rsidP="00CC2613" w14:paraId="5537E72B" w14:textId="76119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WI</w:t>
            </w:r>
          </w:p>
        </w:tc>
      </w:tr>
      <w:tr w14:paraId="61CC1A33" w14:textId="77777777" w:rsidTr="003C40CB">
        <w:tblPrEx>
          <w:tblW w:w="9355" w:type="dxa"/>
          <w:tblLook w:val="04A0"/>
        </w:tblPrEx>
        <w:tc>
          <w:tcPr>
            <w:tcW w:w="2407" w:type="dxa"/>
            <w:vAlign w:val="bottom"/>
          </w:tcPr>
          <w:p w:rsidR="00CC2613" w:rsidRPr="00CC2613" w:rsidP="00CC2613" w14:paraId="7E49E1FC" w14:textId="1B174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736F7C1A" w14:textId="668D2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477,000</w:t>
            </w:r>
          </w:p>
        </w:tc>
        <w:tc>
          <w:tcPr>
            <w:tcW w:w="5130" w:type="dxa"/>
            <w:vAlign w:val="bottom"/>
          </w:tcPr>
          <w:p w:rsidR="00CC2613" w:rsidRPr="00CC2613" w:rsidP="00CC2613" w14:paraId="16F8DF85" w14:textId="0D244E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olor w:val="000000"/>
                <w:sz w:val="22"/>
                <w:szCs w:val="22"/>
              </w:rPr>
              <w:t xml:space="preserve">Onondaga County </w:t>
            </w:r>
            <w:r w:rsidRPr="00CC2613">
              <w:rPr>
                <w:rFonts w:ascii="Times New Roman" w:hAnsi="Times New Roman"/>
                <w:color w:val="000000"/>
                <w:sz w:val="22"/>
                <w:szCs w:val="22"/>
              </w:rPr>
              <w:t>Office Medical Examiner</w:t>
            </w:r>
            <w:r>
              <w:rPr>
                <w:rFonts w:ascii="Times New Roman" w:hAnsi="Times New Roman"/>
                <w:color w:val="000000"/>
                <w:sz w:val="22"/>
                <w:szCs w:val="22"/>
              </w:rPr>
              <w:t>’s Office</w:t>
            </w:r>
          </w:p>
        </w:tc>
        <w:tc>
          <w:tcPr>
            <w:tcW w:w="720" w:type="dxa"/>
            <w:vAlign w:val="bottom"/>
          </w:tcPr>
          <w:p w:rsidR="00CC2613" w:rsidRPr="00CC2613" w:rsidP="00CC2613" w14:paraId="64A39E59" w14:textId="285BE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NY</w:t>
            </w:r>
          </w:p>
        </w:tc>
      </w:tr>
      <w:tr w14:paraId="690304CF" w14:textId="77777777" w:rsidTr="003C40CB">
        <w:tblPrEx>
          <w:tblW w:w="9355" w:type="dxa"/>
          <w:tblLook w:val="04A0"/>
        </w:tblPrEx>
        <w:tc>
          <w:tcPr>
            <w:tcW w:w="2407" w:type="dxa"/>
            <w:vAlign w:val="bottom"/>
          </w:tcPr>
          <w:p w:rsidR="00CC2613" w:rsidRPr="00CC2613" w:rsidP="00CC2613" w14:paraId="5BFED680" w14:textId="68BED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5A77E475" w14:textId="7B9D6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13,130</w:t>
            </w:r>
          </w:p>
        </w:tc>
        <w:tc>
          <w:tcPr>
            <w:tcW w:w="5130" w:type="dxa"/>
            <w:vAlign w:val="bottom"/>
          </w:tcPr>
          <w:p w:rsidR="00CC2613" w:rsidRPr="00CC2613" w:rsidP="00CC2613" w14:paraId="4484554A" w14:textId="592F05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Cass County Medical Examiner </w:t>
            </w:r>
          </w:p>
        </w:tc>
        <w:tc>
          <w:tcPr>
            <w:tcW w:w="720" w:type="dxa"/>
            <w:vAlign w:val="bottom"/>
          </w:tcPr>
          <w:p w:rsidR="00CC2613" w:rsidRPr="00CC2613" w:rsidP="00CC2613" w14:paraId="23C8CA3B" w14:textId="42780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IA</w:t>
            </w:r>
          </w:p>
        </w:tc>
      </w:tr>
      <w:tr w14:paraId="75EFE835" w14:textId="77777777" w:rsidTr="003C40CB">
        <w:tblPrEx>
          <w:tblW w:w="9355" w:type="dxa"/>
          <w:tblLook w:val="04A0"/>
        </w:tblPrEx>
        <w:tc>
          <w:tcPr>
            <w:tcW w:w="2407" w:type="dxa"/>
            <w:vAlign w:val="bottom"/>
          </w:tcPr>
          <w:p w:rsidR="00CC2613" w:rsidRPr="00CC2613" w:rsidP="00CC2613" w14:paraId="3F5117B5" w14:textId="11F3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25074ADB" w14:textId="343A2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1,940,000</w:t>
            </w:r>
          </w:p>
        </w:tc>
        <w:tc>
          <w:tcPr>
            <w:tcW w:w="5130" w:type="dxa"/>
            <w:vAlign w:val="bottom"/>
          </w:tcPr>
          <w:p w:rsidR="00CC2613" w:rsidRPr="00CC2613" w:rsidP="00CC2613" w14:paraId="23CF6DB4" w14:textId="36A4B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Santa Clara County Medical Examiner-Coroner Office </w:t>
            </w:r>
          </w:p>
        </w:tc>
        <w:tc>
          <w:tcPr>
            <w:tcW w:w="720" w:type="dxa"/>
            <w:vAlign w:val="bottom"/>
          </w:tcPr>
          <w:p w:rsidR="00CC2613" w:rsidRPr="00CC2613" w:rsidP="00CC2613" w14:paraId="67B06A6E" w14:textId="68DA8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CA</w:t>
            </w:r>
          </w:p>
        </w:tc>
      </w:tr>
      <w:tr w14:paraId="1FC5EC1D" w14:textId="77777777" w:rsidTr="003C40CB">
        <w:tblPrEx>
          <w:tblW w:w="9355" w:type="dxa"/>
          <w:tblLook w:val="04A0"/>
        </w:tblPrEx>
        <w:tc>
          <w:tcPr>
            <w:tcW w:w="2407" w:type="dxa"/>
            <w:vAlign w:val="bottom"/>
          </w:tcPr>
          <w:p w:rsidR="00CC2613" w:rsidRPr="00CC2613" w:rsidP="00CC2613" w14:paraId="32334DB7" w14:textId="22A66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75393AE5" w14:textId="63E2B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52,600</w:t>
            </w:r>
          </w:p>
        </w:tc>
        <w:tc>
          <w:tcPr>
            <w:tcW w:w="5130" w:type="dxa"/>
            <w:vAlign w:val="bottom"/>
          </w:tcPr>
          <w:p w:rsidR="00CC2613" w:rsidRPr="00CC2613" w:rsidP="00CC2613" w14:paraId="2F956618" w14:textId="41FA7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Medical Examiner’s Division, Columbia County </w:t>
            </w:r>
          </w:p>
        </w:tc>
        <w:tc>
          <w:tcPr>
            <w:tcW w:w="720" w:type="dxa"/>
            <w:vAlign w:val="bottom"/>
          </w:tcPr>
          <w:p w:rsidR="00CC2613" w:rsidRPr="00CC2613" w:rsidP="00CC2613" w14:paraId="117A66C9" w14:textId="02AFF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OR</w:t>
            </w:r>
          </w:p>
        </w:tc>
      </w:tr>
      <w:tr w14:paraId="667CF409" w14:textId="77777777" w:rsidTr="003C40CB">
        <w:tblPrEx>
          <w:tblW w:w="9355" w:type="dxa"/>
          <w:tblLook w:val="04A0"/>
        </w:tblPrEx>
        <w:tc>
          <w:tcPr>
            <w:tcW w:w="2407" w:type="dxa"/>
            <w:vAlign w:val="bottom"/>
          </w:tcPr>
          <w:p w:rsidR="00CC2613" w:rsidRPr="00CC2613" w:rsidP="00CC2613" w14:paraId="1C53BC29" w14:textId="34A30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5366341B" w14:textId="6DE1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607,000</w:t>
            </w:r>
          </w:p>
        </w:tc>
        <w:tc>
          <w:tcPr>
            <w:tcW w:w="5130" w:type="dxa"/>
            <w:vAlign w:val="bottom"/>
          </w:tcPr>
          <w:p w:rsidR="00CC2613" w:rsidRPr="00CC2613" w:rsidP="00CC2613" w14:paraId="12E9C707" w14:textId="6BFA1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District 1 Medical Examiner' Office (FL) </w:t>
            </w:r>
          </w:p>
        </w:tc>
        <w:tc>
          <w:tcPr>
            <w:tcW w:w="720" w:type="dxa"/>
            <w:vAlign w:val="bottom"/>
          </w:tcPr>
          <w:p w:rsidR="00CC2613" w:rsidRPr="00CC2613" w:rsidP="00CC2613" w14:paraId="2D851B81" w14:textId="7506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FL</w:t>
            </w:r>
          </w:p>
        </w:tc>
      </w:tr>
      <w:tr w14:paraId="07E1B9BF" w14:textId="77777777" w:rsidTr="003C40CB">
        <w:tblPrEx>
          <w:tblW w:w="9355" w:type="dxa"/>
          <w:tblLook w:val="04A0"/>
        </w:tblPrEx>
        <w:tc>
          <w:tcPr>
            <w:tcW w:w="2407" w:type="dxa"/>
            <w:vAlign w:val="bottom"/>
          </w:tcPr>
          <w:p w:rsidR="00CC2613" w:rsidRPr="00CC2613" w:rsidP="00CC2613" w14:paraId="7A774722" w14:textId="053EB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4CF0E820" w14:textId="53231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806,528</w:t>
            </w:r>
          </w:p>
        </w:tc>
        <w:tc>
          <w:tcPr>
            <w:tcW w:w="5130" w:type="dxa"/>
            <w:vAlign w:val="bottom"/>
          </w:tcPr>
          <w:p w:rsidR="00CC2613" w:rsidRPr="00CC2613" w:rsidP="00CC2613" w14:paraId="5105E85E" w14:textId="0372E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Mid Michigan</w:t>
            </w:r>
            <w:r w:rsidRPr="00CC2613">
              <w:rPr>
                <w:rFonts w:ascii="Times New Roman" w:hAnsi="Times New Roman"/>
                <w:color w:val="000000"/>
                <w:sz w:val="22"/>
                <w:szCs w:val="22"/>
              </w:rPr>
              <w:t xml:space="preserve"> Medical Examiner Group </w:t>
            </w:r>
          </w:p>
        </w:tc>
        <w:tc>
          <w:tcPr>
            <w:tcW w:w="720" w:type="dxa"/>
            <w:vAlign w:val="bottom"/>
          </w:tcPr>
          <w:p w:rsidR="00CC2613" w:rsidRPr="00CC2613" w:rsidP="00CC2613" w14:paraId="6AB048B2" w14:textId="27A4F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MI</w:t>
            </w:r>
          </w:p>
        </w:tc>
      </w:tr>
      <w:tr w14:paraId="4CEAFDDB" w14:textId="77777777" w:rsidTr="003C40CB">
        <w:tblPrEx>
          <w:tblW w:w="9355" w:type="dxa"/>
          <w:tblLook w:val="04A0"/>
        </w:tblPrEx>
        <w:tc>
          <w:tcPr>
            <w:tcW w:w="2407" w:type="dxa"/>
            <w:vAlign w:val="bottom"/>
          </w:tcPr>
          <w:p w:rsidR="00CC2613" w:rsidRPr="00CC2613" w:rsidP="00CC2613" w14:paraId="439FF8B6" w14:textId="7EEAE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6B1544B1" w14:textId="1412D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402,500</w:t>
            </w:r>
          </w:p>
        </w:tc>
        <w:tc>
          <w:tcPr>
            <w:tcW w:w="5130" w:type="dxa"/>
            <w:vAlign w:val="bottom"/>
          </w:tcPr>
          <w:p w:rsidR="00CC2613" w:rsidRPr="00CC2613" w:rsidP="00CC2613" w14:paraId="29F92DB1" w14:textId="31846F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Office of the Regional Medical Examiner (Franklin, Jefferson, St Charles Counties)</w:t>
            </w:r>
          </w:p>
        </w:tc>
        <w:tc>
          <w:tcPr>
            <w:tcW w:w="720" w:type="dxa"/>
            <w:vAlign w:val="bottom"/>
          </w:tcPr>
          <w:p w:rsidR="00CC2613" w:rsidRPr="00CC2613" w:rsidP="00CC2613" w14:paraId="575AAEA6" w14:textId="40B64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MO</w:t>
            </w:r>
          </w:p>
        </w:tc>
      </w:tr>
      <w:tr w14:paraId="22F4EF0B" w14:textId="77777777" w:rsidTr="003C40CB">
        <w:tblPrEx>
          <w:tblW w:w="9355" w:type="dxa"/>
          <w:tblLook w:val="04A0"/>
        </w:tblPrEx>
        <w:tc>
          <w:tcPr>
            <w:tcW w:w="2407" w:type="dxa"/>
            <w:vAlign w:val="bottom"/>
          </w:tcPr>
          <w:p w:rsidR="00CC2613" w:rsidRPr="00CC2613" w:rsidP="00CC2613" w14:paraId="14CABE7F" w14:textId="2CBBA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40FABCE4" w14:textId="355E5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1,280,000</w:t>
            </w:r>
          </w:p>
        </w:tc>
        <w:tc>
          <w:tcPr>
            <w:tcW w:w="5130" w:type="dxa"/>
            <w:vAlign w:val="bottom"/>
          </w:tcPr>
          <w:p w:rsidR="00CC2613" w:rsidRPr="00CC2613" w:rsidP="00CC2613" w14:paraId="6E2D5DDA" w14:textId="69273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Hennepin County Medical Examiner’s Office</w:t>
            </w:r>
          </w:p>
        </w:tc>
        <w:tc>
          <w:tcPr>
            <w:tcW w:w="720" w:type="dxa"/>
            <w:vAlign w:val="bottom"/>
          </w:tcPr>
          <w:p w:rsidR="00CC2613" w:rsidRPr="00CC2613" w:rsidP="00CC2613" w14:paraId="5D766B08" w14:textId="2D95E0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MN</w:t>
            </w:r>
          </w:p>
        </w:tc>
      </w:tr>
      <w:tr w14:paraId="16DEFD14" w14:textId="77777777" w:rsidTr="003C40CB">
        <w:tblPrEx>
          <w:tblW w:w="9355" w:type="dxa"/>
          <w:tblLook w:val="04A0"/>
        </w:tblPrEx>
        <w:tc>
          <w:tcPr>
            <w:tcW w:w="2407" w:type="dxa"/>
            <w:vAlign w:val="bottom"/>
          </w:tcPr>
          <w:p w:rsidR="00CC2613" w:rsidRPr="00CC2613" w:rsidP="00CC2613" w14:paraId="6E160B90" w14:textId="69E50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5EC688E0" w14:textId="11BF8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69,170</w:t>
            </w:r>
          </w:p>
        </w:tc>
        <w:tc>
          <w:tcPr>
            <w:tcW w:w="5130" w:type="dxa"/>
            <w:vAlign w:val="bottom"/>
          </w:tcPr>
          <w:p w:rsidR="00CC2613" w:rsidRPr="00CC2613" w:rsidP="00CC2613" w14:paraId="017DD311" w14:textId="2ACAD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Regional ME</w:t>
            </w:r>
            <w:r w:rsidR="003C40CB">
              <w:rPr>
                <w:rFonts w:ascii="Times New Roman" w:hAnsi="Times New Roman"/>
                <w:color w:val="000000"/>
                <w:sz w:val="22"/>
                <w:szCs w:val="22"/>
              </w:rPr>
              <w:t xml:space="preserve">, </w:t>
            </w:r>
            <w:r w:rsidRPr="00CC2613">
              <w:rPr>
                <w:rFonts w:ascii="Times New Roman" w:hAnsi="Times New Roman"/>
                <w:color w:val="000000"/>
                <w:sz w:val="22"/>
                <w:szCs w:val="22"/>
              </w:rPr>
              <w:t xml:space="preserve">University of North Dakota (and Coroner for several </w:t>
            </w:r>
            <w:r w:rsidR="003C40CB">
              <w:rPr>
                <w:rFonts w:ascii="Times New Roman" w:hAnsi="Times New Roman"/>
                <w:color w:val="000000"/>
                <w:sz w:val="22"/>
                <w:szCs w:val="22"/>
              </w:rPr>
              <w:t>South Dakota</w:t>
            </w:r>
            <w:r w:rsidRPr="00CC2613">
              <w:rPr>
                <w:rFonts w:ascii="Times New Roman" w:hAnsi="Times New Roman"/>
                <w:color w:val="000000"/>
                <w:sz w:val="22"/>
                <w:szCs w:val="22"/>
              </w:rPr>
              <w:t xml:space="preserve"> counties)</w:t>
            </w:r>
          </w:p>
        </w:tc>
        <w:tc>
          <w:tcPr>
            <w:tcW w:w="720" w:type="dxa"/>
            <w:vAlign w:val="bottom"/>
          </w:tcPr>
          <w:p w:rsidR="00CC2613" w:rsidRPr="00CC2613" w:rsidP="00CC2613" w14:paraId="5316F6E9" w14:textId="520D9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ND</w:t>
            </w:r>
          </w:p>
        </w:tc>
      </w:tr>
      <w:tr w14:paraId="0C9A238F" w14:textId="77777777" w:rsidTr="003C40CB">
        <w:tblPrEx>
          <w:tblW w:w="9355" w:type="dxa"/>
          <w:tblLook w:val="04A0"/>
        </w:tblPrEx>
        <w:tc>
          <w:tcPr>
            <w:tcW w:w="2407" w:type="dxa"/>
            <w:vAlign w:val="bottom"/>
          </w:tcPr>
          <w:p w:rsidR="00CC2613" w:rsidRPr="00CC2613" w:rsidP="00CC2613" w14:paraId="4B0167F5" w14:textId="6E5D4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0FFDF4BA" w14:textId="0CAE2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4,240,000</w:t>
            </w:r>
          </w:p>
        </w:tc>
        <w:tc>
          <w:tcPr>
            <w:tcW w:w="5130" w:type="dxa"/>
            <w:vAlign w:val="bottom"/>
          </w:tcPr>
          <w:p w:rsidR="00CC2613" w:rsidRPr="00CC2613" w:rsidP="00CC2613" w14:paraId="1CA24B6E" w14:textId="6564F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Oregon State Police</w:t>
            </w:r>
            <w:r w:rsidR="003C40CB">
              <w:rPr>
                <w:rFonts w:ascii="Times New Roman" w:hAnsi="Times New Roman"/>
                <w:color w:val="000000"/>
                <w:sz w:val="22"/>
                <w:szCs w:val="22"/>
              </w:rPr>
              <w:t>,</w:t>
            </w:r>
            <w:r w:rsidRPr="00CC2613">
              <w:rPr>
                <w:rFonts w:ascii="Times New Roman" w:hAnsi="Times New Roman"/>
                <w:color w:val="000000"/>
                <w:sz w:val="22"/>
                <w:szCs w:val="22"/>
              </w:rPr>
              <w:t xml:space="preserve"> Medical Examiner Division</w:t>
            </w:r>
          </w:p>
        </w:tc>
        <w:tc>
          <w:tcPr>
            <w:tcW w:w="720" w:type="dxa"/>
            <w:vAlign w:val="bottom"/>
          </w:tcPr>
          <w:p w:rsidR="00CC2613" w:rsidRPr="00CC2613" w:rsidP="00CC2613" w14:paraId="193475DB" w14:textId="35564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OR</w:t>
            </w:r>
          </w:p>
        </w:tc>
      </w:tr>
      <w:tr w14:paraId="18A8217F" w14:textId="77777777" w:rsidTr="003C40CB">
        <w:tblPrEx>
          <w:tblW w:w="9355" w:type="dxa"/>
          <w:tblLook w:val="04A0"/>
        </w:tblPrEx>
        <w:tc>
          <w:tcPr>
            <w:tcW w:w="2407" w:type="dxa"/>
            <w:vAlign w:val="bottom"/>
          </w:tcPr>
          <w:p w:rsidR="00CC2613" w:rsidRPr="00CC2613" w:rsidP="00CC2613" w14:paraId="2AD4C553" w14:textId="4AD94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3FA2C8DC" w14:textId="0D2A5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1,360,000</w:t>
            </w:r>
          </w:p>
        </w:tc>
        <w:tc>
          <w:tcPr>
            <w:tcW w:w="5130" w:type="dxa"/>
            <w:vAlign w:val="bottom"/>
          </w:tcPr>
          <w:p w:rsidR="00CC2613" w:rsidRPr="00CC2613" w:rsidP="00CC2613" w14:paraId="6300733E" w14:textId="1AEE4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Office of Chief Medical Examiner </w:t>
            </w:r>
            <w:r w:rsidR="003C40CB">
              <w:rPr>
                <w:rFonts w:ascii="Times New Roman" w:hAnsi="Times New Roman"/>
                <w:color w:val="000000"/>
                <w:sz w:val="22"/>
                <w:szCs w:val="22"/>
              </w:rPr>
              <w:t>for Maine</w:t>
            </w:r>
          </w:p>
        </w:tc>
        <w:tc>
          <w:tcPr>
            <w:tcW w:w="720" w:type="dxa"/>
            <w:vAlign w:val="bottom"/>
          </w:tcPr>
          <w:p w:rsidR="00CC2613" w:rsidRPr="00CC2613" w:rsidP="00CC2613" w14:paraId="2351EAC4" w14:textId="336B8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w:t>
            </w:r>
          </w:p>
        </w:tc>
      </w:tr>
      <w:tr w14:paraId="2AF490C4" w14:textId="77777777" w:rsidTr="003C40CB">
        <w:tblPrEx>
          <w:tblW w:w="9355" w:type="dxa"/>
          <w:tblLook w:val="04A0"/>
        </w:tblPrEx>
        <w:tc>
          <w:tcPr>
            <w:tcW w:w="2407" w:type="dxa"/>
            <w:vAlign w:val="bottom"/>
          </w:tcPr>
          <w:p w:rsidR="00CC2613" w:rsidRPr="00CC2613" w:rsidP="00CC2613" w14:paraId="0341F0AF" w14:textId="3FBAB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13BB1290" w14:textId="79AEF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733,000</w:t>
            </w:r>
          </w:p>
        </w:tc>
        <w:tc>
          <w:tcPr>
            <w:tcW w:w="5130" w:type="dxa"/>
            <w:vAlign w:val="bottom"/>
          </w:tcPr>
          <w:p w:rsidR="00CC2613" w:rsidRPr="00CC2613" w:rsidP="00CC2613" w14:paraId="0AC3DF82" w14:textId="09A4C6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State Medical Examiner Office </w:t>
            </w:r>
            <w:r w:rsidR="003C40CB">
              <w:rPr>
                <w:rFonts w:ascii="Times New Roman" w:hAnsi="Times New Roman"/>
                <w:color w:val="000000"/>
                <w:sz w:val="22"/>
                <w:szCs w:val="22"/>
              </w:rPr>
              <w:t>for Alaska</w:t>
            </w:r>
          </w:p>
        </w:tc>
        <w:tc>
          <w:tcPr>
            <w:tcW w:w="720" w:type="dxa"/>
            <w:vAlign w:val="bottom"/>
          </w:tcPr>
          <w:p w:rsidR="00CC2613" w:rsidRPr="00CC2613" w:rsidP="00CC2613" w14:paraId="17622365" w14:textId="7A391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AK</w:t>
            </w:r>
          </w:p>
        </w:tc>
      </w:tr>
      <w:tr w14:paraId="0CE04859" w14:textId="77777777" w:rsidTr="003C40CB">
        <w:tblPrEx>
          <w:tblW w:w="9355" w:type="dxa"/>
          <w:tblLook w:val="04A0"/>
        </w:tblPrEx>
        <w:tc>
          <w:tcPr>
            <w:tcW w:w="2407" w:type="dxa"/>
            <w:vAlign w:val="bottom"/>
          </w:tcPr>
          <w:p w:rsidR="00CC2613" w:rsidRPr="00CC2613" w:rsidP="00CC2613" w14:paraId="18359C3A" w14:textId="7C315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Medical Examiner</w:t>
            </w:r>
          </w:p>
        </w:tc>
        <w:tc>
          <w:tcPr>
            <w:tcW w:w="1098" w:type="dxa"/>
            <w:vAlign w:val="bottom"/>
          </w:tcPr>
          <w:p w:rsidR="00CC2613" w:rsidRPr="00CC2613" w:rsidP="00CC2613" w14:paraId="5BB72BE5" w14:textId="0B122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3,610,000</w:t>
            </w:r>
          </w:p>
        </w:tc>
        <w:tc>
          <w:tcPr>
            <w:tcW w:w="5130" w:type="dxa"/>
            <w:vAlign w:val="bottom"/>
          </w:tcPr>
          <w:p w:rsidR="00CC2613" w:rsidRPr="00CC2613" w:rsidP="00CC2613" w14:paraId="1D1BCD54" w14:textId="0A556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 xml:space="preserve">Office of the Chief Medical Examiner </w:t>
            </w:r>
            <w:r w:rsidR="003C40CB">
              <w:rPr>
                <w:rFonts w:ascii="Times New Roman" w:hAnsi="Times New Roman"/>
                <w:color w:val="000000"/>
                <w:sz w:val="22"/>
                <w:szCs w:val="22"/>
              </w:rPr>
              <w:t>for Connecticut</w:t>
            </w:r>
          </w:p>
        </w:tc>
        <w:tc>
          <w:tcPr>
            <w:tcW w:w="720" w:type="dxa"/>
            <w:vAlign w:val="bottom"/>
          </w:tcPr>
          <w:p w:rsidR="00CC2613" w:rsidRPr="00CC2613" w:rsidP="00CC2613" w14:paraId="4EA0E0E3" w14:textId="31049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CT</w:t>
            </w:r>
          </w:p>
        </w:tc>
      </w:tr>
      <w:tr w14:paraId="199EE5FA" w14:textId="77777777" w:rsidTr="003C40CB">
        <w:tblPrEx>
          <w:tblW w:w="9355" w:type="dxa"/>
          <w:tblLook w:val="04A0"/>
        </w:tblPrEx>
        <w:tc>
          <w:tcPr>
            <w:tcW w:w="2407" w:type="dxa"/>
            <w:vAlign w:val="bottom"/>
          </w:tcPr>
          <w:p w:rsidR="00CC2613" w:rsidRPr="00CC2613" w:rsidP="00CC2613" w14:paraId="732E6B3A" w14:textId="17BE1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Justice of the Peace</w:t>
            </w:r>
          </w:p>
        </w:tc>
        <w:tc>
          <w:tcPr>
            <w:tcW w:w="1098" w:type="dxa"/>
            <w:vAlign w:val="bottom"/>
          </w:tcPr>
          <w:p w:rsidR="00CC2613" w:rsidRPr="00CC2613" w:rsidP="00CC2613" w14:paraId="56D4784B" w14:textId="7206A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44,800</w:t>
            </w:r>
          </w:p>
        </w:tc>
        <w:tc>
          <w:tcPr>
            <w:tcW w:w="5130" w:type="dxa"/>
            <w:vAlign w:val="bottom"/>
          </w:tcPr>
          <w:p w:rsidR="00CC2613" w:rsidRPr="00CC2613" w:rsidP="00CC2613" w14:paraId="3017C890" w14:textId="70328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Wood County, P</w:t>
            </w:r>
            <w:r w:rsidR="003C40CB">
              <w:rPr>
                <w:rFonts w:ascii="Times New Roman" w:hAnsi="Times New Roman"/>
                <w:color w:val="000000"/>
                <w:sz w:val="22"/>
                <w:szCs w:val="22"/>
              </w:rPr>
              <w:t>recinc</w:t>
            </w:r>
            <w:r w:rsidRPr="00CC2613">
              <w:rPr>
                <w:rFonts w:ascii="Times New Roman" w:hAnsi="Times New Roman"/>
                <w:color w:val="000000"/>
                <w:sz w:val="22"/>
                <w:szCs w:val="22"/>
              </w:rPr>
              <w:t>t 2</w:t>
            </w:r>
            <w:r w:rsidR="003C40CB">
              <w:rPr>
                <w:rFonts w:ascii="Times New Roman" w:hAnsi="Times New Roman"/>
                <w:color w:val="000000"/>
                <w:sz w:val="22"/>
                <w:szCs w:val="22"/>
              </w:rPr>
              <w:t xml:space="preserve"> Justice of the Peace</w:t>
            </w:r>
          </w:p>
        </w:tc>
        <w:tc>
          <w:tcPr>
            <w:tcW w:w="720" w:type="dxa"/>
            <w:vAlign w:val="bottom"/>
          </w:tcPr>
          <w:p w:rsidR="00CC2613" w:rsidRPr="00CC2613" w:rsidP="00CC2613" w14:paraId="1B7604B2" w14:textId="6847F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TX</w:t>
            </w:r>
          </w:p>
        </w:tc>
      </w:tr>
      <w:tr w14:paraId="1F150629" w14:textId="77777777" w:rsidTr="003C40CB">
        <w:tblPrEx>
          <w:tblW w:w="9355" w:type="dxa"/>
          <w:tblLook w:val="04A0"/>
        </w:tblPrEx>
        <w:tc>
          <w:tcPr>
            <w:tcW w:w="2407" w:type="dxa"/>
            <w:vAlign w:val="bottom"/>
          </w:tcPr>
          <w:p w:rsidR="00CC2613" w:rsidRPr="00CC2613" w:rsidP="00CC2613" w14:paraId="1C4C6300" w14:textId="2D1DE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Justice of the Peace</w:t>
            </w:r>
          </w:p>
        </w:tc>
        <w:tc>
          <w:tcPr>
            <w:tcW w:w="1098" w:type="dxa"/>
            <w:vAlign w:val="bottom"/>
          </w:tcPr>
          <w:p w:rsidR="00CC2613" w:rsidRPr="00CC2613" w:rsidP="00CC2613" w14:paraId="397ECA52" w14:textId="6F8796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16,968</w:t>
            </w:r>
          </w:p>
        </w:tc>
        <w:tc>
          <w:tcPr>
            <w:tcW w:w="5130" w:type="dxa"/>
            <w:vAlign w:val="bottom"/>
          </w:tcPr>
          <w:p w:rsidR="00CC2613" w:rsidRPr="00CC2613" w:rsidP="00CC2613" w14:paraId="50248507" w14:textId="1F192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Falls County</w:t>
            </w:r>
            <w:r>
              <w:rPr>
                <w:rFonts w:ascii="Times New Roman" w:hAnsi="Times New Roman"/>
                <w:color w:val="000000"/>
                <w:sz w:val="22"/>
                <w:szCs w:val="22"/>
              </w:rPr>
              <w:t>,</w:t>
            </w:r>
            <w:r w:rsidRPr="00CC2613">
              <w:rPr>
                <w:rFonts w:ascii="Times New Roman" w:hAnsi="Times New Roman"/>
                <w:color w:val="000000"/>
                <w:sz w:val="22"/>
                <w:szCs w:val="22"/>
              </w:rPr>
              <w:t xml:space="preserve"> </w:t>
            </w:r>
            <w:r w:rsidRPr="00CC2613">
              <w:rPr>
                <w:rFonts w:ascii="Times New Roman" w:hAnsi="Times New Roman"/>
                <w:color w:val="000000"/>
                <w:sz w:val="22"/>
                <w:szCs w:val="22"/>
              </w:rPr>
              <w:t xml:space="preserve">Precinct 4 </w:t>
            </w:r>
            <w:r>
              <w:rPr>
                <w:rFonts w:ascii="Times New Roman" w:hAnsi="Times New Roman"/>
                <w:color w:val="000000"/>
                <w:sz w:val="22"/>
                <w:szCs w:val="22"/>
              </w:rPr>
              <w:t>Justice of the Peace</w:t>
            </w:r>
          </w:p>
        </w:tc>
        <w:tc>
          <w:tcPr>
            <w:tcW w:w="720" w:type="dxa"/>
            <w:vAlign w:val="bottom"/>
          </w:tcPr>
          <w:p w:rsidR="00CC2613" w:rsidRPr="00CC2613" w:rsidP="00CC2613" w14:paraId="24104432" w14:textId="63839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TX</w:t>
            </w:r>
          </w:p>
        </w:tc>
      </w:tr>
      <w:tr w14:paraId="2501DDE0" w14:textId="77777777" w:rsidTr="003C40CB">
        <w:tblPrEx>
          <w:tblW w:w="9355" w:type="dxa"/>
          <w:tblLook w:val="04A0"/>
        </w:tblPrEx>
        <w:tc>
          <w:tcPr>
            <w:tcW w:w="2407" w:type="dxa"/>
            <w:vAlign w:val="bottom"/>
          </w:tcPr>
          <w:p w:rsidR="00CC2613" w:rsidRPr="00CC2613" w:rsidP="00CC2613" w14:paraId="1CB68AA8" w14:textId="494E4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Justice of the Peace</w:t>
            </w:r>
          </w:p>
        </w:tc>
        <w:tc>
          <w:tcPr>
            <w:tcW w:w="1098" w:type="dxa"/>
            <w:vAlign w:val="bottom"/>
          </w:tcPr>
          <w:p w:rsidR="00CC2613" w:rsidRPr="00CC2613" w:rsidP="00CC2613" w14:paraId="21F2165D" w14:textId="5A0B6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47,300</w:t>
            </w:r>
          </w:p>
        </w:tc>
        <w:tc>
          <w:tcPr>
            <w:tcW w:w="5130" w:type="dxa"/>
            <w:vAlign w:val="bottom"/>
          </w:tcPr>
          <w:p w:rsidR="00CC2613" w:rsidRPr="00CC2613" w:rsidP="00CC2613" w14:paraId="5F50C4A0" w14:textId="450AB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Rockwall County</w:t>
            </w:r>
            <w:r w:rsidR="003C40CB">
              <w:rPr>
                <w:rFonts w:ascii="Times New Roman" w:hAnsi="Times New Roman"/>
                <w:color w:val="000000"/>
                <w:sz w:val="22"/>
                <w:szCs w:val="22"/>
              </w:rPr>
              <w:t>,</w:t>
            </w:r>
            <w:r w:rsidRPr="00CC2613">
              <w:rPr>
                <w:rFonts w:ascii="Times New Roman" w:hAnsi="Times New Roman"/>
                <w:color w:val="000000"/>
                <w:sz w:val="22"/>
                <w:szCs w:val="22"/>
              </w:rPr>
              <w:t xml:space="preserve"> Precinct </w:t>
            </w:r>
            <w:r w:rsidR="003C40CB">
              <w:rPr>
                <w:rFonts w:ascii="Times New Roman" w:hAnsi="Times New Roman"/>
                <w:color w:val="000000"/>
                <w:sz w:val="22"/>
                <w:szCs w:val="22"/>
              </w:rPr>
              <w:t>3 Justice of the Peace</w:t>
            </w:r>
          </w:p>
        </w:tc>
        <w:tc>
          <w:tcPr>
            <w:tcW w:w="720" w:type="dxa"/>
            <w:vAlign w:val="bottom"/>
          </w:tcPr>
          <w:p w:rsidR="00CC2613" w:rsidRPr="00CC2613" w:rsidP="00CC2613" w14:paraId="38941BF8" w14:textId="76CA3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C2613">
              <w:rPr>
                <w:rFonts w:ascii="Times New Roman" w:hAnsi="Times New Roman"/>
                <w:color w:val="000000"/>
                <w:sz w:val="22"/>
                <w:szCs w:val="22"/>
              </w:rPr>
              <w:t>TX</w:t>
            </w:r>
          </w:p>
        </w:tc>
      </w:tr>
      <w:bookmarkEnd w:id="3"/>
    </w:tbl>
    <w:p w:rsidR="00D40D59" w:rsidP="00F87F3A" w14:paraId="6C183CA3" w14:textId="78DB32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31C32" w:rsidRPr="00AB16BC" w:rsidP="00EA5E4F" w14:paraId="23146A0A" w14:textId="77777777">
      <w:pPr>
        <w:pStyle w:val="Heading2"/>
        <w:spacing w:before="0" w:after="240" w:line="240" w:lineRule="auto"/>
        <w:jc w:val="left"/>
        <w:rPr>
          <w:rFonts w:ascii="Times New Roman" w:hAnsi="Times New Roman" w:cs="Times New Roman"/>
          <w:sz w:val="24"/>
          <w:szCs w:val="24"/>
        </w:rPr>
      </w:pPr>
      <w:r w:rsidRPr="003A2EC5">
        <w:rPr>
          <w:rFonts w:ascii="Times New Roman" w:hAnsi="Times New Roman" w:cs="Times New Roman"/>
          <w:bCs w:val="0"/>
          <w:sz w:val="24"/>
          <w:szCs w:val="24"/>
        </w:rPr>
        <w:t>9.</w:t>
      </w:r>
      <w:r w:rsidRPr="00AB16BC">
        <w:rPr>
          <w:rFonts w:ascii="Times New Roman" w:hAnsi="Times New Roman" w:cs="Times New Roman"/>
          <w:b w:val="0"/>
          <w:sz w:val="24"/>
          <w:szCs w:val="24"/>
        </w:rPr>
        <w:t xml:space="preserve"> </w:t>
      </w:r>
      <w:r w:rsidRPr="00AB16BC">
        <w:rPr>
          <w:rFonts w:ascii="Times New Roman" w:hAnsi="Times New Roman" w:cs="Times New Roman"/>
          <w:bCs w:val="0"/>
          <w:sz w:val="24"/>
          <w:szCs w:val="24"/>
        </w:rPr>
        <w:t>Explain any decision to provide any payments or gifts to respondents, other than remuneration of contractors or grantees.</w:t>
      </w:r>
    </w:p>
    <w:p w:rsidR="00631C32" w:rsidRPr="00AB16BC" w:rsidP="00631C32" w14:paraId="0CDD7183" w14:textId="77777777">
      <w:pPr>
        <w:tabs>
          <w:tab w:val="left" w:pos="810"/>
          <w:tab w:val="left" w:pos="900"/>
        </w:tabs>
      </w:pPr>
      <w:r>
        <w:t xml:space="preserve">No government funds will be used as payment or for gifts to respondents. </w:t>
      </w:r>
      <w:r w:rsidRPr="00AB16BC">
        <w:t xml:space="preserve">Participation is voluntary and no gifts or incentives will be given. </w:t>
      </w:r>
    </w:p>
    <w:p w:rsidR="005E0070" w:rsidRPr="00B8502C" w:rsidP="005E0070" w14:paraId="0994C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31C32" w:rsidRPr="00AB16BC" w:rsidP="00EA5E4F" w14:paraId="78CF56E4" w14:textId="77777777">
      <w:pPr>
        <w:pStyle w:val="Heading2"/>
        <w:spacing w:before="0" w:after="24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10.</w:t>
      </w:r>
      <w:r>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Describe any assurance of confidentiality provided to respondents and the basis for the assurance in statute, regulation, or agency policy</w:t>
      </w:r>
      <w:r w:rsidRPr="00AB16BC">
        <w:rPr>
          <w:rFonts w:ascii="Times New Roman" w:hAnsi="Times New Roman" w:cs="Times New Roman"/>
          <w:b w:val="0"/>
          <w:sz w:val="24"/>
          <w:szCs w:val="24"/>
        </w:rPr>
        <w:t>.</w:t>
      </w:r>
    </w:p>
    <w:p w:rsidR="00B62C83" w:rsidP="003312B4" w14:paraId="32CE867E" w14:textId="77777777">
      <w:r w:rsidRPr="0058006B">
        <w:rPr>
          <w:color w:val="000000" w:themeColor="text1"/>
        </w:rPr>
        <w:t>BJS, its employees, and its data collection agents will use the data it collects only for statistical or research purposes, consistent with 34 U.S.C. § 10134, which states</w:t>
      </w:r>
      <w:r w:rsidRPr="0058006B">
        <w:rPr>
          <w:i/>
          <w:iCs/>
          <w:color w:val="000000" w:themeColor="text1"/>
        </w:rPr>
        <w:t xml:space="preserve"> “data collected by the Bureau shall be used only for statistical or research purposes, and shall be gathered in a manner that precludes their use for law enforcement or any purpose relating a private person or public agency other than statistical or research purposes.</w:t>
      </w:r>
      <w:r w:rsidRPr="0058006B">
        <w:rPr>
          <w:color w:val="000000" w:themeColor="text1"/>
        </w:rPr>
        <w:t>” BJS is required to protect information identifiable to a private person from unauthorized disclosure and may not publicly release data in a way that could reasonably identify a specific private person, consistent with the confidentiality requirements in 34 U.S.C. § 10231 and 28 CFR Part 22</w:t>
      </w:r>
      <w:r w:rsidRPr="0058006B">
        <w:rPr>
          <w:i/>
          <w:iCs/>
          <w:color w:val="000000" w:themeColor="text1"/>
        </w:rPr>
        <w:t>.</w:t>
      </w:r>
      <w:r w:rsidRPr="0012107F">
        <w:t xml:space="preserve"> </w:t>
      </w:r>
    </w:p>
    <w:p w:rsidR="00FD180B" w:rsidP="003312B4" w14:paraId="21083BF2" w14:textId="3D34EF56">
      <w:pPr>
        <w:rPr>
          <w:color w:val="000000" w:themeColor="text1"/>
        </w:rPr>
      </w:pPr>
      <w:r>
        <w:rPr>
          <w:color w:val="000000" w:themeColor="text1"/>
        </w:rPr>
        <w:t xml:space="preserve"> </w:t>
      </w:r>
    </w:p>
    <w:p w:rsidR="007B739F" w:rsidRPr="00B8502C" w:rsidP="003312B4" w14:paraId="5ACE2633" w14:textId="263B7F00">
      <w:r>
        <w:t>The data collected through the 20</w:t>
      </w:r>
      <w:r w:rsidR="00631C32">
        <w:t>23</w:t>
      </w:r>
      <w:r>
        <w:t xml:space="preserve"> CMEC represent</w:t>
      </w:r>
      <w:r w:rsidR="00631C32">
        <w:t xml:space="preserve"> </w:t>
      </w:r>
      <w:r>
        <w:t>institutional characteristics of MEC</w:t>
      </w:r>
      <w:r w:rsidR="008667F1">
        <w:t xml:space="preserve"> office</w:t>
      </w:r>
      <w:r>
        <w:t>s. Information collected from these organizations is</w:t>
      </w:r>
      <w:r w:rsidR="00631C32">
        <w:t xml:space="preserve"> </w:t>
      </w:r>
      <w:r>
        <w:t xml:space="preserve">considered within the public domain. The </w:t>
      </w:r>
      <w:r w:rsidR="60286B92">
        <w:t xml:space="preserve">first page of the survey instrument will include information regarding how </w:t>
      </w:r>
      <w:r>
        <w:t>participation in this survey is voluntary and</w:t>
      </w:r>
      <w:r w:rsidR="00631C32">
        <w:t xml:space="preserve"> </w:t>
      </w:r>
      <w:r w:rsidR="1F888A90">
        <w:t>how</w:t>
      </w:r>
      <w:r>
        <w:t xml:space="preserve"> information about individual agency responses will be available to the public</w:t>
      </w:r>
      <w:r w:rsidR="6D90DB94">
        <w:t xml:space="preserve"> after the conclusion of the survey</w:t>
      </w:r>
      <w:r>
        <w:t xml:space="preserve">. However, it will also be made clear to </w:t>
      </w:r>
      <w:r w:rsidR="008F1995">
        <w:t xml:space="preserve">responding agencies </w:t>
      </w:r>
      <w:r>
        <w:t>that BJS and RTI will not</w:t>
      </w:r>
      <w:r w:rsidR="00AB5FEB">
        <w:t xml:space="preserve"> archive or otherwise</w:t>
      </w:r>
      <w:r>
        <w:t xml:space="preserve"> release the names, phone numbers, or email addresses of the actual</w:t>
      </w:r>
      <w:r w:rsidR="00631C32">
        <w:t xml:space="preserve"> </w:t>
      </w:r>
      <w:r>
        <w:t xml:space="preserve">persons responsible for completing the </w:t>
      </w:r>
      <w:r w:rsidR="008F1995">
        <w:t xml:space="preserve">2023 </w:t>
      </w:r>
      <w:r>
        <w:t>CMEC instrument.</w:t>
      </w:r>
    </w:p>
    <w:p w:rsidR="007B739F" w:rsidRPr="00B8502C" w:rsidP="007B739F" w14:paraId="319C504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631C32" w:rsidRPr="00B6047E" w:rsidP="00EA5E4F" w14:paraId="3B6DFDE6" w14:textId="77777777">
      <w:pPr>
        <w:pStyle w:val="Heading2"/>
        <w:keepNext w:val="0"/>
        <w:keepLines w:val="0"/>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11.</w:t>
      </w:r>
      <w:r w:rsidRPr="00B6047E">
        <w:rPr>
          <w:rFonts w:ascii="Times New Roman" w:hAnsi="Times New Roman" w:cs="Times New Roman"/>
          <w:bCs w:val="0"/>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B739F" w:rsidRPr="00B8502C" w:rsidP="007B739F" w14:paraId="37D26392" w14:textId="2AEA8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502C">
        <w:t xml:space="preserve">There are no questions of a sensitive nature in the </w:t>
      </w:r>
      <w:r w:rsidRPr="00B8502C" w:rsidR="006874D5">
        <w:t xml:space="preserve">proposed </w:t>
      </w:r>
      <w:r w:rsidR="00631C32">
        <w:t>2023</w:t>
      </w:r>
      <w:r w:rsidRPr="00B8502C">
        <w:t xml:space="preserve"> </w:t>
      </w:r>
      <w:r w:rsidRPr="00B8502C" w:rsidR="00F86DFB">
        <w:t>CMEC</w:t>
      </w:r>
      <w:r w:rsidRPr="00B8502C">
        <w:t>.</w:t>
      </w:r>
      <w:r w:rsidRPr="00B8502C" w:rsidR="00745932">
        <w:t xml:space="preserve"> </w:t>
      </w:r>
    </w:p>
    <w:p w:rsidR="007B739F" w:rsidRPr="00B8502C" w:rsidP="007B739F" w14:paraId="1D42AA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31C32" w:rsidRPr="00AB16BC" w:rsidP="00EA5E4F" w14:paraId="5710A42E" w14:textId="77777777">
      <w:pPr>
        <w:pStyle w:val="Heading2"/>
        <w:keepNext w:val="0"/>
        <w:keepLines w:val="0"/>
        <w:spacing w:before="0" w:after="240" w:line="240" w:lineRule="auto"/>
        <w:jc w:val="left"/>
        <w:rPr>
          <w:rFonts w:ascii="Times New Roman" w:hAnsi="Times New Roman" w:cs="Times New Roman"/>
          <w:bCs w:val="0"/>
          <w:sz w:val="24"/>
          <w:szCs w:val="24"/>
        </w:rPr>
      </w:pPr>
      <w:r w:rsidRPr="00AB16BC">
        <w:rPr>
          <w:rFonts w:ascii="Times New Roman" w:hAnsi="Times New Roman" w:cs="Times New Roman"/>
          <w:bCs w:val="0"/>
          <w:sz w:val="24"/>
          <w:szCs w:val="24"/>
        </w:rPr>
        <w:t>12.</w:t>
      </w:r>
      <w:r w:rsidRPr="00AB16BC">
        <w:rPr>
          <w:rFonts w:ascii="Times New Roman" w:hAnsi="Times New Roman" w:cs="Times New Roman"/>
          <w:bCs w:val="0"/>
          <w:sz w:val="24"/>
          <w:szCs w:val="24"/>
        </w:rPr>
        <w:tab/>
        <w:t>Provide estimates of the hour burden of the collection of information. The statement should:</w:t>
      </w:r>
    </w:p>
    <w:p w:rsidR="00631C32" w:rsidRPr="00B6047E" w:rsidP="00B6047E" w14:paraId="347756E6" w14:textId="77777777">
      <w:pPr>
        <w:pStyle w:val="ListParagraph"/>
        <w:numPr>
          <w:ilvl w:val="0"/>
          <w:numId w:val="15"/>
        </w:numPr>
        <w:rPr>
          <w:b/>
          <w:bCs/>
        </w:rPr>
      </w:pPr>
      <w:r w:rsidRPr="00B6047E">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B6047E">
        <w:rPr>
          <w:b/>
          <w:bCs/>
        </w:rPr>
        <w:t>estimated hour burden, and explain the reasons for the variance. General, estimates should not include burden hours for customary and usual business practices.</w:t>
      </w:r>
    </w:p>
    <w:p w:rsidR="00631C32" w:rsidRPr="00B6047E" w:rsidP="00B6047E" w14:paraId="614D7564" w14:textId="77777777">
      <w:pPr>
        <w:pStyle w:val="ListParagraph"/>
        <w:numPr>
          <w:ilvl w:val="0"/>
          <w:numId w:val="15"/>
        </w:numPr>
        <w:rPr>
          <w:b/>
          <w:bCs/>
        </w:rPr>
      </w:pPr>
      <w:r w:rsidRPr="00B6047E">
        <w:rPr>
          <w:b/>
          <w:bCs/>
        </w:rPr>
        <w:t>If this request for approval covers more than one form, provide separate hour burden estimates for each form.</w:t>
      </w:r>
    </w:p>
    <w:p w:rsidR="00631C32" w:rsidRPr="00B6047E" w:rsidP="00B6047E" w14:paraId="739D743D" w14:textId="77777777">
      <w:pPr>
        <w:pStyle w:val="ListParagraph"/>
        <w:numPr>
          <w:ilvl w:val="0"/>
          <w:numId w:val="15"/>
        </w:numPr>
        <w:rPr>
          <w:b/>
          <w:bCs/>
        </w:rPr>
      </w:pPr>
      <w:r w:rsidRPr="00B6047E">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874D5" w:rsidRPr="00631C32" w:rsidP="00631C32" w14:paraId="032960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312B4" w:rsidP="00571536" w14:paraId="780A9137" w14:textId="6DF9BB61">
      <w:r w:rsidRPr="0058595F">
        <w:t>Approximately</w:t>
      </w:r>
      <w:r w:rsidR="003874AC">
        <w:t xml:space="preserve"> 3,000 agencies will be invited to participate in the 2023 CMEC, including about</w:t>
      </w:r>
      <w:r w:rsidRPr="0058595F">
        <w:t xml:space="preserve"> </w:t>
      </w:r>
      <w:r w:rsidRPr="0058595F" w:rsidR="003A5222">
        <w:t>2,</w:t>
      </w:r>
      <w:r w:rsidR="008F2A49">
        <w:t>3</w:t>
      </w:r>
      <w:r w:rsidR="006972EB">
        <w:t>00</w:t>
      </w:r>
      <w:r w:rsidRPr="0058595F">
        <w:t xml:space="preserve"> </w:t>
      </w:r>
      <w:r w:rsidR="006972EB">
        <w:t>MEC</w:t>
      </w:r>
      <w:r w:rsidR="008667F1">
        <w:t xml:space="preserve"> office</w:t>
      </w:r>
      <w:r w:rsidR="006972EB">
        <w:t>s</w:t>
      </w:r>
      <w:r w:rsidR="00241C99">
        <w:t xml:space="preserve"> nationwide</w:t>
      </w:r>
      <w:r w:rsidR="008F2A49">
        <w:t xml:space="preserve">, </w:t>
      </w:r>
      <w:r w:rsidR="003B626D">
        <w:t>and</w:t>
      </w:r>
      <w:r w:rsidR="006972EB">
        <w:t xml:space="preserve"> 700</w:t>
      </w:r>
      <w:r w:rsidR="003874AC">
        <w:t xml:space="preserve"> </w:t>
      </w:r>
      <w:r w:rsidR="0040022B">
        <w:t>j</w:t>
      </w:r>
      <w:r w:rsidR="003874AC">
        <w:t>ustice</w:t>
      </w:r>
      <w:r w:rsidR="0086765B">
        <w:t>s</w:t>
      </w:r>
      <w:r w:rsidR="003874AC">
        <w:t xml:space="preserve"> of the </w:t>
      </w:r>
      <w:r w:rsidR="0040022B">
        <w:t>p</w:t>
      </w:r>
      <w:r w:rsidR="003874AC">
        <w:t>eace</w:t>
      </w:r>
      <w:r w:rsidR="00241C99">
        <w:t xml:space="preserve"> offices</w:t>
      </w:r>
      <w:r w:rsidRPr="0058595F" w:rsidR="001807AA">
        <w:t xml:space="preserve"> </w:t>
      </w:r>
      <w:r w:rsidRPr="0058595F" w:rsidR="00330D92">
        <w:t>in Texas</w:t>
      </w:r>
      <w:r w:rsidR="003874AC">
        <w:t xml:space="preserve"> that were not part of the previous CMECs</w:t>
      </w:r>
      <w:r w:rsidRPr="0058595F">
        <w:t xml:space="preserve">. </w:t>
      </w:r>
      <w:r w:rsidRPr="0058595F">
        <w:t>BJS has estimated the respondent burden for the 20</w:t>
      </w:r>
      <w:r w:rsidRPr="0058595F">
        <w:t>23</w:t>
      </w:r>
      <w:r w:rsidRPr="0058595F">
        <w:t xml:space="preserve"> CMEC </w:t>
      </w:r>
      <w:r w:rsidRPr="002E6742">
        <w:t xml:space="preserve">at </w:t>
      </w:r>
      <w:r w:rsidRPr="002E6742" w:rsidR="002E6742">
        <w:t>4,</w:t>
      </w:r>
      <w:r w:rsidR="00323699">
        <w:t>875</w:t>
      </w:r>
      <w:r w:rsidRPr="002E6742">
        <w:t xml:space="preserve"> hours</w:t>
      </w:r>
      <w:r w:rsidRPr="0058595F" w:rsidR="00571536">
        <w:t xml:space="preserve"> (</w:t>
      </w:r>
      <w:r w:rsidRPr="0058595F" w:rsidR="00571536">
        <w:rPr>
          <w:b/>
          <w:bCs/>
        </w:rPr>
        <w:t>Table 3</w:t>
      </w:r>
      <w:r w:rsidRPr="0058595F" w:rsidR="00571536">
        <w:t>)</w:t>
      </w:r>
      <w:r w:rsidRPr="0058595F">
        <w:t>.</w:t>
      </w:r>
      <w:r w:rsidRPr="0058595F" w:rsidR="00571536">
        <w:t xml:space="preserve"> </w:t>
      </w:r>
      <w:r w:rsidRPr="0058595F">
        <w:t xml:space="preserve">The </w:t>
      </w:r>
      <w:r w:rsidRPr="0058595F" w:rsidR="008C3F8A">
        <w:t xml:space="preserve">2023 </w:t>
      </w:r>
      <w:r w:rsidRPr="0058595F">
        <w:t xml:space="preserve">CMEC burden estimate was calculated using an estimate of </w:t>
      </w:r>
      <w:r w:rsidR="00241C99">
        <w:t xml:space="preserve">90 minutes (or </w:t>
      </w:r>
      <w:r w:rsidRPr="0058595F">
        <w:t>1.</w:t>
      </w:r>
      <w:r w:rsidRPr="0058595F" w:rsidR="003C40CB">
        <w:t>5</w:t>
      </w:r>
      <w:r w:rsidRPr="0058595F">
        <w:t xml:space="preserve"> hours</w:t>
      </w:r>
      <w:r w:rsidR="00241C99">
        <w:t>)</w:t>
      </w:r>
      <w:r w:rsidRPr="0058595F">
        <w:t xml:space="preserve"> per respondent</w:t>
      </w:r>
      <w:r w:rsidRPr="0058595F" w:rsidR="00571536">
        <w:t xml:space="preserve"> </w:t>
      </w:r>
      <w:r w:rsidRPr="0058595F">
        <w:t xml:space="preserve">for the completion of the </w:t>
      </w:r>
      <w:r w:rsidR="0086765B">
        <w:t>75-</w:t>
      </w:r>
      <w:r w:rsidRPr="0058595F">
        <w:t>question questionnaire being completed by an estimated</w:t>
      </w:r>
      <w:r w:rsidRPr="0058595F" w:rsidR="00571536">
        <w:t xml:space="preserve"> </w:t>
      </w:r>
      <w:r w:rsidRPr="0058595F" w:rsidR="000155AD">
        <w:t>3,000</w:t>
      </w:r>
      <w:r w:rsidRPr="0058595F">
        <w:t xml:space="preserve"> </w:t>
      </w:r>
      <w:r w:rsidR="008667F1">
        <w:t>office</w:t>
      </w:r>
      <w:r w:rsidRPr="0058595F">
        <w:t>s. In addition, BJS plans to conduct data quality follow-up with approximately 1,</w:t>
      </w:r>
      <w:r w:rsidR="002E6742">
        <w:t>5</w:t>
      </w:r>
      <w:r w:rsidRPr="0058595F">
        <w:t>0</w:t>
      </w:r>
      <w:r w:rsidR="00241C99">
        <w:t>0</w:t>
      </w:r>
      <w:r w:rsidRPr="0058595F" w:rsidR="00571536">
        <w:t xml:space="preserve"> </w:t>
      </w:r>
      <w:r w:rsidRPr="0058595F">
        <w:t xml:space="preserve">offices at 15 minutes </w:t>
      </w:r>
      <w:r w:rsidR="00323699">
        <w:t xml:space="preserve">(or .25 hours) </w:t>
      </w:r>
      <w:r w:rsidRPr="0058595F">
        <w:t xml:space="preserve">per </w:t>
      </w:r>
      <w:r w:rsidR="005A197D">
        <w:t>respondent</w:t>
      </w:r>
      <w:r w:rsidRPr="0058595F">
        <w:t xml:space="preserve">, totaling </w:t>
      </w:r>
      <w:r w:rsidR="00323699">
        <w:t>375</w:t>
      </w:r>
      <w:r w:rsidRPr="0058595F">
        <w:t xml:space="preserve"> hours.</w:t>
      </w:r>
    </w:p>
    <w:p w:rsidR="0086765B" w:rsidP="00571536" w14:paraId="10A6229D" w14:textId="77777777"/>
    <w:p w:rsidR="006B767C" w:rsidP="003312B4" w14:paraId="797509D8" w14:textId="45492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58595F">
        <w:t>9</w:t>
      </w:r>
      <w:r>
        <w:t>0-minute estimate is based on feedback received during the 20</w:t>
      </w:r>
      <w:r w:rsidR="00631C32">
        <w:t xml:space="preserve">18 </w:t>
      </w:r>
      <w:r>
        <w:t>CMEC, the input of the</w:t>
      </w:r>
      <w:r w:rsidR="0058595F">
        <w:t xml:space="preserve"> 2018 and 2023</w:t>
      </w:r>
      <w:r>
        <w:t xml:space="preserve"> expert panel</w:t>
      </w:r>
      <w:r w:rsidR="0058595F">
        <w:t>s</w:t>
      </w:r>
      <w:r>
        <w:t>, and estimates provided during cognitive testing</w:t>
      </w:r>
      <w:r w:rsidR="00631C32">
        <w:t xml:space="preserve"> </w:t>
      </w:r>
      <w:r>
        <w:t>for the 20</w:t>
      </w:r>
      <w:r w:rsidR="00631C32">
        <w:t>23</w:t>
      </w:r>
      <w:r>
        <w:t xml:space="preserve"> CMEC. This includes the time needed by responding agencies to research the</w:t>
      </w:r>
      <w:r w:rsidR="00631C32">
        <w:t xml:space="preserve"> </w:t>
      </w:r>
      <w:r>
        <w:t>information being requested on the form.</w:t>
      </w:r>
    </w:p>
    <w:p w:rsidR="003312B4" w:rsidRPr="00B8502C" w:rsidP="003312B4" w14:paraId="4585D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356B" w:rsidRPr="00B8502C" w:rsidP="00C6356B" w14:paraId="79E727E6" w14:textId="3EE395F5">
      <w:pPr>
        <w:rPr>
          <w:b/>
        </w:rPr>
      </w:pPr>
      <w:r w:rsidRPr="00B8502C">
        <w:rPr>
          <w:b/>
        </w:rPr>
        <w:t xml:space="preserve">Table </w:t>
      </w:r>
      <w:r w:rsidRPr="298138E2" w:rsidR="42AE3D2E">
        <w:rPr>
          <w:b/>
          <w:bCs/>
        </w:rPr>
        <w:t>3</w:t>
      </w:r>
      <w:r w:rsidRPr="00B8502C">
        <w:rPr>
          <w:b/>
        </w:rPr>
        <w:t xml:space="preserve">. </w:t>
      </w:r>
      <w:r w:rsidRPr="00AB16BC" w:rsidR="00631C32">
        <w:rPr>
          <w:b/>
          <w:bCs/>
        </w:rPr>
        <w:t xml:space="preserve">Summary </w:t>
      </w:r>
      <w:r w:rsidR="00631C32">
        <w:rPr>
          <w:b/>
          <w:bCs/>
        </w:rPr>
        <w:t>o</w:t>
      </w:r>
      <w:r w:rsidRPr="00AB16BC" w:rsidR="00631C32">
        <w:rPr>
          <w:b/>
          <w:bCs/>
        </w:rPr>
        <w:t xml:space="preserve">f </w:t>
      </w:r>
      <w:r w:rsidR="00631C32">
        <w:rPr>
          <w:b/>
          <w:bCs/>
        </w:rPr>
        <w:t>a</w:t>
      </w:r>
      <w:r w:rsidRPr="00AB16BC" w:rsidR="00631C32">
        <w:rPr>
          <w:b/>
          <w:bCs/>
        </w:rPr>
        <w:t xml:space="preserve">nnual </w:t>
      </w:r>
      <w:r w:rsidR="00631C32">
        <w:rPr>
          <w:b/>
          <w:bCs/>
        </w:rPr>
        <w:t>b</w:t>
      </w:r>
      <w:r w:rsidRPr="00AB16BC" w:rsidR="00631C32">
        <w:rPr>
          <w:b/>
          <w:bCs/>
        </w:rPr>
        <w:t xml:space="preserve">urden </w:t>
      </w:r>
      <w:r w:rsidR="00631C32">
        <w:rPr>
          <w:b/>
          <w:bCs/>
        </w:rPr>
        <w:t>h</w:t>
      </w:r>
      <w:r w:rsidRPr="00AB16BC" w:rsidR="00631C32">
        <w:rPr>
          <w:b/>
          <w:bCs/>
        </w:rPr>
        <w:t xml:space="preserve">ours </w:t>
      </w:r>
      <w:r w:rsidR="00631C32">
        <w:rPr>
          <w:b/>
          <w:bCs/>
        </w:rPr>
        <w:t>a</w:t>
      </w:r>
      <w:r w:rsidRPr="00AB16BC" w:rsidR="00631C32">
        <w:rPr>
          <w:b/>
          <w:bCs/>
        </w:rPr>
        <w:t>ssociated with the</w:t>
      </w:r>
      <w:r w:rsidR="00631C32">
        <w:rPr>
          <w:b/>
          <w:bCs/>
        </w:rPr>
        <w:t xml:space="preserve"> 2023 </w:t>
      </w:r>
      <w:r w:rsidR="00631C32">
        <w:rPr>
          <w:b/>
          <w:bCs/>
        </w:rPr>
        <w:t>CMEC</w:t>
      </w:r>
    </w:p>
    <w:tbl>
      <w:tblPr>
        <w:tblW w:w="10530" w:type="dxa"/>
        <w:tblInd w:w="-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620"/>
        <w:gridCol w:w="1440"/>
        <w:gridCol w:w="810"/>
        <w:gridCol w:w="1350"/>
        <w:gridCol w:w="1530"/>
        <w:gridCol w:w="1080"/>
        <w:gridCol w:w="900"/>
        <w:gridCol w:w="1800"/>
      </w:tblGrid>
      <w:tr w14:paraId="7C2C3E95" w14:textId="78E8A111" w:rsidTr="00D610D5">
        <w:tblPrEx>
          <w:tblW w:w="10530" w:type="dxa"/>
          <w:tblInd w:w="-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575"/>
        </w:trPr>
        <w:tc>
          <w:tcPr>
            <w:tcW w:w="1620" w:type="dxa"/>
            <w:shd w:val="clear" w:color="auto" w:fill="auto"/>
            <w:noWrap/>
            <w:vAlign w:val="bottom"/>
            <w:hideMark/>
          </w:tcPr>
          <w:p w:rsidR="008921D7" w:rsidRPr="00D610D5" w:rsidP="00C6356B" w14:paraId="33F29040" w14:textId="77777777">
            <w:pPr>
              <w:rPr>
                <w:b/>
                <w:bCs/>
                <w:color w:val="000000"/>
                <w:sz w:val="22"/>
                <w:szCs w:val="22"/>
              </w:rPr>
            </w:pPr>
            <w:r w:rsidRPr="00D610D5">
              <w:rPr>
                <w:b/>
                <w:bCs/>
                <w:color w:val="000000"/>
                <w:sz w:val="22"/>
                <w:szCs w:val="22"/>
              </w:rPr>
              <w:t>Collection</w:t>
            </w:r>
          </w:p>
        </w:tc>
        <w:tc>
          <w:tcPr>
            <w:tcW w:w="1440" w:type="dxa"/>
            <w:shd w:val="clear" w:color="auto" w:fill="auto"/>
            <w:vAlign w:val="bottom"/>
            <w:hideMark/>
          </w:tcPr>
          <w:p w:rsidR="008921D7" w:rsidRPr="00D610D5" w:rsidP="00C6356B" w14:paraId="7B94BE17" w14:textId="28EF236D">
            <w:pPr>
              <w:jc w:val="right"/>
              <w:rPr>
                <w:b/>
                <w:bCs/>
                <w:color w:val="000000"/>
                <w:sz w:val="22"/>
                <w:szCs w:val="22"/>
              </w:rPr>
            </w:pPr>
            <w:r w:rsidRPr="00D610D5">
              <w:rPr>
                <w:b/>
                <w:bCs/>
                <w:color w:val="000000"/>
                <w:sz w:val="22"/>
                <w:szCs w:val="22"/>
              </w:rPr>
              <w:t>Number of Respondents</w:t>
            </w:r>
          </w:p>
        </w:tc>
        <w:tc>
          <w:tcPr>
            <w:tcW w:w="810" w:type="dxa"/>
            <w:vAlign w:val="bottom"/>
          </w:tcPr>
          <w:p w:rsidR="008921D7" w:rsidRPr="00D610D5" w:rsidP="00D610D5" w14:paraId="731F4B02" w14:textId="341EE1A0">
            <w:pPr>
              <w:rPr>
                <w:b/>
                <w:bCs/>
                <w:color w:val="000000"/>
                <w:sz w:val="22"/>
                <w:szCs w:val="22"/>
              </w:rPr>
            </w:pPr>
            <w:r w:rsidRPr="00D610D5">
              <w:rPr>
                <w:b/>
                <w:bCs/>
                <w:color w:val="000000"/>
                <w:sz w:val="22"/>
                <w:szCs w:val="22"/>
              </w:rPr>
              <w:t>Freq.</w:t>
            </w:r>
          </w:p>
        </w:tc>
        <w:tc>
          <w:tcPr>
            <w:tcW w:w="1350" w:type="dxa"/>
            <w:shd w:val="clear" w:color="auto" w:fill="auto"/>
            <w:vAlign w:val="bottom"/>
            <w:hideMark/>
          </w:tcPr>
          <w:p w:rsidR="008921D7" w:rsidRPr="00D610D5" w:rsidP="00C6356B" w14:paraId="78569774" w14:textId="3760EBFC">
            <w:pPr>
              <w:jc w:val="right"/>
              <w:rPr>
                <w:b/>
                <w:bCs/>
                <w:color w:val="000000"/>
                <w:sz w:val="22"/>
                <w:szCs w:val="22"/>
              </w:rPr>
            </w:pPr>
            <w:r w:rsidRPr="00D610D5">
              <w:rPr>
                <w:b/>
                <w:bCs/>
                <w:color w:val="000000"/>
                <w:sz w:val="22"/>
                <w:szCs w:val="22"/>
              </w:rPr>
              <w:t>Total Annualized Responses</w:t>
            </w:r>
          </w:p>
        </w:tc>
        <w:tc>
          <w:tcPr>
            <w:tcW w:w="1530" w:type="dxa"/>
            <w:shd w:val="clear" w:color="auto" w:fill="auto"/>
            <w:vAlign w:val="bottom"/>
            <w:hideMark/>
          </w:tcPr>
          <w:p w:rsidR="008921D7" w:rsidRPr="00D610D5" w:rsidP="00C6356B" w14:paraId="084160A6" w14:textId="351D0286">
            <w:pPr>
              <w:jc w:val="right"/>
              <w:rPr>
                <w:b/>
                <w:bCs/>
                <w:color w:val="000000"/>
                <w:sz w:val="22"/>
                <w:szCs w:val="22"/>
              </w:rPr>
            </w:pPr>
            <w:r w:rsidRPr="00D610D5">
              <w:rPr>
                <w:b/>
                <w:bCs/>
                <w:color w:val="000000"/>
                <w:sz w:val="22"/>
                <w:szCs w:val="22"/>
              </w:rPr>
              <w:t>Participation Time (minutes)</w:t>
            </w:r>
          </w:p>
        </w:tc>
        <w:tc>
          <w:tcPr>
            <w:tcW w:w="1080" w:type="dxa"/>
            <w:shd w:val="clear" w:color="auto" w:fill="auto"/>
            <w:vAlign w:val="bottom"/>
            <w:hideMark/>
          </w:tcPr>
          <w:p w:rsidR="008921D7" w:rsidRPr="00D610D5" w:rsidP="00C6356B" w14:paraId="4F258730" w14:textId="59AF0982">
            <w:pPr>
              <w:jc w:val="right"/>
              <w:rPr>
                <w:b/>
                <w:bCs/>
                <w:color w:val="000000"/>
                <w:sz w:val="22"/>
                <w:szCs w:val="22"/>
              </w:rPr>
            </w:pPr>
            <w:r w:rsidRPr="00D610D5">
              <w:rPr>
                <w:b/>
                <w:bCs/>
                <w:color w:val="000000"/>
                <w:sz w:val="22"/>
                <w:szCs w:val="22"/>
              </w:rPr>
              <w:t>Total</w:t>
            </w:r>
            <w:r w:rsidRPr="00D610D5">
              <w:rPr>
                <w:b/>
                <w:bCs/>
                <w:color w:val="000000"/>
                <w:sz w:val="22"/>
                <w:szCs w:val="22"/>
              </w:rPr>
              <w:br/>
              <w:t>Burden (Hours)</w:t>
            </w:r>
          </w:p>
        </w:tc>
        <w:tc>
          <w:tcPr>
            <w:tcW w:w="900" w:type="dxa"/>
            <w:shd w:val="clear" w:color="auto" w:fill="auto"/>
            <w:vAlign w:val="bottom"/>
            <w:hideMark/>
          </w:tcPr>
          <w:p w:rsidR="008921D7" w:rsidRPr="00D610D5" w:rsidP="00C6356B" w14:paraId="6DC00FD5" w14:textId="1D6B0B5D">
            <w:pPr>
              <w:jc w:val="right"/>
              <w:rPr>
                <w:b/>
                <w:bCs/>
                <w:color w:val="000000"/>
                <w:sz w:val="22"/>
                <w:szCs w:val="22"/>
              </w:rPr>
            </w:pPr>
            <w:r w:rsidRPr="00D610D5">
              <w:rPr>
                <w:b/>
                <w:bCs/>
                <w:color w:val="000000"/>
                <w:sz w:val="22"/>
                <w:szCs w:val="22"/>
              </w:rPr>
              <w:t>Hourly Rate</w:t>
            </w:r>
          </w:p>
        </w:tc>
        <w:tc>
          <w:tcPr>
            <w:tcW w:w="1800" w:type="dxa"/>
          </w:tcPr>
          <w:p w:rsidR="008921D7" w:rsidRPr="00D610D5" w:rsidP="00C6356B" w14:paraId="0F78131F" w14:textId="0FB5AF0D">
            <w:pPr>
              <w:jc w:val="right"/>
              <w:rPr>
                <w:b/>
                <w:bCs/>
                <w:color w:val="000000"/>
                <w:sz w:val="22"/>
                <w:szCs w:val="22"/>
              </w:rPr>
            </w:pPr>
            <w:r>
              <w:rPr>
                <w:b/>
                <w:bCs/>
                <w:color w:val="000000"/>
                <w:sz w:val="22"/>
                <w:szCs w:val="22"/>
              </w:rPr>
              <w:t>Monetized Value of Respondent Time</w:t>
            </w:r>
          </w:p>
        </w:tc>
      </w:tr>
      <w:tr w14:paraId="7784BF5E" w14:textId="0C824F2D" w:rsidTr="00D610D5">
        <w:tblPrEx>
          <w:tblW w:w="10530" w:type="dxa"/>
          <w:tblInd w:w="-455" w:type="dxa"/>
          <w:tblLayout w:type="fixed"/>
          <w:tblLook w:val="04A0"/>
        </w:tblPrEx>
        <w:trPr>
          <w:trHeight w:val="597"/>
        </w:trPr>
        <w:tc>
          <w:tcPr>
            <w:tcW w:w="1620" w:type="dxa"/>
            <w:shd w:val="clear" w:color="auto" w:fill="auto"/>
            <w:noWrap/>
            <w:vAlign w:val="bottom"/>
          </w:tcPr>
          <w:p w:rsidR="008921D7" w:rsidRPr="00D610D5" w:rsidP="008921D7" w14:paraId="4869E306" w14:textId="76C985B6">
            <w:pPr>
              <w:rPr>
                <w:color w:val="000000"/>
                <w:sz w:val="22"/>
                <w:szCs w:val="22"/>
              </w:rPr>
            </w:pPr>
            <w:r w:rsidRPr="00D610D5">
              <w:rPr>
                <w:color w:val="000000"/>
                <w:sz w:val="22"/>
                <w:szCs w:val="22"/>
              </w:rPr>
              <w:t>All MEC offices</w:t>
            </w:r>
          </w:p>
        </w:tc>
        <w:tc>
          <w:tcPr>
            <w:tcW w:w="1440" w:type="dxa"/>
            <w:shd w:val="clear" w:color="auto" w:fill="auto"/>
            <w:noWrap/>
            <w:vAlign w:val="bottom"/>
            <w:hideMark/>
          </w:tcPr>
          <w:p w:rsidR="008921D7" w:rsidRPr="00D610D5" w:rsidP="008921D7" w14:paraId="213731A0" w14:textId="25687767">
            <w:pPr>
              <w:jc w:val="right"/>
              <w:rPr>
                <w:color w:val="000000"/>
                <w:sz w:val="22"/>
                <w:szCs w:val="22"/>
              </w:rPr>
            </w:pPr>
            <w:r w:rsidRPr="00D610D5">
              <w:rPr>
                <w:color w:val="000000"/>
                <w:sz w:val="22"/>
                <w:szCs w:val="22"/>
              </w:rPr>
              <w:t xml:space="preserve"> 2,300 </w:t>
            </w:r>
          </w:p>
        </w:tc>
        <w:tc>
          <w:tcPr>
            <w:tcW w:w="810" w:type="dxa"/>
            <w:vAlign w:val="bottom"/>
          </w:tcPr>
          <w:p w:rsidR="008921D7" w:rsidRPr="00D610D5" w:rsidP="008921D7" w14:paraId="596C5028" w14:textId="02226491">
            <w:pPr>
              <w:jc w:val="right"/>
              <w:rPr>
                <w:color w:val="000000"/>
                <w:sz w:val="22"/>
                <w:szCs w:val="22"/>
              </w:rPr>
            </w:pPr>
            <w:r w:rsidRPr="00D610D5">
              <w:rPr>
                <w:color w:val="000000"/>
                <w:sz w:val="22"/>
                <w:szCs w:val="22"/>
              </w:rPr>
              <w:t>1</w:t>
            </w:r>
          </w:p>
        </w:tc>
        <w:tc>
          <w:tcPr>
            <w:tcW w:w="1350" w:type="dxa"/>
            <w:shd w:val="clear" w:color="auto" w:fill="auto"/>
            <w:noWrap/>
            <w:vAlign w:val="bottom"/>
            <w:hideMark/>
          </w:tcPr>
          <w:p w:rsidR="008921D7" w:rsidRPr="00D610D5" w:rsidP="008921D7" w14:paraId="5D7795CC" w14:textId="34C00FF3">
            <w:pPr>
              <w:jc w:val="right"/>
              <w:rPr>
                <w:color w:val="000000"/>
                <w:sz w:val="22"/>
                <w:szCs w:val="22"/>
              </w:rPr>
            </w:pPr>
            <w:r w:rsidRPr="00D610D5">
              <w:rPr>
                <w:color w:val="000000"/>
                <w:sz w:val="22"/>
                <w:szCs w:val="22"/>
              </w:rPr>
              <w:t xml:space="preserve"> 2,300 </w:t>
            </w:r>
          </w:p>
        </w:tc>
        <w:tc>
          <w:tcPr>
            <w:tcW w:w="1530" w:type="dxa"/>
            <w:shd w:val="clear" w:color="auto" w:fill="auto"/>
            <w:noWrap/>
            <w:vAlign w:val="bottom"/>
            <w:hideMark/>
          </w:tcPr>
          <w:p w:rsidR="008921D7" w:rsidRPr="00D610D5" w:rsidP="008921D7" w14:paraId="4FBAA8AC" w14:textId="63B22C89">
            <w:pPr>
              <w:jc w:val="right"/>
              <w:rPr>
                <w:color w:val="000000"/>
                <w:sz w:val="22"/>
                <w:szCs w:val="22"/>
              </w:rPr>
            </w:pPr>
            <w:r w:rsidRPr="00D610D5">
              <w:rPr>
                <w:color w:val="000000"/>
                <w:sz w:val="22"/>
                <w:szCs w:val="22"/>
              </w:rPr>
              <w:t xml:space="preserve">90 </w:t>
            </w:r>
          </w:p>
        </w:tc>
        <w:tc>
          <w:tcPr>
            <w:tcW w:w="1080" w:type="dxa"/>
            <w:shd w:val="clear" w:color="auto" w:fill="auto"/>
            <w:noWrap/>
            <w:vAlign w:val="bottom"/>
            <w:hideMark/>
          </w:tcPr>
          <w:p w:rsidR="008921D7" w:rsidRPr="00D610D5" w:rsidP="008921D7" w14:paraId="46E5A819" w14:textId="2124673D">
            <w:pPr>
              <w:jc w:val="right"/>
              <w:rPr>
                <w:color w:val="000000"/>
                <w:sz w:val="22"/>
                <w:szCs w:val="22"/>
              </w:rPr>
            </w:pPr>
            <w:r w:rsidRPr="00D610D5">
              <w:rPr>
                <w:color w:val="000000"/>
                <w:sz w:val="22"/>
                <w:szCs w:val="22"/>
              </w:rPr>
              <w:t xml:space="preserve"> 3,450 </w:t>
            </w:r>
          </w:p>
        </w:tc>
        <w:tc>
          <w:tcPr>
            <w:tcW w:w="900" w:type="dxa"/>
            <w:shd w:val="clear" w:color="auto" w:fill="auto"/>
            <w:noWrap/>
            <w:vAlign w:val="bottom"/>
          </w:tcPr>
          <w:p w:rsidR="008921D7" w:rsidRPr="00D610D5" w:rsidP="008921D7" w14:paraId="736EAA36" w14:textId="49DB7239">
            <w:pPr>
              <w:jc w:val="right"/>
              <w:rPr>
                <w:color w:val="000000"/>
                <w:sz w:val="22"/>
                <w:szCs w:val="22"/>
              </w:rPr>
            </w:pPr>
            <w:r>
              <w:rPr>
                <w:color w:val="000000"/>
                <w:sz w:val="22"/>
                <w:szCs w:val="22"/>
              </w:rPr>
              <w:t>$35.67</w:t>
            </w:r>
          </w:p>
        </w:tc>
        <w:tc>
          <w:tcPr>
            <w:tcW w:w="1800" w:type="dxa"/>
            <w:vAlign w:val="bottom"/>
          </w:tcPr>
          <w:p w:rsidR="008921D7" w:rsidRPr="00D610D5" w:rsidP="008921D7" w14:paraId="7E242CB0" w14:textId="152938D6">
            <w:pPr>
              <w:jc w:val="right"/>
              <w:rPr>
                <w:color w:val="000000"/>
                <w:sz w:val="22"/>
                <w:szCs w:val="22"/>
              </w:rPr>
            </w:pPr>
            <w:r>
              <w:rPr>
                <w:color w:val="000000"/>
                <w:sz w:val="22"/>
                <w:szCs w:val="22"/>
              </w:rPr>
              <w:t>$123,062</w:t>
            </w:r>
          </w:p>
        </w:tc>
      </w:tr>
      <w:tr w14:paraId="3AD3DB8E" w14:textId="4CD356BF" w:rsidTr="00D610D5">
        <w:tblPrEx>
          <w:tblW w:w="10530" w:type="dxa"/>
          <w:tblInd w:w="-455" w:type="dxa"/>
          <w:tblLayout w:type="fixed"/>
          <w:tblLook w:val="04A0"/>
        </w:tblPrEx>
        <w:trPr>
          <w:trHeight w:val="683"/>
        </w:trPr>
        <w:tc>
          <w:tcPr>
            <w:tcW w:w="1620" w:type="dxa"/>
            <w:shd w:val="clear" w:color="auto" w:fill="auto"/>
            <w:noWrap/>
            <w:vAlign w:val="bottom"/>
          </w:tcPr>
          <w:p w:rsidR="00064EE1" w:rsidRPr="00D610D5" w:rsidP="00064EE1" w14:paraId="249D5961" w14:textId="5A0896CB">
            <w:pPr>
              <w:rPr>
                <w:color w:val="000000"/>
                <w:sz w:val="22"/>
                <w:szCs w:val="22"/>
              </w:rPr>
            </w:pPr>
            <w:r w:rsidRPr="00D610D5">
              <w:rPr>
                <w:color w:val="000000"/>
                <w:sz w:val="22"/>
                <w:szCs w:val="22"/>
              </w:rPr>
              <w:t>Justice of the peace offices in Texas</w:t>
            </w:r>
          </w:p>
        </w:tc>
        <w:tc>
          <w:tcPr>
            <w:tcW w:w="1440" w:type="dxa"/>
            <w:shd w:val="clear" w:color="auto" w:fill="auto"/>
            <w:noWrap/>
            <w:vAlign w:val="bottom"/>
          </w:tcPr>
          <w:p w:rsidR="00064EE1" w:rsidRPr="00D610D5" w:rsidP="00064EE1" w14:paraId="437AACD7" w14:textId="659F7959">
            <w:pPr>
              <w:jc w:val="right"/>
              <w:rPr>
                <w:color w:val="000000"/>
                <w:sz w:val="22"/>
                <w:szCs w:val="22"/>
              </w:rPr>
            </w:pPr>
            <w:r w:rsidRPr="00D610D5">
              <w:rPr>
                <w:color w:val="000000"/>
                <w:sz w:val="22"/>
                <w:szCs w:val="22"/>
              </w:rPr>
              <w:t>700</w:t>
            </w:r>
          </w:p>
        </w:tc>
        <w:tc>
          <w:tcPr>
            <w:tcW w:w="810" w:type="dxa"/>
            <w:vAlign w:val="bottom"/>
          </w:tcPr>
          <w:p w:rsidR="00064EE1" w:rsidRPr="00D610D5" w:rsidP="00064EE1" w14:paraId="1D68904B" w14:textId="3DC0F559">
            <w:pPr>
              <w:jc w:val="right"/>
              <w:rPr>
                <w:color w:val="000000"/>
                <w:sz w:val="22"/>
                <w:szCs w:val="22"/>
              </w:rPr>
            </w:pPr>
            <w:r w:rsidRPr="00D610D5">
              <w:rPr>
                <w:color w:val="000000"/>
                <w:sz w:val="22"/>
                <w:szCs w:val="22"/>
              </w:rPr>
              <w:t>1</w:t>
            </w:r>
          </w:p>
        </w:tc>
        <w:tc>
          <w:tcPr>
            <w:tcW w:w="1350" w:type="dxa"/>
            <w:shd w:val="clear" w:color="auto" w:fill="auto"/>
            <w:noWrap/>
            <w:vAlign w:val="bottom"/>
          </w:tcPr>
          <w:p w:rsidR="00064EE1" w:rsidRPr="00D610D5" w:rsidP="00064EE1" w14:paraId="54457C56" w14:textId="60832A71">
            <w:pPr>
              <w:jc w:val="right"/>
              <w:rPr>
                <w:color w:val="000000"/>
                <w:sz w:val="22"/>
                <w:szCs w:val="22"/>
              </w:rPr>
            </w:pPr>
            <w:r w:rsidRPr="00D610D5">
              <w:rPr>
                <w:color w:val="000000"/>
                <w:sz w:val="22"/>
                <w:szCs w:val="22"/>
              </w:rPr>
              <w:t>700</w:t>
            </w:r>
          </w:p>
        </w:tc>
        <w:tc>
          <w:tcPr>
            <w:tcW w:w="1530" w:type="dxa"/>
            <w:shd w:val="clear" w:color="auto" w:fill="auto"/>
            <w:noWrap/>
            <w:vAlign w:val="bottom"/>
          </w:tcPr>
          <w:p w:rsidR="00064EE1" w:rsidRPr="00D610D5" w:rsidP="00064EE1" w14:paraId="08BFCCFB" w14:textId="336F637D">
            <w:pPr>
              <w:jc w:val="right"/>
              <w:rPr>
                <w:color w:val="000000"/>
                <w:sz w:val="22"/>
                <w:szCs w:val="22"/>
              </w:rPr>
            </w:pPr>
            <w:r w:rsidRPr="00D610D5">
              <w:rPr>
                <w:color w:val="000000"/>
                <w:sz w:val="22"/>
                <w:szCs w:val="22"/>
              </w:rPr>
              <w:t>90</w:t>
            </w:r>
          </w:p>
        </w:tc>
        <w:tc>
          <w:tcPr>
            <w:tcW w:w="1080" w:type="dxa"/>
            <w:shd w:val="clear" w:color="auto" w:fill="auto"/>
            <w:noWrap/>
            <w:vAlign w:val="bottom"/>
          </w:tcPr>
          <w:p w:rsidR="00064EE1" w:rsidRPr="00D610D5" w:rsidP="00064EE1" w14:paraId="41277593" w14:textId="30CF8CDC">
            <w:pPr>
              <w:jc w:val="right"/>
              <w:rPr>
                <w:color w:val="000000"/>
                <w:sz w:val="22"/>
                <w:szCs w:val="22"/>
              </w:rPr>
            </w:pPr>
            <w:r w:rsidRPr="00D610D5">
              <w:rPr>
                <w:color w:val="000000"/>
                <w:sz w:val="22"/>
                <w:szCs w:val="22"/>
              </w:rPr>
              <w:t>1,050</w:t>
            </w:r>
          </w:p>
        </w:tc>
        <w:tc>
          <w:tcPr>
            <w:tcW w:w="900" w:type="dxa"/>
            <w:shd w:val="clear" w:color="auto" w:fill="auto"/>
            <w:noWrap/>
            <w:vAlign w:val="bottom"/>
          </w:tcPr>
          <w:p w:rsidR="00064EE1" w:rsidRPr="00D610D5" w:rsidP="00064EE1" w14:paraId="21D671AE" w14:textId="666D70E6">
            <w:pPr>
              <w:jc w:val="right"/>
              <w:rPr>
                <w:color w:val="000000"/>
                <w:sz w:val="22"/>
                <w:szCs w:val="22"/>
              </w:rPr>
            </w:pPr>
            <w:r>
              <w:rPr>
                <w:color w:val="000000"/>
                <w:sz w:val="22"/>
                <w:szCs w:val="22"/>
              </w:rPr>
              <w:t>$35.67</w:t>
            </w:r>
          </w:p>
        </w:tc>
        <w:tc>
          <w:tcPr>
            <w:tcW w:w="1800" w:type="dxa"/>
            <w:vAlign w:val="bottom"/>
          </w:tcPr>
          <w:p w:rsidR="00064EE1" w:rsidRPr="00D610D5" w:rsidP="00064EE1" w14:paraId="62B3AC22" w14:textId="042F8C3B">
            <w:pPr>
              <w:jc w:val="right"/>
              <w:rPr>
                <w:color w:val="000000"/>
                <w:sz w:val="22"/>
                <w:szCs w:val="22"/>
              </w:rPr>
            </w:pPr>
            <w:r>
              <w:rPr>
                <w:color w:val="000000"/>
                <w:sz w:val="22"/>
                <w:szCs w:val="22"/>
              </w:rPr>
              <w:t>$37,453</w:t>
            </w:r>
          </w:p>
        </w:tc>
      </w:tr>
      <w:tr w14:paraId="70002AFD" w14:textId="21DF90E2" w:rsidTr="00D610D5">
        <w:tblPrEx>
          <w:tblW w:w="10530" w:type="dxa"/>
          <w:tblInd w:w="-455" w:type="dxa"/>
          <w:tblLayout w:type="fixed"/>
          <w:tblLook w:val="04A0"/>
        </w:tblPrEx>
        <w:trPr>
          <w:trHeight w:val="480"/>
        </w:trPr>
        <w:tc>
          <w:tcPr>
            <w:tcW w:w="1620" w:type="dxa"/>
            <w:tcBorders>
              <w:bottom w:val="single" w:sz="6" w:space="0" w:color="auto"/>
            </w:tcBorders>
            <w:shd w:val="clear" w:color="auto" w:fill="auto"/>
            <w:noWrap/>
            <w:vAlign w:val="bottom"/>
            <w:hideMark/>
          </w:tcPr>
          <w:p w:rsidR="00064EE1" w:rsidRPr="00D610D5" w:rsidP="00064EE1" w14:paraId="3AAE6CC3" w14:textId="674911E4">
            <w:pPr>
              <w:rPr>
                <w:color w:val="000000"/>
                <w:sz w:val="22"/>
                <w:szCs w:val="22"/>
              </w:rPr>
            </w:pPr>
            <w:r w:rsidRPr="00D610D5">
              <w:rPr>
                <w:color w:val="000000"/>
                <w:sz w:val="22"/>
                <w:szCs w:val="22"/>
              </w:rPr>
              <w:t>Data Quality Follow-Up</w:t>
            </w:r>
          </w:p>
        </w:tc>
        <w:tc>
          <w:tcPr>
            <w:tcW w:w="1440" w:type="dxa"/>
            <w:tcBorders>
              <w:bottom w:val="single" w:sz="6" w:space="0" w:color="auto"/>
            </w:tcBorders>
            <w:shd w:val="clear" w:color="auto" w:fill="auto"/>
            <w:noWrap/>
            <w:vAlign w:val="bottom"/>
            <w:hideMark/>
          </w:tcPr>
          <w:p w:rsidR="00064EE1" w:rsidRPr="00D610D5" w:rsidP="00064EE1" w14:paraId="508F592B" w14:textId="2EE9FFDB">
            <w:pPr>
              <w:jc w:val="right"/>
              <w:rPr>
                <w:color w:val="000000"/>
                <w:sz w:val="22"/>
                <w:szCs w:val="22"/>
              </w:rPr>
            </w:pPr>
            <w:r w:rsidRPr="00D610D5">
              <w:rPr>
                <w:color w:val="000000"/>
                <w:sz w:val="22"/>
                <w:szCs w:val="22"/>
              </w:rPr>
              <w:t xml:space="preserve"> 1,500 </w:t>
            </w:r>
          </w:p>
        </w:tc>
        <w:tc>
          <w:tcPr>
            <w:tcW w:w="810" w:type="dxa"/>
            <w:tcBorders>
              <w:bottom w:val="single" w:sz="6" w:space="0" w:color="auto"/>
            </w:tcBorders>
            <w:vAlign w:val="bottom"/>
          </w:tcPr>
          <w:p w:rsidR="00064EE1" w:rsidRPr="00D610D5" w:rsidP="00064EE1" w14:paraId="3CD7C8DE" w14:textId="1F9A8CC8">
            <w:pPr>
              <w:jc w:val="right"/>
              <w:rPr>
                <w:color w:val="000000"/>
                <w:sz w:val="22"/>
                <w:szCs w:val="22"/>
              </w:rPr>
            </w:pPr>
            <w:r w:rsidRPr="00D610D5">
              <w:rPr>
                <w:color w:val="000000"/>
                <w:sz w:val="22"/>
                <w:szCs w:val="22"/>
              </w:rPr>
              <w:t>1</w:t>
            </w:r>
          </w:p>
        </w:tc>
        <w:tc>
          <w:tcPr>
            <w:tcW w:w="1350" w:type="dxa"/>
            <w:tcBorders>
              <w:bottom w:val="single" w:sz="6" w:space="0" w:color="auto"/>
            </w:tcBorders>
            <w:shd w:val="clear" w:color="auto" w:fill="auto"/>
            <w:noWrap/>
            <w:vAlign w:val="bottom"/>
            <w:hideMark/>
          </w:tcPr>
          <w:p w:rsidR="00064EE1" w:rsidRPr="00D610D5" w:rsidP="00064EE1" w14:paraId="265CA8C7" w14:textId="364A81A8">
            <w:pPr>
              <w:jc w:val="right"/>
              <w:rPr>
                <w:color w:val="000000"/>
                <w:sz w:val="22"/>
                <w:szCs w:val="22"/>
              </w:rPr>
            </w:pPr>
            <w:r w:rsidRPr="00D610D5">
              <w:rPr>
                <w:color w:val="000000"/>
                <w:sz w:val="22"/>
                <w:szCs w:val="22"/>
              </w:rPr>
              <w:t xml:space="preserve"> 1,500 </w:t>
            </w:r>
          </w:p>
        </w:tc>
        <w:tc>
          <w:tcPr>
            <w:tcW w:w="1530" w:type="dxa"/>
            <w:tcBorders>
              <w:bottom w:val="single" w:sz="6" w:space="0" w:color="auto"/>
            </w:tcBorders>
            <w:shd w:val="clear" w:color="auto" w:fill="auto"/>
            <w:noWrap/>
            <w:vAlign w:val="bottom"/>
            <w:hideMark/>
          </w:tcPr>
          <w:p w:rsidR="00064EE1" w:rsidRPr="00D610D5" w:rsidP="00064EE1" w14:paraId="4BC3B22F" w14:textId="23BB2CBD">
            <w:pPr>
              <w:jc w:val="right"/>
              <w:rPr>
                <w:color w:val="000000"/>
                <w:sz w:val="22"/>
                <w:szCs w:val="22"/>
              </w:rPr>
            </w:pPr>
            <w:r w:rsidRPr="00D610D5">
              <w:rPr>
                <w:color w:val="000000"/>
                <w:sz w:val="22"/>
                <w:szCs w:val="22"/>
              </w:rPr>
              <w:t xml:space="preserve">15 </w:t>
            </w:r>
          </w:p>
        </w:tc>
        <w:tc>
          <w:tcPr>
            <w:tcW w:w="1080" w:type="dxa"/>
            <w:tcBorders>
              <w:bottom w:val="single" w:sz="6" w:space="0" w:color="auto"/>
            </w:tcBorders>
            <w:shd w:val="clear" w:color="auto" w:fill="auto"/>
            <w:noWrap/>
            <w:vAlign w:val="bottom"/>
            <w:hideMark/>
          </w:tcPr>
          <w:p w:rsidR="00064EE1" w:rsidRPr="00D610D5" w:rsidP="00064EE1" w14:paraId="2D979163" w14:textId="654E68CB">
            <w:pPr>
              <w:jc w:val="right"/>
              <w:rPr>
                <w:color w:val="000000"/>
                <w:sz w:val="22"/>
                <w:szCs w:val="22"/>
              </w:rPr>
            </w:pPr>
            <w:r w:rsidRPr="00D610D5">
              <w:rPr>
                <w:color w:val="000000"/>
                <w:sz w:val="22"/>
                <w:szCs w:val="22"/>
              </w:rPr>
              <w:t xml:space="preserve"> 375 </w:t>
            </w:r>
          </w:p>
        </w:tc>
        <w:tc>
          <w:tcPr>
            <w:tcW w:w="900" w:type="dxa"/>
            <w:tcBorders>
              <w:bottom w:val="single" w:sz="6" w:space="0" w:color="auto"/>
            </w:tcBorders>
            <w:shd w:val="clear" w:color="auto" w:fill="auto"/>
            <w:noWrap/>
            <w:vAlign w:val="bottom"/>
          </w:tcPr>
          <w:p w:rsidR="00064EE1" w:rsidRPr="00D610D5" w:rsidP="00064EE1" w14:paraId="2AB1546A" w14:textId="3B7173B1">
            <w:pPr>
              <w:jc w:val="right"/>
              <w:rPr>
                <w:color w:val="000000"/>
                <w:sz w:val="22"/>
                <w:szCs w:val="22"/>
              </w:rPr>
            </w:pPr>
            <w:r>
              <w:rPr>
                <w:color w:val="000000"/>
                <w:sz w:val="22"/>
                <w:szCs w:val="22"/>
              </w:rPr>
              <w:t>$35.67</w:t>
            </w:r>
          </w:p>
        </w:tc>
        <w:tc>
          <w:tcPr>
            <w:tcW w:w="1800" w:type="dxa"/>
            <w:tcBorders>
              <w:bottom w:val="single" w:sz="6" w:space="0" w:color="auto"/>
            </w:tcBorders>
            <w:vAlign w:val="bottom"/>
          </w:tcPr>
          <w:p w:rsidR="00064EE1" w:rsidRPr="00D610D5" w:rsidP="00064EE1" w14:paraId="18C60399" w14:textId="0690EACB">
            <w:pPr>
              <w:jc w:val="right"/>
              <w:rPr>
                <w:color w:val="000000"/>
                <w:sz w:val="22"/>
                <w:szCs w:val="22"/>
              </w:rPr>
            </w:pPr>
            <w:r>
              <w:rPr>
                <w:color w:val="000000"/>
                <w:sz w:val="22"/>
                <w:szCs w:val="22"/>
              </w:rPr>
              <w:t>$13,376</w:t>
            </w:r>
          </w:p>
        </w:tc>
      </w:tr>
      <w:tr w14:paraId="17C7C4B9" w14:textId="7F84C1B8" w:rsidTr="00D610D5">
        <w:tblPrEx>
          <w:tblW w:w="10530" w:type="dxa"/>
          <w:tblInd w:w="-455" w:type="dxa"/>
          <w:tblLayout w:type="fixed"/>
          <w:tblLook w:val="04A0"/>
        </w:tblPrEx>
        <w:trPr>
          <w:trHeight w:val="498"/>
        </w:trPr>
        <w:tc>
          <w:tcPr>
            <w:tcW w:w="1620" w:type="dxa"/>
            <w:tcBorders>
              <w:bottom w:val="single" w:sz="6" w:space="0" w:color="auto"/>
            </w:tcBorders>
            <w:shd w:val="clear" w:color="auto" w:fill="auto"/>
            <w:noWrap/>
            <w:vAlign w:val="bottom"/>
          </w:tcPr>
          <w:p w:rsidR="00064EE1" w:rsidRPr="00D610D5" w:rsidP="00064EE1" w14:paraId="671DBB2E" w14:textId="19C15D64">
            <w:pPr>
              <w:rPr>
                <w:b/>
                <w:bCs/>
                <w:color w:val="000000"/>
                <w:sz w:val="22"/>
                <w:szCs w:val="22"/>
              </w:rPr>
            </w:pPr>
            <w:r w:rsidRPr="00D610D5">
              <w:rPr>
                <w:b/>
                <w:bCs/>
                <w:color w:val="000000"/>
                <w:sz w:val="22"/>
                <w:szCs w:val="22"/>
              </w:rPr>
              <w:t>Total</w:t>
            </w:r>
          </w:p>
        </w:tc>
        <w:tc>
          <w:tcPr>
            <w:tcW w:w="1440" w:type="dxa"/>
            <w:tcBorders>
              <w:bottom w:val="single" w:sz="6" w:space="0" w:color="auto"/>
            </w:tcBorders>
            <w:shd w:val="clear" w:color="auto" w:fill="auto"/>
            <w:noWrap/>
            <w:vAlign w:val="bottom"/>
          </w:tcPr>
          <w:p w:rsidR="00064EE1" w:rsidRPr="00D610D5" w:rsidP="00064EE1" w14:paraId="7AA2C4D9" w14:textId="32AEC271">
            <w:pPr>
              <w:jc w:val="right"/>
              <w:rPr>
                <w:b/>
                <w:bCs/>
                <w:color w:val="000000"/>
                <w:sz w:val="22"/>
                <w:szCs w:val="22"/>
              </w:rPr>
            </w:pPr>
            <w:r w:rsidRPr="00D610D5">
              <w:rPr>
                <w:b/>
                <w:bCs/>
                <w:color w:val="000000"/>
                <w:sz w:val="22"/>
                <w:szCs w:val="22"/>
              </w:rPr>
              <w:t>3,000</w:t>
            </w:r>
          </w:p>
        </w:tc>
        <w:tc>
          <w:tcPr>
            <w:tcW w:w="810" w:type="dxa"/>
            <w:tcBorders>
              <w:bottom w:val="single" w:sz="6" w:space="0" w:color="auto"/>
            </w:tcBorders>
          </w:tcPr>
          <w:p w:rsidR="00064EE1" w:rsidRPr="00D610D5" w:rsidP="00064EE1" w14:paraId="1DE46C8B" w14:textId="77777777">
            <w:pPr>
              <w:jc w:val="right"/>
              <w:rPr>
                <w:b/>
                <w:bCs/>
                <w:color w:val="000000"/>
                <w:sz w:val="22"/>
                <w:szCs w:val="22"/>
              </w:rPr>
            </w:pPr>
          </w:p>
        </w:tc>
        <w:tc>
          <w:tcPr>
            <w:tcW w:w="1350" w:type="dxa"/>
            <w:tcBorders>
              <w:bottom w:val="single" w:sz="6" w:space="0" w:color="auto"/>
            </w:tcBorders>
            <w:shd w:val="clear" w:color="auto" w:fill="auto"/>
            <w:noWrap/>
            <w:vAlign w:val="bottom"/>
          </w:tcPr>
          <w:p w:rsidR="00064EE1" w:rsidRPr="00D610D5" w:rsidP="00064EE1" w14:paraId="5166C3AC" w14:textId="419468B6">
            <w:pPr>
              <w:jc w:val="right"/>
              <w:rPr>
                <w:b/>
                <w:bCs/>
                <w:color w:val="000000"/>
                <w:sz w:val="22"/>
                <w:szCs w:val="22"/>
              </w:rPr>
            </w:pPr>
            <w:r w:rsidRPr="00D610D5">
              <w:rPr>
                <w:b/>
                <w:bCs/>
                <w:color w:val="000000"/>
                <w:sz w:val="22"/>
                <w:szCs w:val="22"/>
              </w:rPr>
              <w:t>3,000</w:t>
            </w:r>
          </w:p>
        </w:tc>
        <w:tc>
          <w:tcPr>
            <w:tcW w:w="1530" w:type="dxa"/>
            <w:tcBorders>
              <w:bottom w:val="single" w:sz="6" w:space="0" w:color="auto"/>
            </w:tcBorders>
            <w:shd w:val="clear" w:color="auto" w:fill="auto"/>
            <w:noWrap/>
            <w:vAlign w:val="bottom"/>
          </w:tcPr>
          <w:p w:rsidR="00064EE1" w:rsidRPr="00D610D5" w:rsidP="00064EE1" w14:paraId="6E6D8DA6" w14:textId="77777777">
            <w:pPr>
              <w:jc w:val="right"/>
              <w:rPr>
                <w:b/>
                <w:bCs/>
                <w:color w:val="000000"/>
                <w:sz w:val="22"/>
                <w:szCs w:val="22"/>
              </w:rPr>
            </w:pPr>
          </w:p>
        </w:tc>
        <w:tc>
          <w:tcPr>
            <w:tcW w:w="1080" w:type="dxa"/>
            <w:tcBorders>
              <w:bottom w:val="single" w:sz="6" w:space="0" w:color="auto"/>
            </w:tcBorders>
            <w:shd w:val="clear" w:color="auto" w:fill="auto"/>
            <w:noWrap/>
            <w:vAlign w:val="bottom"/>
          </w:tcPr>
          <w:p w:rsidR="00064EE1" w:rsidRPr="00D610D5" w:rsidP="00064EE1" w14:paraId="7BE01648" w14:textId="4692E507">
            <w:pPr>
              <w:jc w:val="right"/>
              <w:rPr>
                <w:b/>
                <w:bCs/>
                <w:color w:val="000000"/>
                <w:sz w:val="22"/>
                <w:szCs w:val="22"/>
              </w:rPr>
            </w:pPr>
            <w:r w:rsidRPr="00D610D5">
              <w:rPr>
                <w:b/>
                <w:bCs/>
                <w:color w:val="000000"/>
                <w:sz w:val="22"/>
                <w:szCs w:val="22"/>
              </w:rPr>
              <w:t>4,875</w:t>
            </w:r>
          </w:p>
        </w:tc>
        <w:tc>
          <w:tcPr>
            <w:tcW w:w="900" w:type="dxa"/>
            <w:tcBorders>
              <w:bottom w:val="single" w:sz="6" w:space="0" w:color="auto"/>
            </w:tcBorders>
            <w:shd w:val="clear" w:color="auto" w:fill="auto"/>
            <w:noWrap/>
            <w:vAlign w:val="bottom"/>
          </w:tcPr>
          <w:p w:rsidR="00064EE1" w:rsidRPr="00D610D5" w:rsidP="00064EE1" w14:paraId="5EC3C775" w14:textId="30C8DC0F">
            <w:pPr>
              <w:jc w:val="right"/>
              <w:rPr>
                <w:b/>
                <w:bCs/>
                <w:color w:val="000000"/>
                <w:sz w:val="22"/>
                <w:szCs w:val="22"/>
              </w:rPr>
            </w:pPr>
          </w:p>
        </w:tc>
        <w:tc>
          <w:tcPr>
            <w:tcW w:w="1800" w:type="dxa"/>
            <w:tcBorders>
              <w:bottom w:val="single" w:sz="6" w:space="0" w:color="auto"/>
            </w:tcBorders>
            <w:vAlign w:val="bottom"/>
          </w:tcPr>
          <w:p w:rsidR="00064EE1" w:rsidRPr="00D610D5" w:rsidP="00064EE1" w14:paraId="2308B871" w14:textId="4C85B0BB">
            <w:pPr>
              <w:jc w:val="right"/>
              <w:rPr>
                <w:b/>
                <w:bCs/>
                <w:color w:val="000000"/>
                <w:sz w:val="22"/>
                <w:szCs w:val="22"/>
              </w:rPr>
            </w:pPr>
            <w:r>
              <w:rPr>
                <w:b/>
                <w:bCs/>
                <w:color w:val="000000"/>
                <w:sz w:val="22"/>
                <w:szCs w:val="22"/>
              </w:rPr>
              <w:t>$173,891</w:t>
            </w:r>
          </w:p>
        </w:tc>
      </w:tr>
    </w:tbl>
    <w:p w:rsidR="00C6356B" w:rsidP="00631C32" w14:paraId="161B200B" w14:textId="5DEA82B9">
      <w:pPr>
        <w:shd w:val="solid" w:color="FFFFFF" w:fill="FFFFFF"/>
        <w:tabs>
          <w:tab w:val="left" w:pos="720"/>
        </w:tabs>
        <w:rPr>
          <w:b/>
          <w:bCs/>
        </w:rPr>
      </w:pPr>
    </w:p>
    <w:p w:rsidR="0086765B" w:rsidRPr="00B8502C" w:rsidP="0086765B" w14:paraId="5DA7B581" w14:textId="09D6BFED">
      <w:pPr>
        <w:pStyle w:val="Default"/>
        <w:rPr>
          <w:rFonts w:ascii="Times New Roman" w:hAnsi="Times New Roman" w:cs="Times New Roman"/>
          <w:color w:val="auto"/>
        </w:rPr>
      </w:pPr>
      <w:r w:rsidRPr="003312B4">
        <w:rPr>
          <w:rFonts w:ascii="Times New Roman" w:hAnsi="Times New Roman" w:cs="Times New Roman"/>
          <w:color w:val="auto"/>
        </w:rPr>
        <w:t>Assuming a pay</w:t>
      </w:r>
      <w:r>
        <w:rPr>
          <w:rFonts w:ascii="Times New Roman" w:hAnsi="Times New Roman" w:cs="Times New Roman"/>
          <w:color w:val="auto"/>
        </w:rPr>
        <w:t xml:space="preserve"> </w:t>
      </w:r>
      <w:r w:rsidRPr="003312B4">
        <w:rPr>
          <w:rFonts w:ascii="Times New Roman" w:hAnsi="Times New Roman" w:cs="Times New Roman"/>
          <w:color w:val="auto"/>
        </w:rPr>
        <w:t>rate approximately equivalent to the GS-12 / 01 level ($</w:t>
      </w:r>
      <w:r>
        <w:rPr>
          <w:rFonts w:ascii="Times New Roman" w:hAnsi="Times New Roman" w:cs="Times New Roman"/>
          <w:color w:val="auto"/>
        </w:rPr>
        <w:t>74,441</w:t>
      </w:r>
      <w:r w:rsidRPr="003312B4">
        <w:rPr>
          <w:rFonts w:ascii="Times New Roman" w:hAnsi="Times New Roman" w:cs="Times New Roman"/>
          <w:color w:val="auto"/>
        </w:rPr>
        <w:t xml:space="preserve"> per year), the estimated agency</w:t>
      </w:r>
      <w:r>
        <w:rPr>
          <w:rFonts w:ascii="Times New Roman" w:hAnsi="Times New Roman" w:cs="Times New Roman"/>
          <w:color w:val="auto"/>
        </w:rPr>
        <w:t xml:space="preserve"> </w:t>
      </w:r>
      <w:r w:rsidRPr="003312B4">
        <w:rPr>
          <w:rFonts w:ascii="Times New Roman" w:hAnsi="Times New Roman" w:cs="Times New Roman"/>
          <w:color w:val="auto"/>
        </w:rPr>
        <w:t>cost of employee time would be approximately $</w:t>
      </w:r>
      <w:r w:rsidRPr="5549C97A">
        <w:rPr>
          <w:rFonts w:ascii="Times New Roman" w:hAnsi="Times New Roman" w:cs="Times New Roman"/>
          <w:color w:val="auto"/>
        </w:rPr>
        <w:t>3</w:t>
      </w:r>
      <w:r>
        <w:rPr>
          <w:rFonts w:ascii="Times New Roman" w:hAnsi="Times New Roman" w:cs="Times New Roman"/>
          <w:color w:val="auto"/>
        </w:rPr>
        <w:t>5</w:t>
      </w:r>
      <w:r w:rsidRPr="003312B4">
        <w:rPr>
          <w:rFonts w:ascii="Times New Roman" w:hAnsi="Times New Roman" w:cs="Times New Roman"/>
          <w:color w:val="auto"/>
        </w:rPr>
        <w:t>.</w:t>
      </w:r>
      <w:r>
        <w:rPr>
          <w:rFonts w:ascii="Times New Roman" w:hAnsi="Times New Roman" w:cs="Times New Roman"/>
          <w:color w:val="auto"/>
        </w:rPr>
        <w:t>67</w:t>
      </w:r>
      <w:r w:rsidRPr="003312B4">
        <w:rPr>
          <w:rFonts w:ascii="Times New Roman" w:hAnsi="Times New Roman" w:cs="Times New Roman"/>
          <w:color w:val="auto"/>
        </w:rPr>
        <w:t xml:space="preserve"> per hour. Based on the estimated time</w:t>
      </w:r>
      <w:r>
        <w:rPr>
          <w:rFonts w:ascii="Times New Roman" w:hAnsi="Times New Roman" w:cs="Times New Roman"/>
          <w:color w:val="auto"/>
        </w:rPr>
        <w:t xml:space="preserve"> </w:t>
      </w:r>
      <w:r w:rsidRPr="003312B4">
        <w:rPr>
          <w:rFonts w:ascii="Times New Roman" w:hAnsi="Times New Roman" w:cs="Times New Roman"/>
          <w:color w:val="auto"/>
        </w:rPr>
        <w:t xml:space="preserve">burden </w:t>
      </w:r>
      <w:r>
        <w:rPr>
          <w:rFonts w:ascii="Times New Roman" w:hAnsi="Times New Roman" w:cs="Times New Roman"/>
          <w:color w:val="auto"/>
        </w:rPr>
        <w:t xml:space="preserve">of 90 minutes (or 1.5 hours) </w:t>
      </w:r>
      <w:r w:rsidRPr="003312B4">
        <w:rPr>
          <w:rFonts w:ascii="Times New Roman" w:hAnsi="Times New Roman" w:cs="Times New Roman"/>
          <w:color w:val="auto"/>
        </w:rPr>
        <w:t>per response and employee pay rate, the total respondent employee time cost burden to</w:t>
      </w:r>
      <w:r>
        <w:rPr>
          <w:rFonts w:ascii="Times New Roman" w:hAnsi="Times New Roman" w:cs="Times New Roman"/>
          <w:color w:val="auto"/>
        </w:rPr>
        <w:t xml:space="preserve"> </w:t>
      </w:r>
      <w:r w:rsidRPr="003312B4">
        <w:rPr>
          <w:rFonts w:ascii="Times New Roman" w:hAnsi="Times New Roman" w:cs="Times New Roman"/>
          <w:color w:val="auto"/>
        </w:rPr>
        <w:t>complete the census form is estimated at $</w:t>
      </w:r>
      <w:r w:rsidRPr="40C6D7DC">
        <w:rPr>
          <w:rFonts w:ascii="Times New Roman" w:hAnsi="Times New Roman" w:cs="Times New Roman"/>
          <w:color w:val="auto"/>
        </w:rPr>
        <w:t>1</w:t>
      </w:r>
      <w:r>
        <w:rPr>
          <w:rFonts w:ascii="Times New Roman" w:hAnsi="Times New Roman" w:cs="Times New Roman"/>
          <w:color w:val="auto"/>
        </w:rPr>
        <w:t>60</w:t>
      </w:r>
      <w:r w:rsidRPr="40C6D7DC">
        <w:rPr>
          <w:rFonts w:ascii="Times New Roman" w:hAnsi="Times New Roman" w:cs="Times New Roman"/>
          <w:color w:val="auto"/>
        </w:rPr>
        <w:t>,</w:t>
      </w:r>
      <w:r>
        <w:rPr>
          <w:rFonts w:ascii="Times New Roman" w:hAnsi="Times New Roman" w:cs="Times New Roman"/>
          <w:color w:val="auto"/>
        </w:rPr>
        <w:t>515</w:t>
      </w:r>
      <w:r w:rsidRPr="003312B4">
        <w:rPr>
          <w:rFonts w:ascii="Times New Roman" w:hAnsi="Times New Roman" w:cs="Times New Roman"/>
          <w:color w:val="auto"/>
        </w:rPr>
        <w:t xml:space="preserve">. Additionally, BJS estimates that </w:t>
      </w:r>
      <w:r>
        <w:rPr>
          <w:rFonts w:ascii="Times New Roman" w:hAnsi="Times New Roman" w:cs="Times New Roman"/>
          <w:color w:val="auto"/>
        </w:rPr>
        <w:t>for</w:t>
      </w:r>
      <w:r w:rsidRPr="003312B4">
        <w:rPr>
          <w:rFonts w:ascii="Times New Roman" w:hAnsi="Times New Roman" w:cs="Times New Roman"/>
          <w:color w:val="auto"/>
        </w:rPr>
        <w:t xml:space="preserve"> about half</w:t>
      </w:r>
      <w:r>
        <w:rPr>
          <w:rFonts w:ascii="Times New Roman" w:hAnsi="Times New Roman" w:cs="Times New Roman"/>
          <w:color w:val="auto"/>
        </w:rPr>
        <w:t xml:space="preserve"> (or 1,500) </w:t>
      </w:r>
      <w:r w:rsidRPr="003312B4">
        <w:rPr>
          <w:rFonts w:ascii="Times New Roman" w:hAnsi="Times New Roman" w:cs="Times New Roman"/>
          <w:color w:val="auto"/>
        </w:rPr>
        <w:t xml:space="preserve">of the </w:t>
      </w:r>
      <w:r>
        <w:rPr>
          <w:rFonts w:ascii="Times New Roman" w:hAnsi="Times New Roman" w:cs="Times New Roman"/>
          <w:color w:val="auto"/>
        </w:rPr>
        <w:t>2023 CMEC responses</w:t>
      </w:r>
      <w:r w:rsidRPr="003312B4">
        <w:rPr>
          <w:rFonts w:ascii="Times New Roman" w:hAnsi="Times New Roman" w:cs="Times New Roman"/>
          <w:color w:val="auto"/>
        </w:rPr>
        <w:t xml:space="preserve">, we will conduct data quality follow up, taking approximately 15 minutes </w:t>
      </w:r>
      <w:r>
        <w:rPr>
          <w:rFonts w:ascii="Times New Roman" w:hAnsi="Times New Roman" w:cs="Times New Roman"/>
          <w:color w:val="auto"/>
        </w:rPr>
        <w:t xml:space="preserve">(or .25 hours) </w:t>
      </w:r>
      <w:r w:rsidRPr="003312B4">
        <w:rPr>
          <w:rFonts w:ascii="Times New Roman" w:hAnsi="Times New Roman" w:cs="Times New Roman"/>
          <w:color w:val="auto"/>
        </w:rPr>
        <w:t>to</w:t>
      </w:r>
      <w:r>
        <w:rPr>
          <w:rFonts w:ascii="Times New Roman" w:hAnsi="Times New Roman" w:cs="Times New Roman"/>
          <w:color w:val="auto"/>
        </w:rPr>
        <w:t xml:space="preserve"> </w:t>
      </w:r>
      <w:r w:rsidRPr="003312B4">
        <w:rPr>
          <w:rFonts w:ascii="Times New Roman" w:hAnsi="Times New Roman" w:cs="Times New Roman"/>
          <w:color w:val="auto"/>
        </w:rPr>
        <w:t xml:space="preserve">complete. The additional estimated respondent employee cost burden for the </w:t>
      </w:r>
      <w:r>
        <w:rPr>
          <w:rFonts w:ascii="Times New Roman" w:hAnsi="Times New Roman" w:cs="Times New Roman"/>
          <w:color w:val="auto"/>
        </w:rPr>
        <w:t>375</w:t>
      </w:r>
      <w:r w:rsidRPr="003312B4">
        <w:rPr>
          <w:rFonts w:ascii="Times New Roman" w:hAnsi="Times New Roman" w:cs="Times New Roman"/>
          <w:color w:val="auto"/>
        </w:rPr>
        <w:t xml:space="preserve"> data quality</w:t>
      </w:r>
      <w:r>
        <w:rPr>
          <w:rFonts w:ascii="Times New Roman" w:hAnsi="Times New Roman" w:cs="Times New Roman"/>
          <w:color w:val="auto"/>
        </w:rPr>
        <w:t xml:space="preserve"> </w:t>
      </w:r>
      <w:r w:rsidRPr="003312B4">
        <w:rPr>
          <w:rFonts w:ascii="Times New Roman" w:hAnsi="Times New Roman" w:cs="Times New Roman"/>
          <w:color w:val="auto"/>
        </w:rPr>
        <w:t xml:space="preserve">follow-up hours is </w:t>
      </w:r>
      <w:r w:rsidRPr="00006B33">
        <w:rPr>
          <w:rFonts w:ascii="Times New Roman" w:hAnsi="Times New Roman" w:cs="Times New Roman"/>
          <w:color w:val="auto"/>
        </w:rPr>
        <w:t>$</w:t>
      </w:r>
      <w:r>
        <w:rPr>
          <w:rFonts w:ascii="Times New Roman" w:hAnsi="Times New Roman" w:cs="Times New Roman"/>
          <w:color w:val="auto"/>
        </w:rPr>
        <w:t>13,376</w:t>
      </w:r>
      <w:r w:rsidRPr="00006B33">
        <w:rPr>
          <w:rFonts w:ascii="Times New Roman" w:hAnsi="Times New Roman" w:cs="Times New Roman"/>
          <w:color w:val="auto"/>
        </w:rPr>
        <w:t xml:space="preserve">. There are no anticipated costs to respondents beyond the employee time needed to </w:t>
      </w:r>
      <w:r w:rsidRPr="00006B33">
        <w:rPr>
          <w:rFonts w:ascii="Times New Roman" w:hAnsi="Times New Roman" w:cs="Times New Roman"/>
          <w:color w:val="auto"/>
        </w:rPr>
        <w:t>complete the survey and participate in data quality follow up. Therefore, the total cost burden to respondents associated with this clearance request is $</w:t>
      </w:r>
      <w:r>
        <w:rPr>
          <w:rFonts w:ascii="Times New Roman" w:hAnsi="Times New Roman" w:cs="Times New Roman"/>
          <w:color w:val="auto"/>
        </w:rPr>
        <w:t>173,891</w:t>
      </w:r>
      <w:r w:rsidRPr="00006B33">
        <w:rPr>
          <w:rFonts w:ascii="Times New Roman" w:hAnsi="Times New Roman" w:cs="Times New Roman"/>
          <w:color w:val="auto"/>
        </w:rPr>
        <w:t>.</w:t>
      </w:r>
    </w:p>
    <w:p w:rsidR="00AF7585" w:rsidP="00AF7585" w14:paraId="39E5AB10" w14:textId="56BE1B38">
      <w:pPr>
        <w:pStyle w:val="Default"/>
        <w:rPr>
          <w:rFonts w:ascii="Times New Roman" w:hAnsi="Times New Roman" w:cs="Times New Roman"/>
        </w:rPr>
      </w:pPr>
    </w:p>
    <w:p w:rsidR="002616FC" w:rsidP="00EA5E4F" w14:paraId="3206A332" w14:textId="77777777">
      <w:pPr>
        <w:pStyle w:val="Heading2"/>
        <w:keepNext w:val="0"/>
        <w:keepLines w:val="0"/>
        <w:spacing w:before="0" w:after="240" w:line="240" w:lineRule="auto"/>
        <w:jc w:val="left"/>
        <w:rPr>
          <w:rFonts w:ascii="Times New Roman" w:hAnsi="Times New Roman" w:cs="Times New Roman"/>
          <w:bCs w:val="0"/>
          <w:sz w:val="24"/>
          <w:szCs w:val="24"/>
        </w:rPr>
      </w:pPr>
      <w:r w:rsidRPr="00F37A78">
        <w:rPr>
          <w:rFonts w:ascii="Times New Roman" w:hAnsi="Times New Roman" w:cs="Times New Roman"/>
          <w:bCs w:val="0"/>
          <w:sz w:val="24"/>
          <w:szCs w:val="24"/>
        </w:rPr>
        <w:t>13.</w:t>
      </w:r>
      <w:r w:rsidRPr="00F37A78">
        <w:rPr>
          <w:rFonts w:ascii="Times New Roman" w:hAnsi="Times New Roman" w:cs="Times New Roman"/>
          <w:bCs w:val="0"/>
          <w:sz w:val="24"/>
          <w:szCs w:val="24"/>
        </w:rPr>
        <w:tab/>
        <w:t>Provide an estimate of the total annual cost burden to respondents or recordkeepers resulting from the collection of information. (Do not include the cost of any hour burden shown in Items 12 and 14).</w:t>
      </w:r>
    </w:p>
    <w:p w:rsidR="002616FC" w:rsidRPr="00B6047E" w:rsidP="00B6047E" w14:paraId="43AF9526" w14:textId="77777777">
      <w:pPr>
        <w:pStyle w:val="ListParagraph"/>
        <w:numPr>
          <w:ilvl w:val="0"/>
          <w:numId w:val="15"/>
        </w:numPr>
        <w:rPr>
          <w:b/>
          <w:bCs/>
        </w:rPr>
      </w:pPr>
      <w:r w:rsidRPr="00B6047E">
        <w:rPr>
          <w:b/>
          <w:bCs/>
        </w:rPr>
        <w:t xml:space="preserve">The cost estimate should be split into two components: (a) a total capital and </w:t>
      </w:r>
      <w:r w:rsidRPr="00B6047E">
        <w:rPr>
          <w:b/>
          <w:bCs/>
        </w:rPr>
        <w:t>start up</w:t>
      </w:r>
      <w:r w:rsidRPr="00B6047E">
        <w:rPr>
          <w:b/>
          <w:bCs/>
        </w:rPr>
        <w:t xml:space="preserve"> cost component (annualized over its expected useful life); and (b) a total operation and maintenance and purchase of service component. The estimates should </w:t>
      </w:r>
      <w:r w:rsidRPr="00B6047E">
        <w:rPr>
          <w:b/>
          <w:bCs/>
        </w:rPr>
        <w:t>take into account</w:t>
      </w:r>
      <w:r w:rsidRPr="00B6047E">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6047E">
        <w:rPr>
          <w:b/>
          <w:bCs/>
        </w:rPr>
        <w:t>time period</w:t>
      </w:r>
      <w:r w:rsidRPr="00B6047E">
        <w:rPr>
          <w:b/>
          <w:bCs/>
        </w:rPr>
        <w:t xml:space="preserve"> over which costs will be incurred. Capital and start-up costs include, among other items, preparations for collecting information such as purchasing computers and software; monitoring, sampling, </w:t>
      </w:r>
      <w:r w:rsidRPr="00B6047E">
        <w:rPr>
          <w:b/>
          <w:bCs/>
        </w:rPr>
        <w:t>drilling</w:t>
      </w:r>
      <w:r w:rsidRPr="00B6047E">
        <w:rPr>
          <w:b/>
          <w:bCs/>
        </w:rPr>
        <w:t xml:space="preserve"> and testing equipment; and record storage facilities.</w:t>
      </w:r>
    </w:p>
    <w:p w:rsidR="002616FC" w:rsidRPr="00B6047E" w:rsidP="00B6047E" w14:paraId="41F9A06E" w14:textId="77777777">
      <w:pPr>
        <w:pStyle w:val="ListParagraph"/>
        <w:numPr>
          <w:ilvl w:val="0"/>
          <w:numId w:val="15"/>
        </w:numPr>
        <w:rPr>
          <w:b/>
          <w:bCs/>
        </w:rPr>
      </w:pPr>
      <w:r w:rsidRPr="00B6047E">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B6047E">
        <w:rPr>
          <w:b/>
          <w:bCs/>
        </w:rPr>
        <w:t>process</w:t>
      </w:r>
      <w:r w:rsidRPr="00B6047E">
        <w:rPr>
          <w:b/>
          <w:bCs/>
        </w:rPr>
        <w:t xml:space="preserve"> and use existing economic or regulatory impact analysis associated with the rulemaking containing the information collection, as appropriate.</w:t>
      </w:r>
    </w:p>
    <w:p w:rsidR="002616FC" w:rsidRPr="00B6047E" w:rsidP="00B6047E" w14:paraId="208C7CB2" w14:textId="77777777">
      <w:pPr>
        <w:pStyle w:val="ListParagraph"/>
        <w:numPr>
          <w:ilvl w:val="0"/>
          <w:numId w:val="15"/>
        </w:numPr>
        <w:rPr>
          <w:b/>
          <w:bCs/>
        </w:rPr>
      </w:pPr>
      <w:r w:rsidRPr="00B6047E">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616FC" w:rsidP="00AF7585" w14:paraId="56270564" w14:textId="14610559">
      <w:pPr>
        <w:pStyle w:val="Default"/>
        <w:rPr>
          <w:rFonts w:ascii="Times New Roman" w:hAnsi="Times New Roman" w:cs="Times New Roman"/>
        </w:rPr>
      </w:pPr>
    </w:p>
    <w:p w:rsidR="002616FC" w:rsidP="002616FC" w14:paraId="01087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EC5">
        <w:t xml:space="preserve">There are no anticipated costs to respondents beyond the employee time expended in gathering advance information or completing the instrument. Respondents are not being asked to purchase anything or maintain any services as part of this data collection. </w:t>
      </w:r>
      <w:r w:rsidRPr="00F37A78">
        <w:t>Furthermore</w:t>
      </w:r>
      <w:r w:rsidRPr="00AB16BC">
        <w:t>, purchase of outside accounting or information collection services, if performed by the respondent, is part of usual and customary business practices, not specifically required for providing information to BJS.</w:t>
      </w:r>
      <w:r w:rsidRPr="00DE3495">
        <w:t xml:space="preserve"> </w:t>
      </w:r>
    </w:p>
    <w:p w:rsidR="00192D93" w:rsidP="002616FC" w14:paraId="5C0ACA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2D93" w:rsidRPr="00DE3495" w:rsidP="002616FC" w14:paraId="56DD37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1F78" w:rsidRPr="00B8502C" w:rsidP="00755F90" w14:paraId="25FF9D16" w14:textId="4347538B">
      <w:pPr>
        <w:pStyle w:val="Heading2"/>
        <w:keepNext w:val="0"/>
        <w:keepLines w:val="0"/>
        <w:spacing w:before="0" w:after="240" w:line="240" w:lineRule="auto"/>
        <w:jc w:val="left"/>
      </w:pPr>
      <w:r w:rsidRPr="00B6047E">
        <w:rPr>
          <w:rFonts w:ascii="Times New Roman" w:hAnsi="Times New Roman" w:cs="Times New Roman"/>
          <w:bCs w:val="0"/>
          <w:sz w:val="24"/>
          <w:szCs w:val="24"/>
        </w:rPr>
        <w:t xml:space="preserve">14. </w:t>
      </w:r>
      <w:r w:rsidRPr="00B6047E">
        <w:rPr>
          <w:rFonts w:ascii="Times New Roman" w:hAnsi="Times New Roman" w:cs="Times New Roman"/>
          <w:bCs w:val="0"/>
          <w:sz w:val="24"/>
          <w:szCs w:val="24"/>
        </w:rPr>
        <w:tab/>
        <w:t xml:space="preserve">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 </w:t>
      </w:r>
    </w:p>
    <w:p w:rsidR="00E51AD7" w:rsidP="00E51AD7" w14:paraId="16613A78" w14:textId="5069FE30">
      <w:r w:rsidRPr="0078165A">
        <w:t>The total expected cost to the Federal government for the</w:t>
      </w:r>
      <w:r>
        <w:t xml:space="preserve"> 2023 CMEC </w:t>
      </w:r>
      <w:r w:rsidRPr="0078165A">
        <w:t>is</w:t>
      </w:r>
      <w:r>
        <w:t xml:space="preserve"> </w:t>
      </w:r>
      <w:r w:rsidRPr="008C2301" w:rsidR="008C2301">
        <w:t>$1,296,618</w:t>
      </w:r>
      <w:r w:rsidRPr="0078165A">
        <w:t xml:space="preserve">. </w:t>
      </w:r>
      <w:r>
        <w:t xml:space="preserve">BJS personnel costs are calculated based on the Office of Personnel Management’s </w:t>
      </w:r>
      <w:r w:rsidR="0000266E">
        <w:t xml:space="preserve">2023 and 2024 </w:t>
      </w:r>
      <w:r>
        <w:t xml:space="preserve">salary tables. </w:t>
      </w:r>
      <w:r w:rsidRPr="0019105B">
        <w:t xml:space="preserve">This work consists of planning the project, developing the questionnaire, preparing </w:t>
      </w:r>
      <w:r w:rsidRPr="0019105B">
        <w:t>the materials, collecting the data, evaluating the results, generating the data reports</w:t>
      </w:r>
      <w:r w:rsidRPr="0078165A">
        <w:t>, and responding to media and external inquiries. A BJS GS-</w:t>
      </w:r>
      <w:r>
        <w:t>14</w:t>
      </w:r>
      <w:r w:rsidRPr="0078165A">
        <w:t xml:space="preserve"> </w:t>
      </w:r>
      <w:r>
        <w:t>Statistician</w:t>
      </w:r>
      <w:r w:rsidRPr="0078165A">
        <w:t xml:space="preserve"> </w:t>
      </w:r>
      <w:r>
        <w:t>will oversee</w:t>
      </w:r>
      <w:r w:rsidRPr="0078165A">
        <w:t xml:space="preserve"> </w:t>
      </w:r>
      <w:r>
        <w:t>RTI’s</w:t>
      </w:r>
      <w:r w:rsidRPr="0078165A">
        <w:t xml:space="preserve"> work on this project. </w:t>
      </w:r>
      <w:r>
        <w:t>Table 4 shows the estimated</w:t>
      </w:r>
      <w:r w:rsidRPr="0078165A">
        <w:t xml:space="preserve"> project budget for the </w:t>
      </w:r>
      <w:r>
        <w:t>2023 CMEC.</w:t>
      </w:r>
    </w:p>
    <w:p w:rsidR="00024D9B" w:rsidP="00E51AD7" w14:paraId="53E303CC" w14:textId="77777777"/>
    <w:tbl>
      <w:tblPr>
        <w:tblW w:w="10040" w:type="dxa"/>
        <w:tblLook w:val="04A0"/>
      </w:tblPr>
      <w:tblGrid>
        <w:gridCol w:w="5285"/>
        <w:gridCol w:w="1041"/>
        <w:gridCol w:w="1510"/>
        <w:gridCol w:w="1041"/>
        <w:gridCol w:w="1206"/>
      </w:tblGrid>
      <w:tr w14:paraId="6CA3BFFE" w14:textId="77777777" w:rsidTr="008C2301">
        <w:tblPrEx>
          <w:tblW w:w="10040" w:type="dxa"/>
          <w:tblLook w:val="04A0"/>
        </w:tblPrEx>
        <w:trPr>
          <w:trHeight w:val="300"/>
        </w:trPr>
        <w:tc>
          <w:tcPr>
            <w:tcW w:w="100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8C2301" w14:paraId="4C6F808F" w14:textId="77777777">
            <w:pPr>
              <w:rPr>
                <w:b/>
                <w:bCs/>
                <w:color w:val="000000"/>
                <w:sz w:val="22"/>
                <w:szCs w:val="22"/>
              </w:rPr>
            </w:pPr>
            <w:r>
              <w:rPr>
                <w:b/>
                <w:bCs/>
                <w:color w:val="000000"/>
                <w:sz w:val="22"/>
                <w:szCs w:val="22"/>
              </w:rPr>
              <w:t>Table 4. Estimated Costs for the 2023 CMEC</w:t>
            </w:r>
          </w:p>
        </w:tc>
      </w:tr>
      <w:tr w14:paraId="30E20605"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C2301" w14:paraId="61096F81" w14:textId="77777777">
            <w:pPr>
              <w:rPr>
                <w:rFonts w:ascii="Calibri" w:hAnsi="Calibri" w:cs="Calibri"/>
                <w:color w:val="000000"/>
                <w:sz w:val="22"/>
                <w:szCs w:val="22"/>
              </w:rPr>
            </w:pPr>
            <w:r>
              <w:rPr>
                <w:rFonts w:ascii="Calibri" w:hAnsi="Calibri" w:cs="Calibri"/>
                <w:color w:val="000000"/>
                <w:sz w:val="22"/>
                <w:szCs w:val="22"/>
              </w:rPr>
              <w:t> </w:t>
            </w:r>
          </w:p>
        </w:tc>
        <w:tc>
          <w:tcPr>
            <w:tcW w:w="3586" w:type="dxa"/>
            <w:gridSpan w:val="3"/>
            <w:tcBorders>
              <w:top w:val="single" w:sz="8" w:space="0" w:color="auto"/>
              <w:left w:val="nil"/>
              <w:bottom w:val="single" w:sz="8" w:space="0" w:color="auto"/>
              <w:right w:val="nil"/>
            </w:tcBorders>
            <w:shd w:val="clear" w:color="auto" w:fill="auto"/>
            <w:vAlign w:val="center"/>
            <w:hideMark/>
          </w:tcPr>
          <w:p w:rsidR="008C2301" w14:paraId="420787FF" w14:textId="77777777">
            <w:pPr>
              <w:jc w:val="center"/>
              <w:rPr>
                <w:color w:val="000000"/>
                <w:sz w:val="22"/>
                <w:szCs w:val="22"/>
              </w:rPr>
            </w:pPr>
            <w:r>
              <w:rPr>
                <w:color w:val="000000"/>
                <w:sz w:val="22"/>
                <w:szCs w:val="22"/>
              </w:rPr>
              <w:t>Project Year</w:t>
            </w:r>
          </w:p>
        </w:tc>
        <w:tc>
          <w:tcPr>
            <w:tcW w:w="1169" w:type="dxa"/>
            <w:tcBorders>
              <w:top w:val="nil"/>
              <w:left w:val="nil"/>
              <w:bottom w:val="single" w:sz="8" w:space="0" w:color="auto"/>
              <w:right w:val="single" w:sz="8" w:space="0" w:color="auto"/>
            </w:tcBorders>
            <w:shd w:val="clear" w:color="auto" w:fill="auto"/>
            <w:noWrap/>
            <w:vAlign w:val="bottom"/>
            <w:hideMark/>
          </w:tcPr>
          <w:p w:rsidR="008C2301" w14:paraId="35F91D33" w14:textId="77777777">
            <w:pPr>
              <w:rPr>
                <w:rFonts w:ascii="Calibri" w:hAnsi="Calibri" w:cs="Calibri"/>
                <w:color w:val="000000"/>
                <w:sz w:val="22"/>
                <w:szCs w:val="22"/>
              </w:rPr>
            </w:pPr>
            <w:r>
              <w:rPr>
                <w:rFonts w:ascii="Calibri" w:hAnsi="Calibri" w:cs="Calibri"/>
                <w:color w:val="000000"/>
                <w:sz w:val="22"/>
                <w:szCs w:val="22"/>
              </w:rPr>
              <w:t> </w:t>
            </w:r>
          </w:p>
        </w:tc>
      </w:tr>
      <w:tr w14:paraId="2C429DA6"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6A0DB525" w14:textId="77777777">
            <w:pPr>
              <w:rPr>
                <w:rFonts w:ascii="Calibri" w:hAnsi="Calibri" w:cs="Calibri"/>
                <w:color w:val="000000"/>
                <w:sz w:val="22"/>
                <w:szCs w:val="22"/>
              </w:rPr>
            </w:pPr>
            <w:r>
              <w:rPr>
                <w:rFonts w:ascii="Calibri" w:hAnsi="Calibri" w:cs="Calibri"/>
                <w:color w:val="000000"/>
                <w:sz w:val="22"/>
                <w:szCs w:val="22"/>
              </w:rPr>
              <w:t>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2AEB49A6" w14:textId="77777777">
            <w:pPr>
              <w:jc w:val="center"/>
              <w:rPr>
                <w:color w:val="000000"/>
                <w:sz w:val="22"/>
                <w:szCs w:val="22"/>
              </w:rPr>
            </w:pPr>
            <w:r>
              <w:rPr>
                <w:color w:val="000000"/>
                <w:sz w:val="22"/>
                <w:szCs w:val="22"/>
              </w:rPr>
              <w:t>2023</w:t>
            </w:r>
          </w:p>
        </w:tc>
        <w:tc>
          <w:tcPr>
            <w:tcW w:w="1510" w:type="dxa"/>
            <w:tcBorders>
              <w:top w:val="nil"/>
              <w:left w:val="nil"/>
              <w:bottom w:val="single" w:sz="8" w:space="0" w:color="auto"/>
              <w:right w:val="single" w:sz="8" w:space="0" w:color="auto"/>
            </w:tcBorders>
            <w:shd w:val="clear" w:color="auto" w:fill="auto"/>
            <w:vAlign w:val="center"/>
            <w:hideMark/>
          </w:tcPr>
          <w:p w:rsidR="008C2301" w14:paraId="1F752CCA" w14:textId="77777777">
            <w:pPr>
              <w:jc w:val="center"/>
              <w:rPr>
                <w:color w:val="000000"/>
                <w:sz w:val="22"/>
                <w:szCs w:val="22"/>
              </w:rPr>
            </w:pPr>
            <w:r>
              <w:rPr>
                <w:color w:val="000000"/>
                <w:sz w:val="22"/>
                <w:szCs w:val="22"/>
              </w:rPr>
              <w:t>2024</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6D43FFCC" w14:textId="77777777">
            <w:pPr>
              <w:jc w:val="center"/>
              <w:rPr>
                <w:color w:val="000000"/>
                <w:sz w:val="22"/>
                <w:szCs w:val="22"/>
              </w:rPr>
            </w:pPr>
            <w:r>
              <w:rPr>
                <w:color w:val="000000"/>
                <w:sz w:val="22"/>
                <w:szCs w:val="22"/>
              </w:rPr>
              <w:t>2025</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64B91AB6" w14:textId="77777777">
            <w:pPr>
              <w:jc w:val="center"/>
              <w:rPr>
                <w:b/>
                <w:bCs/>
                <w:color w:val="000000"/>
                <w:sz w:val="22"/>
                <w:szCs w:val="22"/>
              </w:rPr>
            </w:pPr>
            <w:r>
              <w:rPr>
                <w:b/>
                <w:bCs/>
                <w:color w:val="000000"/>
                <w:sz w:val="22"/>
                <w:szCs w:val="22"/>
              </w:rPr>
              <w:t>Total</w:t>
            </w:r>
          </w:p>
        </w:tc>
      </w:tr>
      <w:tr w14:paraId="25D87CBC"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12A6A181" w14:textId="77777777">
            <w:pPr>
              <w:rPr>
                <w:b/>
                <w:bCs/>
                <w:color w:val="000000"/>
                <w:sz w:val="22"/>
                <w:szCs w:val="22"/>
              </w:rPr>
            </w:pPr>
            <w:r>
              <w:rPr>
                <w:b/>
                <w:bCs/>
                <w:color w:val="000000"/>
                <w:sz w:val="22"/>
                <w:szCs w:val="22"/>
              </w:rPr>
              <w:t>BJS cost</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D8E8E2F" w14:textId="77777777">
            <w:pPr>
              <w:rPr>
                <w:rFonts w:ascii="Calibri" w:hAnsi="Calibri" w:cs="Calibri"/>
                <w:color w:val="000000"/>
                <w:sz w:val="22"/>
                <w:szCs w:val="22"/>
              </w:rPr>
            </w:pPr>
            <w:r>
              <w:rPr>
                <w:rFonts w:ascii="Calibri" w:hAnsi="Calibri" w:cs="Calibri"/>
                <w:color w:val="000000"/>
                <w:sz w:val="22"/>
                <w:szCs w:val="22"/>
              </w:rPr>
              <w:t> </w:t>
            </w:r>
          </w:p>
        </w:tc>
        <w:tc>
          <w:tcPr>
            <w:tcW w:w="1510" w:type="dxa"/>
            <w:tcBorders>
              <w:top w:val="nil"/>
              <w:left w:val="nil"/>
              <w:bottom w:val="single" w:sz="8" w:space="0" w:color="auto"/>
              <w:right w:val="single" w:sz="8" w:space="0" w:color="auto"/>
            </w:tcBorders>
            <w:shd w:val="clear" w:color="auto" w:fill="auto"/>
            <w:vAlign w:val="center"/>
            <w:hideMark/>
          </w:tcPr>
          <w:p w:rsidR="008C2301" w14:paraId="00F15D05" w14:textId="77777777">
            <w:pPr>
              <w:jc w:val="center"/>
              <w:rPr>
                <w:color w:val="000000"/>
                <w:sz w:val="20"/>
                <w:szCs w:val="20"/>
              </w:rPr>
            </w:pPr>
            <w:r>
              <w:rPr>
                <w:color w:val="000000"/>
                <w:sz w:val="20"/>
                <w:szCs w:val="20"/>
              </w:rPr>
              <w:t> </w:t>
            </w:r>
          </w:p>
        </w:tc>
        <w:tc>
          <w:tcPr>
            <w:tcW w:w="1038" w:type="dxa"/>
            <w:tcBorders>
              <w:top w:val="nil"/>
              <w:left w:val="nil"/>
              <w:bottom w:val="single" w:sz="8" w:space="0" w:color="auto"/>
              <w:right w:val="single" w:sz="8" w:space="0" w:color="auto"/>
            </w:tcBorders>
            <w:shd w:val="clear" w:color="auto" w:fill="auto"/>
            <w:noWrap/>
            <w:vAlign w:val="bottom"/>
            <w:hideMark/>
          </w:tcPr>
          <w:p w:rsidR="008C2301" w14:paraId="468A4848" w14:textId="77777777">
            <w:pPr>
              <w:rPr>
                <w:rFonts w:ascii="Calibri" w:hAnsi="Calibri" w:cs="Calibri"/>
                <w:color w:val="000000"/>
                <w:sz w:val="22"/>
                <w:szCs w:val="22"/>
              </w:rPr>
            </w:pPr>
            <w:r>
              <w:rPr>
                <w:rFonts w:ascii="Calibri" w:hAnsi="Calibri" w:cs="Calibri"/>
                <w:color w:val="000000"/>
                <w:sz w:val="22"/>
                <w:szCs w:val="22"/>
              </w:rPr>
              <w:t> </w:t>
            </w:r>
          </w:p>
        </w:tc>
        <w:tc>
          <w:tcPr>
            <w:tcW w:w="1169" w:type="dxa"/>
            <w:tcBorders>
              <w:top w:val="nil"/>
              <w:left w:val="nil"/>
              <w:bottom w:val="single" w:sz="8" w:space="0" w:color="auto"/>
              <w:right w:val="single" w:sz="8" w:space="0" w:color="auto"/>
            </w:tcBorders>
            <w:shd w:val="clear" w:color="auto" w:fill="auto"/>
            <w:noWrap/>
            <w:vAlign w:val="bottom"/>
            <w:hideMark/>
          </w:tcPr>
          <w:p w:rsidR="008C2301" w14:paraId="4203C63A" w14:textId="77777777">
            <w:pPr>
              <w:rPr>
                <w:rFonts w:ascii="Calibri" w:hAnsi="Calibri" w:cs="Calibri"/>
                <w:color w:val="000000"/>
                <w:sz w:val="22"/>
                <w:szCs w:val="22"/>
              </w:rPr>
            </w:pPr>
            <w:r>
              <w:rPr>
                <w:rFonts w:ascii="Calibri" w:hAnsi="Calibri" w:cs="Calibri"/>
                <w:color w:val="000000"/>
                <w:sz w:val="22"/>
                <w:szCs w:val="22"/>
              </w:rPr>
              <w:t> </w:t>
            </w:r>
          </w:p>
        </w:tc>
      </w:tr>
      <w:tr w14:paraId="42692E9E"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7D35EDB8" w14:textId="77777777">
            <w:pPr>
              <w:rPr>
                <w:b/>
                <w:bCs/>
                <w:color w:val="000000"/>
                <w:sz w:val="22"/>
                <w:szCs w:val="22"/>
              </w:rPr>
            </w:pPr>
            <w:r>
              <w:rPr>
                <w:b/>
                <w:bCs/>
                <w:color w:val="000000"/>
                <w:sz w:val="22"/>
                <w:szCs w:val="22"/>
              </w:rPr>
              <w:t>Staff salaries</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8ED993E" w14:textId="77777777">
            <w:pPr>
              <w:rPr>
                <w:rFonts w:ascii="Calibri" w:hAnsi="Calibri" w:cs="Calibri"/>
                <w:color w:val="000000"/>
                <w:sz w:val="22"/>
                <w:szCs w:val="22"/>
              </w:rPr>
            </w:pPr>
            <w:r>
              <w:rPr>
                <w:rFonts w:ascii="Calibri" w:hAnsi="Calibri" w:cs="Calibri"/>
                <w:color w:val="000000"/>
                <w:sz w:val="22"/>
                <w:szCs w:val="22"/>
              </w:rPr>
              <w:t> </w:t>
            </w:r>
          </w:p>
        </w:tc>
        <w:tc>
          <w:tcPr>
            <w:tcW w:w="1510" w:type="dxa"/>
            <w:tcBorders>
              <w:top w:val="nil"/>
              <w:left w:val="nil"/>
              <w:bottom w:val="single" w:sz="8" w:space="0" w:color="auto"/>
              <w:right w:val="single" w:sz="8" w:space="0" w:color="auto"/>
            </w:tcBorders>
            <w:shd w:val="clear" w:color="auto" w:fill="auto"/>
            <w:vAlign w:val="center"/>
            <w:hideMark/>
          </w:tcPr>
          <w:p w:rsidR="008C2301" w14:paraId="6E1C9A7D" w14:textId="77777777">
            <w:pPr>
              <w:rPr>
                <w:color w:val="000000"/>
                <w:sz w:val="20"/>
                <w:szCs w:val="20"/>
              </w:rPr>
            </w:pPr>
            <w:r>
              <w:rPr>
                <w:color w:val="000000"/>
                <w:sz w:val="20"/>
                <w:szCs w:val="20"/>
              </w:rPr>
              <w:t> </w:t>
            </w:r>
          </w:p>
        </w:tc>
        <w:tc>
          <w:tcPr>
            <w:tcW w:w="1038" w:type="dxa"/>
            <w:tcBorders>
              <w:top w:val="nil"/>
              <w:left w:val="nil"/>
              <w:bottom w:val="single" w:sz="8" w:space="0" w:color="auto"/>
              <w:right w:val="single" w:sz="8" w:space="0" w:color="auto"/>
            </w:tcBorders>
            <w:shd w:val="clear" w:color="auto" w:fill="auto"/>
            <w:noWrap/>
            <w:vAlign w:val="bottom"/>
            <w:hideMark/>
          </w:tcPr>
          <w:p w:rsidR="008C2301" w14:paraId="5A5FABBD" w14:textId="77777777">
            <w:pPr>
              <w:rPr>
                <w:rFonts w:ascii="Calibri" w:hAnsi="Calibri" w:cs="Calibri"/>
                <w:color w:val="000000"/>
                <w:sz w:val="22"/>
                <w:szCs w:val="22"/>
              </w:rPr>
            </w:pPr>
            <w:r>
              <w:rPr>
                <w:rFonts w:ascii="Calibri" w:hAnsi="Calibri" w:cs="Calibri"/>
                <w:color w:val="000000"/>
                <w:sz w:val="22"/>
                <w:szCs w:val="22"/>
              </w:rPr>
              <w:t> </w:t>
            </w:r>
          </w:p>
        </w:tc>
        <w:tc>
          <w:tcPr>
            <w:tcW w:w="1169" w:type="dxa"/>
            <w:tcBorders>
              <w:top w:val="nil"/>
              <w:left w:val="nil"/>
              <w:bottom w:val="single" w:sz="8" w:space="0" w:color="auto"/>
              <w:right w:val="single" w:sz="8" w:space="0" w:color="auto"/>
            </w:tcBorders>
            <w:shd w:val="clear" w:color="auto" w:fill="auto"/>
            <w:noWrap/>
            <w:vAlign w:val="bottom"/>
            <w:hideMark/>
          </w:tcPr>
          <w:p w:rsidR="008C2301" w14:paraId="234C5518" w14:textId="77777777">
            <w:pPr>
              <w:rPr>
                <w:rFonts w:ascii="Calibri" w:hAnsi="Calibri" w:cs="Calibri"/>
                <w:color w:val="000000"/>
                <w:sz w:val="22"/>
                <w:szCs w:val="22"/>
              </w:rPr>
            </w:pPr>
            <w:r>
              <w:rPr>
                <w:rFonts w:ascii="Calibri" w:hAnsi="Calibri" w:cs="Calibri"/>
                <w:color w:val="000000"/>
                <w:sz w:val="22"/>
                <w:szCs w:val="22"/>
              </w:rPr>
              <w:t> </w:t>
            </w:r>
          </w:p>
        </w:tc>
      </w:tr>
      <w:tr w14:paraId="15C7CD5D"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582E4661" w14:textId="77777777">
            <w:pPr>
              <w:rPr>
                <w:color w:val="000000"/>
                <w:sz w:val="22"/>
                <w:szCs w:val="22"/>
              </w:rPr>
            </w:pPr>
            <w:r>
              <w:rPr>
                <w:color w:val="000000"/>
                <w:sz w:val="22"/>
                <w:szCs w:val="22"/>
              </w:rPr>
              <w:t>GS-14 Statistician (25%)</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024ECF0F" w14:textId="77777777">
            <w:pPr>
              <w:jc w:val="right"/>
              <w:rPr>
                <w:color w:val="000000"/>
                <w:sz w:val="22"/>
                <w:szCs w:val="22"/>
              </w:rPr>
            </w:pPr>
            <w:r>
              <w:rPr>
                <w:color w:val="000000"/>
                <w:sz w:val="22"/>
                <w:szCs w:val="22"/>
              </w:rPr>
              <w:t xml:space="preserve">$33,092 </w:t>
            </w:r>
          </w:p>
        </w:tc>
        <w:tc>
          <w:tcPr>
            <w:tcW w:w="1510" w:type="dxa"/>
            <w:tcBorders>
              <w:top w:val="nil"/>
              <w:left w:val="nil"/>
              <w:bottom w:val="single" w:sz="8" w:space="0" w:color="auto"/>
              <w:right w:val="single" w:sz="8" w:space="0" w:color="auto"/>
            </w:tcBorders>
            <w:shd w:val="clear" w:color="auto" w:fill="auto"/>
            <w:vAlign w:val="center"/>
            <w:hideMark/>
          </w:tcPr>
          <w:p w:rsidR="008C2301" w14:paraId="246A216E" w14:textId="77777777">
            <w:pPr>
              <w:jc w:val="right"/>
              <w:rPr>
                <w:color w:val="000000"/>
                <w:sz w:val="22"/>
                <w:szCs w:val="22"/>
              </w:rPr>
            </w:pPr>
            <w:r>
              <w:rPr>
                <w:color w:val="000000"/>
                <w:sz w:val="22"/>
                <w:szCs w:val="22"/>
              </w:rPr>
              <w:t xml:space="preserve">$34,849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6914E89" w14:textId="77777777">
            <w:pPr>
              <w:jc w:val="right"/>
              <w:rPr>
                <w:color w:val="000000"/>
                <w:sz w:val="22"/>
                <w:szCs w:val="22"/>
              </w:rPr>
            </w:pPr>
            <w:r>
              <w:rPr>
                <w:color w:val="000000"/>
                <w:sz w:val="22"/>
                <w:szCs w:val="22"/>
              </w:rPr>
              <w:t xml:space="preserve">$35,894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5F7E9284" w14:textId="77777777">
            <w:pPr>
              <w:jc w:val="right"/>
              <w:rPr>
                <w:color w:val="000000"/>
                <w:sz w:val="22"/>
                <w:szCs w:val="22"/>
              </w:rPr>
            </w:pPr>
            <w:r>
              <w:rPr>
                <w:color w:val="000000"/>
                <w:sz w:val="22"/>
                <w:szCs w:val="22"/>
              </w:rPr>
              <w:t xml:space="preserve">$103,835 </w:t>
            </w:r>
          </w:p>
        </w:tc>
      </w:tr>
      <w:tr w14:paraId="70AF0444"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2D1E227B" w14:textId="77777777">
            <w:pPr>
              <w:rPr>
                <w:color w:val="000000"/>
                <w:sz w:val="22"/>
                <w:szCs w:val="22"/>
              </w:rPr>
            </w:pPr>
            <w:r>
              <w:rPr>
                <w:color w:val="000000"/>
                <w:sz w:val="22"/>
                <w:szCs w:val="22"/>
              </w:rPr>
              <w:t>GS-15 Supervisory Statistician (5%)</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781D9D46" w14:textId="77777777">
            <w:pPr>
              <w:jc w:val="right"/>
              <w:rPr>
                <w:color w:val="000000"/>
                <w:sz w:val="22"/>
                <w:szCs w:val="22"/>
              </w:rPr>
            </w:pPr>
            <w:r>
              <w:rPr>
                <w:color w:val="000000"/>
                <w:sz w:val="22"/>
                <w:szCs w:val="22"/>
              </w:rPr>
              <w:t xml:space="preserve">$7,785 </w:t>
            </w:r>
          </w:p>
        </w:tc>
        <w:tc>
          <w:tcPr>
            <w:tcW w:w="1510" w:type="dxa"/>
            <w:tcBorders>
              <w:top w:val="nil"/>
              <w:left w:val="nil"/>
              <w:bottom w:val="single" w:sz="8" w:space="0" w:color="auto"/>
              <w:right w:val="single" w:sz="8" w:space="0" w:color="auto"/>
            </w:tcBorders>
            <w:shd w:val="clear" w:color="auto" w:fill="auto"/>
            <w:vAlign w:val="center"/>
            <w:hideMark/>
          </w:tcPr>
          <w:p w:rsidR="008C2301" w14:paraId="23278968" w14:textId="77777777">
            <w:pPr>
              <w:jc w:val="right"/>
              <w:rPr>
                <w:color w:val="000000"/>
                <w:sz w:val="22"/>
                <w:szCs w:val="22"/>
              </w:rPr>
            </w:pPr>
            <w:r>
              <w:rPr>
                <w:color w:val="000000"/>
                <w:sz w:val="22"/>
                <w:szCs w:val="22"/>
              </w:rPr>
              <w:t xml:space="preserve">$8,198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3ECF21BD" w14:textId="77777777">
            <w:pPr>
              <w:jc w:val="right"/>
              <w:rPr>
                <w:color w:val="000000"/>
                <w:sz w:val="22"/>
                <w:szCs w:val="22"/>
              </w:rPr>
            </w:pPr>
            <w:r>
              <w:rPr>
                <w:color w:val="000000"/>
                <w:sz w:val="22"/>
                <w:szCs w:val="22"/>
              </w:rPr>
              <w:t xml:space="preserve">$8,444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2B4E2A06" w14:textId="77777777">
            <w:pPr>
              <w:jc w:val="right"/>
              <w:rPr>
                <w:color w:val="000000"/>
                <w:sz w:val="22"/>
                <w:szCs w:val="22"/>
              </w:rPr>
            </w:pPr>
            <w:r>
              <w:rPr>
                <w:color w:val="000000"/>
                <w:sz w:val="22"/>
                <w:szCs w:val="22"/>
              </w:rPr>
              <w:t xml:space="preserve">$24,427 </w:t>
            </w:r>
          </w:p>
        </w:tc>
      </w:tr>
      <w:tr w14:paraId="5395CF5E"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0543879D" w14:textId="77777777">
            <w:pPr>
              <w:rPr>
                <w:color w:val="000000"/>
                <w:sz w:val="22"/>
                <w:szCs w:val="22"/>
              </w:rPr>
            </w:pPr>
            <w:r>
              <w:rPr>
                <w:color w:val="000000"/>
                <w:sz w:val="22"/>
                <w:szCs w:val="22"/>
              </w:rPr>
              <w:t>GS-14 Lead Editor (5%)</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0AB63C86" w14:textId="77777777">
            <w:pPr>
              <w:jc w:val="right"/>
              <w:rPr>
                <w:color w:val="000000"/>
                <w:sz w:val="22"/>
                <w:szCs w:val="22"/>
              </w:rPr>
            </w:pPr>
            <w:r>
              <w:rPr>
                <w:color w:val="000000"/>
                <w:sz w:val="22"/>
                <w:szCs w:val="22"/>
              </w:rPr>
              <w:t xml:space="preserve">$6,618 </w:t>
            </w:r>
          </w:p>
        </w:tc>
        <w:tc>
          <w:tcPr>
            <w:tcW w:w="1510" w:type="dxa"/>
            <w:tcBorders>
              <w:top w:val="nil"/>
              <w:left w:val="nil"/>
              <w:bottom w:val="single" w:sz="8" w:space="0" w:color="auto"/>
              <w:right w:val="single" w:sz="8" w:space="0" w:color="auto"/>
            </w:tcBorders>
            <w:shd w:val="clear" w:color="auto" w:fill="auto"/>
            <w:vAlign w:val="center"/>
            <w:hideMark/>
          </w:tcPr>
          <w:p w:rsidR="008C2301" w14:paraId="0C3C93C9" w14:textId="77777777">
            <w:pPr>
              <w:jc w:val="right"/>
              <w:rPr>
                <w:color w:val="000000"/>
                <w:sz w:val="22"/>
                <w:szCs w:val="22"/>
              </w:rPr>
            </w:pPr>
            <w:r>
              <w:rPr>
                <w:color w:val="000000"/>
                <w:sz w:val="22"/>
                <w:szCs w:val="22"/>
              </w:rPr>
              <w:t xml:space="preserve">$6,970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0AFE34DA" w14:textId="77777777">
            <w:pPr>
              <w:jc w:val="right"/>
              <w:rPr>
                <w:color w:val="000000"/>
                <w:sz w:val="22"/>
                <w:szCs w:val="22"/>
              </w:rPr>
            </w:pPr>
            <w:r>
              <w:rPr>
                <w:color w:val="000000"/>
                <w:sz w:val="22"/>
                <w:szCs w:val="22"/>
              </w:rPr>
              <w:t xml:space="preserve">$7,179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553E56D3" w14:textId="77777777">
            <w:pPr>
              <w:jc w:val="right"/>
              <w:rPr>
                <w:color w:val="000000"/>
                <w:sz w:val="22"/>
                <w:szCs w:val="22"/>
              </w:rPr>
            </w:pPr>
            <w:r>
              <w:rPr>
                <w:color w:val="000000"/>
                <w:sz w:val="22"/>
                <w:szCs w:val="22"/>
              </w:rPr>
              <w:t xml:space="preserve">$20,767 </w:t>
            </w:r>
          </w:p>
        </w:tc>
      </w:tr>
      <w:tr w14:paraId="50176DD4"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35412683" w14:textId="77777777">
            <w:pPr>
              <w:rPr>
                <w:color w:val="000000"/>
                <w:sz w:val="22"/>
                <w:szCs w:val="22"/>
              </w:rPr>
            </w:pPr>
            <w:r>
              <w:rPr>
                <w:color w:val="000000"/>
                <w:sz w:val="22"/>
                <w:szCs w:val="22"/>
              </w:rPr>
              <w:t>GS-13 Other Editorial Staff (3%)</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F6F2F82" w14:textId="77777777">
            <w:pPr>
              <w:jc w:val="right"/>
              <w:rPr>
                <w:color w:val="000000"/>
                <w:sz w:val="22"/>
                <w:szCs w:val="22"/>
              </w:rPr>
            </w:pPr>
            <w:r>
              <w:rPr>
                <w:color w:val="000000"/>
                <w:sz w:val="22"/>
                <w:szCs w:val="22"/>
              </w:rPr>
              <w:t xml:space="preserve">$3,360 </w:t>
            </w:r>
          </w:p>
        </w:tc>
        <w:tc>
          <w:tcPr>
            <w:tcW w:w="1510" w:type="dxa"/>
            <w:tcBorders>
              <w:top w:val="nil"/>
              <w:left w:val="nil"/>
              <w:bottom w:val="single" w:sz="8" w:space="0" w:color="auto"/>
              <w:right w:val="single" w:sz="8" w:space="0" w:color="auto"/>
            </w:tcBorders>
            <w:shd w:val="clear" w:color="auto" w:fill="auto"/>
            <w:vAlign w:val="center"/>
            <w:hideMark/>
          </w:tcPr>
          <w:p w:rsidR="008C2301" w14:paraId="077E3F62" w14:textId="77777777">
            <w:pPr>
              <w:jc w:val="right"/>
              <w:rPr>
                <w:color w:val="000000"/>
                <w:sz w:val="22"/>
                <w:szCs w:val="22"/>
              </w:rPr>
            </w:pPr>
            <w:r>
              <w:rPr>
                <w:color w:val="000000"/>
                <w:sz w:val="22"/>
                <w:szCs w:val="22"/>
              </w:rPr>
              <w:t xml:space="preserve">$3,539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1524C13" w14:textId="77777777">
            <w:pPr>
              <w:jc w:val="right"/>
              <w:rPr>
                <w:color w:val="000000"/>
                <w:sz w:val="22"/>
                <w:szCs w:val="22"/>
              </w:rPr>
            </w:pPr>
            <w:r>
              <w:rPr>
                <w:color w:val="000000"/>
                <w:sz w:val="22"/>
                <w:szCs w:val="22"/>
              </w:rPr>
              <w:t xml:space="preserve">$3,645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1D3D3498" w14:textId="77777777">
            <w:pPr>
              <w:jc w:val="right"/>
              <w:rPr>
                <w:color w:val="000000"/>
                <w:sz w:val="22"/>
                <w:szCs w:val="22"/>
              </w:rPr>
            </w:pPr>
            <w:r>
              <w:rPr>
                <w:color w:val="000000"/>
                <w:sz w:val="22"/>
                <w:szCs w:val="22"/>
              </w:rPr>
              <w:t xml:space="preserve">$10,544 </w:t>
            </w:r>
          </w:p>
        </w:tc>
      </w:tr>
      <w:tr w14:paraId="23E586D5"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2DDD4A37" w14:textId="77777777">
            <w:pPr>
              <w:rPr>
                <w:color w:val="000000"/>
                <w:sz w:val="22"/>
                <w:szCs w:val="22"/>
              </w:rPr>
            </w:pPr>
            <w:r>
              <w:rPr>
                <w:color w:val="000000"/>
                <w:sz w:val="22"/>
                <w:szCs w:val="22"/>
              </w:rPr>
              <w:t>GS-14 Information Technology Specialist (5%)</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D74DE8C" w14:textId="77777777">
            <w:pPr>
              <w:jc w:val="right"/>
              <w:rPr>
                <w:color w:val="000000"/>
                <w:sz w:val="22"/>
                <w:szCs w:val="22"/>
              </w:rPr>
            </w:pPr>
            <w:r>
              <w:rPr>
                <w:color w:val="000000"/>
                <w:sz w:val="22"/>
                <w:szCs w:val="22"/>
              </w:rPr>
              <w:t xml:space="preserve">$6,618 </w:t>
            </w:r>
          </w:p>
        </w:tc>
        <w:tc>
          <w:tcPr>
            <w:tcW w:w="1510" w:type="dxa"/>
            <w:tcBorders>
              <w:top w:val="nil"/>
              <w:left w:val="nil"/>
              <w:bottom w:val="single" w:sz="8" w:space="0" w:color="auto"/>
              <w:right w:val="single" w:sz="8" w:space="0" w:color="auto"/>
            </w:tcBorders>
            <w:shd w:val="clear" w:color="auto" w:fill="auto"/>
            <w:vAlign w:val="center"/>
            <w:hideMark/>
          </w:tcPr>
          <w:p w:rsidR="008C2301" w14:paraId="278A6E0A" w14:textId="77777777">
            <w:pPr>
              <w:jc w:val="right"/>
              <w:rPr>
                <w:color w:val="000000"/>
                <w:sz w:val="22"/>
                <w:szCs w:val="22"/>
              </w:rPr>
            </w:pPr>
            <w:r>
              <w:rPr>
                <w:color w:val="000000"/>
                <w:sz w:val="22"/>
                <w:szCs w:val="22"/>
              </w:rPr>
              <w:t xml:space="preserve">$6,970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04AC2C8F" w14:textId="77777777">
            <w:pPr>
              <w:jc w:val="right"/>
              <w:rPr>
                <w:color w:val="000000"/>
                <w:sz w:val="22"/>
                <w:szCs w:val="22"/>
              </w:rPr>
            </w:pPr>
            <w:r>
              <w:rPr>
                <w:color w:val="000000"/>
                <w:sz w:val="22"/>
                <w:szCs w:val="22"/>
              </w:rPr>
              <w:t xml:space="preserve">$7,179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5C3622E5" w14:textId="77777777">
            <w:pPr>
              <w:jc w:val="right"/>
              <w:rPr>
                <w:color w:val="000000"/>
                <w:sz w:val="22"/>
                <w:szCs w:val="22"/>
              </w:rPr>
            </w:pPr>
            <w:r>
              <w:rPr>
                <w:color w:val="000000"/>
                <w:sz w:val="22"/>
                <w:szCs w:val="22"/>
              </w:rPr>
              <w:t xml:space="preserve">$20,767 </w:t>
            </w:r>
          </w:p>
        </w:tc>
      </w:tr>
      <w:tr w14:paraId="306D89BC"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3772527A" w14:textId="77777777">
            <w:pPr>
              <w:rPr>
                <w:color w:val="000000"/>
                <w:sz w:val="22"/>
                <w:szCs w:val="22"/>
              </w:rPr>
            </w:pPr>
            <w:r>
              <w:rPr>
                <w:color w:val="000000"/>
                <w:sz w:val="22"/>
                <w:szCs w:val="22"/>
              </w:rPr>
              <w:t>GS-15/SES/SL BJS leadership (1%)</w:t>
            </w:r>
            <w:r>
              <w:rPr>
                <w:color w:val="000000"/>
                <w:sz w:val="16"/>
                <w:szCs w:val="16"/>
              </w:rPr>
              <w:t>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37D2D588" w14:textId="77777777">
            <w:pPr>
              <w:jc w:val="right"/>
              <w:rPr>
                <w:color w:val="000000"/>
                <w:sz w:val="22"/>
                <w:szCs w:val="22"/>
              </w:rPr>
            </w:pPr>
            <w:r>
              <w:rPr>
                <w:color w:val="000000"/>
                <w:sz w:val="22"/>
                <w:szCs w:val="22"/>
              </w:rPr>
              <w:t xml:space="preserve">$5,799 </w:t>
            </w:r>
          </w:p>
        </w:tc>
        <w:tc>
          <w:tcPr>
            <w:tcW w:w="1510" w:type="dxa"/>
            <w:tcBorders>
              <w:top w:val="nil"/>
              <w:left w:val="nil"/>
              <w:bottom w:val="single" w:sz="8" w:space="0" w:color="auto"/>
              <w:right w:val="single" w:sz="8" w:space="0" w:color="auto"/>
            </w:tcBorders>
            <w:shd w:val="clear" w:color="auto" w:fill="auto"/>
            <w:vAlign w:val="center"/>
            <w:hideMark/>
          </w:tcPr>
          <w:p w:rsidR="008C2301" w14:paraId="2E5699A0" w14:textId="77777777">
            <w:pPr>
              <w:jc w:val="right"/>
              <w:rPr>
                <w:color w:val="000000"/>
                <w:sz w:val="22"/>
                <w:szCs w:val="22"/>
              </w:rPr>
            </w:pPr>
            <w:r>
              <w:rPr>
                <w:color w:val="000000"/>
                <w:sz w:val="22"/>
                <w:szCs w:val="22"/>
              </w:rPr>
              <w:t xml:space="preserve">$6,078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4B505316" w14:textId="77777777">
            <w:pPr>
              <w:jc w:val="right"/>
              <w:rPr>
                <w:color w:val="000000"/>
                <w:sz w:val="22"/>
                <w:szCs w:val="22"/>
              </w:rPr>
            </w:pPr>
            <w:r>
              <w:rPr>
                <w:color w:val="000000"/>
                <w:sz w:val="22"/>
                <w:szCs w:val="22"/>
              </w:rPr>
              <w:t xml:space="preserve">$6,260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6390432A" w14:textId="77777777">
            <w:pPr>
              <w:jc w:val="right"/>
              <w:rPr>
                <w:color w:val="000000"/>
                <w:sz w:val="22"/>
                <w:szCs w:val="22"/>
              </w:rPr>
            </w:pPr>
            <w:r>
              <w:rPr>
                <w:color w:val="000000"/>
                <w:sz w:val="22"/>
                <w:szCs w:val="22"/>
              </w:rPr>
              <w:t xml:space="preserve">$18,137 </w:t>
            </w:r>
          </w:p>
        </w:tc>
      </w:tr>
      <w:tr w14:paraId="44626300"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7549C537" w14:textId="77777777">
            <w:pPr>
              <w:ind w:firstLine="220" w:firstLineChars="100"/>
              <w:rPr>
                <w:i/>
                <w:iCs/>
                <w:color w:val="000000"/>
                <w:sz w:val="22"/>
                <w:szCs w:val="22"/>
              </w:rPr>
            </w:pPr>
            <w:r>
              <w:rPr>
                <w:i/>
                <w:iCs/>
                <w:color w:val="000000"/>
                <w:sz w:val="22"/>
                <w:szCs w:val="22"/>
              </w:rPr>
              <w:t>Subtotal salaries</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2A1FB99B" w14:textId="77777777">
            <w:pPr>
              <w:jc w:val="right"/>
              <w:rPr>
                <w:color w:val="000000"/>
                <w:sz w:val="22"/>
                <w:szCs w:val="22"/>
              </w:rPr>
            </w:pPr>
            <w:r>
              <w:rPr>
                <w:color w:val="000000"/>
                <w:sz w:val="22"/>
                <w:szCs w:val="22"/>
              </w:rPr>
              <w:t xml:space="preserve">$63,273 </w:t>
            </w:r>
          </w:p>
        </w:tc>
        <w:tc>
          <w:tcPr>
            <w:tcW w:w="1510" w:type="dxa"/>
            <w:tcBorders>
              <w:top w:val="nil"/>
              <w:left w:val="nil"/>
              <w:bottom w:val="single" w:sz="8" w:space="0" w:color="auto"/>
              <w:right w:val="single" w:sz="8" w:space="0" w:color="auto"/>
            </w:tcBorders>
            <w:shd w:val="clear" w:color="auto" w:fill="auto"/>
            <w:noWrap/>
            <w:vAlign w:val="center"/>
            <w:hideMark/>
          </w:tcPr>
          <w:p w:rsidR="008C2301" w14:paraId="1E203512" w14:textId="77777777">
            <w:pPr>
              <w:jc w:val="right"/>
              <w:rPr>
                <w:color w:val="000000"/>
                <w:sz w:val="22"/>
                <w:szCs w:val="22"/>
              </w:rPr>
            </w:pPr>
            <w:r>
              <w:rPr>
                <w:color w:val="000000"/>
                <w:sz w:val="22"/>
                <w:szCs w:val="22"/>
              </w:rPr>
              <w:t xml:space="preserve">$66,603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54A0AB23" w14:textId="77777777">
            <w:pPr>
              <w:jc w:val="right"/>
              <w:rPr>
                <w:color w:val="000000"/>
                <w:sz w:val="22"/>
                <w:szCs w:val="22"/>
              </w:rPr>
            </w:pPr>
            <w:r>
              <w:rPr>
                <w:color w:val="000000"/>
                <w:sz w:val="22"/>
                <w:szCs w:val="22"/>
              </w:rPr>
              <w:t xml:space="preserve">$68,601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32D22F03" w14:textId="77777777">
            <w:pPr>
              <w:jc w:val="right"/>
              <w:rPr>
                <w:color w:val="000000"/>
                <w:sz w:val="22"/>
                <w:szCs w:val="22"/>
              </w:rPr>
            </w:pPr>
            <w:r>
              <w:rPr>
                <w:color w:val="000000"/>
                <w:sz w:val="22"/>
                <w:szCs w:val="22"/>
              </w:rPr>
              <w:t xml:space="preserve">$198,477 </w:t>
            </w:r>
          </w:p>
        </w:tc>
      </w:tr>
      <w:tr w14:paraId="7C588CD1"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0D7CD9D5" w14:textId="77777777">
            <w:pPr>
              <w:rPr>
                <w:color w:val="000000"/>
                <w:sz w:val="22"/>
                <w:szCs w:val="22"/>
              </w:rPr>
            </w:pPr>
            <w:r>
              <w:rPr>
                <w:color w:val="000000"/>
                <w:sz w:val="22"/>
                <w:szCs w:val="22"/>
              </w:rPr>
              <w:t>Fringe benefits (30% of salaries)</w:t>
            </w:r>
            <w:r>
              <w:rPr>
                <w:color w:val="000000"/>
                <w:sz w:val="16"/>
                <w:szCs w:val="16"/>
              </w:rPr>
              <w:t>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09BD8A43" w14:textId="77777777">
            <w:pPr>
              <w:jc w:val="right"/>
              <w:rPr>
                <w:color w:val="000000"/>
                <w:sz w:val="22"/>
                <w:szCs w:val="22"/>
              </w:rPr>
            </w:pPr>
            <w:r>
              <w:rPr>
                <w:color w:val="000000"/>
                <w:sz w:val="22"/>
                <w:szCs w:val="22"/>
              </w:rPr>
              <w:t xml:space="preserve">$18,982 </w:t>
            </w:r>
          </w:p>
        </w:tc>
        <w:tc>
          <w:tcPr>
            <w:tcW w:w="1510" w:type="dxa"/>
            <w:tcBorders>
              <w:top w:val="nil"/>
              <w:left w:val="nil"/>
              <w:bottom w:val="single" w:sz="8" w:space="0" w:color="auto"/>
              <w:right w:val="single" w:sz="8" w:space="0" w:color="auto"/>
            </w:tcBorders>
            <w:shd w:val="clear" w:color="auto" w:fill="auto"/>
            <w:noWrap/>
            <w:vAlign w:val="center"/>
            <w:hideMark/>
          </w:tcPr>
          <w:p w:rsidR="008C2301" w14:paraId="476DE390" w14:textId="77777777">
            <w:pPr>
              <w:jc w:val="right"/>
              <w:rPr>
                <w:color w:val="000000"/>
                <w:sz w:val="22"/>
                <w:szCs w:val="22"/>
              </w:rPr>
            </w:pPr>
            <w:r>
              <w:rPr>
                <w:color w:val="000000"/>
                <w:sz w:val="22"/>
                <w:szCs w:val="22"/>
              </w:rPr>
              <w:t xml:space="preserve">$19,981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5DBFE021" w14:textId="77777777">
            <w:pPr>
              <w:jc w:val="right"/>
              <w:rPr>
                <w:color w:val="000000"/>
                <w:sz w:val="22"/>
                <w:szCs w:val="22"/>
              </w:rPr>
            </w:pPr>
            <w:r>
              <w:rPr>
                <w:color w:val="000000"/>
                <w:sz w:val="22"/>
                <w:szCs w:val="22"/>
              </w:rPr>
              <w:t xml:space="preserve">$20,580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25064382" w14:textId="77777777">
            <w:pPr>
              <w:jc w:val="right"/>
              <w:rPr>
                <w:color w:val="000000"/>
                <w:sz w:val="22"/>
                <w:szCs w:val="22"/>
              </w:rPr>
            </w:pPr>
            <w:r>
              <w:rPr>
                <w:color w:val="000000"/>
                <w:sz w:val="22"/>
                <w:szCs w:val="22"/>
              </w:rPr>
              <w:t xml:space="preserve">$59,543 </w:t>
            </w:r>
          </w:p>
        </w:tc>
      </w:tr>
      <w:tr w14:paraId="5A3ECD11"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6C1F2FC6" w14:textId="77777777">
            <w:pPr>
              <w:ind w:firstLine="220" w:firstLineChars="100"/>
              <w:rPr>
                <w:i/>
                <w:iCs/>
                <w:color w:val="000000"/>
                <w:sz w:val="22"/>
                <w:szCs w:val="22"/>
              </w:rPr>
            </w:pPr>
            <w:r>
              <w:rPr>
                <w:i/>
                <w:iCs/>
                <w:color w:val="000000"/>
                <w:sz w:val="22"/>
                <w:szCs w:val="22"/>
              </w:rPr>
              <w:t>Subtotal: Salary &amp; fringe</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0378B6E5" w14:textId="77777777">
            <w:pPr>
              <w:jc w:val="right"/>
              <w:rPr>
                <w:i/>
                <w:iCs/>
                <w:color w:val="000000"/>
                <w:sz w:val="22"/>
                <w:szCs w:val="22"/>
              </w:rPr>
            </w:pPr>
            <w:r>
              <w:rPr>
                <w:i/>
                <w:iCs/>
                <w:color w:val="000000"/>
                <w:sz w:val="22"/>
                <w:szCs w:val="22"/>
              </w:rPr>
              <w:t xml:space="preserve">$82,255 </w:t>
            </w:r>
          </w:p>
        </w:tc>
        <w:tc>
          <w:tcPr>
            <w:tcW w:w="1510" w:type="dxa"/>
            <w:tcBorders>
              <w:top w:val="nil"/>
              <w:left w:val="nil"/>
              <w:bottom w:val="single" w:sz="8" w:space="0" w:color="auto"/>
              <w:right w:val="single" w:sz="8" w:space="0" w:color="auto"/>
            </w:tcBorders>
            <w:shd w:val="clear" w:color="auto" w:fill="auto"/>
            <w:noWrap/>
            <w:vAlign w:val="center"/>
            <w:hideMark/>
          </w:tcPr>
          <w:p w:rsidR="008C2301" w14:paraId="490D1B53" w14:textId="77777777">
            <w:pPr>
              <w:jc w:val="right"/>
              <w:rPr>
                <w:i/>
                <w:iCs/>
                <w:color w:val="000000"/>
                <w:sz w:val="22"/>
                <w:szCs w:val="22"/>
              </w:rPr>
            </w:pPr>
            <w:r>
              <w:rPr>
                <w:i/>
                <w:iCs/>
                <w:color w:val="000000"/>
                <w:sz w:val="22"/>
                <w:szCs w:val="22"/>
              </w:rPr>
              <w:t xml:space="preserve">$86,584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6DE1878" w14:textId="77777777">
            <w:pPr>
              <w:jc w:val="right"/>
              <w:rPr>
                <w:i/>
                <w:iCs/>
                <w:color w:val="000000"/>
                <w:sz w:val="22"/>
                <w:szCs w:val="22"/>
              </w:rPr>
            </w:pPr>
            <w:r>
              <w:rPr>
                <w:i/>
                <w:iCs/>
                <w:color w:val="000000"/>
                <w:sz w:val="22"/>
                <w:szCs w:val="22"/>
              </w:rPr>
              <w:t xml:space="preserve">$89,181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615D7AD9" w14:textId="77777777">
            <w:pPr>
              <w:jc w:val="right"/>
              <w:rPr>
                <w:color w:val="000000"/>
                <w:sz w:val="22"/>
                <w:szCs w:val="22"/>
              </w:rPr>
            </w:pPr>
            <w:r>
              <w:rPr>
                <w:color w:val="000000"/>
                <w:sz w:val="22"/>
                <w:szCs w:val="22"/>
              </w:rPr>
              <w:t xml:space="preserve">$258,020 </w:t>
            </w:r>
          </w:p>
        </w:tc>
      </w:tr>
      <w:tr w14:paraId="7C928394"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364DF725" w14:textId="77777777">
            <w:pPr>
              <w:rPr>
                <w:color w:val="000000"/>
                <w:sz w:val="22"/>
                <w:szCs w:val="22"/>
              </w:rPr>
            </w:pPr>
            <w:r>
              <w:rPr>
                <w:color w:val="000000"/>
                <w:sz w:val="22"/>
                <w:szCs w:val="22"/>
              </w:rPr>
              <w:t>Other administrative costs of salary &amp; fringe (15%)</w:t>
            </w:r>
            <w:r>
              <w:rPr>
                <w:color w:val="000000"/>
                <w:sz w:val="16"/>
                <w:szCs w:val="16"/>
              </w:rPr>
              <w:t>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680F047B" w14:textId="77777777">
            <w:pPr>
              <w:jc w:val="right"/>
              <w:rPr>
                <w:color w:val="000000"/>
                <w:sz w:val="22"/>
                <w:szCs w:val="22"/>
              </w:rPr>
            </w:pPr>
            <w:r>
              <w:rPr>
                <w:color w:val="000000"/>
                <w:sz w:val="22"/>
                <w:szCs w:val="22"/>
              </w:rPr>
              <w:t xml:space="preserve">$12,338 </w:t>
            </w:r>
          </w:p>
        </w:tc>
        <w:tc>
          <w:tcPr>
            <w:tcW w:w="1510" w:type="dxa"/>
            <w:tcBorders>
              <w:top w:val="nil"/>
              <w:left w:val="nil"/>
              <w:bottom w:val="single" w:sz="8" w:space="0" w:color="auto"/>
              <w:right w:val="single" w:sz="8" w:space="0" w:color="auto"/>
            </w:tcBorders>
            <w:shd w:val="clear" w:color="auto" w:fill="auto"/>
            <w:noWrap/>
            <w:vAlign w:val="center"/>
            <w:hideMark/>
          </w:tcPr>
          <w:p w:rsidR="008C2301" w14:paraId="232BCBCF" w14:textId="77777777">
            <w:pPr>
              <w:jc w:val="right"/>
              <w:rPr>
                <w:color w:val="000000"/>
                <w:sz w:val="22"/>
                <w:szCs w:val="22"/>
              </w:rPr>
            </w:pPr>
            <w:r>
              <w:rPr>
                <w:color w:val="000000"/>
                <w:sz w:val="22"/>
                <w:szCs w:val="22"/>
              </w:rPr>
              <w:t xml:space="preserve">$12,988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623697F8" w14:textId="77777777">
            <w:pPr>
              <w:jc w:val="right"/>
              <w:rPr>
                <w:color w:val="000000"/>
                <w:sz w:val="22"/>
                <w:szCs w:val="22"/>
              </w:rPr>
            </w:pPr>
            <w:r>
              <w:rPr>
                <w:color w:val="000000"/>
                <w:sz w:val="22"/>
                <w:szCs w:val="22"/>
              </w:rPr>
              <w:t xml:space="preserve">$13,377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6370E1C7" w14:textId="77777777">
            <w:pPr>
              <w:jc w:val="right"/>
              <w:rPr>
                <w:color w:val="000000"/>
                <w:sz w:val="22"/>
                <w:szCs w:val="22"/>
              </w:rPr>
            </w:pPr>
            <w:r>
              <w:rPr>
                <w:color w:val="000000"/>
                <w:sz w:val="22"/>
                <w:szCs w:val="22"/>
              </w:rPr>
              <w:t xml:space="preserve">$38,703 </w:t>
            </w:r>
          </w:p>
        </w:tc>
      </w:tr>
      <w:tr w14:paraId="40759A54"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1BCEC160" w14:textId="77777777">
            <w:pPr>
              <w:ind w:firstLine="220" w:firstLineChars="100"/>
              <w:rPr>
                <w:b/>
                <w:bCs/>
                <w:i/>
                <w:iCs/>
                <w:color w:val="000000"/>
                <w:sz w:val="22"/>
                <w:szCs w:val="22"/>
              </w:rPr>
            </w:pPr>
            <w:r>
              <w:rPr>
                <w:b/>
                <w:bCs/>
                <w:i/>
                <w:iCs/>
                <w:color w:val="000000"/>
                <w:sz w:val="22"/>
                <w:szCs w:val="22"/>
              </w:rPr>
              <w:t>Subtotal: BJS cost</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65DD360C" w14:textId="77777777">
            <w:pPr>
              <w:jc w:val="right"/>
              <w:rPr>
                <w:b/>
                <w:bCs/>
                <w:i/>
                <w:iCs/>
                <w:color w:val="000000"/>
                <w:sz w:val="22"/>
                <w:szCs w:val="22"/>
              </w:rPr>
            </w:pPr>
            <w:r>
              <w:rPr>
                <w:b/>
                <w:bCs/>
                <w:i/>
                <w:iCs/>
                <w:color w:val="000000"/>
                <w:sz w:val="22"/>
                <w:szCs w:val="22"/>
              </w:rPr>
              <w:t xml:space="preserve">$94,594 </w:t>
            </w:r>
          </w:p>
        </w:tc>
        <w:tc>
          <w:tcPr>
            <w:tcW w:w="1510" w:type="dxa"/>
            <w:tcBorders>
              <w:top w:val="nil"/>
              <w:left w:val="nil"/>
              <w:bottom w:val="single" w:sz="8" w:space="0" w:color="auto"/>
              <w:right w:val="single" w:sz="8" w:space="0" w:color="auto"/>
            </w:tcBorders>
            <w:shd w:val="clear" w:color="auto" w:fill="auto"/>
            <w:noWrap/>
            <w:vAlign w:val="center"/>
            <w:hideMark/>
          </w:tcPr>
          <w:p w:rsidR="008C2301" w14:paraId="726F50B5" w14:textId="77777777">
            <w:pPr>
              <w:jc w:val="right"/>
              <w:rPr>
                <w:b/>
                <w:bCs/>
                <w:i/>
                <w:iCs/>
                <w:color w:val="000000"/>
                <w:sz w:val="22"/>
                <w:szCs w:val="22"/>
              </w:rPr>
            </w:pPr>
            <w:r>
              <w:rPr>
                <w:b/>
                <w:bCs/>
                <w:i/>
                <w:iCs/>
                <w:color w:val="000000"/>
                <w:sz w:val="22"/>
                <w:szCs w:val="22"/>
              </w:rPr>
              <w:t xml:space="preserve">$99,571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3378349A" w14:textId="77777777">
            <w:pPr>
              <w:jc w:val="right"/>
              <w:rPr>
                <w:b/>
                <w:bCs/>
                <w:i/>
                <w:iCs/>
                <w:color w:val="000000"/>
                <w:sz w:val="22"/>
                <w:szCs w:val="22"/>
              </w:rPr>
            </w:pPr>
            <w:r>
              <w:rPr>
                <w:b/>
                <w:bCs/>
                <w:i/>
                <w:iCs/>
                <w:color w:val="000000"/>
                <w:sz w:val="22"/>
                <w:szCs w:val="22"/>
              </w:rPr>
              <w:t xml:space="preserve">$102,559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2586D3BC" w14:textId="77777777">
            <w:pPr>
              <w:jc w:val="right"/>
              <w:rPr>
                <w:b/>
                <w:bCs/>
                <w:i/>
                <w:iCs/>
                <w:color w:val="000000"/>
                <w:sz w:val="22"/>
                <w:szCs w:val="22"/>
              </w:rPr>
            </w:pPr>
            <w:r>
              <w:rPr>
                <w:b/>
                <w:bCs/>
                <w:i/>
                <w:iCs/>
                <w:color w:val="000000"/>
                <w:sz w:val="22"/>
                <w:szCs w:val="22"/>
              </w:rPr>
              <w:t xml:space="preserve">$296,723 </w:t>
            </w:r>
          </w:p>
        </w:tc>
      </w:tr>
      <w:tr w14:paraId="446C9A4D"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7AAE69D8" w14:textId="77777777">
            <w:pPr>
              <w:rPr>
                <w:rFonts w:ascii="Calibri" w:hAnsi="Calibri" w:cs="Calibri"/>
                <w:color w:val="000000"/>
                <w:sz w:val="22"/>
                <w:szCs w:val="22"/>
              </w:rPr>
            </w:pPr>
            <w:r>
              <w:rPr>
                <w:rFonts w:ascii="Calibri" w:hAnsi="Calibri" w:cs="Calibri"/>
                <w:color w:val="000000"/>
                <w:sz w:val="22"/>
                <w:szCs w:val="22"/>
              </w:rPr>
              <w:t>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01F81CD" w14:textId="77777777">
            <w:pPr>
              <w:rPr>
                <w:rFonts w:ascii="Calibri" w:hAnsi="Calibri" w:cs="Calibri"/>
                <w:color w:val="000000"/>
                <w:sz w:val="22"/>
                <w:szCs w:val="22"/>
              </w:rPr>
            </w:pPr>
            <w:r>
              <w:rPr>
                <w:rFonts w:ascii="Calibri" w:hAnsi="Calibri" w:cs="Calibri"/>
                <w:color w:val="000000"/>
                <w:sz w:val="22"/>
                <w:szCs w:val="22"/>
              </w:rPr>
              <w:t> </w:t>
            </w:r>
          </w:p>
        </w:tc>
        <w:tc>
          <w:tcPr>
            <w:tcW w:w="1510" w:type="dxa"/>
            <w:tcBorders>
              <w:top w:val="nil"/>
              <w:left w:val="nil"/>
              <w:bottom w:val="single" w:sz="8" w:space="0" w:color="auto"/>
              <w:right w:val="single" w:sz="8" w:space="0" w:color="auto"/>
            </w:tcBorders>
            <w:shd w:val="clear" w:color="auto" w:fill="auto"/>
            <w:vAlign w:val="center"/>
            <w:hideMark/>
          </w:tcPr>
          <w:p w:rsidR="008C2301" w14:paraId="23C3528B" w14:textId="77777777">
            <w:pPr>
              <w:rPr>
                <w:color w:val="000000"/>
                <w:sz w:val="20"/>
                <w:szCs w:val="20"/>
              </w:rPr>
            </w:pPr>
            <w:r>
              <w:rPr>
                <w:color w:val="000000"/>
                <w:sz w:val="20"/>
                <w:szCs w:val="20"/>
              </w:rPr>
              <w:t> </w:t>
            </w:r>
          </w:p>
        </w:tc>
        <w:tc>
          <w:tcPr>
            <w:tcW w:w="1038" w:type="dxa"/>
            <w:tcBorders>
              <w:top w:val="nil"/>
              <w:left w:val="nil"/>
              <w:bottom w:val="single" w:sz="8" w:space="0" w:color="auto"/>
              <w:right w:val="single" w:sz="8" w:space="0" w:color="auto"/>
            </w:tcBorders>
            <w:shd w:val="clear" w:color="auto" w:fill="auto"/>
            <w:noWrap/>
            <w:vAlign w:val="bottom"/>
            <w:hideMark/>
          </w:tcPr>
          <w:p w:rsidR="008C2301" w14:paraId="17425366" w14:textId="77777777">
            <w:pPr>
              <w:rPr>
                <w:rFonts w:ascii="Calibri" w:hAnsi="Calibri" w:cs="Calibri"/>
                <w:color w:val="000000"/>
                <w:sz w:val="22"/>
                <w:szCs w:val="22"/>
              </w:rPr>
            </w:pPr>
            <w:r>
              <w:rPr>
                <w:rFonts w:ascii="Calibri" w:hAnsi="Calibri" w:cs="Calibri"/>
                <w:color w:val="000000"/>
                <w:sz w:val="22"/>
                <w:szCs w:val="22"/>
              </w:rPr>
              <w:t> </w:t>
            </w:r>
          </w:p>
        </w:tc>
        <w:tc>
          <w:tcPr>
            <w:tcW w:w="1169" w:type="dxa"/>
            <w:tcBorders>
              <w:top w:val="nil"/>
              <w:left w:val="nil"/>
              <w:bottom w:val="single" w:sz="8" w:space="0" w:color="auto"/>
              <w:right w:val="single" w:sz="8" w:space="0" w:color="auto"/>
            </w:tcBorders>
            <w:shd w:val="clear" w:color="auto" w:fill="auto"/>
            <w:noWrap/>
            <w:vAlign w:val="bottom"/>
            <w:hideMark/>
          </w:tcPr>
          <w:p w:rsidR="008C2301" w14:paraId="66862CAB" w14:textId="77777777">
            <w:pPr>
              <w:rPr>
                <w:rFonts w:ascii="Calibri" w:hAnsi="Calibri" w:cs="Calibri"/>
                <w:color w:val="000000"/>
                <w:sz w:val="22"/>
                <w:szCs w:val="22"/>
              </w:rPr>
            </w:pPr>
            <w:r>
              <w:rPr>
                <w:rFonts w:ascii="Calibri" w:hAnsi="Calibri" w:cs="Calibri"/>
                <w:color w:val="000000"/>
                <w:sz w:val="22"/>
                <w:szCs w:val="22"/>
              </w:rPr>
              <w:t> </w:t>
            </w:r>
          </w:p>
        </w:tc>
      </w:tr>
      <w:tr w14:paraId="79607841"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15685152" w14:textId="77777777">
            <w:pPr>
              <w:rPr>
                <w:b/>
                <w:bCs/>
                <w:color w:val="000000"/>
                <w:sz w:val="22"/>
                <w:szCs w:val="22"/>
              </w:rPr>
            </w:pPr>
            <w:r>
              <w:rPr>
                <w:b/>
                <w:bCs/>
                <w:color w:val="000000"/>
                <w:sz w:val="22"/>
                <w:szCs w:val="22"/>
              </w:rPr>
              <w:t>Data collection agent cost</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5E0465FE" w14:textId="77777777">
            <w:pPr>
              <w:rPr>
                <w:rFonts w:ascii="Calibri" w:hAnsi="Calibri" w:cs="Calibri"/>
                <w:color w:val="000000"/>
                <w:sz w:val="22"/>
                <w:szCs w:val="22"/>
              </w:rPr>
            </w:pPr>
            <w:r>
              <w:rPr>
                <w:rFonts w:ascii="Calibri" w:hAnsi="Calibri" w:cs="Calibri"/>
                <w:color w:val="000000"/>
                <w:sz w:val="22"/>
                <w:szCs w:val="22"/>
              </w:rPr>
              <w:t> </w:t>
            </w:r>
          </w:p>
        </w:tc>
        <w:tc>
          <w:tcPr>
            <w:tcW w:w="1510" w:type="dxa"/>
            <w:tcBorders>
              <w:top w:val="nil"/>
              <w:left w:val="nil"/>
              <w:bottom w:val="single" w:sz="8" w:space="0" w:color="auto"/>
              <w:right w:val="single" w:sz="8" w:space="0" w:color="auto"/>
            </w:tcBorders>
            <w:shd w:val="clear" w:color="auto" w:fill="auto"/>
            <w:vAlign w:val="center"/>
            <w:hideMark/>
          </w:tcPr>
          <w:p w:rsidR="008C2301" w14:paraId="69C9ABBF" w14:textId="77777777">
            <w:pPr>
              <w:rPr>
                <w:color w:val="000000"/>
                <w:sz w:val="20"/>
                <w:szCs w:val="20"/>
              </w:rPr>
            </w:pPr>
            <w:r>
              <w:rPr>
                <w:color w:val="000000"/>
                <w:sz w:val="20"/>
                <w:szCs w:val="20"/>
              </w:rPr>
              <w:t> </w:t>
            </w:r>
          </w:p>
        </w:tc>
        <w:tc>
          <w:tcPr>
            <w:tcW w:w="1038" w:type="dxa"/>
            <w:tcBorders>
              <w:top w:val="nil"/>
              <w:left w:val="nil"/>
              <w:bottom w:val="single" w:sz="8" w:space="0" w:color="auto"/>
              <w:right w:val="single" w:sz="8" w:space="0" w:color="auto"/>
            </w:tcBorders>
            <w:shd w:val="clear" w:color="auto" w:fill="auto"/>
            <w:noWrap/>
            <w:vAlign w:val="bottom"/>
            <w:hideMark/>
          </w:tcPr>
          <w:p w:rsidR="008C2301" w14:paraId="78CE9C7E" w14:textId="77777777">
            <w:pPr>
              <w:rPr>
                <w:rFonts w:ascii="Calibri" w:hAnsi="Calibri" w:cs="Calibri"/>
                <w:color w:val="000000"/>
                <w:sz w:val="22"/>
                <w:szCs w:val="22"/>
              </w:rPr>
            </w:pPr>
            <w:r>
              <w:rPr>
                <w:rFonts w:ascii="Calibri" w:hAnsi="Calibri" w:cs="Calibri"/>
                <w:color w:val="000000"/>
                <w:sz w:val="22"/>
                <w:szCs w:val="22"/>
              </w:rPr>
              <w:t> </w:t>
            </w:r>
          </w:p>
        </w:tc>
        <w:tc>
          <w:tcPr>
            <w:tcW w:w="1169" w:type="dxa"/>
            <w:tcBorders>
              <w:top w:val="nil"/>
              <w:left w:val="nil"/>
              <w:bottom w:val="single" w:sz="8" w:space="0" w:color="auto"/>
              <w:right w:val="single" w:sz="8" w:space="0" w:color="auto"/>
            </w:tcBorders>
            <w:shd w:val="clear" w:color="auto" w:fill="auto"/>
            <w:noWrap/>
            <w:vAlign w:val="bottom"/>
            <w:hideMark/>
          </w:tcPr>
          <w:p w:rsidR="008C2301" w14:paraId="2956935F" w14:textId="77777777">
            <w:pPr>
              <w:rPr>
                <w:rFonts w:ascii="Calibri" w:hAnsi="Calibri" w:cs="Calibri"/>
                <w:color w:val="000000"/>
                <w:sz w:val="22"/>
                <w:szCs w:val="22"/>
              </w:rPr>
            </w:pPr>
            <w:r>
              <w:rPr>
                <w:rFonts w:ascii="Calibri" w:hAnsi="Calibri" w:cs="Calibri"/>
                <w:color w:val="000000"/>
                <w:sz w:val="22"/>
                <w:szCs w:val="22"/>
              </w:rPr>
              <w:t> </w:t>
            </w:r>
          </w:p>
        </w:tc>
      </w:tr>
      <w:tr w14:paraId="1F990A46"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04F2402A" w14:textId="77777777">
            <w:pPr>
              <w:rPr>
                <w:color w:val="000000"/>
                <w:sz w:val="22"/>
                <w:szCs w:val="22"/>
              </w:rPr>
            </w:pPr>
            <w:r>
              <w:rPr>
                <w:color w:val="000000"/>
                <w:sz w:val="22"/>
                <w:szCs w:val="22"/>
              </w:rPr>
              <w:t>Personnel</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5C944A1F" w14:textId="77777777">
            <w:pPr>
              <w:jc w:val="right"/>
              <w:rPr>
                <w:color w:val="000000"/>
                <w:sz w:val="22"/>
                <w:szCs w:val="22"/>
              </w:rPr>
            </w:pPr>
            <w:r>
              <w:rPr>
                <w:color w:val="000000"/>
                <w:sz w:val="22"/>
                <w:szCs w:val="22"/>
              </w:rPr>
              <w:t xml:space="preserve">$124,912 </w:t>
            </w:r>
          </w:p>
        </w:tc>
        <w:tc>
          <w:tcPr>
            <w:tcW w:w="1510" w:type="dxa"/>
            <w:tcBorders>
              <w:top w:val="nil"/>
              <w:left w:val="nil"/>
              <w:bottom w:val="single" w:sz="8" w:space="0" w:color="auto"/>
              <w:right w:val="single" w:sz="8" w:space="0" w:color="auto"/>
            </w:tcBorders>
            <w:shd w:val="clear" w:color="auto" w:fill="auto"/>
            <w:vAlign w:val="center"/>
            <w:hideMark/>
          </w:tcPr>
          <w:p w:rsidR="008C2301" w14:paraId="3FEC7050" w14:textId="77777777">
            <w:pPr>
              <w:jc w:val="right"/>
              <w:rPr>
                <w:color w:val="000000"/>
                <w:sz w:val="22"/>
                <w:szCs w:val="22"/>
              </w:rPr>
            </w:pPr>
            <w:r>
              <w:rPr>
                <w:color w:val="000000"/>
                <w:sz w:val="22"/>
                <w:szCs w:val="22"/>
              </w:rPr>
              <w:t xml:space="preserve">$120,104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6C9D79DD" w14:textId="77777777">
            <w:pPr>
              <w:jc w:val="right"/>
              <w:rPr>
                <w:color w:val="000000"/>
                <w:sz w:val="22"/>
                <w:szCs w:val="22"/>
              </w:rPr>
            </w:pPr>
            <w:r>
              <w:rPr>
                <w:color w:val="000000"/>
                <w:sz w:val="22"/>
                <w:szCs w:val="22"/>
              </w:rPr>
              <w:t xml:space="preserve">$96,978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7058F417" w14:textId="77777777">
            <w:pPr>
              <w:jc w:val="right"/>
              <w:rPr>
                <w:color w:val="000000"/>
                <w:sz w:val="22"/>
                <w:szCs w:val="22"/>
              </w:rPr>
            </w:pPr>
            <w:r>
              <w:rPr>
                <w:color w:val="000000"/>
                <w:sz w:val="22"/>
                <w:szCs w:val="22"/>
              </w:rPr>
              <w:t xml:space="preserve">$341,994 </w:t>
            </w:r>
          </w:p>
        </w:tc>
      </w:tr>
      <w:tr w14:paraId="3F8095C9"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4D2BD2E8" w14:textId="77777777">
            <w:pPr>
              <w:rPr>
                <w:color w:val="000000"/>
                <w:sz w:val="22"/>
                <w:szCs w:val="22"/>
              </w:rPr>
            </w:pPr>
            <w:r>
              <w:rPr>
                <w:color w:val="000000"/>
                <w:sz w:val="22"/>
                <w:szCs w:val="22"/>
              </w:rPr>
              <w:t>Fringe Benefits</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2546DFF4" w14:textId="77777777">
            <w:pPr>
              <w:jc w:val="right"/>
              <w:rPr>
                <w:color w:val="000000"/>
                <w:sz w:val="22"/>
                <w:szCs w:val="22"/>
              </w:rPr>
            </w:pPr>
            <w:r>
              <w:rPr>
                <w:color w:val="000000"/>
                <w:sz w:val="22"/>
                <w:szCs w:val="22"/>
              </w:rPr>
              <w:t xml:space="preserve">$54,961 </w:t>
            </w:r>
          </w:p>
        </w:tc>
        <w:tc>
          <w:tcPr>
            <w:tcW w:w="1510" w:type="dxa"/>
            <w:tcBorders>
              <w:top w:val="nil"/>
              <w:left w:val="nil"/>
              <w:bottom w:val="single" w:sz="8" w:space="0" w:color="auto"/>
              <w:right w:val="single" w:sz="8" w:space="0" w:color="auto"/>
            </w:tcBorders>
            <w:shd w:val="clear" w:color="auto" w:fill="auto"/>
            <w:vAlign w:val="center"/>
            <w:hideMark/>
          </w:tcPr>
          <w:p w:rsidR="008C2301" w14:paraId="2B0A6D08" w14:textId="77777777">
            <w:pPr>
              <w:jc w:val="right"/>
              <w:rPr>
                <w:color w:val="000000"/>
                <w:sz w:val="22"/>
                <w:szCs w:val="22"/>
              </w:rPr>
            </w:pPr>
            <w:r>
              <w:rPr>
                <w:color w:val="000000"/>
                <w:sz w:val="22"/>
                <w:szCs w:val="22"/>
              </w:rPr>
              <w:t xml:space="preserve">$52,846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4A059A22" w14:textId="77777777">
            <w:pPr>
              <w:jc w:val="right"/>
              <w:rPr>
                <w:color w:val="000000"/>
                <w:sz w:val="22"/>
                <w:szCs w:val="22"/>
              </w:rPr>
            </w:pPr>
            <w:r>
              <w:rPr>
                <w:color w:val="000000"/>
                <w:sz w:val="22"/>
                <w:szCs w:val="22"/>
              </w:rPr>
              <w:t xml:space="preserve">$42,670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53F6D61A" w14:textId="77777777">
            <w:pPr>
              <w:jc w:val="right"/>
              <w:rPr>
                <w:color w:val="000000"/>
                <w:sz w:val="22"/>
                <w:szCs w:val="22"/>
              </w:rPr>
            </w:pPr>
            <w:r>
              <w:rPr>
                <w:color w:val="000000"/>
                <w:sz w:val="22"/>
                <w:szCs w:val="22"/>
              </w:rPr>
              <w:t xml:space="preserve">$150,478 </w:t>
            </w:r>
          </w:p>
        </w:tc>
      </w:tr>
      <w:tr w14:paraId="3F9906E2"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42FF20E7" w14:textId="77777777">
            <w:pPr>
              <w:rPr>
                <w:color w:val="000000"/>
                <w:sz w:val="22"/>
                <w:szCs w:val="22"/>
              </w:rPr>
            </w:pPr>
            <w:r>
              <w:rPr>
                <w:color w:val="000000"/>
                <w:sz w:val="22"/>
                <w:szCs w:val="22"/>
              </w:rPr>
              <w:t>Travel</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509E1270" w14:textId="77777777">
            <w:pPr>
              <w:jc w:val="right"/>
              <w:rPr>
                <w:color w:val="000000"/>
                <w:sz w:val="22"/>
                <w:szCs w:val="22"/>
              </w:rPr>
            </w:pPr>
            <w:r>
              <w:rPr>
                <w:color w:val="000000"/>
                <w:sz w:val="22"/>
                <w:szCs w:val="22"/>
              </w:rPr>
              <w:t xml:space="preserve">$6,670 </w:t>
            </w:r>
          </w:p>
        </w:tc>
        <w:tc>
          <w:tcPr>
            <w:tcW w:w="1510" w:type="dxa"/>
            <w:tcBorders>
              <w:top w:val="nil"/>
              <w:left w:val="nil"/>
              <w:bottom w:val="single" w:sz="8" w:space="0" w:color="auto"/>
              <w:right w:val="single" w:sz="8" w:space="0" w:color="auto"/>
            </w:tcBorders>
            <w:shd w:val="clear" w:color="auto" w:fill="auto"/>
            <w:vAlign w:val="center"/>
            <w:hideMark/>
          </w:tcPr>
          <w:p w:rsidR="008C2301" w14:paraId="5B362854" w14:textId="77777777">
            <w:pPr>
              <w:jc w:val="right"/>
              <w:rPr>
                <w:color w:val="000000"/>
                <w:sz w:val="22"/>
                <w:szCs w:val="22"/>
              </w:rPr>
            </w:pPr>
            <w:r>
              <w:rPr>
                <w:color w:val="000000"/>
                <w:sz w:val="22"/>
                <w:szCs w:val="22"/>
              </w:rPr>
              <w:t xml:space="preserve">$0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47B60FF5" w14:textId="77777777">
            <w:pPr>
              <w:jc w:val="right"/>
              <w:rPr>
                <w:color w:val="000000"/>
                <w:sz w:val="22"/>
                <w:szCs w:val="22"/>
              </w:rPr>
            </w:pPr>
            <w:r>
              <w:rPr>
                <w:color w:val="000000"/>
                <w:sz w:val="22"/>
                <w:szCs w:val="22"/>
              </w:rPr>
              <w:t xml:space="preserve">$0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2E8F03FF" w14:textId="77777777">
            <w:pPr>
              <w:jc w:val="right"/>
              <w:rPr>
                <w:color w:val="000000"/>
                <w:sz w:val="22"/>
                <w:szCs w:val="22"/>
              </w:rPr>
            </w:pPr>
            <w:r>
              <w:rPr>
                <w:color w:val="000000"/>
                <w:sz w:val="22"/>
                <w:szCs w:val="22"/>
              </w:rPr>
              <w:t xml:space="preserve">$6,670 </w:t>
            </w:r>
          </w:p>
        </w:tc>
      </w:tr>
      <w:tr w14:paraId="6E932060"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6CA9DD3F" w14:textId="77777777">
            <w:pPr>
              <w:rPr>
                <w:color w:val="000000"/>
                <w:sz w:val="22"/>
                <w:szCs w:val="22"/>
              </w:rPr>
            </w:pPr>
            <w:r>
              <w:rPr>
                <w:color w:val="000000"/>
                <w:sz w:val="22"/>
                <w:szCs w:val="22"/>
              </w:rPr>
              <w:t>Equipment</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4B99AF39" w14:textId="77777777">
            <w:pPr>
              <w:jc w:val="right"/>
              <w:rPr>
                <w:color w:val="000000"/>
                <w:sz w:val="22"/>
                <w:szCs w:val="22"/>
              </w:rPr>
            </w:pPr>
            <w:r>
              <w:rPr>
                <w:color w:val="000000"/>
                <w:sz w:val="22"/>
                <w:szCs w:val="22"/>
              </w:rPr>
              <w:t xml:space="preserve">$0 </w:t>
            </w:r>
          </w:p>
        </w:tc>
        <w:tc>
          <w:tcPr>
            <w:tcW w:w="1510" w:type="dxa"/>
            <w:tcBorders>
              <w:top w:val="nil"/>
              <w:left w:val="nil"/>
              <w:bottom w:val="single" w:sz="8" w:space="0" w:color="auto"/>
              <w:right w:val="single" w:sz="8" w:space="0" w:color="auto"/>
            </w:tcBorders>
            <w:shd w:val="clear" w:color="auto" w:fill="auto"/>
            <w:vAlign w:val="center"/>
            <w:hideMark/>
          </w:tcPr>
          <w:p w:rsidR="008C2301" w14:paraId="61E408ED" w14:textId="77777777">
            <w:pPr>
              <w:jc w:val="right"/>
              <w:rPr>
                <w:color w:val="000000"/>
                <w:sz w:val="22"/>
                <w:szCs w:val="22"/>
              </w:rPr>
            </w:pPr>
            <w:r>
              <w:rPr>
                <w:color w:val="000000"/>
                <w:sz w:val="22"/>
                <w:szCs w:val="22"/>
              </w:rPr>
              <w:t xml:space="preserve">$0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04376988" w14:textId="77777777">
            <w:pPr>
              <w:jc w:val="right"/>
              <w:rPr>
                <w:color w:val="000000"/>
                <w:sz w:val="22"/>
                <w:szCs w:val="22"/>
              </w:rPr>
            </w:pPr>
            <w:r>
              <w:rPr>
                <w:color w:val="000000"/>
                <w:sz w:val="22"/>
                <w:szCs w:val="22"/>
              </w:rPr>
              <w:t xml:space="preserve">$0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5CD83C6E" w14:textId="77777777">
            <w:pPr>
              <w:jc w:val="right"/>
              <w:rPr>
                <w:color w:val="000000"/>
                <w:sz w:val="22"/>
                <w:szCs w:val="22"/>
              </w:rPr>
            </w:pPr>
            <w:r>
              <w:rPr>
                <w:color w:val="000000"/>
                <w:sz w:val="22"/>
                <w:szCs w:val="22"/>
              </w:rPr>
              <w:t xml:space="preserve">$0 </w:t>
            </w:r>
          </w:p>
        </w:tc>
      </w:tr>
      <w:tr w14:paraId="533F79B3"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1D4DE99B" w14:textId="77777777">
            <w:pPr>
              <w:rPr>
                <w:color w:val="000000"/>
                <w:sz w:val="22"/>
                <w:szCs w:val="22"/>
              </w:rPr>
            </w:pPr>
            <w:r>
              <w:rPr>
                <w:color w:val="000000"/>
                <w:sz w:val="22"/>
                <w:szCs w:val="22"/>
              </w:rPr>
              <w:t>Supplies</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510793FC" w14:textId="77777777">
            <w:pPr>
              <w:jc w:val="right"/>
              <w:rPr>
                <w:color w:val="000000"/>
                <w:sz w:val="22"/>
                <w:szCs w:val="22"/>
              </w:rPr>
            </w:pPr>
            <w:r>
              <w:rPr>
                <w:color w:val="000000"/>
                <w:sz w:val="22"/>
                <w:szCs w:val="22"/>
              </w:rPr>
              <w:t xml:space="preserve">$0 </w:t>
            </w:r>
          </w:p>
        </w:tc>
        <w:tc>
          <w:tcPr>
            <w:tcW w:w="1510" w:type="dxa"/>
            <w:tcBorders>
              <w:top w:val="nil"/>
              <w:left w:val="nil"/>
              <w:bottom w:val="single" w:sz="8" w:space="0" w:color="auto"/>
              <w:right w:val="single" w:sz="8" w:space="0" w:color="auto"/>
            </w:tcBorders>
            <w:shd w:val="clear" w:color="auto" w:fill="auto"/>
            <w:vAlign w:val="center"/>
            <w:hideMark/>
          </w:tcPr>
          <w:p w:rsidR="008C2301" w14:paraId="2AC4F8A0" w14:textId="77777777">
            <w:pPr>
              <w:jc w:val="right"/>
              <w:rPr>
                <w:color w:val="000000"/>
                <w:sz w:val="22"/>
                <w:szCs w:val="22"/>
              </w:rPr>
            </w:pPr>
            <w:r>
              <w:rPr>
                <w:color w:val="000000"/>
                <w:sz w:val="22"/>
                <w:szCs w:val="22"/>
              </w:rPr>
              <w:t xml:space="preserve">$11,033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6182CFF0" w14:textId="77777777">
            <w:pPr>
              <w:jc w:val="right"/>
              <w:rPr>
                <w:color w:val="000000"/>
                <w:sz w:val="22"/>
                <w:szCs w:val="22"/>
              </w:rPr>
            </w:pPr>
            <w:r>
              <w:rPr>
                <w:color w:val="000000"/>
                <w:sz w:val="22"/>
                <w:szCs w:val="22"/>
              </w:rPr>
              <w:t xml:space="preserve">$987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727024C4" w14:textId="77777777">
            <w:pPr>
              <w:jc w:val="right"/>
              <w:rPr>
                <w:color w:val="000000"/>
                <w:sz w:val="22"/>
                <w:szCs w:val="22"/>
              </w:rPr>
            </w:pPr>
            <w:r>
              <w:rPr>
                <w:color w:val="000000"/>
                <w:sz w:val="22"/>
                <w:szCs w:val="22"/>
              </w:rPr>
              <w:t xml:space="preserve">$12,020 </w:t>
            </w:r>
          </w:p>
        </w:tc>
      </w:tr>
      <w:tr w14:paraId="5B071D48"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452CA3AA" w14:textId="77777777">
            <w:pPr>
              <w:rPr>
                <w:color w:val="000000"/>
                <w:sz w:val="22"/>
                <w:szCs w:val="22"/>
              </w:rPr>
            </w:pPr>
            <w:r>
              <w:rPr>
                <w:color w:val="000000"/>
                <w:sz w:val="22"/>
                <w:szCs w:val="22"/>
              </w:rPr>
              <w:t>Consultants/Contracts</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5C8F9037" w14:textId="77777777">
            <w:pPr>
              <w:jc w:val="right"/>
              <w:rPr>
                <w:color w:val="000000"/>
                <w:sz w:val="22"/>
                <w:szCs w:val="22"/>
              </w:rPr>
            </w:pPr>
            <w:r>
              <w:rPr>
                <w:color w:val="000000"/>
                <w:sz w:val="22"/>
                <w:szCs w:val="22"/>
              </w:rPr>
              <w:t xml:space="preserve">$0 </w:t>
            </w:r>
          </w:p>
        </w:tc>
        <w:tc>
          <w:tcPr>
            <w:tcW w:w="1510" w:type="dxa"/>
            <w:tcBorders>
              <w:top w:val="nil"/>
              <w:left w:val="nil"/>
              <w:bottom w:val="single" w:sz="8" w:space="0" w:color="auto"/>
              <w:right w:val="single" w:sz="8" w:space="0" w:color="auto"/>
            </w:tcBorders>
            <w:shd w:val="clear" w:color="auto" w:fill="auto"/>
            <w:vAlign w:val="center"/>
            <w:hideMark/>
          </w:tcPr>
          <w:p w:rsidR="008C2301" w14:paraId="0A9C778F" w14:textId="77777777">
            <w:pPr>
              <w:jc w:val="right"/>
              <w:rPr>
                <w:color w:val="000000"/>
                <w:sz w:val="22"/>
                <w:szCs w:val="22"/>
              </w:rPr>
            </w:pPr>
            <w:r>
              <w:rPr>
                <w:color w:val="000000"/>
                <w:sz w:val="22"/>
                <w:szCs w:val="22"/>
              </w:rPr>
              <w:t xml:space="preserve">$41,789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2FA359CE" w14:textId="77777777">
            <w:pPr>
              <w:jc w:val="right"/>
              <w:rPr>
                <w:color w:val="000000"/>
                <w:sz w:val="22"/>
                <w:szCs w:val="22"/>
              </w:rPr>
            </w:pPr>
            <w:r>
              <w:rPr>
                <w:color w:val="000000"/>
                <w:sz w:val="22"/>
                <w:szCs w:val="22"/>
              </w:rPr>
              <w:t xml:space="preserve">$8,068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28B8F7CC" w14:textId="77777777">
            <w:pPr>
              <w:jc w:val="right"/>
              <w:rPr>
                <w:color w:val="000000"/>
                <w:sz w:val="22"/>
                <w:szCs w:val="22"/>
              </w:rPr>
            </w:pPr>
            <w:r>
              <w:rPr>
                <w:color w:val="000000"/>
                <w:sz w:val="22"/>
                <w:szCs w:val="22"/>
              </w:rPr>
              <w:t xml:space="preserve">$49,857 </w:t>
            </w:r>
          </w:p>
        </w:tc>
      </w:tr>
      <w:tr w14:paraId="39F5720D"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3AFB3AA2" w14:textId="77777777">
            <w:pPr>
              <w:rPr>
                <w:color w:val="000000"/>
                <w:sz w:val="22"/>
                <w:szCs w:val="22"/>
              </w:rPr>
            </w:pPr>
            <w:r>
              <w:rPr>
                <w:color w:val="000000"/>
                <w:sz w:val="22"/>
                <w:szCs w:val="22"/>
              </w:rPr>
              <w:t>Other</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53052CC5" w14:textId="77777777">
            <w:pPr>
              <w:jc w:val="right"/>
              <w:rPr>
                <w:color w:val="000000"/>
                <w:sz w:val="22"/>
                <w:szCs w:val="22"/>
              </w:rPr>
            </w:pPr>
            <w:r>
              <w:rPr>
                <w:color w:val="000000"/>
                <w:sz w:val="22"/>
                <w:szCs w:val="22"/>
              </w:rPr>
              <w:t xml:space="preserve">$1,209 </w:t>
            </w:r>
          </w:p>
        </w:tc>
        <w:tc>
          <w:tcPr>
            <w:tcW w:w="1510" w:type="dxa"/>
            <w:tcBorders>
              <w:top w:val="nil"/>
              <w:left w:val="nil"/>
              <w:bottom w:val="single" w:sz="8" w:space="0" w:color="auto"/>
              <w:right w:val="single" w:sz="8" w:space="0" w:color="auto"/>
            </w:tcBorders>
            <w:shd w:val="clear" w:color="auto" w:fill="auto"/>
            <w:vAlign w:val="center"/>
            <w:hideMark/>
          </w:tcPr>
          <w:p w:rsidR="008C2301" w14:paraId="08936C31" w14:textId="77777777">
            <w:pPr>
              <w:jc w:val="right"/>
              <w:rPr>
                <w:color w:val="000000"/>
                <w:sz w:val="22"/>
                <w:szCs w:val="22"/>
              </w:rPr>
            </w:pPr>
            <w:r>
              <w:rPr>
                <w:color w:val="000000"/>
                <w:sz w:val="22"/>
                <w:szCs w:val="22"/>
              </w:rPr>
              <w:t xml:space="preserve">$19,869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AAA597D" w14:textId="77777777">
            <w:pPr>
              <w:jc w:val="right"/>
              <w:rPr>
                <w:color w:val="000000"/>
                <w:sz w:val="22"/>
                <w:szCs w:val="22"/>
              </w:rPr>
            </w:pPr>
            <w:r>
              <w:rPr>
                <w:color w:val="000000"/>
                <w:sz w:val="22"/>
                <w:szCs w:val="22"/>
              </w:rPr>
              <w:t xml:space="preserve">$8,024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1437C10B" w14:textId="77777777">
            <w:pPr>
              <w:jc w:val="right"/>
              <w:rPr>
                <w:color w:val="000000"/>
                <w:sz w:val="22"/>
                <w:szCs w:val="22"/>
              </w:rPr>
            </w:pPr>
            <w:r>
              <w:rPr>
                <w:color w:val="000000"/>
                <w:sz w:val="22"/>
                <w:szCs w:val="22"/>
              </w:rPr>
              <w:t xml:space="preserve">$29,102 </w:t>
            </w:r>
          </w:p>
        </w:tc>
      </w:tr>
      <w:tr w14:paraId="6022A0F3"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18253943" w14:textId="77777777">
            <w:pPr>
              <w:rPr>
                <w:i/>
                <w:iCs/>
                <w:color w:val="000000"/>
                <w:sz w:val="22"/>
                <w:szCs w:val="22"/>
              </w:rPr>
            </w:pPr>
            <w:r>
              <w:rPr>
                <w:i/>
                <w:iCs/>
                <w:color w:val="000000"/>
                <w:sz w:val="22"/>
                <w:szCs w:val="22"/>
              </w:rPr>
              <w:t xml:space="preserve">    Total Direct Costs</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67127F54" w14:textId="77777777">
            <w:pPr>
              <w:jc w:val="right"/>
              <w:rPr>
                <w:i/>
                <w:iCs/>
                <w:color w:val="000000"/>
                <w:sz w:val="22"/>
                <w:szCs w:val="22"/>
              </w:rPr>
            </w:pPr>
            <w:r>
              <w:rPr>
                <w:i/>
                <w:iCs/>
                <w:color w:val="000000"/>
                <w:sz w:val="22"/>
                <w:szCs w:val="22"/>
              </w:rPr>
              <w:t xml:space="preserve">$187,752 </w:t>
            </w:r>
          </w:p>
        </w:tc>
        <w:tc>
          <w:tcPr>
            <w:tcW w:w="1510" w:type="dxa"/>
            <w:tcBorders>
              <w:top w:val="nil"/>
              <w:left w:val="nil"/>
              <w:bottom w:val="single" w:sz="8" w:space="0" w:color="auto"/>
              <w:right w:val="single" w:sz="8" w:space="0" w:color="auto"/>
            </w:tcBorders>
            <w:shd w:val="clear" w:color="auto" w:fill="auto"/>
            <w:vAlign w:val="center"/>
            <w:hideMark/>
          </w:tcPr>
          <w:p w:rsidR="008C2301" w14:paraId="4BAB9800" w14:textId="77777777">
            <w:pPr>
              <w:jc w:val="right"/>
              <w:rPr>
                <w:i/>
                <w:iCs/>
                <w:color w:val="000000"/>
                <w:sz w:val="22"/>
                <w:szCs w:val="22"/>
              </w:rPr>
            </w:pPr>
            <w:r>
              <w:rPr>
                <w:i/>
                <w:iCs/>
                <w:color w:val="000000"/>
                <w:sz w:val="22"/>
                <w:szCs w:val="22"/>
              </w:rPr>
              <w:t xml:space="preserve">$245,641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0F313B7" w14:textId="77777777">
            <w:pPr>
              <w:jc w:val="right"/>
              <w:rPr>
                <w:i/>
                <w:iCs/>
                <w:color w:val="000000"/>
                <w:sz w:val="22"/>
                <w:szCs w:val="22"/>
              </w:rPr>
            </w:pPr>
            <w:r>
              <w:rPr>
                <w:i/>
                <w:iCs/>
                <w:color w:val="000000"/>
                <w:sz w:val="22"/>
                <w:szCs w:val="22"/>
              </w:rPr>
              <w:t xml:space="preserve">$156,727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5848138B" w14:textId="77777777">
            <w:pPr>
              <w:jc w:val="right"/>
              <w:rPr>
                <w:i/>
                <w:iCs/>
                <w:color w:val="000000"/>
                <w:sz w:val="22"/>
                <w:szCs w:val="22"/>
              </w:rPr>
            </w:pPr>
            <w:r>
              <w:rPr>
                <w:i/>
                <w:iCs/>
                <w:color w:val="000000"/>
                <w:sz w:val="22"/>
                <w:szCs w:val="22"/>
              </w:rPr>
              <w:t xml:space="preserve">$590,121 </w:t>
            </w:r>
          </w:p>
        </w:tc>
      </w:tr>
      <w:tr w14:paraId="4BC7D5A9"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2B8561DF" w14:textId="77777777">
            <w:pPr>
              <w:rPr>
                <w:color w:val="000000"/>
                <w:sz w:val="22"/>
                <w:szCs w:val="22"/>
              </w:rPr>
            </w:pPr>
            <w:r>
              <w:rPr>
                <w:color w:val="000000"/>
                <w:sz w:val="22"/>
                <w:szCs w:val="22"/>
              </w:rPr>
              <w:t>Total Indirect</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37086873" w14:textId="77777777">
            <w:pPr>
              <w:jc w:val="right"/>
              <w:rPr>
                <w:color w:val="000000"/>
                <w:sz w:val="22"/>
                <w:szCs w:val="22"/>
              </w:rPr>
            </w:pPr>
            <w:r>
              <w:rPr>
                <w:color w:val="000000"/>
                <w:sz w:val="22"/>
                <w:szCs w:val="22"/>
              </w:rPr>
              <w:t xml:space="preserve">$148,560 </w:t>
            </w:r>
          </w:p>
        </w:tc>
        <w:tc>
          <w:tcPr>
            <w:tcW w:w="1510" w:type="dxa"/>
            <w:tcBorders>
              <w:top w:val="nil"/>
              <w:left w:val="nil"/>
              <w:bottom w:val="single" w:sz="8" w:space="0" w:color="auto"/>
              <w:right w:val="single" w:sz="8" w:space="0" w:color="auto"/>
            </w:tcBorders>
            <w:shd w:val="clear" w:color="auto" w:fill="auto"/>
            <w:vAlign w:val="center"/>
            <w:hideMark/>
          </w:tcPr>
          <w:p w:rsidR="008C2301" w14:paraId="589BE5B5" w14:textId="77777777">
            <w:pPr>
              <w:jc w:val="right"/>
              <w:rPr>
                <w:color w:val="000000"/>
                <w:sz w:val="22"/>
                <w:szCs w:val="22"/>
              </w:rPr>
            </w:pPr>
            <w:r>
              <w:rPr>
                <w:color w:val="000000"/>
                <w:sz w:val="22"/>
                <w:szCs w:val="22"/>
              </w:rPr>
              <w:t xml:space="preserve">$145,564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6FC83A1A" w14:textId="77777777">
            <w:pPr>
              <w:jc w:val="right"/>
              <w:rPr>
                <w:color w:val="000000"/>
                <w:sz w:val="22"/>
                <w:szCs w:val="22"/>
              </w:rPr>
            </w:pPr>
            <w:r>
              <w:rPr>
                <w:color w:val="000000"/>
                <w:sz w:val="22"/>
                <w:szCs w:val="22"/>
              </w:rPr>
              <w:t xml:space="preserve">$115,650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6F69E01E" w14:textId="77777777">
            <w:pPr>
              <w:jc w:val="right"/>
              <w:rPr>
                <w:color w:val="000000"/>
                <w:sz w:val="22"/>
                <w:szCs w:val="22"/>
              </w:rPr>
            </w:pPr>
            <w:r>
              <w:rPr>
                <w:color w:val="000000"/>
                <w:sz w:val="22"/>
                <w:szCs w:val="22"/>
              </w:rPr>
              <w:t xml:space="preserve">$409,774 </w:t>
            </w:r>
          </w:p>
        </w:tc>
      </w:tr>
      <w:tr w14:paraId="4C4EA13B"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4C5C8A7D" w14:textId="77777777">
            <w:pPr>
              <w:ind w:firstLine="220" w:firstLineChars="100"/>
              <w:rPr>
                <w:b/>
                <w:bCs/>
                <w:i/>
                <w:iCs/>
                <w:color w:val="000000"/>
                <w:sz w:val="22"/>
                <w:szCs w:val="22"/>
              </w:rPr>
            </w:pPr>
            <w:r>
              <w:rPr>
                <w:b/>
                <w:bCs/>
                <w:i/>
                <w:iCs/>
                <w:color w:val="000000"/>
                <w:sz w:val="22"/>
                <w:szCs w:val="22"/>
              </w:rPr>
              <w:t>Subtotal data collection agent cost</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1539ABF0" w14:textId="77777777">
            <w:pPr>
              <w:jc w:val="right"/>
              <w:rPr>
                <w:b/>
                <w:bCs/>
                <w:i/>
                <w:iCs/>
                <w:color w:val="000000"/>
                <w:sz w:val="22"/>
                <w:szCs w:val="22"/>
              </w:rPr>
            </w:pPr>
            <w:r>
              <w:rPr>
                <w:b/>
                <w:bCs/>
                <w:i/>
                <w:iCs/>
                <w:color w:val="000000"/>
                <w:sz w:val="22"/>
                <w:szCs w:val="22"/>
              </w:rPr>
              <w:t xml:space="preserve">$336,313 </w:t>
            </w:r>
          </w:p>
        </w:tc>
        <w:tc>
          <w:tcPr>
            <w:tcW w:w="1510" w:type="dxa"/>
            <w:tcBorders>
              <w:top w:val="nil"/>
              <w:left w:val="nil"/>
              <w:bottom w:val="single" w:sz="8" w:space="0" w:color="auto"/>
              <w:right w:val="single" w:sz="8" w:space="0" w:color="auto"/>
            </w:tcBorders>
            <w:shd w:val="clear" w:color="auto" w:fill="auto"/>
            <w:vAlign w:val="center"/>
            <w:hideMark/>
          </w:tcPr>
          <w:p w:rsidR="008C2301" w14:paraId="6085D773" w14:textId="77777777">
            <w:pPr>
              <w:jc w:val="right"/>
              <w:rPr>
                <w:b/>
                <w:bCs/>
                <w:i/>
                <w:iCs/>
                <w:color w:val="000000"/>
                <w:sz w:val="22"/>
                <w:szCs w:val="22"/>
              </w:rPr>
            </w:pPr>
            <w:r>
              <w:rPr>
                <w:b/>
                <w:bCs/>
                <w:i/>
                <w:iCs/>
                <w:color w:val="000000"/>
                <w:sz w:val="22"/>
                <w:szCs w:val="22"/>
              </w:rPr>
              <w:t xml:space="preserve">$391,205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09A738A3" w14:textId="77777777">
            <w:pPr>
              <w:jc w:val="right"/>
              <w:rPr>
                <w:b/>
                <w:bCs/>
                <w:i/>
                <w:iCs/>
                <w:color w:val="000000"/>
                <w:sz w:val="22"/>
                <w:szCs w:val="22"/>
              </w:rPr>
            </w:pPr>
            <w:r>
              <w:rPr>
                <w:b/>
                <w:bCs/>
                <w:i/>
                <w:iCs/>
                <w:color w:val="000000"/>
                <w:sz w:val="22"/>
                <w:szCs w:val="22"/>
              </w:rPr>
              <w:t xml:space="preserve">$272,377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6F34813B" w14:textId="77777777">
            <w:pPr>
              <w:jc w:val="right"/>
              <w:rPr>
                <w:b/>
                <w:bCs/>
                <w:i/>
                <w:iCs/>
                <w:color w:val="000000"/>
                <w:sz w:val="22"/>
                <w:szCs w:val="22"/>
              </w:rPr>
            </w:pPr>
            <w:r>
              <w:rPr>
                <w:b/>
                <w:bCs/>
                <w:i/>
                <w:iCs/>
                <w:color w:val="000000"/>
                <w:sz w:val="22"/>
                <w:szCs w:val="22"/>
              </w:rPr>
              <w:t xml:space="preserve">$999,895 </w:t>
            </w:r>
          </w:p>
        </w:tc>
      </w:tr>
      <w:tr w14:paraId="4F906011"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7F8C2461" w14:textId="77777777">
            <w:pPr>
              <w:rPr>
                <w:rFonts w:ascii="Calibri" w:hAnsi="Calibri" w:cs="Calibri"/>
                <w:color w:val="000000"/>
                <w:sz w:val="22"/>
                <w:szCs w:val="22"/>
              </w:rPr>
            </w:pPr>
            <w:r>
              <w:rPr>
                <w:rFonts w:ascii="Calibri" w:hAnsi="Calibri" w:cs="Calibri"/>
                <w:color w:val="000000"/>
                <w:sz w:val="22"/>
                <w:szCs w:val="22"/>
              </w:rPr>
              <w:t>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3E5C962C" w14:textId="77777777">
            <w:pPr>
              <w:rPr>
                <w:rFonts w:ascii="Calibri" w:hAnsi="Calibri" w:cs="Calibri"/>
                <w:color w:val="000000"/>
                <w:sz w:val="22"/>
                <w:szCs w:val="22"/>
              </w:rPr>
            </w:pPr>
            <w:r>
              <w:rPr>
                <w:rFonts w:ascii="Calibri" w:hAnsi="Calibri" w:cs="Calibri"/>
                <w:color w:val="000000"/>
                <w:sz w:val="22"/>
                <w:szCs w:val="22"/>
              </w:rPr>
              <w:t> </w:t>
            </w:r>
          </w:p>
        </w:tc>
        <w:tc>
          <w:tcPr>
            <w:tcW w:w="1510" w:type="dxa"/>
            <w:tcBorders>
              <w:top w:val="nil"/>
              <w:left w:val="nil"/>
              <w:bottom w:val="single" w:sz="8" w:space="0" w:color="auto"/>
              <w:right w:val="single" w:sz="8" w:space="0" w:color="auto"/>
            </w:tcBorders>
            <w:shd w:val="clear" w:color="auto" w:fill="auto"/>
            <w:vAlign w:val="center"/>
            <w:hideMark/>
          </w:tcPr>
          <w:p w:rsidR="008C2301" w14:paraId="00F9F66C" w14:textId="77777777">
            <w:pPr>
              <w:rPr>
                <w:color w:val="000000"/>
                <w:sz w:val="20"/>
                <w:szCs w:val="20"/>
              </w:rPr>
            </w:pPr>
            <w:r>
              <w:rPr>
                <w:color w:val="000000"/>
                <w:sz w:val="20"/>
                <w:szCs w:val="20"/>
              </w:rPr>
              <w:t> </w:t>
            </w:r>
          </w:p>
        </w:tc>
        <w:tc>
          <w:tcPr>
            <w:tcW w:w="1038" w:type="dxa"/>
            <w:tcBorders>
              <w:top w:val="nil"/>
              <w:left w:val="nil"/>
              <w:bottom w:val="single" w:sz="8" w:space="0" w:color="auto"/>
              <w:right w:val="single" w:sz="8" w:space="0" w:color="auto"/>
            </w:tcBorders>
            <w:shd w:val="clear" w:color="auto" w:fill="auto"/>
            <w:noWrap/>
            <w:vAlign w:val="bottom"/>
            <w:hideMark/>
          </w:tcPr>
          <w:p w:rsidR="008C2301" w14:paraId="106F37F2" w14:textId="77777777">
            <w:pPr>
              <w:rPr>
                <w:rFonts w:ascii="Calibri" w:hAnsi="Calibri" w:cs="Calibri"/>
                <w:color w:val="000000"/>
                <w:sz w:val="22"/>
                <w:szCs w:val="22"/>
              </w:rPr>
            </w:pPr>
            <w:r>
              <w:rPr>
                <w:rFonts w:ascii="Calibri" w:hAnsi="Calibri" w:cs="Calibri"/>
                <w:color w:val="000000"/>
                <w:sz w:val="22"/>
                <w:szCs w:val="22"/>
              </w:rPr>
              <w:t> </w:t>
            </w:r>
          </w:p>
        </w:tc>
        <w:tc>
          <w:tcPr>
            <w:tcW w:w="1169" w:type="dxa"/>
            <w:tcBorders>
              <w:top w:val="nil"/>
              <w:left w:val="nil"/>
              <w:bottom w:val="single" w:sz="8" w:space="0" w:color="auto"/>
              <w:right w:val="single" w:sz="8" w:space="0" w:color="auto"/>
            </w:tcBorders>
            <w:shd w:val="clear" w:color="auto" w:fill="auto"/>
            <w:noWrap/>
            <w:vAlign w:val="bottom"/>
            <w:hideMark/>
          </w:tcPr>
          <w:p w:rsidR="008C2301" w14:paraId="15C206ED" w14:textId="77777777">
            <w:pPr>
              <w:rPr>
                <w:rFonts w:ascii="Calibri" w:hAnsi="Calibri" w:cs="Calibri"/>
                <w:color w:val="000000"/>
                <w:sz w:val="22"/>
                <w:szCs w:val="22"/>
              </w:rPr>
            </w:pPr>
            <w:r>
              <w:rPr>
                <w:rFonts w:ascii="Calibri" w:hAnsi="Calibri" w:cs="Calibri"/>
                <w:color w:val="000000"/>
                <w:sz w:val="22"/>
                <w:szCs w:val="22"/>
              </w:rPr>
              <w:t> </w:t>
            </w:r>
          </w:p>
        </w:tc>
      </w:tr>
      <w:tr w14:paraId="59AEA3EF" w14:textId="77777777" w:rsidTr="008C2301">
        <w:tblPrEx>
          <w:tblW w:w="10040" w:type="dxa"/>
          <w:tblLook w:val="04A0"/>
        </w:tblPrEx>
        <w:trPr>
          <w:trHeight w:val="300"/>
        </w:trPr>
        <w:tc>
          <w:tcPr>
            <w:tcW w:w="52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2301" w14:paraId="70C24394" w14:textId="77777777">
            <w:pPr>
              <w:rPr>
                <w:b/>
                <w:bCs/>
                <w:color w:val="000000"/>
                <w:sz w:val="22"/>
                <w:szCs w:val="22"/>
              </w:rPr>
            </w:pPr>
            <w:r>
              <w:rPr>
                <w:b/>
                <w:bCs/>
                <w:color w:val="000000"/>
                <w:sz w:val="22"/>
                <w:szCs w:val="22"/>
              </w:rPr>
              <w:t>Sum of BJS and agent cost</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67A76D5D" w14:textId="77777777">
            <w:pPr>
              <w:jc w:val="right"/>
              <w:rPr>
                <w:b/>
                <w:bCs/>
                <w:color w:val="000000"/>
                <w:sz w:val="22"/>
                <w:szCs w:val="22"/>
              </w:rPr>
            </w:pPr>
            <w:r>
              <w:rPr>
                <w:b/>
                <w:bCs/>
                <w:color w:val="000000"/>
                <w:sz w:val="22"/>
                <w:szCs w:val="22"/>
              </w:rPr>
              <w:t xml:space="preserve">$430,906 </w:t>
            </w:r>
          </w:p>
        </w:tc>
        <w:tc>
          <w:tcPr>
            <w:tcW w:w="1510" w:type="dxa"/>
            <w:tcBorders>
              <w:top w:val="nil"/>
              <w:left w:val="nil"/>
              <w:bottom w:val="single" w:sz="8" w:space="0" w:color="auto"/>
              <w:right w:val="single" w:sz="8" w:space="0" w:color="auto"/>
            </w:tcBorders>
            <w:shd w:val="clear" w:color="auto" w:fill="auto"/>
            <w:noWrap/>
            <w:vAlign w:val="center"/>
            <w:hideMark/>
          </w:tcPr>
          <w:p w:rsidR="008C2301" w14:paraId="1D1B7881" w14:textId="77777777">
            <w:pPr>
              <w:jc w:val="right"/>
              <w:rPr>
                <w:b/>
                <w:bCs/>
                <w:color w:val="000000"/>
                <w:sz w:val="22"/>
                <w:szCs w:val="22"/>
              </w:rPr>
            </w:pPr>
            <w:r>
              <w:rPr>
                <w:b/>
                <w:bCs/>
                <w:color w:val="000000"/>
                <w:sz w:val="22"/>
                <w:szCs w:val="22"/>
              </w:rPr>
              <w:t xml:space="preserve">$490,776 </w:t>
            </w:r>
          </w:p>
        </w:tc>
        <w:tc>
          <w:tcPr>
            <w:tcW w:w="1038" w:type="dxa"/>
            <w:tcBorders>
              <w:top w:val="nil"/>
              <w:left w:val="nil"/>
              <w:bottom w:val="single" w:sz="8" w:space="0" w:color="auto"/>
              <w:right w:val="single" w:sz="8" w:space="0" w:color="auto"/>
            </w:tcBorders>
            <w:shd w:val="clear" w:color="auto" w:fill="auto"/>
            <w:noWrap/>
            <w:vAlign w:val="center"/>
            <w:hideMark/>
          </w:tcPr>
          <w:p w:rsidR="008C2301" w14:paraId="41EAC009" w14:textId="77777777">
            <w:pPr>
              <w:jc w:val="right"/>
              <w:rPr>
                <w:b/>
                <w:bCs/>
                <w:color w:val="000000"/>
                <w:sz w:val="22"/>
                <w:szCs w:val="22"/>
              </w:rPr>
            </w:pPr>
            <w:r>
              <w:rPr>
                <w:b/>
                <w:bCs/>
                <w:color w:val="000000"/>
                <w:sz w:val="22"/>
                <w:szCs w:val="22"/>
              </w:rPr>
              <w:t xml:space="preserve">$374,936 </w:t>
            </w:r>
          </w:p>
        </w:tc>
        <w:tc>
          <w:tcPr>
            <w:tcW w:w="1169" w:type="dxa"/>
            <w:tcBorders>
              <w:top w:val="nil"/>
              <w:left w:val="nil"/>
              <w:bottom w:val="single" w:sz="8" w:space="0" w:color="auto"/>
              <w:right w:val="single" w:sz="8" w:space="0" w:color="auto"/>
            </w:tcBorders>
            <w:shd w:val="clear" w:color="auto" w:fill="auto"/>
            <w:noWrap/>
            <w:vAlign w:val="center"/>
            <w:hideMark/>
          </w:tcPr>
          <w:p w:rsidR="008C2301" w14:paraId="65D5E492" w14:textId="77777777">
            <w:pPr>
              <w:jc w:val="right"/>
              <w:rPr>
                <w:b/>
                <w:bCs/>
                <w:color w:val="000000"/>
                <w:sz w:val="22"/>
                <w:szCs w:val="22"/>
              </w:rPr>
            </w:pPr>
            <w:r>
              <w:rPr>
                <w:b/>
                <w:bCs/>
                <w:color w:val="000000"/>
                <w:sz w:val="22"/>
                <w:szCs w:val="22"/>
              </w:rPr>
              <w:t xml:space="preserve">$1,296,618 </w:t>
            </w:r>
          </w:p>
        </w:tc>
      </w:tr>
    </w:tbl>
    <w:p w:rsidR="00276DC9" w:rsidRPr="00B8502C" w:rsidP="00C6356B" w14:paraId="1660927C" w14:textId="77777777">
      <w:pPr>
        <w:rPr>
          <w:b/>
        </w:rPr>
      </w:pPr>
    </w:p>
    <w:p w:rsidR="00DD7019" w:rsidRPr="00B8502C" w14:paraId="72F383F4" w14:textId="77777777"/>
    <w:p w:rsidR="002616FC" w:rsidRPr="00B6047E" w:rsidP="00EA5E4F" w14:paraId="1C2344CB" w14:textId="4DD0038F">
      <w:pPr>
        <w:pStyle w:val="Heading2"/>
        <w:keepNext w:val="0"/>
        <w:keepLines w:val="0"/>
        <w:spacing w:before="0" w:after="240" w:line="240" w:lineRule="auto"/>
        <w:jc w:val="left"/>
        <w:rPr>
          <w:rFonts w:ascii="Times New Roman" w:hAnsi="Times New Roman" w:cs="Times New Roman"/>
          <w:bCs w:val="0"/>
          <w:sz w:val="24"/>
          <w:szCs w:val="24"/>
        </w:rPr>
      </w:pPr>
      <w:bookmarkStart w:id="4" w:name="_Hlk163726321"/>
      <w:r w:rsidRPr="00B6047E">
        <w:rPr>
          <w:rFonts w:ascii="Times New Roman" w:hAnsi="Times New Roman" w:cs="Times New Roman"/>
          <w:bCs w:val="0"/>
          <w:sz w:val="24"/>
          <w:szCs w:val="24"/>
        </w:rPr>
        <w:t>15.</w:t>
      </w:r>
      <w:r w:rsidRPr="00B6047E">
        <w:rPr>
          <w:rFonts w:ascii="Times New Roman" w:hAnsi="Times New Roman" w:cs="Times New Roman"/>
          <w:bCs w:val="0"/>
          <w:sz w:val="24"/>
          <w:szCs w:val="24"/>
        </w:rPr>
        <w:tab/>
        <w:t xml:space="preserve">Explain the reasons for any program changes or adjustments. </w:t>
      </w:r>
    </w:p>
    <w:bookmarkEnd w:id="4"/>
    <w:p w:rsidR="00BF3BCD" w:rsidP="00BF3BCD" w14:paraId="6BF1EE1E" w14:textId="55386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w:t>
      </w:r>
      <w:r w:rsidRPr="00B8502C" w:rsidR="009A3C86">
        <w:t xml:space="preserve">o change in burden is expected </w:t>
      </w:r>
      <w:r w:rsidR="00E33C76">
        <w:t xml:space="preserve">to individual respondents </w:t>
      </w:r>
      <w:r w:rsidRPr="00B8502C" w:rsidR="009A3C86">
        <w:t xml:space="preserve">for the </w:t>
      </w:r>
      <w:r w:rsidR="00752DD1">
        <w:t>20</w:t>
      </w:r>
      <w:r w:rsidR="7FDA8FED">
        <w:t>23</w:t>
      </w:r>
      <w:r w:rsidRPr="00B8502C" w:rsidR="009A3C86">
        <w:t xml:space="preserve"> </w:t>
      </w:r>
      <w:r w:rsidRPr="00B8502C" w:rsidR="00F86DFB">
        <w:t>CMEC</w:t>
      </w:r>
      <w:r w:rsidRPr="00B8502C" w:rsidR="009A3C86">
        <w:t xml:space="preserve"> relative to that of the </w:t>
      </w:r>
      <w:r w:rsidR="009A3C86">
        <w:t>2</w:t>
      </w:r>
      <w:r w:rsidR="00752DD1">
        <w:t>0</w:t>
      </w:r>
      <w:r w:rsidR="1339969B">
        <w:t>18</w:t>
      </w:r>
      <w:r w:rsidRPr="00B8502C" w:rsidR="009A3C86">
        <w:t xml:space="preserve"> </w:t>
      </w:r>
      <w:r w:rsidRPr="00B8502C" w:rsidR="00F86DFB">
        <w:t>CMEC</w:t>
      </w:r>
      <w:r>
        <w:t xml:space="preserve">. </w:t>
      </w:r>
      <w:r w:rsidRPr="00B8502C">
        <w:t xml:space="preserve">The burden </w:t>
      </w:r>
      <w:r w:rsidRPr="00B8502C">
        <w:t>estimate</w:t>
      </w:r>
      <w:r w:rsidRPr="00B8502C">
        <w:t xml:space="preserve"> for the 20</w:t>
      </w:r>
      <w:r>
        <w:t>18</w:t>
      </w:r>
      <w:r w:rsidRPr="00B8502C">
        <w:t xml:space="preserve"> CMEC was 90 minutes, and we estimate the 20</w:t>
      </w:r>
      <w:r>
        <w:t>23</w:t>
      </w:r>
      <w:r w:rsidRPr="00B8502C">
        <w:t xml:space="preserve"> </w:t>
      </w:r>
      <w:r>
        <w:t xml:space="preserve">CMEC </w:t>
      </w:r>
      <w:r w:rsidRPr="00B8502C">
        <w:t xml:space="preserve">burden to also be 90 minutes. </w:t>
      </w:r>
      <w:r w:rsidR="00A95643">
        <w:t>However, t</w:t>
      </w:r>
      <w:r>
        <w:t xml:space="preserve">o provide more comprehensive statistics on the nation’s MDI work outside of the traditional MEC offices, the 2023 CMEC will include </w:t>
      </w:r>
      <w:r>
        <w:t xml:space="preserve">the approximately 700 justices of the peace in Texas that </w:t>
      </w:r>
      <w:r w:rsidRPr="007A7D0D">
        <w:t>make cause and manner of death determinations but</w:t>
      </w:r>
      <w:r>
        <w:t xml:space="preserve"> were </w:t>
      </w:r>
      <w:r w:rsidRPr="007A7D0D">
        <w:t>out of scope for the 2004 and 2018 CMECs.</w:t>
      </w:r>
    </w:p>
    <w:p w:rsidR="009F62C8" w:rsidP="0BACCD76" w14:paraId="5D2AB189" w14:textId="5DB1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33C76" w:rsidP="00E33C76" w14:paraId="6B382E6F" w14:textId="63ECB4F4">
      <w:r>
        <w:t xml:space="preserve">The 2023 CMEC will allow for needed comparisons with the 2004 and 2018 CMEC, but </w:t>
      </w:r>
      <w:r w:rsidR="000005CE">
        <w:t>t</w:t>
      </w:r>
      <w:r>
        <w:t>he proposed instrument (</w:t>
      </w:r>
      <w:r w:rsidRPr="00362001">
        <w:rPr>
          <w:b/>
          <w:bCs/>
        </w:rPr>
        <w:t xml:space="preserve">Attachment </w:t>
      </w:r>
      <w:r w:rsidR="00455415">
        <w:rPr>
          <w:b/>
          <w:bCs/>
        </w:rPr>
        <w:t>1</w:t>
      </w:r>
      <w:r>
        <w:t xml:space="preserve">) has been revised to include modifications </w:t>
      </w:r>
      <w:r w:rsidR="0080512B">
        <w:t xml:space="preserve">to some previous items </w:t>
      </w:r>
      <w:r>
        <w:t>and new items stemming from expert and methodological reviews as well as cognitive testing of the survey</w:t>
      </w:r>
      <w:r w:rsidRPr="00C2643D">
        <w:t xml:space="preserve">. </w:t>
      </w:r>
      <w:r w:rsidRPr="00C2643D">
        <w:rPr>
          <w:color w:val="000000"/>
        </w:rPr>
        <w:t xml:space="preserve">BJS has evaluated all comments and recommendations for revision from cognitive testing and have incorporated these changes for improvement into the </w:t>
      </w:r>
      <w:r>
        <w:rPr>
          <w:color w:val="000000"/>
        </w:rPr>
        <w:t>new</w:t>
      </w:r>
      <w:r w:rsidRPr="00C2643D">
        <w:rPr>
          <w:color w:val="000000"/>
        </w:rPr>
        <w:t xml:space="preserve"> CMEC </w:t>
      </w:r>
      <w:r>
        <w:rPr>
          <w:color w:val="000000"/>
        </w:rPr>
        <w:t>instrument</w:t>
      </w:r>
      <w:r w:rsidRPr="00C2643D">
        <w:t>. The</w:t>
      </w:r>
      <w:r>
        <w:t xml:space="preserve"> instrument </w:t>
      </w:r>
      <w:r w:rsidRPr="00DE3118">
        <w:t xml:space="preserve">has </w:t>
      </w:r>
      <w:r w:rsidR="0086765B">
        <w:t xml:space="preserve">75 </w:t>
      </w:r>
      <w:r>
        <w:t xml:space="preserve">items </w:t>
      </w:r>
      <w:r w:rsidR="006D785E">
        <w:t>across</w:t>
      </w:r>
      <w:r>
        <w:t xml:space="preserve"> 6 sections—</w:t>
      </w:r>
    </w:p>
    <w:p w:rsidR="00E33C76" w:rsidP="00E33C76" w14:paraId="655A5A2C" w14:textId="77777777"/>
    <w:p w:rsidR="00E33C76" w:rsidRPr="00D610D5" w:rsidP="00E33C76" w14:paraId="564241F2" w14:textId="2E2F3097">
      <w:pPr>
        <w:rPr>
          <w:u w:val="single"/>
        </w:rPr>
      </w:pPr>
      <w:r w:rsidRPr="00D610D5">
        <w:rPr>
          <w:u w:val="single"/>
        </w:rPr>
        <w:t>1. Section A – Administrative (A1–A</w:t>
      </w:r>
      <w:r w:rsidRPr="00D610D5" w:rsidR="003B740F">
        <w:rPr>
          <w:u w:val="single"/>
        </w:rPr>
        <w:t>2</w:t>
      </w:r>
      <w:r w:rsidR="002C40A0">
        <w:rPr>
          <w:u w:val="single"/>
        </w:rPr>
        <w:t>4</w:t>
      </w:r>
      <w:r w:rsidRPr="00D610D5">
        <w:rPr>
          <w:u w:val="single"/>
        </w:rPr>
        <w:t>)</w:t>
      </w:r>
    </w:p>
    <w:p w:rsidR="00E33C76" w:rsidP="00E33C76" w14:paraId="46E8B356" w14:textId="77777777">
      <w:r>
        <w:t>This section collects information on the type of office being surveyed (coroner, sheriff-coroner,</w:t>
      </w:r>
    </w:p>
    <w:p w:rsidR="000D7C8E" w:rsidP="000D7C8E" w14:paraId="2D585FBB" w14:textId="081B9E42">
      <w:r>
        <w:t xml:space="preserve">medical examiner, etc.), the level of government they represent, the type of agency or government body the office reports to, the geographic jurisdictions served (including whether they are a multi-jurisdictional office), </w:t>
      </w:r>
      <w:r w:rsidR="006138BA">
        <w:t xml:space="preserve">whether the head of the office is required to be a forensic pathologist or physician and whether that person is full-time or part-time, the death investigation functions of the head of office, </w:t>
      </w:r>
      <w:r>
        <w:t xml:space="preserve">number of employees (full-time, part-time, contractors, </w:t>
      </w:r>
      <w:r w:rsidR="006138BA">
        <w:t xml:space="preserve">and </w:t>
      </w:r>
      <w:r>
        <w:t>on-call employees), how autopsy services are handled by the office (whether the forensic pathologist or autopsy pathologist is directly employed by the office), salary/fee-structure details</w:t>
      </w:r>
      <w:r w:rsidR="006138BA">
        <w:t>, and office vacancies</w:t>
      </w:r>
      <w:r>
        <w:t>. This information will be used to develop future CMECs and allows BJS to make comparisons between types of offices and to link the population of jurisdictions back to the office that serves them.</w:t>
      </w:r>
      <w:r>
        <w:t xml:space="preserve"> </w:t>
      </w:r>
    </w:p>
    <w:p w:rsidR="000D7C8E" w:rsidP="000D7C8E" w14:paraId="4435113E" w14:textId="77777777"/>
    <w:p w:rsidR="00E33C76" w:rsidP="00E33C76" w14:paraId="4A33B83C" w14:textId="37E27DC6">
      <w:r w:rsidRPr="004633AB">
        <w:t>Cognitive testing resulted in changes to six items that encountered a similar issue with providing counts for contractors – these changes include the removal of a response row which include an answer choice with the fusion of a combined filter question and stem question to streamline staffing counts. Additional instructions were also included at the beginning of the series with slightly revised definitions for clarity. One item pertaining to “oversight”, was found confusing due to different interpretations of the word; this item was reworded to include a clarifying term, received an additional response option, and was moved to Section B as it was now asking about “budgetary oversight”. Two items received additional examples to clarify the question stem. One word was added to A</w:t>
      </w:r>
      <w:r w:rsidR="00180A80">
        <w:t>6</w:t>
      </w:r>
      <w:r w:rsidRPr="004633AB">
        <w:t>, to clarify “jurisdictions”. Cognitive testing also resulted in the removal of four questions that either only pertained to a minority of offices (i.e., questions about forensic toxicologists on staff) or asked about data that could be obtained elsewhere (i.e., MEC accreditation status from two professional organizations). Four new questions were added to obtain more context for the “head of office” position (e.g., whether it is an elected position, specific functional roles, etc.). For Question A12, we excluded contracted forensic/autopsy pathologists because there were concerns about double-counting these staff. A1</w:t>
      </w:r>
      <w:r w:rsidR="00180A80">
        <w:t>3</w:t>
      </w:r>
      <w:r w:rsidRPr="004633AB">
        <w:t xml:space="preserve"> and A</w:t>
      </w:r>
      <w:r w:rsidR="00180A80">
        <w:t>18</w:t>
      </w:r>
      <w:r w:rsidRPr="004633AB">
        <w:t xml:space="preserve"> are </w:t>
      </w:r>
      <w:r w:rsidRPr="004633AB">
        <w:t>similar to</w:t>
      </w:r>
      <w:r w:rsidRPr="004633AB">
        <w:t xml:space="preserve"> the 2018 instrument but ask for a count rather than general answer. The count is a very important topic among employed forensic pathologists and medicolegal death investigators because their accreditation and national standards are based </w:t>
      </w:r>
      <w:r w:rsidR="00064EE1">
        <w:t xml:space="preserve">on </w:t>
      </w:r>
      <w:r w:rsidRPr="004633AB">
        <w:t>having certifications. Because there are so many different pay structures and levels and hours of employment, A</w:t>
      </w:r>
      <w:r w:rsidR="002D206E">
        <w:t>14</w:t>
      </w:r>
      <w:r w:rsidRPr="004633AB">
        <w:t xml:space="preserve"> and </w:t>
      </w:r>
      <w:r w:rsidR="00064EE1">
        <w:t>A</w:t>
      </w:r>
      <w:r w:rsidR="002D206E">
        <w:t>19</w:t>
      </w:r>
      <w:r w:rsidRPr="004633AB">
        <w:t xml:space="preserve"> provide key additional context to salary structures, as well as providing insight into the diversity of systems.</w:t>
      </w:r>
    </w:p>
    <w:p w:rsidR="004633AB" w:rsidP="00E33C76" w14:paraId="1D6E1F18" w14:textId="77777777"/>
    <w:p w:rsidR="00E33C76" w:rsidRPr="00D610D5" w:rsidP="00E33C76" w14:paraId="3D2FA54C" w14:textId="4BC31BD8">
      <w:pPr>
        <w:rPr>
          <w:u w:val="single"/>
        </w:rPr>
      </w:pPr>
      <w:r w:rsidRPr="00D610D5">
        <w:rPr>
          <w:u w:val="single"/>
        </w:rPr>
        <w:t>2. Section B – Expenditures and Funds (B1–B</w:t>
      </w:r>
      <w:r w:rsidR="005B3C04">
        <w:rPr>
          <w:u w:val="single"/>
        </w:rPr>
        <w:t>5</w:t>
      </w:r>
      <w:r w:rsidRPr="00D610D5">
        <w:rPr>
          <w:u w:val="single"/>
        </w:rPr>
        <w:t>)</w:t>
      </w:r>
    </w:p>
    <w:p w:rsidR="00E33C76" w:rsidP="00E33C76" w14:paraId="67E523BB" w14:textId="6EFE293A">
      <w:r>
        <w:t>This section collects information on o</w:t>
      </w:r>
      <w:r w:rsidR="006138BA">
        <w:t xml:space="preserve">ffice </w:t>
      </w:r>
      <w:r>
        <w:t xml:space="preserve">budgets designated for death investigation functions, the type of agency that provides budgetary oversight of the office, the types of functions that are included in the total expenditures reported (e.g., autopsies, transportation, training, indigent burial, etc.), and the use of staff personal resources or out-of-pocket expenses (e.g., personal protective equipment and office supplies) where there was no reimbursement from the budget. </w:t>
      </w:r>
    </w:p>
    <w:p w:rsidR="00E33C76" w:rsidP="00E33C76" w14:paraId="5C98B5F1" w14:textId="77777777"/>
    <w:p w:rsidR="000D7C8E" w:rsidP="00E33C76" w14:paraId="5704E463" w14:textId="659E126E">
      <w:r>
        <w:t xml:space="preserve">Section B had only one of the five questions presenting minor confusion to </w:t>
      </w:r>
      <w:r w:rsidR="006828DF">
        <w:t xml:space="preserve">cognitive testing </w:t>
      </w:r>
      <w:r>
        <w:t xml:space="preserve">participants. For B3, two participants indicated that their office pays a portion of the expense, but not </w:t>
      </w:r>
      <w:r>
        <w:t>all of</w:t>
      </w:r>
      <w:r>
        <w:t xml:space="preserve"> the expenditures for some of the functions covered in their budget. Thus, cognitive testing resulted in revising the “Yes” and “No” column headings to “All,” “Some,” and “None” to reduce confusion for offices that pay for some but not all of a given expense.</w:t>
      </w:r>
    </w:p>
    <w:p w:rsidR="000D7C8E" w:rsidP="00E33C76" w14:paraId="14177922" w14:textId="77777777"/>
    <w:p w:rsidR="00E33C76" w:rsidRPr="00D610D5" w:rsidP="00E33C76" w14:paraId="6988C5CD" w14:textId="07598001">
      <w:pPr>
        <w:rPr>
          <w:u w:val="single"/>
        </w:rPr>
      </w:pPr>
      <w:r w:rsidRPr="00D610D5">
        <w:rPr>
          <w:u w:val="single"/>
        </w:rPr>
        <w:t>3. Section C – Workload (C1–C</w:t>
      </w:r>
      <w:r w:rsidR="00B76F9A">
        <w:rPr>
          <w:u w:val="single"/>
        </w:rPr>
        <w:t>18</w:t>
      </w:r>
      <w:r w:rsidRPr="00D610D5">
        <w:rPr>
          <w:u w:val="single"/>
        </w:rPr>
        <w:t>)</w:t>
      </w:r>
    </w:p>
    <w:p w:rsidR="00E33C76" w:rsidP="00E33C76" w14:paraId="3F192EDA" w14:textId="5AB21844">
      <w:r>
        <w:t xml:space="preserve">This section collects information on the number of cases reported to offices, the number of cases the offices accepted and investigated in 2023, including </w:t>
      </w:r>
      <w:r w:rsidR="000D7C8E">
        <w:t xml:space="preserve">whether cases were reported </w:t>
      </w:r>
      <w:r>
        <w:t>from tribal lands, the number of autopsies the office ordered or performed, whether procedures and functions are conducted within the office</w:t>
      </w:r>
      <w:r w:rsidR="006138BA">
        <w:t>, sent to another medical examiner (e.g., state medical examiners)</w:t>
      </w:r>
      <w:r w:rsidR="002A5D2E">
        <w:t xml:space="preserve"> </w:t>
      </w:r>
      <w:r>
        <w:t xml:space="preserve">or contracted to an external agency, practices and policies around routinely ordered autopsies for particular types of deaths, the number of medicolegal death investigations performed in 2023, and next of kin responsibilities. </w:t>
      </w:r>
      <w:r w:rsidRPr="00916990">
        <w:t>B</w:t>
      </w:r>
      <w:r>
        <w:t xml:space="preserve">ased on expert panel feedback, a question was added to determine the distance offices drive to obtain autopsies, as well as a question to understand the extent of how many offices had to handle a mass fatality even in 2023. Information from this section will allow BJS to describe the amount of work </w:t>
      </w:r>
      <w:r w:rsidR="00427642">
        <w:t xml:space="preserve">the </w:t>
      </w:r>
      <w:r w:rsidR="008667F1">
        <w:t>office</w:t>
      </w:r>
      <w:r>
        <w:t>s undertook in 2023, and the infrastructure, policies, and procedures surrounding their labor.</w:t>
      </w:r>
    </w:p>
    <w:p w:rsidR="00E33C76" w:rsidP="00E33C76" w14:paraId="442731D1" w14:textId="77777777"/>
    <w:p w:rsidR="00B16B9F" w:rsidP="000D7C8E" w14:paraId="02B2E2D5" w14:textId="28601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workload </w:t>
      </w:r>
      <w:r w:rsidR="000D7C8E">
        <w:t xml:space="preserve">series generated some confusion amongst cognitive interview participants, which resulted in wording revisions for clarity, as well as the addition of illustrative examples for “additional death investigation functions” and additional instructions to help explain the “levels” of investigation being performed. Item </w:t>
      </w:r>
      <w:r>
        <w:t>C3</w:t>
      </w:r>
      <w:r w:rsidR="000D7C8E">
        <w:t xml:space="preserve"> received some minor additional language for clarity around deaths “from” tribal lands, to include “that occurred on” tribal lands; the four questions about reported and accepted cases from tribal lands from the 2018 instrument were removed to reduce burden. Cognitive testing for items C13-C15 resulted in wording revision and providing examples to distinguish between “internal” and “external” autopsies. </w:t>
      </w:r>
      <w:r w:rsidRPr="006D785E">
        <w:t>For Question C</w:t>
      </w:r>
      <w:r w:rsidR="00857CA0">
        <w:t>8</w:t>
      </w:r>
      <w:r w:rsidRPr="006D785E">
        <w:t xml:space="preserve">, we added a question about the number of autopsies performed at private facilities given the preponderance of small MEC offices that must contract this service out to the private sector. In the absence of this question, this </w:t>
      </w:r>
      <w:r w:rsidRPr="006D785E" w:rsidR="00600B7D">
        <w:t xml:space="preserve">hidden </w:t>
      </w:r>
      <w:r w:rsidRPr="006D785E">
        <w:t>workload would not be captured</w:t>
      </w:r>
      <w:r w:rsidRPr="006D785E" w:rsidR="00600B7D">
        <w:t>, but contributes to a sizable proportion of the national autopsy caseload</w:t>
      </w:r>
      <w:r w:rsidRPr="006D785E">
        <w:t>.</w:t>
      </w:r>
      <w:r>
        <w:t xml:space="preserve"> </w:t>
      </w:r>
    </w:p>
    <w:p w:rsidR="000D7C8E" w:rsidP="000D7C8E" w14:paraId="6877B3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33C76" w:rsidRPr="00D610D5" w:rsidP="00E33C76" w14:paraId="2EAF09DA" w14:textId="221D08AF">
      <w:pPr>
        <w:rPr>
          <w:u w:val="single"/>
        </w:rPr>
      </w:pPr>
      <w:r w:rsidRPr="00D610D5">
        <w:rPr>
          <w:u w:val="single"/>
        </w:rPr>
        <w:t>4. Section D – Specialized Death Investigations (D1–</w:t>
      </w:r>
      <w:r w:rsidR="00424912">
        <w:rPr>
          <w:u w:val="single"/>
        </w:rPr>
        <w:t>D8</w:t>
      </w:r>
      <w:r w:rsidRPr="00D610D5">
        <w:rPr>
          <w:u w:val="single"/>
        </w:rPr>
        <w:t>)</w:t>
      </w:r>
    </w:p>
    <w:p w:rsidR="00E33C76" w:rsidP="00E33C76" w14:paraId="0C19AB64" w14:textId="6906253D">
      <w:r>
        <w:t xml:space="preserve">This section collects information on the number of unidentified </w:t>
      </w:r>
      <w:r>
        <w:t>human</w:t>
      </w:r>
      <w:r>
        <w:t xml:space="preserve"> remains in </w:t>
      </w:r>
      <w:r w:rsidR="00647DC4">
        <w:t xml:space="preserve">the </w:t>
      </w:r>
      <w:r w:rsidR="008667F1">
        <w:t>office</w:t>
      </w:r>
      <w:r>
        <w:t>s, policies surrounding the remains, practices around overdose deaths</w:t>
      </w:r>
      <w:r w:rsidRPr="002A5D2E">
        <w:t xml:space="preserve">, and procedures and policies concerning infant deaths. This information will allow BJS to produce an estimate of how many unidentified decedents were in </w:t>
      </w:r>
      <w:r w:rsidR="00647DC4">
        <w:t>the</w:t>
      </w:r>
      <w:r w:rsidR="008667F1">
        <w:t xml:space="preserve"> office</w:t>
      </w:r>
      <w:r w:rsidRPr="002A5D2E">
        <w:t xml:space="preserve">s at the end of 2023. BJS will also be able to describe how many offices use the specific </w:t>
      </w:r>
      <w:r w:rsidRPr="002A5D2E">
        <w:t>Sudden Infant Death Syndrome</w:t>
      </w:r>
      <w:r w:rsidRPr="002A5D2E">
        <w:t xml:space="preserve"> (SIDS) diagnosis when completing a death certificate.</w:t>
      </w:r>
    </w:p>
    <w:p w:rsidR="000D7C8E" w:rsidP="00E33C76" w14:paraId="52475629" w14:textId="77777777"/>
    <w:p w:rsidR="000D7C8E" w:rsidP="000D7C8E" w14:paraId="767BB499" w14:textId="5454A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Generally, this section was well understood</w:t>
      </w:r>
      <w:r w:rsidR="00A44977">
        <w:t xml:space="preserve"> during cognitive testing</w:t>
      </w:r>
      <w:r>
        <w:t xml:space="preserve">, with only two questions requiring a clarification in definition or instructions. Question D1 introduced some confusion around the timeframe of cases, and questions about the terminology for “resolved cases” that were unidentified for 60 days or more. This question received clarifying instructions, </w:t>
      </w:r>
      <w:r>
        <w:t>similar to</w:t>
      </w:r>
      <w:r>
        <w:t xml:space="preserve"> item </w:t>
      </w:r>
      <w:r w:rsidR="00A44977">
        <w:t>D6</w:t>
      </w:r>
      <w:r>
        <w:t xml:space="preserve"> receiving a clarifying example for “delayed overdose deaths.” Cognitive testing resulted in the removal of </w:t>
      </w:r>
      <w:r w:rsidR="00A44977">
        <w:t>a q</w:t>
      </w:r>
      <w:r>
        <w:t xml:space="preserve">uestion, which asked about the office’s oldest case of unidentified remains currently on record, to reduce participant burden. </w:t>
      </w:r>
    </w:p>
    <w:p w:rsidR="00E33C76" w:rsidP="00E33C76" w14:paraId="4FD0E1D6" w14:textId="77777777"/>
    <w:p w:rsidR="00E33C76" w:rsidRPr="00D610D5" w:rsidP="00E33C76" w14:paraId="1B74A5A9" w14:textId="3AF626EF">
      <w:pPr>
        <w:rPr>
          <w:u w:val="single"/>
        </w:rPr>
      </w:pPr>
      <w:r w:rsidRPr="00D610D5">
        <w:rPr>
          <w:u w:val="single"/>
        </w:rPr>
        <w:t>5. Section E – Records and Evidence Retention (E1–</w:t>
      </w:r>
      <w:r w:rsidR="00554F5E">
        <w:rPr>
          <w:u w:val="single"/>
        </w:rPr>
        <w:t>E8</w:t>
      </w:r>
      <w:r w:rsidRPr="00D610D5">
        <w:rPr>
          <w:u w:val="single"/>
        </w:rPr>
        <w:t>)</w:t>
      </w:r>
    </w:p>
    <w:p w:rsidR="000D7C8E" w:rsidP="00234B8F" w14:paraId="4F2034BD" w14:textId="095C1078">
      <w:r>
        <w:t xml:space="preserve">This section asks respondents about their ability to track cases, the use of computerized case management systems, policies for record retention, storage </w:t>
      </w:r>
      <w:r w:rsidR="00781E5D">
        <w:t xml:space="preserve">and archival </w:t>
      </w:r>
      <w:r>
        <w:t>of case records</w:t>
      </w:r>
      <w:r w:rsidR="00781E5D">
        <w:t>, information on the collection of sex, gender identity and race/ethnicity of decedents in records, and office procedures for handling unclaimed remains</w:t>
      </w:r>
      <w:r>
        <w:t>. With varied office types, needs, and populations served,</w:t>
      </w:r>
      <w:r w:rsidR="008667F1">
        <w:t xml:space="preserve"> </w:t>
      </w:r>
      <w:r w:rsidR="00647DC4">
        <w:t xml:space="preserve">the </w:t>
      </w:r>
      <w:r w:rsidR="008667F1">
        <w:t>office</w:t>
      </w:r>
      <w:r>
        <w:t>s have varying capacities for electronic case management. This section will allow BJS to summarize how and where offices store their records and evidence and how this has changed since 2018, which is important considering federal grants supporting basic infrastructure needs among this population.</w:t>
      </w:r>
      <w:r w:rsidR="00234B8F">
        <w:t xml:space="preserve"> </w:t>
      </w:r>
      <w:r w:rsidR="007B0FAC">
        <w:t>Several questions in this section</w:t>
      </w:r>
      <w:r>
        <w:t xml:space="preserve"> were changed to include clarifying language within the instructions based on cognitive participant input</w:t>
      </w:r>
      <w:r w:rsidR="00234B8F">
        <w:t xml:space="preserve"> and</w:t>
      </w:r>
      <w:r>
        <w:t xml:space="preserve"> received a </w:t>
      </w:r>
      <w:r w:rsidR="007B0FAC">
        <w:t xml:space="preserve">reference </w:t>
      </w:r>
      <w:r w:rsidR="00183495">
        <w:t>date</w:t>
      </w:r>
      <w:r w:rsidR="00BF4C08">
        <w:t xml:space="preserve"> for clarity</w:t>
      </w:r>
      <w:r w:rsidR="007B0FAC">
        <w:t>.</w:t>
      </w:r>
      <w:r>
        <w:t xml:space="preserve"> </w:t>
      </w:r>
    </w:p>
    <w:p w:rsidR="00E33C76" w:rsidP="00E33C76" w14:paraId="6853C920" w14:textId="77777777"/>
    <w:p w:rsidR="00E33C76" w:rsidRPr="00D610D5" w:rsidP="00E33C76" w14:paraId="7157B69A" w14:textId="0B0B5736">
      <w:pPr>
        <w:rPr>
          <w:u w:val="single"/>
        </w:rPr>
      </w:pPr>
      <w:r w:rsidRPr="00D610D5">
        <w:rPr>
          <w:u w:val="single"/>
        </w:rPr>
        <w:t>6. Section F – Resources (F1–</w:t>
      </w:r>
      <w:r w:rsidR="00D0296C">
        <w:rPr>
          <w:u w:val="single"/>
        </w:rPr>
        <w:t>F11</w:t>
      </w:r>
      <w:r w:rsidRPr="00D610D5">
        <w:rPr>
          <w:u w:val="single"/>
        </w:rPr>
        <w:t>)</w:t>
      </w:r>
      <w:r w:rsidR="00D0296C">
        <w:rPr>
          <w:u w:val="single"/>
        </w:rPr>
        <w:t xml:space="preserve"> </w:t>
      </w:r>
    </w:p>
    <w:p w:rsidR="00E33C76" w:rsidP="00E33C76" w14:paraId="4D0513F3" w14:textId="6D28F143">
      <w:pPr>
        <w:rPr>
          <w:rFonts w:ascii="TimesNewRomanPSMT" w:hAnsi="TimesNewRomanPSMT" w:cs="TimesNewRomanPSMT"/>
        </w:rPr>
      </w:pPr>
      <w:r>
        <w:t xml:space="preserve">This section asks about what resources and technologies are available to </w:t>
      </w:r>
      <w:r w:rsidR="00647DC4">
        <w:t xml:space="preserve">the </w:t>
      </w:r>
      <w:r w:rsidR="008667F1">
        <w:t>office</w:t>
      </w:r>
      <w:r>
        <w:t xml:space="preserve">s, whether directly through their office, through their relationship with an external office or agency, or not at all. It also asks about access to a work vehicle dedicated to death investigation functions, </w:t>
      </w:r>
      <w:r w:rsidR="00781E5D">
        <w:t xml:space="preserve">staff participation in </w:t>
      </w:r>
      <w:r>
        <w:t>various training</w:t>
      </w:r>
      <w:r w:rsidR="00781E5D">
        <w:t>s</w:t>
      </w:r>
      <w:r>
        <w:t xml:space="preserve">, wellness support programs, multidisciplinary review teams, </w:t>
      </w:r>
      <w:r w:rsidR="00781E5D">
        <w:rPr>
          <w:rFonts w:ascii="TimesNewRomanPSMT" w:hAnsi="TimesNewRomanPSMT" w:cs="TimesNewRomanPSMT"/>
        </w:rPr>
        <w:t xml:space="preserve">information about access to body storage coolers, and access to CAT, CT, and MRIs. </w:t>
      </w:r>
      <w:r w:rsidRPr="1F2B4297">
        <w:rPr>
          <w:rFonts w:ascii="TimesNewRomanPSMT" w:hAnsi="TimesNewRomanPSMT" w:cs="TimesNewRomanPSMT"/>
        </w:rPr>
        <w:t>Based on feedback from</w:t>
      </w:r>
      <w:r w:rsidRPr="5B7928E3">
        <w:rPr>
          <w:rFonts w:ascii="TimesNewRomanPSMT" w:hAnsi="TimesNewRomanPSMT" w:cs="TimesNewRomanPSMT"/>
        </w:rPr>
        <w:t xml:space="preserve"> the expert panel, a </w:t>
      </w:r>
      <w:r w:rsidRPr="353E819E">
        <w:rPr>
          <w:rFonts w:ascii="TimesNewRomanPSMT" w:hAnsi="TimesNewRomanPSMT" w:cs="TimesNewRomanPSMT"/>
        </w:rPr>
        <w:t xml:space="preserve">new question was </w:t>
      </w:r>
      <w:r w:rsidRPr="3AD6BEF9">
        <w:rPr>
          <w:rFonts w:ascii="TimesNewRomanPSMT" w:hAnsi="TimesNewRomanPSMT" w:cs="TimesNewRomanPSMT"/>
        </w:rPr>
        <w:t xml:space="preserve">developed to ask about </w:t>
      </w:r>
      <w:r w:rsidRPr="42F76C6B">
        <w:rPr>
          <w:rFonts w:ascii="TimesNewRomanPSMT" w:hAnsi="TimesNewRomanPSMT" w:cs="TimesNewRomanPSMT"/>
        </w:rPr>
        <w:t>storage cooler</w:t>
      </w:r>
      <w:r w:rsidRPr="3AD6BEF9">
        <w:rPr>
          <w:rFonts w:ascii="TimesNewRomanPSMT" w:hAnsi="TimesNewRomanPSMT" w:cs="TimesNewRomanPSMT"/>
        </w:rPr>
        <w:t xml:space="preserve"> </w:t>
      </w:r>
      <w:r w:rsidRPr="714770FB">
        <w:rPr>
          <w:rFonts w:ascii="TimesNewRomanPSMT" w:hAnsi="TimesNewRomanPSMT" w:cs="TimesNewRomanPSMT"/>
        </w:rPr>
        <w:t>capacity</w:t>
      </w:r>
      <w:r w:rsidRPr="2530E1D7">
        <w:rPr>
          <w:rFonts w:ascii="TimesNewRomanPSMT" w:hAnsi="TimesNewRomanPSMT" w:cs="TimesNewRomanPSMT"/>
        </w:rPr>
        <w:t xml:space="preserve">, and a separate </w:t>
      </w:r>
      <w:r w:rsidRPr="3CED3A9F">
        <w:rPr>
          <w:rFonts w:ascii="TimesNewRomanPSMT" w:hAnsi="TimesNewRomanPSMT" w:cs="TimesNewRomanPSMT"/>
        </w:rPr>
        <w:t>question was created</w:t>
      </w:r>
      <w:r w:rsidRPr="24EBEAE8">
        <w:rPr>
          <w:rFonts w:ascii="TimesNewRomanPSMT" w:hAnsi="TimesNewRomanPSMT" w:cs="TimesNewRomanPSMT"/>
        </w:rPr>
        <w:t xml:space="preserve"> to ask about </w:t>
      </w:r>
      <w:r w:rsidRPr="79AE444C">
        <w:rPr>
          <w:rFonts w:ascii="TimesNewRomanPSMT" w:hAnsi="TimesNewRomanPSMT" w:cs="TimesNewRomanPSMT"/>
        </w:rPr>
        <w:t xml:space="preserve">resources </w:t>
      </w:r>
      <w:r w:rsidRPr="48B12450">
        <w:rPr>
          <w:rFonts w:ascii="TimesNewRomanPSMT" w:hAnsi="TimesNewRomanPSMT" w:cs="TimesNewRomanPSMT"/>
        </w:rPr>
        <w:t xml:space="preserve">for </w:t>
      </w:r>
      <w:r w:rsidRPr="340B8938">
        <w:rPr>
          <w:rFonts w:ascii="TimesNewRomanPSMT" w:hAnsi="TimesNewRomanPSMT" w:cs="TimesNewRomanPSMT"/>
        </w:rPr>
        <w:t xml:space="preserve">the family </w:t>
      </w:r>
      <w:r w:rsidRPr="381867BB">
        <w:rPr>
          <w:rFonts w:ascii="TimesNewRomanPSMT" w:hAnsi="TimesNewRomanPSMT" w:cs="TimesNewRomanPSMT"/>
        </w:rPr>
        <w:t xml:space="preserve">of a </w:t>
      </w:r>
      <w:r w:rsidRPr="753EB3F1">
        <w:rPr>
          <w:rFonts w:ascii="TimesNewRomanPSMT" w:hAnsi="TimesNewRomanPSMT" w:cs="TimesNewRomanPSMT"/>
        </w:rPr>
        <w:t xml:space="preserve">decedent. </w:t>
      </w:r>
    </w:p>
    <w:p w:rsidR="00E33C76" w:rsidP="00E33C76" w14:paraId="56DB4198" w14:textId="77777777">
      <w:pPr>
        <w:autoSpaceDE w:val="0"/>
        <w:autoSpaceDN w:val="0"/>
        <w:adjustRightInd w:val="0"/>
        <w:rPr>
          <w:rFonts w:ascii="TimesNewRomanPSMT" w:hAnsi="TimesNewRomanPSMT" w:cs="TimesNewRomanPSMT"/>
        </w:rPr>
      </w:pPr>
    </w:p>
    <w:p w:rsidR="000D7C8E" w:rsidP="000D7C8E" w14:paraId="4CD5E194" w14:textId="02F3A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Seve</w:t>
      </w:r>
      <w:r w:rsidR="00D0296C">
        <w:t>ral</w:t>
      </w:r>
      <w:r>
        <w:t xml:space="preserve"> items were found to have minor issues</w:t>
      </w:r>
      <w:r w:rsidR="00D0296C">
        <w:t xml:space="preserve"> during cognitive testing</w:t>
      </w:r>
      <w:r>
        <w:t xml:space="preserve">. Four questions received clarifying language, either in the form of examples or additional verbiage in the question. The example in item F7 was removed as a parenthetical and turned into a separate sentence for clarity. </w:t>
      </w:r>
      <w:r w:rsidR="00D0296C">
        <w:t>Certain resource questions</w:t>
      </w:r>
      <w:r>
        <w:t xml:space="preserve"> received additional instructions to help clarify column headers.</w:t>
      </w:r>
    </w:p>
    <w:p w:rsidR="000D7C8E" w:rsidRPr="00B8502C" w:rsidP="009F62C8" w14:paraId="03D7C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16FC" w:rsidRPr="00B6047E" w:rsidP="00EA5E4F" w14:paraId="4CF744D5" w14:textId="774D1F0C">
      <w:pPr>
        <w:pStyle w:val="Heading2"/>
        <w:keepNext w:val="0"/>
        <w:keepLines w:val="0"/>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16.</w:t>
      </w:r>
      <w:r w:rsidRPr="00B6047E">
        <w:rPr>
          <w:rFonts w:ascii="Times New Roman" w:hAnsi="Times New Roman" w:cs="Times New Roman"/>
          <w:bCs w:val="0"/>
          <w:sz w:val="24"/>
          <w:szCs w:val="24"/>
        </w:rPr>
        <w:tab/>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BE50CA" w:rsidRPr="00450314" w:rsidP="00BE50CA" w14:paraId="6688EF65" w14:textId="77777777">
      <w:pPr>
        <w:numPr>
          <w:ilvl w:val="12"/>
          <w:numId w:val="0"/>
        </w:numPr>
        <w:shd w:val="solid" w:color="FFFFFF" w:fill="FFFFFF"/>
        <w:tabs>
          <w:tab w:val="left" w:pos="1800"/>
          <w:tab w:val="left" w:pos="2280"/>
          <w:tab w:val="left" w:pos="2781"/>
          <w:tab w:val="left" w:pos="4234"/>
        </w:tabs>
        <w:ind w:right="180"/>
        <w:rPr>
          <w:i/>
          <w:iCs/>
        </w:rPr>
      </w:pPr>
      <w:r w:rsidRPr="00450314">
        <w:rPr>
          <w:i/>
          <w:iCs/>
        </w:rPr>
        <w:t xml:space="preserve">For details on the project schedule, see Supporting Statement B. </w:t>
      </w:r>
    </w:p>
    <w:p w:rsidR="00BE50CA" w:rsidP="00BE50CA" w14:paraId="2E54D1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50CA" w:rsidRPr="00B8502C" w:rsidP="00BE50CA" w14:paraId="06E3E37F" w14:textId="2B5B1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Pending OMB approval, the 2023 CMEC data collection is scheduled to begin in September 2024</w:t>
      </w:r>
      <w:r w:rsidRPr="000E4BFC">
        <w:t xml:space="preserve">. The data collection period (see </w:t>
      </w:r>
      <w:r w:rsidRPr="000E4BFC">
        <w:rPr>
          <w:b/>
          <w:bCs/>
        </w:rPr>
        <w:t>Table 5</w:t>
      </w:r>
      <w:r w:rsidRPr="000E4BFC">
        <w:t>) is scheduled to end in July 2025.</w:t>
      </w:r>
      <w:r w:rsidRPr="00B8502C">
        <w:t xml:space="preserve"> </w:t>
      </w:r>
    </w:p>
    <w:p w:rsidR="00BE50CA" w:rsidP="1204158D" w14:paraId="041BBBA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25FC2" w:rsidP="1204158D" w14:paraId="7269AA2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25FC2" w:rsidP="1204158D" w14:paraId="47DB0F19"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616FC" w:rsidRPr="003A1432" w:rsidP="1204158D" w14:paraId="68ABEC55" w14:textId="5AB0B34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3A1432">
        <w:rPr>
          <w:b/>
          <w:bCs/>
        </w:rPr>
        <w:t xml:space="preserve">Table </w:t>
      </w:r>
      <w:r w:rsidRPr="4E51FBD9" w:rsidR="61C5F21F">
        <w:rPr>
          <w:b/>
          <w:bCs/>
        </w:rPr>
        <w:t>5</w:t>
      </w:r>
      <w:r w:rsidRPr="003A1432">
        <w:rPr>
          <w:b/>
          <w:bCs/>
        </w:rPr>
        <w:t xml:space="preserve">. </w:t>
      </w:r>
      <w:r w:rsidR="00A719D6">
        <w:rPr>
          <w:b/>
          <w:bCs/>
        </w:rPr>
        <w:t>2023 CMEC</w:t>
      </w:r>
      <w:r w:rsidRPr="003A1432">
        <w:rPr>
          <w:b/>
          <w:bCs/>
        </w:rPr>
        <w:t xml:space="preserve"> </w:t>
      </w:r>
      <w:r>
        <w:rPr>
          <w:b/>
          <w:bCs/>
        </w:rPr>
        <w:t>p</w:t>
      </w:r>
      <w:r w:rsidRPr="003A1432">
        <w:rPr>
          <w:b/>
          <w:bCs/>
        </w:rPr>
        <w:t xml:space="preserve">roject </w:t>
      </w:r>
      <w:r>
        <w:rPr>
          <w:b/>
          <w:bCs/>
        </w:rPr>
        <w:t>s</w:t>
      </w:r>
      <w:r w:rsidRPr="003A1432">
        <w:rPr>
          <w:b/>
          <w:bCs/>
        </w:rPr>
        <w:t>chedule</w:t>
      </w:r>
    </w:p>
    <w:tbl>
      <w:tblPr>
        <w:tblStyle w:val="GridTable1Light"/>
        <w:tblW w:w="9458" w:type="dxa"/>
        <w:tblLook w:val="04A0"/>
      </w:tblPr>
      <w:tblGrid>
        <w:gridCol w:w="5840"/>
        <w:gridCol w:w="1980"/>
        <w:gridCol w:w="1638"/>
      </w:tblGrid>
      <w:tr w14:paraId="66572986" w14:textId="77777777" w:rsidTr="00E65E16">
        <w:tblPrEx>
          <w:tblW w:w="9458" w:type="dxa"/>
          <w:tblLook w:val="04A0"/>
        </w:tblPrEx>
        <w:tc>
          <w:tcPr>
            <w:tcW w:w="5840" w:type="dxa"/>
          </w:tcPr>
          <w:p w:rsidR="002616FC" w:rsidP="00E65E16" w14:paraId="2696648E" w14:textId="77777777">
            <w:pPr>
              <w:tabs>
                <w:tab w:val="left" w:pos="360"/>
                <w:tab w:val="left" w:pos="720"/>
              </w:tabs>
              <w:rPr>
                <w:rFonts w:ascii="Times New Roman" w:hAnsi="Times New Roman" w:cs="Times New Roman"/>
              </w:rPr>
            </w:pPr>
            <w:r>
              <w:rPr>
                <w:rFonts w:ascii="Times New Roman" w:hAnsi="Times New Roman" w:cs="Times New Roman"/>
              </w:rPr>
              <w:t>Task</w:t>
            </w:r>
          </w:p>
        </w:tc>
        <w:tc>
          <w:tcPr>
            <w:tcW w:w="1980" w:type="dxa"/>
          </w:tcPr>
          <w:p w:rsidR="002616FC" w:rsidP="00E65E16" w14:paraId="729C4FBC" w14:textId="77777777">
            <w:pPr>
              <w:tabs>
                <w:tab w:val="left" w:pos="360"/>
                <w:tab w:val="left" w:pos="720"/>
              </w:tabs>
              <w:rPr>
                <w:rFonts w:ascii="Times New Roman" w:hAnsi="Times New Roman" w:cs="Times New Roman"/>
              </w:rPr>
            </w:pPr>
            <w:r>
              <w:rPr>
                <w:rFonts w:ascii="Times New Roman" w:hAnsi="Times New Roman" w:cs="Times New Roman"/>
              </w:rPr>
              <w:t>Start Date</w:t>
            </w:r>
          </w:p>
        </w:tc>
        <w:tc>
          <w:tcPr>
            <w:tcW w:w="1638" w:type="dxa"/>
          </w:tcPr>
          <w:p w:rsidR="002616FC" w:rsidP="00E65E16" w14:paraId="71ABC951" w14:textId="77777777">
            <w:pPr>
              <w:tabs>
                <w:tab w:val="left" w:pos="360"/>
                <w:tab w:val="left" w:pos="720"/>
              </w:tabs>
              <w:rPr>
                <w:rFonts w:ascii="Times New Roman" w:hAnsi="Times New Roman" w:cs="Times New Roman"/>
              </w:rPr>
            </w:pPr>
            <w:r>
              <w:rPr>
                <w:rFonts w:ascii="Times New Roman" w:hAnsi="Times New Roman" w:cs="Times New Roman"/>
              </w:rPr>
              <w:t>End Date</w:t>
            </w:r>
          </w:p>
        </w:tc>
      </w:tr>
      <w:tr w14:paraId="0E4BA9C6" w14:textId="77777777" w:rsidTr="00E65E16">
        <w:tblPrEx>
          <w:tblW w:w="9458" w:type="dxa"/>
          <w:tblLook w:val="04A0"/>
        </w:tblPrEx>
        <w:tc>
          <w:tcPr>
            <w:tcW w:w="5840" w:type="dxa"/>
          </w:tcPr>
          <w:p w:rsidR="002616FC" w:rsidRPr="003561E7" w:rsidP="00A4709A" w14:paraId="38E0F8AF" w14:textId="77777777">
            <w:pPr>
              <w:tabs>
                <w:tab w:val="left" w:pos="360"/>
                <w:tab w:val="left" w:pos="720"/>
              </w:tabs>
              <w:jc w:val="left"/>
              <w:rPr>
                <w:rFonts w:ascii="Times New Roman" w:hAnsi="Times New Roman" w:cs="Times New Roman"/>
                <w:b w:val="0"/>
                <w:bCs w:val="0"/>
              </w:rPr>
            </w:pPr>
            <w:r w:rsidRPr="003561E7">
              <w:rPr>
                <w:rFonts w:ascii="Times New Roman" w:hAnsi="Times New Roman" w:cs="Times New Roman"/>
                <w:color w:val="000000"/>
              </w:rPr>
              <w:t>Data collection</w:t>
            </w:r>
          </w:p>
        </w:tc>
        <w:tc>
          <w:tcPr>
            <w:tcW w:w="1980" w:type="dxa"/>
          </w:tcPr>
          <w:p w:rsidR="002616FC" w:rsidRPr="00BE50CA" w:rsidP="00E65E16" w14:paraId="29B126D8" w14:textId="3D50D981">
            <w:pPr>
              <w:tabs>
                <w:tab w:val="left" w:pos="360"/>
                <w:tab w:val="left" w:pos="720"/>
              </w:tabs>
              <w:rPr>
                <w:rFonts w:ascii="Times New Roman" w:hAnsi="Times New Roman" w:cs="Times New Roman"/>
              </w:rPr>
            </w:pPr>
            <w:r w:rsidRPr="00BE50CA">
              <w:rPr>
                <w:rFonts w:ascii="Times New Roman" w:hAnsi="Times New Roman" w:cs="Times New Roman"/>
              </w:rPr>
              <w:t xml:space="preserve">September </w:t>
            </w:r>
            <w:r w:rsidRPr="00BE50CA" w:rsidR="00A719D6">
              <w:rPr>
                <w:rFonts w:ascii="Times New Roman" w:hAnsi="Times New Roman" w:cs="Times New Roman"/>
              </w:rPr>
              <w:t>2024</w:t>
            </w:r>
          </w:p>
        </w:tc>
        <w:tc>
          <w:tcPr>
            <w:tcW w:w="1638" w:type="dxa"/>
          </w:tcPr>
          <w:p w:rsidR="002616FC" w:rsidRPr="003561E7" w:rsidP="00E65E16" w14:paraId="0C2BFB12" w14:textId="7A7849BF">
            <w:pPr>
              <w:tabs>
                <w:tab w:val="left" w:pos="360"/>
                <w:tab w:val="left" w:pos="720"/>
              </w:tabs>
              <w:rPr>
                <w:rFonts w:ascii="Times New Roman" w:hAnsi="Times New Roman" w:cs="Times New Roman"/>
              </w:rPr>
            </w:pPr>
            <w:r w:rsidRPr="003561E7">
              <w:rPr>
                <w:rFonts w:ascii="Times New Roman" w:hAnsi="Times New Roman" w:cs="Times New Roman"/>
              </w:rPr>
              <w:t xml:space="preserve">July </w:t>
            </w:r>
            <w:r w:rsidRPr="003561E7" w:rsidR="00A719D6">
              <w:rPr>
                <w:rFonts w:ascii="Times New Roman" w:hAnsi="Times New Roman" w:cs="Times New Roman"/>
              </w:rPr>
              <w:t>2025</w:t>
            </w:r>
          </w:p>
        </w:tc>
      </w:tr>
      <w:tr w14:paraId="63869C40" w14:textId="77777777" w:rsidTr="00E65E16">
        <w:tblPrEx>
          <w:tblW w:w="9458" w:type="dxa"/>
          <w:tblLook w:val="04A0"/>
        </w:tblPrEx>
        <w:tc>
          <w:tcPr>
            <w:tcW w:w="5840" w:type="dxa"/>
          </w:tcPr>
          <w:p w:rsidR="002616FC" w:rsidRPr="003561E7" w:rsidP="00A4709A" w14:paraId="07BCC84E" w14:textId="77777777">
            <w:pPr>
              <w:tabs>
                <w:tab w:val="left" w:pos="360"/>
                <w:tab w:val="left" w:pos="720"/>
              </w:tabs>
              <w:jc w:val="left"/>
              <w:rPr>
                <w:rFonts w:ascii="Times New Roman" w:hAnsi="Times New Roman" w:cs="Times New Roman"/>
                <w:b w:val="0"/>
                <w:bCs w:val="0"/>
              </w:rPr>
            </w:pPr>
            <w:r w:rsidRPr="003561E7">
              <w:rPr>
                <w:rFonts w:ascii="Times New Roman" w:hAnsi="Times New Roman" w:cs="Times New Roman"/>
                <w:color w:val="000000"/>
              </w:rPr>
              <w:t>Notification of impending due dates, nonresponse follow-up, thank you letters</w:t>
            </w:r>
          </w:p>
        </w:tc>
        <w:tc>
          <w:tcPr>
            <w:tcW w:w="1980" w:type="dxa"/>
          </w:tcPr>
          <w:p w:rsidR="002616FC" w:rsidRPr="00BE50CA" w:rsidP="00E65E16" w14:paraId="705D14BA" w14:textId="73B21CA5">
            <w:pPr>
              <w:tabs>
                <w:tab w:val="left" w:pos="360"/>
                <w:tab w:val="left" w:pos="720"/>
              </w:tabs>
              <w:rPr>
                <w:rFonts w:ascii="Times New Roman" w:hAnsi="Times New Roman" w:cs="Times New Roman"/>
              </w:rPr>
            </w:pPr>
            <w:r w:rsidRPr="00BE50CA">
              <w:rPr>
                <w:rFonts w:ascii="Times New Roman" w:hAnsi="Times New Roman" w:cs="Times New Roman"/>
              </w:rPr>
              <w:t xml:space="preserve">September </w:t>
            </w:r>
            <w:r w:rsidRPr="00BE50CA" w:rsidR="00A719D6">
              <w:rPr>
                <w:rFonts w:ascii="Times New Roman" w:hAnsi="Times New Roman" w:cs="Times New Roman"/>
              </w:rPr>
              <w:t>2024</w:t>
            </w:r>
          </w:p>
        </w:tc>
        <w:tc>
          <w:tcPr>
            <w:tcW w:w="1638" w:type="dxa"/>
          </w:tcPr>
          <w:p w:rsidR="002616FC" w:rsidRPr="003561E7" w:rsidP="00E65E16" w14:paraId="3DF10CD8" w14:textId="483AC9F8">
            <w:pPr>
              <w:tabs>
                <w:tab w:val="left" w:pos="360"/>
                <w:tab w:val="left" w:pos="720"/>
              </w:tabs>
              <w:rPr>
                <w:rFonts w:ascii="Times New Roman" w:hAnsi="Times New Roman" w:cs="Times New Roman"/>
              </w:rPr>
            </w:pPr>
            <w:r w:rsidRPr="003561E7">
              <w:rPr>
                <w:rFonts w:ascii="Times New Roman" w:hAnsi="Times New Roman" w:cs="Times New Roman"/>
              </w:rPr>
              <w:t xml:space="preserve">July </w:t>
            </w:r>
            <w:r w:rsidRPr="003561E7" w:rsidR="00A719D6">
              <w:rPr>
                <w:rFonts w:ascii="Times New Roman" w:hAnsi="Times New Roman" w:cs="Times New Roman"/>
              </w:rPr>
              <w:t>2025</w:t>
            </w:r>
          </w:p>
        </w:tc>
      </w:tr>
      <w:tr w14:paraId="5ED8594E" w14:textId="77777777" w:rsidTr="00E65E16">
        <w:tblPrEx>
          <w:tblW w:w="9458" w:type="dxa"/>
          <w:tblLook w:val="04A0"/>
        </w:tblPrEx>
        <w:tc>
          <w:tcPr>
            <w:tcW w:w="5840" w:type="dxa"/>
          </w:tcPr>
          <w:p w:rsidR="002616FC" w:rsidRPr="003561E7" w:rsidP="00A4709A" w14:paraId="3E251EAA" w14:textId="77777777">
            <w:pPr>
              <w:tabs>
                <w:tab w:val="left" w:pos="360"/>
                <w:tab w:val="left" w:pos="720"/>
              </w:tabs>
              <w:jc w:val="left"/>
              <w:rPr>
                <w:rFonts w:ascii="Times New Roman" w:hAnsi="Times New Roman" w:cs="Times New Roman"/>
                <w:b w:val="0"/>
                <w:bCs w:val="0"/>
              </w:rPr>
            </w:pPr>
            <w:r w:rsidRPr="003561E7">
              <w:rPr>
                <w:rFonts w:ascii="Times New Roman" w:hAnsi="Times New Roman" w:cs="Times New Roman"/>
                <w:color w:val="000000"/>
              </w:rPr>
              <w:t>Data editing, verification, final callbacks</w:t>
            </w:r>
          </w:p>
        </w:tc>
        <w:tc>
          <w:tcPr>
            <w:tcW w:w="1980" w:type="dxa"/>
          </w:tcPr>
          <w:p w:rsidR="002616FC" w:rsidRPr="00BE50CA" w:rsidP="00E65E16" w14:paraId="31162A50" w14:textId="1262FED2">
            <w:pPr>
              <w:tabs>
                <w:tab w:val="left" w:pos="360"/>
                <w:tab w:val="left" w:pos="720"/>
              </w:tabs>
              <w:rPr>
                <w:rFonts w:ascii="Times New Roman" w:hAnsi="Times New Roman" w:cs="Times New Roman"/>
              </w:rPr>
            </w:pPr>
            <w:r w:rsidRPr="00BE50CA">
              <w:rPr>
                <w:rFonts w:ascii="Times New Roman" w:hAnsi="Times New Roman" w:cs="Times New Roman"/>
              </w:rPr>
              <w:t xml:space="preserve">September </w:t>
            </w:r>
            <w:r w:rsidRPr="00BE50CA" w:rsidR="00A719D6">
              <w:rPr>
                <w:rFonts w:ascii="Times New Roman" w:hAnsi="Times New Roman" w:cs="Times New Roman"/>
              </w:rPr>
              <w:t>2024</w:t>
            </w:r>
          </w:p>
        </w:tc>
        <w:tc>
          <w:tcPr>
            <w:tcW w:w="1638" w:type="dxa"/>
          </w:tcPr>
          <w:p w:rsidR="002616FC" w:rsidRPr="003561E7" w:rsidP="00E65E16" w14:paraId="3A620EA3" w14:textId="7AD67BF4">
            <w:pPr>
              <w:tabs>
                <w:tab w:val="left" w:pos="360"/>
                <w:tab w:val="left" w:pos="720"/>
              </w:tabs>
              <w:rPr>
                <w:rFonts w:ascii="Times New Roman" w:hAnsi="Times New Roman" w:cs="Times New Roman"/>
              </w:rPr>
            </w:pPr>
            <w:r w:rsidRPr="003561E7">
              <w:rPr>
                <w:rFonts w:ascii="Times New Roman" w:hAnsi="Times New Roman" w:cs="Times New Roman"/>
              </w:rPr>
              <w:t xml:space="preserve">July </w:t>
            </w:r>
            <w:r w:rsidRPr="003561E7" w:rsidR="00A719D6">
              <w:rPr>
                <w:rFonts w:ascii="Times New Roman" w:hAnsi="Times New Roman" w:cs="Times New Roman"/>
              </w:rPr>
              <w:t>2025</w:t>
            </w:r>
          </w:p>
        </w:tc>
      </w:tr>
      <w:tr w14:paraId="49BED8AD" w14:textId="77777777" w:rsidTr="00E65E16">
        <w:tblPrEx>
          <w:tblW w:w="9458" w:type="dxa"/>
          <w:tblLook w:val="04A0"/>
        </w:tblPrEx>
        <w:tc>
          <w:tcPr>
            <w:tcW w:w="5840" w:type="dxa"/>
          </w:tcPr>
          <w:p w:rsidR="002616FC" w:rsidRPr="003561E7" w:rsidP="00A4709A" w14:paraId="2CE6FA3A" w14:textId="6B1476E9">
            <w:pPr>
              <w:tabs>
                <w:tab w:val="left" w:pos="360"/>
                <w:tab w:val="left" w:pos="720"/>
              </w:tabs>
              <w:jc w:val="left"/>
              <w:rPr>
                <w:rFonts w:ascii="Times New Roman" w:hAnsi="Times New Roman" w:cs="Times New Roman"/>
                <w:b w:val="0"/>
                <w:bCs w:val="0"/>
                <w:color w:val="000000"/>
              </w:rPr>
            </w:pPr>
            <w:r w:rsidRPr="003561E7">
              <w:rPr>
                <w:rFonts w:ascii="Times New Roman" w:hAnsi="Times New Roman" w:cs="Times New Roman"/>
                <w:color w:val="000000"/>
              </w:rPr>
              <w:t>Production</w:t>
            </w:r>
            <w:r w:rsidRPr="003561E7">
              <w:rPr>
                <w:rFonts w:ascii="Times New Roman" w:hAnsi="Times New Roman" w:cs="Times New Roman"/>
                <w:color w:val="000000"/>
              </w:rPr>
              <w:t xml:space="preserve"> of final analytic file and documentation</w:t>
            </w:r>
          </w:p>
        </w:tc>
        <w:tc>
          <w:tcPr>
            <w:tcW w:w="1980" w:type="dxa"/>
          </w:tcPr>
          <w:p w:rsidR="002616FC" w:rsidRPr="00BE50CA" w:rsidP="00E65E16" w14:paraId="341A4455" w14:textId="64D5D50B">
            <w:pPr>
              <w:tabs>
                <w:tab w:val="left" w:pos="360"/>
                <w:tab w:val="left" w:pos="720"/>
              </w:tabs>
              <w:rPr>
                <w:rFonts w:ascii="Times New Roman" w:hAnsi="Times New Roman" w:cs="Times New Roman"/>
              </w:rPr>
            </w:pPr>
            <w:r w:rsidRPr="00BE50CA">
              <w:rPr>
                <w:rFonts w:ascii="Times New Roman" w:hAnsi="Times New Roman" w:cs="Times New Roman"/>
              </w:rPr>
              <w:t>July 2025</w:t>
            </w:r>
          </w:p>
        </w:tc>
        <w:tc>
          <w:tcPr>
            <w:tcW w:w="1638" w:type="dxa"/>
          </w:tcPr>
          <w:p w:rsidR="002616FC" w:rsidRPr="003561E7" w:rsidP="00E65E16" w14:paraId="6EBC52BC" w14:textId="65896880">
            <w:pPr>
              <w:tabs>
                <w:tab w:val="left" w:pos="360"/>
                <w:tab w:val="left" w:pos="720"/>
              </w:tabs>
              <w:rPr>
                <w:rFonts w:ascii="Times New Roman" w:hAnsi="Times New Roman" w:cs="Times New Roman"/>
              </w:rPr>
            </w:pPr>
            <w:r w:rsidRPr="003561E7">
              <w:rPr>
                <w:rFonts w:ascii="Times New Roman" w:hAnsi="Times New Roman" w:cs="Times New Roman"/>
              </w:rPr>
              <w:t>October 2025</w:t>
            </w:r>
          </w:p>
        </w:tc>
      </w:tr>
      <w:tr w14:paraId="6FA6888A" w14:textId="77777777" w:rsidTr="00E65E16">
        <w:tblPrEx>
          <w:tblW w:w="9458" w:type="dxa"/>
          <w:tblLook w:val="04A0"/>
        </w:tblPrEx>
        <w:tc>
          <w:tcPr>
            <w:tcW w:w="5840" w:type="dxa"/>
          </w:tcPr>
          <w:p w:rsidR="002616FC" w:rsidRPr="003561E7" w:rsidP="00564DA7" w14:paraId="398B51B8" w14:textId="77777777">
            <w:pPr>
              <w:tabs>
                <w:tab w:val="left" w:pos="360"/>
                <w:tab w:val="left" w:pos="720"/>
              </w:tabs>
              <w:rPr>
                <w:rFonts w:ascii="Times New Roman" w:hAnsi="Times New Roman" w:cs="Times New Roman"/>
                <w:b w:val="0"/>
                <w:bCs w:val="0"/>
              </w:rPr>
            </w:pPr>
            <w:r w:rsidRPr="003561E7">
              <w:rPr>
                <w:rFonts w:ascii="Times New Roman" w:hAnsi="Times New Roman" w:cs="Times New Roman"/>
                <w:color w:val="000000"/>
              </w:rPr>
              <w:t>Analysis</w:t>
            </w:r>
          </w:p>
        </w:tc>
        <w:tc>
          <w:tcPr>
            <w:tcW w:w="1980" w:type="dxa"/>
          </w:tcPr>
          <w:p w:rsidR="002616FC" w:rsidRPr="00BE50CA" w:rsidP="00E65E16" w14:paraId="30CAD6C3" w14:textId="284EFB94">
            <w:pPr>
              <w:tabs>
                <w:tab w:val="left" w:pos="360"/>
                <w:tab w:val="left" w:pos="720"/>
              </w:tabs>
              <w:rPr>
                <w:rFonts w:ascii="Times New Roman" w:hAnsi="Times New Roman" w:cs="Times New Roman"/>
              </w:rPr>
            </w:pPr>
            <w:r w:rsidRPr="00BE50CA">
              <w:rPr>
                <w:rFonts w:ascii="Times New Roman" w:hAnsi="Times New Roman" w:cs="Times New Roman"/>
              </w:rPr>
              <w:t>October 2025</w:t>
            </w:r>
          </w:p>
        </w:tc>
        <w:tc>
          <w:tcPr>
            <w:tcW w:w="1638" w:type="dxa"/>
          </w:tcPr>
          <w:p w:rsidR="002616FC" w:rsidRPr="003561E7" w:rsidP="00E65E16" w14:paraId="709DC54A" w14:textId="4D3DBED3">
            <w:pPr>
              <w:tabs>
                <w:tab w:val="left" w:pos="360"/>
                <w:tab w:val="left" w:pos="720"/>
              </w:tabs>
              <w:rPr>
                <w:rFonts w:ascii="Times New Roman" w:hAnsi="Times New Roman" w:cs="Times New Roman"/>
              </w:rPr>
            </w:pPr>
            <w:r w:rsidRPr="003561E7">
              <w:rPr>
                <w:rFonts w:ascii="Times New Roman" w:hAnsi="Times New Roman" w:cs="Times New Roman"/>
              </w:rPr>
              <w:t>December</w:t>
            </w:r>
            <w:r w:rsidRPr="003561E7" w:rsidR="00175588">
              <w:rPr>
                <w:rFonts w:ascii="Times New Roman" w:hAnsi="Times New Roman" w:cs="Times New Roman"/>
              </w:rPr>
              <w:t xml:space="preserve"> 2025</w:t>
            </w:r>
          </w:p>
        </w:tc>
      </w:tr>
      <w:tr w14:paraId="01213E9D" w14:textId="77777777" w:rsidTr="00E65E16">
        <w:tblPrEx>
          <w:tblW w:w="9458" w:type="dxa"/>
          <w:tblLook w:val="04A0"/>
        </w:tblPrEx>
        <w:tc>
          <w:tcPr>
            <w:tcW w:w="5840" w:type="dxa"/>
          </w:tcPr>
          <w:p w:rsidR="002616FC" w:rsidRPr="003561E7" w:rsidP="00564DA7" w14:paraId="62D0FC42" w14:textId="77777777">
            <w:pPr>
              <w:tabs>
                <w:tab w:val="left" w:pos="360"/>
                <w:tab w:val="left" w:pos="720"/>
              </w:tabs>
              <w:rPr>
                <w:rFonts w:ascii="Times New Roman" w:hAnsi="Times New Roman" w:cs="Times New Roman"/>
                <w:b w:val="0"/>
                <w:bCs w:val="0"/>
              </w:rPr>
            </w:pPr>
            <w:r w:rsidRPr="003561E7">
              <w:rPr>
                <w:rFonts w:ascii="Times New Roman" w:hAnsi="Times New Roman" w:cs="Times New Roman"/>
                <w:color w:val="000000"/>
              </w:rPr>
              <w:t>Report writing, editing, and release</w:t>
            </w:r>
          </w:p>
        </w:tc>
        <w:tc>
          <w:tcPr>
            <w:tcW w:w="1980" w:type="dxa"/>
          </w:tcPr>
          <w:p w:rsidR="002616FC" w:rsidRPr="00BE50CA" w:rsidP="00E65E16" w14:paraId="066A6000" w14:textId="352ACDDC">
            <w:pPr>
              <w:tabs>
                <w:tab w:val="left" w:pos="360"/>
                <w:tab w:val="left" w:pos="720"/>
              </w:tabs>
              <w:rPr>
                <w:rFonts w:ascii="Times New Roman" w:hAnsi="Times New Roman" w:cs="Times New Roman"/>
              </w:rPr>
            </w:pPr>
            <w:r w:rsidRPr="00BE50CA">
              <w:rPr>
                <w:rFonts w:ascii="Times New Roman" w:hAnsi="Times New Roman" w:cs="Times New Roman"/>
              </w:rPr>
              <w:t>December 2025</w:t>
            </w:r>
          </w:p>
        </w:tc>
        <w:tc>
          <w:tcPr>
            <w:tcW w:w="1638" w:type="dxa"/>
          </w:tcPr>
          <w:p w:rsidR="002616FC" w:rsidRPr="003561E7" w:rsidP="00E65E16" w14:paraId="39F18251" w14:textId="11CF3B7A">
            <w:pPr>
              <w:tabs>
                <w:tab w:val="left" w:pos="360"/>
                <w:tab w:val="left" w:pos="720"/>
              </w:tabs>
              <w:rPr>
                <w:rFonts w:ascii="Times New Roman" w:hAnsi="Times New Roman" w:cs="Times New Roman"/>
              </w:rPr>
            </w:pPr>
            <w:r w:rsidRPr="003561E7">
              <w:rPr>
                <w:rFonts w:ascii="Times New Roman" w:hAnsi="Times New Roman" w:cs="Times New Roman"/>
              </w:rPr>
              <w:t>June</w:t>
            </w:r>
            <w:r w:rsidRPr="003561E7" w:rsidR="00175588">
              <w:rPr>
                <w:rFonts w:ascii="Times New Roman" w:hAnsi="Times New Roman" w:cs="Times New Roman"/>
              </w:rPr>
              <w:t xml:space="preserve"> </w:t>
            </w:r>
            <w:r w:rsidRPr="003561E7" w:rsidR="000F6199">
              <w:rPr>
                <w:rFonts w:ascii="Times New Roman" w:hAnsi="Times New Roman" w:cs="Times New Roman"/>
              </w:rPr>
              <w:t>2026</w:t>
            </w:r>
          </w:p>
        </w:tc>
      </w:tr>
    </w:tbl>
    <w:p w:rsidR="00AB693E" w:rsidP="002616FC" w14:paraId="646ABDCF" w14:textId="77777777">
      <w:pPr>
        <w:numPr>
          <w:ilvl w:val="12"/>
          <w:numId w:val="0"/>
        </w:numPr>
        <w:shd w:val="solid" w:color="FFFFFF" w:fill="FFFFFF"/>
        <w:tabs>
          <w:tab w:val="left" w:pos="1800"/>
          <w:tab w:val="left" w:pos="2280"/>
          <w:tab w:val="left" w:pos="2781"/>
          <w:tab w:val="left" w:pos="4234"/>
        </w:tabs>
        <w:ind w:right="180"/>
        <w:rPr>
          <w:i/>
          <w:iCs/>
        </w:rPr>
      </w:pPr>
    </w:p>
    <w:p w:rsidR="00585801" w:rsidP="00CF3DAA" w14:paraId="0040DB31" w14:textId="6548C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dataset and supporting documentation will be made available for download without charge</w:t>
      </w:r>
      <w:r w:rsidR="00A719D6">
        <w:t xml:space="preserve"> </w:t>
      </w:r>
      <w:r>
        <w:t xml:space="preserve">at the National Archive of Criminal Justice Data </w:t>
      </w:r>
      <w:r w:rsidR="00AE5683">
        <w:t>(NACJD)</w:t>
      </w:r>
      <w:r>
        <w:t>. Around the same date as the archiving of the data, BJS plans to release at least one</w:t>
      </w:r>
      <w:r w:rsidR="00A719D6">
        <w:t xml:space="preserve"> </w:t>
      </w:r>
      <w:r>
        <w:t xml:space="preserve">report presenting findings from data gathered from this </w:t>
      </w:r>
      <w:r w:rsidR="002616FC">
        <w:t>collection</w:t>
      </w:r>
      <w:r w:rsidR="00A719D6">
        <w:t xml:space="preserve">. </w:t>
      </w:r>
      <w:r>
        <w:t>Access to these data permits</w:t>
      </w:r>
      <w:r w:rsidR="00590765">
        <w:t xml:space="preserve"> </w:t>
      </w:r>
      <w:r>
        <w:t xml:space="preserve">analysts to identify the specific responses of individual </w:t>
      </w:r>
      <w:r w:rsidR="008667F1">
        <w:t>office</w:t>
      </w:r>
      <w:r>
        <w:t>s and to conduct statistical analyses.</w:t>
      </w:r>
    </w:p>
    <w:p w:rsidR="00CF3DAA" w:rsidRPr="00B8502C" w:rsidP="00CF3DAA" w14:paraId="458E8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16FC" w:rsidRPr="00B6047E" w:rsidP="00EA5E4F" w14:paraId="6DDBD878" w14:textId="77777777">
      <w:pPr>
        <w:pStyle w:val="Heading2"/>
        <w:keepNext w:val="0"/>
        <w:keepLines w:val="0"/>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17. If seeking approval to not display the expiration date for OMB approval of the information collection, explain the reasons that display would be inappropriate.</w:t>
      </w:r>
    </w:p>
    <w:p w:rsidR="002616FC" w:rsidP="002616FC" w14:paraId="46AC2BE4" w14:textId="7977873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95912">
        <w:t xml:space="preserve">We are requesting no exemption. </w:t>
      </w:r>
    </w:p>
    <w:p w:rsidR="00841EE2" w:rsidRPr="00295912" w:rsidP="002616FC" w14:paraId="63B3AEF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2616FC" w:rsidRPr="00B6047E" w:rsidP="00841EE2" w14:paraId="561CA4CA" w14:textId="77777777">
      <w:pPr>
        <w:pStyle w:val="Heading2"/>
        <w:keepNext w:val="0"/>
        <w:keepLines w:val="0"/>
        <w:spacing w:before="0" w:after="240" w:line="240" w:lineRule="auto"/>
        <w:jc w:val="left"/>
        <w:rPr>
          <w:rFonts w:ascii="Times New Roman" w:hAnsi="Times New Roman" w:cs="Times New Roman"/>
          <w:bCs w:val="0"/>
          <w:sz w:val="24"/>
          <w:szCs w:val="24"/>
        </w:rPr>
      </w:pPr>
      <w:r w:rsidRPr="00B6047E">
        <w:rPr>
          <w:rFonts w:ascii="Times New Roman" w:hAnsi="Times New Roman" w:cs="Times New Roman"/>
          <w:bCs w:val="0"/>
          <w:sz w:val="24"/>
          <w:szCs w:val="24"/>
        </w:rPr>
        <w:t>18. Explain each exception to the certification statement.</w:t>
      </w:r>
    </w:p>
    <w:p w:rsidR="002616FC" w:rsidRPr="00295912" w:rsidP="002616FC" w14:paraId="23EAC6D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95912">
        <w:t>This collection of information does not include any exceptions to the certificate statement.</w:t>
      </w:r>
    </w:p>
    <w:p w:rsidR="002616FC" w:rsidRPr="00295912" w:rsidP="002616FC" w14:paraId="00DB81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2616FC" w:rsidRPr="00295912" w:rsidP="00841EE2" w14:paraId="0003B8FC" w14:textId="5C793129">
      <w:pPr>
        <w:pStyle w:val="Heading1"/>
        <w:numPr>
          <w:ilvl w:val="0"/>
          <w:numId w:val="16"/>
        </w:numPr>
        <w:spacing w:before="0" w:after="240"/>
        <w:ind w:left="360"/>
      </w:pPr>
      <w:r w:rsidRPr="00B6047E">
        <w:rPr>
          <w:rFonts w:ascii="Times New Roman" w:hAnsi="Times New Roman" w:cs="Times New Roman"/>
          <w:b/>
          <w:bCs/>
          <w:color w:val="auto"/>
          <w:sz w:val="24"/>
          <w:szCs w:val="24"/>
        </w:rPr>
        <w:t>COLLECTIONS OF INFORMATON EMPLOYING STATISTICAL METHODS.</w:t>
      </w:r>
    </w:p>
    <w:p w:rsidR="002616FC" w:rsidRPr="00295912" w:rsidP="002616FC" w14:paraId="29DC58D7" w14:textId="77777777">
      <w:r w:rsidRPr="00295912">
        <w:t>This collection contains statistical data.</w:t>
      </w:r>
    </w:p>
    <w:p w:rsidR="002616FC" w:rsidP="002616FC" w14:paraId="0549056A" w14:textId="77777777"/>
    <w:p w:rsidR="002616FC" w:rsidRPr="00B6047E" w:rsidP="00841EE2" w14:paraId="5D615DC4" w14:textId="4E019108">
      <w:pPr>
        <w:pStyle w:val="Heading1"/>
        <w:spacing w:before="0" w:after="240"/>
        <w:rPr>
          <w:rFonts w:ascii="Times New Roman" w:hAnsi="Times New Roman" w:cs="Times New Roman"/>
          <w:b/>
          <w:bCs/>
          <w:sz w:val="24"/>
          <w:szCs w:val="24"/>
        </w:rPr>
      </w:pPr>
      <w:r w:rsidRPr="00B6047E">
        <w:rPr>
          <w:rFonts w:ascii="Times New Roman" w:hAnsi="Times New Roman" w:cs="Times New Roman"/>
          <w:b/>
          <w:bCs/>
          <w:color w:val="auto"/>
          <w:sz w:val="24"/>
          <w:szCs w:val="24"/>
        </w:rPr>
        <w:t>List of Attachments</w:t>
      </w:r>
    </w:p>
    <w:p w:rsidR="00384232" w:rsidP="00384232" w14:paraId="3BA25DB5" w14:textId="77777777">
      <w:r w:rsidRPr="00D65625">
        <w:t xml:space="preserve">Attachment </w:t>
      </w:r>
      <w:r>
        <w:t>1</w:t>
      </w:r>
      <w:r w:rsidRPr="00D65625">
        <w:t xml:space="preserve">: </w:t>
      </w:r>
      <w:r>
        <w:rPr>
          <w:bCs/>
        </w:rPr>
        <w:t>CMEC survey</w:t>
      </w:r>
      <w:r w:rsidRPr="00D65625">
        <w:t xml:space="preserve"> </w:t>
      </w:r>
      <w:r>
        <w:t>and screenshots of web instrument</w:t>
      </w:r>
    </w:p>
    <w:p w:rsidR="00384232" w:rsidP="00384232" w14:paraId="788CF7E0" w14:textId="77777777">
      <w:r w:rsidRPr="003A1432">
        <w:rPr>
          <w:bCs/>
        </w:rPr>
        <w:t xml:space="preserve">Attachment </w:t>
      </w:r>
      <w:r>
        <w:rPr>
          <w:bCs/>
        </w:rPr>
        <w:t>2</w:t>
      </w:r>
      <w:r w:rsidRPr="003A1432">
        <w:rPr>
          <w:bCs/>
        </w:rPr>
        <w:t xml:space="preserve">: </w:t>
      </w:r>
      <w:r>
        <w:rPr>
          <w:bCs/>
        </w:rPr>
        <w:t xml:space="preserve">BJS authorizing </w:t>
      </w:r>
      <w:r>
        <w:rPr>
          <w:bCs/>
        </w:rPr>
        <w:t>legislation</w:t>
      </w:r>
    </w:p>
    <w:p w:rsidR="00384232" w:rsidP="00384232" w14:paraId="64F32EA7" w14:textId="77777777">
      <w:r w:rsidRPr="00D65625">
        <w:t xml:space="preserve">Attachment 3: </w:t>
      </w:r>
      <w:r>
        <w:rPr>
          <w:bCs/>
        </w:rPr>
        <w:t>Cognitive interview report</w:t>
      </w:r>
      <w:r w:rsidRPr="00D65625">
        <w:t xml:space="preserve"> </w:t>
      </w:r>
    </w:p>
    <w:p w:rsidR="00384232" w:rsidP="00384232" w14:paraId="356C665F" w14:textId="1B4F7C1B">
      <w:r w:rsidRPr="003A1432">
        <w:rPr>
          <w:bCs/>
        </w:rPr>
        <w:t>Attachment 4:</w:t>
      </w:r>
      <w:r w:rsidRPr="003A1432">
        <w:rPr>
          <w:bCs/>
        </w:rPr>
        <w:tab/>
      </w:r>
      <w:r>
        <w:t>6</w:t>
      </w:r>
      <w:r w:rsidRPr="00D65625">
        <w:t>0-</w:t>
      </w:r>
      <w:r>
        <w:t>d</w:t>
      </w:r>
      <w:r w:rsidRPr="00D65625">
        <w:t xml:space="preserve">ay </w:t>
      </w:r>
      <w:r>
        <w:t>federal register n</w:t>
      </w:r>
      <w:r w:rsidRPr="00D65625">
        <w:t>otice</w:t>
      </w:r>
      <w:r w:rsidR="00C02586">
        <w:t xml:space="preserve">, public </w:t>
      </w:r>
      <w:r w:rsidR="00C02586">
        <w:t>comment</w:t>
      </w:r>
      <w:r w:rsidR="00C02586">
        <w:t xml:space="preserve"> and response </w:t>
      </w:r>
    </w:p>
    <w:p w:rsidR="00384232" w:rsidP="00384232" w14:paraId="0DEFB33D" w14:textId="77777777">
      <w:r>
        <w:t>Attachment 5: 30-day federal register notice</w:t>
      </w:r>
    </w:p>
    <w:p w:rsidR="00384232" w:rsidP="00384232" w14:paraId="27C2E915" w14:textId="77777777">
      <w:pPr>
        <w:rPr>
          <w:bCs/>
        </w:rPr>
      </w:pPr>
      <w:r w:rsidRPr="003A1432">
        <w:rPr>
          <w:bCs/>
        </w:rPr>
        <w:t xml:space="preserve">Attachment </w:t>
      </w:r>
      <w:r>
        <w:rPr>
          <w:bCs/>
        </w:rPr>
        <w:t>6</w:t>
      </w:r>
      <w:r w:rsidRPr="003A1432">
        <w:rPr>
          <w:bCs/>
        </w:rPr>
        <w:t xml:space="preserve">: </w:t>
      </w:r>
      <w:r>
        <w:rPr>
          <w:bCs/>
        </w:rPr>
        <w:t>Survey i</w:t>
      </w:r>
      <w:r w:rsidRPr="003A1432">
        <w:rPr>
          <w:bCs/>
        </w:rPr>
        <w:t xml:space="preserve">nvitation </w:t>
      </w:r>
      <w:r>
        <w:rPr>
          <w:bCs/>
        </w:rPr>
        <w:t>l</w:t>
      </w:r>
      <w:r w:rsidRPr="003A1432">
        <w:rPr>
          <w:bCs/>
        </w:rPr>
        <w:t>etter</w:t>
      </w:r>
      <w:r>
        <w:rPr>
          <w:bCs/>
        </w:rPr>
        <w:t>s for MEC offices and Texas justices of the peace</w:t>
      </w:r>
      <w:r w:rsidRPr="003A1432">
        <w:rPr>
          <w:bCs/>
        </w:rPr>
        <w:t xml:space="preserve"> </w:t>
      </w:r>
    </w:p>
    <w:p w:rsidR="00384232" w:rsidP="00384232" w14:paraId="44384861" w14:textId="77777777">
      <w:pPr>
        <w:rPr>
          <w:bCs/>
        </w:rPr>
      </w:pPr>
      <w:r>
        <w:rPr>
          <w:bCs/>
        </w:rPr>
        <w:t>Attachment 7: Endorsement letter</w:t>
      </w:r>
    </w:p>
    <w:p w:rsidR="00384232" w:rsidP="00384232" w14:paraId="5977D6A9" w14:textId="77777777">
      <w:pPr>
        <w:rPr>
          <w:bCs/>
        </w:rPr>
      </w:pPr>
      <w:r>
        <w:rPr>
          <w:bCs/>
        </w:rPr>
        <w:t>Attachment 8: Survey e</w:t>
      </w:r>
      <w:r w:rsidRPr="00EA7969">
        <w:rPr>
          <w:bCs/>
        </w:rPr>
        <w:t xml:space="preserve">mail invitation </w:t>
      </w:r>
      <w:r>
        <w:rPr>
          <w:bCs/>
        </w:rPr>
        <w:t>and CMEC flyer</w:t>
      </w:r>
    </w:p>
    <w:p w:rsidR="00384232" w:rsidP="00384232" w14:paraId="08044873" w14:textId="77777777">
      <w:pPr>
        <w:rPr>
          <w:bCs/>
        </w:rPr>
      </w:pPr>
      <w:r>
        <w:rPr>
          <w:bCs/>
        </w:rPr>
        <w:t xml:space="preserve">Attachment 9: </w:t>
      </w:r>
      <w:r w:rsidRPr="00EA7969">
        <w:rPr>
          <w:bCs/>
        </w:rPr>
        <w:t>First reminder letter</w:t>
      </w:r>
    </w:p>
    <w:p w:rsidR="00384232" w:rsidP="00384232" w14:paraId="154ACF63" w14:textId="77777777">
      <w:pPr>
        <w:rPr>
          <w:bCs/>
        </w:rPr>
      </w:pPr>
      <w:r>
        <w:rPr>
          <w:bCs/>
        </w:rPr>
        <w:t>Attachment 10: Second reminder email</w:t>
      </w:r>
    </w:p>
    <w:p w:rsidR="00384232" w:rsidP="00384232" w14:paraId="71B8A20B" w14:textId="77777777">
      <w:pPr>
        <w:rPr>
          <w:bCs/>
        </w:rPr>
      </w:pPr>
      <w:r>
        <w:rPr>
          <w:bCs/>
        </w:rPr>
        <w:t>Attachment 11: Third</w:t>
      </w:r>
      <w:r w:rsidRPr="00EA7969">
        <w:rPr>
          <w:bCs/>
        </w:rPr>
        <w:t xml:space="preserve"> reminder</w:t>
      </w:r>
      <w:r>
        <w:rPr>
          <w:bCs/>
        </w:rPr>
        <w:t xml:space="preserve"> postcard</w:t>
      </w:r>
    </w:p>
    <w:p w:rsidR="00384232" w:rsidP="00384232" w14:paraId="10F594CC" w14:textId="77777777">
      <w:pPr>
        <w:rPr>
          <w:bCs/>
        </w:rPr>
      </w:pPr>
      <w:r>
        <w:rPr>
          <w:bCs/>
        </w:rPr>
        <w:t>Attachment 12: Fourth</w:t>
      </w:r>
      <w:r w:rsidRPr="00EA7969">
        <w:rPr>
          <w:bCs/>
        </w:rPr>
        <w:t xml:space="preserve"> reminder </w:t>
      </w:r>
      <w:r>
        <w:rPr>
          <w:bCs/>
        </w:rPr>
        <w:t>letter</w:t>
      </w:r>
      <w:r w:rsidRPr="00EA7969">
        <w:rPr>
          <w:bCs/>
        </w:rPr>
        <w:t xml:space="preserve"> </w:t>
      </w:r>
    </w:p>
    <w:p w:rsidR="00384232" w:rsidP="00384232" w14:paraId="742E0EA2" w14:textId="09FEE4D4">
      <w:pPr>
        <w:rPr>
          <w:bCs/>
        </w:rPr>
      </w:pPr>
      <w:r>
        <w:rPr>
          <w:bCs/>
        </w:rPr>
        <w:t>Attachment 13: Fifth</w:t>
      </w:r>
      <w:r w:rsidRPr="00EA7969">
        <w:rPr>
          <w:bCs/>
        </w:rPr>
        <w:t xml:space="preserve"> reminder </w:t>
      </w:r>
      <w:r>
        <w:rPr>
          <w:bCs/>
        </w:rPr>
        <w:t>email</w:t>
      </w:r>
    </w:p>
    <w:p w:rsidR="00384232" w:rsidP="00384232" w14:paraId="26A641AC" w14:textId="77777777">
      <w:pPr>
        <w:rPr>
          <w:bCs/>
        </w:rPr>
      </w:pPr>
      <w:r>
        <w:rPr>
          <w:bCs/>
        </w:rPr>
        <w:t>Attachment 14: Sixth</w:t>
      </w:r>
      <w:r w:rsidRPr="00EA7969">
        <w:rPr>
          <w:bCs/>
        </w:rPr>
        <w:t xml:space="preserve"> reminder </w:t>
      </w:r>
      <w:r>
        <w:rPr>
          <w:bCs/>
        </w:rPr>
        <w:t>email</w:t>
      </w:r>
      <w:r w:rsidRPr="00EA7969">
        <w:rPr>
          <w:bCs/>
        </w:rPr>
        <w:t xml:space="preserve"> </w:t>
      </w:r>
    </w:p>
    <w:p w:rsidR="00384232" w:rsidP="00384232" w14:paraId="445CC4E4" w14:textId="77777777">
      <w:pPr>
        <w:rPr>
          <w:bCs/>
        </w:rPr>
      </w:pPr>
      <w:r>
        <w:rPr>
          <w:bCs/>
        </w:rPr>
        <w:t>Attachment 15: Seventh</w:t>
      </w:r>
      <w:r w:rsidRPr="00EA7969">
        <w:rPr>
          <w:bCs/>
        </w:rPr>
        <w:t xml:space="preserve"> reminder </w:t>
      </w:r>
      <w:r>
        <w:rPr>
          <w:bCs/>
        </w:rPr>
        <w:t>letter</w:t>
      </w:r>
    </w:p>
    <w:p w:rsidR="00384232" w:rsidP="00384232" w14:paraId="5CA19B2D" w14:textId="77777777">
      <w:pPr>
        <w:rPr>
          <w:bCs/>
        </w:rPr>
      </w:pPr>
      <w:r>
        <w:rPr>
          <w:bCs/>
        </w:rPr>
        <w:t>Attachment 16: Eighth</w:t>
      </w:r>
      <w:r w:rsidRPr="00EA7969">
        <w:rPr>
          <w:bCs/>
        </w:rPr>
        <w:t xml:space="preserve"> reminder </w:t>
      </w:r>
      <w:r>
        <w:rPr>
          <w:bCs/>
        </w:rPr>
        <w:t>letter</w:t>
      </w:r>
    </w:p>
    <w:p w:rsidR="00384232" w:rsidP="00384232" w14:paraId="0DF655DB" w14:textId="77777777">
      <w:pPr>
        <w:rPr>
          <w:bCs/>
        </w:rPr>
      </w:pPr>
      <w:r>
        <w:rPr>
          <w:bCs/>
        </w:rPr>
        <w:t>Attachment 17: Ninth</w:t>
      </w:r>
      <w:r w:rsidRPr="00EA7969">
        <w:rPr>
          <w:bCs/>
        </w:rPr>
        <w:t xml:space="preserve"> reminder</w:t>
      </w:r>
      <w:r>
        <w:rPr>
          <w:bCs/>
        </w:rPr>
        <w:t xml:space="preserve"> email</w:t>
      </w:r>
      <w:r w:rsidRPr="00EA7969">
        <w:rPr>
          <w:bCs/>
        </w:rPr>
        <w:t xml:space="preserve"> </w:t>
      </w:r>
    </w:p>
    <w:p w:rsidR="00384232" w:rsidP="00384232" w14:paraId="7BFD87BD" w14:textId="77777777">
      <w:pPr>
        <w:rPr>
          <w:bCs/>
        </w:rPr>
      </w:pPr>
      <w:r>
        <w:rPr>
          <w:bCs/>
        </w:rPr>
        <w:t>Attachment 18: Telephone follow-up scripts for data quality</w:t>
      </w:r>
    </w:p>
    <w:p w:rsidR="00384232" w:rsidP="00384232" w14:paraId="595EECE4" w14:textId="77777777">
      <w:pPr>
        <w:rPr>
          <w:bCs/>
        </w:rPr>
      </w:pPr>
      <w:r>
        <w:rPr>
          <w:bCs/>
        </w:rPr>
        <w:t>Attachment 19: Telephone follow-up scripts for nonresponse</w:t>
      </w:r>
    </w:p>
    <w:p w:rsidR="00384232" w:rsidP="00384232" w14:paraId="4E1C9DAD" w14:textId="77777777">
      <w:pPr>
        <w:rPr>
          <w:bCs/>
        </w:rPr>
      </w:pPr>
      <w:r>
        <w:rPr>
          <w:bCs/>
        </w:rPr>
        <w:t xml:space="preserve">Attachment 20: </w:t>
      </w:r>
      <w:r w:rsidRPr="00EA7969">
        <w:rPr>
          <w:bCs/>
        </w:rPr>
        <w:t xml:space="preserve">Critical </w:t>
      </w:r>
      <w:r>
        <w:rPr>
          <w:bCs/>
        </w:rPr>
        <w:t>i</w:t>
      </w:r>
      <w:r w:rsidRPr="00EA7969">
        <w:rPr>
          <w:bCs/>
        </w:rPr>
        <w:t xml:space="preserve">tems </w:t>
      </w:r>
      <w:r>
        <w:rPr>
          <w:bCs/>
        </w:rPr>
        <w:t>list</w:t>
      </w:r>
    </w:p>
    <w:p w:rsidR="00384232" w:rsidP="00384232" w14:paraId="4F43D8A7" w14:textId="77777777">
      <w:pPr>
        <w:rPr>
          <w:bCs/>
        </w:rPr>
      </w:pPr>
      <w:r>
        <w:rPr>
          <w:bCs/>
        </w:rPr>
        <w:t xml:space="preserve">Attachment 21: </w:t>
      </w:r>
      <w:r w:rsidRPr="00EA7969">
        <w:rPr>
          <w:bCs/>
        </w:rPr>
        <w:t xml:space="preserve">Critical </w:t>
      </w:r>
      <w:r>
        <w:rPr>
          <w:bCs/>
        </w:rPr>
        <w:t>i</w:t>
      </w:r>
      <w:r w:rsidRPr="00EA7969">
        <w:rPr>
          <w:bCs/>
        </w:rPr>
        <w:t xml:space="preserve">tems </w:t>
      </w:r>
      <w:r>
        <w:rPr>
          <w:bCs/>
        </w:rPr>
        <w:t>s</w:t>
      </w:r>
      <w:r w:rsidRPr="00EA7969">
        <w:rPr>
          <w:bCs/>
        </w:rPr>
        <w:t xml:space="preserve">urvey </w:t>
      </w:r>
      <w:r>
        <w:rPr>
          <w:bCs/>
        </w:rPr>
        <w:t>letter</w:t>
      </w:r>
    </w:p>
    <w:p w:rsidR="00384232" w:rsidP="00384232" w14:paraId="158B3A9D" w14:textId="77777777">
      <w:pPr>
        <w:rPr>
          <w:bCs/>
        </w:rPr>
      </w:pPr>
      <w:r>
        <w:rPr>
          <w:bCs/>
        </w:rPr>
        <w:t xml:space="preserve">Attachment 22: </w:t>
      </w:r>
      <w:r w:rsidRPr="00EA7969">
        <w:rPr>
          <w:bCs/>
        </w:rPr>
        <w:t xml:space="preserve">Critical </w:t>
      </w:r>
      <w:r>
        <w:rPr>
          <w:bCs/>
        </w:rPr>
        <w:t>i</w:t>
      </w:r>
      <w:r w:rsidRPr="00EA7969">
        <w:rPr>
          <w:bCs/>
        </w:rPr>
        <w:t xml:space="preserve">tems </w:t>
      </w:r>
      <w:r>
        <w:rPr>
          <w:bCs/>
        </w:rPr>
        <w:t>e</w:t>
      </w:r>
      <w:r w:rsidRPr="00EA7969">
        <w:rPr>
          <w:bCs/>
        </w:rPr>
        <w:t>mail</w:t>
      </w:r>
    </w:p>
    <w:p w:rsidR="00384232" w:rsidP="00384232" w14:paraId="513ED850" w14:textId="77777777">
      <w:pPr>
        <w:rPr>
          <w:bCs/>
        </w:rPr>
      </w:pPr>
      <w:r>
        <w:rPr>
          <w:bCs/>
        </w:rPr>
        <w:t xml:space="preserve">Attachment 23: </w:t>
      </w:r>
      <w:r w:rsidRPr="00EA7969">
        <w:rPr>
          <w:bCs/>
        </w:rPr>
        <w:t xml:space="preserve">End-of-study </w:t>
      </w:r>
      <w:r>
        <w:rPr>
          <w:bCs/>
        </w:rPr>
        <w:t>letter</w:t>
      </w:r>
    </w:p>
    <w:p w:rsidR="00384232" w:rsidP="00384232" w14:paraId="7DB423F6" w14:textId="77777777">
      <w:pPr>
        <w:rPr>
          <w:bCs/>
        </w:rPr>
      </w:pPr>
      <w:r>
        <w:rPr>
          <w:bCs/>
        </w:rPr>
        <w:t xml:space="preserve">Attachment 24: </w:t>
      </w:r>
      <w:r w:rsidRPr="00EA7969">
        <w:rPr>
          <w:bCs/>
        </w:rPr>
        <w:t xml:space="preserve">End-of-study </w:t>
      </w:r>
      <w:r>
        <w:rPr>
          <w:bCs/>
        </w:rPr>
        <w:t>email</w:t>
      </w:r>
    </w:p>
    <w:p w:rsidR="00384232" w:rsidRPr="00B8502C" w:rsidP="00384232" w14:paraId="30B072A6" w14:textId="77777777">
      <w:r>
        <w:rPr>
          <w:bCs/>
        </w:rPr>
        <w:t xml:space="preserve">Attachment 25: </w:t>
      </w:r>
      <w:r w:rsidRPr="00EA7969">
        <w:rPr>
          <w:bCs/>
        </w:rPr>
        <w:t>Completion thank</w:t>
      </w:r>
      <w:r>
        <w:rPr>
          <w:bCs/>
        </w:rPr>
        <w:t xml:space="preserve"> </w:t>
      </w:r>
      <w:r w:rsidRPr="00EA7969">
        <w:rPr>
          <w:bCs/>
        </w:rPr>
        <w:t xml:space="preserve">you </w:t>
      </w:r>
      <w:r w:rsidRPr="00EA7969">
        <w:rPr>
          <w:bCs/>
        </w:rPr>
        <w:t>email</w:t>
      </w:r>
    </w:p>
    <w:p w:rsidR="00384232" w:rsidP="00384232" w14:paraId="7C2B19E1" w14:textId="77777777"/>
    <w:p w:rsidR="00586629" w:rsidRPr="00B8502C" w:rsidP="00384232" w14:paraId="78D0B4F9" w14:textId="520C443B"/>
    <w:sectPr w:rsidSect="00E83158">
      <w:footerReference w:type="default" r:id="rId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D24" w14:paraId="0C7411CD" w14:textId="6BFB7B02">
    <w:pPr>
      <w:pStyle w:val="Footer"/>
      <w:jc w:val="center"/>
    </w:pPr>
    <w:r>
      <w:fldChar w:fldCharType="begin"/>
    </w:r>
    <w:r>
      <w:instrText xml:space="preserve"> PAGE   \* MERGEFORMAT </w:instrText>
    </w:r>
    <w:r>
      <w:fldChar w:fldCharType="separate"/>
    </w:r>
    <w:r>
      <w:rPr>
        <w:noProof/>
      </w:rPr>
      <w:t>11</w:t>
    </w:r>
    <w:r>
      <w:rPr>
        <w:noProof/>
      </w:rPr>
      <w:fldChar w:fldCharType="end"/>
    </w:r>
  </w:p>
  <w:p w:rsidR="00533D24" w14:paraId="5BDB9C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1637" w:rsidP="00AF7585" w14:paraId="78BA85AD" w14:textId="77777777">
      <w:r>
        <w:separator/>
      </w:r>
    </w:p>
  </w:footnote>
  <w:footnote w:type="continuationSeparator" w:id="1">
    <w:p w:rsidR="00D01637" w:rsidP="00AF7585" w14:paraId="7A4EDBAB" w14:textId="77777777">
      <w:r>
        <w:continuationSeparator/>
      </w:r>
    </w:p>
  </w:footnote>
  <w:footnote w:type="continuationNotice" w:id="2">
    <w:p w:rsidR="00D01637" w14:paraId="5877751A" w14:textId="77777777"/>
  </w:footnote>
  <w:footnote w:id="3">
    <w:p w:rsidR="000005CE" w:rsidP="000005CE" w14:paraId="6931C1F3" w14:textId="77777777">
      <w:pPr>
        <w:pStyle w:val="FootnoteText"/>
      </w:pPr>
      <w:r>
        <w:rPr>
          <w:rStyle w:val="FootnoteReference"/>
        </w:rPr>
        <w:footnoteRef/>
      </w:r>
      <w:r>
        <w:t xml:space="preserve"> </w:t>
      </w:r>
      <w:r w:rsidRPr="00B21428">
        <w:t xml:space="preserve">U.S. Department of Justice. </w:t>
      </w:r>
      <w:r w:rsidRPr="001063B6">
        <w:rPr>
          <w:i/>
          <w:iCs/>
        </w:rPr>
        <w:t>Report to Congress: Needs assessment of forensic laboratories and medical examiner/coroner offices</w:t>
      </w:r>
      <w:r w:rsidRPr="00B21428">
        <w:t xml:space="preserve">. </w:t>
      </w:r>
      <w:hyperlink r:id="rId1" w:history="1">
        <w:r w:rsidRPr="00B21428">
          <w:rPr>
            <w:rStyle w:val="Hyperlink"/>
          </w:rPr>
          <w:t>https://www.ojp.gov/pdffiles1/nij/253626.pdf</w:t>
        </w:r>
      </w:hyperlink>
    </w:p>
  </w:footnote>
  <w:footnote w:id="4">
    <w:p w:rsidR="0018379E" w:rsidP="0018379E" w14:paraId="1461019F" w14:textId="77777777">
      <w:pPr>
        <w:pStyle w:val="FootnoteText"/>
      </w:pPr>
      <w:r>
        <w:rPr>
          <w:rStyle w:val="FootnoteReference"/>
        </w:rPr>
        <w:footnoteRef/>
      </w:r>
      <w:r>
        <w:t xml:space="preserve"> Centers for Disease Control and Prevention. </w:t>
      </w:r>
      <w:r w:rsidRPr="001063B6">
        <w:rPr>
          <w:i/>
          <w:iCs/>
        </w:rPr>
        <w:t>Provisional Data Shows U.S. Drug Overdose Deaths Top 100,000 in 2022</w:t>
      </w:r>
      <w:r>
        <w:t xml:space="preserve">. </w:t>
      </w:r>
      <w:hyperlink r:id="rId2" w:anchor=":~:text=Findings%3A,2022%2C%20from%20107%2C573%20to%20105%2C452" w:history="1">
        <w:r w:rsidRPr="00C769DF">
          <w:rPr>
            <w:rStyle w:val="Hyperlink"/>
          </w:rPr>
          <w:t>https://blogs.cdc.gov/nchs/2023/05/18/7365/#:~:text=Findings%3A,2022%2C%20from%20107%2C573%20to%20105%2C452</w:t>
        </w:r>
      </w:hyperlink>
      <w:r w:rsidRPr="001C11EE">
        <w:t>.</w:t>
      </w:r>
      <w:r>
        <w:t xml:space="preserve"> </w:t>
      </w:r>
    </w:p>
  </w:footnote>
  <w:footnote w:id="5">
    <w:p w:rsidR="00F971BA" w:rsidRPr="00F971BA" w14:paraId="4B6AD5CA" w14:textId="4C6D3ADE">
      <w:pPr>
        <w:pStyle w:val="FootnoteText"/>
      </w:pPr>
      <w:r>
        <w:rPr>
          <w:rStyle w:val="FootnoteReference"/>
        </w:rPr>
        <w:footnoteRef/>
      </w:r>
      <w:r>
        <w:t xml:space="preserve"> U.S. Department of Justice. </w:t>
      </w:r>
      <w:r>
        <w:rPr>
          <w:i/>
          <w:iCs/>
        </w:rPr>
        <w:t>Medical Examiner and Coroner Offices, 2018</w:t>
      </w:r>
      <w:r>
        <w:t xml:space="preserve">. </w:t>
      </w:r>
      <w:r w:rsidR="00863FD3">
        <w:t xml:space="preserve">NCJ 302051. </w:t>
      </w:r>
      <w:hyperlink r:id="rId3" w:history="1">
        <w:r w:rsidRPr="00863FD3" w:rsidR="00863FD3">
          <w:rPr>
            <w:rStyle w:val="Hyperlink"/>
          </w:rPr>
          <w:t>https://bjs.ojp.gov/content/pub/pdf/meco18.pdf</w:t>
        </w:r>
      </w:hyperlink>
    </w:p>
  </w:footnote>
  <w:footnote w:id="6">
    <w:p w:rsidR="009511E1" w:rsidP="009511E1" w14:paraId="7DAEB3F0" w14:textId="77777777">
      <w:pPr>
        <w:pStyle w:val="FootnoteText"/>
      </w:pPr>
      <w:r>
        <w:rPr>
          <w:rStyle w:val="FootnoteReference"/>
        </w:rPr>
        <w:footnoteRef/>
      </w:r>
      <w:r>
        <w:t xml:space="preserve"> </w:t>
      </w:r>
      <w:r w:rsidRPr="00602A17">
        <w:t xml:space="preserve">Le AB, Brooks EG, McNulty LA, et al. U.S. Medical Examiner/Coroner capability to handle highly infectious decedents. </w:t>
      </w:r>
      <w:r w:rsidRPr="00602A17">
        <w:rPr>
          <w:i/>
        </w:rPr>
        <w:t xml:space="preserve">Forensic Sci Med </w:t>
      </w:r>
      <w:r w:rsidRPr="00602A17">
        <w:rPr>
          <w:i/>
        </w:rPr>
        <w:t>Pathol</w:t>
      </w:r>
      <w:r w:rsidRPr="00602A17">
        <w:t>. Mar 2019;15(1):31-40. doi:10.1007/s12024-018-0043-2</w:t>
      </w:r>
    </w:p>
  </w:footnote>
  <w:footnote w:id="7">
    <w:p w:rsidR="00B41E56" w14:paraId="6E507791" w14:textId="075F5640">
      <w:pPr>
        <w:pStyle w:val="FootnoteText"/>
      </w:pPr>
      <w:r>
        <w:rPr>
          <w:rStyle w:val="FootnoteReference"/>
        </w:rPr>
        <w:footnoteRef/>
      </w:r>
      <w:r>
        <w:t xml:space="preserve"> American Medical Association. Overdose Epidemic Report. 2023. </w:t>
      </w:r>
      <w:r w:rsidRPr="00B41E56">
        <w:t>www.ama-assn.org/system/files/ama-overdose-epidemic-report.pdf</w:t>
      </w:r>
    </w:p>
  </w:footnote>
  <w:footnote w:id="8">
    <w:p w:rsidR="00B41E56" w14:paraId="025EDF14" w14:textId="1B0B8E5A">
      <w:pPr>
        <w:pStyle w:val="FootnoteText"/>
      </w:pPr>
      <w:r>
        <w:rPr>
          <w:rStyle w:val="FootnoteReference"/>
        </w:rPr>
        <w:footnoteRef/>
      </w:r>
      <w:r>
        <w:t xml:space="preserve"> </w:t>
      </w:r>
      <w:r w:rsidRPr="00B41E56">
        <w:t>www.cdc.gov/nchs/pressroom/nchs_press_releases/2021/202110.htm</w:t>
      </w:r>
    </w:p>
  </w:footnote>
  <w:footnote w:id="9">
    <w:p w:rsidR="00B41E56" w:rsidRPr="00B41E56" w14:paraId="6D8DEC0E" w14:textId="7B3FA4E2">
      <w:pPr>
        <w:pStyle w:val="FootnoteText"/>
      </w:pPr>
      <w:r>
        <w:rPr>
          <w:rStyle w:val="FootnoteReference"/>
        </w:rPr>
        <w:footnoteRef/>
      </w:r>
      <w:r>
        <w:t xml:space="preserve"> Naomi F. </w:t>
      </w:r>
      <w:r>
        <w:t>Sugie</w:t>
      </w:r>
      <w:r>
        <w:t xml:space="preserve"> </w:t>
      </w:r>
      <w:r>
        <w:rPr>
          <w:i/>
          <w:iCs/>
        </w:rPr>
        <w:t xml:space="preserve">et al. </w:t>
      </w:r>
      <w:r>
        <w:t>Excess mortality in U.S. Prisons during the COVID-19 pandemic. Sci. Adv. 9, eadj8104 (2023) DOI:</w:t>
      </w:r>
      <w:r w:rsidR="00D67970">
        <w:t>10.1126/</w:t>
      </w:r>
      <w:r w:rsidR="00D67970">
        <w:t>sciadv.adj</w:t>
      </w:r>
      <w:r w:rsidR="00D67970">
        <w:t>8104</w:t>
      </w:r>
    </w:p>
  </w:footnote>
  <w:footnote w:id="10">
    <w:p w:rsidR="00B21428" w:rsidRPr="00B21428" w:rsidP="00B21428" w14:paraId="5FDA5ABF" w14:textId="0F9031B6">
      <w:pPr>
        <w:pStyle w:val="FootnoteText"/>
      </w:pPr>
      <w:r w:rsidRPr="00B21428">
        <w:rPr>
          <w:rStyle w:val="FootnoteReference"/>
        </w:rPr>
        <w:footnoteRef/>
      </w:r>
      <w:r w:rsidRPr="00B21428">
        <w:t xml:space="preserve"> </w:t>
      </w:r>
      <w:hyperlink r:id="rId4" w:history="1">
        <w:r w:rsidRPr="00B21428">
          <w:rPr>
            <w:rStyle w:val="cf01"/>
            <w:rFonts w:ascii="Times New Roman" w:hAnsi="Times New Roman" w:cs="Times New Roman"/>
            <w:color w:val="0000FF"/>
            <w:sz w:val="20"/>
            <w:szCs w:val="20"/>
            <w:u w:val="single"/>
          </w:rPr>
          <w:t>https://www.kptv.com/2023/05/11/bodies-stacking-up-autopsies-nixed-oregon-medical-examiners-division-facing-worsening-crisis/</w:t>
        </w:r>
      </w:hyperlink>
    </w:p>
  </w:footnote>
  <w:footnote w:id="11">
    <w:p w:rsidR="00B21428" w:rsidP="00B21428" w14:paraId="09F4C462" w14:textId="6B366FB0">
      <w:pPr>
        <w:pStyle w:val="FootnoteText"/>
      </w:pPr>
      <w:r w:rsidRPr="00B21428">
        <w:rPr>
          <w:rStyle w:val="FootnoteReference"/>
        </w:rPr>
        <w:footnoteRef/>
      </w:r>
      <w:r w:rsidRPr="00B21428">
        <w:t xml:space="preserve"> </w:t>
      </w:r>
      <w:hyperlink r:id="rId5" w:history="1">
        <w:r w:rsidRPr="00B21428">
          <w:rPr>
            <w:rStyle w:val="cf01"/>
            <w:rFonts w:ascii="Times New Roman" w:hAnsi="Times New Roman" w:cs="Times New Roman"/>
            <w:color w:val="0000FF"/>
            <w:sz w:val="20"/>
            <w:szCs w:val="20"/>
            <w:u w:val="single"/>
          </w:rPr>
          <w:t>https://www.wusa9.com/article/news/local/maryland/audit-marylands-medical-examiners-office-cites-history-of-chronic-understaffing/65-9f300944-25f0-4e0d-b160-820544f8ca72</w:t>
        </w:r>
      </w:hyperlink>
    </w:p>
  </w:footnote>
  <w:footnote w:id="12">
    <w:p w:rsidR="008A6DF4" w14:paraId="37BE02E1" w14:textId="73AA5AA0">
      <w:pPr>
        <w:pStyle w:val="FootnoteText"/>
      </w:pPr>
      <w:r>
        <w:rPr>
          <w:rStyle w:val="FootnoteReference"/>
        </w:rPr>
        <w:footnoteRef/>
      </w:r>
      <w:r>
        <w:t xml:space="preserve"> </w:t>
      </w:r>
      <w:hyperlink r:id="rId6" w:history="1">
        <w:r w:rsidRPr="00C769DF">
          <w:rPr>
            <w:rStyle w:val="Hyperlink"/>
          </w:rPr>
          <w:t>https://fas.org/publication/lets-talk-about-death-the-state-of-medicolegal-death-investigations/</w:t>
        </w:r>
      </w:hyperlink>
      <w:r>
        <w:t xml:space="preserve"> </w:t>
      </w:r>
    </w:p>
  </w:footnote>
  <w:footnote w:id="13">
    <w:p w:rsidR="009511E1" w14:paraId="768B5D79" w14:textId="2B21E1B7">
      <w:pPr>
        <w:pStyle w:val="FootnoteText"/>
      </w:pPr>
      <w:r>
        <w:rPr>
          <w:rStyle w:val="FootnoteReference"/>
        </w:rPr>
        <w:footnoteRef/>
      </w:r>
      <w:r>
        <w:t xml:space="preserve"> </w:t>
      </w:r>
      <w:hyperlink r:id="rId7" w:history="1">
        <w:r w:rsidRPr="007B2586">
          <w:rPr>
            <w:rStyle w:val="Hyperlink"/>
          </w:rPr>
          <w:t>https://www.sccounties.org/friday-reports/friday-report-april-21-2023</w:t>
        </w:r>
      </w:hyperlink>
      <w:r>
        <w:t xml:space="preserve"> </w:t>
      </w:r>
    </w:p>
  </w:footnote>
  <w:footnote w:id="14">
    <w:p w:rsidR="009511E1" w14:paraId="0E22FD28" w14:textId="16C9411A">
      <w:pPr>
        <w:pStyle w:val="FootnoteText"/>
      </w:pPr>
      <w:r>
        <w:rPr>
          <w:rStyle w:val="FootnoteReference"/>
        </w:rPr>
        <w:footnoteRef/>
      </w:r>
      <w:r>
        <w:t xml:space="preserve"> </w:t>
      </w:r>
      <w:hyperlink r:id="rId1" w:history="1">
        <w:r w:rsidRPr="007B2586">
          <w:rPr>
            <w:rStyle w:val="Hyperlink"/>
          </w:rPr>
          <w:t>https://www.ojp.gov/pdffiles1/nij/253626.pdf</w:t>
        </w:r>
      </w:hyperlink>
      <w:r>
        <w:t xml:space="preserve"> </w:t>
      </w:r>
    </w:p>
  </w:footnote>
  <w:footnote w:id="15">
    <w:p w:rsidR="009511E1" w14:paraId="5E9D87CE" w14:textId="440D4811">
      <w:pPr>
        <w:pStyle w:val="FootnoteText"/>
      </w:pPr>
      <w:r>
        <w:rPr>
          <w:rStyle w:val="FootnoteReference"/>
        </w:rPr>
        <w:footnoteRef/>
      </w:r>
      <w:r>
        <w:t xml:space="preserve"> </w:t>
      </w:r>
      <w:hyperlink r:id="rId8" w:history="1">
        <w:r w:rsidRPr="007B2586">
          <w:rPr>
            <w:rStyle w:val="Hyperlink"/>
          </w:rPr>
          <w:t>https://www.namus.gov/</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3E202D5"/>
    <w:multiLevelType w:val="hybridMultilevel"/>
    <w:tmpl w:val="9A787B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5D77D87"/>
    <w:multiLevelType w:val="hybridMultilevel"/>
    <w:tmpl w:val="0A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597CFD"/>
    <w:multiLevelType w:val="hybridMultilevel"/>
    <w:tmpl w:val="B2969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1F1EE7"/>
    <w:multiLevelType w:val="hybridMultilevel"/>
    <w:tmpl w:val="9A345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36983"/>
    <w:multiLevelType w:val="hybridMultilevel"/>
    <w:tmpl w:val="9A08D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2323E4"/>
    <w:multiLevelType w:val="hybridMultilevel"/>
    <w:tmpl w:val="5488739E"/>
    <w:lvl w:ilvl="0">
      <w:start w:val="1"/>
      <w:numFmt w:val="upperLetter"/>
      <w:lvlText w:val="%1."/>
      <w:lvlJc w:val="left"/>
      <w:pPr>
        <w:ind w:left="720" w:hanging="360"/>
      </w:pPr>
      <w:rPr>
        <w:rFonts w:ascii="Times New Roman" w:hAnsi="Times New Roman" w:cs="Times New Roman"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4F3C41"/>
    <w:multiLevelType w:val="hybridMultilevel"/>
    <w:tmpl w:val="CF4E6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E46293"/>
    <w:multiLevelType w:val="hybridMultilevel"/>
    <w:tmpl w:val="C01C845E"/>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1218EF"/>
    <w:multiLevelType w:val="hybridMultilevel"/>
    <w:tmpl w:val="20B89CA2"/>
    <w:lvl w:ilvl="0">
      <w:start w:val="0"/>
      <w:numFmt w:val="bullet"/>
      <w:lvlText w:val="•"/>
      <w:lvlJc w:val="left"/>
      <w:pPr>
        <w:ind w:left="720" w:hanging="36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C616E0"/>
    <w:multiLevelType w:val="hybridMultilevel"/>
    <w:tmpl w:val="28B40B4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3C4A5E"/>
    <w:multiLevelType w:val="hybridMultilevel"/>
    <w:tmpl w:val="69160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8B1639"/>
    <w:multiLevelType w:val="hybridMultilevel"/>
    <w:tmpl w:val="877899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8B6899"/>
    <w:multiLevelType w:val="hybridMultilevel"/>
    <w:tmpl w:val="ECC85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B76D75"/>
    <w:multiLevelType w:val="hybridMultilevel"/>
    <w:tmpl w:val="BF523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AD185D"/>
    <w:multiLevelType w:val="hybridMultilevel"/>
    <w:tmpl w:val="D25CB9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8432AE"/>
    <w:multiLevelType w:val="hybridMultilevel"/>
    <w:tmpl w:val="F99EE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C646F5"/>
    <w:multiLevelType w:val="hybridMultilevel"/>
    <w:tmpl w:val="AFB441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684F00"/>
    <w:multiLevelType w:val="hybridMultilevel"/>
    <w:tmpl w:val="E19A8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1D1BCE"/>
    <w:multiLevelType w:val="hybridMultilevel"/>
    <w:tmpl w:val="85883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B90DB5"/>
    <w:multiLevelType w:val="multilevel"/>
    <w:tmpl w:val="17BC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EB0362"/>
    <w:multiLevelType w:val="multilevel"/>
    <w:tmpl w:val="D7F8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2E53F0"/>
    <w:multiLevelType w:val="hybridMultilevel"/>
    <w:tmpl w:val="71CC3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CF0318"/>
    <w:multiLevelType w:val="hybridMultilevel"/>
    <w:tmpl w:val="9154AC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72323F"/>
    <w:multiLevelType w:val="hybridMultilevel"/>
    <w:tmpl w:val="C8087A80"/>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69F78A9"/>
    <w:multiLevelType w:val="multilevel"/>
    <w:tmpl w:val="169CB4D4"/>
    <w:lvl w:ilvl="0">
      <w:start w:val="1"/>
      <w:numFmt w:val="bullet"/>
      <w:pStyle w:val="bullets"/>
      <w:lvlText w:val="■"/>
      <w:lvlJc w:val="left"/>
      <w:pPr>
        <w:ind w:left="720" w:hanging="360"/>
      </w:pPr>
      <w:rPr>
        <w:rFonts w:ascii="Arial" w:hAnsi="Arial" w:hint="default"/>
        <w:sz w:val="16"/>
        <w:szCs w:val="20"/>
      </w:rPr>
    </w:lvl>
    <w:lvl w:ilvl="1">
      <w:start w:val="1"/>
      <w:numFmt w:val="bullet"/>
      <w:pStyle w:val="bullets2nd-level"/>
      <w:lvlText w:val="–"/>
      <w:lvlJc w:val="left"/>
      <w:pPr>
        <w:ind w:left="1080" w:hanging="360"/>
      </w:pPr>
      <w:rPr>
        <w:rFonts w:ascii="Times New Roman" w:hAnsi="Times New Roman" w:cs="Times New Roman" w:hint="default"/>
      </w:rPr>
    </w:lvl>
    <w:lvl w:ilvl="2">
      <w:start w:val="1"/>
      <w:numFmt w:val="bullet"/>
      <w:pStyle w:val="bullets3rd-level"/>
      <w:lvlText w:val="•"/>
      <w:lvlJc w:val="left"/>
      <w:pPr>
        <w:ind w:left="1440" w:hanging="360"/>
      </w:pPr>
      <w:rPr>
        <w:rFonts w:ascii="Arial" w:hAnsi="Arial"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9404E0B"/>
    <w:multiLevelType w:val="hybridMultilevel"/>
    <w:tmpl w:val="945E4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ABD00F0"/>
    <w:multiLevelType w:val="hybridMultilevel"/>
    <w:tmpl w:val="6958E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E84083"/>
    <w:multiLevelType w:val="hybridMultilevel"/>
    <w:tmpl w:val="2FE833A0"/>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9">
    <w:nsid w:val="7BFB2D5D"/>
    <w:multiLevelType w:val="hybridMultilevel"/>
    <w:tmpl w:val="FD70501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1273898600">
    <w:abstractNumId w:val="10"/>
  </w:num>
  <w:num w:numId="2" w16cid:durableId="2008052152">
    <w:abstractNumId w:val="25"/>
  </w:num>
  <w:num w:numId="3" w16cid:durableId="773592061">
    <w:abstractNumId w:val="23"/>
  </w:num>
  <w:num w:numId="4" w16cid:durableId="1013872379">
    <w:abstractNumId w:val="16"/>
  </w:num>
  <w:num w:numId="5" w16cid:durableId="1298804994">
    <w:abstractNumId w:val="13"/>
  </w:num>
  <w:num w:numId="6" w16cid:durableId="486678055">
    <w:abstractNumId w:val="26"/>
  </w:num>
  <w:num w:numId="7" w16cid:durableId="1875732502">
    <w:abstractNumId w:val="19"/>
  </w:num>
  <w:num w:numId="8" w16cid:durableId="1634868103">
    <w:abstractNumId w:val="11"/>
  </w:num>
  <w:num w:numId="9"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0" w16cid:durableId="1823236145">
    <w:abstractNumId w:val="8"/>
  </w:num>
  <w:num w:numId="11" w16cid:durableId="867060098">
    <w:abstractNumId w:val="24"/>
  </w:num>
  <w:num w:numId="12" w16cid:durableId="10841214">
    <w:abstractNumId w:val="2"/>
  </w:num>
  <w:num w:numId="13" w16cid:durableId="399254464">
    <w:abstractNumId w:val="7"/>
  </w:num>
  <w:num w:numId="14" w16cid:durableId="1996761523">
    <w:abstractNumId w:val="27"/>
  </w:num>
  <w:num w:numId="15" w16cid:durableId="1301963559">
    <w:abstractNumId w:val="9"/>
  </w:num>
  <w:num w:numId="16" w16cid:durableId="1691683090">
    <w:abstractNumId w:val="6"/>
  </w:num>
  <w:num w:numId="17" w16cid:durableId="608508694">
    <w:abstractNumId w:val="12"/>
  </w:num>
  <w:num w:numId="18" w16cid:durableId="1488672125">
    <w:abstractNumId w:val="17"/>
  </w:num>
  <w:num w:numId="19" w16cid:durableId="712777784">
    <w:abstractNumId w:val="5"/>
  </w:num>
  <w:num w:numId="20" w16cid:durableId="1240137971">
    <w:abstractNumId w:val="29"/>
  </w:num>
  <w:num w:numId="21" w16cid:durableId="2070224593">
    <w:abstractNumId w:val="28"/>
  </w:num>
  <w:num w:numId="22" w16cid:durableId="1506287980">
    <w:abstractNumId w:val="21"/>
  </w:num>
  <w:num w:numId="23" w16cid:durableId="1368993734">
    <w:abstractNumId w:val="20"/>
  </w:num>
  <w:num w:numId="24" w16cid:durableId="1987851699">
    <w:abstractNumId w:val="18"/>
  </w:num>
  <w:num w:numId="25" w16cid:durableId="361589334">
    <w:abstractNumId w:val="4"/>
  </w:num>
  <w:num w:numId="26" w16cid:durableId="303395666">
    <w:abstractNumId w:val="22"/>
  </w:num>
  <w:num w:numId="27" w16cid:durableId="506215665">
    <w:abstractNumId w:val="3"/>
  </w:num>
  <w:num w:numId="28" w16cid:durableId="223105928">
    <w:abstractNumId w:val="15"/>
  </w:num>
  <w:num w:numId="29" w16cid:durableId="846948014">
    <w:abstractNumId w:val="14"/>
  </w:num>
  <w:num w:numId="30" w16cid:durableId="168042707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85"/>
    <w:rsid w:val="000005CE"/>
    <w:rsid w:val="000005F6"/>
    <w:rsid w:val="00001F86"/>
    <w:rsid w:val="000020D4"/>
    <w:rsid w:val="00002117"/>
    <w:rsid w:val="0000266E"/>
    <w:rsid w:val="00004116"/>
    <w:rsid w:val="00004857"/>
    <w:rsid w:val="00004E07"/>
    <w:rsid w:val="00006B33"/>
    <w:rsid w:val="00007979"/>
    <w:rsid w:val="00007FBB"/>
    <w:rsid w:val="000120A7"/>
    <w:rsid w:val="000126DB"/>
    <w:rsid w:val="00013B20"/>
    <w:rsid w:val="00014C28"/>
    <w:rsid w:val="00014CDA"/>
    <w:rsid w:val="00014D8C"/>
    <w:rsid w:val="000155AD"/>
    <w:rsid w:val="00015C7B"/>
    <w:rsid w:val="000163E6"/>
    <w:rsid w:val="00017E40"/>
    <w:rsid w:val="000206AB"/>
    <w:rsid w:val="00020B42"/>
    <w:rsid w:val="0002261A"/>
    <w:rsid w:val="00022869"/>
    <w:rsid w:val="00024D9B"/>
    <w:rsid w:val="00027065"/>
    <w:rsid w:val="0002759F"/>
    <w:rsid w:val="000278A5"/>
    <w:rsid w:val="00027D92"/>
    <w:rsid w:val="0003174C"/>
    <w:rsid w:val="0003233F"/>
    <w:rsid w:val="00032D5A"/>
    <w:rsid w:val="00034EC1"/>
    <w:rsid w:val="00035929"/>
    <w:rsid w:val="00040AA2"/>
    <w:rsid w:val="000414A8"/>
    <w:rsid w:val="000438F3"/>
    <w:rsid w:val="00043CE4"/>
    <w:rsid w:val="000443BC"/>
    <w:rsid w:val="00044847"/>
    <w:rsid w:val="00044BD5"/>
    <w:rsid w:val="00044C8D"/>
    <w:rsid w:val="0004771E"/>
    <w:rsid w:val="000527D2"/>
    <w:rsid w:val="00052F1E"/>
    <w:rsid w:val="00054324"/>
    <w:rsid w:val="00054F21"/>
    <w:rsid w:val="000551BB"/>
    <w:rsid w:val="0005527F"/>
    <w:rsid w:val="00055299"/>
    <w:rsid w:val="0006218A"/>
    <w:rsid w:val="00062396"/>
    <w:rsid w:val="0006314F"/>
    <w:rsid w:val="000636E7"/>
    <w:rsid w:val="00063827"/>
    <w:rsid w:val="00064AC4"/>
    <w:rsid w:val="00064EE1"/>
    <w:rsid w:val="00065DFA"/>
    <w:rsid w:val="00066061"/>
    <w:rsid w:val="00067411"/>
    <w:rsid w:val="00070983"/>
    <w:rsid w:val="0007130B"/>
    <w:rsid w:val="000723E8"/>
    <w:rsid w:val="0007320A"/>
    <w:rsid w:val="000745B8"/>
    <w:rsid w:val="000762FE"/>
    <w:rsid w:val="000773A2"/>
    <w:rsid w:val="000814C2"/>
    <w:rsid w:val="00082813"/>
    <w:rsid w:val="000829BF"/>
    <w:rsid w:val="00082EEC"/>
    <w:rsid w:val="00083580"/>
    <w:rsid w:val="00084656"/>
    <w:rsid w:val="000853FA"/>
    <w:rsid w:val="0008557A"/>
    <w:rsid w:val="00087071"/>
    <w:rsid w:val="00087A6D"/>
    <w:rsid w:val="00090ED6"/>
    <w:rsid w:val="0009143E"/>
    <w:rsid w:val="00092015"/>
    <w:rsid w:val="00092054"/>
    <w:rsid w:val="0009279D"/>
    <w:rsid w:val="00092C4B"/>
    <w:rsid w:val="00092E1D"/>
    <w:rsid w:val="000930D5"/>
    <w:rsid w:val="000941A5"/>
    <w:rsid w:val="000943F2"/>
    <w:rsid w:val="00095623"/>
    <w:rsid w:val="00096664"/>
    <w:rsid w:val="000A1EDC"/>
    <w:rsid w:val="000A3120"/>
    <w:rsid w:val="000A662A"/>
    <w:rsid w:val="000A6869"/>
    <w:rsid w:val="000A6F3B"/>
    <w:rsid w:val="000A7464"/>
    <w:rsid w:val="000B0998"/>
    <w:rsid w:val="000B0B66"/>
    <w:rsid w:val="000B2E6B"/>
    <w:rsid w:val="000B4169"/>
    <w:rsid w:val="000B46CE"/>
    <w:rsid w:val="000B5347"/>
    <w:rsid w:val="000B5767"/>
    <w:rsid w:val="000B641A"/>
    <w:rsid w:val="000B6EC9"/>
    <w:rsid w:val="000B7059"/>
    <w:rsid w:val="000B7290"/>
    <w:rsid w:val="000B7FA6"/>
    <w:rsid w:val="000C1F4B"/>
    <w:rsid w:val="000C29DC"/>
    <w:rsid w:val="000C2FF5"/>
    <w:rsid w:val="000C3397"/>
    <w:rsid w:val="000C3632"/>
    <w:rsid w:val="000C48E1"/>
    <w:rsid w:val="000C5333"/>
    <w:rsid w:val="000C66C9"/>
    <w:rsid w:val="000C713D"/>
    <w:rsid w:val="000C7534"/>
    <w:rsid w:val="000D087F"/>
    <w:rsid w:val="000D0AA8"/>
    <w:rsid w:val="000D0B85"/>
    <w:rsid w:val="000D275E"/>
    <w:rsid w:val="000D2E3B"/>
    <w:rsid w:val="000D32F1"/>
    <w:rsid w:val="000D4831"/>
    <w:rsid w:val="000D7A23"/>
    <w:rsid w:val="000D7C8E"/>
    <w:rsid w:val="000E0101"/>
    <w:rsid w:val="000E0605"/>
    <w:rsid w:val="000E0C1A"/>
    <w:rsid w:val="000E1E4B"/>
    <w:rsid w:val="000E1F0C"/>
    <w:rsid w:val="000E29EC"/>
    <w:rsid w:val="000E2FE3"/>
    <w:rsid w:val="000E4BFC"/>
    <w:rsid w:val="000E5097"/>
    <w:rsid w:val="000E55AE"/>
    <w:rsid w:val="000E62F2"/>
    <w:rsid w:val="000E6470"/>
    <w:rsid w:val="000E7FCF"/>
    <w:rsid w:val="000F0905"/>
    <w:rsid w:val="000F0BF9"/>
    <w:rsid w:val="000F19B5"/>
    <w:rsid w:val="000F5297"/>
    <w:rsid w:val="000F5335"/>
    <w:rsid w:val="000F561A"/>
    <w:rsid w:val="000F5A5E"/>
    <w:rsid w:val="000F6199"/>
    <w:rsid w:val="000F6A43"/>
    <w:rsid w:val="000F7B26"/>
    <w:rsid w:val="00101207"/>
    <w:rsid w:val="00101D7F"/>
    <w:rsid w:val="00102093"/>
    <w:rsid w:val="0010218C"/>
    <w:rsid w:val="001026D3"/>
    <w:rsid w:val="001030FF"/>
    <w:rsid w:val="0010353C"/>
    <w:rsid w:val="00104720"/>
    <w:rsid w:val="00105AE5"/>
    <w:rsid w:val="001063B6"/>
    <w:rsid w:val="00106653"/>
    <w:rsid w:val="0011005A"/>
    <w:rsid w:val="001105C8"/>
    <w:rsid w:val="00110FBC"/>
    <w:rsid w:val="00111D84"/>
    <w:rsid w:val="001126F4"/>
    <w:rsid w:val="00112738"/>
    <w:rsid w:val="00113481"/>
    <w:rsid w:val="00113FEB"/>
    <w:rsid w:val="0011402B"/>
    <w:rsid w:val="00115049"/>
    <w:rsid w:val="00115372"/>
    <w:rsid w:val="00115CE0"/>
    <w:rsid w:val="001169BA"/>
    <w:rsid w:val="00117565"/>
    <w:rsid w:val="00120564"/>
    <w:rsid w:val="0012107F"/>
    <w:rsid w:val="00121383"/>
    <w:rsid w:val="0012162E"/>
    <w:rsid w:val="001218A8"/>
    <w:rsid w:val="00121C88"/>
    <w:rsid w:val="001235B1"/>
    <w:rsid w:val="001243DA"/>
    <w:rsid w:val="00124E97"/>
    <w:rsid w:val="001259CA"/>
    <w:rsid w:val="00125DB6"/>
    <w:rsid w:val="00126B58"/>
    <w:rsid w:val="00127E5C"/>
    <w:rsid w:val="0013025F"/>
    <w:rsid w:val="001319BC"/>
    <w:rsid w:val="001320ED"/>
    <w:rsid w:val="001340BB"/>
    <w:rsid w:val="00134FC2"/>
    <w:rsid w:val="001356CD"/>
    <w:rsid w:val="00137065"/>
    <w:rsid w:val="00140AC0"/>
    <w:rsid w:val="00140C91"/>
    <w:rsid w:val="001410A2"/>
    <w:rsid w:val="001475C5"/>
    <w:rsid w:val="001504F0"/>
    <w:rsid w:val="001512B4"/>
    <w:rsid w:val="00151307"/>
    <w:rsid w:val="00151B80"/>
    <w:rsid w:val="001522F8"/>
    <w:rsid w:val="00152419"/>
    <w:rsid w:val="0015280F"/>
    <w:rsid w:val="00155575"/>
    <w:rsid w:val="00155F0D"/>
    <w:rsid w:val="001561E3"/>
    <w:rsid w:val="00157BFE"/>
    <w:rsid w:val="00160B9E"/>
    <w:rsid w:val="00160DE3"/>
    <w:rsid w:val="00162650"/>
    <w:rsid w:val="00162B3D"/>
    <w:rsid w:val="0016564A"/>
    <w:rsid w:val="00165836"/>
    <w:rsid w:val="00167138"/>
    <w:rsid w:val="001675A1"/>
    <w:rsid w:val="00167699"/>
    <w:rsid w:val="00171197"/>
    <w:rsid w:val="00172DE2"/>
    <w:rsid w:val="00173155"/>
    <w:rsid w:val="00174252"/>
    <w:rsid w:val="00174621"/>
    <w:rsid w:val="001746EF"/>
    <w:rsid w:val="001749E0"/>
    <w:rsid w:val="00174A98"/>
    <w:rsid w:val="00175588"/>
    <w:rsid w:val="00175E6F"/>
    <w:rsid w:val="00176F0F"/>
    <w:rsid w:val="00176F86"/>
    <w:rsid w:val="00177C95"/>
    <w:rsid w:val="00180054"/>
    <w:rsid w:val="00180673"/>
    <w:rsid w:val="001807AA"/>
    <w:rsid w:val="00180A80"/>
    <w:rsid w:val="00181BA6"/>
    <w:rsid w:val="00182505"/>
    <w:rsid w:val="00182B4A"/>
    <w:rsid w:val="0018303D"/>
    <w:rsid w:val="00183495"/>
    <w:rsid w:val="0018379E"/>
    <w:rsid w:val="00183B0A"/>
    <w:rsid w:val="001848CF"/>
    <w:rsid w:val="00184E09"/>
    <w:rsid w:val="001864AB"/>
    <w:rsid w:val="001875A2"/>
    <w:rsid w:val="00187AE5"/>
    <w:rsid w:val="00190434"/>
    <w:rsid w:val="00190C2C"/>
    <w:rsid w:val="0019105B"/>
    <w:rsid w:val="00192D93"/>
    <w:rsid w:val="0019339B"/>
    <w:rsid w:val="00194206"/>
    <w:rsid w:val="00195BBE"/>
    <w:rsid w:val="00196DF7"/>
    <w:rsid w:val="001A0A5C"/>
    <w:rsid w:val="001A2EA8"/>
    <w:rsid w:val="001A2F01"/>
    <w:rsid w:val="001A37D3"/>
    <w:rsid w:val="001A45A3"/>
    <w:rsid w:val="001A482F"/>
    <w:rsid w:val="001A538D"/>
    <w:rsid w:val="001A56B3"/>
    <w:rsid w:val="001A7401"/>
    <w:rsid w:val="001B0B8E"/>
    <w:rsid w:val="001B0BAF"/>
    <w:rsid w:val="001B0F20"/>
    <w:rsid w:val="001B0F4A"/>
    <w:rsid w:val="001B1CD8"/>
    <w:rsid w:val="001B2BD1"/>
    <w:rsid w:val="001B3FC9"/>
    <w:rsid w:val="001B4079"/>
    <w:rsid w:val="001B5CCD"/>
    <w:rsid w:val="001B7486"/>
    <w:rsid w:val="001B7880"/>
    <w:rsid w:val="001B7C59"/>
    <w:rsid w:val="001B7DA1"/>
    <w:rsid w:val="001B7DEE"/>
    <w:rsid w:val="001B7FC0"/>
    <w:rsid w:val="001C031F"/>
    <w:rsid w:val="001C0DA6"/>
    <w:rsid w:val="001C11EE"/>
    <w:rsid w:val="001C1A06"/>
    <w:rsid w:val="001C3F3E"/>
    <w:rsid w:val="001C4F38"/>
    <w:rsid w:val="001C505D"/>
    <w:rsid w:val="001C560B"/>
    <w:rsid w:val="001C5780"/>
    <w:rsid w:val="001C6096"/>
    <w:rsid w:val="001C64A4"/>
    <w:rsid w:val="001C667E"/>
    <w:rsid w:val="001D0287"/>
    <w:rsid w:val="001D089E"/>
    <w:rsid w:val="001D12F2"/>
    <w:rsid w:val="001D18D8"/>
    <w:rsid w:val="001D1B4A"/>
    <w:rsid w:val="001D1CD9"/>
    <w:rsid w:val="001D1D16"/>
    <w:rsid w:val="001D2124"/>
    <w:rsid w:val="001D2B2D"/>
    <w:rsid w:val="001D30CD"/>
    <w:rsid w:val="001D3802"/>
    <w:rsid w:val="001D3E39"/>
    <w:rsid w:val="001D5AC4"/>
    <w:rsid w:val="001D6A0D"/>
    <w:rsid w:val="001D6E2E"/>
    <w:rsid w:val="001E14C9"/>
    <w:rsid w:val="001E1C10"/>
    <w:rsid w:val="001E3BB7"/>
    <w:rsid w:val="001E4E77"/>
    <w:rsid w:val="001E5129"/>
    <w:rsid w:val="001E6513"/>
    <w:rsid w:val="001F28FC"/>
    <w:rsid w:val="001F3115"/>
    <w:rsid w:val="001F655D"/>
    <w:rsid w:val="001F6F32"/>
    <w:rsid w:val="001F758F"/>
    <w:rsid w:val="00200749"/>
    <w:rsid w:val="00200E6B"/>
    <w:rsid w:val="00202AA7"/>
    <w:rsid w:val="00204BE7"/>
    <w:rsid w:val="00205CE8"/>
    <w:rsid w:val="00205D87"/>
    <w:rsid w:val="00206042"/>
    <w:rsid w:val="002066C1"/>
    <w:rsid w:val="00206F5C"/>
    <w:rsid w:val="002079FF"/>
    <w:rsid w:val="002101FA"/>
    <w:rsid w:val="0021313C"/>
    <w:rsid w:val="00214EAE"/>
    <w:rsid w:val="00215623"/>
    <w:rsid w:val="0021594B"/>
    <w:rsid w:val="00217B40"/>
    <w:rsid w:val="00217EF1"/>
    <w:rsid w:val="00221E5F"/>
    <w:rsid w:val="0022477E"/>
    <w:rsid w:val="00224C72"/>
    <w:rsid w:val="002258DE"/>
    <w:rsid w:val="00230C22"/>
    <w:rsid w:val="00231622"/>
    <w:rsid w:val="0023482A"/>
    <w:rsid w:val="002348DB"/>
    <w:rsid w:val="00234B8F"/>
    <w:rsid w:val="00236A09"/>
    <w:rsid w:val="002411E9"/>
    <w:rsid w:val="00241C99"/>
    <w:rsid w:val="002427B3"/>
    <w:rsid w:val="00242A13"/>
    <w:rsid w:val="00246844"/>
    <w:rsid w:val="00246F67"/>
    <w:rsid w:val="00247F64"/>
    <w:rsid w:val="002530B5"/>
    <w:rsid w:val="00255476"/>
    <w:rsid w:val="00257508"/>
    <w:rsid w:val="002616FC"/>
    <w:rsid w:val="00261726"/>
    <w:rsid w:val="00261945"/>
    <w:rsid w:val="002630E7"/>
    <w:rsid w:val="002643A0"/>
    <w:rsid w:val="00265478"/>
    <w:rsid w:val="002655D7"/>
    <w:rsid w:val="00265D41"/>
    <w:rsid w:val="00267BE1"/>
    <w:rsid w:val="00271499"/>
    <w:rsid w:val="002716FE"/>
    <w:rsid w:val="002756CF"/>
    <w:rsid w:val="00276DC9"/>
    <w:rsid w:val="00281AEC"/>
    <w:rsid w:val="00282B53"/>
    <w:rsid w:val="00282F26"/>
    <w:rsid w:val="00283DD5"/>
    <w:rsid w:val="00283F15"/>
    <w:rsid w:val="002841DF"/>
    <w:rsid w:val="00284B86"/>
    <w:rsid w:val="00286A2E"/>
    <w:rsid w:val="00287218"/>
    <w:rsid w:val="002873C6"/>
    <w:rsid w:val="0028794A"/>
    <w:rsid w:val="00287BAC"/>
    <w:rsid w:val="00287F32"/>
    <w:rsid w:val="00293C39"/>
    <w:rsid w:val="00295912"/>
    <w:rsid w:val="002965E0"/>
    <w:rsid w:val="00297E51"/>
    <w:rsid w:val="002A22A5"/>
    <w:rsid w:val="002A3890"/>
    <w:rsid w:val="002A4459"/>
    <w:rsid w:val="002A5D2E"/>
    <w:rsid w:val="002A6163"/>
    <w:rsid w:val="002A70CA"/>
    <w:rsid w:val="002B0021"/>
    <w:rsid w:val="002B1351"/>
    <w:rsid w:val="002B19FB"/>
    <w:rsid w:val="002B288B"/>
    <w:rsid w:val="002B2B1C"/>
    <w:rsid w:val="002B34B7"/>
    <w:rsid w:val="002B50EE"/>
    <w:rsid w:val="002B7BDA"/>
    <w:rsid w:val="002C1587"/>
    <w:rsid w:val="002C1E5A"/>
    <w:rsid w:val="002C3FFE"/>
    <w:rsid w:val="002C40A0"/>
    <w:rsid w:val="002C4B66"/>
    <w:rsid w:val="002C63B6"/>
    <w:rsid w:val="002C64D2"/>
    <w:rsid w:val="002C6ED1"/>
    <w:rsid w:val="002C79CE"/>
    <w:rsid w:val="002C7CBF"/>
    <w:rsid w:val="002D03A8"/>
    <w:rsid w:val="002D0760"/>
    <w:rsid w:val="002D0908"/>
    <w:rsid w:val="002D1160"/>
    <w:rsid w:val="002D1505"/>
    <w:rsid w:val="002D15CF"/>
    <w:rsid w:val="002D1D56"/>
    <w:rsid w:val="002D1FA7"/>
    <w:rsid w:val="002D206E"/>
    <w:rsid w:val="002D3BB1"/>
    <w:rsid w:val="002D40FB"/>
    <w:rsid w:val="002D4251"/>
    <w:rsid w:val="002D53B8"/>
    <w:rsid w:val="002D606F"/>
    <w:rsid w:val="002E018B"/>
    <w:rsid w:val="002E18F6"/>
    <w:rsid w:val="002E21F5"/>
    <w:rsid w:val="002E24C0"/>
    <w:rsid w:val="002E2DA1"/>
    <w:rsid w:val="002E3A65"/>
    <w:rsid w:val="002E4CBD"/>
    <w:rsid w:val="002E4D5F"/>
    <w:rsid w:val="002E65C5"/>
    <w:rsid w:val="002E6742"/>
    <w:rsid w:val="002F1115"/>
    <w:rsid w:val="002F1A81"/>
    <w:rsid w:val="002F27BD"/>
    <w:rsid w:val="002F5A8A"/>
    <w:rsid w:val="002F65E6"/>
    <w:rsid w:val="002F7056"/>
    <w:rsid w:val="003007FD"/>
    <w:rsid w:val="00302EFA"/>
    <w:rsid w:val="00302F49"/>
    <w:rsid w:val="00303AB5"/>
    <w:rsid w:val="00304633"/>
    <w:rsid w:val="00304EF7"/>
    <w:rsid w:val="00307998"/>
    <w:rsid w:val="00310E29"/>
    <w:rsid w:val="003129B5"/>
    <w:rsid w:val="00312B46"/>
    <w:rsid w:val="003167E3"/>
    <w:rsid w:val="0031682A"/>
    <w:rsid w:val="00320000"/>
    <w:rsid w:val="0032095F"/>
    <w:rsid w:val="00320AF0"/>
    <w:rsid w:val="00320C59"/>
    <w:rsid w:val="00322D3B"/>
    <w:rsid w:val="00323365"/>
    <w:rsid w:val="00323699"/>
    <w:rsid w:val="00323ED3"/>
    <w:rsid w:val="00325648"/>
    <w:rsid w:val="00325E9A"/>
    <w:rsid w:val="00326B2D"/>
    <w:rsid w:val="003271AA"/>
    <w:rsid w:val="003273E3"/>
    <w:rsid w:val="00327844"/>
    <w:rsid w:val="00330907"/>
    <w:rsid w:val="00330D92"/>
    <w:rsid w:val="003312B4"/>
    <w:rsid w:val="00331A41"/>
    <w:rsid w:val="00331C23"/>
    <w:rsid w:val="00332524"/>
    <w:rsid w:val="0033353B"/>
    <w:rsid w:val="00333DA7"/>
    <w:rsid w:val="00334260"/>
    <w:rsid w:val="00334AA7"/>
    <w:rsid w:val="0033535A"/>
    <w:rsid w:val="0033628C"/>
    <w:rsid w:val="00336C8E"/>
    <w:rsid w:val="00341075"/>
    <w:rsid w:val="003441BF"/>
    <w:rsid w:val="00345C92"/>
    <w:rsid w:val="00346E53"/>
    <w:rsid w:val="00347437"/>
    <w:rsid w:val="00347630"/>
    <w:rsid w:val="003486F9"/>
    <w:rsid w:val="0035152E"/>
    <w:rsid w:val="00351B8C"/>
    <w:rsid w:val="00353756"/>
    <w:rsid w:val="00353F1A"/>
    <w:rsid w:val="003550FD"/>
    <w:rsid w:val="003561E7"/>
    <w:rsid w:val="00357FB8"/>
    <w:rsid w:val="003608A5"/>
    <w:rsid w:val="00360E99"/>
    <w:rsid w:val="00362001"/>
    <w:rsid w:val="00362C39"/>
    <w:rsid w:val="0036350B"/>
    <w:rsid w:val="00364044"/>
    <w:rsid w:val="00365A17"/>
    <w:rsid w:val="00366BE9"/>
    <w:rsid w:val="0037068F"/>
    <w:rsid w:val="0037546C"/>
    <w:rsid w:val="003757B7"/>
    <w:rsid w:val="00377CFB"/>
    <w:rsid w:val="00381611"/>
    <w:rsid w:val="00382D35"/>
    <w:rsid w:val="00382D40"/>
    <w:rsid w:val="0038336F"/>
    <w:rsid w:val="00383B58"/>
    <w:rsid w:val="0038402C"/>
    <w:rsid w:val="00384232"/>
    <w:rsid w:val="0038429F"/>
    <w:rsid w:val="00385085"/>
    <w:rsid w:val="00385746"/>
    <w:rsid w:val="003863AA"/>
    <w:rsid w:val="0038683E"/>
    <w:rsid w:val="00386CDB"/>
    <w:rsid w:val="0038711C"/>
    <w:rsid w:val="0038738E"/>
    <w:rsid w:val="003874AC"/>
    <w:rsid w:val="00387A54"/>
    <w:rsid w:val="00387C5A"/>
    <w:rsid w:val="00391EF3"/>
    <w:rsid w:val="003938D7"/>
    <w:rsid w:val="00393DEA"/>
    <w:rsid w:val="00393E5C"/>
    <w:rsid w:val="0039502C"/>
    <w:rsid w:val="00395931"/>
    <w:rsid w:val="0039753C"/>
    <w:rsid w:val="003A0DFF"/>
    <w:rsid w:val="003A1285"/>
    <w:rsid w:val="003A1432"/>
    <w:rsid w:val="003A14EE"/>
    <w:rsid w:val="003A1F84"/>
    <w:rsid w:val="003A21C1"/>
    <w:rsid w:val="003A224D"/>
    <w:rsid w:val="003A263F"/>
    <w:rsid w:val="003A2EC5"/>
    <w:rsid w:val="003A339A"/>
    <w:rsid w:val="003A4091"/>
    <w:rsid w:val="003A40C4"/>
    <w:rsid w:val="003A4B14"/>
    <w:rsid w:val="003A5222"/>
    <w:rsid w:val="003B24DB"/>
    <w:rsid w:val="003B3A21"/>
    <w:rsid w:val="003B4587"/>
    <w:rsid w:val="003B5C12"/>
    <w:rsid w:val="003B5FAE"/>
    <w:rsid w:val="003B626D"/>
    <w:rsid w:val="003B71F1"/>
    <w:rsid w:val="003B740F"/>
    <w:rsid w:val="003C0041"/>
    <w:rsid w:val="003C0236"/>
    <w:rsid w:val="003C1CE3"/>
    <w:rsid w:val="003C24A2"/>
    <w:rsid w:val="003C2DEA"/>
    <w:rsid w:val="003C40CB"/>
    <w:rsid w:val="003D04E5"/>
    <w:rsid w:val="003D093D"/>
    <w:rsid w:val="003D0B4F"/>
    <w:rsid w:val="003D10E6"/>
    <w:rsid w:val="003D19CA"/>
    <w:rsid w:val="003D27B1"/>
    <w:rsid w:val="003D2C9F"/>
    <w:rsid w:val="003D301F"/>
    <w:rsid w:val="003D3631"/>
    <w:rsid w:val="003D39F1"/>
    <w:rsid w:val="003D402D"/>
    <w:rsid w:val="003D46D3"/>
    <w:rsid w:val="003D5EBA"/>
    <w:rsid w:val="003D6656"/>
    <w:rsid w:val="003D71C6"/>
    <w:rsid w:val="003D7867"/>
    <w:rsid w:val="003E055A"/>
    <w:rsid w:val="003E0579"/>
    <w:rsid w:val="003E0868"/>
    <w:rsid w:val="003E235B"/>
    <w:rsid w:val="003E5567"/>
    <w:rsid w:val="003E5927"/>
    <w:rsid w:val="003E68F0"/>
    <w:rsid w:val="003E7153"/>
    <w:rsid w:val="003E766C"/>
    <w:rsid w:val="003F05C6"/>
    <w:rsid w:val="003F0ECC"/>
    <w:rsid w:val="003F0F58"/>
    <w:rsid w:val="003F1BD2"/>
    <w:rsid w:val="003F2EC7"/>
    <w:rsid w:val="003F36FC"/>
    <w:rsid w:val="003F3E45"/>
    <w:rsid w:val="003F6F08"/>
    <w:rsid w:val="003F7C08"/>
    <w:rsid w:val="0040022B"/>
    <w:rsid w:val="0040077B"/>
    <w:rsid w:val="00401CC0"/>
    <w:rsid w:val="004031C0"/>
    <w:rsid w:val="004039E0"/>
    <w:rsid w:val="0040416A"/>
    <w:rsid w:val="004061A1"/>
    <w:rsid w:val="004072F0"/>
    <w:rsid w:val="00407A93"/>
    <w:rsid w:val="00410411"/>
    <w:rsid w:val="00411CEB"/>
    <w:rsid w:val="00412416"/>
    <w:rsid w:val="00413F6E"/>
    <w:rsid w:val="00415BA5"/>
    <w:rsid w:val="00416513"/>
    <w:rsid w:val="0042238A"/>
    <w:rsid w:val="0042329A"/>
    <w:rsid w:val="00423A51"/>
    <w:rsid w:val="00423E20"/>
    <w:rsid w:val="00424912"/>
    <w:rsid w:val="00425FC2"/>
    <w:rsid w:val="00427642"/>
    <w:rsid w:val="004311B1"/>
    <w:rsid w:val="00434B6E"/>
    <w:rsid w:val="00434E05"/>
    <w:rsid w:val="00436D37"/>
    <w:rsid w:val="00437443"/>
    <w:rsid w:val="00440CFE"/>
    <w:rsid w:val="00440F78"/>
    <w:rsid w:val="00441966"/>
    <w:rsid w:val="00441968"/>
    <w:rsid w:val="004426D6"/>
    <w:rsid w:val="00442953"/>
    <w:rsid w:val="00442E2A"/>
    <w:rsid w:val="0044543E"/>
    <w:rsid w:val="0044563B"/>
    <w:rsid w:val="00446D5C"/>
    <w:rsid w:val="00450314"/>
    <w:rsid w:val="004518E9"/>
    <w:rsid w:val="00453910"/>
    <w:rsid w:val="00454A65"/>
    <w:rsid w:val="00455415"/>
    <w:rsid w:val="00455587"/>
    <w:rsid w:val="00455C64"/>
    <w:rsid w:val="00456F05"/>
    <w:rsid w:val="004608B3"/>
    <w:rsid w:val="004633AB"/>
    <w:rsid w:val="004638C8"/>
    <w:rsid w:val="0046409A"/>
    <w:rsid w:val="00464591"/>
    <w:rsid w:val="0046476B"/>
    <w:rsid w:val="004652D7"/>
    <w:rsid w:val="004655EF"/>
    <w:rsid w:val="00466E69"/>
    <w:rsid w:val="00470BBE"/>
    <w:rsid w:val="00470BDA"/>
    <w:rsid w:val="004718F3"/>
    <w:rsid w:val="00473AFB"/>
    <w:rsid w:val="00474D0D"/>
    <w:rsid w:val="004765DA"/>
    <w:rsid w:val="004770F2"/>
    <w:rsid w:val="004800C3"/>
    <w:rsid w:val="00480D15"/>
    <w:rsid w:val="00481069"/>
    <w:rsid w:val="00481FCA"/>
    <w:rsid w:val="004835E3"/>
    <w:rsid w:val="00484098"/>
    <w:rsid w:val="004876DC"/>
    <w:rsid w:val="004907AF"/>
    <w:rsid w:val="004946F2"/>
    <w:rsid w:val="00495FC9"/>
    <w:rsid w:val="004963D5"/>
    <w:rsid w:val="00496E48"/>
    <w:rsid w:val="0049790D"/>
    <w:rsid w:val="004A16A1"/>
    <w:rsid w:val="004A1912"/>
    <w:rsid w:val="004A29CA"/>
    <w:rsid w:val="004A429E"/>
    <w:rsid w:val="004A5775"/>
    <w:rsid w:val="004A70AC"/>
    <w:rsid w:val="004B0B34"/>
    <w:rsid w:val="004B23A1"/>
    <w:rsid w:val="004B3912"/>
    <w:rsid w:val="004B3D27"/>
    <w:rsid w:val="004B40FD"/>
    <w:rsid w:val="004B52EE"/>
    <w:rsid w:val="004B5870"/>
    <w:rsid w:val="004C0399"/>
    <w:rsid w:val="004C0751"/>
    <w:rsid w:val="004C0848"/>
    <w:rsid w:val="004C1A6E"/>
    <w:rsid w:val="004C2AAB"/>
    <w:rsid w:val="004C514E"/>
    <w:rsid w:val="004D0AA7"/>
    <w:rsid w:val="004D13ED"/>
    <w:rsid w:val="004D324D"/>
    <w:rsid w:val="004D3657"/>
    <w:rsid w:val="004D425F"/>
    <w:rsid w:val="004D4DA7"/>
    <w:rsid w:val="004D6AD4"/>
    <w:rsid w:val="004D6C9D"/>
    <w:rsid w:val="004E0FD0"/>
    <w:rsid w:val="004E492D"/>
    <w:rsid w:val="004E681E"/>
    <w:rsid w:val="004E7F3C"/>
    <w:rsid w:val="004F41B4"/>
    <w:rsid w:val="004F4B93"/>
    <w:rsid w:val="004F4D10"/>
    <w:rsid w:val="004F5503"/>
    <w:rsid w:val="004F6C33"/>
    <w:rsid w:val="00503321"/>
    <w:rsid w:val="00503C0B"/>
    <w:rsid w:val="00504129"/>
    <w:rsid w:val="00505D45"/>
    <w:rsid w:val="00507FBE"/>
    <w:rsid w:val="005109CA"/>
    <w:rsid w:val="00511AA3"/>
    <w:rsid w:val="005130C9"/>
    <w:rsid w:val="00513255"/>
    <w:rsid w:val="00514ED1"/>
    <w:rsid w:val="00515416"/>
    <w:rsid w:val="00515CB3"/>
    <w:rsid w:val="0051696E"/>
    <w:rsid w:val="00520A1A"/>
    <w:rsid w:val="00521810"/>
    <w:rsid w:val="0052281A"/>
    <w:rsid w:val="00522E7B"/>
    <w:rsid w:val="00524953"/>
    <w:rsid w:val="00524AD5"/>
    <w:rsid w:val="00524AE5"/>
    <w:rsid w:val="00527B63"/>
    <w:rsid w:val="00530734"/>
    <w:rsid w:val="005307CD"/>
    <w:rsid w:val="00530AAE"/>
    <w:rsid w:val="00533D24"/>
    <w:rsid w:val="00534D38"/>
    <w:rsid w:val="0053566F"/>
    <w:rsid w:val="005358ED"/>
    <w:rsid w:val="00536950"/>
    <w:rsid w:val="0054073C"/>
    <w:rsid w:val="005423B9"/>
    <w:rsid w:val="005431B3"/>
    <w:rsid w:val="005437D9"/>
    <w:rsid w:val="0054565D"/>
    <w:rsid w:val="0054591C"/>
    <w:rsid w:val="00545DD6"/>
    <w:rsid w:val="005468B0"/>
    <w:rsid w:val="00546A09"/>
    <w:rsid w:val="005470E2"/>
    <w:rsid w:val="005474D0"/>
    <w:rsid w:val="005503A9"/>
    <w:rsid w:val="005512AE"/>
    <w:rsid w:val="0055136F"/>
    <w:rsid w:val="00551488"/>
    <w:rsid w:val="005516BA"/>
    <w:rsid w:val="00552D67"/>
    <w:rsid w:val="0055398B"/>
    <w:rsid w:val="00554F5E"/>
    <w:rsid w:val="005556CF"/>
    <w:rsid w:val="005558F2"/>
    <w:rsid w:val="0055719F"/>
    <w:rsid w:val="00560B65"/>
    <w:rsid w:val="00562888"/>
    <w:rsid w:val="00564242"/>
    <w:rsid w:val="005642D6"/>
    <w:rsid w:val="00564DA7"/>
    <w:rsid w:val="005672C8"/>
    <w:rsid w:val="0056753F"/>
    <w:rsid w:val="005704D1"/>
    <w:rsid w:val="005706C0"/>
    <w:rsid w:val="00570701"/>
    <w:rsid w:val="00570925"/>
    <w:rsid w:val="00570CA1"/>
    <w:rsid w:val="005713C6"/>
    <w:rsid w:val="00571536"/>
    <w:rsid w:val="00571F9D"/>
    <w:rsid w:val="00573592"/>
    <w:rsid w:val="0057368C"/>
    <w:rsid w:val="00574C7F"/>
    <w:rsid w:val="00575F27"/>
    <w:rsid w:val="00577442"/>
    <w:rsid w:val="00577503"/>
    <w:rsid w:val="005776E2"/>
    <w:rsid w:val="00577A17"/>
    <w:rsid w:val="0058006B"/>
    <w:rsid w:val="0058091B"/>
    <w:rsid w:val="00582C78"/>
    <w:rsid w:val="00583752"/>
    <w:rsid w:val="00584C6A"/>
    <w:rsid w:val="00585801"/>
    <w:rsid w:val="0058595F"/>
    <w:rsid w:val="00586629"/>
    <w:rsid w:val="00587C60"/>
    <w:rsid w:val="00590765"/>
    <w:rsid w:val="0059122A"/>
    <w:rsid w:val="00591468"/>
    <w:rsid w:val="005919B7"/>
    <w:rsid w:val="005926BB"/>
    <w:rsid w:val="0059544B"/>
    <w:rsid w:val="0059554B"/>
    <w:rsid w:val="00595CDE"/>
    <w:rsid w:val="005962A9"/>
    <w:rsid w:val="00597B99"/>
    <w:rsid w:val="005A0666"/>
    <w:rsid w:val="005A197D"/>
    <w:rsid w:val="005A1A15"/>
    <w:rsid w:val="005A1EEB"/>
    <w:rsid w:val="005A2AB0"/>
    <w:rsid w:val="005A2CF7"/>
    <w:rsid w:val="005A497B"/>
    <w:rsid w:val="005A4C95"/>
    <w:rsid w:val="005A609A"/>
    <w:rsid w:val="005A76D4"/>
    <w:rsid w:val="005A8C99"/>
    <w:rsid w:val="005B0C5C"/>
    <w:rsid w:val="005B1DE0"/>
    <w:rsid w:val="005B219D"/>
    <w:rsid w:val="005B2E00"/>
    <w:rsid w:val="005B3266"/>
    <w:rsid w:val="005B374D"/>
    <w:rsid w:val="005B3C04"/>
    <w:rsid w:val="005B49EB"/>
    <w:rsid w:val="005B5121"/>
    <w:rsid w:val="005B61F0"/>
    <w:rsid w:val="005B7A76"/>
    <w:rsid w:val="005B7F9A"/>
    <w:rsid w:val="005C0507"/>
    <w:rsid w:val="005C0ED6"/>
    <w:rsid w:val="005C109E"/>
    <w:rsid w:val="005C327D"/>
    <w:rsid w:val="005C3661"/>
    <w:rsid w:val="005C3AE3"/>
    <w:rsid w:val="005C61BE"/>
    <w:rsid w:val="005C657A"/>
    <w:rsid w:val="005D02F8"/>
    <w:rsid w:val="005D095B"/>
    <w:rsid w:val="005D0FB0"/>
    <w:rsid w:val="005D1C23"/>
    <w:rsid w:val="005D2D4E"/>
    <w:rsid w:val="005D411F"/>
    <w:rsid w:val="005D5CE7"/>
    <w:rsid w:val="005D5CF0"/>
    <w:rsid w:val="005D648A"/>
    <w:rsid w:val="005D6C78"/>
    <w:rsid w:val="005D6FAF"/>
    <w:rsid w:val="005D71C6"/>
    <w:rsid w:val="005E0070"/>
    <w:rsid w:val="005E163E"/>
    <w:rsid w:val="005E1A66"/>
    <w:rsid w:val="005E1CF9"/>
    <w:rsid w:val="005E1E7A"/>
    <w:rsid w:val="005E3701"/>
    <w:rsid w:val="005E535E"/>
    <w:rsid w:val="005E6CD0"/>
    <w:rsid w:val="005E748B"/>
    <w:rsid w:val="005F0E7D"/>
    <w:rsid w:val="005F2818"/>
    <w:rsid w:val="005F4E64"/>
    <w:rsid w:val="005F5F35"/>
    <w:rsid w:val="005F72C1"/>
    <w:rsid w:val="005F767E"/>
    <w:rsid w:val="00600B7D"/>
    <w:rsid w:val="00602A17"/>
    <w:rsid w:val="00602F1D"/>
    <w:rsid w:val="0060373A"/>
    <w:rsid w:val="006048B0"/>
    <w:rsid w:val="00607245"/>
    <w:rsid w:val="006138BA"/>
    <w:rsid w:val="00613E82"/>
    <w:rsid w:val="00614989"/>
    <w:rsid w:val="00614B4E"/>
    <w:rsid w:val="00614EF7"/>
    <w:rsid w:val="006158B1"/>
    <w:rsid w:val="006164D3"/>
    <w:rsid w:val="00617353"/>
    <w:rsid w:val="0061793D"/>
    <w:rsid w:val="0062060A"/>
    <w:rsid w:val="00620FF1"/>
    <w:rsid w:val="00621BF9"/>
    <w:rsid w:val="00621E32"/>
    <w:rsid w:val="00623131"/>
    <w:rsid w:val="0062368D"/>
    <w:rsid w:val="00624DA3"/>
    <w:rsid w:val="00624F15"/>
    <w:rsid w:val="00625D07"/>
    <w:rsid w:val="00631C32"/>
    <w:rsid w:val="006323AA"/>
    <w:rsid w:val="006327AA"/>
    <w:rsid w:val="00632A4D"/>
    <w:rsid w:val="00632C94"/>
    <w:rsid w:val="00632CB6"/>
    <w:rsid w:val="00634B3A"/>
    <w:rsid w:val="006370B9"/>
    <w:rsid w:val="00637CA9"/>
    <w:rsid w:val="00640251"/>
    <w:rsid w:val="00642240"/>
    <w:rsid w:val="006423DD"/>
    <w:rsid w:val="0064246B"/>
    <w:rsid w:val="00642850"/>
    <w:rsid w:val="00642C10"/>
    <w:rsid w:val="006444FE"/>
    <w:rsid w:val="00645366"/>
    <w:rsid w:val="00646503"/>
    <w:rsid w:val="00646724"/>
    <w:rsid w:val="00647DC4"/>
    <w:rsid w:val="00647E51"/>
    <w:rsid w:val="00650285"/>
    <w:rsid w:val="00654A4D"/>
    <w:rsid w:val="00654D1B"/>
    <w:rsid w:val="006555B5"/>
    <w:rsid w:val="00655A87"/>
    <w:rsid w:val="00655E6F"/>
    <w:rsid w:val="00656942"/>
    <w:rsid w:val="00661B48"/>
    <w:rsid w:val="006633B9"/>
    <w:rsid w:val="00663A08"/>
    <w:rsid w:val="006652D0"/>
    <w:rsid w:val="006657E7"/>
    <w:rsid w:val="00665E36"/>
    <w:rsid w:val="00667BB7"/>
    <w:rsid w:val="00667F4A"/>
    <w:rsid w:val="006707D5"/>
    <w:rsid w:val="00671912"/>
    <w:rsid w:val="00673F57"/>
    <w:rsid w:val="006768B4"/>
    <w:rsid w:val="006828DF"/>
    <w:rsid w:val="00682A43"/>
    <w:rsid w:val="006839A2"/>
    <w:rsid w:val="00683C21"/>
    <w:rsid w:val="00685039"/>
    <w:rsid w:val="00685594"/>
    <w:rsid w:val="00685658"/>
    <w:rsid w:val="00686522"/>
    <w:rsid w:val="00687379"/>
    <w:rsid w:val="006874D5"/>
    <w:rsid w:val="00687BA1"/>
    <w:rsid w:val="006911F7"/>
    <w:rsid w:val="00692A5D"/>
    <w:rsid w:val="006933DC"/>
    <w:rsid w:val="00693655"/>
    <w:rsid w:val="00693789"/>
    <w:rsid w:val="0069573B"/>
    <w:rsid w:val="00695CAB"/>
    <w:rsid w:val="00696517"/>
    <w:rsid w:val="006972EB"/>
    <w:rsid w:val="00697A67"/>
    <w:rsid w:val="00697FF2"/>
    <w:rsid w:val="006A078B"/>
    <w:rsid w:val="006A0AE3"/>
    <w:rsid w:val="006A0C00"/>
    <w:rsid w:val="006A1732"/>
    <w:rsid w:val="006A3192"/>
    <w:rsid w:val="006A3BDA"/>
    <w:rsid w:val="006A45BD"/>
    <w:rsid w:val="006A476A"/>
    <w:rsid w:val="006A4AF5"/>
    <w:rsid w:val="006A67AA"/>
    <w:rsid w:val="006B0E43"/>
    <w:rsid w:val="006B37A4"/>
    <w:rsid w:val="006B4983"/>
    <w:rsid w:val="006B51D9"/>
    <w:rsid w:val="006B6207"/>
    <w:rsid w:val="006B716F"/>
    <w:rsid w:val="006B767C"/>
    <w:rsid w:val="006C25FF"/>
    <w:rsid w:val="006C349E"/>
    <w:rsid w:val="006C3EFF"/>
    <w:rsid w:val="006C43B6"/>
    <w:rsid w:val="006C4BA7"/>
    <w:rsid w:val="006C53E0"/>
    <w:rsid w:val="006C5976"/>
    <w:rsid w:val="006D0048"/>
    <w:rsid w:val="006D12E6"/>
    <w:rsid w:val="006D19E2"/>
    <w:rsid w:val="006D1B9C"/>
    <w:rsid w:val="006D34AF"/>
    <w:rsid w:val="006D44A1"/>
    <w:rsid w:val="006D5C43"/>
    <w:rsid w:val="006D6DB2"/>
    <w:rsid w:val="006D6E11"/>
    <w:rsid w:val="006D785E"/>
    <w:rsid w:val="006E0262"/>
    <w:rsid w:val="006E1699"/>
    <w:rsid w:val="006E16C4"/>
    <w:rsid w:val="006E4B7E"/>
    <w:rsid w:val="006E5710"/>
    <w:rsid w:val="006E7592"/>
    <w:rsid w:val="006E7E6D"/>
    <w:rsid w:val="006F06E3"/>
    <w:rsid w:val="006F0924"/>
    <w:rsid w:val="006F466A"/>
    <w:rsid w:val="006F4890"/>
    <w:rsid w:val="006F4EFE"/>
    <w:rsid w:val="006F5582"/>
    <w:rsid w:val="00702BB0"/>
    <w:rsid w:val="007032BC"/>
    <w:rsid w:val="0070373C"/>
    <w:rsid w:val="00703A00"/>
    <w:rsid w:val="007069F8"/>
    <w:rsid w:val="00707469"/>
    <w:rsid w:val="00712577"/>
    <w:rsid w:val="00712813"/>
    <w:rsid w:val="00712823"/>
    <w:rsid w:val="00712BE2"/>
    <w:rsid w:val="00713CD0"/>
    <w:rsid w:val="00716D8F"/>
    <w:rsid w:val="00717AFD"/>
    <w:rsid w:val="00720AA4"/>
    <w:rsid w:val="00720B48"/>
    <w:rsid w:val="0072250A"/>
    <w:rsid w:val="00722DCD"/>
    <w:rsid w:val="007246FB"/>
    <w:rsid w:val="00725676"/>
    <w:rsid w:val="00727A91"/>
    <w:rsid w:val="007325C8"/>
    <w:rsid w:val="00732F46"/>
    <w:rsid w:val="0073460D"/>
    <w:rsid w:val="007347E1"/>
    <w:rsid w:val="007369EE"/>
    <w:rsid w:val="00736BE3"/>
    <w:rsid w:val="0073761A"/>
    <w:rsid w:val="00737D64"/>
    <w:rsid w:val="007410C3"/>
    <w:rsid w:val="00741820"/>
    <w:rsid w:val="00741942"/>
    <w:rsid w:val="007450ED"/>
    <w:rsid w:val="00745932"/>
    <w:rsid w:val="00745A32"/>
    <w:rsid w:val="0074628D"/>
    <w:rsid w:val="0074669E"/>
    <w:rsid w:val="007473F1"/>
    <w:rsid w:val="00747719"/>
    <w:rsid w:val="00750084"/>
    <w:rsid w:val="007501C4"/>
    <w:rsid w:val="00750DA7"/>
    <w:rsid w:val="00752DD1"/>
    <w:rsid w:val="007532D3"/>
    <w:rsid w:val="007535A4"/>
    <w:rsid w:val="0075406D"/>
    <w:rsid w:val="007545CC"/>
    <w:rsid w:val="00754E5A"/>
    <w:rsid w:val="00755F90"/>
    <w:rsid w:val="007561C2"/>
    <w:rsid w:val="0075636B"/>
    <w:rsid w:val="00756CBC"/>
    <w:rsid w:val="00757BF2"/>
    <w:rsid w:val="00763353"/>
    <w:rsid w:val="00764365"/>
    <w:rsid w:val="00766E60"/>
    <w:rsid w:val="00770248"/>
    <w:rsid w:val="00770DFF"/>
    <w:rsid w:val="0077129F"/>
    <w:rsid w:val="00772C68"/>
    <w:rsid w:val="0077399A"/>
    <w:rsid w:val="00773A48"/>
    <w:rsid w:val="00773CAA"/>
    <w:rsid w:val="00774970"/>
    <w:rsid w:val="007751CC"/>
    <w:rsid w:val="00775446"/>
    <w:rsid w:val="00775B57"/>
    <w:rsid w:val="00776F1A"/>
    <w:rsid w:val="00777E5A"/>
    <w:rsid w:val="00780BEC"/>
    <w:rsid w:val="0078165A"/>
    <w:rsid w:val="00781E5D"/>
    <w:rsid w:val="007827DB"/>
    <w:rsid w:val="00783D28"/>
    <w:rsid w:val="007853A5"/>
    <w:rsid w:val="00787478"/>
    <w:rsid w:val="00790C77"/>
    <w:rsid w:val="007914FC"/>
    <w:rsid w:val="00791763"/>
    <w:rsid w:val="00791D20"/>
    <w:rsid w:val="0079282A"/>
    <w:rsid w:val="007929EC"/>
    <w:rsid w:val="0079300B"/>
    <w:rsid w:val="00793111"/>
    <w:rsid w:val="007939FE"/>
    <w:rsid w:val="00793C5A"/>
    <w:rsid w:val="00793EFD"/>
    <w:rsid w:val="00794A57"/>
    <w:rsid w:val="0079673A"/>
    <w:rsid w:val="007A0389"/>
    <w:rsid w:val="007A07CD"/>
    <w:rsid w:val="007A1513"/>
    <w:rsid w:val="007A1C51"/>
    <w:rsid w:val="007A2CB5"/>
    <w:rsid w:val="007A3338"/>
    <w:rsid w:val="007A6408"/>
    <w:rsid w:val="007A6515"/>
    <w:rsid w:val="007A6BF8"/>
    <w:rsid w:val="007A7D0D"/>
    <w:rsid w:val="007B084D"/>
    <w:rsid w:val="007B0FAC"/>
    <w:rsid w:val="007B229F"/>
    <w:rsid w:val="007B2586"/>
    <w:rsid w:val="007B3BD3"/>
    <w:rsid w:val="007B4C3D"/>
    <w:rsid w:val="007B4E83"/>
    <w:rsid w:val="007B5B53"/>
    <w:rsid w:val="007B739F"/>
    <w:rsid w:val="007B756A"/>
    <w:rsid w:val="007C08DD"/>
    <w:rsid w:val="007C0E72"/>
    <w:rsid w:val="007C1EE3"/>
    <w:rsid w:val="007C1FE2"/>
    <w:rsid w:val="007C3C66"/>
    <w:rsid w:val="007C4D29"/>
    <w:rsid w:val="007C7823"/>
    <w:rsid w:val="007D0421"/>
    <w:rsid w:val="007D097C"/>
    <w:rsid w:val="007D1029"/>
    <w:rsid w:val="007D1FEB"/>
    <w:rsid w:val="007D20A3"/>
    <w:rsid w:val="007D25AD"/>
    <w:rsid w:val="007D332C"/>
    <w:rsid w:val="007D35B7"/>
    <w:rsid w:val="007D3FCB"/>
    <w:rsid w:val="007D6293"/>
    <w:rsid w:val="007D7EC4"/>
    <w:rsid w:val="007E0195"/>
    <w:rsid w:val="007E1256"/>
    <w:rsid w:val="007E12D0"/>
    <w:rsid w:val="007E18BE"/>
    <w:rsid w:val="007E200E"/>
    <w:rsid w:val="007E2249"/>
    <w:rsid w:val="007E2EED"/>
    <w:rsid w:val="007E30E4"/>
    <w:rsid w:val="007E4828"/>
    <w:rsid w:val="007E4D9E"/>
    <w:rsid w:val="007F0966"/>
    <w:rsid w:val="007F1197"/>
    <w:rsid w:val="007F1AE1"/>
    <w:rsid w:val="007F1CFF"/>
    <w:rsid w:val="007F26AE"/>
    <w:rsid w:val="007F2C9B"/>
    <w:rsid w:val="007F3585"/>
    <w:rsid w:val="007F387A"/>
    <w:rsid w:val="007F39EF"/>
    <w:rsid w:val="007F4C03"/>
    <w:rsid w:val="007F4C52"/>
    <w:rsid w:val="007F6A05"/>
    <w:rsid w:val="007F71B4"/>
    <w:rsid w:val="007F770E"/>
    <w:rsid w:val="0080012A"/>
    <w:rsid w:val="00800587"/>
    <w:rsid w:val="00800721"/>
    <w:rsid w:val="00800ADB"/>
    <w:rsid w:val="00803E99"/>
    <w:rsid w:val="008043FD"/>
    <w:rsid w:val="00804411"/>
    <w:rsid w:val="00804802"/>
    <w:rsid w:val="00804914"/>
    <w:rsid w:val="00804E09"/>
    <w:rsid w:val="00804E6A"/>
    <w:rsid w:val="00804FC3"/>
    <w:rsid w:val="0080512B"/>
    <w:rsid w:val="0080685D"/>
    <w:rsid w:val="008119C1"/>
    <w:rsid w:val="008124B4"/>
    <w:rsid w:val="00813115"/>
    <w:rsid w:val="00813218"/>
    <w:rsid w:val="00814551"/>
    <w:rsid w:val="008146DC"/>
    <w:rsid w:val="0081491D"/>
    <w:rsid w:val="00814A6C"/>
    <w:rsid w:val="0081522E"/>
    <w:rsid w:val="00815391"/>
    <w:rsid w:val="008163C4"/>
    <w:rsid w:val="00816428"/>
    <w:rsid w:val="008165B8"/>
    <w:rsid w:val="00820B8F"/>
    <w:rsid w:val="008212FA"/>
    <w:rsid w:val="0082388C"/>
    <w:rsid w:val="00825021"/>
    <w:rsid w:val="008258B6"/>
    <w:rsid w:val="00832CD6"/>
    <w:rsid w:val="00832FA2"/>
    <w:rsid w:val="00833ABB"/>
    <w:rsid w:val="0083416B"/>
    <w:rsid w:val="00835AE1"/>
    <w:rsid w:val="00835BC5"/>
    <w:rsid w:val="0083668C"/>
    <w:rsid w:val="008367C1"/>
    <w:rsid w:val="00837384"/>
    <w:rsid w:val="00837F08"/>
    <w:rsid w:val="00841A10"/>
    <w:rsid w:val="00841EE2"/>
    <w:rsid w:val="0084254A"/>
    <w:rsid w:val="00842FDE"/>
    <w:rsid w:val="00844BD1"/>
    <w:rsid w:val="0084563F"/>
    <w:rsid w:val="008535CC"/>
    <w:rsid w:val="00853D3F"/>
    <w:rsid w:val="00854AB7"/>
    <w:rsid w:val="00855A60"/>
    <w:rsid w:val="00855DD0"/>
    <w:rsid w:val="008572EE"/>
    <w:rsid w:val="00857CA0"/>
    <w:rsid w:val="00863FD3"/>
    <w:rsid w:val="0086421D"/>
    <w:rsid w:val="00865734"/>
    <w:rsid w:val="008667F1"/>
    <w:rsid w:val="0086765B"/>
    <w:rsid w:val="00871EC4"/>
    <w:rsid w:val="00872001"/>
    <w:rsid w:val="00873F66"/>
    <w:rsid w:val="00876A3A"/>
    <w:rsid w:val="00877541"/>
    <w:rsid w:val="00881A69"/>
    <w:rsid w:val="00882C1B"/>
    <w:rsid w:val="00884447"/>
    <w:rsid w:val="008872AC"/>
    <w:rsid w:val="00890358"/>
    <w:rsid w:val="008903C6"/>
    <w:rsid w:val="008921D7"/>
    <w:rsid w:val="00892C3F"/>
    <w:rsid w:val="0089401A"/>
    <w:rsid w:val="008945D8"/>
    <w:rsid w:val="00894C2A"/>
    <w:rsid w:val="00894E49"/>
    <w:rsid w:val="00895AAB"/>
    <w:rsid w:val="00896D95"/>
    <w:rsid w:val="00896F30"/>
    <w:rsid w:val="00897D66"/>
    <w:rsid w:val="008A08B1"/>
    <w:rsid w:val="008A1A17"/>
    <w:rsid w:val="008A40F6"/>
    <w:rsid w:val="008A425B"/>
    <w:rsid w:val="008A4DF0"/>
    <w:rsid w:val="008A670A"/>
    <w:rsid w:val="008A6AA9"/>
    <w:rsid w:val="008A6BF3"/>
    <w:rsid w:val="008A6DF4"/>
    <w:rsid w:val="008A6EEC"/>
    <w:rsid w:val="008B13B8"/>
    <w:rsid w:val="008B186E"/>
    <w:rsid w:val="008B1E4D"/>
    <w:rsid w:val="008B29DD"/>
    <w:rsid w:val="008B2D2C"/>
    <w:rsid w:val="008B2F30"/>
    <w:rsid w:val="008B2FEB"/>
    <w:rsid w:val="008B40D6"/>
    <w:rsid w:val="008B4E8F"/>
    <w:rsid w:val="008B4F05"/>
    <w:rsid w:val="008B533C"/>
    <w:rsid w:val="008B6DB1"/>
    <w:rsid w:val="008B71E9"/>
    <w:rsid w:val="008B7868"/>
    <w:rsid w:val="008B7973"/>
    <w:rsid w:val="008C1856"/>
    <w:rsid w:val="008C1BB1"/>
    <w:rsid w:val="008C2301"/>
    <w:rsid w:val="008C255D"/>
    <w:rsid w:val="008C352D"/>
    <w:rsid w:val="008C3F8A"/>
    <w:rsid w:val="008C61EB"/>
    <w:rsid w:val="008C67D2"/>
    <w:rsid w:val="008C6A18"/>
    <w:rsid w:val="008C7D15"/>
    <w:rsid w:val="008D04D0"/>
    <w:rsid w:val="008D08CB"/>
    <w:rsid w:val="008D0AC3"/>
    <w:rsid w:val="008D244F"/>
    <w:rsid w:val="008D3E8F"/>
    <w:rsid w:val="008D487A"/>
    <w:rsid w:val="008D4B54"/>
    <w:rsid w:val="008D517A"/>
    <w:rsid w:val="008D7386"/>
    <w:rsid w:val="008D7CC0"/>
    <w:rsid w:val="008E0495"/>
    <w:rsid w:val="008E1D54"/>
    <w:rsid w:val="008E3B4A"/>
    <w:rsid w:val="008E3C00"/>
    <w:rsid w:val="008E4841"/>
    <w:rsid w:val="008E4938"/>
    <w:rsid w:val="008E5918"/>
    <w:rsid w:val="008E7D28"/>
    <w:rsid w:val="008E7D5C"/>
    <w:rsid w:val="008E7E75"/>
    <w:rsid w:val="008F0390"/>
    <w:rsid w:val="008F0F33"/>
    <w:rsid w:val="008F1995"/>
    <w:rsid w:val="008F2A49"/>
    <w:rsid w:val="008F7113"/>
    <w:rsid w:val="008F7620"/>
    <w:rsid w:val="00901AB5"/>
    <w:rsid w:val="00901B26"/>
    <w:rsid w:val="00901C85"/>
    <w:rsid w:val="00903A7E"/>
    <w:rsid w:val="00905273"/>
    <w:rsid w:val="00905751"/>
    <w:rsid w:val="00907BE9"/>
    <w:rsid w:val="0091142C"/>
    <w:rsid w:val="009114FD"/>
    <w:rsid w:val="00911917"/>
    <w:rsid w:val="00911D1F"/>
    <w:rsid w:val="009126C2"/>
    <w:rsid w:val="0091389B"/>
    <w:rsid w:val="009138E4"/>
    <w:rsid w:val="0091513D"/>
    <w:rsid w:val="00915A38"/>
    <w:rsid w:val="00916990"/>
    <w:rsid w:val="00916D85"/>
    <w:rsid w:val="00917671"/>
    <w:rsid w:val="00917D6F"/>
    <w:rsid w:val="009203AC"/>
    <w:rsid w:val="009216DF"/>
    <w:rsid w:val="00921975"/>
    <w:rsid w:val="00922D9F"/>
    <w:rsid w:val="00923C2A"/>
    <w:rsid w:val="00924754"/>
    <w:rsid w:val="00925C12"/>
    <w:rsid w:val="00926829"/>
    <w:rsid w:val="00927D4C"/>
    <w:rsid w:val="00932683"/>
    <w:rsid w:val="0093315C"/>
    <w:rsid w:val="009338C4"/>
    <w:rsid w:val="0093495D"/>
    <w:rsid w:val="0093738E"/>
    <w:rsid w:val="009427D2"/>
    <w:rsid w:val="00943204"/>
    <w:rsid w:val="00944BA4"/>
    <w:rsid w:val="0095083E"/>
    <w:rsid w:val="00950B37"/>
    <w:rsid w:val="009511E1"/>
    <w:rsid w:val="00951384"/>
    <w:rsid w:val="009549DF"/>
    <w:rsid w:val="00955816"/>
    <w:rsid w:val="00955AF6"/>
    <w:rsid w:val="00955EB4"/>
    <w:rsid w:val="00956150"/>
    <w:rsid w:val="009573DF"/>
    <w:rsid w:val="0095754C"/>
    <w:rsid w:val="0095784F"/>
    <w:rsid w:val="009639EC"/>
    <w:rsid w:val="00965378"/>
    <w:rsid w:val="009673F8"/>
    <w:rsid w:val="00971997"/>
    <w:rsid w:val="00971DA1"/>
    <w:rsid w:val="00972E38"/>
    <w:rsid w:val="00973703"/>
    <w:rsid w:val="009755A6"/>
    <w:rsid w:val="00976088"/>
    <w:rsid w:val="00976922"/>
    <w:rsid w:val="00977561"/>
    <w:rsid w:val="00977BE8"/>
    <w:rsid w:val="00977ED1"/>
    <w:rsid w:val="009801A1"/>
    <w:rsid w:val="00981976"/>
    <w:rsid w:val="00981C30"/>
    <w:rsid w:val="00981E4A"/>
    <w:rsid w:val="009825F3"/>
    <w:rsid w:val="00982B0A"/>
    <w:rsid w:val="0098373B"/>
    <w:rsid w:val="00983A03"/>
    <w:rsid w:val="009843EA"/>
    <w:rsid w:val="00984D7C"/>
    <w:rsid w:val="00986F61"/>
    <w:rsid w:val="00991933"/>
    <w:rsid w:val="009930FA"/>
    <w:rsid w:val="00993417"/>
    <w:rsid w:val="0099360D"/>
    <w:rsid w:val="00994F2C"/>
    <w:rsid w:val="00995CEB"/>
    <w:rsid w:val="009961D1"/>
    <w:rsid w:val="009965CF"/>
    <w:rsid w:val="0099738C"/>
    <w:rsid w:val="009A0A9F"/>
    <w:rsid w:val="009A2243"/>
    <w:rsid w:val="009A3535"/>
    <w:rsid w:val="009A3BF9"/>
    <w:rsid w:val="009A3C86"/>
    <w:rsid w:val="009A5053"/>
    <w:rsid w:val="009A6B1F"/>
    <w:rsid w:val="009A7BB0"/>
    <w:rsid w:val="009A7C79"/>
    <w:rsid w:val="009A7DA6"/>
    <w:rsid w:val="009B0885"/>
    <w:rsid w:val="009B19BC"/>
    <w:rsid w:val="009B1B1D"/>
    <w:rsid w:val="009B385E"/>
    <w:rsid w:val="009B3959"/>
    <w:rsid w:val="009B4582"/>
    <w:rsid w:val="009B54D5"/>
    <w:rsid w:val="009B6B9A"/>
    <w:rsid w:val="009B7599"/>
    <w:rsid w:val="009C0E93"/>
    <w:rsid w:val="009C13E1"/>
    <w:rsid w:val="009C13E9"/>
    <w:rsid w:val="009C1603"/>
    <w:rsid w:val="009C35C3"/>
    <w:rsid w:val="009C4FB0"/>
    <w:rsid w:val="009C5FF8"/>
    <w:rsid w:val="009C6147"/>
    <w:rsid w:val="009D207D"/>
    <w:rsid w:val="009D2BDD"/>
    <w:rsid w:val="009D4721"/>
    <w:rsid w:val="009D56C2"/>
    <w:rsid w:val="009D6ED3"/>
    <w:rsid w:val="009D752A"/>
    <w:rsid w:val="009E0130"/>
    <w:rsid w:val="009E08D7"/>
    <w:rsid w:val="009E0EE6"/>
    <w:rsid w:val="009E2198"/>
    <w:rsid w:val="009E40AA"/>
    <w:rsid w:val="009E5219"/>
    <w:rsid w:val="009E526C"/>
    <w:rsid w:val="009E5379"/>
    <w:rsid w:val="009E59DD"/>
    <w:rsid w:val="009E7801"/>
    <w:rsid w:val="009F52B5"/>
    <w:rsid w:val="009F5AF9"/>
    <w:rsid w:val="009F62C8"/>
    <w:rsid w:val="009F6476"/>
    <w:rsid w:val="009F651E"/>
    <w:rsid w:val="009F780F"/>
    <w:rsid w:val="00A02401"/>
    <w:rsid w:val="00A02708"/>
    <w:rsid w:val="00A03DC5"/>
    <w:rsid w:val="00A04E00"/>
    <w:rsid w:val="00A062BC"/>
    <w:rsid w:val="00A07AFE"/>
    <w:rsid w:val="00A10AD1"/>
    <w:rsid w:val="00A11098"/>
    <w:rsid w:val="00A120C2"/>
    <w:rsid w:val="00A13065"/>
    <w:rsid w:val="00A235A2"/>
    <w:rsid w:val="00A26AF7"/>
    <w:rsid w:val="00A27385"/>
    <w:rsid w:val="00A27880"/>
    <w:rsid w:val="00A3029D"/>
    <w:rsid w:val="00A30738"/>
    <w:rsid w:val="00A320AC"/>
    <w:rsid w:val="00A323E8"/>
    <w:rsid w:val="00A3545D"/>
    <w:rsid w:val="00A361FA"/>
    <w:rsid w:val="00A37D87"/>
    <w:rsid w:val="00A405F1"/>
    <w:rsid w:val="00A40CC1"/>
    <w:rsid w:val="00A43581"/>
    <w:rsid w:val="00A44977"/>
    <w:rsid w:val="00A44D81"/>
    <w:rsid w:val="00A453B3"/>
    <w:rsid w:val="00A456C1"/>
    <w:rsid w:val="00A4709A"/>
    <w:rsid w:val="00A473AB"/>
    <w:rsid w:val="00A47416"/>
    <w:rsid w:val="00A479B9"/>
    <w:rsid w:val="00A50609"/>
    <w:rsid w:val="00A50F77"/>
    <w:rsid w:val="00A50F82"/>
    <w:rsid w:val="00A51D67"/>
    <w:rsid w:val="00A53AE5"/>
    <w:rsid w:val="00A54508"/>
    <w:rsid w:val="00A5510D"/>
    <w:rsid w:val="00A553D3"/>
    <w:rsid w:val="00A55C8F"/>
    <w:rsid w:val="00A60716"/>
    <w:rsid w:val="00A60EDA"/>
    <w:rsid w:val="00A612AB"/>
    <w:rsid w:val="00A62CC5"/>
    <w:rsid w:val="00A63257"/>
    <w:rsid w:val="00A63C66"/>
    <w:rsid w:val="00A642D8"/>
    <w:rsid w:val="00A65169"/>
    <w:rsid w:val="00A6716E"/>
    <w:rsid w:val="00A67682"/>
    <w:rsid w:val="00A676DB"/>
    <w:rsid w:val="00A70B7D"/>
    <w:rsid w:val="00A71107"/>
    <w:rsid w:val="00A719D6"/>
    <w:rsid w:val="00A72064"/>
    <w:rsid w:val="00A726CD"/>
    <w:rsid w:val="00A730EC"/>
    <w:rsid w:val="00A73A85"/>
    <w:rsid w:val="00A760DA"/>
    <w:rsid w:val="00A77FAC"/>
    <w:rsid w:val="00A80C75"/>
    <w:rsid w:val="00A82B39"/>
    <w:rsid w:val="00A837D4"/>
    <w:rsid w:val="00A84354"/>
    <w:rsid w:val="00A84C43"/>
    <w:rsid w:val="00A851AC"/>
    <w:rsid w:val="00A8638F"/>
    <w:rsid w:val="00A869F8"/>
    <w:rsid w:val="00A87D47"/>
    <w:rsid w:val="00A91699"/>
    <w:rsid w:val="00A927AC"/>
    <w:rsid w:val="00A930E7"/>
    <w:rsid w:val="00A93CFA"/>
    <w:rsid w:val="00A95522"/>
    <w:rsid w:val="00A9553B"/>
    <w:rsid w:val="00A95643"/>
    <w:rsid w:val="00A9636E"/>
    <w:rsid w:val="00A96FB0"/>
    <w:rsid w:val="00AA0A71"/>
    <w:rsid w:val="00AA2054"/>
    <w:rsid w:val="00AA21EC"/>
    <w:rsid w:val="00AA30E4"/>
    <w:rsid w:val="00AA4446"/>
    <w:rsid w:val="00AA5272"/>
    <w:rsid w:val="00AA548C"/>
    <w:rsid w:val="00AA5853"/>
    <w:rsid w:val="00AA60FF"/>
    <w:rsid w:val="00AA75EF"/>
    <w:rsid w:val="00AB0F7B"/>
    <w:rsid w:val="00AB16BC"/>
    <w:rsid w:val="00AB3387"/>
    <w:rsid w:val="00AB3726"/>
    <w:rsid w:val="00AB410D"/>
    <w:rsid w:val="00AB5FEB"/>
    <w:rsid w:val="00AB693E"/>
    <w:rsid w:val="00AB6AFD"/>
    <w:rsid w:val="00AB6B86"/>
    <w:rsid w:val="00AC15B9"/>
    <w:rsid w:val="00AC24DF"/>
    <w:rsid w:val="00AC2AC2"/>
    <w:rsid w:val="00AC47D7"/>
    <w:rsid w:val="00AC4B50"/>
    <w:rsid w:val="00AC4E53"/>
    <w:rsid w:val="00AC5022"/>
    <w:rsid w:val="00AC57A1"/>
    <w:rsid w:val="00AC6131"/>
    <w:rsid w:val="00AC6B1C"/>
    <w:rsid w:val="00AC7E72"/>
    <w:rsid w:val="00AD027E"/>
    <w:rsid w:val="00AD0CE9"/>
    <w:rsid w:val="00AD23FF"/>
    <w:rsid w:val="00AD3249"/>
    <w:rsid w:val="00AD4302"/>
    <w:rsid w:val="00AD581F"/>
    <w:rsid w:val="00AD618B"/>
    <w:rsid w:val="00AD71FE"/>
    <w:rsid w:val="00AE0248"/>
    <w:rsid w:val="00AE071B"/>
    <w:rsid w:val="00AE0C82"/>
    <w:rsid w:val="00AE0CF6"/>
    <w:rsid w:val="00AE1245"/>
    <w:rsid w:val="00AE14A7"/>
    <w:rsid w:val="00AE1D01"/>
    <w:rsid w:val="00AE5683"/>
    <w:rsid w:val="00AE6445"/>
    <w:rsid w:val="00AF053F"/>
    <w:rsid w:val="00AF0E8C"/>
    <w:rsid w:val="00AF118C"/>
    <w:rsid w:val="00AF1288"/>
    <w:rsid w:val="00AF1334"/>
    <w:rsid w:val="00AF2CD0"/>
    <w:rsid w:val="00AF317D"/>
    <w:rsid w:val="00AF4683"/>
    <w:rsid w:val="00AF49E3"/>
    <w:rsid w:val="00AF5854"/>
    <w:rsid w:val="00AF7585"/>
    <w:rsid w:val="00B015F5"/>
    <w:rsid w:val="00B04275"/>
    <w:rsid w:val="00B04A95"/>
    <w:rsid w:val="00B054C2"/>
    <w:rsid w:val="00B1004B"/>
    <w:rsid w:val="00B12282"/>
    <w:rsid w:val="00B14B4A"/>
    <w:rsid w:val="00B15CF5"/>
    <w:rsid w:val="00B15FA4"/>
    <w:rsid w:val="00B15FE0"/>
    <w:rsid w:val="00B16B9F"/>
    <w:rsid w:val="00B20889"/>
    <w:rsid w:val="00B20CFC"/>
    <w:rsid w:val="00B21428"/>
    <w:rsid w:val="00B21DB7"/>
    <w:rsid w:val="00B21FBB"/>
    <w:rsid w:val="00B235CF"/>
    <w:rsid w:val="00B23E3C"/>
    <w:rsid w:val="00B240C6"/>
    <w:rsid w:val="00B25762"/>
    <w:rsid w:val="00B2630A"/>
    <w:rsid w:val="00B26F90"/>
    <w:rsid w:val="00B30CED"/>
    <w:rsid w:val="00B33FE2"/>
    <w:rsid w:val="00B34023"/>
    <w:rsid w:val="00B369D8"/>
    <w:rsid w:val="00B37815"/>
    <w:rsid w:val="00B41E56"/>
    <w:rsid w:val="00B45741"/>
    <w:rsid w:val="00B4710E"/>
    <w:rsid w:val="00B47940"/>
    <w:rsid w:val="00B507E8"/>
    <w:rsid w:val="00B5522E"/>
    <w:rsid w:val="00B553BA"/>
    <w:rsid w:val="00B55CA0"/>
    <w:rsid w:val="00B55FBC"/>
    <w:rsid w:val="00B5635B"/>
    <w:rsid w:val="00B56D33"/>
    <w:rsid w:val="00B6047E"/>
    <w:rsid w:val="00B60E80"/>
    <w:rsid w:val="00B6226D"/>
    <w:rsid w:val="00B625D7"/>
    <w:rsid w:val="00B62C5B"/>
    <w:rsid w:val="00B62C83"/>
    <w:rsid w:val="00B6441D"/>
    <w:rsid w:val="00B66D49"/>
    <w:rsid w:val="00B67408"/>
    <w:rsid w:val="00B67A30"/>
    <w:rsid w:val="00B73650"/>
    <w:rsid w:val="00B739BF"/>
    <w:rsid w:val="00B754BF"/>
    <w:rsid w:val="00B76079"/>
    <w:rsid w:val="00B76734"/>
    <w:rsid w:val="00B76F9A"/>
    <w:rsid w:val="00B77063"/>
    <w:rsid w:val="00B77E3D"/>
    <w:rsid w:val="00B8021B"/>
    <w:rsid w:val="00B81A6B"/>
    <w:rsid w:val="00B81DE4"/>
    <w:rsid w:val="00B82B7A"/>
    <w:rsid w:val="00B82DAD"/>
    <w:rsid w:val="00B82E4D"/>
    <w:rsid w:val="00B83015"/>
    <w:rsid w:val="00B836E1"/>
    <w:rsid w:val="00B8380C"/>
    <w:rsid w:val="00B8385C"/>
    <w:rsid w:val="00B83A99"/>
    <w:rsid w:val="00B84370"/>
    <w:rsid w:val="00B84AD1"/>
    <w:rsid w:val="00B8502C"/>
    <w:rsid w:val="00B87747"/>
    <w:rsid w:val="00B90D53"/>
    <w:rsid w:val="00B92806"/>
    <w:rsid w:val="00B94AF2"/>
    <w:rsid w:val="00B95688"/>
    <w:rsid w:val="00B95F78"/>
    <w:rsid w:val="00B96275"/>
    <w:rsid w:val="00B97003"/>
    <w:rsid w:val="00BA19A7"/>
    <w:rsid w:val="00BA1A71"/>
    <w:rsid w:val="00BA3616"/>
    <w:rsid w:val="00BA3DA4"/>
    <w:rsid w:val="00BA61EC"/>
    <w:rsid w:val="00BA68F1"/>
    <w:rsid w:val="00BA7747"/>
    <w:rsid w:val="00BB0263"/>
    <w:rsid w:val="00BB16C3"/>
    <w:rsid w:val="00BB1FEC"/>
    <w:rsid w:val="00BB274F"/>
    <w:rsid w:val="00BB3E17"/>
    <w:rsid w:val="00BB5DDA"/>
    <w:rsid w:val="00BB7900"/>
    <w:rsid w:val="00BC1377"/>
    <w:rsid w:val="00BC17A7"/>
    <w:rsid w:val="00BC2206"/>
    <w:rsid w:val="00BC25C4"/>
    <w:rsid w:val="00BC2F03"/>
    <w:rsid w:val="00BC665A"/>
    <w:rsid w:val="00BC7452"/>
    <w:rsid w:val="00BC7D1E"/>
    <w:rsid w:val="00BD07E6"/>
    <w:rsid w:val="00BD0935"/>
    <w:rsid w:val="00BD1532"/>
    <w:rsid w:val="00BD43E6"/>
    <w:rsid w:val="00BD493F"/>
    <w:rsid w:val="00BD5BB9"/>
    <w:rsid w:val="00BD6A42"/>
    <w:rsid w:val="00BD78E0"/>
    <w:rsid w:val="00BE0358"/>
    <w:rsid w:val="00BE098B"/>
    <w:rsid w:val="00BE24C6"/>
    <w:rsid w:val="00BE251B"/>
    <w:rsid w:val="00BE50CA"/>
    <w:rsid w:val="00BE52AB"/>
    <w:rsid w:val="00BE574F"/>
    <w:rsid w:val="00BE64D7"/>
    <w:rsid w:val="00BE6A31"/>
    <w:rsid w:val="00BE7283"/>
    <w:rsid w:val="00BE73DA"/>
    <w:rsid w:val="00BF0E95"/>
    <w:rsid w:val="00BF3356"/>
    <w:rsid w:val="00BF357D"/>
    <w:rsid w:val="00BF3BCD"/>
    <w:rsid w:val="00BF4C08"/>
    <w:rsid w:val="00BF4E5B"/>
    <w:rsid w:val="00BF5921"/>
    <w:rsid w:val="00C024D4"/>
    <w:rsid w:val="00C02586"/>
    <w:rsid w:val="00C02640"/>
    <w:rsid w:val="00C047A9"/>
    <w:rsid w:val="00C05AF2"/>
    <w:rsid w:val="00C06193"/>
    <w:rsid w:val="00C061BE"/>
    <w:rsid w:val="00C065AE"/>
    <w:rsid w:val="00C1009F"/>
    <w:rsid w:val="00C10164"/>
    <w:rsid w:val="00C10A86"/>
    <w:rsid w:val="00C1248B"/>
    <w:rsid w:val="00C17088"/>
    <w:rsid w:val="00C17F3C"/>
    <w:rsid w:val="00C20B5D"/>
    <w:rsid w:val="00C21A7C"/>
    <w:rsid w:val="00C21CF5"/>
    <w:rsid w:val="00C21EC7"/>
    <w:rsid w:val="00C22256"/>
    <w:rsid w:val="00C233C7"/>
    <w:rsid w:val="00C23EDE"/>
    <w:rsid w:val="00C251C8"/>
    <w:rsid w:val="00C2619D"/>
    <w:rsid w:val="00C2643D"/>
    <w:rsid w:val="00C302D8"/>
    <w:rsid w:val="00C30A74"/>
    <w:rsid w:val="00C33923"/>
    <w:rsid w:val="00C356B4"/>
    <w:rsid w:val="00C3675F"/>
    <w:rsid w:val="00C36F02"/>
    <w:rsid w:val="00C36F66"/>
    <w:rsid w:val="00C40B93"/>
    <w:rsid w:val="00C42A95"/>
    <w:rsid w:val="00C46E13"/>
    <w:rsid w:val="00C47124"/>
    <w:rsid w:val="00C501F5"/>
    <w:rsid w:val="00C51AC2"/>
    <w:rsid w:val="00C5274D"/>
    <w:rsid w:val="00C52D4B"/>
    <w:rsid w:val="00C545D6"/>
    <w:rsid w:val="00C577FA"/>
    <w:rsid w:val="00C6356B"/>
    <w:rsid w:val="00C63AFE"/>
    <w:rsid w:val="00C640EF"/>
    <w:rsid w:val="00C64481"/>
    <w:rsid w:val="00C64492"/>
    <w:rsid w:val="00C64AF7"/>
    <w:rsid w:val="00C65494"/>
    <w:rsid w:val="00C675C8"/>
    <w:rsid w:val="00C67EE2"/>
    <w:rsid w:val="00C7008F"/>
    <w:rsid w:val="00C7036C"/>
    <w:rsid w:val="00C705A0"/>
    <w:rsid w:val="00C70932"/>
    <w:rsid w:val="00C73638"/>
    <w:rsid w:val="00C7412C"/>
    <w:rsid w:val="00C751F1"/>
    <w:rsid w:val="00C7678C"/>
    <w:rsid w:val="00C769DF"/>
    <w:rsid w:val="00C76B97"/>
    <w:rsid w:val="00C83231"/>
    <w:rsid w:val="00C8384D"/>
    <w:rsid w:val="00C86CEB"/>
    <w:rsid w:val="00C9165C"/>
    <w:rsid w:val="00C91751"/>
    <w:rsid w:val="00C919AF"/>
    <w:rsid w:val="00C92733"/>
    <w:rsid w:val="00C92783"/>
    <w:rsid w:val="00C95496"/>
    <w:rsid w:val="00C96246"/>
    <w:rsid w:val="00C96369"/>
    <w:rsid w:val="00C970D6"/>
    <w:rsid w:val="00C97438"/>
    <w:rsid w:val="00CA16C1"/>
    <w:rsid w:val="00CA2B9C"/>
    <w:rsid w:val="00CA2C27"/>
    <w:rsid w:val="00CA3795"/>
    <w:rsid w:val="00CA432B"/>
    <w:rsid w:val="00CA4941"/>
    <w:rsid w:val="00CA51E4"/>
    <w:rsid w:val="00CA7116"/>
    <w:rsid w:val="00CA74FF"/>
    <w:rsid w:val="00CB12DC"/>
    <w:rsid w:val="00CB1C18"/>
    <w:rsid w:val="00CB38FF"/>
    <w:rsid w:val="00CB49B1"/>
    <w:rsid w:val="00CB69CA"/>
    <w:rsid w:val="00CB7FAB"/>
    <w:rsid w:val="00CB7FB2"/>
    <w:rsid w:val="00CC25EC"/>
    <w:rsid w:val="00CC2613"/>
    <w:rsid w:val="00CC2718"/>
    <w:rsid w:val="00CC2784"/>
    <w:rsid w:val="00CC4A09"/>
    <w:rsid w:val="00CD028B"/>
    <w:rsid w:val="00CD03A6"/>
    <w:rsid w:val="00CD07A6"/>
    <w:rsid w:val="00CD0B07"/>
    <w:rsid w:val="00CD0E51"/>
    <w:rsid w:val="00CD1DB1"/>
    <w:rsid w:val="00CD33E8"/>
    <w:rsid w:val="00CD4494"/>
    <w:rsid w:val="00CD563C"/>
    <w:rsid w:val="00CD57BA"/>
    <w:rsid w:val="00CD7651"/>
    <w:rsid w:val="00CE1B70"/>
    <w:rsid w:val="00CE1BD1"/>
    <w:rsid w:val="00CE2094"/>
    <w:rsid w:val="00CE2827"/>
    <w:rsid w:val="00CE37DD"/>
    <w:rsid w:val="00CE3987"/>
    <w:rsid w:val="00CE40EE"/>
    <w:rsid w:val="00CE4DB3"/>
    <w:rsid w:val="00CE668A"/>
    <w:rsid w:val="00CE709D"/>
    <w:rsid w:val="00CE77F7"/>
    <w:rsid w:val="00CF0DD5"/>
    <w:rsid w:val="00CF11A0"/>
    <w:rsid w:val="00CF1A8A"/>
    <w:rsid w:val="00CF35EF"/>
    <w:rsid w:val="00CF3DAA"/>
    <w:rsid w:val="00CF44AC"/>
    <w:rsid w:val="00CF4998"/>
    <w:rsid w:val="00CF4A56"/>
    <w:rsid w:val="00CF51CE"/>
    <w:rsid w:val="00CF53E7"/>
    <w:rsid w:val="00CF600E"/>
    <w:rsid w:val="00CF6998"/>
    <w:rsid w:val="00CF6A22"/>
    <w:rsid w:val="00CF73AC"/>
    <w:rsid w:val="00D00848"/>
    <w:rsid w:val="00D00A44"/>
    <w:rsid w:val="00D01637"/>
    <w:rsid w:val="00D0296C"/>
    <w:rsid w:val="00D02A41"/>
    <w:rsid w:val="00D04BBC"/>
    <w:rsid w:val="00D0705B"/>
    <w:rsid w:val="00D11F78"/>
    <w:rsid w:val="00D126E8"/>
    <w:rsid w:val="00D1669F"/>
    <w:rsid w:val="00D17AFC"/>
    <w:rsid w:val="00D20ACA"/>
    <w:rsid w:val="00D20C91"/>
    <w:rsid w:val="00D22F7D"/>
    <w:rsid w:val="00D25820"/>
    <w:rsid w:val="00D2593B"/>
    <w:rsid w:val="00D27757"/>
    <w:rsid w:val="00D31365"/>
    <w:rsid w:val="00D314F2"/>
    <w:rsid w:val="00D31B30"/>
    <w:rsid w:val="00D33C5E"/>
    <w:rsid w:val="00D33E52"/>
    <w:rsid w:val="00D37946"/>
    <w:rsid w:val="00D40C05"/>
    <w:rsid w:val="00D40D59"/>
    <w:rsid w:val="00D41A9C"/>
    <w:rsid w:val="00D4451A"/>
    <w:rsid w:val="00D445A5"/>
    <w:rsid w:val="00D448FD"/>
    <w:rsid w:val="00D44C08"/>
    <w:rsid w:val="00D44C8D"/>
    <w:rsid w:val="00D44D8F"/>
    <w:rsid w:val="00D45550"/>
    <w:rsid w:val="00D476B3"/>
    <w:rsid w:val="00D50D82"/>
    <w:rsid w:val="00D512A8"/>
    <w:rsid w:val="00D52D49"/>
    <w:rsid w:val="00D5499C"/>
    <w:rsid w:val="00D55A26"/>
    <w:rsid w:val="00D56D06"/>
    <w:rsid w:val="00D577CC"/>
    <w:rsid w:val="00D57C03"/>
    <w:rsid w:val="00D600CD"/>
    <w:rsid w:val="00D601FC"/>
    <w:rsid w:val="00D610D5"/>
    <w:rsid w:val="00D6259B"/>
    <w:rsid w:val="00D62620"/>
    <w:rsid w:val="00D63800"/>
    <w:rsid w:val="00D65625"/>
    <w:rsid w:val="00D6678F"/>
    <w:rsid w:val="00D66C0B"/>
    <w:rsid w:val="00D67166"/>
    <w:rsid w:val="00D67573"/>
    <w:rsid w:val="00D67970"/>
    <w:rsid w:val="00D67DD4"/>
    <w:rsid w:val="00D7079B"/>
    <w:rsid w:val="00D70A5F"/>
    <w:rsid w:val="00D718DF"/>
    <w:rsid w:val="00D72FB5"/>
    <w:rsid w:val="00D736DD"/>
    <w:rsid w:val="00D73B20"/>
    <w:rsid w:val="00D740FD"/>
    <w:rsid w:val="00D7643A"/>
    <w:rsid w:val="00D769D9"/>
    <w:rsid w:val="00D816D0"/>
    <w:rsid w:val="00D82B68"/>
    <w:rsid w:val="00D8381C"/>
    <w:rsid w:val="00D83CB4"/>
    <w:rsid w:val="00D84CED"/>
    <w:rsid w:val="00D85434"/>
    <w:rsid w:val="00D85B47"/>
    <w:rsid w:val="00D86541"/>
    <w:rsid w:val="00D87460"/>
    <w:rsid w:val="00D874CC"/>
    <w:rsid w:val="00D87E7F"/>
    <w:rsid w:val="00D9023D"/>
    <w:rsid w:val="00D906A6"/>
    <w:rsid w:val="00D90A4E"/>
    <w:rsid w:val="00D90D08"/>
    <w:rsid w:val="00D91061"/>
    <w:rsid w:val="00D91423"/>
    <w:rsid w:val="00D91566"/>
    <w:rsid w:val="00D92225"/>
    <w:rsid w:val="00D924C6"/>
    <w:rsid w:val="00D9304C"/>
    <w:rsid w:val="00D9319B"/>
    <w:rsid w:val="00D947F4"/>
    <w:rsid w:val="00D95259"/>
    <w:rsid w:val="00D95521"/>
    <w:rsid w:val="00D95933"/>
    <w:rsid w:val="00DA134A"/>
    <w:rsid w:val="00DA4263"/>
    <w:rsid w:val="00DA4646"/>
    <w:rsid w:val="00DA5783"/>
    <w:rsid w:val="00DA596F"/>
    <w:rsid w:val="00DA5C18"/>
    <w:rsid w:val="00DA631E"/>
    <w:rsid w:val="00DA6E6B"/>
    <w:rsid w:val="00DA6EAF"/>
    <w:rsid w:val="00DA7DC9"/>
    <w:rsid w:val="00DB002C"/>
    <w:rsid w:val="00DB00D3"/>
    <w:rsid w:val="00DB1AAE"/>
    <w:rsid w:val="00DB4937"/>
    <w:rsid w:val="00DB50F9"/>
    <w:rsid w:val="00DB5279"/>
    <w:rsid w:val="00DB628A"/>
    <w:rsid w:val="00DB668B"/>
    <w:rsid w:val="00DB7AA6"/>
    <w:rsid w:val="00DB7D11"/>
    <w:rsid w:val="00DB7E18"/>
    <w:rsid w:val="00DB7F7E"/>
    <w:rsid w:val="00DC10FA"/>
    <w:rsid w:val="00DC1189"/>
    <w:rsid w:val="00DC125E"/>
    <w:rsid w:val="00DC384F"/>
    <w:rsid w:val="00DC45CA"/>
    <w:rsid w:val="00DC4A91"/>
    <w:rsid w:val="00DC4CB9"/>
    <w:rsid w:val="00DC595F"/>
    <w:rsid w:val="00DC62A4"/>
    <w:rsid w:val="00DC6EDA"/>
    <w:rsid w:val="00DC7BEB"/>
    <w:rsid w:val="00DD0B29"/>
    <w:rsid w:val="00DD32D1"/>
    <w:rsid w:val="00DD4AC9"/>
    <w:rsid w:val="00DD7019"/>
    <w:rsid w:val="00DD7366"/>
    <w:rsid w:val="00DE07F5"/>
    <w:rsid w:val="00DE2755"/>
    <w:rsid w:val="00DE3118"/>
    <w:rsid w:val="00DE3495"/>
    <w:rsid w:val="00DE48F9"/>
    <w:rsid w:val="00DE60FB"/>
    <w:rsid w:val="00DE6646"/>
    <w:rsid w:val="00DE7897"/>
    <w:rsid w:val="00DF246D"/>
    <w:rsid w:val="00DF4245"/>
    <w:rsid w:val="00E0064C"/>
    <w:rsid w:val="00E01EDF"/>
    <w:rsid w:val="00E0267A"/>
    <w:rsid w:val="00E03EAE"/>
    <w:rsid w:val="00E05060"/>
    <w:rsid w:val="00E0572C"/>
    <w:rsid w:val="00E05D4F"/>
    <w:rsid w:val="00E05FC1"/>
    <w:rsid w:val="00E07441"/>
    <w:rsid w:val="00E074E2"/>
    <w:rsid w:val="00E0778E"/>
    <w:rsid w:val="00E11306"/>
    <w:rsid w:val="00E113DB"/>
    <w:rsid w:val="00E11C80"/>
    <w:rsid w:val="00E11FCF"/>
    <w:rsid w:val="00E1313F"/>
    <w:rsid w:val="00E16896"/>
    <w:rsid w:val="00E1730A"/>
    <w:rsid w:val="00E202C4"/>
    <w:rsid w:val="00E20A54"/>
    <w:rsid w:val="00E21527"/>
    <w:rsid w:val="00E2285D"/>
    <w:rsid w:val="00E23575"/>
    <w:rsid w:val="00E24493"/>
    <w:rsid w:val="00E31B81"/>
    <w:rsid w:val="00E3313F"/>
    <w:rsid w:val="00E33C76"/>
    <w:rsid w:val="00E35544"/>
    <w:rsid w:val="00E358DF"/>
    <w:rsid w:val="00E3726F"/>
    <w:rsid w:val="00E4017B"/>
    <w:rsid w:val="00E40290"/>
    <w:rsid w:val="00E41BBF"/>
    <w:rsid w:val="00E4200A"/>
    <w:rsid w:val="00E442A0"/>
    <w:rsid w:val="00E44504"/>
    <w:rsid w:val="00E4487F"/>
    <w:rsid w:val="00E45254"/>
    <w:rsid w:val="00E50E30"/>
    <w:rsid w:val="00E515AA"/>
    <w:rsid w:val="00E518DF"/>
    <w:rsid w:val="00E51AD7"/>
    <w:rsid w:val="00E51EDF"/>
    <w:rsid w:val="00E5230B"/>
    <w:rsid w:val="00E5390E"/>
    <w:rsid w:val="00E5431F"/>
    <w:rsid w:val="00E558F4"/>
    <w:rsid w:val="00E55E76"/>
    <w:rsid w:val="00E57119"/>
    <w:rsid w:val="00E60246"/>
    <w:rsid w:val="00E60C1F"/>
    <w:rsid w:val="00E61FD4"/>
    <w:rsid w:val="00E6220B"/>
    <w:rsid w:val="00E632B8"/>
    <w:rsid w:val="00E64312"/>
    <w:rsid w:val="00E643AD"/>
    <w:rsid w:val="00E64F19"/>
    <w:rsid w:val="00E65958"/>
    <w:rsid w:val="00E65E16"/>
    <w:rsid w:val="00E6676B"/>
    <w:rsid w:val="00E66B44"/>
    <w:rsid w:val="00E67530"/>
    <w:rsid w:val="00E67F34"/>
    <w:rsid w:val="00E74038"/>
    <w:rsid w:val="00E740C6"/>
    <w:rsid w:val="00E75F19"/>
    <w:rsid w:val="00E77263"/>
    <w:rsid w:val="00E803F4"/>
    <w:rsid w:val="00E80938"/>
    <w:rsid w:val="00E82941"/>
    <w:rsid w:val="00E83158"/>
    <w:rsid w:val="00E835A6"/>
    <w:rsid w:val="00E8383F"/>
    <w:rsid w:val="00E843C8"/>
    <w:rsid w:val="00E84D65"/>
    <w:rsid w:val="00E8520E"/>
    <w:rsid w:val="00E877C8"/>
    <w:rsid w:val="00E87CF9"/>
    <w:rsid w:val="00E90335"/>
    <w:rsid w:val="00E91B3D"/>
    <w:rsid w:val="00E92F73"/>
    <w:rsid w:val="00E935BA"/>
    <w:rsid w:val="00E93C55"/>
    <w:rsid w:val="00E93D96"/>
    <w:rsid w:val="00E950D8"/>
    <w:rsid w:val="00E950FC"/>
    <w:rsid w:val="00E951AB"/>
    <w:rsid w:val="00E952D3"/>
    <w:rsid w:val="00EA022B"/>
    <w:rsid w:val="00EA15E4"/>
    <w:rsid w:val="00EA16D6"/>
    <w:rsid w:val="00EA295B"/>
    <w:rsid w:val="00EA3127"/>
    <w:rsid w:val="00EA3C84"/>
    <w:rsid w:val="00EA3FD8"/>
    <w:rsid w:val="00EA5AEE"/>
    <w:rsid w:val="00EA5E4F"/>
    <w:rsid w:val="00EA6C49"/>
    <w:rsid w:val="00EA7969"/>
    <w:rsid w:val="00EB0894"/>
    <w:rsid w:val="00EB144D"/>
    <w:rsid w:val="00EB1919"/>
    <w:rsid w:val="00EB3585"/>
    <w:rsid w:val="00EB42AD"/>
    <w:rsid w:val="00EB52A0"/>
    <w:rsid w:val="00EB6345"/>
    <w:rsid w:val="00EB6621"/>
    <w:rsid w:val="00EC0A89"/>
    <w:rsid w:val="00EC16FD"/>
    <w:rsid w:val="00EC2F93"/>
    <w:rsid w:val="00EC39D1"/>
    <w:rsid w:val="00EC3ADE"/>
    <w:rsid w:val="00EC3B96"/>
    <w:rsid w:val="00EC5C89"/>
    <w:rsid w:val="00EC6CDB"/>
    <w:rsid w:val="00EC771E"/>
    <w:rsid w:val="00EC7D13"/>
    <w:rsid w:val="00ED08E1"/>
    <w:rsid w:val="00ED0F9B"/>
    <w:rsid w:val="00ED1074"/>
    <w:rsid w:val="00ED2025"/>
    <w:rsid w:val="00ED4246"/>
    <w:rsid w:val="00ED53B8"/>
    <w:rsid w:val="00ED571A"/>
    <w:rsid w:val="00ED640C"/>
    <w:rsid w:val="00ED67FA"/>
    <w:rsid w:val="00EE02EC"/>
    <w:rsid w:val="00EE0D33"/>
    <w:rsid w:val="00EE0E42"/>
    <w:rsid w:val="00EE1515"/>
    <w:rsid w:val="00EE2CF9"/>
    <w:rsid w:val="00EE59C9"/>
    <w:rsid w:val="00EE5FE6"/>
    <w:rsid w:val="00EE630A"/>
    <w:rsid w:val="00EE690D"/>
    <w:rsid w:val="00EE6992"/>
    <w:rsid w:val="00EE6DD0"/>
    <w:rsid w:val="00EE7419"/>
    <w:rsid w:val="00EE7753"/>
    <w:rsid w:val="00EF31D9"/>
    <w:rsid w:val="00EF4E4C"/>
    <w:rsid w:val="00EF5AAC"/>
    <w:rsid w:val="00F01DC0"/>
    <w:rsid w:val="00F0214E"/>
    <w:rsid w:val="00F03BF2"/>
    <w:rsid w:val="00F04585"/>
    <w:rsid w:val="00F0485F"/>
    <w:rsid w:val="00F04B2E"/>
    <w:rsid w:val="00F04BAF"/>
    <w:rsid w:val="00F0561D"/>
    <w:rsid w:val="00F05D95"/>
    <w:rsid w:val="00F0643B"/>
    <w:rsid w:val="00F0737C"/>
    <w:rsid w:val="00F07566"/>
    <w:rsid w:val="00F07A30"/>
    <w:rsid w:val="00F07C30"/>
    <w:rsid w:val="00F110A1"/>
    <w:rsid w:val="00F11688"/>
    <w:rsid w:val="00F12B1A"/>
    <w:rsid w:val="00F13443"/>
    <w:rsid w:val="00F15060"/>
    <w:rsid w:val="00F206E6"/>
    <w:rsid w:val="00F20ABC"/>
    <w:rsid w:val="00F2236A"/>
    <w:rsid w:val="00F22C0E"/>
    <w:rsid w:val="00F25365"/>
    <w:rsid w:val="00F26C4A"/>
    <w:rsid w:val="00F27A9C"/>
    <w:rsid w:val="00F27D02"/>
    <w:rsid w:val="00F30026"/>
    <w:rsid w:val="00F308F2"/>
    <w:rsid w:val="00F30E6C"/>
    <w:rsid w:val="00F31550"/>
    <w:rsid w:val="00F34ED6"/>
    <w:rsid w:val="00F3552B"/>
    <w:rsid w:val="00F37A78"/>
    <w:rsid w:val="00F37D2E"/>
    <w:rsid w:val="00F401BD"/>
    <w:rsid w:val="00F40C56"/>
    <w:rsid w:val="00F435AD"/>
    <w:rsid w:val="00F4398A"/>
    <w:rsid w:val="00F46129"/>
    <w:rsid w:val="00F46A15"/>
    <w:rsid w:val="00F46AC1"/>
    <w:rsid w:val="00F46E02"/>
    <w:rsid w:val="00F477D7"/>
    <w:rsid w:val="00F47C56"/>
    <w:rsid w:val="00F513D4"/>
    <w:rsid w:val="00F52B4D"/>
    <w:rsid w:val="00F54A1C"/>
    <w:rsid w:val="00F54C48"/>
    <w:rsid w:val="00F54F0A"/>
    <w:rsid w:val="00F552C0"/>
    <w:rsid w:val="00F559ED"/>
    <w:rsid w:val="00F572CB"/>
    <w:rsid w:val="00F607F3"/>
    <w:rsid w:val="00F613F4"/>
    <w:rsid w:val="00F6598E"/>
    <w:rsid w:val="00F661D3"/>
    <w:rsid w:val="00F66931"/>
    <w:rsid w:val="00F67125"/>
    <w:rsid w:val="00F718C9"/>
    <w:rsid w:val="00F71A56"/>
    <w:rsid w:val="00F7232A"/>
    <w:rsid w:val="00F7389A"/>
    <w:rsid w:val="00F73912"/>
    <w:rsid w:val="00F73ED2"/>
    <w:rsid w:val="00F74626"/>
    <w:rsid w:val="00F74D7F"/>
    <w:rsid w:val="00F74ECC"/>
    <w:rsid w:val="00F7638C"/>
    <w:rsid w:val="00F77B1E"/>
    <w:rsid w:val="00F80447"/>
    <w:rsid w:val="00F808E3"/>
    <w:rsid w:val="00F80C83"/>
    <w:rsid w:val="00F824A2"/>
    <w:rsid w:val="00F8344B"/>
    <w:rsid w:val="00F84764"/>
    <w:rsid w:val="00F8637E"/>
    <w:rsid w:val="00F86DFB"/>
    <w:rsid w:val="00F8711E"/>
    <w:rsid w:val="00F87D13"/>
    <w:rsid w:val="00F87F3A"/>
    <w:rsid w:val="00F90581"/>
    <w:rsid w:val="00F93B77"/>
    <w:rsid w:val="00F94003"/>
    <w:rsid w:val="00F9413F"/>
    <w:rsid w:val="00F94904"/>
    <w:rsid w:val="00F95065"/>
    <w:rsid w:val="00F95E5B"/>
    <w:rsid w:val="00F96B39"/>
    <w:rsid w:val="00F96C47"/>
    <w:rsid w:val="00F971BA"/>
    <w:rsid w:val="00F97517"/>
    <w:rsid w:val="00F97C6C"/>
    <w:rsid w:val="00FA1998"/>
    <w:rsid w:val="00FA3E94"/>
    <w:rsid w:val="00FA44E2"/>
    <w:rsid w:val="00FA46D5"/>
    <w:rsid w:val="00FA47CF"/>
    <w:rsid w:val="00FA495E"/>
    <w:rsid w:val="00FA651A"/>
    <w:rsid w:val="00FA676D"/>
    <w:rsid w:val="00FA6AD0"/>
    <w:rsid w:val="00FA7C61"/>
    <w:rsid w:val="00FA7CEC"/>
    <w:rsid w:val="00FB0C61"/>
    <w:rsid w:val="00FB1877"/>
    <w:rsid w:val="00FB1CC1"/>
    <w:rsid w:val="00FB2DC7"/>
    <w:rsid w:val="00FB373D"/>
    <w:rsid w:val="00FB3FE9"/>
    <w:rsid w:val="00FB536D"/>
    <w:rsid w:val="00FB5568"/>
    <w:rsid w:val="00FB6257"/>
    <w:rsid w:val="00FB6DA7"/>
    <w:rsid w:val="00FB70F3"/>
    <w:rsid w:val="00FB74DA"/>
    <w:rsid w:val="00FC0C74"/>
    <w:rsid w:val="00FC0C85"/>
    <w:rsid w:val="00FC0F61"/>
    <w:rsid w:val="00FC145B"/>
    <w:rsid w:val="00FC1683"/>
    <w:rsid w:val="00FC1D63"/>
    <w:rsid w:val="00FC412D"/>
    <w:rsid w:val="00FC4433"/>
    <w:rsid w:val="00FC4A85"/>
    <w:rsid w:val="00FC6E43"/>
    <w:rsid w:val="00FD0A82"/>
    <w:rsid w:val="00FD180B"/>
    <w:rsid w:val="00FD2F7C"/>
    <w:rsid w:val="00FD4010"/>
    <w:rsid w:val="00FD5FFA"/>
    <w:rsid w:val="00FD7693"/>
    <w:rsid w:val="00FE03ED"/>
    <w:rsid w:val="00FE12D8"/>
    <w:rsid w:val="00FE1E12"/>
    <w:rsid w:val="00FE2506"/>
    <w:rsid w:val="00FE3AD7"/>
    <w:rsid w:val="00FE3BC1"/>
    <w:rsid w:val="00FE4313"/>
    <w:rsid w:val="00FE5012"/>
    <w:rsid w:val="00FE6C0A"/>
    <w:rsid w:val="00FE6C7B"/>
    <w:rsid w:val="00FF0F79"/>
    <w:rsid w:val="00FF1D82"/>
    <w:rsid w:val="00FF2CDB"/>
    <w:rsid w:val="00FF3882"/>
    <w:rsid w:val="00FF492D"/>
    <w:rsid w:val="00FF4C16"/>
    <w:rsid w:val="00FF5246"/>
    <w:rsid w:val="00FF6311"/>
    <w:rsid w:val="00FF7841"/>
    <w:rsid w:val="011190C5"/>
    <w:rsid w:val="02AB858E"/>
    <w:rsid w:val="038FA420"/>
    <w:rsid w:val="039EB00E"/>
    <w:rsid w:val="03CE219B"/>
    <w:rsid w:val="03F6A182"/>
    <w:rsid w:val="0403D5F1"/>
    <w:rsid w:val="04543C77"/>
    <w:rsid w:val="05398450"/>
    <w:rsid w:val="05AE71F3"/>
    <w:rsid w:val="062F22DB"/>
    <w:rsid w:val="06AE8978"/>
    <w:rsid w:val="06EF9590"/>
    <w:rsid w:val="075136DD"/>
    <w:rsid w:val="07959237"/>
    <w:rsid w:val="07ECEC72"/>
    <w:rsid w:val="07F363D4"/>
    <w:rsid w:val="07F3B5A0"/>
    <w:rsid w:val="07F8BB07"/>
    <w:rsid w:val="08899951"/>
    <w:rsid w:val="08DDF060"/>
    <w:rsid w:val="096022A8"/>
    <w:rsid w:val="0981FA63"/>
    <w:rsid w:val="09902275"/>
    <w:rsid w:val="09C83155"/>
    <w:rsid w:val="0A5695FB"/>
    <w:rsid w:val="0A70CFD7"/>
    <w:rsid w:val="0ADCEC8A"/>
    <w:rsid w:val="0AE70424"/>
    <w:rsid w:val="0AED7E93"/>
    <w:rsid w:val="0B6B6CF4"/>
    <w:rsid w:val="0B759F8E"/>
    <w:rsid w:val="0BA98FF3"/>
    <w:rsid w:val="0BACCD76"/>
    <w:rsid w:val="0BFDDED5"/>
    <w:rsid w:val="0C1B1C54"/>
    <w:rsid w:val="0C206A69"/>
    <w:rsid w:val="0C508F5E"/>
    <w:rsid w:val="0CAE7141"/>
    <w:rsid w:val="0D6153F0"/>
    <w:rsid w:val="0D733D79"/>
    <w:rsid w:val="0D73704A"/>
    <w:rsid w:val="0DD258E4"/>
    <w:rsid w:val="0E2DCF6A"/>
    <w:rsid w:val="0E5A1BB3"/>
    <w:rsid w:val="0F525B07"/>
    <w:rsid w:val="0F74E6E0"/>
    <w:rsid w:val="0F7F11A8"/>
    <w:rsid w:val="0FA694E1"/>
    <w:rsid w:val="0FF9FA46"/>
    <w:rsid w:val="103E3E62"/>
    <w:rsid w:val="1042CF8E"/>
    <w:rsid w:val="1043FE7E"/>
    <w:rsid w:val="1049AEA4"/>
    <w:rsid w:val="106FFFE1"/>
    <w:rsid w:val="10A37AF4"/>
    <w:rsid w:val="10A58166"/>
    <w:rsid w:val="1119CE51"/>
    <w:rsid w:val="1125A626"/>
    <w:rsid w:val="112CFAF6"/>
    <w:rsid w:val="11B306AC"/>
    <w:rsid w:val="11D3A7E1"/>
    <w:rsid w:val="1204158D"/>
    <w:rsid w:val="1230CEE8"/>
    <w:rsid w:val="12EE7177"/>
    <w:rsid w:val="1339969B"/>
    <w:rsid w:val="13528B7C"/>
    <w:rsid w:val="1523F697"/>
    <w:rsid w:val="152F339C"/>
    <w:rsid w:val="1568E6A2"/>
    <w:rsid w:val="16A7EB44"/>
    <w:rsid w:val="174257E4"/>
    <w:rsid w:val="17C9833B"/>
    <w:rsid w:val="18B558A8"/>
    <w:rsid w:val="18DCCDB7"/>
    <w:rsid w:val="18F7ECC8"/>
    <w:rsid w:val="19582227"/>
    <w:rsid w:val="195A0A6A"/>
    <w:rsid w:val="19B84809"/>
    <w:rsid w:val="19C146DE"/>
    <w:rsid w:val="1A7AAA23"/>
    <w:rsid w:val="1A8CD1AC"/>
    <w:rsid w:val="1B0F04D5"/>
    <w:rsid w:val="1B1EFB8C"/>
    <w:rsid w:val="1B3EB7A5"/>
    <w:rsid w:val="1BA219C1"/>
    <w:rsid w:val="1BA8B01E"/>
    <w:rsid w:val="1C070140"/>
    <w:rsid w:val="1C803594"/>
    <w:rsid w:val="1CA009AA"/>
    <w:rsid w:val="1CD50CCC"/>
    <w:rsid w:val="1D09F0A1"/>
    <w:rsid w:val="1D0FECAE"/>
    <w:rsid w:val="1D17C93C"/>
    <w:rsid w:val="1D1BBF70"/>
    <w:rsid w:val="1D39A517"/>
    <w:rsid w:val="1D45349D"/>
    <w:rsid w:val="1D938F08"/>
    <w:rsid w:val="1DCE140B"/>
    <w:rsid w:val="1DFB2E76"/>
    <w:rsid w:val="1F03209D"/>
    <w:rsid w:val="1F2B4297"/>
    <w:rsid w:val="1F2D4E5F"/>
    <w:rsid w:val="1F46C15E"/>
    <w:rsid w:val="1F888A90"/>
    <w:rsid w:val="1F9DB1DA"/>
    <w:rsid w:val="1FA55664"/>
    <w:rsid w:val="201B08F5"/>
    <w:rsid w:val="20754B1D"/>
    <w:rsid w:val="2081097C"/>
    <w:rsid w:val="211EEE80"/>
    <w:rsid w:val="216EE815"/>
    <w:rsid w:val="21F8F19E"/>
    <w:rsid w:val="22A8B9C1"/>
    <w:rsid w:val="230D2F60"/>
    <w:rsid w:val="23274849"/>
    <w:rsid w:val="23387F46"/>
    <w:rsid w:val="2368E634"/>
    <w:rsid w:val="244A9B15"/>
    <w:rsid w:val="248F26E2"/>
    <w:rsid w:val="2497E80B"/>
    <w:rsid w:val="24EBEAE8"/>
    <w:rsid w:val="2518EA2E"/>
    <w:rsid w:val="2530E1D7"/>
    <w:rsid w:val="25509DF0"/>
    <w:rsid w:val="2577427E"/>
    <w:rsid w:val="25B91144"/>
    <w:rsid w:val="25E76CFE"/>
    <w:rsid w:val="25FEF5E0"/>
    <w:rsid w:val="268552AA"/>
    <w:rsid w:val="26D75EA9"/>
    <w:rsid w:val="26D9C77C"/>
    <w:rsid w:val="26F0C615"/>
    <w:rsid w:val="273251F2"/>
    <w:rsid w:val="27839D98"/>
    <w:rsid w:val="279B9EFC"/>
    <w:rsid w:val="2809FF5C"/>
    <w:rsid w:val="281BB67F"/>
    <w:rsid w:val="2839A209"/>
    <w:rsid w:val="2853C685"/>
    <w:rsid w:val="28891E35"/>
    <w:rsid w:val="289FA0A7"/>
    <w:rsid w:val="28B9C04E"/>
    <w:rsid w:val="298138E2"/>
    <w:rsid w:val="29C88B10"/>
    <w:rsid w:val="2A6BC78E"/>
    <w:rsid w:val="2A70E320"/>
    <w:rsid w:val="2C079415"/>
    <w:rsid w:val="2D5F3E4B"/>
    <w:rsid w:val="2E3004E8"/>
    <w:rsid w:val="2E480F8C"/>
    <w:rsid w:val="2E99726C"/>
    <w:rsid w:val="2EB577D5"/>
    <w:rsid w:val="2EC51D49"/>
    <w:rsid w:val="2F0BC836"/>
    <w:rsid w:val="2F4196E2"/>
    <w:rsid w:val="2F738C92"/>
    <w:rsid w:val="2FE908AD"/>
    <w:rsid w:val="2FEB4329"/>
    <w:rsid w:val="3036930C"/>
    <w:rsid w:val="303B0840"/>
    <w:rsid w:val="30935DD0"/>
    <w:rsid w:val="30A658CA"/>
    <w:rsid w:val="30A93807"/>
    <w:rsid w:val="3224371E"/>
    <w:rsid w:val="323B16CB"/>
    <w:rsid w:val="32861C0C"/>
    <w:rsid w:val="32CE8C2D"/>
    <w:rsid w:val="32DC996F"/>
    <w:rsid w:val="32F2D158"/>
    <w:rsid w:val="32FB0C50"/>
    <w:rsid w:val="3366ABEA"/>
    <w:rsid w:val="33CE231F"/>
    <w:rsid w:val="33E678C8"/>
    <w:rsid w:val="340B8938"/>
    <w:rsid w:val="34437EC8"/>
    <w:rsid w:val="34506381"/>
    <w:rsid w:val="34624307"/>
    <w:rsid w:val="34A62367"/>
    <w:rsid w:val="353E819E"/>
    <w:rsid w:val="35E4312C"/>
    <w:rsid w:val="367637EB"/>
    <w:rsid w:val="3704849A"/>
    <w:rsid w:val="378B8E72"/>
    <w:rsid w:val="3791F60A"/>
    <w:rsid w:val="37E54C0D"/>
    <w:rsid w:val="38059630"/>
    <w:rsid w:val="381867BB"/>
    <w:rsid w:val="384E52BC"/>
    <w:rsid w:val="385CF762"/>
    <w:rsid w:val="39344C65"/>
    <w:rsid w:val="3936A16C"/>
    <w:rsid w:val="3961F7CD"/>
    <w:rsid w:val="3978ABDC"/>
    <w:rsid w:val="397980BD"/>
    <w:rsid w:val="39D20930"/>
    <w:rsid w:val="3A11FAB8"/>
    <w:rsid w:val="3A2A44E0"/>
    <w:rsid w:val="3A43D663"/>
    <w:rsid w:val="3A678A6E"/>
    <w:rsid w:val="3A730B55"/>
    <w:rsid w:val="3AA0D157"/>
    <w:rsid w:val="3AD6BEF9"/>
    <w:rsid w:val="3AF37DC3"/>
    <w:rsid w:val="3B4B407F"/>
    <w:rsid w:val="3C18B0B9"/>
    <w:rsid w:val="3C7FBDE1"/>
    <w:rsid w:val="3CB0DDDE"/>
    <w:rsid w:val="3CBCF949"/>
    <w:rsid w:val="3CED3A9F"/>
    <w:rsid w:val="3D50BEB7"/>
    <w:rsid w:val="3D605E00"/>
    <w:rsid w:val="3DDE9FB2"/>
    <w:rsid w:val="3DDF8920"/>
    <w:rsid w:val="3DFF007C"/>
    <w:rsid w:val="3E1B27CE"/>
    <w:rsid w:val="3E2468E1"/>
    <w:rsid w:val="3E384302"/>
    <w:rsid w:val="3E4472AF"/>
    <w:rsid w:val="3E64E2E9"/>
    <w:rsid w:val="3EF42FC8"/>
    <w:rsid w:val="3F2121B7"/>
    <w:rsid w:val="40392B58"/>
    <w:rsid w:val="40768438"/>
    <w:rsid w:val="40C6D7DC"/>
    <w:rsid w:val="40C7883B"/>
    <w:rsid w:val="40E5A50F"/>
    <w:rsid w:val="414E5AA1"/>
    <w:rsid w:val="422B01E1"/>
    <w:rsid w:val="425FA5AC"/>
    <w:rsid w:val="42818701"/>
    <w:rsid w:val="42AE3D2E"/>
    <w:rsid w:val="42E4DA48"/>
    <w:rsid w:val="42F76C6B"/>
    <w:rsid w:val="439EC3FD"/>
    <w:rsid w:val="43DECBAF"/>
    <w:rsid w:val="43FD347E"/>
    <w:rsid w:val="440CA64C"/>
    <w:rsid w:val="44241E7F"/>
    <w:rsid w:val="4446A153"/>
    <w:rsid w:val="446E102A"/>
    <w:rsid w:val="449B96F0"/>
    <w:rsid w:val="44FA9B54"/>
    <w:rsid w:val="4548B558"/>
    <w:rsid w:val="455EB687"/>
    <w:rsid w:val="45CFE0AF"/>
    <w:rsid w:val="4611D7B0"/>
    <w:rsid w:val="46157501"/>
    <w:rsid w:val="46169E06"/>
    <w:rsid w:val="461FE0BF"/>
    <w:rsid w:val="4645D7AA"/>
    <w:rsid w:val="467F1991"/>
    <w:rsid w:val="471D169B"/>
    <w:rsid w:val="47601034"/>
    <w:rsid w:val="479C68C2"/>
    <w:rsid w:val="48A162A4"/>
    <w:rsid w:val="48B12450"/>
    <w:rsid w:val="4903728D"/>
    <w:rsid w:val="49389DE0"/>
    <w:rsid w:val="4A4C5D39"/>
    <w:rsid w:val="4A8467F9"/>
    <w:rsid w:val="4BC77AB8"/>
    <w:rsid w:val="4C179E2C"/>
    <w:rsid w:val="4CD3A657"/>
    <w:rsid w:val="4D30DCF5"/>
    <w:rsid w:val="4D823B6D"/>
    <w:rsid w:val="4E379D42"/>
    <w:rsid w:val="4E51FBD9"/>
    <w:rsid w:val="4EABF6DD"/>
    <w:rsid w:val="4EF00E53"/>
    <w:rsid w:val="4F11E896"/>
    <w:rsid w:val="4F7F21D7"/>
    <w:rsid w:val="4FBDB222"/>
    <w:rsid w:val="50116640"/>
    <w:rsid w:val="50306549"/>
    <w:rsid w:val="5045264F"/>
    <w:rsid w:val="50683775"/>
    <w:rsid w:val="509C1D6C"/>
    <w:rsid w:val="509EB614"/>
    <w:rsid w:val="5144A5AC"/>
    <w:rsid w:val="515338FC"/>
    <w:rsid w:val="5199F558"/>
    <w:rsid w:val="5202416E"/>
    <w:rsid w:val="521C0E7C"/>
    <w:rsid w:val="5321D3EE"/>
    <w:rsid w:val="53587F4B"/>
    <w:rsid w:val="54C595D6"/>
    <w:rsid w:val="5549C97A"/>
    <w:rsid w:val="557E3D8A"/>
    <w:rsid w:val="55BE4BFB"/>
    <w:rsid w:val="5605AD08"/>
    <w:rsid w:val="5697A417"/>
    <w:rsid w:val="56E66888"/>
    <w:rsid w:val="577BDBDB"/>
    <w:rsid w:val="57AF9CA5"/>
    <w:rsid w:val="58006603"/>
    <w:rsid w:val="58267078"/>
    <w:rsid w:val="582932FF"/>
    <w:rsid w:val="582EEEDF"/>
    <w:rsid w:val="5890155D"/>
    <w:rsid w:val="58F12A99"/>
    <w:rsid w:val="590DB5FA"/>
    <w:rsid w:val="5948B9EC"/>
    <w:rsid w:val="594FB4F0"/>
    <w:rsid w:val="59624F2C"/>
    <w:rsid w:val="59BB49AD"/>
    <w:rsid w:val="5A3229B2"/>
    <w:rsid w:val="5A3D63B3"/>
    <w:rsid w:val="5A7DF437"/>
    <w:rsid w:val="5A9E3FD1"/>
    <w:rsid w:val="5B305DDB"/>
    <w:rsid w:val="5B7928E3"/>
    <w:rsid w:val="5BAFD7B2"/>
    <w:rsid w:val="5BDFE25D"/>
    <w:rsid w:val="5BF4638A"/>
    <w:rsid w:val="5CEB9B21"/>
    <w:rsid w:val="5D0E2285"/>
    <w:rsid w:val="5D4A62D7"/>
    <w:rsid w:val="5D876887"/>
    <w:rsid w:val="5DE329F3"/>
    <w:rsid w:val="5DFBB13D"/>
    <w:rsid w:val="5E00F500"/>
    <w:rsid w:val="5E49689B"/>
    <w:rsid w:val="5F488BBD"/>
    <w:rsid w:val="5F742404"/>
    <w:rsid w:val="5FBE5464"/>
    <w:rsid w:val="6002F3E5"/>
    <w:rsid w:val="60286B92"/>
    <w:rsid w:val="613A11E6"/>
    <w:rsid w:val="615AEF0E"/>
    <w:rsid w:val="61AF4AFF"/>
    <w:rsid w:val="61C5F21F"/>
    <w:rsid w:val="61CD4826"/>
    <w:rsid w:val="6228A519"/>
    <w:rsid w:val="62A68F26"/>
    <w:rsid w:val="62B47B9A"/>
    <w:rsid w:val="62D87A47"/>
    <w:rsid w:val="62F456F7"/>
    <w:rsid w:val="63425749"/>
    <w:rsid w:val="63793F0E"/>
    <w:rsid w:val="63ECBC0A"/>
    <w:rsid w:val="6538B871"/>
    <w:rsid w:val="65B8D67C"/>
    <w:rsid w:val="65CD4F5D"/>
    <w:rsid w:val="65CF8A76"/>
    <w:rsid w:val="661DFBE1"/>
    <w:rsid w:val="6623B024"/>
    <w:rsid w:val="6625E967"/>
    <w:rsid w:val="662CD9D3"/>
    <w:rsid w:val="66336F5C"/>
    <w:rsid w:val="667C7441"/>
    <w:rsid w:val="6688206D"/>
    <w:rsid w:val="66B3BC2E"/>
    <w:rsid w:val="66D7C139"/>
    <w:rsid w:val="6717B321"/>
    <w:rsid w:val="6730D246"/>
    <w:rsid w:val="677B4947"/>
    <w:rsid w:val="679AA140"/>
    <w:rsid w:val="67C02631"/>
    <w:rsid w:val="6843ACE7"/>
    <w:rsid w:val="68BD6F7E"/>
    <w:rsid w:val="69570EF2"/>
    <w:rsid w:val="69603048"/>
    <w:rsid w:val="696EC500"/>
    <w:rsid w:val="6971F6C6"/>
    <w:rsid w:val="69937055"/>
    <w:rsid w:val="69A9C8F2"/>
    <w:rsid w:val="6B090802"/>
    <w:rsid w:val="6C26E312"/>
    <w:rsid w:val="6C293348"/>
    <w:rsid w:val="6C4D7175"/>
    <w:rsid w:val="6D0D0575"/>
    <w:rsid w:val="6D90DB94"/>
    <w:rsid w:val="6DC42661"/>
    <w:rsid w:val="6DF31E62"/>
    <w:rsid w:val="6E8191D9"/>
    <w:rsid w:val="6F395CB2"/>
    <w:rsid w:val="6FC460B4"/>
    <w:rsid w:val="708FB4D7"/>
    <w:rsid w:val="71405B63"/>
    <w:rsid w:val="714770FB"/>
    <w:rsid w:val="718EC8CB"/>
    <w:rsid w:val="722775C7"/>
    <w:rsid w:val="7259EAF6"/>
    <w:rsid w:val="73637C47"/>
    <w:rsid w:val="73CA278D"/>
    <w:rsid w:val="73E5AF70"/>
    <w:rsid w:val="73ED085D"/>
    <w:rsid w:val="74127A21"/>
    <w:rsid w:val="7491006A"/>
    <w:rsid w:val="753EB3F1"/>
    <w:rsid w:val="75F22393"/>
    <w:rsid w:val="7678A4BA"/>
    <w:rsid w:val="7688F518"/>
    <w:rsid w:val="77134DC8"/>
    <w:rsid w:val="77920F21"/>
    <w:rsid w:val="77950CAD"/>
    <w:rsid w:val="77CCAC38"/>
    <w:rsid w:val="781ED988"/>
    <w:rsid w:val="784F5375"/>
    <w:rsid w:val="7852C545"/>
    <w:rsid w:val="78C1BAC1"/>
    <w:rsid w:val="7917EC87"/>
    <w:rsid w:val="79AE444C"/>
    <w:rsid w:val="79D39D44"/>
    <w:rsid w:val="7AA9186E"/>
    <w:rsid w:val="7ACDC3C3"/>
    <w:rsid w:val="7B398D0C"/>
    <w:rsid w:val="7BFE0F3D"/>
    <w:rsid w:val="7C43664B"/>
    <w:rsid w:val="7C5DE6D1"/>
    <w:rsid w:val="7C85BB4E"/>
    <w:rsid w:val="7CB591A6"/>
    <w:rsid w:val="7CC5E270"/>
    <w:rsid w:val="7D6134BE"/>
    <w:rsid w:val="7DB45F7D"/>
    <w:rsid w:val="7E0873E2"/>
    <w:rsid w:val="7E302E79"/>
    <w:rsid w:val="7E4B69A1"/>
    <w:rsid w:val="7E51EEEB"/>
    <w:rsid w:val="7E61E4A7"/>
    <w:rsid w:val="7E7F578F"/>
    <w:rsid w:val="7EA4FFFE"/>
    <w:rsid w:val="7EE2D10F"/>
    <w:rsid w:val="7EED0175"/>
    <w:rsid w:val="7F0B055A"/>
    <w:rsid w:val="7F491A4F"/>
    <w:rsid w:val="7F9E9059"/>
    <w:rsid w:val="7FDA8FE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7C19897"/>
  <w15:docId w15:val="{CB6FF5A4-69EE-4E3F-83BB-C5C1AB97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C8E"/>
    <w:rPr>
      <w:sz w:val="24"/>
      <w:szCs w:val="24"/>
    </w:rPr>
  </w:style>
  <w:style w:type="paragraph" w:styleId="Heading1">
    <w:name w:val="heading 1"/>
    <w:basedOn w:val="Normal"/>
    <w:next w:val="Normal"/>
    <w:link w:val="Heading1Char"/>
    <w:qFormat/>
    <w:rsid w:val="001063B6"/>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8367C1"/>
    <w:pPr>
      <w:keepNext/>
      <w:keepLines/>
      <w:spacing w:before="120" w:line="252" w:lineRule="auto"/>
      <w:jc w:val="both"/>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rsid w:val="00AF7585"/>
    <w:rPr>
      <w:sz w:val="20"/>
      <w:szCs w:val="20"/>
    </w:rPr>
  </w:style>
  <w:style w:type="character" w:customStyle="1" w:styleId="FootnoteTextChar">
    <w:name w:val="Footnote Text Char"/>
    <w:basedOn w:val="DefaultParagraphFont"/>
    <w:link w:val="FootnoteText"/>
    <w:uiPriority w:val="99"/>
    <w:rsid w:val="00AF7585"/>
  </w:style>
  <w:style w:type="character" w:styleId="FootnoteReference">
    <w:name w:val="footnote reference"/>
    <w:basedOn w:val="DefaultParagraphFont"/>
    <w:uiPriority w:val="99"/>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rsid w:val="00AF7585"/>
    <w:rPr>
      <w:sz w:val="20"/>
      <w:szCs w:val="20"/>
    </w:rPr>
  </w:style>
  <w:style w:type="character" w:customStyle="1" w:styleId="CommentTextChar">
    <w:name w:val="Comment Text Char"/>
    <w:basedOn w:val="DefaultParagraphFont"/>
    <w:link w:val="CommentText"/>
    <w:uiPriority w:val="99"/>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paragraph" w:customStyle="1" w:styleId="xxxxmsonormal">
    <w:name w:val="x_x_xxmsonormal"/>
    <w:basedOn w:val="Normal"/>
    <w:rsid w:val="00FA3E94"/>
    <w:rPr>
      <w:rFonts w:ascii="Calibri" w:hAnsi="Calibri" w:eastAsiaTheme="minorHAnsi" w:cs="Calibri"/>
      <w:sz w:val="22"/>
      <w:szCs w:val="22"/>
    </w:rPr>
  </w:style>
  <w:style w:type="character" w:customStyle="1" w:styleId="UnresolvedMention1">
    <w:name w:val="Unresolved Mention1"/>
    <w:basedOn w:val="DefaultParagraphFont"/>
    <w:uiPriority w:val="99"/>
    <w:semiHidden/>
    <w:unhideWhenUsed/>
    <w:rsid w:val="00FA3E94"/>
    <w:rPr>
      <w:color w:val="808080"/>
      <w:shd w:val="clear" w:color="auto" w:fill="E6E6E6"/>
    </w:rPr>
  </w:style>
  <w:style w:type="character" w:styleId="UnresolvedMention">
    <w:name w:val="Unresolved Mention"/>
    <w:basedOn w:val="DefaultParagraphFont"/>
    <w:uiPriority w:val="99"/>
    <w:semiHidden/>
    <w:unhideWhenUsed/>
    <w:rsid w:val="00763353"/>
    <w:rPr>
      <w:color w:val="605E5C"/>
      <w:shd w:val="clear" w:color="auto" w:fill="E1DFDD"/>
    </w:rPr>
  </w:style>
  <w:style w:type="character" w:customStyle="1" w:styleId="nlmstring-name">
    <w:name w:val="nlm_string-name"/>
    <w:basedOn w:val="DefaultParagraphFont"/>
    <w:rsid w:val="001B7880"/>
  </w:style>
  <w:style w:type="character" w:customStyle="1" w:styleId="journalname">
    <w:name w:val="journalname"/>
    <w:basedOn w:val="DefaultParagraphFont"/>
    <w:rsid w:val="001B7880"/>
  </w:style>
  <w:style w:type="character" w:customStyle="1" w:styleId="year">
    <w:name w:val="year"/>
    <w:basedOn w:val="DefaultParagraphFont"/>
    <w:rsid w:val="001B7880"/>
  </w:style>
  <w:style w:type="character" w:customStyle="1" w:styleId="volume">
    <w:name w:val="volume"/>
    <w:basedOn w:val="DefaultParagraphFont"/>
    <w:rsid w:val="001B7880"/>
  </w:style>
  <w:style w:type="character" w:customStyle="1" w:styleId="issue">
    <w:name w:val="issue"/>
    <w:basedOn w:val="DefaultParagraphFont"/>
    <w:rsid w:val="001B7880"/>
  </w:style>
  <w:style w:type="character" w:customStyle="1" w:styleId="page">
    <w:name w:val="page"/>
    <w:basedOn w:val="DefaultParagraphFont"/>
    <w:rsid w:val="001B7880"/>
  </w:style>
  <w:style w:type="character" w:styleId="FollowedHyperlink">
    <w:name w:val="FollowedHyperlink"/>
    <w:basedOn w:val="DefaultParagraphFont"/>
    <w:uiPriority w:val="99"/>
    <w:semiHidden/>
    <w:unhideWhenUsed/>
    <w:rsid w:val="003E7153"/>
    <w:rPr>
      <w:color w:val="919191" w:themeColor="followedHyperlink"/>
      <w:u w:val="single"/>
    </w:rPr>
  </w:style>
  <w:style w:type="character" w:customStyle="1" w:styleId="hlfld-contribauthor">
    <w:name w:val="hlfld-contribauthor"/>
    <w:basedOn w:val="DefaultParagraphFont"/>
    <w:rsid w:val="0032095F"/>
  </w:style>
  <w:style w:type="character" w:customStyle="1" w:styleId="seperator">
    <w:name w:val="seperator"/>
    <w:basedOn w:val="DefaultParagraphFont"/>
    <w:rsid w:val="0032095F"/>
  </w:style>
  <w:style w:type="character" w:customStyle="1" w:styleId="seriestitle">
    <w:name w:val="seriestitle"/>
    <w:basedOn w:val="DefaultParagraphFont"/>
    <w:rsid w:val="0032095F"/>
  </w:style>
  <w:style w:type="character" w:customStyle="1" w:styleId="doi">
    <w:name w:val="doi"/>
    <w:basedOn w:val="DefaultParagraphFont"/>
    <w:rsid w:val="0032095F"/>
  </w:style>
  <w:style w:type="character" w:customStyle="1" w:styleId="page-range">
    <w:name w:val="page-range"/>
    <w:basedOn w:val="DefaultParagraphFont"/>
    <w:rsid w:val="0032095F"/>
  </w:style>
  <w:style w:type="character" w:customStyle="1" w:styleId="pub-year">
    <w:name w:val="pub-year"/>
    <w:basedOn w:val="DefaultParagraphFont"/>
    <w:rsid w:val="0032095F"/>
  </w:style>
  <w:style w:type="paragraph" w:customStyle="1" w:styleId="biblio">
    <w:name w:val="biblio"/>
    <w:basedOn w:val="Normal"/>
    <w:rsid w:val="000A662A"/>
    <w:pPr>
      <w:keepLines/>
      <w:spacing w:after="240" w:line="360" w:lineRule="auto"/>
      <w:ind w:left="720" w:hanging="720"/>
    </w:pPr>
    <w:rPr>
      <w:szCs w:val="20"/>
    </w:rPr>
  </w:style>
  <w:style w:type="paragraph" w:customStyle="1" w:styleId="bullets">
    <w:name w:val="bullets"/>
    <w:aliases w:val="b1,bu"/>
    <w:basedOn w:val="Normal"/>
    <w:link w:val="bulletsChar"/>
    <w:qFormat/>
    <w:rsid w:val="000A662A"/>
    <w:pPr>
      <w:numPr>
        <w:numId w:val="2"/>
      </w:numPr>
      <w:tabs>
        <w:tab w:val="left" w:pos="720"/>
      </w:tabs>
      <w:spacing w:after="80" w:line="360" w:lineRule="auto"/>
    </w:pPr>
    <w:rPr>
      <w:rFonts w:eastAsia="SimSun"/>
      <w:szCs w:val="22"/>
      <w:lang w:eastAsia="zh-CN"/>
    </w:rPr>
  </w:style>
  <w:style w:type="paragraph" w:customStyle="1" w:styleId="bullets2nd-level">
    <w:name w:val="bullets_2nd-level"/>
    <w:basedOn w:val="Normal"/>
    <w:rsid w:val="000A662A"/>
    <w:pPr>
      <w:numPr>
        <w:ilvl w:val="1"/>
        <w:numId w:val="2"/>
      </w:numPr>
      <w:tabs>
        <w:tab w:val="left" w:pos="1080"/>
      </w:tabs>
      <w:spacing w:after="80"/>
    </w:pPr>
    <w:rPr>
      <w:rFonts w:eastAsia="SimSun"/>
      <w:sz w:val="22"/>
      <w:szCs w:val="22"/>
      <w:lang w:eastAsia="zh-CN"/>
    </w:rPr>
  </w:style>
  <w:style w:type="paragraph" w:customStyle="1" w:styleId="bullets3rd-level">
    <w:name w:val="bullets_3rd-level"/>
    <w:basedOn w:val="Normal"/>
    <w:rsid w:val="000A662A"/>
    <w:pPr>
      <w:numPr>
        <w:ilvl w:val="2"/>
        <w:numId w:val="2"/>
      </w:numPr>
      <w:spacing w:after="80"/>
    </w:pPr>
    <w:rPr>
      <w:rFonts w:eastAsia="SimSun"/>
      <w:sz w:val="22"/>
      <w:szCs w:val="22"/>
      <w:lang w:eastAsia="zh-CN"/>
    </w:rPr>
  </w:style>
  <w:style w:type="character" w:customStyle="1" w:styleId="bulletsChar">
    <w:name w:val="bullets Char"/>
    <w:aliases w:val="bu Char,bu Char Char,bu-2 Char,bullets Char Char"/>
    <w:link w:val="bullets"/>
    <w:rsid w:val="000A662A"/>
    <w:rPr>
      <w:rFonts w:eastAsia="SimSun"/>
      <w:sz w:val="24"/>
      <w:szCs w:val="22"/>
      <w:lang w:eastAsia="zh-CN"/>
    </w:rPr>
  </w:style>
  <w:style w:type="character" w:customStyle="1" w:styleId="Heading2Char">
    <w:name w:val="Heading 2 Char"/>
    <w:basedOn w:val="DefaultParagraphFont"/>
    <w:link w:val="Heading2"/>
    <w:uiPriority w:val="9"/>
    <w:rsid w:val="008367C1"/>
    <w:rPr>
      <w:rFonts w:asciiTheme="majorHAnsi" w:eastAsiaTheme="majorEastAsia" w:hAnsiTheme="majorHAnsi" w:cstheme="majorBidi"/>
      <w:b/>
      <w:bCs/>
      <w:sz w:val="28"/>
      <w:szCs w:val="28"/>
    </w:rPr>
  </w:style>
  <w:style w:type="paragraph" w:customStyle="1" w:styleId="EndNoteBibliography">
    <w:name w:val="EndNote Bibliography"/>
    <w:basedOn w:val="Normal"/>
    <w:link w:val="EndNoteBibliographyChar"/>
    <w:rsid w:val="00DD0B29"/>
    <w:pPr>
      <w:spacing w:after="240"/>
      <w:ind w:left="540" w:hanging="540"/>
    </w:pPr>
    <w:rPr>
      <w:rFonts w:ascii="Garamond" w:eastAsia="SimSun" w:hAnsi="Garamond"/>
      <w:noProof/>
      <w:szCs w:val="22"/>
      <w:lang w:eastAsia="zh-CN"/>
    </w:rPr>
  </w:style>
  <w:style w:type="character" w:customStyle="1" w:styleId="EndNoteBibliographyChar">
    <w:name w:val="EndNote Bibliography Char"/>
    <w:basedOn w:val="DefaultParagraphFont"/>
    <w:link w:val="EndNoteBibliography"/>
    <w:rsid w:val="00DD0B29"/>
    <w:rPr>
      <w:rFonts w:ascii="Garamond" w:eastAsia="SimSun" w:hAnsi="Garamond"/>
      <w:noProof/>
      <w:sz w:val="24"/>
      <w:szCs w:val="22"/>
      <w:lang w:eastAsia="zh-CN"/>
    </w:rPr>
  </w:style>
  <w:style w:type="character" w:customStyle="1" w:styleId="ui-provider">
    <w:name w:val="ui-provider"/>
    <w:basedOn w:val="DefaultParagraphFont"/>
    <w:rsid w:val="00BE7283"/>
  </w:style>
  <w:style w:type="table" w:styleId="GridTable1Light">
    <w:name w:val="Grid Table 1 Light"/>
    <w:basedOn w:val="TableNormal"/>
    <w:uiPriority w:val="46"/>
    <w:rsid w:val="00631C32"/>
    <w:pPr>
      <w:jc w:val="both"/>
    </w:pPr>
    <w:rPr>
      <w:rFonts w:asciiTheme="minorHAnsi" w:eastAsiaTheme="minorEastAsia"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B21428"/>
    <w:rPr>
      <w:rFonts w:ascii="Segoe UI" w:hAnsi="Segoe UI" w:cs="Segoe UI" w:hint="default"/>
      <w:sz w:val="18"/>
      <w:szCs w:val="18"/>
    </w:rPr>
  </w:style>
  <w:style w:type="character" w:customStyle="1" w:styleId="Heading1Char">
    <w:name w:val="Heading 1 Char"/>
    <w:basedOn w:val="DefaultParagraphFont"/>
    <w:link w:val="Heading1"/>
    <w:rsid w:val="001063B6"/>
    <w:rPr>
      <w:rFonts w:asciiTheme="majorHAnsi" w:eastAsiaTheme="majorEastAsia" w:hAnsiTheme="majorHAnsi" w:cstheme="majorBidi"/>
      <w:color w:val="A5A5A5" w:themeColor="accent1" w:themeShade="BF"/>
      <w:sz w:val="32"/>
      <w:szCs w:val="32"/>
    </w:rPr>
  </w:style>
  <w:style w:type="paragraph" w:styleId="BodyText2">
    <w:name w:val="Body Text 2"/>
    <w:basedOn w:val="Normal"/>
    <w:link w:val="BodyText2Char"/>
    <w:uiPriority w:val="99"/>
    <w:rsid w:val="00FB70F3"/>
  </w:style>
  <w:style w:type="character" w:customStyle="1" w:styleId="BodyText2Char">
    <w:name w:val="Body Text 2 Char"/>
    <w:basedOn w:val="DefaultParagraphFont"/>
    <w:link w:val="BodyText2"/>
    <w:uiPriority w:val="99"/>
    <w:rsid w:val="00FB70F3"/>
    <w:rPr>
      <w:sz w:val="24"/>
      <w:szCs w:val="24"/>
    </w:rPr>
  </w:style>
  <w:style w:type="paragraph" w:customStyle="1" w:styleId="pf0">
    <w:name w:val="pf0"/>
    <w:basedOn w:val="Normal"/>
    <w:rsid w:val="004652D7"/>
    <w:pPr>
      <w:spacing w:before="100" w:beforeAutospacing="1" w:after="100" w:afterAutospacing="1"/>
    </w:pPr>
  </w:style>
  <w:style w:type="paragraph" w:customStyle="1" w:styleId="pf1">
    <w:name w:val="pf1"/>
    <w:basedOn w:val="Normal"/>
    <w:rsid w:val="00DB1AAE"/>
    <w:pPr>
      <w:spacing w:before="100" w:beforeAutospacing="1" w:after="100" w:afterAutospacing="1"/>
      <w:ind w:left="1080"/>
    </w:pPr>
  </w:style>
  <w:style w:type="paragraph" w:customStyle="1" w:styleId="pf2">
    <w:name w:val="pf2"/>
    <w:basedOn w:val="Normal"/>
    <w:rsid w:val="00DB1AAE"/>
    <w:pPr>
      <w:spacing w:before="100" w:beforeAutospacing="1" w:after="100" w:afterAutospacing="1"/>
      <w:ind w:left="360"/>
    </w:pPr>
  </w:style>
  <w:style w:type="character" w:customStyle="1" w:styleId="cf11">
    <w:name w:val="cf11"/>
    <w:basedOn w:val="DefaultParagraphFont"/>
    <w:rsid w:val="00DB1AAE"/>
    <w:rPr>
      <w:rFonts w:ascii="Segoe UI" w:hAnsi="Segoe UI" w:cs="Segoe UI" w:hint="default"/>
      <w:color w:val="FF0000"/>
      <w:sz w:val="18"/>
      <w:szCs w:val="18"/>
    </w:rPr>
  </w:style>
  <w:style w:type="paragraph" w:customStyle="1" w:styleId="xmsonormal">
    <w:name w:val="x_msonormal"/>
    <w:basedOn w:val="Normal"/>
    <w:rsid w:val="0006314F"/>
    <w:rPr>
      <w:rFonts w:ascii="Aptos" w:hAnsi="Aptos" w:eastAsiaTheme="minorHAnsi"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content/pub/pdf/meco04.pdf" TargetMode="External" /><Relationship Id="rId11" Type="http://schemas.openxmlformats.org/officeDocument/2006/relationships/hyperlink" Target="https://bjs.ojp.gov/content/pub/pdf/meco18.pdf" TargetMode="External" /><Relationship Id="rId12" Type="http://schemas.openxmlformats.org/officeDocument/2006/relationships/hyperlink" Target="https://bja.ojp.gov/program/strengthening-mec/overview" TargetMode="External" /><Relationship Id="rId13" Type="http://schemas.openxmlformats.org/officeDocument/2006/relationships/hyperlink" Target="https://ojp.gov/resources/ojp-hhs-mdi-wg.htm" TargetMode="External" /><Relationship Id="rId14" Type="http://schemas.openxmlformats.org/officeDocument/2006/relationships/hyperlink" Target="https://doi.org/10.1016/j.fsisyn.2024.100462" TargetMode="External" /><Relationship Id="rId15" Type="http://schemas.openxmlformats.org/officeDocument/2006/relationships/hyperlink" Target="https://doi.org/10.1016/j.fsisyn.2024.100477" TargetMode="External" /><Relationship Id="rId16" Type="http://schemas.openxmlformats.org/officeDocument/2006/relationships/hyperlink" Target="https://doi.org/10.1016/j.fsisyn.2024.100467" TargetMode="External" /><Relationship Id="rId17" Type="http://schemas.openxmlformats.org/officeDocument/2006/relationships/hyperlink" Target="https://doi.org/10.1016/j.fsisyn.2022.100225"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bjs.ojp.gov/sites/g/files/xyckuh236/files/media/document/bjs_data_protection_guidelines.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jp.gov/pdffiles1/nij/253626.pdf" TargetMode="External" /><Relationship Id="rId2" Type="http://schemas.openxmlformats.org/officeDocument/2006/relationships/hyperlink" Target="https://blogs.cdc.gov/nchs/2023/05/18/7365/" TargetMode="External" /><Relationship Id="rId3" Type="http://schemas.openxmlformats.org/officeDocument/2006/relationships/hyperlink" Target="https://bjs.ojp.gov/content/pub/pdf/meco18.pdf" TargetMode="External" /><Relationship Id="rId4" Type="http://schemas.openxmlformats.org/officeDocument/2006/relationships/hyperlink" Target="https://www.kptv.com/2023/05/11/bodies-stacking-up-autopsies-nixed-oregon-medical-examiners-division-facing-worsening-crisis/" TargetMode="External" /><Relationship Id="rId5" Type="http://schemas.openxmlformats.org/officeDocument/2006/relationships/hyperlink" Target="https://www.wusa9.com/article/news/local/maryland/audit-marylands-medical-examiners-office-cites-history-of-chronic-understaffing/65-9f300944-25f0-4e0d-b160-820544f8ca72" TargetMode="External" /><Relationship Id="rId6" Type="http://schemas.openxmlformats.org/officeDocument/2006/relationships/hyperlink" Target="https://fas.org/publication/lets-talk-about-death-the-state-of-medicolegal-death-investigations/" TargetMode="External" /><Relationship Id="rId7" Type="http://schemas.openxmlformats.org/officeDocument/2006/relationships/hyperlink" Target="https://www.sccounties.org/friday-reports/friday-report-april-21-2023" TargetMode="External" /><Relationship Id="rId8" Type="http://schemas.openxmlformats.org/officeDocument/2006/relationships/hyperlink" Target="https://www.namus.gov/" TargetMode="Externa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6" ma:contentTypeDescription="Create a new document." ma:contentTypeScope="" ma:versionID="062e189a88a4990af35fd95e0df1db7e">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847340f62415b7c2938ebb8a24a8f512"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14956-2B52-4C51-B299-4501FA9DB70B}">
  <ds:schemaRefs>
    <ds:schemaRef ds:uri="http://schemas.openxmlformats.org/officeDocument/2006/bibliography"/>
  </ds:schemaRefs>
</ds:datastoreItem>
</file>

<file path=customXml/itemProps2.xml><?xml version="1.0" encoding="utf-8"?>
<ds:datastoreItem xmlns:ds="http://schemas.openxmlformats.org/officeDocument/2006/customXml" ds:itemID="{F38DCE13-FCF0-40DC-A63C-67E0E641D6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F84BD-843F-4B2E-9E21-42A43656C420}">
  <ds:schemaRefs>
    <ds:schemaRef ds:uri="http://schemas.microsoft.com/sharepoint/v3/contenttype/forms"/>
  </ds:schemaRefs>
</ds:datastoreItem>
</file>

<file path=customXml/itemProps4.xml><?xml version="1.0" encoding="utf-8"?>
<ds:datastoreItem xmlns:ds="http://schemas.openxmlformats.org/officeDocument/2006/customXml" ds:itemID="{263FEB83-D7EF-4D86-ABBF-B784CD256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10222</Words>
  <Characters>58270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Adams, Devon (OJP)</cp:lastModifiedBy>
  <cp:revision>2</cp:revision>
  <cp:lastPrinted>2013-02-12T20:02:00Z</cp:lastPrinted>
  <dcterms:created xsi:type="dcterms:W3CDTF">2024-08-01T12:53:00Z</dcterms:created>
  <dcterms:modified xsi:type="dcterms:W3CDTF">2024-08-01T12:53:00Z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0x0101002FE5814883B49940B4B8AAE202A6E984</vt:lpwstr>
  </property>
</Properties>
</file>