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951D8" w:rsidRPr="00596C3F" w:rsidP="00B951D8" w14:paraId="789D4982" w14:textId="77777777">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r>
        <w:rPr>
          <w:b/>
          <w:bCs/>
        </w:rPr>
        <w:t xml:space="preserve">Part B. </w:t>
      </w:r>
      <w:r w:rsidRPr="00596C3F">
        <w:rPr>
          <w:b/>
          <w:bCs/>
        </w:rPr>
        <w:t>Collection of Information Employing Statistical Methods</w:t>
      </w:r>
    </w:p>
    <w:p w:rsidR="00421095" w:rsidRPr="00912246" w:rsidP="009561F8" w14:paraId="2E291C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Bidi" w:hAnsiTheme="majorBidi" w:cstheme="majorBidi"/>
        </w:rPr>
      </w:pPr>
    </w:p>
    <w:p w:rsidR="00421095" w:rsidRPr="00912246" w:rsidP="00DE2AA7" w14:paraId="7A2F66BF" w14:textId="135A6C91">
      <w:pPr>
        <w:pStyle w:val="ListParagraph"/>
        <w:numPr>
          <w:ilvl w:val="0"/>
          <w:numId w:val="5"/>
        </w:numPr>
        <w:ind w:left="360"/>
        <w:contextualSpacing w:val="0"/>
        <w:rPr>
          <w:rFonts w:asciiTheme="majorBidi" w:hAnsiTheme="majorBidi" w:cstheme="majorBidi"/>
          <w:b/>
          <w:u w:val="single"/>
        </w:rPr>
      </w:pPr>
      <w:r w:rsidRPr="00912246">
        <w:rPr>
          <w:rFonts w:asciiTheme="majorBidi" w:hAnsiTheme="majorBidi" w:cstheme="majorBidi"/>
          <w:b/>
          <w:u w:val="single"/>
        </w:rPr>
        <w:t>Universe and Respondent Selection</w:t>
      </w:r>
    </w:p>
    <w:p w:rsidR="00421095" w:rsidRPr="00912246" w:rsidP="00DE2AA7" w14:paraId="0785B71C" w14:textId="77777777">
      <w:pPr>
        <w:pStyle w:val="SP-SglSpPara"/>
        <w:spacing w:line="240" w:lineRule="auto"/>
        <w:ind w:firstLine="0"/>
        <w:jc w:val="left"/>
        <w:rPr>
          <w:rFonts w:asciiTheme="majorBidi" w:hAnsiTheme="majorBidi" w:cstheme="majorBidi"/>
          <w:sz w:val="24"/>
          <w:szCs w:val="24"/>
        </w:rPr>
      </w:pPr>
    </w:p>
    <w:p w:rsidR="00233985" w:rsidP="00233985" w14:paraId="3457DE3E" w14:textId="15D0B5D0">
      <w:pPr>
        <w:rPr>
          <w:rFonts w:asciiTheme="majorBidi" w:hAnsiTheme="majorBidi" w:cstheme="majorBidi"/>
        </w:rPr>
      </w:pPr>
      <w:r w:rsidRPr="00912246">
        <w:rPr>
          <w:rFonts w:asciiTheme="majorBidi" w:hAnsiTheme="majorBidi" w:cstheme="majorBidi"/>
        </w:rPr>
        <w:t xml:space="preserve">The </w:t>
      </w:r>
      <w:r w:rsidRPr="00655B53" w:rsidR="00851149">
        <w:rPr>
          <w:rFonts w:asciiTheme="majorBidi" w:hAnsiTheme="majorBidi" w:cstheme="majorBidi"/>
        </w:rPr>
        <w:t>20</w:t>
      </w:r>
      <w:r w:rsidRPr="00655B53" w:rsidR="00851182">
        <w:rPr>
          <w:rFonts w:asciiTheme="majorBidi" w:hAnsiTheme="majorBidi" w:cstheme="majorBidi"/>
        </w:rPr>
        <w:t>23</w:t>
      </w:r>
      <w:r w:rsidRPr="00655B53" w:rsidR="00851149">
        <w:rPr>
          <w:rFonts w:asciiTheme="majorBidi" w:hAnsiTheme="majorBidi" w:cstheme="majorBidi"/>
        </w:rPr>
        <w:t xml:space="preserve"> Census of Medical Examiner and Coroner</w:t>
      </w:r>
      <w:r w:rsidR="00120908">
        <w:rPr>
          <w:rFonts w:asciiTheme="majorBidi" w:hAnsiTheme="majorBidi" w:cstheme="majorBidi"/>
        </w:rPr>
        <w:t xml:space="preserve"> Offices</w:t>
      </w:r>
      <w:r w:rsidRPr="00655B53" w:rsidR="00851149">
        <w:rPr>
          <w:rFonts w:asciiTheme="majorBidi" w:hAnsiTheme="majorBidi" w:cstheme="majorBidi"/>
        </w:rPr>
        <w:t xml:space="preserve"> (CMEC)</w:t>
      </w:r>
      <w:r w:rsidRPr="00EC281A" w:rsidR="00EC281A">
        <w:rPr>
          <w:rFonts w:asciiTheme="majorBidi" w:hAnsiTheme="majorBidi" w:cstheme="majorBidi"/>
        </w:rPr>
        <w:t xml:space="preserve"> </w:t>
      </w:r>
      <w:r w:rsidRPr="00912246">
        <w:rPr>
          <w:rFonts w:asciiTheme="majorBidi" w:hAnsiTheme="majorBidi" w:cstheme="majorBidi"/>
        </w:rPr>
        <w:t xml:space="preserve">will </w:t>
      </w:r>
      <w:r w:rsidRPr="00912246" w:rsidR="002F54E1">
        <w:rPr>
          <w:rFonts w:asciiTheme="majorBidi" w:hAnsiTheme="majorBidi" w:cstheme="majorBidi"/>
        </w:rPr>
        <w:t xml:space="preserve">use </w:t>
      </w:r>
      <w:r w:rsidRPr="00912246">
        <w:rPr>
          <w:rFonts w:asciiTheme="majorBidi" w:hAnsiTheme="majorBidi" w:cstheme="majorBidi"/>
        </w:rPr>
        <w:t xml:space="preserve">procedures successfully employed in the prior </w:t>
      </w:r>
      <w:r w:rsidRPr="00912246" w:rsidR="00C0192C">
        <w:rPr>
          <w:rFonts w:asciiTheme="majorBidi" w:hAnsiTheme="majorBidi" w:cstheme="majorBidi"/>
        </w:rPr>
        <w:t>administration</w:t>
      </w:r>
      <w:r w:rsidR="00EC281A">
        <w:rPr>
          <w:rFonts w:asciiTheme="majorBidi" w:hAnsiTheme="majorBidi" w:cstheme="majorBidi"/>
        </w:rPr>
        <w:t>s</w:t>
      </w:r>
      <w:r w:rsidRPr="00912246" w:rsidR="008378EB">
        <w:rPr>
          <w:rFonts w:asciiTheme="majorBidi" w:hAnsiTheme="majorBidi" w:cstheme="majorBidi"/>
        </w:rPr>
        <w:t xml:space="preserve"> of </w:t>
      </w:r>
      <w:r w:rsidRPr="00912246" w:rsidR="002F54E1">
        <w:rPr>
          <w:rFonts w:asciiTheme="majorBidi" w:hAnsiTheme="majorBidi" w:cstheme="majorBidi"/>
        </w:rPr>
        <w:t xml:space="preserve">2004 </w:t>
      </w:r>
      <w:r w:rsidR="00EC281A">
        <w:rPr>
          <w:rFonts w:asciiTheme="majorBidi" w:hAnsiTheme="majorBidi" w:cstheme="majorBidi"/>
        </w:rPr>
        <w:t xml:space="preserve">and 2018 </w:t>
      </w:r>
      <w:r w:rsidRPr="00912246" w:rsidR="00F45304">
        <w:rPr>
          <w:rFonts w:asciiTheme="majorBidi" w:hAnsiTheme="majorBidi" w:cstheme="majorBidi"/>
        </w:rPr>
        <w:t>CMEC</w:t>
      </w:r>
      <w:r w:rsidRPr="00912246" w:rsidR="008378EB">
        <w:rPr>
          <w:rFonts w:asciiTheme="majorBidi" w:hAnsiTheme="majorBidi" w:cstheme="majorBidi"/>
        </w:rPr>
        <w:t xml:space="preserve"> </w:t>
      </w:r>
      <w:r w:rsidRPr="00912246">
        <w:rPr>
          <w:rFonts w:asciiTheme="majorBidi" w:hAnsiTheme="majorBidi" w:cstheme="majorBidi"/>
        </w:rPr>
        <w:t>to identify the universe of eligible</w:t>
      </w:r>
      <w:r w:rsidRPr="00912246" w:rsidR="00CC7CB4">
        <w:rPr>
          <w:rFonts w:asciiTheme="majorBidi" w:hAnsiTheme="majorBidi" w:cstheme="majorBidi"/>
        </w:rPr>
        <w:t xml:space="preserve"> </w:t>
      </w:r>
      <w:r w:rsidRPr="00912246" w:rsidR="002F54E1">
        <w:rPr>
          <w:rFonts w:asciiTheme="majorBidi" w:hAnsiTheme="majorBidi" w:cstheme="majorBidi"/>
        </w:rPr>
        <w:t>offices</w:t>
      </w:r>
      <w:r w:rsidRPr="00912246" w:rsidR="00CC7CB4">
        <w:rPr>
          <w:rFonts w:asciiTheme="majorBidi" w:hAnsiTheme="majorBidi" w:cstheme="majorBidi"/>
        </w:rPr>
        <w:t xml:space="preserve">. The universe </w:t>
      </w:r>
      <w:r w:rsidRPr="00912246" w:rsidR="00DC499A">
        <w:rPr>
          <w:rFonts w:asciiTheme="majorBidi" w:hAnsiTheme="majorBidi" w:cstheme="majorBidi"/>
        </w:rPr>
        <w:t xml:space="preserve">is defined </w:t>
      </w:r>
      <w:r w:rsidR="00AC4136">
        <w:rPr>
          <w:rFonts w:asciiTheme="majorBidi" w:hAnsiTheme="majorBidi" w:cstheme="majorBidi"/>
        </w:rPr>
        <w:t xml:space="preserve">as </w:t>
      </w:r>
      <w:r w:rsidRPr="00912246" w:rsidR="00C0192C">
        <w:rPr>
          <w:rFonts w:asciiTheme="majorBidi" w:hAnsiTheme="majorBidi" w:cstheme="majorBidi"/>
        </w:rPr>
        <w:t xml:space="preserve">any </w:t>
      </w:r>
      <w:r w:rsidRPr="00912246">
        <w:rPr>
          <w:rFonts w:asciiTheme="majorBidi" w:hAnsiTheme="majorBidi" w:cstheme="majorBidi"/>
        </w:rPr>
        <w:t>office</w:t>
      </w:r>
      <w:r w:rsidRPr="00912246" w:rsidR="00C0192C">
        <w:rPr>
          <w:rFonts w:asciiTheme="majorBidi" w:hAnsiTheme="majorBidi" w:cstheme="majorBidi"/>
        </w:rPr>
        <w:t xml:space="preserve"> </w:t>
      </w:r>
      <w:r w:rsidRPr="00912246" w:rsidR="002F54E1">
        <w:rPr>
          <w:rFonts w:asciiTheme="majorBidi" w:hAnsiTheme="majorBidi" w:cstheme="majorBidi"/>
        </w:rPr>
        <w:t>that conducts medicolegal death investigations</w:t>
      </w:r>
      <w:r w:rsidRPr="00912246" w:rsidR="006E4EAA">
        <w:rPr>
          <w:rFonts w:asciiTheme="majorBidi" w:hAnsiTheme="majorBidi" w:cstheme="majorBidi"/>
        </w:rPr>
        <w:t xml:space="preserve"> (MDI)</w:t>
      </w:r>
      <w:r w:rsidRPr="00912246" w:rsidR="002F54E1">
        <w:rPr>
          <w:rFonts w:asciiTheme="majorBidi" w:hAnsiTheme="majorBidi" w:cstheme="majorBidi"/>
        </w:rPr>
        <w:t xml:space="preserve"> for the jurisdiction it serves</w:t>
      </w:r>
      <w:r w:rsidRPr="00912246" w:rsidR="00DC499A">
        <w:rPr>
          <w:rFonts w:asciiTheme="majorBidi" w:hAnsiTheme="majorBidi" w:cstheme="majorBidi"/>
        </w:rPr>
        <w:t>.</w:t>
      </w:r>
      <w:r w:rsidRPr="00912246" w:rsidR="00B4474B">
        <w:rPr>
          <w:rFonts w:asciiTheme="majorBidi" w:hAnsiTheme="majorBidi" w:cstheme="majorBidi"/>
        </w:rPr>
        <w:t xml:space="preserve"> </w:t>
      </w:r>
      <w:r w:rsidRPr="00912246">
        <w:rPr>
          <w:rFonts w:asciiTheme="majorBidi" w:hAnsiTheme="majorBidi" w:cstheme="majorBidi"/>
        </w:rPr>
        <w:t xml:space="preserve">To be eligible for </w:t>
      </w:r>
      <w:r w:rsidR="008A623B">
        <w:rPr>
          <w:rFonts w:asciiTheme="majorBidi" w:hAnsiTheme="majorBidi" w:cstheme="majorBidi"/>
        </w:rPr>
        <w:t>inclusion in</w:t>
      </w:r>
      <w:r w:rsidRPr="00912246" w:rsidR="008A623B">
        <w:rPr>
          <w:rFonts w:asciiTheme="majorBidi" w:hAnsiTheme="majorBidi" w:cstheme="majorBidi"/>
        </w:rPr>
        <w:t xml:space="preserve"> </w:t>
      </w:r>
      <w:r w:rsidRPr="00912246">
        <w:rPr>
          <w:rFonts w:asciiTheme="majorBidi" w:hAnsiTheme="majorBidi" w:cstheme="majorBidi"/>
        </w:rPr>
        <w:t xml:space="preserve">the </w:t>
      </w:r>
      <w:r w:rsidR="00241117">
        <w:rPr>
          <w:rFonts w:asciiTheme="majorBidi" w:hAnsiTheme="majorBidi" w:cstheme="majorBidi"/>
        </w:rPr>
        <w:t>CMEC,</w:t>
      </w:r>
      <w:r w:rsidRPr="00912246">
        <w:rPr>
          <w:rFonts w:asciiTheme="majorBidi" w:hAnsiTheme="majorBidi" w:cstheme="majorBidi"/>
        </w:rPr>
        <w:t xml:space="preserve"> the following must be true of a medical examiner or coroner office: 1) investigates to determine a </w:t>
      </w:r>
      <w:r w:rsidR="001772F0">
        <w:rPr>
          <w:rFonts w:asciiTheme="majorBidi" w:hAnsiTheme="majorBidi" w:cstheme="majorBidi"/>
        </w:rPr>
        <w:t xml:space="preserve">final </w:t>
      </w:r>
      <w:r w:rsidRPr="00912246">
        <w:rPr>
          <w:rFonts w:asciiTheme="majorBidi" w:hAnsiTheme="majorBidi" w:cstheme="majorBidi"/>
        </w:rPr>
        <w:t xml:space="preserve">cause and manner of death; 2) </w:t>
      </w:r>
      <w:r w:rsidRPr="00662915" w:rsidR="290D92D1">
        <w:rPr>
          <w:rFonts w:asciiTheme="majorBidi" w:hAnsiTheme="majorBidi" w:cstheme="majorBidi"/>
        </w:rPr>
        <w:t xml:space="preserve">has authority to </w:t>
      </w:r>
      <w:r w:rsidRPr="00662915">
        <w:rPr>
          <w:rFonts w:asciiTheme="majorBidi" w:hAnsiTheme="majorBidi" w:cstheme="majorBidi"/>
        </w:rPr>
        <w:t>sign</w:t>
      </w:r>
      <w:r w:rsidRPr="00912246">
        <w:rPr>
          <w:rFonts w:asciiTheme="majorBidi" w:hAnsiTheme="majorBidi" w:cstheme="majorBidi"/>
        </w:rPr>
        <w:t xml:space="preserve"> death certificates; and 3) </w:t>
      </w:r>
      <w:r w:rsidRPr="00662915" w:rsidR="2B5621ED">
        <w:rPr>
          <w:rFonts w:asciiTheme="majorBidi" w:hAnsiTheme="majorBidi" w:cstheme="majorBidi"/>
        </w:rPr>
        <w:t xml:space="preserve">has authority to request autopsy as well as </w:t>
      </w:r>
      <w:r w:rsidRPr="00912246">
        <w:rPr>
          <w:rFonts w:asciiTheme="majorBidi" w:hAnsiTheme="majorBidi" w:cstheme="majorBidi"/>
        </w:rPr>
        <w:t xml:space="preserve">determines when autopsies should be performed, even if the autopsy is performed outside of the office in an external autopsy facility. </w:t>
      </w:r>
      <w:r w:rsidR="001A5854">
        <w:rPr>
          <w:rFonts w:asciiTheme="majorBidi" w:hAnsiTheme="majorBidi" w:cstheme="majorBidi"/>
        </w:rPr>
        <w:t>The 2023 CMEC will also include Texas justice</w:t>
      </w:r>
      <w:r w:rsidR="001D3395">
        <w:rPr>
          <w:rFonts w:asciiTheme="majorBidi" w:hAnsiTheme="majorBidi" w:cstheme="majorBidi"/>
        </w:rPr>
        <w:t>s</w:t>
      </w:r>
      <w:r w:rsidR="001A5854">
        <w:rPr>
          <w:rFonts w:asciiTheme="majorBidi" w:hAnsiTheme="majorBidi" w:cstheme="majorBidi"/>
        </w:rPr>
        <w:t xml:space="preserve"> of the peace that perform MDI in addition to their other court-derived responsibilities. </w:t>
      </w:r>
    </w:p>
    <w:p w:rsidR="001772F0" w:rsidRPr="00912246" w:rsidP="00233985" w14:paraId="3AA2AD0A" w14:textId="77777777">
      <w:pPr>
        <w:rPr>
          <w:rFonts w:asciiTheme="majorBidi" w:hAnsiTheme="majorBidi" w:cstheme="majorBidi"/>
        </w:rPr>
      </w:pPr>
    </w:p>
    <w:p w:rsidR="005A2FFF" w:rsidRPr="00912246" w:rsidP="00EB0028" w14:paraId="79F6FB60" w14:textId="570D8944">
      <w:pPr>
        <w:rPr>
          <w:rFonts w:asciiTheme="majorBidi" w:hAnsiTheme="majorBidi" w:cstheme="majorBidi"/>
          <w:color w:val="1F497D"/>
        </w:rPr>
      </w:pPr>
      <w:r>
        <w:rPr>
          <w:rFonts w:asciiTheme="majorBidi" w:hAnsiTheme="majorBidi" w:cstheme="majorBidi"/>
        </w:rPr>
        <w:t>RTI</w:t>
      </w:r>
      <w:r w:rsidR="00B735E8">
        <w:rPr>
          <w:rFonts w:asciiTheme="majorBidi" w:hAnsiTheme="majorBidi" w:cstheme="majorBidi"/>
        </w:rPr>
        <w:t xml:space="preserve"> </w:t>
      </w:r>
      <w:r w:rsidR="000E0CA3">
        <w:rPr>
          <w:rFonts w:asciiTheme="majorBidi" w:hAnsiTheme="majorBidi" w:cstheme="majorBidi"/>
        </w:rPr>
        <w:t xml:space="preserve">has </w:t>
      </w:r>
      <w:r w:rsidR="00BA08D8">
        <w:rPr>
          <w:rFonts w:asciiTheme="majorBidi" w:hAnsiTheme="majorBidi" w:cstheme="majorBidi"/>
        </w:rPr>
        <w:t>use</w:t>
      </w:r>
      <w:r w:rsidR="006051BB">
        <w:rPr>
          <w:rFonts w:asciiTheme="majorBidi" w:hAnsiTheme="majorBidi" w:cstheme="majorBidi"/>
        </w:rPr>
        <w:t>d</w:t>
      </w:r>
      <w:r w:rsidR="00B735E8">
        <w:rPr>
          <w:rFonts w:asciiTheme="majorBidi" w:hAnsiTheme="majorBidi" w:cstheme="majorBidi"/>
        </w:rPr>
        <w:t xml:space="preserve"> the National Directory of Law Enforcement Administrators (NDLEA) database</w:t>
      </w:r>
      <w:r w:rsidR="00BA08D8">
        <w:rPr>
          <w:rFonts w:asciiTheme="majorBidi" w:hAnsiTheme="majorBidi" w:cstheme="majorBidi"/>
        </w:rPr>
        <w:t xml:space="preserve"> to </w:t>
      </w:r>
      <w:r w:rsidR="00D77AFF">
        <w:rPr>
          <w:rFonts w:asciiTheme="majorBidi" w:hAnsiTheme="majorBidi" w:cstheme="majorBidi"/>
        </w:rPr>
        <w:t>update</w:t>
      </w:r>
      <w:r w:rsidR="00BA08D8">
        <w:rPr>
          <w:rFonts w:asciiTheme="majorBidi" w:hAnsiTheme="majorBidi" w:cstheme="majorBidi"/>
        </w:rPr>
        <w:t xml:space="preserve"> the census frame for the 2023 CMEC</w:t>
      </w:r>
      <w:r w:rsidR="00B735E8">
        <w:rPr>
          <w:rFonts w:asciiTheme="majorBidi" w:hAnsiTheme="majorBidi" w:cstheme="majorBidi"/>
        </w:rPr>
        <w:t xml:space="preserve">. </w:t>
      </w:r>
      <w:r w:rsidRPr="00A8099B" w:rsidR="00B735E8">
        <w:rPr>
          <w:rFonts w:asciiTheme="majorBidi" w:hAnsiTheme="majorBidi" w:cstheme="majorBidi"/>
        </w:rPr>
        <w:t xml:space="preserve">The NDLEA </w:t>
      </w:r>
      <w:r w:rsidRPr="00A8099B" w:rsidR="005F1872">
        <w:rPr>
          <w:rFonts w:asciiTheme="majorBidi" w:hAnsiTheme="majorBidi" w:cstheme="majorBidi"/>
        </w:rPr>
        <w:t>contain</w:t>
      </w:r>
      <w:r w:rsidR="00A84248">
        <w:rPr>
          <w:rFonts w:asciiTheme="majorBidi" w:hAnsiTheme="majorBidi" w:cstheme="majorBidi"/>
        </w:rPr>
        <w:t>s</w:t>
      </w:r>
      <w:r w:rsidRPr="00A8099B" w:rsidR="005F1872">
        <w:rPr>
          <w:rFonts w:asciiTheme="majorBidi" w:hAnsiTheme="majorBidi" w:cstheme="majorBidi"/>
        </w:rPr>
        <w:t xml:space="preserve"> the contact information for local, state, and federal law enforcement agencies, including coroners and medical examiners.</w:t>
      </w:r>
      <w:r w:rsidR="00B735E8">
        <w:rPr>
          <w:rFonts w:asciiTheme="majorBidi" w:hAnsiTheme="majorBidi" w:cstheme="majorBidi"/>
        </w:rPr>
        <w:t xml:space="preserve"> </w:t>
      </w:r>
      <w:r w:rsidR="00AC4136">
        <w:rPr>
          <w:rFonts w:asciiTheme="majorBidi" w:hAnsiTheme="majorBidi" w:cstheme="majorBidi"/>
        </w:rPr>
        <w:t>N</w:t>
      </w:r>
      <w:r w:rsidR="00E45B7D">
        <w:rPr>
          <w:rFonts w:asciiTheme="majorBidi" w:hAnsiTheme="majorBidi" w:cstheme="majorBidi"/>
        </w:rPr>
        <w:t xml:space="preserve">ew </w:t>
      </w:r>
      <w:r w:rsidRPr="00912246" w:rsidR="00B735E8">
        <w:rPr>
          <w:rFonts w:asciiTheme="majorBidi" w:hAnsiTheme="majorBidi" w:cstheme="majorBidi"/>
        </w:rPr>
        <w:t xml:space="preserve">information </w:t>
      </w:r>
      <w:r w:rsidR="00B735E8">
        <w:rPr>
          <w:rFonts w:asciiTheme="majorBidi" w:hAnsiTheme="majorBidi" w:cstheme="majorBidi"/>
        </w:rPr>
        <w:t xml:space="preserve">from this </w:t>
      </w:r>
      <w:r w:rsidR="00E45B7D">
        <w:rPr>
          <w:rFonts w:asciiTheme="majorBidi" w:hAnsiTheme="majorBidi" w:cstheme="majorBidi"/>
        </w:rPr>
        <w:t xml:space="preserve">database </w:t>
      </w:r>
      <w:r w:rsidR="003F19BC">
        <w:rPr>
          <w:rFonts w:asciiTheme="majorBidi" w:hAnsiTheme="majorBidi" w:cstheme="majorBidi"/>
        </w:rPr>
        <w:t>has been</w:t>
      </w:r>
      <w:r w:rsidRPr="00912246" w:rsidR="00B735E8">
        <w:rPr>
          <w:rFonts w:asciiTheme="majorBidi" w:hAnsiTheme="majorBidi" w:cstheme="majorBidi"/>
        </w:rPr>
        <w:t xml:space="preserve"> combined </w:t>
      </w:r>
      <w:r w:rsidR="00E45B7D">
        <w:rPr>
          <w:rFonts w:asciiTheme="majorBidi" w:hAnsiTheme="majorBidi" w:cstheme="majorBidi"/>
        </w:rPr>
        <w:t>with the frame</w:t>
      </w:r>
      <w:r w:rsidR="00BA08D8">
        <w:rPr>
          <w:rFonts w:asciiTheme="majorBidi" w:hAnsiTheme="majorBidi" w:cstheme="majorBidi"/>
        </w:rPr>
        <w:t xml:space="preserve"> from the 2018 CMEC</w:t>
      </w:r>
      <w:r w:rsidR="00E45B7D">
        <w:rPr>
          <w:rFonts w:asciiTheme="majorBidi" w:hAnsiTheme="majorBidi" w:cstheme="majorBidi"/>
        </w:rPr>
        <w:t xml:space="preserve"> </w:t>
      </w:r>
      <w:r w:rsidRPr="00912246" w:rsidR="00B735E8">
        <w:rPr>
          <w:rFonts w:asciiTheme="majorBidi" w:hAnsiTheme="majorBidi" w:cstheme="majorBidi"/>
        </w:rPr>
        <w:t xml:space="preserve">to produce a current universe list of </w:t>
      </w:r>
      <w:r w:rsidR="003F19BC">
        <w:rPr>
          <w:rFonts w:asciiTheme="majorBidi" w:hAnsiTheme="majorBidi" w:cstheme="majorBidi"/>
        </w:rPr>
        <w:t xml:space="preserve">approximately 2,300 </w:t>
      </w:r>
      <w:r w:rsidR="005218C3">
        <w:rPr>
          <w:rFonts w:asciiTheme="majorBidi" w:hAnsiTheme="majorBidi" w:cstheme="majorBidi"/>
        </w:rPr>
        <w:t>medical examiner and coroner (</w:t>
      </w:r>
      <w:r w:rsidRPr="00912246" w:rsidR="00B735E8">
        <w:rPr>
          <w:rFonts w:asciiTheme="majorBidi" w:hAnsiTheme="majorBidi" w:cstheme="majorBidi"/>
        </w:rPr>
        <w:t>MEC</w:t>
      </w:r>
      <w:r w:rsidR="005218C3">
        <w:rPr>
          <w:rFonts w:asciiTheme="majorBidi" w:hAnsiTheme="majorBidi" w:cstheme="majorBidi"/>
        </w:rPr>
        <w:t>) office</w:t>
      </w:r>
      <w:r w:rsidRPr="00912246" w:rsidR="00B735E8">
        <w:rPr>
          <w:rFonts w:asciiTheme="majorBidi" w:hAnsiTheme="majorBidi" w:cstheme="majorBidi"/>
        </w:rPr>
        <w:t>s</w:t>
      </w:r>
      <w:r w:rsidR="00B735E8">
        <w:rPr>
          <w:rFonts w:asciiTheme="majorBidi" w:hAnsiTheme="majorBidi" w:cstheme="majorBidi"/>
        </w:rPr>
        <w:t xml:space="preserve">. </w:t>
      </w:r>
      <w:r w:rsidR="003F19BC">
        <w:rPr>
          <w:rFonts w:asciiTheme="majorBidi" w:hAnsiTheme="majorBidi" w:cstheme="majorBidi"/>
        </w:rPr>
        <w:t xml:space="preserve">The 2023 CMEC will </w:t>
      </w:r>
      <w:r w:rsidR="00C40898">
        <w:rPr>
          <w:rFonts w:asciiTheme="majorBidi" w:hAnsiTheme="majorBidi" w:cstheme="majorBidi"/>
        </w:rPr>
        <w:t xml:space="preserve">be expanded to </w:t>
      </w:r>
      <w:r w:rsidR="003F19BC">
        <w:rPr>
          <w:rFonts w:asciiTheme="majorBidi" w:hAnsiTheme="majorBidi" w:cstheme="majorBidi"/>
        </w:rPr>
        <w:t xml:space="preserve">also include an additional 700 justices of the peace in Texas who conduct death investigations. </w:t>
      </w:r>
      <w:r w:rsidRPr="00912246" w:rsidR="00E45B7D">
        <w:rPr>
          <w:rFonts w:asciiTheme="majorBidi" w:hAnsiTheme="majorBidi" w:cstheme="majorBidi"/>
        </w:rPr>
        <w:t xml:space="preserve">Any duplicates </w:t>
      </w:r>
      <w:r w:rsidR="00C40898">
        <w:rPr>
          <w:rFonts w:asciiTheme="majorBidi" w:hAnsiTheme="majorBidi" w:cstheme="majorBidi"/>
        </w:rPr>
        <w:t xml:space="preserve">among the approximately 3,000 offices </w:t>
      </w:r>
      <w:r w:rsidR="00AF65C5">
        <w:rPr>
          <w:rFonts w:asciiTheme="majorBidi" w:hAnsiTheme="majorBidi" w:cstheme="majorBidi"/>
        </w:rPr>
        <w:t xml:space="preserve">in the 2023 CMEC frame </w:t>
      </w:r>
      <w:r w:rsidRPr="00912246" w:rsidR="00E45B7D">
        <w:rPr>
          <w:rFonts w:asciiTheme="majorBidi" w:hAnsiTheme="majorBidi" w:cstheme="majorBidi"/>
        </w:rPr>
        <w:t>will be removed</w:t>
      </w:r>
      <w:r w:rsidR="00F65B1A">
        <w:rPr>
          <w:rFonts w:asciiTheme="majorBidi" w:hAnsiTheme="majorBidi" w:cstheme="majorBidi"/>
        </w:rPr>
        <w:t xml:space="preserve"> based on</w:t>
      </w:r>
      <w:r w:rsidRPr="00912246" w:rsidR="00E45B7D">
        <w:rPr>
          <w:rFonts w:asciiTheme="majorBidi" w:hAnsiTheme="majorBidi" w:cstheme="majorBidi"/>
        </w:rPr>
        <w:t xml:space="preserve"> identical or nearly identical addresses, phone numbers, </w:t>
      </w:r>
      <w:r w:rsidRPr="00662915" w:rsidR="00E45B7D">
        <w:rPr>
          <w:rFonts w:asciiTheme="majorBidi" w:hAnsiTheme="majorBidi" w:cstheme="majorBidi"/>
        </w:rPr>
        <w:t>and/</w:t>
      </w:r>
      <w:r w:rsidRPr="00912246" w:rsidR="00E45B7D">
        <w:rPr>
          <w:rFonts w:asciiTheme="majorBidi" w:hAnsiTheme="majorBidi" w:cstheme="majorBidi"/>
        </w:rPr>
        <w:t>or names of the coroner or chief medical examiner.</w:t>
      </w:r>
      <w:r w:rsidRPr="00662915" w:rsidR="00E45B7D">
        <w:rPr>
          <w:rFonts w:asciiTheme="majorBidi" w:hAnsiTheme="majorBidi" w:cstheme="majorBidi"/>
          <w:color w:val="1F497D" w:themeColor="text2"/>
        </w:rPr>
        <w:t xml:space="preserve"> </w:t>
      </w:r>
      <w:r w:rsidR="000B2722">
        <w:rPr>
          <w:rFonts w:asciiTheme="majorBidi" w:hAnsiTheme="majorBidi" w:cstheme="majorBidi"/>
        </w:rPr>
        <w:t>F</w:t>
      </w:r>
      <w:r w:rsidRPr="002C20A4" w:rsidR="00EB0028">
        <w:rPr>
          <w:rFonts w:asciiTheme="majorBidi" w:hAnsiTheme="majorBidi" w:cstheme="majorBidi"/>
        </w:rPr>
        <w:t>rame verification</w:t>
      </w:r>
      <w:r w:rsidR="00B735E8">
        <w:rPr>
          <w:rFonts w:asciiTheme="majorBidi" w:hAnsiTheme="majorBidi" w:cstheme="majorBidi"/>
        </w:rPr>
        <w:t xml:space="preserve"> </w:t>
      </w:r>
      <w:r w:rsidR="00783516">
        <w:rPr>
          <w:rFonts w:asciiTheme="majorBidi" w:hAnsiTheme="majorBidi" w:cstheme="majorBidi"/>
        </w:rPr>
        <w:t>(as approved under the</w:t>
      </w:r>
      <w:r w:rsidR="00B735E8">
        <w:rPr>
          <w:rFonts w:asciiTheme="majorBidi" w:hAnsiTheme="majorBidi" w:cstheme="majorBidi"/>
        </w:rPr>
        <w:t xml:space="preserve"> OMB generic clearance approval 1121-0339)</w:t>
      </w:r>
      <w:r w:rsidRPr="002C20A4" w:rsidR="00EB0028">
        <w:rPr>
          <w:rFonts w:asciiTheme="majorBidi" w:hAnsiTheme="majorBidi" w:cstheme="majorBidi"/>
        </w:rPr>
        <w:t xml:space="preserve"> with</w:t>
      </w:r>
      <w:r w:rsidR="00AF0C45">
        <w:rPr>
          <w:rFonts w:asciiTheme="majorBidi" w:hAnsiTheme="majorBidi" w:cstheme="majorBidi"/>
        </w:rPr>
        <w:t xml:space="preserve"> email and</w:t>
      </w:r>
      <w:r w:rsidRPr="002C20A4" w:rsidR="00EB0028">
        <w:rPr>
          <w:rFonts w:asciiTheme="majorBidi" w:hAnsiTheme="majorBidi" w:cstheme="majorBidi"/>
        </w:rPr>
        <w:t xml:space="preserve"> telephone outreach </w:t>
      </w:r>
      <w:r w:rsidR="000B2722">
        <w:rPr>
          <w:rFonts w:asciiTheme="majorBidi" w:hAnsiTheme="majorBidi" w:cstheme="majorBidi"/>
        </w:rPr>
        <w:t xml:space="preserve">has been conducted </w:t>
      </w:r>
      <w:r w:rsidRPr="002C20A4" w:rsidR="00EB0028">
        <w:rPr>
          <w:rFonts w:asciiTheme="majorBidi" w:hAnsiTheme="majorBidi" w:cstheme="majorBidi"/>
        </w:rPr>
        <w:t xml:space="preserve">to confirm or collect contact information for the </w:t>
      </w:r>
      <w:r w:rsidR="00BA08D8">
        <w:rPr>
          <w:rFonts w:asciiTheme="majorBidi" w:hAnsiTheme="majorBidi" w:cstheme="majorBidi"/>
        </w:rPr>
        <w:t>C</w:t>
      </w:r>
      <w:r w:rsidRPr="002C20A4" w:rsidR="00EB0028">
        <w:rPr>
          <w:rFonts w:asciiTheme="majorBidi" w:hAnsiTheme="majorBidi" w:cstheme="majorBidi"/>
        </w:rPr>
        <w:t>MEC frame</w:t>
      </w:r>
      <w:r w:rsidR="00F17625">
        <w:rPr>
          <w:rFonts w:asciiTheme="majorBidi" w:hAnsiTheme="majorBidi" w:cstheme="majorBidi"/>
        </w:rPr>
        <w:t>.</w:t>
      </w:r>
    </w:p>
    <w:p w:rsidR="005A2FFF" w:rsidRPr="00912246" w:rsidP="009561F8" w14:paraId="13169381" w14:textId="77777777">
      <w:pPr>
        <w:rPr>
          <w:rFonts w:asciiTheme="majorBidi" w:hAnsiTheme="majorBidi" w:cstheme="majorBidi"/>
          <w:color w:val="1F497D"/>
        </w:rPr>
      </w:pPr>
    </w:p>
    <w:p w:rsidR="005A2FFF" w:rsidRPr="00912246" w:rsidP="00372210" w14:paraId="642578A1" w14:textId="18554911">
      <w:pPr>
        <w:rPr>
          <w:rFonts w:asciiTheme="majorBidi" w:hAnsiTheme="majorBidi" w:cstheme="majorBidi"/>
        </w:rPr>
      </w:pPr>
      <w:r w:rsidRPr="00912246">
        <w:rPr>
          <w:rFonts w:asciiTheme="majorBidi" w:hAnsiTheme="majorBidi" w:cstheme="majorBidi"/>
        </w:rPr>
        <w:t xml:space="preserve">As in </w:t>
      </w:r>
      <w:r w:rsidRPr="00912246" w:rsidR="007518E2">
        <w:rPr>
          <w:rFonts w:asciiTheme="majorBidi" w:hAnsiTheme="majorBidi" w:cstheme="majorBidi"/>
        </w:rPr>
        <w:t>previous administrations</w:t>
      </w:r>
      <w:r w:rsidRPr="00912246">
        <w:rPr>
          <w:rFonts w:asciiTheme="majorBidi" w:hAnsiTheme="majorBidi" w:cstheme="majorBidi"/>
        </w:rPr>
        <w:t xml:space="preserve">, </w:t>
      </w:r>
      <w:r w:rsidRPr="00912246" w:rsidR="00023294">
        <w:rPr>
          <w:rFonts w:asciiTheme="majorBidi" w:hAnsiTheme="majorBidi" w:cstheme="majorBidi"/>
        </w:rPr>
        <w:t xml:space="preserve">the </w:t>
      </w:r>
      <w:r w:rsidRPr="00912246" w:rsidR="006F4BDC">
        <w:rPr>
          <w:rFonts w:asciiTheme="majorBidi" w:hAnsiTheme="majorBidi" w:cstheme="majorBidi"/>
        </w:rPr>
        <w:t>20</w:t>
      </w:r>
      <w:r w:rsidR="001C7BD5">
        <w:rPr>
          <w:rFonts w:asciiTheme="majorBidi" w:hAnsiTheme="majorBidi" w:cstheme="majorBidi"/>
        </w:rPr>
        <w:t>23</w:t>
      </w:r>
      <w:r w:rsidR="00B3014D">
        <w:rPr>
          <w:rFonts w:asciiTheme="majorBidi" w:hAnsiTheme="majorBidi" w:cstheme="majorBidi"/>
        </w:rPr>
        <w:t xml:space="preserve"> </w:t>
      </w:r>
      <w:r w:rsidRPr="00912246" w:rsidR="00F45304">
        <w:rPr>
          <w:rFonts w:asciiTheme="majorBidi" w:hAnsiTheme="majorBidi" w:cstheme="majorBidi"/>
        </w:rPr>
        <w:t>CMEC</w:t>
      </w:r>
      <w:r w:rsidRPr="00912246">
        <w:rPr>
          <w:rFonts w:asciiTheme="majorBidi" w:hAnsiTheme="majorBidi" w:cstheme="majorBidi"/>
        </w:rPr>
        <w:t xml:space="preserve"> will be a census rather than a sample survey. </w:t>
      </w:r>
      <w:r w:rsidRPr="00912246" w:rsidR="00372124">
        <w:rPr>
          <w:rFonts w:asciiTheme="majorBidi" w:hAnsiTheme="majorBidi" w:cstheme="majorBidi"/>
        </w:rPr>
        <w:t>The reasons for this decision include the following:</w:t>
      </w:r>
    </w:p>
    <w:p w:rsidR="00372124" w:rsidRPr="00912246" w:rsidP="001D0B80" w14:paraId="0C919E3F" w14:textId="77777777">
      <w:pPr>
        <w:rPr>
          <w:rFonts w:asciiTheme="majorBidi" w:hAnsiTheme="majorBidi" w:cstheme="majorBidi"/>
        </w:rPr>
      </w:pPr>
    </w:p>
    <w:p w:rsidR="005A2FFF" w:rsidP="32790104" w14:paraId="7B903970" w14:textId="280955AF">
      <w:pPr>
        <w:pStyle w:val="ListParagraph"/>
        <w:numPr>
          <w:ilvl w:val="0"/>
          <w:numId w:val="22"/>
        </w:numPr>
        <w:rPr>
          <w:rFonts w:asciiTheme="majorBidi" w:hAnsiTheme="majorBidi" w:cstheme="majorBidi"/>
        </w:rPr>
      </w:pPr>
      <w:r w:rsidRPr="00912246">
        <w:rPr>
          <w:rFonts w:asciiTheme="majorBidi" w:hAnsiTheme="majorBidi" w:cstheme="majorBidi"/>
        </w:rPr>
        <w:t xml:space="preserve">The </w:t>
      </w:r>
      <w:r w:rsidRPr="00912246" w:rsidR="00CC7CB4">
        <w:rPr>
          <w:rFonts w:asciiTheme="majorBidi" w:hAnsiTheme="majorBidi" w:cstheme="majorBidi"/>
        </w:rPr>
        <w:t xml:space="preserve">eligible </w:t>
      </w:r>
      <w:r w:rsidRPr="00912246">
        <w:rPr>
          <w:rFonts w:asciiTheme="majorBidi" w:hAnsiTheme="majorBidi" w:cstheme="majorBidi"/>
        </w:rPr>
        <w:t xml:space="preserve">population is </w:t>
      </w:r>
      <w:r w:rsidRPr="00912246" w:rsidR="00372124">
        <w:rPr>
          <w:rFonts w:asciiTheme="majorBidi" w:hAnsiTheme="majorBidi" w:cstheme="majorBidi"/>
        </w:rPr>
        <w:t xml:space="preserve">expected to be </w:t>
      </w:r>
      <w:r w:rsidRPr="00912246">
        <w:rPr>
          <w:rFonts w:asciiTheme="majorBidi" w:hAnsiTheme="majorBidi" w:cstheme="majorBidi"/>
        </w:rPr>
        <w:t xml:space="preserve">approximately </w:t>
      </w:r>
      <w:r w:rsidR="001C7BD5">
        <w:rPr>
          <w:rFonts w:asciiTheme="majorBidi" w:hAnsiTheme="majorBidi" w:cstheme="majorBidi"/>
        </w:rPr>
        <w:t>3</w:t>
      </w:r>
      <w:r w:rsidRPr="00912246" w:rsidR="000E758D">
        <w:rPr>
          <w:rFonts w:asciiTheme="majorBidi" w:hAnsiTheme="majorBidi" w:cstheme="majorBidi"/>
        </w:rPr>
        <w:t>,</w:t>
      </w:r>
      <w:r w:rsidRPr="32790104" w:rsidR="009911E7">
        <w:rPr>
          <w:rFonts w:asciiTheme="majorBidi" w:hAnsiTheme="majorBidi" w:cstheme="majorBidi"/>
        </w:rPr>
        <w:t>0</w:t>
      </w:r>
      <w:r w:rsidRPr="32790104" w:rsidR="1E4D47E3">
        <w:rPr>
          <w:rFonts w:asciiTheme="majorBidi" w:hAnsiTheme="majorBidi" w:cstheme="majorBidi"/>
        </w:rPr>
        <w:t>00</w:t>
      </w:r>
      <w:r w:rsidRPr="00912246" w:rsidR="000E758D">
        <w:rPr>
          <w:rFonts w:asciiTheme="majorBidi" w:hAnsiTheme="majorBidi" w:cstheme="majorBidi"/>
        </w:rPr>
        <w:t xml:space="preserve"> agencies</w:t>
      </w:r>
      <w:r w:rsidRPr="00912246">
        <w:rPr>
          <w:rFonts w:asciiTheme="majorBidi" w:hAnsiTheme="majorBidi" w:cstheme="majorBidi"/>
        </w:rPr>
        <w:t xml:space="preserve">. Moving to a sample survey </w:t>
      </w:r>
      <w:r w:rsidRPr="00912246" w:rsidR="00EA179E">
        <w:rPr>
          <w:rFonts w:asciiTheme="majorBidi" w:hAnsiTheme="majorBidi" w:cstheme="majorBidi"/>
        </w:rPr>
        <w:t>with a universe of this size will not</w:t>
      </w:r>
      <w:r w:rsidRPr="00912246">
        <w:rPr>
          <w:rFonts w:asciiTheme="majorBidi" w:hAnsiTheme="majorBidi" w:cstheme="majorBidi"/>
        </w:rPr>
        <w:t xml:space="preserve"> result in significant cost savings</w:t>
      </w:r>
      <w:r w:rsidRPr="00912246" w:rsidR="00605F88">
        <w:rPr>
          <w:rFonts w:asciiTheme="majorBidi" w:hAnsiTheme="majorBidi" w:cstheme="majorBidi"/>
        </w:rPr>
        <w:t xml:space="preserve"> given</w:t>
      </w:r>
      <w:r w:rsidRPr="00912246" w:rsidR="00597E58">
        <w:rPr>
          <w:rFonts w:asciiTheme="majorBidi" w:hAnsiTheme="majorBidi" w:cstheme="majorBidi"/>
        </w:rPr>
        <w:t xml:space="preserve"> the stratification </w:t>
      </w:r>
      <w:r w:rsidRPr="00912246" w:rsidR="00605F88">
        <w:rPr>
          <w:rFonts w:asciiTheme="majorBidi" w:hAnsiTheme="majorBidi" w:cstheme="majorBidi"/>
        </w:rPr>
        <w:t xml:space="preserve">dimensions needed to capture critical aspects of the universe, such as size and jurisdictional characteristics. </w:t>
      </w:r>
      <w:r w:rsidRPr="00912246" w:rsidR="007B49A0">
        <w:rPr>
          <w:rFonts w:asciiTheme="majorBidi" w:hAnsiTheme="majorBidi" w:cstheme="majorBidi"/>
        </w:rPr>
        <w:t>The MDI</w:t>
      </w:r>
      <w:r w:rsidRPr="32790104" w:rsidR="007B49A0">
        <w:rPr>
          <w:rFonts w:asciiTheme="majorBidi" w:hAnsiTheme="majorBidi" w:cstheme="majorBidi"/>
        </w:rPr>
        <w:t xml:space="preserve"> </w:t>
      </w:r>
      <w:r w:rsidRPr="32790104" w:rsidR="07090DF1">
        <w:rPr>
          <w:rFonts w:asciiTheme="majorBidi" w:hAnsiTheme="majorBidi" w:cstheme="majorBidi"/>
        </w:rPr>
        <w:t>system</w:t>
      </w:r>
      <w:r w:rsidRPr="00912246" w:rsidR="007B49A0">
        <w:rPr>
          <w:rFonts w:asciiTheme="majorBidi" w:hAnsiTheme="majorBidi" w:cstheme="majorBidi"/>
        </w:rPr>
        <w:t xml:space="preserve"> is such a well-known constellation of disparate agencies that it has been called a “patchwork” in the forensic professional, scientific, and popular literatures.</w:t>
      </w:r>
    </w:p>
    <w:p w:rsidR="001772F0" w:rsidRPr="00912246" w:rsidP="001772F0" w14:paraId="33457439" w14:textId="77777777">
      <w:pPr>
        <w:pStyle w:val="ListParagraph"/>
        <w:contextualSpacing w:val="0"/>
        <w:rPr>
          <w:rFonts w:asciiTheme="majorBidi" w:hAnsiTheme="majorBidi" w:cstheme="majorBidi"/>
        </w:rPr>
      </w:pPr>
    </w:p>
    <w:p w:rsidR="005A2FFF" w:rsidRPr="001772F0" w:rsidP="00D1351F" w14:paraId="02BC54E7" w14:textId="4608CD9A">
      <w:pPr>
        <w:pStyle w:val="ListParagraph"/>
        <w:numPr>
          <w:ilvl w:val="0"/>
          <w:numId w:val="22"/>
        </w:numPr>
        <w:contextualSpacing w:val="0"/>
        <w:rPr>
          <w:rFonts w:asciiTheme="majorBidi" w:hAnsiTheme="majorBidi" w:cstheme="majorBidi"/>
        </w:rPr>
      </w:pPr>
      <w:r w:rsidRPr="001772F0">
        <w:rPr>
          <w:rFonts w:asciiTheme="majorBidi" w:hAnsiTheme="majorBidi" w:cstheme="majorBidi"/>
        </w:rPr>
        <w:t xml:space="preserve">A census provides BJS with an opportunity to show how </w:t>
      </w:r>
      <w:r w:rsidRPr="001772F0" w:rsidR="00BD114C">
        <w:rPr>
          <w:rFonts w:asciiTheme="majorBidi" w:hAnsiTheme="majorBidi" w:cstheme="majorBidi"/>
        </w:rPr>
        <w:t>MEC</w:t>
      </w:r>
      <w:r w:rsidR="000576EE">
        <w:rPr>
          <w:rFonts w:asciiTheme="majorBidi" w:hAnsiTheme="majorBidi" w:cstheme="majorBidi"/>
        </w:rPr>
        <w:t xml:space="preserve"> office</w:t>
      </w:r>
      <w:r w:rsidRPr="001772F0" w:rsidR="00BD114C">
        <w:rPr>
          <w:rFonts w:asciiTheme="majorBidi" w:hAnsiTheme="majorBidi" w:cstheme="majorBidi"/>
        </w:rPr>
        <w:t>s</w:t>
      </w:r>
      <w:r w:rsidRPr="001772F0">
        <w:rPr>
          <w:rFonts w:asciiTheme="majorBidi" w:hAnsiTheme="majorBidi" w:cstheme="majorBidi"/>
        </w:rPr>
        <w:t xml:space="preserve"> vary across and within states. Being able to compare </w:t>
      </w:r>
      <w:r w:rsidRPr="001772F0" w:rsidR="00BD114C">
        <w:rPr>
          <w:rFonts w:asciiTheme="majorBidi" w:hAnsiTheme="majorBidi" w:cstheme="majorBidi"/>
        </w:rPr>
        <w:t>MEC</w:t>
      </w:r>
      <w:r w:rsidR="000576EE">
        <w:rPr>
          <w:rFonts w:asciiTheme="majorBidi" w:hAnsiTheme="majorBidi" w:cstheme="majorBidi"/>
        </w:rPr>
        <w:t xml:space="preserve"> office</w:t>
      </w:r>
      <w:r w:rsidRPr="001772F0" w:rsidR="00BD114C">
        <w:rPr>
          <w:rFonts w:asciiTheme="majorBidi" w:hAnsiTheme="majorBidi" w:cstheme="majorBidi"/>
        </w:rPr>
        <w:t>s</w:t>
      </w:r>
      <w:r w:rsidRPr="001772F0">
        <w:rPr>
          <w:rFonts w:asciiTheme="majorBidi" w:hAnsiTheme="majorBidi" w:cstheme="majorBidi"/>
        </w:rPr>
        <w:t xml:space="preserve"> is particularly important </w:t>
      </w:r>
      <w:r w:rsidRPr="001772F0" w:rsidR="00CC7CB4">
        <w:rPr>
          <w:rFonts w:asciiTheme="majorBidi" w:hAnsiTheme="majorBidi" w:cstheme="majorBidi"/>
        </w:rPr>
        <w:t>considering</w:t>
      </w:r>
      <w:r w:rsidRPr="001772F0">
        <w:rPr>
          <w:rFonts w:asciiTheme="majorBidi" w:hAnsiTheme="majorBidi" w:cstheme="majorBidi"/>
        </w:rPr>
        <w:t xml:space="preserve"> the variability that exists among these organizations in terms of administration, </w:t>
      </w:r>
      <w:r w:rsidRPr="001772F0" w:rsidR="00BD114C">
        <w:rPr>
          <w:rFonts w:asciiTheme="majorBidi" w:hAnsiTheme="majorBidi" w:cstheme="majorBidi"/>
        </w:rPr>
        <w:t xml:space="preserve">caseload, </w:t>
      </w:r>
      <w:r w:rsidRPr="001772F0">
        <w:rPr>
          <w:rFonts w:asciiTheme="majorBidi" w:hAnsiTheme="majorBidi" w:cstheme="majorBidi"/>
        </w:rPr>
        <w:t xml:space="preserve">policies, </w:t>
      </w:r>
      <w:r w:rsidRPr="001772F0" w:rsidR="00BD114C">
        <w:rPr>
          <w:rFonts w:asciiTheme="majorBidi" w:hAnsiTheme="majorBidi" w:cstheme="majorBidi"/>
        </w:rPr>
        <w:t>procedures, resources, staffing, and infrastructure.</w:t>
      </w:r>
      <w:r w:rsidRPr="001772F0" w:rsidR="001772F0">
        <w:rPr>
          <w:rFonts w:asciiTheme="majorBidi" w:hAnsiTheme="majorBidi" w:cstheme="majorBidi"/>
        </w:rPr>
        <w:t xml:space="preserve"> These differences were critical findings in the 2004</w:t>
      </w:r>
      <w:r>
        <w:rPr>
          <w:rStyle w:val="FootnoteReference"/>
          <w:rFonts w:asciiTheme="majorBidi" w:hAnsiTheme="majorBidi"/>
        </w:rPr>
        <w:footnoteReference w:id="3"/>
      </w:r>
      <w:r w:rsidRPr="001772F0" w:rsidR="001772F0">
        <w:rPr>
          <w:rFonts w:asciiTheme="majorBidi" w:hAnsiTheme="majorBidi" w:cstheme="majorBidi"/>
        </w:rPr>
        <w:t xml:space="preserve"> </w:t>
      </w:r>
      <w:r w:rsidR="00F55176">
        <w:rPr>
          <w:rFonts w:asciiTheme="majorBidi" w:hAnsiTheme="majorBidi" w:cstheme="majorBidi"/>
        </w:rPr>
        <w:t>and 2018</w:t>
      </w:r>
      <w:r>
        <w:rPr>
          <w:rStyle w:val="FootnoteReference"/>
          <w:rFonts w:asciiTheme="majorBidi" w:hAnsiTheme="majorBidi"/>
        </w:rPr>
        <w:footnoteReference w:id="4"/>
      </w:r>
      <w:r w:rsidR="00356D98">
        <w:rPr>
          <w:rFonts w:asciiTheme="majorBidi" w:hAnsiTheme="majorBidi" w:cstheme="majorBidi"/>
        </w:rPr>
        <w:t xml:space="preserve"> CMEC</w:t>
      </w:r>
      <w:r w:rsidRPr="001772F0" w:rsidR="001772F0">
        <w:rPr>
          <w:rFonts w:asciiTheme="majorBidi" w:hAnsiTheme="majorBidi" w:cstheme="majorBidi"/>
        </w:rPr>
        <w:t>.</w:t>
      </w:r>
      <w:r w:rsidRPr="001772F0">
        <w:rPr>
          <w:rFonts w:asciiTheme="majorBidi" w:hAnsiTheme="majorBidi" w:cstheme="majorBidi"/>
        </w:rPr>
        <w:t xml:space="preserve"> </w:t>
      </w:r>
    </w:p>
    <w:p w:rsidR="000576EE" w:rsidP="000576EE" w14:paraId="42D19DF8" w14:textId="77777777">
      <w:pPr>
        <w:pStyle w:val="ListParagraph"/>
        <w:rPr>
          <w:rFonts w:asciiTheme="majorBidi" w:hAnsiTheme="majorBidi" w:cstheme="majorBidi"/>
          <w:bCs/>
        </w:rPr>
      </w:pPr>
    </w:p>
    <w:p w:rsidR="005D6CDA" w:rsidRPr="00912246" w:rsidP="009561F8" w14:paraId="0E11D147" w14:textId="2B2C298C">
      <w:pPr>
        <w:pStyle w:val="ListParagraph"/>
        <w:numPr>
          <w:ilvl w:val="0"/>
          <w:numId w:val="22"/>
        </w:numPr>
        <w:contextualSpacing w:val="0"/>
        <w:rPr>
          <w:rFonts w:asciiTheme="majorBidi" w:hAnsiTheme="majorBidi" w:cstheme="majorBidi"/>
          <w:bCs/>
        </w:rPr>
      </w:pPr>
      <w:r w:rsidRPr="00912246">
        <w:rPr>
          <w:rFonts w:asciiTheme="majorBidi" w:hAnsiTheme="majorBidi" w:cstheme="majorBidi"/>
        </w:rPr>
        <w:t xml:space="preserve">Other </w:t>
      </w:r>
      <w:r w:rsidR="00356D98">
        <w:rPr>
          <w:rFonts w:asciiTheme="majorBidi" w:hAnsiTheme="majorBidi" w:cstheme="majorBidi"/>
        </w:rPr>
        <w:t>f</w:t>
      </w:r>
      <w:r w:rsidRPr="00912246">
        <w:rPr>
          <w:rFonts w:asciiTheme="majorBidi" w:hAnsiTheme="majorBidi" w:cstheme="majorBidi"/>
        </w:rPr>
        <w:t>ederal, state</w:t>
      </w:r>
      <w:r w:rsidRPr="00912246" w:rsidR="000A650C">
        <w:rPr>
          <w:rFonts w:asciiTheme="majorBidi" w:hAnsiTheme="majorBidi" w:cstheme="majorBidi"/>
        </w:rPr>
        <w:t>,</w:t>
      </w:r>
      <w:r w:rsidRPr="00912246">
        <w:rPr>
          <w:rFonts w:asciiTheme="majorBidi" w:hAnsiTheme="majorBidi" w:cstheme="majorBidi"/>
        </w:rPr>
        <w:t xml:space="preserve"> and local agencies are interested in </w:t>
      </w:r>
      <w:r w:rsidRPr="00912246" w:rsidR="00F45304">
        <w:rPr>
          <w:rFonts w:asciiTheme="majorBidi" w:hAnsiTheme="majorBidi" w:cstheme="majorBidi"/>
        </w:rPr>
        <w:t>CMEC</w:t>
      </w:r>
      <w:r w:rsidRPr="00912246">
        <w:rPr>
          <w:rFonts w:asciiTheme="majorBidi" w:hAnsiTheme="majorBidi" w:cstheme="majorBidi"/>
        </w:rPr>
        <w:t xml:space="preserve"> data because </w:t>
      </w:r>
      <w:r w:rsidRPr="00912246" w:rsidR="0087770F">
        <w:rPr>
          <w:rFonts w:asciiTheme="majorBidi" w:hAnsiTheme="majorBidi" w:cstheme="majorBidi"/>
        </w:rPr>
        <w:t xml:space="preserve">the data can be used </w:t>
      </w:r>
      <w:r w:rsidRPr="00912246">
        <w:rPr>
          <w:rFonts w:asciiTheme="majorBidi" w:hAnsiTheme="majorBidi" w:cstheme="majorBidi"/>
        </w:rPr>
        <w:t xml:space="preserve">to </w:t>
      </w:r>
      <w:r w:rsidRPr="00912246" w:rsidR="0087770F">
        <w:rPr>
          <w:rFonts w:asciiTheme="majorBidi" w:hAnsiTheme="majorBidi" w:cstheme="majorBidi"/>
        </w:rPr>
        <w:t xml:space="preserve">describe </w:t>
      </w:r>
      <w:r w:rsidRPr="00912246">
        <w:rPr>
          <w:rFonts w:asciiTheme="majorBidi" w:hAnsiTheme="majorBidi" w:cstheme="majorBidi"/>
        </w:rPr>
        <w:t xml:space="preserve">the programs and </w:t>
      </w:r>
      <w:r w:rsidRPr="00912246" w:rsidR="00693D82">
        <w:rPr>
          <w:rFonts w:asciiTheme="majorBidi" w:hAnsiTheme="majorBidi" w:cstheme="majorBidi"/>
        </w:rPr>
        <w:t>infrastructure needs</w:t>
      </w:r>
      <w:r w:rsidRPr="00912246" w:rsidR="00747B75">
        <w:rPr>
          <w:rFonts w:asciiTheme="majorBidi" w:hAnsiTheme="majorBidi" w:cstheme="majorBidi"/>
        </w:rPr>
        <w:t xml:space="preserve">. </w:t>
      </w:r>
      <w:r w:rsidRPr="00912246">
        <w:rPr>
          <w:rFonts w:asciiTheme="majorBidi" w:hAnsiTheme="majorBidi" w:cstheme="majorBidi"/>
        </w:rPr>
        <w:t xml:space="preserve">With a census design, </w:t>
      </w:r>
      <w:r w:rsidRPr="00912246">
        <w:rPr>
          <w:rFonts w:asciiTheme="majorBidi" w:hAnsiTheme="majorBidi" w:cstheme="majorBidi"/>
          <w:bCs/>
        </w:rPr>
        <w:t xml:space="preserve">these data can be used to support expansion and enhancement of </w:t>
      </w:r>
      <w:r w:rsidRPr="00912246" w:rsidR="00693D82">
        <w:rPr>
          <w:rFonts w:asciiTheme="majorBidi" w:hAnsiTheme="majorBidi" w:cstheme="majorBidi"/>
          <w:bCs/>
        </w:rPr>
        <w:t>MEC</w:t>
      </w:r>
      <w:r w:rsidR="000576EE">
        <w:rPr>
          <w:rFonts w:asciiTheme="majorBidi" w:hAnsiTheme="majorBidi" w:cstheme="majorBidi"/>
          <w:bCs/>
        </w:rPr>
        <w:t xml:space="preserve"> office</w:t>
      </w:r>
      <w:r w:rsidRPr="00912246" w:rsidR="00693D82">
        <w:rPr>
          <w:rFonts w:asciiTheme="majorBidi" w:hAnsiTheme="majorBidi" w:cstheme="majorBidi"/>
          <w:bCs/>
        </w:rPr>
        <w:t xml:space="preserve">s </w:t>
      </w:r>
      <w:r w:rsidRPr="00912246">
        <w:rPr>
          <w:rFonts w:asciiTheme="majorBidi" w:hAnsiTheme="majorBidi" w:cstheme="majorBidi"/>
          <w:bCs/>
        </w:rPr>
        <w:t xml:space="preserve">through funding from the Department of Justice and other sources. </w:t>
      </w:r>
    </w:p>
    <w:p w:rsidR="005D6CDA" w:rsidRPr="00912246" w:rsidP="009561F8" w14:paraId="5C963C7A" w14:textId="77777777">
      <w:pPr>
        <w:ind w:left="360"/>
        <w:rPr>
          <w:rFonts w:asciiTheme="majorBidi" w:hAnsiTheme="majorBidi" w:cstheme="majorBidi"/>
          <w:bCs/>
        </w:rPr>
      </w:pPr>
    </w:p>
    <w:p w:rsidR="005A2FFF" w:rsidRPr="00912246" w:rsidP="009561F8" w14:paraId="0A9B0132" w14:textId="6F6FCDB0">
      <w:pPr>
        <w:pStyle w:val="ListParagraph"/>
        <w:numPr>
          <w:ilvl w:val="0"/>
          <w:numId w:val="22"/>
        </w:numPr>
        <w:contextualSpacing w:val="0"/>
        <w:rPr>
          <w:rFonts w:asciiTheme="majorBidi" w:hAnsiTheme="majorBidi" w:cstheme="majorBidi"/>
        </w:rPr>
      </w:pPr>
      <w:r w:rsidRPr="00912246">
        <w:rPr>
          <w:rFonts w:asciiTheme="majorBidi" w:hAnsiTheme="majorBidi" w:cstheme="majorBidi"/>
        </w:rPr>
        <w:t xml:space="preserve">A census provides an opportunity to build a foundation for conducting future surveys of </w:t>
      </w:r>
      <w:r w:rsidRPr="00912246" w:rsidR="000E758D">
        <w:rPr>
          <w:rFonts w:asciiTheme="majorBidi" w:hAnsiTheme="majorBidi" w:cstheme="majorBidi"/>
        </w:rPr>
        <w:t>MEC</w:t>
      </w:r>
      <w:r w:rsidR="000576EE">
        <w:rPr>
          <w:rFonts w:asciiTheme="majorBidi" w:hAnsiTheme="majorBidi" w:cstheme="majorBidi"/>
        </w:rPr>
        <w:t xml:space="preserve"> office</w:t>
      </w:r>
      <w:r w:rsidRPr="00912246" w:rsidR="000E758D">
        <w:rPr>
          <w:rFonts w:asciiTheme="majorBidi" w:hAnsiTheme="majorBidi" w:cstheme="majorBidi"/>
        </w:rPr>
        <w:t xml:space="preserve">s </w:t>
      </w:r>
      <w:r w:rsidRPr="00912246" w:rsidR="00597E58">
        <w:rPr>
          <w:rFonts w:asciiTheme="majorBidi" w:hAnsiTheme="majorBidi" w:cstheme="majorBidi"/>
        </w:rPr>
        <w:t xml:space="preserve">by other </w:t>
      </w:r>
      <w:r w:rsidR="00356D98">
        <w:rPr>
          <w:rFonts w:asciiTheme="majorBidi" w:hAnsiTheme="majorBidi" w:cstheme="majorBidi"/>
        </w:rPr>
        <w:t>f</w:t>
      </w:r>
      <w:r w:rsidRPr="00912246" w:rsidR="00597E58">
        <w:rPr>
          <w:rFonts w:asciiTheme="majorBidi" w:hAnsiTheme="majorBidi" w:cstheme="majorBidi"/>
        </w:rPr>
        <w:t>ederal agencies.</w:t>
      </w:r>
      <w:r w:rsidRPr="00912246" w:rsidR="00BA3119">
        <w:rPr>
          <w:rFonts w:asciiTheme="majorBidi" w:hAnsiTheme="majorBidi" w:cstheme="majorBidi"/>
        </w:rPr>
        <w:t xml:space="preserve"> </w:t>
      </w:r>
      <w:r w:rsidRPr="00912246">
        <w:rPr>
          <w:rFonts w:asciiTheme="majorBidi" w:hAnsiTheme="majorBidi" w:cstheme="majorBidi"/>
        </w:rPr>
        <w:t xml:space="preserve">Completing the </w:t>
      </w:r>
      <w:r w:rsidR="00356D98">
        <w:rPr>
          <w:rFonts w:asciiTheme="majorBidi" w:hAnsiTheme="majorBidi" w:cstheme="majorBidi"/>
        </w:rPr>
        <w:t>CMEC</w:t>
      </w:r>
      <w:r w:rsidRPr="00912246">
        <w:rPr>
          <w:rFonts w:asciiTheme="majorBidi" w:hAnsiTheme="majorBidi" w:cstheme="majorBidi"/>
        </w:rPr>
        <w:t xml:space="preserve">, for example, will provide the information </w:t>
      </w:r>
      <w:r w:rsidRPr="00912246" w:rsidR="0087770F">
        <w:rPr>
          <w:rFonts w:asciiTheme="majorBidi" w:hAnsiTheme="majorBidi" w:cstheme="majorBidi"/>
        </w:rPr>
        <w:t xml:space="preserve">necessary to </w:t>
      </w:r>
      <w:r w:rsidRPr="00912246">
        <w:rPr>
          <w:rFonts w:asciiTheme="majorBidi" w:hAnsiTheme="majorBidi" w:cstheme="majorBidi"/>
        </w:rPr>
        <w:t>produc</w:t>
      </w:r>
      <w:r w:rsidRPr="00912246" w:rsidR="0087770F">
        <w:rPr>
          <w:rFonts w:asciiTheme="majorBidi" w:hAnsiTheme="majorBidi" w:cstheme="majorBidi"/>
        </w:rPr>
        <w:t>e</w:t>
      </w:r>
      <w:r w:rsidRPr="00912246">
        <w:rPr>
          <w:rFonts w:asciiTheme="majorBidi" w:hAnsiTheme="majorBidi" w:cstheme="majorBidi"/>
        </w:rPr>
        <w:t xml:space="preserve"> samples based on a more </w:t>
      </w:r>
      <w:r w:rsidRPr="00912246" w:rsidR="0087770F">
        <w:rPr>
          <w:rFonts w:asciiTheme="majorBidi" w:hAnsiTheme="majorBidi" w:cstheme="majorBidi"/>
        </w:rPr>
        <w:t xml:space="preserve">comprehensive </w:t>
      </w:r>
      <w:r w:rsidRPr="00912246">
        <w:rPr>
          <w:rFonts w:asciiTheme="majorBidi" w:hAnsiTheme="majorBidi" w:cstheme="majorBidi"/>
        </w:rPr>
        <w:t xml:space="preserve">and fuller understanding of how each </w:t>
      </w:r>
      <w:r w:rsidRPr="00912246" w:rsidR="00693D82">
        <w:rPr>
          <w:rFonts w:asciiTheme="majorBidi" w:hAnsiTheme="majorBidi" w:cstheme="majorBidi"/>
        </w:rPr>
        <w:t xml:space="preserve">MEC operates given the variability that exists within and across states. </w:t>
      </w:r>
      <w:r w:rsidRPr="00912246">
        <w:rPr>
          <w:rFonts w:asciiTheme="majorBidi" w:hAnsiTheme="majorBidi" w:cstheme="majorBidi"/>
        </w:rPr>
        <w:t xml:space="preserve">Attempting to generate samples of </w:t>
      </w:r>
      <w:r w:rsidRPr="00912246" w:rsidR="00693D82">
        <w:rPr>
          <w:rFonts w:asciiTheme="majorBidi" w:hAnsiTheme="majorBidi" w:cstheme="majorBidi"/>
        </w:rPr>
        <w:t>MEC</w:t>
      </w:r>
      <w:r w:rsidR="000576EE">
        <w:rPr>
          <w:rFonts w:asciiTheme="majorBidi" w:hAnsiTheme="majorBidi" w:cstheme="majorBidi"/>
        </w:rPr>
        <w:t xml:space="preserve"> office</w:t>
      </w:r>
      <w:r w:rsidRPr="00912246" w:rsidR="00693D82">
        <w:rPr>
          <w:rFonts w:asciiTheme="majorBidi" w:hAnsiTheme="majorBidi" w:cstheme="majorBidi"/>
        </w:rPr>
        <w:t>s</w:t>
      </w:r>
      <w:r w:rsidRPr="00912246">
        <w:rPr>
          <w:rFonts w:asciiTheme="majorBidi" w:hAnsiTheme="majorBidi" w:cstheme="majorBidi"/>
        </w:rPr>
        <w:t xml:space="preserve"> without this crucial information would be more time intensive and costly.</w:t>
      </w:r>
    </w:p>
    <w:p w:rsidR="00597E58" w:rsidRPr="00912246" w:rsidP="009561F8" w14:paraId="77898BB7" w14:textId="77777777">
      <w:pPr>
        <w:pStyle w:val="ListParagraph"/>
        <w:contextualSpacing w:val="0"/>
        <w:rPr>
          <w:rFonts w:asciiTheme="majorBidi" w:hAnsiTheme="majorBidi" w:cstheme="majorBidi"/>
        </w:rPr>
      </w:pPr>
    </w:p>
    <w:p w:rsidR="00597E58" w:rsidRPr="00912246" w:rsidP="009561F8" w14:paraId="72C1E04A" w14:textId="5ADBC6FF">
      <w:pPr>
        <w:pStyle w:val="ListParagraph"/>
        <w:numPr>
          <w:ilvl w:val="0"/>
          <w:numId w:val="22"/>
        </w:numPr>
        <w:contextualSpacing w:val="0"/>
        <w:rPr>
          <w:rFonts w:asciiTheme="majorBidi" w:hAnsiTheme="majorBidi" w:cstheme="majorBidi"/>
        </w:rPr>
      </w:pPr>
      <w:r w:rsidRPr="00912246">
        <w:rPr>
          <w:rFonts w:asciiTheme="majorBidi" w:hAnsiTheme="majorBidi" w:cstheme="majorBidi"/>
        </w:rPr>
        <w:t xml:space="preserve">While not essential for national estimates, the small increase in effort to conduct a census over a sample would allow BJS to report on </w:t>
      </w:r>
      <w:r w:rsidRPr="00912246" w:rsidR="00693D82">
        <w:rPr>
          <w:rFonts w:asciiTheme="majorBidi" w:hAnsiTheme="majorBidi" w:cstheme="majorBidi"/>
        </w:rPr>
        <w:t>MEC</w:t>
      </w:r>
      <w:r w:rsidR="000576EE">
        <w:rPr>
          <w:rFonts w:asciiTheme="majorBidi" w:hAnsiTheme="majorBidi" w:cstheme="majorBidi"/>
        </w:rPr>
        <w:t xml:space="preserve"> office</w:t>
      </w:r>
      <w:r w:rsidRPr="00912246" w:rsidR="00693D82">
        <w:rPr>
          <w:rFonts w:asciiTheme="majorBidi" w:hAnsiTheme="majorBidi" w:cstheme="majorBidi"/>
        </w:rPr>
        <w:t>s</w:t>
      </w:r>
      <w:r w:rsidRPr="00912246">
        <w:rPr>
          <w:rFonts w:asciiTheme="majorBidi" w:hAnsiTheme="majorBidi" w:cstheme="majorBidi"/>
        </w:rPr>
        <w:t xml:space="preserve"> in all 50 states</w:t>
      </w:r>
      <w:r w:rsidRPr="00912246" w:rsidR="004867CD">
        <w:rPr>
          <w:rFonts w:asciiTheme="majorBidi" w:hAnsiTheme="majorBidi" w:cstheme="majorBidi"/>
        </w:rPr>
        <w:t xml:space="preserve"> and Washington DC</w:t>
      </w:r>
      <w:r w:rsidRPr="00912246">
        <w:rPr>
          <w:rFonts w:asciiTheme="majorBidi" w:hAnsiTheme="majorBidi" w:cstheme="majorBidi"/>
        </w:rPr>
        <w:t>.</w:t>
      </w:r>
      <w:r w:rsidRPr="00912246" w:rsidR="00BA3119">
        <w:rPr>
          <w:rFonts w:asciiTheme="majorBidi" w:hAnsiTheme="majorBidi" w:cstheme="majorBidi"/>
        </w:rPr>
        <w:t xml:space="preserve"> </w:t>
      </w:r>
    </w:p>
    <w:p w:rsidR="00421095" w:rsidRPr="00912246" w:rsidP="009561F8" w14:paraId="12C67DFB" w14:textId="77777777">
      <w:pPr>
        <w:pStyle w:val="SP-SglSpPara"/>
        <w:spacing w:line="240" w:lineRule="auto"/>
        <w:ind w:firstLine="0"/>
        <w:jc w:val="left"/>
        <w:rPr>
          <w:rFonts w:asciiTheme="majorBidi" w:hAnsiTheme="majorBidi" w:cstheme="majorBidi"/>
          <w:sz w:val="24"/>
          <w:szCs w:val="24"/>
        </w:rPr>
      </w:pPr>
    </w:p>
    <w:p w:rsidR="00421095" w:rsidRPr="00912246" w:rsidP="009561F8" w14:paraId="63DBCCD7" w14:textId="77777777">
      <w:pPr>
        <w:pStyle w:val="ListParagraph"/>
        <w:numPr>
          <w:ilvl w:val="0"/>
          <w:numId w:val="5"/>
        </w:numPr>
        <w:ind w:left="360"/>
        <w:contextualSpacing w:val="0"/>
        <w:rPr>
          <w:rFonts w:asciiTheme="majorBidi" w:hAnsiTheme="majorBidi" w:cstheme="majorBidi"/>
          <w:b/>
          <w:u w:val="single"/>
        </w:rPr>
      </w:pPr>
      <w:r w:rsidRPr="00912246">
        <w:rPr>
          <w:rFonts w:asciiTheme="majorBidi" w:hAnsiTheme="majorBidi" w:cstheme="majorBidi"/>
          <w:b/>
          <w:u w:val="single"/>
        </w:rPr>
        <w:t>Procedures for Collecting Information</w:t>
      </w:r>
    </w:p>
    <w:p w:rsidR="00421095" w:rsidP="009561F8" w14:paraId="024E38F7" w14:textId="0DEA494B">
      <w:pPr>
        <w:rPr>
          <w:rFonts w:asciiTheme="majorBidi" w:hAnsiTheme="majorBidi" w:cstheme="majorBidi"/>
          <w:i/>
        </w:rPr>
      </w:pPr>
    </w:p>
    <w:p w:rsidR="00CD0C57" w:rsidRPr="00660FFC" w:rsidP="00CD0C57" w14:paraId="253ED64B" w14:textId="77777777">
      <w:pPr>
        <w:tabs>
          <w:tab w:val="left" w:pos="360"/>
          <w:tab w:val="left" w:pos="720"/>
        </w:tabs>
        <w:rPr>
          <w:b/>
          <w:bCs/>
        </w:rPr>
      </w:pPr>
      <w:r w:rsidRPr="00660FFC">
        <w:rPr>
          <w:b/>
          <w:bCs/>
        </w:rPr>
        <w:t>Data Collection Procedures</w:t>
      </w:r>
      <w:r w:rsidRPr="00660FFC">
        <w:rPr>
          <w:b/>
          <w:bCs/>
        </w:rPr>
        <w:t xml:space="preserve"> </w:t>
      </w:r>
    </w:p>
    <w:p w:rsidR="00281800" w:rsidP="008A50EA" w14:paraId="3952E3A9" w14:textId="77777777">
      <w:pPr>
        <w:rPr>
          <w:rFonts w:asciiTheme="majorBidi" w:hAnsiTheme="majorBidi" w:cstheme="majorBidi"/>
        </w:rPr>
      </w:pPr>
    </w:p>
    <w:p w:rsidR="007D2796" w:rsidP="008A50EA" w14:paraId="604E3381" w14:textId="3647D3A0">
      <w:pPr>
        <w:rPr>
          <w:rFonts w:asciiTheme="majorBidi" w:hAnsiTheme="majorBidi" w:cstheme="majorBidi"/>
        </w:rPr>
      </w:pPr>
      <w:r>
        <w:rPr>
          <w:rFonts w:asciiTheme="majorBidi" w:hAnsiTheme="majorBidi" w:cstheme="majorBidi"/>
        </w:rPr>
        <w:t xml:space="preserve">The </w:t>
      </w:r>
      <w:r w:rsidR="00D21238">
        <w:rPr>
          <w:rFonts w:asciiTheme="majorBidi" w:hAnsiTheme="majorBidi" w:cstheme="majorBidi"/>
        </w:rPr>
        <w:t xml:space="preserve">2023 </w:t>
      </w:r>
      <w:r>
        <w:rPr>
          <w:rFonts w:asciiTheme="majorBidi" w:hAnsiTheme="majorBidi" w:cstheme="majorBidi"/>
        </w:rPr>
        <w:t xml:space="preserve">CMEC will </w:t>
      </w:r>
      <w:r w:rsidRPr="00912246" w:rsidR="00451D4F">
        <w:rPr>
          <w:rFonts w:asciiTheme="majorBidi" w:hAnsiTheme="majorBidi" w:cstheme="majorBidi"/>
        </w:rPr>
        <w:t xml:space="preserve">be </w:t>
      </w:r>
      <w:r w:rsidRPr="00912246" w:rsidR="00E94DD9">
        <w:rPr>
          <w:rFonts w:asciiTheme="majorBidi" w:hAnsiTheme="majorBidi" w:cstheme="majorBidi"/>
        </w:rPr>
        <w:t xml:space="preserve">a multi-mode data collection approach using web as the </w:t>
      </w:r>
      <w:r w:rsidRPr="00912246" w:rsidR="002571A7">
        <w:rPr>
          <w:rFonts w:asciiTheme="majorBidi" w:hAnsiTheme="majorBidi" w:cstheme="majorBidi"/>
        </w:rPr>
        <w:t>primary mode</w:t>
      </w:r>
      <w:r w:rsidRPr="00912246" w:rsidR="00E94DD9">
        <w:rPr>
          <w:rFonts w:asciiTheme="majorBidi" w:hAnsiTheme="majorBidi" w:cstheme="majorBidi"/>
        </w:rPr>
        <w:t xml:space="preserve">, </w:t>
      </w:r>
      <w:r w:rsidRPr="00912246" w:rsidR="002571A7">
        <w:rPr>
          <w:rFonts w:asciiTheme="majorBidi" w:hAnsiTheme="majorBidi" w:cstheme="majorBidi"/>
        </w:rPr>
        <w:t>with hard copy data collection as an alternative</w:t>
      </w:r>
      <w:r w:rsidR="001A5854">
        <w:rPr>
          <w:rFonts w:asciiTheme="majorBidi" w:hAnsiTheme="majorBidi" w:cstheme="majorBidi"/>
        </w:rPr>
        <w:t xml:space="preserve"> (see </w:t>
      </w:r>
      <w:r w:rsidRPr="00A80570" w:rsidR="001A5854">
        <w:rPr>
          <w:rFonts w:asciiTheme="majorBidi" w:hAnsiTheme="majorBidi" w:cstheme="majorBidi"/>
          <w:b/>
          <w:bCs/>
        </w:rPr>
        <w:t>Attachment 1</w:t>
      </w:r>
      <w:r w:rsidR="001A5854">
        <w:rPr>
          <w:rFonts w:asciiTheme="majorBidi" w:hAnsiTheme="majorBidi" w:cstheme="majorBidi"/>
        </w:rPr>
        <w:t xml:space="preserve"> for the full survey</w:t>
      </w:r>
      <w:r w:rsidR="00617031">
        <w:rPr>
          <w:rFonts w:asciiTheme="majorBidi" w:hAnsiTheme="majorBidi" w:cstheme="majorBidi"/>
        </w:rPr>
        <w:t xml:space="preserve"> and </w:t>
      </w:r>
      <w:r w:rsidR="006B39B9">
        <w:rPr>
          <w:rFonts w:asciiTheme="majorBidi" w:hAnsiTheme="majorBidi" w:cstheme="majorBidi"/>
        </w:rPr>
        <w:t xml:space="preserve">example </w:t>
      </w:r>
      <w:r w:rsidR="00617031">
        <w:rPr>
          <w:rFonts w:asciiTheme="majorBidi" w:hAnsiTheme="majorBidi" w:cstheme="majorBidi"/>
        </w:rPr>
        <w:t>screenshots of web instrument</w:t>
      </w:r>
      <w:r w:rsidR="001A5854">
        <w:rPr>
          <w:rFonts w:asciiTheme="majorBidi" w:hAnsiTheme="majorBidi" w:cstheme="majorBidi"/>
        </w:rPr>
        <w:t>)</w:t>
      </w:r>
      <w:r w:rsidRPr="00912246" w:rsidR="00C629F7">
        <w:rPr>
          <w:rFonts w:asciiTheme="majorBidi" w:hAnsiTheme="majorBidi" w:cstheme="majorBidi"/>
        </w:rPr>
        <w:t>,</w:t>
      </w:r>
      <w:r w:rsidRPr="00912246" w:rsidR="002571A7">
        <w:rPr>
          <w:rFonts w:asciiTheme="majorBidi" w:hAnsiTheme="majorBidi" w:cstheme="majorBidi"/>
        </w:rPr>
        <w:t xml:space="preserve"> </w:t>
      </w:r>
      <w:r w:rsidRPr="00912246" w:rsidR="00E94DD9">
        <w:rPr>
          <w:rFonts w:asciiTheme="majorBidi" w:hAnsiTheme="majorBidi" w:cstheme="majorBidi"/>
        </w:rPr>
        <w:t xml:space="preserve">and </w:t>
      </w:r>
      <w:r w:rsidRPr="00912246" w:rsidR="002571A7">
        <w:rPr>
          <w:rFonts w:asciiTheme="majorBidi" w:hAnsiTheme="majorBidi" w:cstheme="majorBidi"/>
        </w:rPr>
        <w:t xml:space="preserve">mail and </w:t>
      </w:r>
      <w:r w:rsidRPr="00912246" w:rsidR="00E94DD9">
        <w:rPr>
          <w:rFonts w:asciiTheme="majorBidi" w:hAnsiTheme="majorBidi" w:cstheme="majorBidi"/>
        </w:rPr>
        <w:t xml:space="preserve">telephone follow-up as needed. The </w:t>
      </w:r>
      <w:r w:rsidRPr="00912246" w:rsidR="00747B75">
        <w:rPr>
          <w:rFonts w:asciiTheme="majorBidi" w:hAnsiTheme="majorBidi" w:cstheme="majorBidi"/>
        </w:rPr>
        <w:t xml:space="preserve">data collection </w:t>
      </w:r>
      <w:r w:rsidRPr="00912246" w:rsidR="00E94DD9">
        <w:rPr>
          <w:rFonts w:asciiTheme="majorBidi" w:hAnsiTheme="majorBidi" w:cstheme="majorBidi"/>
        </w:rPr>
        <w:t xml:space="preserve">period will last approximately </w:t>
      </w:r>
      <w:r w:rsidR="0069339F">
        <w:rPr>
          <w:rFonts w:asciiTheme="majorBidi" w:hAnsiTheme="majorBidi" w:cstheme="majorBidi"/>
        </w:rPr>
        <w:t>ten</w:t>
      </w:r>
      <w:r w:rsidRPr="00912246" w:rsidR="0069339F">
        <w:rPr>
          <w:rFonts w:asciiTheme="majorBidi" w:hAnsiTheme="majorBidi" w:cstheme="majorBidi"/>
        </w:rPr>
        <w:t xml:space="preserve"> </w:t>
      </w:r>
      <w:r w:rsidRPr="00912246" w:rsidR="00E94DD9">
        <w:rPr>
          <w:rFonts w:asciiTheme="majorBidi" w:hAnsiTheme="majorBidi" w:cstheme="majorBidi"/>
        </w:rPr>
        <w:t>months and will involve initial invitations, several reminders, and an end-of-study letter. In addition, there will be data quality and non-response follow-up</w:t>
      </w:r>
      <w:r w:rsidR="002F2969">
        <w:rPr>
          <w:rFonts w:asciiTheme="majorBidi" w:hAnsiTheme="majorBidi" w:cstheme="majorBidi"/>
        </w:rPr>
        <w:t xml:space="preserve"> </w:t>
      </w:r>
      <w:r w:rsidRPr="000B4B80" w:rsidR="002F2969">
        <w:rPr>
          <w:rFonts w:asciiTheme="majorBidi" w:hAnsiTheme="majorBidi" w:cstheme="majorBidi"/>
        </w:rPr>
        <w:t xml:space="preserve">(see </w:t>
      </w:r>
      <w:r w:rsidRPr="00A80570" w:rsidR="002F2969">
        <w:rPr>
          <w:rFonts w:asciiTheme="majorBidi" w:hAnsiTheme="majorBidi" w:cstheme="majorBidi"/>
          <w:b/>
          <w:bCs/>
        </w:rPr>
        <w:t xml:space="preserve">Table </w:t>
      </w:r>
      <w:r w:rsidRPr="00A80570" w:rsidR="000B4B80">
        <w:rPr>
          <w:rFonts w:asciiTheme="majorBidi" w:hAnsiTheme="majorBidi" w:cstheme="majorBidi"/>
          <w:b/>
          <w:bCs/>
        </w:rPr>
        <w:t>6</w:t>
      </w:r>
      <w:r w:rsidRPr="000B4B80" w:rsidR="000B4B80">
        <w:rPr>
          <w:rFonts w:asciiTheme="majorBidi" w:hAnsiTheme="majorBidi" w:cstheme="majorBidi"/>
        </w:rPr>
        <w:t xml:space="preserve"> </w:t>
      </w:r>
      <w:r w:rsidRPr="000B4B80" w:rsidR="002F2969">
        <w:rPr>
          <w:rFonts w:asciiTheme="majorBidi" w:hAnsiTheme="majorBidi" w:cstheme="majorBidi"/>
        </w:rPr>
        <w:t>for schedule)</w:t>
      </w:r>
      <w:r w:rsidRPr="000B4B80" w:rsidR="00E94DD9">
        <w:rPr>
          <w:rFonts w:asciiTheme="majorBidi" w:hAnsiTheme="majorBidi" w:cstheme="majorBidi"/>
        </w:rPr>
        <w:t>.</w:t>
      </w:r>
    </w:p>
    <w:p w:rsidR="004D05E2" w:rsidP="008A50EA" w14:paraId="3E30E10F" w14:textId="77777777">
      <w:pPr>
        <w:rPr>
          <w:rFonts w:asciiTheme="majorBidi" w:hAnsiTheme="majorBidi" w:cstheme="majorBidi"/>
        </w:rPr>
      </w:pPr>
    </w:p>
    <w:p w:rsidR="00DA77FB" w:rsidP="00DA77FB" w14:paraId="6095BFF3" w14:textId="77777777">
      <w:pPr>
        <w:autoSpaceDE w:val="0"/>
        <w:autoSpaceDN w:val="0"/>
        <w:adjustRightInd w:val="0"/>
        <w:spacing w:before="3"/>
        <w:ind w:right="59"/>
        <w:rPr>
          <w:b/>
        </w:rPr>
      </w:pPr>
    </w:p>
    <w:p w:rsidR="00DA77FB" w:rsidP="00DA77FB" w14:paraId="14ECF965" w14:textId="77777777">
      <w:pPr>
        <w:autoSpaceDE w:val="0"/>
        <w:autoSpaceDN w:val="0"/>
        <w:adjustRightInd w:val="0"/>
        <w:spacing w:before="3"/>
        <w:ind w:right="59"/>
        <w:rPr>
          <w:b/>
        </w:rPr>
      </w:pPr>
    </w:p>
    <w:p w:rsidR="00DA77FB" w:rsidP="00DA77FB" w14:paraId="42D8C4D5" w14:textId="77777777">
      <w:pPr>
        <w:autoSpaceDE w:val="0"/>
        <w:autoSpaceDN w:val="0"/>
        <w:adjustRightInd w:val="0"/>
        <w:spacing w:before="3"/>
        <w:ind w:right="59"/>
        <w:rPr>
          <w:b/>
        </w:rPr>
      </w:pPr>
    </w:p>
    <w:p w:rsidR="00DA77FB" w:rsidP="00DA77FB" w14:paraId="32CF2BD2" w14:textId="77777777">
      <w:pPr>
        <w:autoSpaceDE w:val="0"/>
        <w:autoSpaceDN w:val="0"/>
        <w:adjustRightInd w:val="0"/>
        <w:spacing w:before="3"/>
        <w:ind w:right="59"/>
        <w:rPr>
          <w:b/>
        </w:rPr>
      </w:pPr>
    </w:p>
    <w:p w:rsidR="00DA77FB" w:rsidP="00DA77FB" w14:paraId="29357A55" w14:textId="77777777">
      <w:pPr>
        <w:autoSpaceDE w:val="0"/>
        <w:autoSpaceDN w:val="0"/>
        <w:adjustRightInd w:val="0"/>
        <w:spacing w:before="3"/>
        <w:ind w:right="59"/>
        <w:rPr>
          <w:b/>
        </w:rPr>
      </w:pPr>
    </w:p>
    <w:p w:rsidR="00DA77FB" w:rsidP="00DA77FB" w14:paraId="5B8C29E9" w14:textId="77777777">
      <w:pPr>
        <w:autoSpaceDE w:val="0"/>
        <w:autoSpaceDN w:val="0"/>
        <w:adjustRightInd w:val="0"/>
        <w:spacing w:before="3"/>
        <w:ind w:right="59"/>
        <w:rPr>
          <w:b/>
        </w:rPr>
      </w:pPr>
    </w:p>
    <w:p w:rsidR="00DA77FB" w:rsidP="00DA77FB" w14:paraId="6C50BDAC" w14:textId="77777777">
      <w:pPr>
        <w:autoSpaceDE w:val="0"/>
        <w:autoSpaceDN w:val="0"/>
        <w:adjustRightInd w:val="0"/>
        <w:spacing w:before="3"/>
        <w:ind w:right="59"/>
        <w:rPr>
          <w:b/>
        </w:rPr>
      </w:pPr>
    </w:p>
    <w:p w:rsidR="00DA77FB" w:rsidP="00DA77FB" w14:paraId="66A5BC44" w14:textId="77777777">
      <w:pPr>
        <w:autoSpaceDE w:val="0"/>
        <w:autoSpaceDN w:val="0"/>
        <w:adjustRightInd w:val="0"/>
        <w:spacing w:before="3"/>
        <w:ind w:right="59"/>
        <w:rPr>
          <w:b/>
        </w:rPr>
      </w:pPr>
    </w:p>
    <w:p w:rsidR="00DA77FB" w:rsidP="00DA77FB" w14:paraId="1E9508FF" w14:textId="77777777">
      <w:pPr>
        <w:autoSpaceDE w:val="0"/>
        <w:autoSpaceDN w:val="0"/>
        <w:adjustRightInd w:val="0"/>
        <w:spacing w:before="3"/>
        <w:ind w:right="59"/>
        <w:rPr>
          <w:b/>
        </w:rPr>
      </w:pPr>
    </w:p>
    <w:p w:rsidR="00DA77FB" w:rsidP="00DA77FB" w14:paraId="20CD25CF" w14:textId="77777777">
      <w:pPr>
        <w:autoSpaceDE w:val="0"/>
        <w:autoSpaceDN w:val="0"/>
        <w:adjustRightInd w:val="0"/>
        <w:spacing w:before="3"/>
        <w:ind w:right="59"/>
        <w:rPr>
          <w:b/>
        </w:rPr>
      </w:pPr>
    </w:p>
    <w:p w:rsidR="00DA77FB" w:rsidP="00DA77FB" w14:paraId="3E4677AE" w14:textId="77777777">
      <w:pPr>
        <w:autoSpaceDE w:val="0"/>
        <w:autoSpaceDN w:val="0"/>
        <w:adjustRightInd w:val="0"/>
        <w:spacing w:before="3"/>
        <w:ind w:right="59"/>
        <w:rPr>
          <w:b/>
        </w:rPr>
      </w:pPr>
    </w:p>
    <w:p w:rsidR="00DA77FB" w:rsidP="00DA77FB" w14:paraId="216B9942" w14:textId="77777777">
      <w:pPr>
        <w:autoSpaceDE w:val="0"/>
        <w:autoSpaceDN w:val="0"/>
        <w:adjustRightInd w:val="0"/>
        <w:spacing w:before="3"/>
        <w:ind w:right="59"/>
        <w:rPr>
          <w:b/>
        </w:rPr>
      </w:pPr>
    </w:p>
    <w:p w:rsidR="00DA77FB" w:rsidP="00DA77FB" w14:paraId="134B691B" w14:textId="77777777">
      <w:pPr>
        <w:autoSpaceDE w:val="0"/>
        <w:autoSpaceDN w:val="0"/>
        <w:adjustRightInd w:val="0"/>
        <w:spacing w:before="3"/>
        <w:ind w:right="59"/>
        <w:rPr>
          <w:b/>
        </w:rPr>
      </w:pPr>
    </w:p>
    <w:p w:rsidR="00DA77FB" w:rsidP="00DA77FB" w14:paraId="4B9B981C" w14:textId="086E875B">
      <w:pPr>
        <w:autoSpaceDE w:val="0"/>
        <w:autoSpaceDN w:val="0"/>
        <w:adjustRightInd w:val="0"/>
        <w:spacing w:before="3"/>
        <w:ind w:right="59"/>
      </w:pPr>
      <w:r w:rsidRPr="00DE2725">
        <w:rPr>
          <w:b/>
        </w:rPr>
        <w:t xml:space="preserve">Table </w:t>
      </w:r>
      <w:r>
        <w:rPr>
          <w:b/>
        </w:rPr>
        <w:t>6</w:t>
      </w:r>
      <w:r w:rsidRPr="00655B53">
        <w:rPr>
          <w:b/>
        </w:rPr>
        <w:t>. Outreach schedule for CMEC</w:t>
      </w:r>
    </w:p>
    <w:tbl>
      <w:tblPr>
        <w:tblW w:w="9540" w:type="dxa"/>
        <w:tblLayout w:type="fixed"/>
        <w:tblLook w:val="04A0"/>
      </w:tblPr>
      <w:tblGrid>
        <w:gridCol w:w="4050"/>
        <w:gridCol w:w="1800"/>
        <w:gridCol w:w="1890"/>
        <w:gridCol w:w="1800"/>
      </w:tblGrid>
      <w:tr w14:paraId="2845FDB0" w14:textId="77777777" w:rsidTr="00A80570">
        <w:tblPrEx>
          <w:tblW w:w="9540" w:type="dxa"/>
          <w:tblLayout w:type="fixed"/>
          <w:tblLook w:val="04A0"/>
        </w:tblPrEx>
        <w:trPr>
          <w:trHeight w:val="300"/>
        </w:trPr>
        <w:tc>
          <w:tcPr>
            <w:tcW w:w="4050" w:type="dxa"/>
            <w:tcBorders>
              <w:top w:val="single" w:sz="4" w:space="0" w:color="auto"/>
              <w:left w:val="nil"/>
              <w:bottom w:val="single" w:sz="4" w:space="0" w:color="auto"/>
              <w:right w:val="nil"/>
            </w:tcBorders>
            <w:shd w:val="clear" w:color="auto" w:fill="auto"/>
            <w:noWrap/>
            <w:vAlign w:val="bottom"/>
            <w:hideMark/>
          </w:tcPr>
          <w:p w:rsidR="00DA77FB" w:rsidRPr="00B8502C" w:rsidP="00342014" w14:paraId="2B273ED8" w14:textId="77777777">
            <w:pPr>
              <w:keepNext/>
              <w:keepLines/>
              <w:rPr>
                <w:b/>
                <w:bCs/>
                <w:color w:val="000000"/>
              </w:rPr>
            </w:pPr>
            <w:r w:rsidRPr="00B8502C">
              <w:rPr>
                <w:b/>
                <w:bCs/>
                <w:color w:val="000000"/>
              </w:rPr>
              <w:t>Stage</w:t>
            </w:r>
          </w:p>
        </w:tc>
        <w:tc>
          <w:tcPr>
            <w:tcW w:w="1800" w:type="dxa"/>
            <w:tcBorders>
              <w:top w:val="single" w:sz="4" w:space="0" w:color="auto"/>
              <w:left w:val="nil"/>
              <w:bottom w:val="single" w:sz="4" w:space="0" w:color="auto"/>
              <w:right w:val="nil"/>
            </w:tcBorders>
            <w:shd w:val="clear" w:color="auto" w:fill="auto"/>
            <w:noWrap/>
            <w:vAlign w:val="bottom"/>
            <w:hideMark/>
          </w:tcPr>
          <w:p w:rsidR="00DA77FB" w:rsidRPr="00B8502C" w:rsidP="00342014" w14:paraId="1BA2A1B0" w14:textId="77777777">
            <w:pPr>
              <w:keepNext/>
              <w:keepLines/>
              <w:jc w:val="center"/>
              <w:rPr>
                <w:b/>
                <w:bCs/>
                <w:color w:val="000000"/>
              </w:rPr>
            </w:pPr>
            <w:r>
              <w:rPr>
                <w:b/>
                <w:bCs/>
                <w:color w:val="000000"/>
              </w:rPr>
              <w:t>Timing</w:t>
            </w:r>
          </w:p>
        </w:tc>
        <w:tc>
          <w:tcPr>
            <w:tcW w:w="1890" w:type="dxa"/>
            <w:tcBorders>
              <w:top w:val="single" w:sz="4" w:space="0" w:color="auto"/>
              <w:left w:val="nil"/>
              <w:bottom w:val="single" w:sz="4" w:space="0" w:color="auto"/>
              <w:right w:val="nil"/>
            </w:tcBorders>
            <w:vAlign w:val="bottom"/>
          </w:tcPr>
          <w:p w:rsidR="00DA77FB" w:rsidRPr="00B8502C" w:rsidP="00342014" w14:paraId="49219FC6" w14:textId="77777777">
            <w:pPr>
              <w:keepNext/>
              <w:keepLines/>
              <w:jc w:val="center"/>
              <w:rPr>
                <w:b/>
                <w:bCs/>
                <w:color w:val="000000"/>
              </w:rPr>
            </w:pPr>
            <w:r w:rsidRPr="00B8502C">
              <w:rPr>
                <w:b/>
                <w:bCs/>
                <w:color w:val="000000"/>
              </w:rPr>
              <w:t>Type of contact</w:t>
            </w:r>
          </w:p>
        </w:tc>
        <w:tc>
          <w:tcPr>
            <w:tcW w:w="1800" w:type="dxa"/>
            <w:tcBorders>
              <w:top w:val="single" w:sz="4" w:space="0" w:color="auto"/>
              <w:left w:val="nil"/>
              <w:bottom w:val="single" w:sz="4" w:space="0" w:color="auto"/>
              <w:right w:val="nil"/>
            </w:tcBorders>
            <w:shd w:val="clear" w:color="auto" w:fill="auto"/>
            <w:vAlign w:val="bottom"/>
            <w:hideMark/>
          </w:tcPr>
          <w:p w:rsidR="00DA77FB" w:rsidRPr="00B8502C" w:rsidP="00342014" w14:paraId="29FB49AB" w14:textId="77777777">
            <w:pPr>
              <w:keepNext/>
              <w:keepLines/>
              <w:jc w:val="center"/>
              <w:rPr>
                <w:b/>
                <w:bCs/>
                <w:color w:val="000000"/>
              </w:rPr>
            </w:pPr>
            <w:r w:rsidRPr="00B8502C">
              <w:rPr>
                <w:b/>
                <w:bCs/>
                <w:color w:val="000000"/>
              </w:rPr>
              <w:t>Attachment number</w:t>
            </w:r>
            <w:r>
              <w:rPr>
                <w:b/>
                <w:bCs/>
                <w:color w:val="000000"/>
              </w:rPr>
              <w:t>(s)</w:t>
            </w:r>
          </w:p>
        </w:tc>
      </w:tr>
      <w:tr w14:paraId="7FCF3555" w14:textId="77777777" w:rsidTr="00A80570">
        <w:tblPrEx>
          <w:tblW w:w="9540" w:type="dxa"/>
          <w:tblLayout w:type="fixed"/>
          <w:tblLook w:val="04A0"/>
        </w:tblPrEx>
        <w:trPr>
          <w:trHeight w:val="162"/>
        </w:trPr>
        <w:tc>
          <w:tcPr>
            <w:tcW w:w="4050" w:type="dxa"/>
            <w:tcBorders>
              <w:top w:val="single" w:sz="4" w:space="0" w:color="auto"/>
              <w:left w:val="nil"/>
              <w:bottom w:val="single" w:sz="4" w:space="0" w:color="auto"/>
              <w:right w:val="nil"/>
            </w:tcBorders>
            <w:shd w:val="clear" w:color="auto" w:fill="auto"/>
            <w:vAlign w:val="bottom"/>
            <w:hideMark/>
          </w:tcPr>
          <w:p w:rsidR="00DA77FB" w:rsidRPr="00A80570" w:rsidP="00342014" w14:paraId="2022173D" w14:textId="41E84017">
            <w:pPr>
              <w:keepNext/>
              <w:keepLines/>
              <w:rPr>
                <w:color w:val="000000"/>
                <w:sz w:val="22"/>
                <w:szCs w:val="22"/>
              </w:rPr>
            </w:pPr>
            <w:r w:rsidRPr="00A80570">
              <w:rPr>
                <w:color w:val="000000"/>
                <w:sz w:val="22"/>
                <w:szCs w:val="22"/>
              </w:rPr>
              <w:t>Survey invitation letter (with URL and login instructions), endorsement letter</w:t>
            </w:r>
          </w:p>
        </w:tc>
        <w:tc>
          <w:tcPr>
            <w:tcW w:w="1800" w:type="dxa"/>
            <w:tcBorders>
              <w:top w:val="single" w:sz="4" w:space="0" w:color="auto"/>
              <w:left w:val="nil"/>
              <w:bottom w:val="single" w:sz="4" w:space="0" w:color="auto"/>
              <w:right w:val="nil"/>
            </w:tcBorders>
            <w:shd w:val="clear" w:color="auto" w:fill="auto"/>
            <w:noWrap/>
            <w:vAlign w:val="bottom"/>
            <w:hideMark/>
          </w:tcPr>
          <w:p w:rsidR="00DA77FB" w:rsidRPr="00A80570" w:rsidP="00342014" w14:paraId="56E251E1" w14:textId="77777777">
            <w:pPr>
              <w:keepNext/>
              <w:keepLines/>
              <w:jc w:val="center"/>
              <w:rPr>
                <w:color w:val="000000"/>
                <w:sz w:val="22"/>
                <w:szCs w:val="22"/>
              </w:rPr>
            </w:pPr>
            <w:r w:rsidRPr="00A80570">
              <w:rPr>
                <w:color w:val="000000"/>
                <w:sz w:val="22"/>
                <w:szCs w:val="22"/>
              </w:rPr>
              <w:t xml:space="preserve">Week 1 </w:t>
            </w:r>
          </w:p>
        </w:tc>
        <w:tc>
          <w:tcPr>
            <w:tcW w:w="1890" w:type="dxa"/>
            <w:tcBorders>
              <w:top w:val="single" w:sz="4" w:space="0" w:color="auto"/>
              <w:left w:val="nil"/>
              <w:bottom w:val="single" w:sz="4" w:space="0" w:color="auto"/>
              <w:right w:val="nil"/>
            </w:tcBorders>
            <w:vAlign w:val="bottom"/>
          </w:tcPr>
          <w:p w:rsidR="00DA77FB" w:rsidRPr="00A80570" w:rsidP="00342014" w14:paraId="436C12F5" w14:textId="77777777">
            <w:pPr>
              <w:keepNext/>
              <w:keepLines/>
              <w:jc w:val="center"/>
              <w:rPr>
                <w:color w:val="000000"/>
                <w:sz w:val="22"/>
                <w:szCs w:val="22"/>
                <w:highlight w:val="yellow"/>
              </w:rPr>
            </w:pPr>
            <w:r w:rsidRPr="00A80570">
              <w:rPr>
                <w:color w:val="000000"/>
                <w:sz w:val="22"/>
                <w:szCs w:val="22"/>
              </w:rPr>
              <w:t>All</w:t>
            </w:r>
          </w:p>
        </w:tc>
        <w:tc>
          <w:tcPr>
            <w:tcW w:w="1800" w:type="dxa"/>
            <w:tcBorders>
              <w:top w:val="single" w:sz="4" w:space="0" w:color="auto"/>
              <w:left w:val="nil"/>
              <w:bottom w:val="single" w:sz="4" w:space="0" w:color="auto"/>
              <w:right w:val="nil"/>
            </w:tcBorders>
            <w:shd w:val="clear" w:color="auto" w:fill="auto"/>
            <w:noWrap/>
            <w:vAlign w:val="bottom"/>
          </w:tcPr>
          <w:p w:rsidR="00DA77FB" w:rsidRPr="00A80570" w:rsidP="00342014" w14:paraId="24202243" w14:textId="77777777">
            <w:pPr>
              <w:keepNext/>
              <w:keepLines/>
              <w:jc w:val="center"/>
              <w:rPr>
                <w:color w:val="000000"/>
                <w:sz w:val="22"/>
                <w:szCs w:val="22"/>
              </w:rPr>
            </w:pPr>
            <w:r w:rsidRPr="00A80570">
              <w:rPr>
                <w:color w:val="000000"/>
                <w:sz w:val="22"/>
                <w:szCs w:val="22"/>
              </w:rPr>
              <w:t xml:space="preserve">6, 7 </w:t>
            </w:r>
          </w:p>
        </w:tc>
      </w:tr>
      <w:tr w14:paraId="740376A1" w14:textId="77777777" w:rsidTr="00A80570">
        <w:tblPrEx>
          <w:tblW w:w="9540" w:type="dxa"/>
          <w:tblLayout w:type="fixed"/>
          <w:tblLook w:val="04A0"/>
        </w:tblPrEx>
        <w:trPr>
          <w:trHeight w:val="963"/>
        </w:trPr>
        <w:tc>
          <w:tcPr>
            <w:tcW w:w="4050" w:type="dxa"/>
            <w:tcBorders>
              <w:top w:val="single" w:sz="4" w:space="0" w:color="auto"/>
              <w:left w:val="nil"/>
              <w:bottom w:val="single" w:sz="4" w:space="0" w:color="auto"/>
              <w:right w:val="nil"/>
            </w:tcBorders>
            <w:shd w:val="clear" w:color="auto" w:fill="auto"/>
            <w:vAlign w:val="bottom"/>
            <w:hideMark/>
          </w:tcPr>
          <w:p w:rsidR="00DA77FB" w:rsidRPr="00A80570" w:rsidP="00342014" w14:paraId="4B3E0BA5" w14:textId="05EF7CFD">
            <w:pPr>
              <w:keepNext/>
              <w:keepLines/>
              <w:rPr>
                <w:color w:val="000000"/>
                <w:sz w:val="22"/>
                <w:szCs w:val="22"/>
              </w:rPr>
            </w:pPr>
            <w:r w:rsidRPr="00A80570">
              <w:rPr>
                <w:color w:val="000000"/>
                <w:sz w:val="22"/>
                <w:szCs w:val="22"/>
              </w:rPr>
              <w:t xml:space="preserve">Email invitation (with URL and login instructions), and endorsement letter posted to web and linked </w:t>
            </w:r>
          </w:p>
        </w:tc>
        <w:tc>
          <w:tcPr>
            <w:tcW w:w="1800" w:type="dxa"/>
            <w:tcBorders>
              <w:top w:val="single" w:sz="4" w:space="0" w:color="auto"/>
              <w:left w:val="nil"/>
              <w:bottom w:val="single" w:sz="4" w:space="0" w:color="auto"/>
              <w:right w:val="nil"/>
            </w:tcBorders>
            <w:shd w:val="clear" w:color="auto" w:fill="auto"/>
            <w:noWrap/>
            <w:vAlign w:val="bottom"/>
            <w:hideMark/>
          </w:tcPr>
          <w:p w:rsidR="00DA77FB" w:rsidRPr="00A80570" w:rsidP="00342014" w14:paraId="265185E5" w14:textId="77777777">
            <w:pPr>
              <w:keepNext/>
              <w:keepLines/>
              <w:jc w:val="center"/>
              <w:rPr>
                <w:color w:val="000000"/>
                <w:sz w:val="22"/>
                <w:szCs w:val="22"/>
              </w:rPr>
            </w:pPr>
            <w:r w:rsidRPr="00A80570">
              <w:rPr>
                <w:color w:val="000000"/>
                <w:sz w:val="22"/>
                <w:szCs w:val="22"/>
              </w:rPr>
              <w:t>Week 2</w:t>
            </w:r>
          </w:p>
        </w:tc>
        <w:tc>
          <w:tcPr>
            <w:tcW w:w="1890" w:type="dxa"/>
            <w:tcBorders>
              <w:top w:val="single" w:sz="4" w:space="0" w:color="auto"/>
              <w:left w:val="nil"/>
              <w:bottom w:val="single" w:sz="4" w:space="0" w:color="auto"/>
              <w:right w:val="nil"/>
            </w:tcBorders>
            <w:vAlign w:val="bottom"/>
          </w:tcPr>
          <w:p w:rsidR="00DA77FB" w:rsidRPr="00A80570" w:rsidP="00342014" w14:paraId="208A6A93" w14:textId="77777777">
            <w:pPr>
              <w:keepNext/>
              <w:keepLines/>
              <w:jc w:val="center"/>
              <w:rPr>
                <w:color w:val="000000"/>
                <w:sz w:val="22"/>
                <w:szCs w:val="22"/>
                <w:highlight w:val="yellow"/>
              </w:rPr>
            </w:pPr>
            <w:r w:rsidRPr="00A80570">
              <w:rPr>
                <w:color w:val="000000"/>
                <w:sz w:val="22"/>
                <w:szCs w:val="22"/>
              </w:rPr>
              <w:t>All</w:t>
            </w:r>
          </w:p>
        </w:tc>
        <w:tc>
          <w:tcPr>
            <w:tcW w:w="1800" w:type="dxa"/>
            <w:tcBorders>
              <w:top w:val="single" w:sz="4" w:space="0" w:color="auto"/>
              <w:left w:val="nil"/>
              <w:bottom w:val="single" w:sz="4" w:space="0" w:color="auto"/>
              <w:right w:val="nil"/>
            </w:tcBorders>
            <w:shd w:val="clear" w:color="auto" w:fill="auto"/>
            <w:noWrap/>
            <w:vAlign w:val="bottom"/>
          </w:tcPr>
          <w:p w:rsidR="00DA77FB" w:rsidRPr="00A80570" w:rsidP="00342014" w14:paraId="79274EB5" w14:textId="77777777">
            <w:pPr>
              <w:keepNext/>
              <w:keepLines/>
              <w:jc w:val="center"/>
              <w:rPr>
                <w:color w:val="000000"/>
                <w:sz w:val="22"/>
                <w:szCs w:val="22"/>
              </w:rPr>
            </w:pPr>
            <w:r w:rsidRPr="00A80570">
              <w:rPr>
                <w:color w:val="000000"/>
                <w:sz w:val="22"/>
                <w:szCs w:val="22"/>
              </w:rPr>
              <w:t>8</w:t>
            </w:r>
          </w:p>
        </w:tc>
      </w:tr>
      <w:tr w14:paraId="3F9ABF2F" w14:textId="77777777" w:rsidTr="00A80570">
        <w:tblPrEx>
          <w:tblW w:w="9540" w:type="dxa"/>
          <w:tblLayout w:type="fixed"/>
          <w:tblLook w:val="04A0"/>
        </w:tblPrEx>
        <w:trPr>
          <w:trHeight w:val="300"/>
        </w:trPr>
        <w:tc>
          <w:tcPr>
            <w:tcW w:w="4050" w:type="dxa"/>
            <w:tcBorders>
              <w:top w:val="single" w:sz="4" w:space="0" w:color="auto"/>
              <w:left w:val="nil"/>
              <w:bottom w:val="single" w:sz="4" w:space="0" w:color="auto"/>
              <w:right w:val="nil"/>
            </w:tcBorders>
            <w:shd w:val="clear" w:color="auto" w:fill="auto"/>
            <w:vAlign w:val="bottom"/>
            <w:hideMark/>
          </w:tcPr>
          <w:p w:rsidR="00DA77FB" w:rsidRPr="00A80570" w:rsidP="00342014" w14:paraId="43EAE883" w14:textId="77777777">
            <w:pPr>
              <w:keepNext/>
              <w:keepLines/>
              <w:rPr>
                <w:color w:val="000000"/>
                <w:sz w:val="22"/>
                <w:szCs w:val="22"/>
              </w:rPr>
            </w:pPr>
            <w:r w:rsidRPr="00A80570">
              <w:rPr>
                <w:color w:val="000000"/>
                <w:sz w:val="22"/>
                <w:szCs w:val="22"/>
              </w:rPr>
              <w:t>First reminder letter</w:t>
            </w:r>
          </w:p>
        </w:tc>
        <w:tc>
          <w:tcPr>
            <w:tcW w:w="1800" w:type="dxa"/>
            <w:tcBorders>
              <w:top w:val="single" w:sz="4" w:space="0" w:color="auto"/>
              <w:left w:val="nil"/>
              <w:bottom w:val="single" w:sz="4" w:space="0" w:color="auto"/>
              <w:right w:val="nil"/>
            </w:tcBorders>
            <w:shd w:val="clear" w:color="auto" w:fill="auto"/>
            <w:noWrap/>
            <w:vAlign w:val="bottom"/>
            <w:hideMark/>
          </w:tcPr>
          <w:p w:rsidR="00DA77FB" w:rsidRPr="00A80570" w:rsidP="00342014" w14:paraId="25E6C454" w14:textId="77777777">
            <w:pPr>
              <w:keepNext/>
              <w:keepLines/>
              <w:jc w:val="center"/>
              <w:rPr>
                <w:color w:val="000000"/>
                <w:sz w:val="22"/>
                <w:szCs w:val="22"/>
              </w:rPr>
            </w:pPr>
            <w:r w:rsidRPr="00A80570">
              <w:rPr>
                <w:color w:val="000000"/>
                <w:sz w:val="22"/>
                <w:szCs w:val="22"/>
              </w:rPr>
              <w:t>Week 5</w:t>
            </w:r>
          </w:p>
        </w:tc>
        <w:tc>
          <w:tcPr>
            <w:tcW w:w="1890" w:type="dxa"/>
            <w:tcBorders>
              <w:top w:val="single" w:sz="4" w:space="0" w:color="auto"/>
              <w:left w:val="nil"/>
              <w:bottom w:val="single" w:sz="4" w:space="0" w:color="auto"/>
              <w:right w:val="nil"/>
            </w:tcBorders>
            <w:vAlign w:val="bottom"/>
          </w:tcPr>
          <w:p w:rsidR="00DA77FB" w:rsidRPr="00A80570" w:rsidP="00342014" w14:paraId="2106A315" w14:textId="77777777">
            <w:pPr>
              <w:keepNext/>
              <w:keepLines/>
              <w:jc w:val="center"/>
              <w:rPr>
                <w:color w:val="000000"/>
                <w:sz w:val="22"/>
                <w:szCs w:val="22"/>
                <w:highlight w:val="yellow"/>
              </w:rPr>
            </w:pPr>
            <w:r w:rsidRPr="00A80570">
              <w:rPr>
                <w:color w:val="000000"/>
                <w:sz w:val="22"/>
                <w:szCs w:val="22"/>
              </w:rPr>
              <w:t>Non-respondents</w:t>
            </w:r>
          </w:p>
        </w:tc>
        <w:tc>
          <w:tcPr>
            <w:tcW w:w="1800" w:type="dxa"/>
            <w:tcBorders>
              <w:top w:val="single" w:sz="4" w:space="0" w:color="auto"/>
              <w:left w:val="nil"/>
              <w:bottom w:val="single" w:sz="4" w:space="0" w:color="auto"/>
              <w:right w:val="nil"/>
            </w:tcBorders>
            <w:shd w:val="clear" w:color="auto" w:fill="auto"/>
            <w:noWrap/>
            <w:vAlign w:val="bottom"/>
          </w:tcPr>
          <w:p w:rsidR="00DA77FB" w:rsidRPr="00A80570" w:rsidP="00342014" w14:paraId="16AB2AEF" w14:textId="77777777">
            <w:pPr>
              <w:keepNext/>
              <w:keepLines/>
              <w:jc w:val="center"/>
              <w:rPr>
                <w:color w:val="000000"/>
                <w:sz w:val="22"/>
                <w:szCs w:val="22"/>
              </w:rPr>
            </w:pPr>
            <w:r w:rsidRPr="00A80570">
              <w:rPr>
                <w:color w:val="000000"/>
                <w:sz w:val="22"/>
                <w:szCs w:val="22"/>
              </w:rPr>
              <w:t>9</w:t>
            </w:r>
          </w:p>
        </w:tc>
      </w:tr>
      <w:tr w14:paraId="60A9422D" w14:textId="77777777" w:rsidTr="00A80570">
        <w:tblPrEx>
          <w:tblW w:w="9540" w:type="dxa"/>
          <w:tblLayout w:type="fixed"/>
          <w:tblLook w:val="04A0"/>
        </w:tblPrEx>
        <w:trPr>
          <w:trHeight w:val="300"/>
        </w:trPr>
        <w:tc>
          <w:tcPr>
            <w:tcW w:w="4050" w:type="dxa"/>
            <w:tcBorders>
              <w:top w:val="single" w:sz="4" w:space="0" w:color="auto"/>
              <w:left w:val="nil"/>
              <w:bottom w:val="single" w:sz="4" w:space="0" w:color="auto"/>
              <w:right w:val="nil"/>
            </w:tcBorders>
            <w:shd w:val="clear" w:color="auto" w:fill="auto"/>
            <w:vAlign w:val="bottom"/>
          </w:tcPr>
          <w:p w:rsidR="00DA77FB" w:rsidRPr="00A80570" w:rsidP="00342014" w14:paraId="2EA535EF" w14:textId="4F9AA617">
            <w:pPr>
              <w:keepNext/>
              <w:keepLines/>
              <w:rPr>
                <w:color w:val="000000"/>
                <w:sz w:val="22"/>
                <w:szCs w:val="22"/>
              </w:rPr>
            </w:pPr>
            <w:r w:rsidRPr="00A80570">
              <w:rPr>
                <w:color w:val="000000"/>
                <w:sz w:val="22"/>
                <w:szCs w:val="22"/>
              </w:rPr>
              <w:t xml:space="preserve">Data Quality follow-up phone </w:t>
            </w:r>
          </w:p>
        </w:tc>
        <w:tc>
          <w:tcPr>
            <w:tcW w:w="1800" w:type="dxa"/>
            <w:tcBorders>
              <w:top w:val="single" w:sz="4" w:space="0" w:color="auto"/>
              <w:left w:val="nil"/>
              <w:bottom w:val="single" w:sz="4" w:space="0" w:color="auto"/>
              <w:right w:val="nil"/>
            </w:tcBorders>
            <w:shd w:val="clear" w:color="auto" w:fill="auto"/>
            <w:noWrap/>
            <w:vAlign w:val="bottom"/>
          </w:tcPr>
          <w:p w:rsidR="00DA77FB" w:rsidRPr="00A80570" w:rsidP="00342014" w14:paraId="1312CCB9" w14:textId="77777777">
            <w:pPr>
              <w:keepNext/>
              <w:keepLines/>
              <w:jc w:val="center"/>
              <w:rPr>
                <w:color w:val="000000"/>
                <w:sz w:val="22"/>
                <w:szCs w:val="22"/>
              </w:rPr>
            </w:pPr>
            <w:r w:rsidRPr="00A80570">
              <w:rPr>
                <w:color w:val="000000"/>
                <w:sz w:val="22"/>
                <w:szCs w:val="22"/>
              </w:rPr>
              <w:t>Week 6</w:t>
            </w:r>
          </w:p>
        </w:tc>
        <w:tc>
          <w:tcPr>
            <w:tcW w:w="1890" w:type="dxa"/>
            <w:tcBorders>
              <w:top w:val="single" w:sz="4" w:space="0" w:color="auto"/>
              <w:left w:val="nil"/>
              <w:bottom w:val="single" w:sz="4" w:space="0" w:color="auto"/>
              <w:right w:val="nil"/>
            </w:tcBorders>
            <w:vAlign w:val="bottom"/>
          </w:tcPr>
          <w:p w:rsidR="00DA77FB" w:rsidRPr="00A80570" w:rsidP="00342014" w14:paraId="53447FD7" w14:textId="77777777">
            <w:pPr>
              <w:keepNext/>
              <w:keepLines/>
              <w:jc w:val="center"/>
              <w:rPr>
                <w:color w:val="000000"/>
                <w:sz w:val="22"/>
                <w:szCs w:val="22"/>
              </w:rPr>
            </w:pPr>
            <w:r w:rsidRPr="00A80570">
              <w:rPr>
                <w:color w:val="000000"/>
                <w:sz w:val="22"/>
                <w:szCs w:val="22"/>
              </w:rPr>
              <w:t>Respondents with errors</w:t>
            </w:r>
          </w:p>
        </w:tc>
        <w:tc>
          <w:tcPr>
            <w:tcW w:w="1800" w:type="dxa"/>
            <w:tcBorders>
              <w:top w:val="single" w:sz="4" w:space="0" w:color="auto"/>
              <w:left w:val="nil"/>
              <w:bottom w:val="single" w:sz="4" w:space="0" w:color="auto"/>
              <w:right w:val="nil"/>
            </w:tcBorders>
            <w:shd w:val="clear" w:color="auto" w:fill="auto"/>
            <w:noWrap/>
            <w:vAlign w:val="bottom"/>
          </w:tcPr>
          <w:p w:rsidR="00DA77FB" w:rsidRPr="00A80570" w:rsidP="00342014" w14:paraId="05E94283" w14:textId="7AE29253">
            <w:pPr>
              <w:keepNext/>
              <w:keepLines/>
              <w:jc w:val="center"/>
              <w:rPr>
                <w:color w:val="000000"/>
                <w:sz w:val="22"/>
                <w:szCs w:val="22"/>
              </w:rPr>
            </w:pPr>
            <w:r>
              <w:rPr>
                <w:color w:val="000000"/>
                <w:sz w:val="22"/>
                <w:szCs w:val="22"/>
              </w:rPr>
              <w:t>18</w:t>
            </w:r>
          </w:p>
        </w:tc>
      </w:tr>
      <w:tr w14:paraId="1A03AFD6" w14:textId="77777777" w:rsidTr="00A80570">
        <w:tblPrEx>
          <w:tblW w:w="9540" w:type="dxa"/>
          <w:tblLayout w:type="fixed"/>
          <w:tblLook w:val="04A0"/>
        </w:tblPrEx>
        <w:trPr>
          <w:trHeight w:val="300"/>
        </w:trPr>
        <w:tc>
          <w:tcPr>
            <w:tcW w:w="4050" w:type="dxa"/>
            <w:tcBorders>
              <w:top w:val="single" w:sz="4" w:space="0" w:color="auto"/>
              <w:left w:val="nil"/>
              <w:bottom w:val="single" w:sz="4" w:space="0" w:color="auto"/>
              <w:right w:val="nil"/>
            </w:tcBorders>
            <w:shd w:val="clear" w:color="auto" w:fill="auto"/>
            <w:vAlign w:val="bottom"/>
          </w:tcPr>
          <w:p w:rsidR="00DA77FB" w:rsidRPr="00A80570" w:rsidP="00342014" w14:paraId="585CA717" w14:textId="77777777">
            <w:pPr>
              <w:keepNext/>
              <w:keepLines/>
              <w:rPr>
                <w:color w:val="000000"/>
                <w:sz w:val="22"/>
                <w:szCs w:val="22"/>
              </w:rPr>
            </w:pPr>
            <w:r w:rsidRPr="00A80570">
              <w:rPr>
                <w:color w:val="000000"/>
                <w:sz w:val="22"/>
                <w:szCs w:val="22"/>
              </w:rPr>
              <w:t>Second reminder email</w:t>
            </w:r>
          </w:p>
        </w:tc>
        <w:tc>
          <w:tcPr>
            <w:tcW w:w="1800" w:type="dxa"/>
            <w:tcBorders>
              <w:top w:val="single" w:sz="4" w:space="0" w:color="auto"/>
              <w:left w:val="nil"/>
              <w:bottom w:val="single" w:sz="4" w:space="0" w:color="auto"/>
              <w:right w:val="nil"/>
            </w:tcBorders>
            <w:shd w:val="clear" w:color="auto" w:fill="auto"/>
            <w:noWrap/>
            <w:vAlign w:val="bottom"/>
          </w:tcPr>
          <w:p w:rsidR="00DA77FB" w:rsidRPr="00A80570" w:rsidP="00342014" w14:paraId="75830906" w14:textId="77777777">
            <w:pPr>
              <w:keepNext/>
              <w:keepLines/>
              <w:jc w:val="center"/>
              <w:rPr>
                <w:color w:val="000000"/>
                <w:sz w:val="22"/>
                <w:szCs w:val="22"/>
              </w:rPr>
            </w:pPr>
            <w:r w:rsidRPr="00A80570">
              <w:rPr>
                <w:color w:val="000000"/>
                <w:sz w:val="22"/>
                <w:szCs w:val="22"/>
              </w:rPr>
              <w:t>Week 6</w:t>
            </w:r>
          </w:p>
        </w:tc>
        <w:tc>
          <w:tcPr>
            <w:tcW w:w="1890" w:type="dxa"/>
            <w:tcBorders>
              <w:top w:val="single" w:sz="4" w:space="0" w:color="auto"/>
              <w:left w:val="nil"/>
              <w:bottom w:val="single" w:sz="4" w:space="0" w:color="auto"/>
              <w:right w:val="nil"/>
            </w:tcBorders>
            <w:vAlign w:val="bottom"/>
          </w:tcPr>
          <w:p w:rsidR="00DA77FB" w:rsidRPr="00A80570" w:rsidP="00342014" w14:paraId="3EFE2C0F" w14:textId="77777777">
            <w:pPr>
              <w:keepNext/>
              <w:keepLines/>
              <w:jc w:val="center"/>
              <w:rPr>
                <w:color w:val="000000"/>
                <w:sz w:val="22"/>
                <w:szCs w:val="22"/>
              </w:rPr>
            </w:pPr>
            <w:r w:rsidRPr="00A80570">
              <w:rPr>
                <w:color w:val="000000"/>
                <w:sz w:val="22"/>
                <w:szCs w:val="22"/>
              </w:rPr>
              <w:t>Non-respondents</w:t>
            </w:r>
          </w:p>
        </w:tc>
        <w:tc>
          <w:tcPr>
            <w:tcW w:w="1800" w:type="dxa"/>
            <w:tcBorders>
              <w:top w:val="single" w:sz="4" w:space="0" w:color="auto"/>
              <w:left w:val="nil"/>
              <w:bottom w:val="single" w:sz="4" w:space="0" w:color="auto"/>
              <w:right w:val="nil"/>
            </w:tcBorders>
            <w:shd w:val="clear" w:color="auto" w:fill="auto"/>
            <w:noWrap/>
            <w:vAlign w:val="bottom"/>
          </w:tcPr>
          <w:p w:rsidR="00DA77FB" w:rsidRPr="00A80570" w:rsidP="00342014" w14:paraId="37ECFF1C" w14:textId="7614977C">
            <w:pPr>
              <w:keepNext/>
              <w:keepLines/>
              <w:jc w:val="center"/>
              <w:rPr>
                <w:color w:val="000000"/>
                <w:sz w:val="22"/>
                <w:szCs w:val="22"/>
              </w:rPr>
            </w:pPr>
            <w:r>
              <w:rPr>
                <w:color w:val="000000"/>
                <w:sz w:val="22"/>
                <w:szCs w:val="22"/>
              </w:rPr>
              <w:t>10</w:t>
            </w:r>
          </w:p>
        </w:tc>
      </w:tr>
      <w:tr w14:paraId="7ABA0EC0" w14:textId="77777777" w:rsidTr="00A80570">
        <w:tblPrEx>
          <w:tblW w:w="9540" w:type="dxa"/>
          <w:tblLayout w:type="fixed"/>
          <w:tblLook w:val="04A0"/>
        </w:tblPrEx>
        <w:trPr>
          <w:trHeight w:val="300"/>
        </w:trPr>
        <w:tc>
          <w:tcPr>
            <w:tcW w:w="4050" w:type="dxa"/>
            <w:tcBorders>
              <w:top w:val="single" w:sz="4" w:space="0" w:color="auto"/>
              <w:left w:val="nil"/>
              <w:bottom w:val="single" w:sz="4" w:space="0" w:color="auto"/>
              <w:right w:val="nil"/>
            </w:tcBorders>
            <w:shd w:val="clear" w:color="auto" w:fill="auto"/>
            <w:vAlign w:val="bottom"/>
          </w:tcPr>
          <w:p w:rsidR="00DA77FB" w:rsidRPr="00A80570" w:rsidP="00342014" w14:paraId="1A7D7657" w14:textId="1CDE3B3A">
            <w:pPr>
              <w:keepNext/>
              <w:keepLines/>
              <w:rPr>
                <w:color w:val="000000"/>
                <w:sz w:val="22"/>
                <w:szCs w:val="22"/>
              </w:rPr>
            </w:pPr>
            <w:r w:rsidRPr="00A80570">
              <w:rPr>
                <w:color w:val="000000"/>
                <w:sz w:val="22"/>
                <w:szCs w:val="22"/>
              </w:rPr>
              <w:t xml:space="preserve">Third reminder postcard </w:t>
            </w:r>
          </w:p>
        </w:tc>
        <w:tc>
          <w:tcPr>
            <w:tcW w:w="1800" w:type="dxa"/>
            <w:tcBorders>
              <w:top w:val="single" w:sz="4" w:space="0" w:color="auto"/>
              <w:left w:val="nil"/>
              <w:bottom w:val="single" w:sz="4" w:space="0" w:color="auto"/>
              <w:right w:val="nil"/>
            </w:tcBorders>
            <w:shd w:val="clear" w:color="auto" w:fill="auto"/>
            <w:noWrap/>
            <w:vAlign w:val="bottom"/>
          </w:tcPr>
          <w:p w:rsidR="00DA77FB" w:rsidRPr="00A80570" w:rsidP="00342014" w14:paraId="5A31BA06" w14:textId="77777777">
            <w:pPr>
              <w:keepNext/>
              <w:keepLines/>
              <w:jc w:val="center"/>
              <w:rPr>
                <w:color w:val="000000"/>
                <w:sz w:val="22"/>
                <w:szCs w:val="22"/>
              </w:rPr>
            </w:pPr>
            <w:r w:rsidRPr="00A80570">
              <w:rPr>
                <w:color w:val="000000"/>
                <w:sz w:val="22"/>
                <w:szCs w:val="22"/>
              </w:rPr>
              <w:t>Week 9</w:t>
            </w:r>
          </w:p>
        </w:tc>
        <w:tc>
          <w:tcPr>
            <w:tcW w:w="1890" w:type="dxa"/>
            <w:tcBorders>
              <w:top w:val="single" w:sz="4" w:space="0" w:color="auto"/>
              <w:left w:val="nil"/>
              <w:bottom w:val="single" w:sz="4" w:space="0" w:color="auto"/>
              <w:right w:val="nil"/>
            </w:tcBorders>
          </w:tcPr>
          <w:p w:rsidR="00DA77FB" w:rsidRPr="00A80570" w:rsidP="00342014" w14:paraId="40BA70E4" w14:textId="77777777">
            <w:pPr>
              <w:keepNext/>
              <w:keepLines/>
              <w:jc w:val="center"/>
              <w:rPr>
                <w:sz w:val="22"/>
                <w:szCs w:val="22"/>
              </w:rPr>
            </w:pPr>
            <w:r w:rsidRPr="00A80570">
              <w:rPr>
                <w:sz w:val="22"/>
                <w:szCs w:val="22"/>
              </w:rPr>
              <w:t>Non-respondents</w:t>
            </w:r>
          </w:p>
        </w:tc>
        <w:tc>
          <w:tcPr>
            <w:tcW w:w="1800" w:type="dxa"/>
            <w:tcBorders>
              <w:top w:val="single" w:sz="4" w:space="0" w:color="auto"/>
              <w:left w:val="nil"/>
              <w:bottom w:val="single" w:sz="4" w:space="0" w:color="auto"/>
              <w:right w:val="nil"/>
            </w:tcBorders>
            <w:shd w:val="clear" w:color="auto" w:fill="auto"/>
            <w:noWrap/>
            <w:vAlign w:val="bottom"/>
          </w:tcPr>
          <w:p w:rsidR="00DA77FB" w:rsidRPr="00A80570" w:rsidP="00342014" w14:paraId="4B89A635" w14:textId="1492DDE4">
            <w:pPr>
              <w:keepNext/>
              <w:keepLines/>
              <w:jc w:val="center"/>
              <w:rPr>
                <w:sz w:val="22"/>
                <w:szCs w:val="22"/>
              </w:rPr>
            </w:pPr>
            <w:r>
              <w:rPr>
                <w:sz w:val="22"/>
                <w:szCs w:val="22"/>
              </w:rPr>
              <w:t>11</w:t>
            </w:r>
          </w:p>
        </w:tc>
      </w:tr>
      <w:tr w14:paraId="4542BF22" w14:textId="77777777" w:rsidTr="00A80570">
        <w:tblPrEx>
          <w:tblW w:w="9540" w:type="dxa"/>
          <w:tblLayout w:type="fixed"/>
          <w:tblLook w:val="04A0"/>
        </w:tblPrEx>
        <w:trPr>
          <w:trHeight w:val="300"/>
        </w:trPr>
        <w:tc>
          <w:tcPr>
            <w:tcW w:w="4050" w:type="dxa"/>
            <w:tcBorders>
              <w:top w:val="single" w:sz="4" w:space="0" w:color="auto"/>
              <w:left w:val="nil"/>
              <w:bottom w:val="single" w:sz="4" w:space="0" w:color="auto"/>
              <w:right w:val="nil"/>
            </w:tcBorders>
            <w:shd w:val="clear" w:color="auto" w:fill="auto"/>
            <w:vAlign w:val="bottom"/>
          </w:tcPr>
          <w:p w:rsidR="00DA77FB" w:rsidRPr="00A80570" w:rsidP="00342014" w14:paraId="4ED4D13D" w14:textId="77777777">
            <w:pPr>
              <w:keepNext/>
              <w:keepLines/>
              <w:rPr>
                <w:color w:val="000000"/>
                <w:sz w:val="22"/>
                <w:szCs w:val="22"/>
              </w:rPr>
            </w:pPr>
            <w:r w:rsidRPr="00A80570">
              <w:rPr>
                <w:sz w:val="22"/>
                <w:szCs w:val="22"/>
              </w:rPr>
              <w:t xml:space="preserve">Telephone prompting round 1 </w:t>
            </w:r>
          </w:p>
        </w:tc>
        <w:tc>
          <w:tcPr>
            <w:tcW w:w="1800" w:type="dxa"/>
            <w:tcBorders>
              <w:top w:val="single" w:sz="4" w:space="0" w:color="auto"/>
              <w:left w:val="nil"/>
              <w:bottom w:val="single" w:sz="4" w:space="0" w:color="auto"/>
              <w:right w:val="nil"/>
            </w:tcBorders>
            <w:shd w:val="clear" w:color="auto" w:fill="auto"/>
            <w:noWrap/>
            <w:vAlign w:val="bottom"/>
          </w:tcPr>
          <w:p w:rsidR="00DA77FB" w:rsidRPr="00A80570" w:rsidP="00342014" w14:paraId="556BE3CE" w14:textId="77777777">
            <w:pPr>
              <w:keepNext/>
              <w:keepLines/>
              <w:jc w:val="center"/>
              <w:rPr>
                <w:color w:val="000000"/>
                <w:sz w:val="22"/>
                <w:szCs w:val="22"/>
              </w:rPr>
            </w:pPr>
            <w:r w:rsidRPr="00A80570">
              <w:rPr>
                <w:color w:val="000000"/>
                <w:sz w:val="22"/>
                <w:szCs w:val="22"/>
              </w:rPr>
              <w:t>Week 11</w:t>
            </w:r>
          </w:p>
        </w:tc>
        <w:tc>
          <w:tcPr>
            <w:tcW w:w="1890" w:type="dxa"/>
            <w:tcBorders>
              <w:top w:val="single" w:sz="4" w:space="0" w:color="auto"/>
              <w:left w:val="nil"/>
              <w:bottom w:val="single" w:sz="4" w:space="0" w:color="auto"/>
              <w:right w:val="nil"/>
            </w:tcBorders>
            <w:vAlign w:val="bottom"/>
          </w:tcPr>
          <w:p w:rsidR="00DA77FB" w:rsidRPr="00A80570" w:rsidP="00342014" w14:paraId="270F3D17" w14:textId="77777777">
            <w:pPr>
              <w:keepNext/>
              <w:keepLines/>
              <w:jc w:val="center"/>
              <w:rPr>
                <w:sz w:val="22"/>
                <w:szCs w:val="22"/>
                <w:highlight w:val="yellow"/>
              </w:rPr>
            </w:pPr>
            <w:r w:rsidRPr="00A80570">
              <w:rPr>
                <w:sz w:val="22"/>
                <w:szCs w:val="22"/>
              </w:rPr>
              <w:t>Non-respondents</w:t>
            </w:r>
          </w:p>
        </w:tc>
        <w:tc>
          <w:tcPr>
            <w:tcW w:w="1800" w:type="dxa"/>
            <w:tcBorders>
              <w:top w:val="single" w:sz="4" w:space="0" w:color="auto"/>
              <w:left w:val="nil"/>
              <w:bottom w:val="single" w:sz="4" w:space="0" w:color="auto"/>
              <w:right w:val="nil"/>
            </w:tcBorders>
            <w:shd w:val="clear" w:color="auto" w:fill="auto"/>
            <w:noWrap/>
            <w:vAlign w:val="bottom"/>
          </w:tcPr>
          <w:p w:rsidR="00DA77FB" w:rsidRPr="00A80570" w:rsidP="00342014" w14:paraId="0EA75A60" w14:textId="01B6F348">
            <w:pPr>
              <w:keepNext/>
              <w:keepLines/>
              <w:jc w:val="center"/>
              <w:rPr>
                <w:sz w:val="22"/>
                <w:szCs w:val="22"/>
              </w:rPr>
            </w:pPr>
            <w:r>
              <w:rPr>
                <w:sz w:val="22"/>
                <w:szCs w:val="22"/>
              </w:rPr>
              <w:t>19</w:t>
            </w:r>
          </w:p>
        </w:tc>
      </w:tr>
      <w:tr w14:paraId="455B62D5" w14:textId="77777777" w:rsidTr="00A80570">
        <w:tblPrEx>
          <w:tblW w:w="9540" w:type="dxa"/>
          <w:tblLayout w:type="fixed"/>
          <w:tblLook w:val="04A0"/>
        </w:tblPrEx>
        <w:trPr>
          <w:trHeight w:val="300"/>
        </w:trPr>
        <w:tc>
          <w:tcPr>
            <w:tcW w:w="4050" w:type="dxa"/>
            <w:tcBorders>
              <w:top w:val="single" w:sz="4" w:space="0" w:color="auto"/>
              <w:left w:val="nil"/>
              <w:bottom w:val="single" w:sz="4" w:space="0" w:color="auto"/>
              <w:right w:val="nil"/>
            </w:tcBorders>
            <w:shd w:val="clear" w:color="auto" w:fill="auto"/>
            <w:vAlign w:val="bottom"/>
            <w:hideMark/>
          </w:tcPr>
          <w:p w:rsidR="00DA77FB" w:rsidRPr="00A80570" w:rsidP="00342014" w14:paraId="2CAB6647" w14:textId="77777777">
            <w:pPr>
              <w:keepNext/>
              <w:keepLines/>
              <w:rPr>
                <w:color w:val="000000"/>
                <w:sz w:val="22"/>
                <w:szCs w:val="22"/>
              </w:rPr>
            </w:pPr>
            <w:r w:rsidRPr="00A80570">
              <w:rPr>
                <w:color w:val="000000"/>
                <w:sz w:val="22"/>
                <w:szCs w:val="22"/>
              </w:rPr>
              <w:t>Fourth reminder letter UPS with questionnaire and business return envelope</w:t>
            </w:r>
          </w:p>
        </w:tc>
        <w:tc>
          <w:tcPr>
            <w:tcW w:w="1800" w:type="dxa"/>
            <w:tcBorders>
              <w:top w:val="single" w:sz="4" w:space="0" w:color="auto"/>
              <w:left w:val="nil"/>
              <w:bottom w:val="single" w:sz="4" w:space="0" w:color="auto"/>
              <w:right w:val="nil"/>
            </w:tcBorders>
            <w:shd w:val="clear" w:color="auto" w:fill="auto"/>
            <w:noWrap/>
            <w:vAlign w:val="bottom"/>
          </w:tcPr>
          <w:p w:rsidR="00DA77FB" w:rsidRPr="00A80570" w:rsidP="00342014" w14:paraId="467F6CFC" w14:textId="77777777">
            <w:pPr>
              <w:keepNext/>
              <w:keepLines/>
              <w:jc w:val="center"/>
              <w:rPr>
                <w:color w:val="000000"/>
                <w:sz w:val="22"/>
                <w:szCs w:val="22"/>
              </w:rPr>
            </w:pPr>
            <w:r w:rsidRPr="00A80570">
              <w:rPr>
                <w:color w:val="000000"/>
                <w:sz w:val="22"/>
                <w:szCs w:val="22"/>
              </w:rPr>
              <w:t>Week 12</w:t>
            </w:r>
          </w:p>
        </w:tc>
        <w:tc>
          <w:tcPr>
            <w:tcW w:w="1890" w:type="dxa"/>
            <w:tcBorders>
              <w:top w:val="single" w:sz="4" w:space="0" w:color="auto"/>
              <w:left w:val="nil"/>
              <w:bottom w:val="single" w:sz="4" w:space="0" w:color="auto"/>
              <w:right w:val="nil"/>
            </w:tcBorders>
            <w:vAlign w:val="bottom"/>
          </w:tcPr>
          <w:p w:rsidR="00DA77FB" w:rsidRPr="00A80570" w:rsidP="00342014" w14:paraId="2184EC6B" w14:textId="77777777">
            <w:pPr>
              <w:keepNext/>
              <w:keepLines/>
              <w:jc w:val="center"/>
              <w:rPr>
                <w:color w:val="000000"/>
                <w:sz w:val="22"/>
                <w:szCs w:val="22"/>
                <w:highlight w:val="yellow"/>
              </w:rPr>
            </w:pPr>
            <w:r w:rsidRPr="00A80570">
              <w:rPr>
                <w:color w:val="000000"/>
                <w:sz w:val="22"/>
                <w:szCs w:val="22"/>
              </w:rPr>
              <w:t>Non-respondents</w:t>
            </w:r>
          </w:p>
        </w:tc>
        <w:tc>
          <w:tcPr>
            <w:tcW w:w="1800" w:type="dxa"/>
            <w:tcBorders>
              <w:top w:val="single" w:sz="4" w:space="0" w:color="auto"/>
              <w:left w:val="nil"/>
              <w:bottom w:val="single" w:sz="4" w:space="0" w:color="auto"/>
              <w:right w:val="nil"/>
            </w:tcBorders>
            <w:shd w:val="clear" w:color="auto" w:fill="auto"/>
            <w:noWrap/>
            <w:vAlign w:val="bottom"/>
          </w:tcPr>
          <w:p w:rsidR="00DA77FB" w:rsidRPr="00A80570" w:rsidP="00342014" w14:paraId="036E9BCB" w14:textId="705922C9">
            <w:pPr>
              <w:keepNext/>
              <w:keepLines/>
              <w:jc w:val="center"/>
              <w:rPr>
                <w:color w:val="000000"/>
                <w:sz w:val="22"/>
                <w:szCs w:val="22"/>
              </w:rPr>
            </w:pPr>
            <w:r>
              <w:rPr>
                <w:color w:val="000000"/>
                <w:sz w:val="22"/>
                <w:szCs w:val="22"/>
              </w:rPr>
              <w:t>12</w:t>
            </w:r>
          </w:p>
        </w:tc>
      </w:tr>
      <w:tr w14:paraId="1EF921FF" w14:textId="77777777" w:rsidTr="00A80570">
        <w:tblPrEx>
          <w:tblW w:w="9540" w:type="dxa"/>
          <w:tblLayout w:type="fixed"/>
          <w:tblLook w:val="04A0"/>
        </w:tblPrEx>
        <w:trPr>
          <w:trHeight w:val="300"/>
        </w:trPr>
        <w:tc>
          <w:tcPr>
            <w:tcW w:w="4050" w:type="dxa"/>
            <w:tcBorders>
              <w:top w:val="single" w:sz="4" w:space="0" w:color="auto"/>
              <w:left w:val="nil"/>
              <w:bottom w:val="single" w:sz="4" w:space="0" w:color="auto"/>
              <w:right w:val="nil"/>
            </w:tcBorders>
            <w:shd w:val="clear" w:color="auto" w:fill="auto"/>
            <w:vAlign w:val="bottom"/>
          </w:tcPr>
          <w:p w:rsidR="00DA77FB" w:rsidRPr="00A80570" w:rsidP="00342014" w14:paraId="5DEB6609" w14:textId="77777777">
            <w:pPr>
              <w:keepNext/>
              <w:keepLines/>
              <w:rPr>
                <w:color w:val="000000"/>
                <w:sz w:val="22"/>
                <w:szCs w:val="22"/>
              </w:rPr>
            </w:pPr>
            <w:r w:rsidRPr="00A80570">
              <w:rPr>
                <w:color w:val="000000"/>
                <w:sz w:val="22"/>
                <w:szCs w:val="22"/>
              </w:rPr>
              <w:t>Fifth reminder email</w:t>
            </w:r>
          </w:p>
        </w:tc>
        <w:tc>
          <w:tcPr>
            <w:tcW w:w="1800" w:type="dxa"/>
            <w:tcBorders>
              <w:top w:val="single" w:sz="4" w:space="0" w:color="auto"/>
              <w:left w:val="nil"/>
              <w:bottom w:val="single" w:sz="4" w:space="0" w:color="auto"/>
              <w:right w:val="nil"/>
            </w:tcBorders>
            <w:shd w:val="clear" w:color="auto" w:fill="auto"/>
            <w:noWrap/>
            <w:vAlign w:val="bottom"/>
          </w:tcPr>
          <w:p w:rsidR="00DA77FB" w:rsidRPr="00A80570" w:rsidP="00342014" w14:paraId="2AB64D40" w14:textId="77777777">
            <w:pPr>
              <w:keepNext/>
              <w:keepLines/>
              <w:jc w:val="center"/>
              <w:rPr>
                <w:color w:val="000000"/>
                <w:sz w:val="22"/>
                <w:szCs w:val="22"/>
              </w:rPr>
            </w:pPr>
            <w:r w:rsidRPr="00A80570">
              <w:rPr>
                <w:color w:val="000000"/>
                <w:sz w:val="22"/>
                <w:szCs w:val="22"/>
              </w:rPr>
              <w:t>Week 14</w:t>
            </w:r>
          </w:p>
        </w:tc>
        <w:tc>
          <w:tcPr>
            <w:tcW w:w="1890" w:type="dxa"/>
            <w:tcBorders>
              <w:top w:val="single" w:sz="4" w:space="0" w:color="auto"/>
              <w:left w:val="nil"/>
              <w:bottom w:val="single" w:sz="4" w:space="0" w:color="auto"/>
              <w:right w:val="nil"/>
            </w:tcBorders>
            <w:vAlign w:val="bottom"/>
          </w:tcPr>
          <w:p w:rsidR="00DA77FB" w:rsidRPr="00A80570" w:rsidP="00342014" w14:paraId="2EBE4BE5" w14:textId="77777777">
            <w:pPr>
              <w:keepNext/>
              <w:keepLines/>
              <w:jc w:val="center"/>
              <w:rPr>
                <w:color w:val="000000"/>
                <w:sz w:val="22"/>
                <w:szCs w:val="22"/>
              </w:rPr>
            </w:pPr>
            <w:r w:rsidRPr="00A80570">
              <w:rPr>
                <w:color w:val="000000"/>
                <w:sz w:val="22"/>
                <w:szCs w:val="22"/>
              </w:rPr>
              <w:t>Non-respondents</w:t>
            </w:r>
          </w:p>
        </w:tc>
        <w:tc>
          <w:tcPr>
            <w:tcW w:w="1800" w:type="dxa"/>
            <w:tcBorders>
              <w:top w:val="single" w:sz="4" w:space="0" w:color="auto"/>
              <w:left w:val="nil"/>
              <w:bottom w:val="single" w:sz="4" w:space="0" w:color="auto"/>
              <w:right w:val="nil"/>
            </w:tcBorders>
            <w:shd w:val="clear" w:color="auto" w:fill="auto"/>
            <w:noWrap/>
            <w:vAlign w:val="bottom"/>
          </w:tcPr>
          <w:p w:rsidR="00DA77FB" w:rsidRPr="00A80570" w:rsidP="00342014" w14:paraId="55725A25" w14:textId="0C873BC4">
            <w:pPr>
              <w:keepNext/>
              <w:keepLines/>
              <w:jc w:val="center"/>
              <w:rPr>
                <w:color w:val="000000"/>
                <w:sz w:val="22"/>
                <w:szCs w:val="22"/>
              </w:rPr>
            </w:pPr>
            <w:r>
              <w:rPr>
                <w:color w:val="000000"/>
                <w:sz w:val="22"/>
                <w:szCs w:val="22"/>
              </w:rPr>
              <w:t>13</w:t>
            </w:r>
          </w:p>
        </w:tc>
      </w:tr>
      <w:tr w14:paraId="0321A23B" w14:textId="77777777" w:rsidTr="00A80570">
        <w:tblPrEx>
          <w:tblW w:w="9540" w:type="dxa"/>
          <w:tblLayout w:type="fixed"/>
          <w:tblLook w:val="04A0"/>
        </w:tblPrEx>
        <w:trPr>
          <w:trHeight w:val="300"/>
        </w:trPr>
        <w:tc>
          <w:tcPr>
            <w:tcW w:w="4050" w:type="dxa"/>
            <w:tcBorders>
              <w:top w:val="single" w:sz="4" w:space="0" w:color="auto"/>
              <w:left w:val="nil"/>
              <w:bottom w:val="single" w:sz="4" w:space="0" w:color="auto"/>
              <w:right w:val="nil"/>
            </w:tcBorders>
            <w:shd w:val="clear" w:color="auto" w:fill="auto"/>
            <w:vAlign w:val="bottom"/>
          </w:tcPr>
          <w:p w:rsidR="00DA77FB" w:rsidRPr="00A80570" w:rsidP="00342014" w14:paraId="569A0455" w14:textId="77777777">
            <w:pPr>
              <w:keepNext/>
              <w:keepLines/>
              <w:rPr>
                <w:color w:val="000000"/>
                <w:sz w:val="22"/>
                <w:szCs w:val="22"/>
              </w:rPr>
            </w:pPr>
            <w:r w:rsidRPr="00A80570">
              <w:rPr>
                <w:color w:val="000000"/>
                <w:sz w:val="22"/>
                <w:szCs w:val="22"/>
              </w:rPr>
              <w:t>Telephone prompting round 2</w:t>
            </w:r>
          </w:p>
        </w:tc>
        <w:tc>
          <w:tcPr>
            <w:tcW w:w="1800" w:type="dxa"/>
            <w:tcBorders>
              <w:top w:val="single" w:sz="4" w:space="0" w:color="auto"/>
              <w:left w:val="nil"/>
              <w:bottom w:val="single" w:sz="4" w:space="0" w:color="auto"/>
              <w:right w:val="nil"/>
            </w:tcBorders>
            <w:shd w:val="clear" w:color="auto" w:fill="auto"/>
            <w:noWrap/>
            <w:vAlign w:val="bottom"/>
          </w:tcPr>
          <w:p w:rsidR="00DA77FB" w:rsidRPr="00A80570" w:rsidP="00342014" w14:paraId="6DA522C4" w14:textId="77777777">
            <w:pPr>
              <w:keepNext/>
              <w:keepLines/>
              <w:jc w:val="center"/>
              <w:rPr>
                <w:color w:val="000000"/>
                <w:sz w:val="22"/>
                <w:szCs w:val="22"/>
              </w:rPr>
            </w:pPr>
            <w:r w:rsidRPr="00A80570">
              <w:rPr>
                <w:color w:val="000000"/>
                <w:sz w:val="22"/>
                <w:szCs w:val="22"/>
              </w:rPr>
              <w:t>Week 17</w:t>
            </w:r>
          </w:p>
        </w:tc>
        <w:tc>
          <w:tcPr>
            <w:tcW w:w="1890" w:type="dxa"/>
            <w:tcBorders>
              <w:top w:val="single" w:sz="4" w:space="0" w:color="auto"/>
              <w:left w:val="nil"/>
              <w:bottom w:val="single" w:sz="4" w:space="0" w:color="auto"/>
              <w:right w:val="nil"/>
            </w:tcBorders>
          </w:tcPr>
          <w:p w:rsidR="00DA77FB" w:rsidRPr="00A80570" w:rsidP="00342014" w14:paraId="7333BD00" w14:textId="77777777">
            <w:pPr>
              <w:keepNext/>
              <w:keepLines/>
              <w:jc w:val="center"/>
              <w:rPr>
                <w:color w:val="000000"/>
                <w:sz w:val="22"/>
                <w:szCs w:val="22"/>
                <w:highlight w:val="yellow"/>
              </w:rPr>
            </w:pPr>
            <w:r w:rsidRPr="00A80570">
              <w:rPr>
                <w:color w:val="000000"/>
                <w:sz w:val="22"/>
                <w:szCs w:val="22"/>
              </w:rPr>
              <w:t>Non-respondents</w:t>
            </w:r>
          </w:p>
        </w:tc>
        <w:tc>
          <w:tcPr>
            <w:tcW w:w="1800" w:type="dxa"/>
            <w:tcBorders>
              <w:top w:val="single" w:sz="4" w:space="0" w:color="auto"/>
              <w:left w:val="nil"/>
              <w:bottom w:val="single" w:sz="4" w:space="0" w:color="auto"/>
              <w:right w:val="nil"/>
            </w:tcBorders>
            <w:shd w:val="clear" w:color="auto" w:fill="auto"/>
            <w:noWrap/>
            <w:vAlign w:val="bottom"/>
          </w:tcPr>
          <w:p w:rsidR="00DA77FB" w:rsidRPr="00A80570" w:rsidP="00342014" w14:paraId="22E69653" w14:textId="6EDDF7AB">
            <w:pPr>
              <w:keepNext/>
              <w:keepLines/>
              <w:jc w:val="center"/>
              <w:rPr>
                <w:color w:val="000000"/>
                <w:sz w:val="22"/>
                <w:szCs w:val="22"/>
              </w:rPr>
            </w:pPr>
            <w:r>
              <w:rPr>
                <w:color w:val="000000"/>
                <w:sz w:val="22"/>
                <w:szCs w:val="22"/>
              </w:rPr>
              <w:t>19</w:t>
            </w:r>
          </w:p>
        </w:tc>
      </w:tr>
      <w:tr w14:paraId="3441E6BE" w14:textId="77777777" w:rsidTr="00A80570">
        <w:tblPrEx>
          <w:tblW w:w="9540" w:type="dxa"/>
          <w:tblLayout w:type="fixed"/>
          <w:tblLook w:val="04A0"/>
        </w:tblPrEx>
        <w:trPr>
          <w:trHeight w:val="300"/>
        </w:trPr>
        <w:tc>
          <w:tcPr>
            <w:tcW w:w="4050" w:type="dxa"/>
            <w:tcBorders>
              <w:top w:val="single" w:sz="4" w:space="0" w:color="auto"/>
              <w:left w:val="nil"/>
              <w:bottom w:val="single" w:sz="4" w:space="0" w:color="auto"/>
              <w:right w:val="nil"/>
            </w:tcBorders>
            <w:shd w:val="clear" w:color="auto" w:fill="auto"/>
            <w:vAlign w:val="bottom"/>
          </w:tcPr>
          <w:p w:rsidR="00DA77FB" w:rsidRPr="00A80570" w:rsidP="00342014" w14:paraId="3C596E20" w14:textId="77777777">
            <w:pPr>
              <w:keepNext/>
              <w:keepLines/>
              <w:rPr>
                <w:color w:val="000000"/>
                <w:sz w:val="22"/>
                <w:szCs w:val="22"/>
              </w:rPr>
            </w:pPr>
            <w:r w:rsidRPr="00A80570">
              <w:rPr>
                <w:color w:val="000000"/>
                <w:sz w:val="22"/>
                <w:szCs w:val="22"/>
              </w:rPr>
              <w:t>Sixth reminder email</w:t>
            </w:r>
          </w:p>
        </w:tc>
        <w:tc>
          <w:tcPr>
            <w:tcW w:w="1800" w:type="dxa"/>
            <w:tcBorders>
              <w:top w:val="single" w:sz="4" w:space="0" w:color="auto"/>
              <w:left w:val="nil"/>
              <w:bottom w:val="single" w:sz="4" w:space="0" w:color="auto"/>
              <w:right w:val="nil"/>
            </w:tcBorders>
            <w:shd w:val="clear" w:color="auto" w:fill="auto"/>
            <w:noWrap/>
            <w:vAlign w:val="bottom"/>
          </w:tcPr>
          <w:p w:rsidR="00DA77FB" w:rsidRPr="00A80570" w:rsidP="00342014" w14:paraId="4DE2A069" w14:textId="77777777">
            <w:pPr>
              <w:keepNext/>
              <w:keepLines/>
              <w:jc w:val="center"/>
              <w:rPr>
                <w:color w:val="000000"/>
                <w:sz w:val="22"/>
                <w:szCs w:val="22"/>
              </w:rPr>
            </w:pPr>
            <w:r w:rsidRPr="00A80570">
              <w:rPr>
                <w:color w:val="000000"/>
                <w:sz w:val="22"/>
                <w:szCs w:val="22"/>
              </w:rPr>
              <w:t>Week 20</w:t>
            </w:r>
          </w:p>
        </w:tc>
        <w:tc>
          <w:tcPr>
            <w:tcW w:w="1890" w:type="dxa"/>
            <w:tcBorders>
              <w:top w:val="single" w:sz="4" w:space="0" w:color="auto"/>
              <w:left w:val="nil"/>
              <w:bottom w:val="single" w:sz="4" w:space="0" w:color="auto"/>
              <w:right w:val="nil"/>
            </w:tcBorders>
          </w:tcPr>
          <w:p w:rsidR="00DA77FB" w:rsidRPr="00A80570" w:rsidP="00342014" w14:paraId="0A30C460" w14:textId="77777777">
            <w:pPr>
              <w:keepNext/>
              <w:keepLines/>
              <w:jc w:val="center"/>
              <w:rPr>
                <w:color w:val="000000"/>
                <w:sz w:val="22"/>
                <w:szCs w:val="22"/>
              </w:rPr>
            </w:pPr>
            <w:r w:rsidRPr="00A80570">
              <w:rPr>
                <w:color w:val="000000"/>
                <w:sz w:val="22"/>
                <w:szCs w:val="22"/>
              </w:rPr>
              <w:t>Non-respondents</w:t>
            </w:r>
          </w:p>
        </w:tc>
        <w:tc>
          <w:tcPr>
            <w:tcW w:w="1800" w:type="dxa"/>
            <w:tcBorders>
              <w:top w:val="single" w:sz="4" w:space="0" w:color="auto"/>
              <w:left w:val="nil"/>
              <w:bottom w:val="single" w:sz="4" w:space="0" w:color="auto"/>
              <w:right w:val="nil"/>
            </w:tcBorders>
            <w:shd w:val="clear" w:color="auto" w:fill="auto"/>
            <w:noWrap/>
            <w:vAlign w:val="bottom"/>
          </w:tcPr>
          <w:p w:rsidR="00DA77FB" w:rsidRPr="00A80570" w:rsidP="00342014" w14:paraId="0BEA3D64" w14:textId="10AC5DD3">
            <w:pPr>
              <w:keepNext/>
              <w:keepLines/>
              <w:jc w:val="center"/>
              <w:rPr>
                <w:color w:val="000000"/>
                <w:sz w:val="22"/>
                <w:szCs w:val="22"/>
              </w:rPr>
            </w:pPr>
            <w:r>
              <w:rPr>
                <w:color w:val="000000"/>
                <w:sz w:val="22"/>
                <w:szCs w:val="22"/>
              </w:rPr>
              <w:t>14</w:t>
            </w:r>
          </w:p>
        </w:tc>
      </w:tr>
      <w:tr w14:paraId="5DD99050" w14:textId="77777777" w:rsidTr="00A80570">
        <w:tblPrEx>
          <w:tblW w:w="9540" w:type="dxa"/>
          <w:tblLayout w:type="fixed"/>
          <w:tblLook w:val="04A0"/>
        </w:tblPrEx>
        <w:trPr>
          <w:trHeight w:val="300"/>
        </w:trPr>
        <w:tc>
          <w:tcPr>
            <w:tcW w:w="4050" w:type="dxa"/>
            <w:tcBorders>
              <w:top w:val="single" w:sz="4" w:space="0" w:color="auto"/>
              <w:left w:val="nil"/>
              <w:bottom w:val="single" w:sz="4" w:space="0" w:color="auto"/>
              <w:right w:val="nil"/>
            </w:tcBorders>
            <w:shd w:val="clear" w:color="auto" w:fill="auto"/>
            <w:vAlign w:val="bottom"/>
          </w:tcPr>
          <w:p w:rsidR="00DA77FB" w:rsidRPr="00A80570" w:rsidP="00342014" w14:paraId="5F3DD074" w14:textId="5C4B8EAE">
            <w:pPr>
              <w:keepNext/>
              <w:keepLines/>
              <w:rPr>
                <w:color w:val="000000"/>
                <w:sz w:val="22"/>
                <w:szCs w:val="22"/>
              </w:rPr>
            </w:pPr>
            <w:r w:rsidRPr="00A80570">
              <w:rPr>
                <w:color w:val="000000"/>
                <w:sz w:val="22"/>
                <w:szCs w:val="22"/>
              </w:rPr>
              <w:t>Seventh reminder letter with questionnaire and business return envelope</w:t>
            </w:r>
          </w:p>
        </w:tc>
        <w:tc>
          <w:tcPr>
            <w:tcW w:w="1800" w:type="dxa"/>
            <w:tcBorders>
              <w:top w:val="single" w:sz="4" w:space="0" w:color="auto"/>
              <w:left w:val="nil"/>
              <w:bottom w:val="single" w:sz="4" w:space="0" w:color="auto"/>
              <w:right w:val="nil"/>
            </w:tcBorders>
            <w:shd w:val="clear" w:color="auto" w:fill="auto"/>
            <w:noWrap/>
            <w:vAlign w:val="bottom"/>
          </w:tcPr>
          <w:p w:rsidR="00DA77FB" w:rsidRPr="00A80570" w:rsidP="00342014" w14:paraId="6172CC47" w14:textId="77777777">
            <w:pPr>
              <w:keepNext/>
              <w:keepLines/>
              <w:jc w:val="center"/>
              <w:rPr>
                <w:color w:val="000000"/>
                <w:sz w:val="22"/>
                <w:szCs w:val="22"/>
              </w:rPr>
            </w:pPr>
            <w:r w:rsidRPr="00A80570">
              <w:rPr>
                <w:color w:val="000000"/>
                <w:sz w:val="22"/>
                <w:szCs w:val="22"/>
              </w:rPr>
              <w:t>Week 22</w:t>
            </w:r>
          </w:p>
        </w:tc>
        <w:tc>
          <w:tcPr>
            <w:tcW w:w="1890" w:type="dxa"/>
            <w:tcBorders>
              <w:top w:val="single" w:sz="4" w:space="0" w:color="auto"/>
              <w:left w:val="nil"/>
              <w:bottom w:val="single" w:sz="4" w:space="0" w:color="auto"/>
              <w:right w:val="nil"/>
            </w:tcBorders>
          </w:tcPr>
          <w:p w:rsidR="00DA77FB" w:rsidRPr="00A80570" w:rsidP="00342014" w14:paraId="0C13AD57" w14:textId="77777777">
            <w:pPr>
              <w:keepNext/>
              <w:keepLines/>
              <w:jc w:val="center"/>
              <w:rPr>
                <w:color w:val="000000"/>
                <w:sz w:val="22"/>
                <w:szCs w:val="22"/>
              </w:rPr>
            </w:pPr>
            <w:r w:rsidRPr="00A80570">
              <w:rPr>
                <w:color w:val="000000"/>
                <w:sz w:val="22"/>
                <w:szCs w:val="22"/>
              </w:rPr>
              <w:t>Non-respondents</w:t>
            </w:r>
          </w:p>
        </w:tc>
        <w:tc>
          <w:tcPr>
            <w:tcW w:w="1800" w:type="dxa"/>
            <w:tcBorders>
              <w:top w:val="single" w:sz="4" w:space="0" w:color="auto"/>
              <w:left w:val="nil"/>
              <w:bottom w:val="single" w:sz="4" w:space="0" w:color="auto"/>
              <w:right w:val="nil"/>
            </w:tcBorders>
            <w:shd w:val="clear" w:color="auto" w:fill="auto"/>
            <w:noWrap/>
            <w:vAlign w:val="bottom"/>
          </w:tcPr>
          <w:p w:rsidR="00DA77FB" w:rsidRPr="00A80570" w:rsidP="00342014" w14:paraId="69EDAB82" w14:textId="59AD95DB">
            <w:pPr>
              <w:keepNext/>
              <w:keepLines/>
              <w:jc w:val="center"/>
              <w:rPr>
                <w:color w:val="000000"/>
                <w:sz w:val="22"/>
                <w:szCs w:val="22"/>
              </w:rPr>
            </w:pPr>
            <w:r>
              <w:rPr>
                <w:color w:val="000000"/>
                <w:sz w:val="22"/>
                <w:szCs w:val="22"/>
              </w:rPr>
              <w:t>15</w:t>
            </w:r>
          </w:p>
        </w:tc>
      </w:tr>
      <w:tr w14:paraId="209C4041" w14:textId="77777777" w:rsidTr="00A80570">
        <w:tblPrEx>
          <w:tblW w:w="9540" w:type="dxa"/>
          <w:tblLayout w:type="fixed"/>
          <w:tblLook w:val="04A0"/>
        </w:tblPrEx>
        <w:trPr>
          <w:trHeight w:val="300"/>
        </w:trPr>
        <w:tc>
          <w:tcPr>
            <w:tcW w:w="4050" w:type="dxa"/>
            <w:tcBorders>
              <w:top w:val="single" w:sz="4" w:space="0" w:color="auto"/>
              <w:left w:val="nil"/>
              <w:bottom w:val="single" w:sz="4" w:space="0" w:color="auto"/>
              <w:right w:val="nil"/>
            </w:tcBorders>
            <w:shd w:val="clear" w:color="auto" w:fill="auto"/>
            <w:vAlign w:val="bottom"/>
          </w:tcPr>
          <w:p w:rsidR="00DA77FB" w:rsidRPr="00A80570" w:rsidP="00342014" w14:paraId="7E823117" w14:textId="77777777">
            <w:pPr>
              <w:keepNext/>
              <w:keepLines/>
              <w:rPr>
                <w:color w:val="000000"/>
                <w:sz w:val="22"/>
                <w:szCs w:val="22"/>
              </w:rPr>
            </w:pPr>
            <w:r w:rsidRPr="00A80570">
              <w:rPr>
                <w:color w:val="000000"/>
                <w:sz w:val="22"/>
                <w:szCs w:val="22"/>
              </w:rPr>
              <w:t>Eighth reminder letter</w:t>
            </w:r>
          </w:p>
        </w:tc>
        <w:tc>
          <w:tcPr>
            <w:tcW w:w="1800" w:type="dxa"/>
            <w:tcBorders>
              <w:top w:val="single" w:sz="4" w:space="0" w:color="auto"/>
              <w:left w:val="nil"/>
              <w:bottom w:val="single" w:sz="4" w:space="0" w:color="auto"/>
              <w:right w:val="nil"/>
            </w:tcBorders>
            <w:shd w:val="clear" w:color="auto" w:fill="auto"/>
            <w:noWrap/>
            <w:vAlign w:val="bottom"/>
          </w:tcPr>
          <w:p w:rsidR="00DA77FB" w:rsidRPr="00A80570" w:rsidP="00342014" w14:paraId="63A22C00" w14:textId="77777777">
            <w:pPr>
              <w:keepNext/>
              <w:keepLines/>
              <w:jc w:val="center"/>
              <w:rPr>
                <w:color w:val="000000"/>
                <w:sz w:val="22"/>
                <w:szCs w:val="22"/>
              </w:rPr>
            </w:pPr>
            <w:r w:rsidRPr="00A80570">
              <w:rPr>
                <w:color w:val="000000"/>
                <w:sz w:val="22"/>
                <w:szCs w:val="22"/>
              </w:rPr>
              <w:t>Week 26</w:t>
            </w:r>
          </w:p>
        </w:tc>
        <w:tc>
          <w:tcPr>
            <w:tcW w:w="1890" w:type="dxa"/>
            <w:tcBorders>
              <w:top w:val="single" w:sz="4" w:space="0" w:color="auto"/>
              <w:left w:val="nil"/>
              <w:bottom w:val="single" w:sz="4" w:space="0" w:color="auto"/>
              <w:right w:val="nil"/>
            </w:tcBorders>
          </w:tcPr>
          <w:p w:rsidR="00DA77FB" w:rsidRPr="00A80570" w:rsidP="00342014" w14:paraId="5F7EE486" w14:textId="77777777">
            <w:pPr>
              <w:keepNext/>
              <w:keepLines/>
              <w:jc w:val="center"/>
              <w:rPr>
                <w:color w:val="000000"/>
                <w:sz w:val="22"/>
                <w:szCs w:val="22"/>
                <w:highlight w:val="yellow"/>
              </w:rPr>
            </w:pPr>
            <w:r w:rsidRPr="00A80570">
              <w:rPr>
                <w:color w:val="000000"/>
                <w:sz w:val="22"/>
                <w:szCs w:val="22"/>
              </w:rPr>
              <w:t>Non-respondents</w:t>
            </w:r>
          </w:p>
        </w:tc>
        <w:tc>
          <w:tcPr>
            <w:tcW w:w="1800" w:type="dxa"/>
            <w:tcBorders>
              <w:top w:val="single" w:sz="4" w:space="0" w:color="auto"/>
              <w:left w:val="nil"/>
              <w:bottom w:val="single" w:sz="4" w:space="0" w:color="auto"/>
              <w:right w:val="nil"/>
            </w:tcBorders>
            <w:shd w:val="clear" w:color="auto" w:fill="auto"/>
            <w:noWrap/>
            <w:vAlign w:val="bottom"/>
          </w:tcPr>
          <w:p w:rsidR="00DA77FB" w:rsidRPr="00A80570" w:rsidP="00342014" w14:paraId="2211D16E" w14:textId="797F9895">
            <w:pPr>
              <w:keepNext/>
              <w:keepLines/>
              <w:jc w:val="center"/>
              <w:rPr>
                <w:color w:val="000000"/>
                <w:sz w:val="22"/>
                <w:szCs w:val="22"/>
              </w:rPr>
            </w:pPr>
            <w:r>
              <w:rPr>
                <w:color w:val="000000"/>
                <w:sz w:val="22"/>
                <w:szCs w:val="22"/>
              </w:rPr>
              <w:t>16</w:t>
            </w:r>
          </w:p>
        </w:tc>
      </w:tr>
      <w:tr w14:paraId="25D58170" w14:textId="77777777" w:rsidTr="00A80570">
        <w:tblPrEx>
          <w:tblW w:w="9540" w:type="dxa"/>
          <w:tblLayout w:type="fixed"/>
          <w:tblLook w:val="04A0"/>
        </w:tblPrEx>
        <w:trPr>
          <w:trHeight w:val="300"/>
        </w:trPr>
        <w:tc>
          <w:tcPr>
            <w:tcW w:w="4050" w:type="dxa"/>
            <w:tcBorders>
              <w:top w:val="single" w:sz="4" w:space="0" w:color="auto"/>
              <w:left w:val="nil"/>
              <w:bottom w:val="single" w:sz="4" w:space="0" w:color="auto"/>
              <w:right w:val="nil"/>
            </w:tcBorders>
            <w:shd w:val="clear" w:color="auto" w:fill="auto"/>
            <w:vAlign w:val="bottom"/>
          </w:tcPr>
          <w:p w:rsidR="00DA77FB" w:rsidRPr="00A80570" w:rsidP="00342014" w14:paraId="2559C88B" w14:textId="77777777">
            <w:pPr>
              <w:keepNext/>
              <w:keepLines/>
              <w:rPr>
                <w:color w:val="000000"/>
                <w:sz w:val="22"/>
                <w:szCs w:val="22"/>
              </w:rPr>
            </w:pPr>
            <w:r w:rsidRPr="00A80570">
              <w:rPr>
                <w:color w:val="000000"/>
                <w:sz w:val="22"/>
                <w:szCs w:val="22"/>
              </w:rPr>
              <w:t>Ninth reminder email</w:t>
            </w:r>
          </w:p>
        </w:tc>
        <w:tc>
          <w:tcPr>
            <w:tcW w:w="1800" w:type="dxa"/>
            <w:tcBorders>
              <w:top w:val="single" w:sz="4" w:space="0" w:color="auto"/>
              <w:left w:val="nil"/>
              <w:bottom w:val="single" w:sz="4" w:space="0" w:color="auto"/>
              <w:right w:val="nil"/>
            </w:tcBorders>
            <w:shd w:val="clear" w:color="auto" w:fill="auto"/>
            <w:noWrap/>
            <w:vAlign w:val="bottom"/>
          </w:tcPr>
          <w:p w:rsidR="00DA77FB" w:rsidRPr="00A80570" w:rsidP="00342014" w14:paraId="006F488D" w14:textId="77777777">
            <w:pPr>
              <w:keepNext/>
              <w:keepLines/>
              <w:jc w:val="center"/>
              <w:rPr>
                <w:color w:val="000000"/>
                <w:sz w:val="22"/>
                <w:szCs w:val="22"/>
              </w:rPr>
            </w:pPr>
            <w:r w:rsidRPr="00A80570">
              <w:rPr>
                <w:color w:val="000000"/>
                <w:sz w:val="22"/>
                <w:szCs w:val="22"/>
              </w:rPr>
              <w:t>Week 27</w:t>
            </w:r>
          </w:p>
        </w:tc>
        <w:tc>
          <w:tcPr>
            <w:tcW w:w="1890" w:type="dxa"/>
            <w:tcBorders>
              <w:top w:val="single" w:sz="4" w:space="0" w:color="auto"/>
              <w:left w:val="nil"/>
              <w:bottom w:val="single" w:sz="4" w:space="0" w:color="auto"/>
              <w:right w:val="nil"/>
            </w:tcBorders>
          </w:tcPr>
          <w:p w:rsidR="00DA77FB" w:rsidRPr="00A80570" w:rsidP="00342014" w14:paraId="483F0AB6" w14:textId="77777777">
            <w:pPr>
              <w:keepNext/>
              <w:keepLines/>
              <w:jc w:val="center"/>
              <w:rPr>
                <w:color w:val="000000"/>
                <w:sz w:val="22"/>
                <w:szCs w:val="22"/>
              </w:rPr>
            </w:pPr>
            <w:r w:rsidRPr="00A80570">
              <w:rPr>
                <w:color w:val="000000"/>
                <w:sz w:val="22"/>
                <w:szCs w:val="22"/>
              </w:rPr>
              <w:t>Non-respondents</w:t>
            </w:r>
          </w:p>
        </w:tc>
        <w:tc>
          <w:tcPr>
            <w:tcW w:w="1800" w:type="dxa"/>
            <w:tcBorders>
              <w:top w:val="single" w:sz="4" w:space="0" w:color="auto"/>
              <w:left w:val="nil"/>
              <w:bottom w:val="single" w:sz="4" w:space="0" w:color="auto"/>
              <w:right w:val="nil"/>
            </w:tcBorders>
            <w:shd w:val="clear" w:color="auto" w:fill="auto"/>
            <w:noWrap/>
            <w:vAlign w:val="bottom"/>
          </w:tcPr>
          <w:p w:rsidR="00DA77FB" w:rsidRPr="00A80570" w:rsidP="00342014" w14:paraId="358AB884" w14:textId="50E2A69F">
            <w:pPr>
              <w:keepNext/>
              <w:keepLines/>
              <w:jc w:val="center"/>
              <w:rPr>
                <w:color w:val="000000"/>
                <w:sz w:val="22"/>
                <w:szCs w:val="22"/>
              </w:rPr>
            </w:pPr>
            <w:r>
              <w:rPr>
                <w:color w:val="000000"/>
                <w:sz w:val="22"/>
                <w:szCs w:val="22"/>
              </w:rPr>
              <w:t>17</w:t>
            </w:r>
          </w:p>
        </w:tc>
      </w:tr>
      <w:tr w14:paraId="552D3223" w14:textId="77777777" w:rsidTr="00A80570">
        <w:tblPrEx>
          <w:tblW w:w="9540" w:type="dxa"/>
          <w:tblLayout w:type="fixed"/>
          <w:tblLook w:val="04A0"/>
        </w:tblPrEx>
        <w:trPr>
          <w:trHeight w:val="300"/>
        </w:trPr>
        <w:tc>
          <w:tcPr>
            <w:tcW w:w="4050" w:type="dxa"/>
            <w:tcBorders>
              <w:top w:val="single" w:sz="4" w:space="0" w:color="auto"/>
              <w:left w:val="nil"/>
              <w:bottom w:val="single" w:sz="4" w:space="0" w:color="auto"/>
              <w:right w:val="nil"/>
            </w:tcBorders>
            <w:shd w:val="clear" w:color="auto" w:fill="auto"/>
            <w:vAlign w:val="bottom"/>
          </w:tcPr>
          <w:p w:rsidR="00DA77FB" w:rsidRPr="00A80570" w:rsidP="00342014" w14:paraId="0AD3653B" w14:textId="5EBBF70F">
            <w:pPr>
              <w:keepNext/>
              <w:keepLines/>
              <w:rPr>
                <w:color w:val="000000"/>
                <w:sz w:val="22"/>
                <w:szCs w:val="22"/>
              </w:rPr>
            </w:pPr>
            <w:r w:rsidRPr="00A80570">
              <w:rPr>
                <w:color w:val="000000"/>
                <w:sz w:val="22"/>
                <w:szCs w:val="22"/>
              </w:rPr>
              <w:t xml:space="preserve">Critical </w:t>
            </w:r>
            <w:r w:rsidR="00365360">
              <w:rPr>
                <w:color w:val="000000"/>
                <w:sz w:val="22"/>
                <w:szCs w:val="22"/>
              </w:rPr>
              <w:t>i</w:t>
            </w:r>
            <w:r w:rsidRPr="00A80570">
              <w:rPr>
                <w:color w:val="000000"/>
                <w:sz w:val="22"/>
                <w:szCs w:val="22"/>
              </w:rPr>
              <w:t>tems</w:t>
            </w:r>
            <w:r w:rsidR="00365360">
              <w:rPr>
                <w:color w:val="000000"/>
                <w:sz w:val="22"/>
                <w:szCs w:val="22"/>
              </w:rPr>
              <w:t xml:space="preserve"> letter</w:t>
            </w:r>
            <w:r w:rsidRPr="00A80570">
              <w:rPr>
                <w:color w:val="000000"/>
                <w:sz w:val="22"/>
                <w:szCs w:val="22"/>
              </w:rPr>
              <w:t xml:space="preserve"> </w:t>
            </w:r>
            <w:r w:rsidR="00365360">
              <w:rPr>
                <w:color w:val="000000"/>
                <w:sz w:val="22"/>
                <w:szCs w:val="22"/>
              </w:rPr>
              <w:t>and s</w:t>
            </w:r>
            <w:r w:rsidRPr="00A80570">
              <w:rPr>
                <w:color w:val="000000"/>
                <w:sz w:val="22"/>
                <w:szCs w:val="22"/>
              </w:rPr>
              <w:t>urvey sent with business return envelope; login credentials provided</w:t>
            </w:r>
          </w:p>
        </w:tc>
        <w:tc>
          <w:tcPr>
            <w:tcW w:w="1800" w:type="dxa"/>
            <w:tcBorders>
              <w:top w:val="single" w:sz="4" w:space="0" w:color="auto"/>
              <w:left w:val="nil"/>
              <w:bottom w:val="single" w:sz="4" w:space="0" w:color="auto"/>
              <w:right w:val="nil"/>
            </w:tcBorders>
            <w:shd w:val="clear" w:color="auto" w:fill="auto"/>
            <w:noWrap/>
            <w:vAlign w:val="bottom"/>
          </w:tcPr>
          <w:p w:rsidR="00DA77FB" w:rsidRPr="00A80570" w:rsidP="00342014" w14:paraId="6ADF3D1B" w14:textId="77777777">
            <w:pPr>
              <w:keepNext/>
              <w:keepLines/>
              <w:jc w:val="center"/>
              <w:rPr>
                <w:color w:val="000000"/>
                <w:sz w:val="22"/>
                <w:szCs w:val="22"/>
              </w:rPr>
            </w:pPr>
            <w:r w:rsidRPr="00A80570">
              <w:rPr>
                <w:color w:val="000000"/>
                <w:sz w:val="22"/>
                <w:szCs w:val="22"/>
              </w:rPr>
              <w:t>Week 31</w:t>
            </w:r>
          </w:p>
        </w:tc>
        <w:tc>
          <w:tcPr>
            <w:tcW w:w="1890" w:type="dxa"/>
            <w:tcBorders>
              <w:top w:val="single" w:sz="4" w:space="0" w:color="auto"/>
              <w:left w:val="nil"/>
              <w:bottom w:val="single" w:sz="4" w:space="0" w:color="auto"/>
              <w:right w:val="nil"/>
            </w:tcBorders>
          </w:tcPr>
          <w:p w:rsidR="00DA77FB" w:rsidRPr="00A80570" w:rsidP="00342014" w14:paraId="11382940" w14:textId="77777777">
            <w:pPr>
              <w:keepNext/>
              <w:keepLines/>
              <w:jc w:val="center"/>
              <w:rPr>
                <w:color w:val="000000"/>
                <w:sz w:val="22"/>
                <w:szCs w:val="22"/>
              </w:rPr>
            </w:pPr>
            <w:r w:rsidRPr="00A80570">
              <w:rPr>
                <w:color w:val="000000"/>
                <w:sz w:val="22"/>
                <w:szCs w:val="22"/>
              </w:rPr>
              <w:t>Non-respondents</w:t>
            </w:r>
          </w:p>
        </w:tc>
        <w:tc>
          <w:tcPr>
            <w:tcW w:w="1800" w:type="dxa"/>
            <w:tcBorders>
              <w:top w:val="single" w:sz="4" w:space="0" w:color="auto"/>
              <w:left w:val="nil"/>
              <w:bottom w:val="single" w:sz="4" w:space="0" w:color="auto"/>
              <w:right w:val="nil"/>
            </w:tcBorders>
            <w:shd w:val="clear" w:color="auto" w:fill="auto"/>
            <w:noWrap/>
            <w:vAlign w:val="bottom"/>
          </w:tcPr>
          <w:p w:rsidR="00DA77FB" w:rsidRPr="00A80570" w:rsidP="00342014" w14:paraId="32933A38" w14:textId="77777777">
            <w:pPr>
              <w:keepNext/>
              <w:keepLines/>
              <w:jc w:val="center"/>
              <w:rPr>
                <w:color w:val="000000"/>
                <w:sz w:val="22"/>
                <w:szCs w:val="22"/>
              </w:rPr>
            </w:pPr>
            <w:r w:rsidRPr="00A80570">
              <w:rPr>
                <w:color w:val="000000"/>
                <w:sz w:val="22"/>
                <w:szCs w:val="22"/>
              </w:rPr>
              <w:t>21</w:t>
            </w:r>
          </w:p>
        </w:tc>
      </w:tr>
      <w:tr w14:paraId="05F4E70A" w14:textId="77777777" w:rsidTr="00A80570">
        <w:tblPrEx>
          <w:tblW w:w="9540" w:type="dxa"/>
          <w:tblLayout w:type="fixed"/>
          <w:tblLook w:val="04A0"/>
        </w:tblPrEx>
        <w:trPr>
          <w:trHeight w:val="300"/>
        </w:trPr>
        <w:tc>
          <w:tcPr>
            <w:tcW w:w="4050" w:type="dxa"/>
            <w:tcBorders>
              <w:top w:val="single" w:sz="4" w:space="0" w:color="auto"/>
              <w:left w:val="nil"/>
              <w:bottom w:val="single" w:sz="4" w:space="0" w:color="auto"/>
              <w:right w:val="nil"/>
            </w:tcBorders>
            <w:shd w:val="clear" w:color="auto" w:fill="auto"/>
            <w:vAlign w:val="bottom"/>
          </w:tcPr>
          <w:p w:rsidR="00DA77FB" w:rsidRPr="00A80570" w:rsidP="00342014" w14:paraId="41E9409B" w14:textId="77777777">
            <w:pPr>
              <w:keepNext/>
              <w:keepLines/>
              <w:rPr>
                <w:color w:val="000000"/>
                <w:sz w:val="22"/>
                <w:szCs w:val="22"/>
              </w:rPr>
            </w:pPr>
            <w:r w:rsidRPr="00A80570">
              <w:rPr>
                <w:color w:val="000000"/>
                <w:sz w:val="22"/>
                <w:szCs w:val="22"/>
              </w:rPr>
              <w:t>Critical items email</w:t>
            </w:r>
          </w:p>
        </w:tc>
        <w:tc>
          <w:tcPr>
            <w:tcW w:w="1800" w:type="dxa"/>
            <w:tcBorders>
              <w:top w:val="single" w:sz="4" w:space="0" w:color="auto"/>
              <w:left w:val="nil"/>
              <w:bottom w:val="single" w:sz="4" w:space="0" w:color="auto"/>
              <w:right w:val="nil"/>
            </w:tcBorders>
            <w:shd w:val="clear" w:color="auto" w:fill="auto"/>
            <w:noWrap/>
            <w:vAlign w:val="bottom"/>
          </w:tcPr>
          <w:p w:rsidR="00DA77FB" w:rsidRPr="00A80570" w:rsidP="00342014" w14:paraId="2C60569F" w14:textId="77777777">
            <w:pPr>
              <w:keepNext/>
              <w:keepLines/>
              <w:jc w:val="center"/>
              <w:rPr>
                <w:color w:val="000000"/>
                <w:sz w:val="22"/>
                <w:szCs w:val="22"/>
              </w:rPr>
            </w:pPr>
            <w:r w:rsidRPr="00A80570">
              <w:rPr>
                <w:color w:val="000000"/>
                <w:sz w:val="22"/>
                <w:szCs w:val="22"/>
              </w:rPr>
              <w:t>Week 32</w:t>
            </w:r>
          </w:p>
        </w:tc>
        <w:tc>
          <w:tcPr>
            <w:tcW w:w="1890" w:type="dxa"/>
            <w:tcBorders>
              <w:top w:val="single" w:sz="4" w:space="0" w:color="auto"/>
              <w:left w:val="nil"/>
              <w:bottom w:val="single" w:sz="4" w:space="0" w:color="auto"/>
              <w:right w:val="nil"/>
            </w:tcBorders>
          </w:tcPr>
          <w:p w:rsidR="00DA77FB" w:rsidRPr="00A80570" w:rsidP="00342014" w14:paraId="06E7E336" w14:textId="77777777">
            <w:pPr>
              <w:keepNext/>
              <w:keepLines/>
              <w:jc w:val="center"/>
              <w:rPr>
                <w:color w:val="000000"/>
                <w:sz w:val="22"/>
                <w:szCs w:val="22"/>
              </w:rPr>
            </w:pPr>
            <w:r w:rsidRPr="00A80570">
              <w:rPr>
                <w:color w:val="000000"/>
                <w:sz w:val="22"/>
                <w:szCs w:val="22"/>
              </w:rPr>
              <w:t>Non-respondents</w:t>
            </w:r>
          </w:p>
        </w:tc>
        <w:tc>
          <w:tcPr>
            <w:tcW w:w="1800" w:type="dxa"/>
            <w:tcBorders>
              <w:top w:val="single" w:sz="4" w:space="0" w:color="auto"/>
              <w:left w:val="nil"/>
              <w:bottom w:val="single" w:sz="4" w:space="0" w:color="auto"/>
              <w:right w:val="nil"/>
            </w:tcBorders>
            <w:shd w:val="clear" w:color="auto" w:fill="auto"/>
            <w:noWrap/>
            <w:vAlign w:val="bottom"/>
          </w:tcPr>
          <w:p w:rsidR="00DA77FB" w:rsidRPr="00A80570" w:rsidP="00342014" w14:paraId="0904531B" w14:textId="77777777">
            <w:pPr>
              <w:keepNext/>
              <w:keepLines/>
              <w:jc w:val="center"/>
              <w:rPr>
                <w:color w:val="000000"/>
                <w:sz w:val="22"/>
                <w:szCs w:val="22"/>
              </w:rPr>
            </w:pPr>
            <w:r w:rsidRPr="00A80570">
              <w:rPr>
                <w:color w:val="000000"/>
                <w:sz w:val="22"/>
                <w:szCs w:val="22"/>
              </w:rPr>
              <w:t>22</w:t>
            </w:r>
          </w:p>
        </w:tc>
      </w:tr>
      <w:tr w14:paraId="1CCF5FA7" w14:textId="77777777" w:rsidTr="00A80570">
        <w:tblPrEx>
          <w:tblW w:w="9540" w:type="dxa"/>
          <w:tblLayout w:type="fixed"/>
          <w:tblLook w:val="04A0"/>
        </w:tblPrEx>
        <w:trPr>
          <w:trHeight w:val="300"/>
        </w:trPr>
        <w:tc>
          <w:tcPr>
            <w:tcW w:w="4050" w:type="dxa"/>
            <w:tcBorders>
              <w:top w:val="single" w:sz="4" w:space="0" w:color="auto"/>
              <w:left w:val="nil"/>
              <w:bottom w:val="single" w:sz="4" w:space="0" w:color="auto"/>
              <w:right w:val="nil"/>
            </w:tcBorders>
            <w:shd w:val="clear" w:color="auto" w:fill="auto"/>
            <w:vAlign w:val="bottom"/>
          </w:tcPr>
          <w:p w:rsidR="00DA77FB" w:rsidRPr="00A80570" w:rsidP="00342014" w14:paraId="1F500EE7" w14:textId="77777777">
            <w:pPr>
              <w:keepNext/>
              <w:keepLines/>
              <w:rPr>
                <w:color w:val="000000"/>
                <w:sz w:val="22"/>
                <w:szCs w:val="22"/>
              </w:rPr>
            </w:pPr>
            <w:r w:rsidRPr="00A80570">
              <w:rPr>
                <w:color w:val="000000"/>
                <w:sz w:val="22"/>
                <w:szCs w:val="22"/>
              </w:rPr>
              <w:t>Critical items prompting calls</w:t>
            </w:r>
          </w:p>
        </w:tc>
        <w:tc>
          <w:tcPr>
            <w:tcW w:w="1800" w:type="dxa"/>
            <w:tcBorders>
              <w:top w:val="single" w:sz="4" w:space="0" w:color="auto"/>
              <w:left w:val="nil"/>
              <w:bottom w:val="single" w:sz="4" w:space="0" w:color="auto"/>
              <w:right w:val="nil"/>
            </w:tcBorders>
            <w:shd w:val="clear" w:color="auto" w:fill="auto"/>
            <w:noWrap/>
            <w:vAlign w:val="bottom"/>
          </w:tcPr>
          <w:p w:rsidR="00DA77FB" w:rsidRPr="00A80570" w:rsidP="00342014" w14:paraId="5D586418" w14:textId="77777777">
            <w:pPr>
              <w:keepNext/>
              <w:keepLines/>
              <w:jc w:val="center"/>
              <w:rPr>
                <w:color w:val="000000"/>
                <w:sz w:val="22"/>
                <w:szCs w:val="22"/>
              </w:rPr>
            </w:pPr>
            <w:r w:rsidRPr="00A80570">
              <w:rPr>
                <w:color w:val="000000"/>
                <w:sz w:val="22"/>
                <w:szCs w:val="22"/>
              </w:rPr>
              <w:t>Week 34</w:t>
            </w:r>
          </w:p>
        </w:tc>
        <w:tc>
          <w:tcPr>
            <w:tcW w:w="1890" w:type="dxa"/>
            <w:tcBorders>
              <w:top w:val="single" w:sz="4" w:space="0" w:color="auto"/>
              <w:left w:val="nil"/>
              <w:bottom w:val="single" w:sz="4" w:space="0" w:color="auto"/>
              <w:right w:val="nil"/>
            </w:tcBorders>
          </w:tcPr>
          <w:p w:rsidR="00DA77FB" w:rsidRPr="00A80570" w:rsidP="00342014" w14:paraId="2304E50E" w14:textId="77777777">
            <w:pPr>
              <w:keepNext/>
              <w:keepLines/>
              <w:jc w:val="center"/>
              <w:rPr>
                <w:color w:val="000000"/>
                <w:sz w:val="22"/>
                <w:szCs w:val="22"/>
              </w:rPr>
            </w:pPr>
            <w:r w:rsidRPr="00A80570">
              <w:rPr>
                <w:color w:val="000000"/>
                <w:sz w:val="22"/>
                <w:szCs w:val="22"/>
              </w:rPr>
              <w:t>Non-respondents</w:t>
            </w:r>
          </w:p>
        </w:tc>
        <w:tc>
          <w:tcPr>
            <w:tcW w:w="1800" w:type="dxa"/>
            <w:tcBorders>
              <w:top w:val="single" w:sz="4" w:space="0" w:color="auto"/>
              <w:left w:val="nil"/>
              <w:bottom w:val="single" w:sz="4" w:space="0" w:color="auto"/>
              <w:right w:val="nil"/>
            </w:tcBorders>
            <w:shd w:val="clear" w:color="auto" w:fill="auto"/>
            <w:noWrap/>
            <w:vAlign w:val="bottom"/>
          </w:tcPr>
          <w:p w:rsidR="00DA77FB" w:rsidRPr="00A80570" w:rsidP="00342014" w14:paraId="0DD418FD" w14:textId="408F5422">
            <w:pPr>
              <w:keepNext/>
              <w:keepLines/>
              <w:jc w:val="center"/>
              <w:rPr>
                <w:color w:val="000000"/>
                <w:sz w:val="22"/>
                <w:szCs w:val="22"/>
              </w:rPr>
            </w:pPr>
            <w:r>
              <w:rPr>
                <w:color w:val="000000"/>
                <w:sz w:val="22"/>
                <w:szCs w:val="22"/>
              </w:rPr>
              <w:t>19</w:t>
            </w:r>
          </w:p>
        </w:tc>
      </w:tr>
      <w:tr w14:paraId="370683D7" w14:textId="77777777" w:rsidTr="00A80570">
        <w:tblPrEx>
          <w:tblW w:w="9540" w:type="dxa"/>
          <w:tblLayout w:type="fixed"/>
          <w:tblLook w:val="04A0"/>
        </w:tblPrEx>
        <w:trPr>
          <w:trHeight w:val="300"/>
        </w:trPr>
        <w:tc>
          <w:tcPr>
            <w:tcW w:w="4050" w:type="dxa"/>
            <w:tcBorders>
              <w:top w:val="single" w:sz="4" w:space="0" w:color="auto"/>
              <w:left w:val="nil"/>
              <w:bottom w:val="single" w:sz="4" w:space="0" w:color="auto"/>
              <w:right w:val="nil"/>
            </w:tcBorders>
            <w:shd w:val="clear" w:color="auto" w:fill="auto"/>
            <w:vAlign w:val="bottom"/>
          </w:tcPr>
          <w:p w:rsidR="00DA77FB" w:rsidRPr="00A80570" w:rsidP="00342014" w14:paraId="5A9556EB" w14:textId="7CED22AE">
            <w:pPr>
              <w:keepNext/>
              <w:keepLines/>
              <w:rPr>
                <w:color w:val="000000"/>
                <w:sz w:val="22"/>
                <w:szCs w:val="22"/>
              </w:rPr>
            </w:pPr>
            <w:r w:rsidRPr="00A80570">
              <w:rPr>
                <w:color w:val="000000"/>
                <w:sz w:val="22"/>
                <w:szCs w:val="22"/>
              </w:rPr>
              <w:t>End-of-study letter</w:t>
            </w:r>
          </w:p>
        </w:tc>
        <w:tc>
          <w:tcPr>
            <w:tcW w:w="1800" w:type="dxa"/>
            <w:tcBorders>
              <w:top w:val="single" w:sz="4" w:space="0" w:color="auto"/>
              <w:left w:val="nil"/>
              <w:bottom w:val="single" w:sz="4" w:space="0" w:color="auto"/>
              <w:right w:val="nil"/>
            </w:tcBorders>
            <w:shd w:val="clear" w:color="auto" w:fill="auto"/>
            <w:noWrap/>
            <w:vAlign w:val="bottom"/>
          </w:tcPr>
          <w:p w:rsidR="00DA77FB" w:rsidRPr="00A80570" w:rsidP="00342014" w14:paraId="2E3459A0" w14:textId="77777777">
            <w:pPr>
              <w:keepNext/>
              <w:keepLines/>
              <w:jc w:val="center"/>
              <w:rPr>
                <w:color w:val="000000"/>
                <w:sz w:val="22"/>
                <w:szCs w:val="22"/>
              </w:rPr>
            </w:pPr>
            <w:r w:rsidRPr="00A80570">
              <w:rPr>
                <w:color w:val="000000"/>
                <w:sz w:val="22"/>
                <w:szCs w:val="22"/>
              </w:rPr>
              <w:t>Week 39</w:t>
            </w:r>
          </w:p>
        </w:tc>
        <w:tc>
          <w:tcPr>
            <w:tcW w:w="1890" w:type="dxa"/>
            <w:tcBorders>
              <w:top w:val="single" w:sz="4" w:space="0" w:color="auto"/>
              <w:left w:val="nil"/>
              <w:bottom w:val="single" w:sz="4" w:space="0" w:color="auto"/>
              <w:right w:val="nil"/>
            </w:tcBorders>
            <w:vAlign w:val="bottom"/>
          </w:tcPr>
          <w:p w:rsidR="00DA77FB" w:rsidRPr="00A80570" w:rsidP="00342014" w14:paraId="295F2A50" w14:textId="77777777">
            <w:pPr>
              <w:keepNext/>
              <w:keepLines/>
              <w:jc w:val="center"/>
              <w:rPr>
                <w:color w:val="000000"/>
                <w:sz w:val="22"/>
                <w:szCs w:val="22"/>
              </w:rPr>
            </w:pPr>
            <w:r w:rsidRPr="00A80570">
              <w:rPr>
                <w:color w:val="000000"/>
                <w:sz w:val="22"/>
                <w:szCs w:val="22"/>
              </w:rPr>
              <w:t>Non-respondents</w:t>
            </w:r>
          </w:p>
        </w:tc>
        <w:tc>
          <w:tcPr>
            <w:tcW w:w="1800" w:type="dxa"/>
            <w:tcBorders>
              <w:top w:val="single" w:sz="4" w:space="0" w:color="auto"/>
              <w:left w:val="nil"/>
              <w:bottom w:val="single" w:sz="4" w:space="0" w:color="auto"/>
              <w:right w:val="nil"/>
            </w:tcBorders>
            <w:shd w:val="clear" w:color="auto" w:fill="auto"/>
            <w:noWrap/>
            <w:vAlign w:val="bottom"/>
          </w:tcPr>
          <w:p w:rsidR="00DA77FB" w:rsidRPr="00A80570" w:rsidP="00342014" w14:paraId="42E71B13" w14:textId="77777777">
            <w:pPr>
              <w:keepNext/>
              <w:keepLines/>
              <w:jc w:val="center"/>
              <w:rPr>
                <w:color w:val="000000"/>
                <w:sz w:val="22"/>
                <w:szCs w:val="22"/>
              </w:rPr>
            </w:pPr>
            <w:r w:rsidRPr="00A80570">
              <w:rPr>
                <w:color w:val="000000"/>
                <w:sz w:val="22"/>
                <w:szCs w:val="22"/>
              </w:rPr>
              <w:t>23</w:t>
            </w:r>
          </w:p>
        </w:tc>
      </w:tr>
      <w:tr w14:paraId="6DFCEB48" w14:textId="77777777" w:rsidTr="00A80570">
        <w:tblPrEx>
          <w:tblW w:w="9540" w:type="dxa"/>
          <w:tblLayout w:type="fixed"/>
          <w:tblLook w:val="04A0"/>
        </w:tblPrEx>
        <w:trPr>
          <w:trHeight w:val="300"/>
        </w:trPr>
        <w:tc>
          <w:tcPr>
            <w:tcW w:w="4050" w:type="dxa"/>
            <w:tcBorders>
              <w:top w:val="single" w:sz="4" w:space="0" w:color="auto"/>
              <w:left w:val="nil"/>
              <w:bottom w:val="single" w:sz="4" w:space="0" w:color="auto"/>
              <w:right w:val="nil"/>
            </w:tcBorders>
            <w:shd w:val="clear" w:color="auto" w:fill="auto"/>
            <w:vAlign w:val="bottom"/>
            <w:hideMark/>
          </w:tcPr>
          <w:p w:rsidR="00DA77FB" w:rsidRPr="00A80570" w:rsidP="00342014" w14:paraId="0FFCA414" w14:textId="77777777">
            <w:pPr>
              <w:keepNext/>
              <w:keepLines/>
              <w:rPr>
                <w:color w:val="000000"/>
                <w:sz w:val="22"/>
                <w:szCs w:val="22"/>
              </w:rPr>
            </w:pPr>
            <w:r w:rsidRPr="00A80570">
              <w:rPr>
                <w:color w:val="000000"/>
                <w:sz w:val="22"/>
                <w:szCs w:val="22"/>
              </w:rPr>
              <w:t>End-of-study email</w:t>
            </w:r>
          </w:p>
        </w:tc>
        <w:tc>
          <w:tcPr>
            <w:tcW w:w="1800" w:type="dxa"/>
            <w:tcBorders>
              <w:top w:val="single" w:sz="4" w:space="0" w:color="auto"/>
              <w:left w:val="nil"/>
              <w:bottom w:val="single" w:sz="4" w:space="0" w:color="auto"/>
              <w:right w:val="nil"/>
            </w:tcBorders>
            <w:shd w:val="clear" w:color="auto" w:fill="auto"/>
            <w:noWrap/>
            <w:vAlign w:val="bottom"/>
          </w:tcPr>
          <w:p w:rsidR="00DA77FB" w:rsidRPr="00A80570" w:rsidP="00342014" w14:paraId="6A2F45FD" w14:textId="77777777">
            <w:pPr>
              <w:keepNext/>
              <w:keepLines/>
              <w:jc w:val="center"/>
              <w:rPr>
                <w:color w:val="000000"/>
                <w:sz w:val="22"/>
                <w:szCs w:val="22"/>
              </w:rPr>
            </w:pPr>
            <w:r w:rsidRPr="00A80570">
              <w:rPr>
                <w:color w:val="000000"/>
                <w:sz w:val="22"/>
                <w:szCs w:val="22"/>
              </w:rPr>
              <w:t>Week 40</w:t>
            </w:r>
          </w:p>
        </w:tc>
        <w:tc>
          <w:tcPr>
            <w:tcW w:w="1890" w:type="dxa"/>
            <w:tcBorders>
              <w:top w:val="single" w:sz="4" w:space="0" w:color="auto"/>
              <w:left w:val="nil"/>
              <w:bottom w:val="single" w:sz="4" w:space="0" w:color="auto"/>
              <w:right w:val="nil"/>
            </w:tcBorders>
          </w:tcPr>
          <w:p w:rsidR="00DA77FB" w:rsidRPr="00A80570" w:rsidP="00342014" w14:paraId="329CF9FD" w14:textId="77777777">
            <w:pPr>
              <w:keepNext/>
              <w:keepLines/>
              <w:jc w:val="center"/>
              <w:rPr>
                <w:color w:val="000000"/>
                <w:sz w:val="22"/>
                <w:szCs w:val="22"/>
                <w:highlight w:val="yellow"/>
              </w:rPr>
            </w:pPr>
            <w:r w:rsidRPr="00A80570">
              <w:rPr>
                <w:color w:val="000000"/>
                <w:sz w:val="22"/>
                <w:szCs w:val="22"/>
              </w:rPr>
              <w:t>Non-respondents</w:t>
            </w:r>
          </w:p>
        </w:tc>
        <w:tc>
          <w:tcPr>
            <w:tcW w:w="1800" w:type="dxa"/>
            <w:tcBorders>
              <w:top w:val="single" w:sz="4" w:space="0" w:color="auto"/>
              <w:left w:val="nil"/>
              <w:bottom w:val="single" w:sz="4" w:space="0" w:color="auto"/>
              <w:right w:val="nil"/>
            </w:tcBorders>
            <w:shd w:val="clear" w:color="auto" w:fill="auto"/>
            <w:noWrap/>
            <w:vAlign w:val="bottom"/>
          </w:tcPr>
          <w:p w:rsidR="00DA77FB" w:rsidRPr="00A80570" w:rsidP="00342014" w14:paraId="4B2F3B26" w14:textId="77777777">
            <w:pPr>
              <w:keepNext/>
              <w:keepLines/>
              <w:jc w:val="center"/>
              <w:rPr>
                <w:color w:val="000000"/>
                <w:sz w:val="22"/>
                <w:szCs w:val="22"/>
              </w:rPr>
            </w:pPr>
            <w:r w:rsidRPr="00A80570">
              <w:rPr>
                <w:color w:val="000000"/>
                <w:sz w:val="22"/>
                <w:szCs w:val="22"/>
              </w:rPr>
              <w:t>24</w:t>
            </w:r>
          </w:p>
        </w:tc>
      </w:tr>
      <w:tr w14:paraId="432FE824" w14:textId="77777777" w:rsidTr="00A80570">
        <w:tblPrEx>
          <w:tblW w:w="9540" w:type="dxa"/>
          <w:tblLayout w:type="fixed"/>
          <w:tblLook w:val="04A0"/>
        </w:tblPrEx>
        <w:trPr>
          <w:trHeight w:val="300"/>
        </w:trPr>
        <w:tc>
          <w:tcPr>
            <w:tcW w:w="4050" w:type="dxa"/>
            <w:tcBorders>
              <w:top w:val="single" w:sz="4" w:space="0" w:color="auto"/>
              <w:left w:val="nil"/>
              <w:bottom w:val="single" w:sz="4" w:space="0" w:color="auto"/>
              <w:right w:val="nil"/>
            </w:tcBorders>
            <w:shd w:val="clear" w:color="auto" w:fill="auto"/>
            <w:vAlign w:val="bottom"/>
            <w:hideMark/>
          </w:tcPr>
          <w:p w:rsidR="00DA77FB" w:rsidRPr="00A80570" w:rsidP="00342014" w14:paraId="1ADB1821" w14:textId="77777777">
            <w:pPr>
              <w:keepNext/>
              <w:keepLines/>
              <w:rPr>
                <w:color w:val="000000"/>
                <w:sz w:val="22"/>
                <w:szCs w:val="22"/>
              </w:rPr>
            </w:pPr>
            <w:r w:rsidRPr="00A80570">
              <w:rPr>
                <w:color w:val="000000"/>
                <w:sz w:val="22"/>
                <w:szCs w:val="22"/>
              </w:rPr>
              <w:t>Close data collection</w:t>
            </w:r>
          </w:p>
        </w:tc>
        <w:tc>
          <w:tcPr>
            <w:tcW w:w="1800" w:type="dxa"/>
            <w:tcBorders>
              <w:top w:val="single" w:sz="4" w:space="0" w:color="auto"/>
              <w:left w:val="nil"/>
              <w:bottom w:val="single" w:sz="4" w:space="0" w:color="auto"/>
              <w:right w:val="nil"/>
            </w:tcBorders>
            <w:shd w:val="clear" w:color="auto" w:fill="auto"/>
            <w:noWrap/>
            <w:vAlign w:val="bottom"/>
          </w:tcPr>
          <w:p w:rsidR="00DA77FB" w:rsidRPr="00A80570" w:rsidP="00342014" w14:paraId="62395DE9" w14:textId="77777777">
            <w:pPr>
              <w:keepNext/>
              <w:keepLines/>
              <w:jc w:val="center"/>
              <w:rPr>
                <w:color w:val="000000"/>
                <w:sz w:val="22"/>
                <w:szCs w:val="22"/>
              </w:rPr>
            </w:pPr>
            <w:r w:rsidRPr="00A80570">
              <w:rPr>
                <w:color w:val="000000"/>
                <w:sz w:val="22"/>
                <w:szCs w:val="22"/>
              </w:rPr>
              <w:t>Week 42</w:t>
            </w:r>
          </w:p>
        </w:tc>
        <w:tc>
          <w:tcPr>
            <w:tcW w:w="1890" w:type="dxa"/>
            <w:tcBorders>
              <w:top w:val="single" w:sz="4" w:space="0" w:color="auto"/>
              <w:left w:val="nil"/>
              <w:bottom w:val="single" w:sz="4" w:space="0" w:color="auto"/>
              <w:right w:val="nil"/>
            </w:tcBorders>
            <w:vAlign w:val="bottom"/>
          </w:tcPr>
          <w:p w:rsidR="00DA77FB" w:rsidRPr="00A80570" w:rsidP="00342014" w14:paraId="4DD4AF20" w14:textId="77777777">
            <w:pPr>
              <w:keepNext/>
              <w:keepLines/>
              <w:jc w:val="center"/>
              <w:rPr>
                <w:color w:val="000000"/>
                <w:sz w:val="22"/>
                <w:szCs w:val="22"/>
              </w:rPr>
            </w:pPr>
          </w:p>
        </w:tc>
        <w:tc>
          <w:tcPr>
            <w:tcW w:w="1800" w:type="dxa"/>
            <w:tcBorders>
              <w:top w:val="single" w:sz="4" w:space="0" w:color="auto"/>
              <w:left w:val="nil"/>
              <w:bottom w:val="single" w:sz="4" w:space="0" w:color="auto"/>
              <w:right w:val="nil"/>
            </w:tcBorders>
            <w:shd w:val="clear" w:color="auto" w:fill="auto"/>
            <w:noWrap/>
            <w:vAlign w:val="bottom"/>
          </w:tcPr>
          <w:p w:rsidR="00DA77FB" w:rsidRPr="00A80570" w:rsidP="00342014" w14:paraId="734F45A6" w14:textId="77777777">
            <w:pPr>
              <w:keepNext/>
              <w:keepLines/>
              <w:jc w:val="center"/>
              <w:rPr>
                <w:color w:val="000000"/>
                <w:sz w:val="22"/>
                <w:szCs w:val="22"/>
              </w:rPr>
            </w:pPr>
          </w:p>
        </w:tc>
      </w:tr>
      <w:tr w14:paraId="21C905CB" w14:textId="77777777" w:rsidTr="00A80570">
        <w:tblPrEx>
          <w:tblW w:w="9540" w:type="dxa"/>
          <w:tblLayout w:type="fixed"/>
          <w:tblLook w:val="04A0"/>
        </w:tblPrEx>
        <w:trPr>
          <w:trHeight w:val="300"/>
        </w:trPr>
        <w:tc>
          <w:tcPr>
            <w:tcW w:w="4050" w:type="dxa"/>
            <w:tcBorders>
              <w:top w:val="single" w:sz="4" w:space="0" w:color="auto"/>
              <w:left w:val="nil"/>
              <w:bottom w:val="single" w:sz="4" w:space="0" w:color="auto"/>
              <w:right w:val="nil"/>
            </w:tcBorders>
            <w:shd w:val="clear" w:color="auto" w:fill="auto"/>
            <w:vAlign w:val="bottom"/>
          </w:tcPr>
          <w:p w:rsidR="00DA77FB" w:rsidRPr="00A80570" w:rsidP="00342014" w14:paraId="1FE98A37" w14:textId="77777777">
            <w:pPr>
              <w:keepNext/>
              <w:keepLines/>
              <w:rPr>
                <w:color w:val="000000"/>
                <w:sz w:val="22"/>
                <w:szCs w:val="22"/>
              </w:rPr>
            </w:pPr>
            <w:r w:rsidRPr="00A80570">
              <w:rPr>
                <w:color w:val="000000"/>
                <w:sz w:val="22"/>
                <w:szCs w:val="22"/>
              </w:rPr>
              <w:t>Completion thank you email</w:t>
            </w:r>
          </w:p>
        </w:tc>
        <w:tc>
          <w:tcPr>
            <w:tcW w:w="1800" w:type="dxa"/>
            <w:tcBorders>
              <w:top w:val="single" w:sz="4" w:space="0" w:color="auto"/>
              <w:left w:val="nil"/>
              <w:bottom w:val="single" w:sz="4" w:space="0" w:color="auto"/>
              <w:right w:val="nil"/>
            </w:tcBorders>
            <w:shd w:val="clear" w:color="auto" w:fill="auto"/>
            <w:noWrap/>
            <w:vAlign w:val="bottom"/>
          </w:tcPr>
          <w:p w:rsidR="00DA77FB" w:rsidRPr="00A80570" w:rsidP="00342014" w14:paraId="5D68315A" w14:textId="77777777">
            <w:pPr>
              <w:keepNext/>
              <w:keepLines/>
              <w:jc w:val="center"/>
              <w:rPr>
                <w:color w:val="000000"/>
                <w:sz w:val="22"/>
                <w:szCs w:val="22"/>
              </w:rPr>
            </w:pPr>
            <w:r w:rsidRPr="00A80570">
              <w:rPr>
                <w:color w:val="000000"/>
                <w:sz w:val="22"/>
                <w:szCs w:val="22"/>
              </w:rPr>
              <w:t>Rolling</w:t>
            </w:r>
          </w:p>
        </w:tc>
        <w:tc>
          <w:tcPr>
            <w:tcW w:w="1890" w:type="dxa"/>
            <w:tcBorders>
              <w:top w:val="single" w:sz="4" w:space="0" w:color="auto"/>
              <w:left w:val="nil"/>
              <w:bottom w:val="single" w:sz="4" w:space="0" w:color="auto"/>
              <w:right w:val="nil"/>
            </w:tcBorders>
            <w:vAlign w:val="bottom"/>
          </w:tcPr>
          <w:p w:rsidR="00DA77FB" w:rsidRPr="00A80570" w:rsidP="00342014" w14:paraId="013A2D94" w14:textId="77777777">
            <w:pPr>
              <w:keepNext/>
              <w:keepLines/>
              <w:jc w:val="center"/>
              <w:rPr>
                <w:color w:val="000000"/>
                <w:sz w:val="22"/>
                <w:szCs w:val="22"/>
              </w:rPr>
            </w:pPr>
            <w:r w:rsidRPr="00A80570">
              <w:rPr>
                <w:color w:val="000000"/>
                <w:sz w:val="22"/>
                <w:szCs w:val="22"/>
              </w:rPr>
              <w:t>Respondents</w:t>
            </w:r>
          </w:p>
        </w:tc>
        <w:tc>
          <w:tcPr>
            <w:tcW w:w="1800" w:type="dxa"/>
            <w:tcBorders>
              <w:top w:val="single" w:sz="4" w:space="0" w:color="auto"/>
              <w:left w:val="nil"/>
              <w:bottom w:val="single" w:sz="4" w:space="0" w:color="auto"/>
              <w:right w:val="nil"/>
            </w:tcBorders>
            <w:shd w:val="clear" w:color="auto" w:fill="auto"/>
            <w:noWrap/>
            <w:vAlign w:val="bottom"/>
          </w:tcPr>
          <w:p w:rsidR="00DA77FB" w:rsidRPr="00A80570" w:rsidP="00342014" w14:paraId="2FF33F1D" w14:textId="77777777">
            <w:pPr>
              <w:keepNext/>
              <w:keepLines/>
              <w:jc w:val="center"/>
              <w:rPr>
                <w:color w:val="000000"/>
                <w:sz w:val="22"/>
                <w:szCs w:val="22"/>
              </w:rPr>
            </w:pPr>
            <w:r w:rsidRPr="00A80570">
              <w:rPr>
                <w:color w:val="000000"/>
                <w:sz w:val="22"/>
                <w:szCs w:val="22"/>
              </w:rPr>
              <w:t>25</w:t>
            </w:r>
          </w:p>
        </w:tc>
      </w:tr>
    </w:tbl>
    <w:p w:rsidR="00DA77FB" w:rsidRPr="00912246" w:rsidP="008A50EA" w14:paraId="1DBACBF4" w14:textId="77777777">
      <w:pPr>
        <w:rPr>
          <w:rFonts w:asciiTheme="majorBidi" w:hAnsiTheme="majorBidi" w:cstheme="majorBidi"/>
        </w:rPr>
      </w:pPr>
    </w:p>
    <w:p w:rsidR="00A03BFC" w:rsidRPr="00912246" w:rsidP="00CD33AE" w14:paraId="0AF09624" w14:textId="1770DFE3">
      <w:pPr>
        <w:autoSpaceDE w:val="0"/>
        <w:autoSpaceDN w:val="0"/>
        <w:adjustRightInd w:val="0"/>
        <w:rPr>
          <w:rFonts w:asciiTheme="majorBidi" w:eastAsiaTheme="minorHAnsi" w:hAnsiTheme="majorBidi" w:cstheme="majorBidi"/>
          <w:spacing w:val="-6"/>
        </w:rPr>
      </w:pPr>
      <w:r w:rsidRPr="00912246">
        <w:rPr>
          <w:rFonts w:asciiTheme="majorBidi" w:hAnsiTheme="majorBidi" w:cstheme="majorBidi"/>
        </w:rPr>
        <w:t>The</w:t>
      </w:r>
      <w:r w:rsidR="006F23AD">
        <w:rPr>
          <w:rFonts w:asciiTheme="majorBidi" w:hAnsiTheme="majorBidi" w:cstheme="majorBidi"/>
        </w:rPr>
        <w:t xml:space="preserve"> data collection will begin with a</w:t>
      </w:r>
      <w:r w:rsidR="002F3155">
        <w:rPr>
          <w:rFonts w:asciiTheme="majorBidi" w:hAnsiTheme="majorBidi" w:cstheme="majorBidi"/>
        </w:rPr>
        <w:t>n invitation</w:t>
      </w:r>
      <w:r w:rsidR="00A012CD">
        <w:rPr>
          <w:rFonts w:asciiTheme="majorBidi" w:hAnsiTheme="majorBidi" w:cstheme="majorBidi"/>
        </w:rPr>
        <w:t xml:space="preserve"> </w:t>
      </w:r>
      <w:r w:rsidR="00695798">
        <w:rPr>
          <w:rFonts w:asciiTheme="majorBidi" w:hAnsiTheme="majorBidi" w:cstheme="majorBidi"/>
        </w:rPr>
        <w:t xml:space="preserve">letter </w:t>
      </w:r>
      <w:r w:rsidR="006F23AD">
        <w:rPr>
          <w:rFonts w:asciiTheme="majorBidi" w:hAnsiTheme="majorBidi" w:cstheme="majorBidi"/>
        </w:rPr>
        <w:t>mailed via the United States Postal Service</w:t>
      </w:r>
      <w:r w:rsidR="009C1E32">
        <w:rPr>
          <w:rFonts w:asciiTheme="majorBidi" w:hAnsiTheme="majorBidi" w:cstheme="majorBidi"/>
        </w:rPr>
        <w:t xml:space="preserve"> (USPS)</w:t>
      </w:r>
      <w:r w:rsidR="006F23AD">
        <w:rPr>
          <w:rFonts w:asciiTheme="majorBidi" w:hAnsiTheme="majorBidi" w:cstheme="majorBidi"/>
        </w:rPr>
        <w:t xml:space="preserve"> to the </w:t>
      </w:r>
      <w:r w:rsidR="000E2702">
        <w:rPr>
          <w:rFonts w:asciiTheme="majorBidi" w:hAnsiTheme="majorBidi" w:cstheme="majorBidi"/>
        </w:rPr>
        <w:t>head</w:t>
      </w:r>
      <w:r w:rsidR="006F23AD">
        <w:rPr>
          <w:rFonts w:asciiTheme="majorBidi" w:hAnsiTheme="majorBidi" w:cstheme="majorBidi"/>
        </w:rPr>
        <w:t xml:space="preserve"> </w:t>
      </w:r>
      <w:r w:rsidR="0069339F">
        <w:rPr>
          <w:rFonts w:asciiTheme="majorBidi" w:hAnsiTheme="majorBidi" w:cstheme="majorBidi"/>
        </w:rPr>
        <w:t xml:space="preserve">of </w:t>
      </w:r>
      <w:r w:rsidR="006F23AD">
        <w:rPr>
          <w:rFonts w:asciiTheme="majorBidi" w:hAnsiTheme="majorBidi" w:cstheme="majorBidi"/>
        </w:rPr>
        <w:t xml:space="preserve">each </w:t>
      </w:r>
      <w:r w:rsidR="00850BFF">
        <w:rPr>
          <w:rFonts w:asciiTheme="majorBidi" w:hAnsiTheme="majorBidi" w:cstheme="majorBidi"/>
        </w:rPr>
        <w:t>office to inform them about the survey</w:t>
      </w:r>
      <w:r w:rsidR="009D78EC">
        <w:rPr>
          <w:rFonts w:asciiTheme="majorBidi" w:hAnsiTheme="majorBidi" w:cstheme="majorBidi"/>
        </w:rPr>
        <w:t>. As new respondents to the CMEC, the justices of peace in Texas will receive a slightly different letter than the MEC offices</w:t>
      </w:r>
      <w:r w:rsidR="00850BFF">
        <w:rPr>
          <w:rFonts w:asciiTheme="majorBidi" w:hAnsiTheme="majorBidi" w:cstheme="majorBidi"/>
        </w:rPr>
        <w:t xml:space="preserve"> </w:t>
      </w:r>
      <w:r w:rsidRPr="00912246">
        <w:rPr>
          <w:rFonts w:asciiTheme="majorBidi" w:hAnsiTheme="majorBidi" w:cstheme="majorBidi"/>
        </w:rPr>
        <w:t>(</w:t>
      </w:r>
      <w:r w:rsidRPr="00546065">
        <w:rPr>
          <w:rFonts w:asciiTheme="majorBidi" w:hAnsiTheme="majorBidi" w:cstheme="majorBidi"/>
        </w:rPr>
        <w:t xml:space="preserve">see </w:t>
      </w:r>
      <w:r w:rsidRPr="00546065">
        <w:rPr>
          <w:rFonts w:asciiTheme="majorBidi" w:hAnsiTheme="majorBidi" w:cstheme="majorBidi"/>
          <w:b/>
          <w:bCs/>
        </w:rPr>
        <w:t xml:space="preserve">Attachment </w:t>
      </w:r>
      <w:r w:rsidRPr="00546065" w:rsidR="00361E8A">
        <w:rPr>
          <w:rFonts w:asciiTheme="majorBidi" w:hAnsiTheme="majorBidi" w:cstheme="majorBidi"/>
          <w:b/>
          <w:bCs/>
        </w:rPr>
        <w:t>6</w:t>
      </w:r>
      <w:r w:rsidRPr="00546065">
        <w:rPr>
          <w:rFonts w:asciiTheme="majorBidi" w:hAnsiTheme="majorBidi" w:cstheme="majorBidi"/>
        </w:rPr>
        <w:t>)</w:t>
      </w:r>
      <w:r w:rsidRPr="00546065" w:rsidR="00850BFF">
        <w:rPr>
          <w:rFonts w:asciiTheme="majorBidi" w:hAnsiTheme="majorBidi" w:cstheme="majorBidi"/>
        </w:rPr>
        <w:t xml:space="preserve">. </w:t>
      </w:r>
      <w:r w:rsidRPr="00546065" w:rsidR="0029378F">
        <w:rPr>
          <w:rFonts w:asciiTheme="majorBidi" w:eastAsiaTheme="minorHAnsi" w:hAnsiTheme="majorBidi" w:cstheme="majorBidi"/>
          <w:spacing w:val="-6"/>
        </w:rPr>
        <w:t xml:space="preserve">The </w:t>
      </w:r>
      <w:r w:rsidRPr="00546065" w:rsidR="00174DB9">
        <w:rPr>
          <w:rFonts w:asciiTheme="majorBidi" w:eastAsiaTheme="minorHAnsi" w:hAnsiTheme="majorBidi" w:cstheme="majorBidi"/>
          <w:spacing w:val="-6"/>
        </w:rPr>
        <w:t>s</w:t>
      </w:r>
      <w:r w:rsidR="00174DB9">
        <w:rPr>
          <w:rFonts w:asciiTheme="majorBidi" w:eastAsiaTheme="minorHAnsi" w:hAnsiTheme="majorBidi" w:cstheme="majorBidi"/>
          <w:spacing w:val="-6"/>
        </w:rPr>
        <w:t xml:space="preserve">urvey invitation </w:t>
      </w:r>
      <w:r w:rsidRPr="00912246" w:rsidR="0029378F">
        <w:rPr>
          <w:rFonts w:asciiTheme="majorBidi" w:eastAsiaTheme="minorHAnsi" w:hAnsiTheme="majorBidi" w:cstheme="majorBidi"/>
          <w:spacing w:val="-6"/>
        </w:rPr>
        <w:t xml:space="preserve">letter will </w:t>
      </w:r>
      <w:r w:rsidR="009F457F">
        <w:rPr>
          <w:rFonts w:asciiTheme="majorBidi" w:eastAsiaTheme="minorHAnsi" w:hAnsiTheme="majorBidi" w:cstheme="majorBidi"/>
          <w:spacing w:val="-6"/>
        </w:rPr>
        <w:t xml:space="preserve">be signed by the </w:t>
      </w:r>
      <w:r w:rsidR="00560DB1">
        <w:rPr>
          <w:rFonts w:asciiTheme="majorBidi" w:eastAsiaTheme="minorHAnsi" w:hAnsiTheme="majorBidi" w:cstheme="majorBidi"/>
          <w:spacing w:val="-6"/>
        </w:rPr>
        <w:t xml:space="preserve">BJS </w:t>
      </w:r>
      <w:r w:rsidR="001A5854">
        <w:rPr>
          <w:rFonts w:asciiTheme="majorBidi" w:eastAsiaTheme="minorHAnsi" w:hAnsiTheme="majorBidi" w:cstheme="majorBidi"/>
          <w:spacing w:val="-6"/>
        </w:rPr>
        <w:t xml:space="preserve">Acting </w:t>
      </w:r>
      <w:r w:rsidR="00560DB1">
        <w:rPr>
          <w:rFonts w:asciiTheme="majorBidi" w:eastAsiaTheme="minorHAnsi" w:hAnsiTheme="majorBidi" w:cstheme="majorBidi"/>
          <w:spacing w:val="-6"/>
        </w:rPr>
        <w:t>Director</w:t>
      </w:r>
      <w:r w:rsidR="009F457F">
        <w:rPr>
          <w:rFonts w:asciiTheme="majorBidi" w:eastAsiaTheme="minorHAnsi" w:hAnsiTheme="majorBidi" w:cstheme="majorBidi"/>
          <w:spacing w:val="-6"/>
        </w:rPr>
        <w:t xml:space="preserve"> and will </w:t>
      </w:r>
      <w:r w:rsidRPr="00912246" w:rsidR="0029378F">
        <w:rPr>
          <w:rFonts w:asciiTheme="majorBidi" w:eastAsiaTheme="minorHAnsi" w:hAnsiTheme="majorBidi" w:cstheme="majorBidi"/>
          <w:spacing w:val="-6"/>
        </w:rPr>
        <w:t xml:space="preserve">stress the purpose and importance of </w:t>
      </w:r>
      <w:r w:rsidRPr="00912246" w:rsidR="00F45304">
        <w:rPr>
          <w:rFonts w:asciiTheme="majorBidi" w:eastAsiaTheme="minorHAnsi" w:hAnsiTheme="majorBidi" w:cstheme="majorBidi"/>
          <w:spacing w:val="-6"/>
        </w:rPr>
        <w:t>CMEC</w:t>
      </w:r>
      <w:r w:rsidRPr="00912246" w:rsidR="0029378F">
        <w:rPr>
          <w:rFonts w:asciiTheme="majorBidi" w:eastAsiaTheme="minorHAnsi" w:hAnsiTheme="majorBidi" w:cstheme="majorBidi"/>
          <w:spacing w:val="-6"/>
        </w:rPr>
        <w:t xml:space="preserve"> and the need for </w:t>
      </w:r>
      <w:r w:rsidRPr="00912246" w:rsidR="00E0154D">
        <w:rPr>
          <w:rFonts w:asciiTheme="majorBidi" w:eastAsiaTheme="minorHAnsi" w:hAnsiTheme="majorBidi" w:cstheme="majorBidi"/>
          <w:spacing w:val="-6"/>
        </w:rPr>
        <w:t xml:space="preserve">participant’s </w:t>
      </w:r>
      <w:r w:rsidRPr="00912246" w:rsidR="0029378F">
        <w:rPr>
          <w:rFonts w:asciiTheme="majorBidi" w:eastAsiaTheme="minorHAnsi" w:hAnsiTheme="majorBidi" w:cstheme="majorBidi"/>
          <w:spacing w:val="-6"/>
        </w:rPr>
        <w:t xml:space="preserve">cooperation. Further, </w:t>
      </w:r>
      <w:r w:rsidRPr="00912246" w:rsidR="00967556">
        <w:rPr>
          <w:rFonts w:asciiTheme="majorBidi" w:eastAsiaTheme="minorHAnsi" w:hAnsiTheme="majorBidi" w:cstheme="majorBidi"/>
          <w:spacing w:val="-6"/>
        </w:rPr>
        <w:t>it will notify the recipient of the survey due date,</w:t>
      </w:r>
      <w:r w:rsidRPr="00912246" w:rsidR="0029378F">
        <w:rPr>
          <w:rFonts w:asciiTheme="majorBidi" w:eastAsiaTheme="minorHAnsi" w:hAnsiTheme="majorBidi" w:cstheme="majorBidi"/>
          <w:spacing w:val="-6"/>
        </w:rPr>
        <w:t xml:space="preserve"> </w:t>
      </w:r>
      <w:r w:rsidRPr="00912246" w:rsidR="00967556">
        <w:rPr>
          <w:rFonts w:asciiTheme="majorBidi" w:eastAsiaTheme="minorHAnsi" w:hAnsiTheme="majorBidi" w:cstheme="majorBidi"/>
          <w:spacing w:val="-6"/>
        </w:rPr>
        <w:t xml:space="preserve">provide instructions for </w:t>
      </w:r>
      <w:r w:rsidRPr="00912246" w:rsidR="0029378F">
        <w:rPr>
          <w:rFonts w:asciiTheme="majorBidi" w:eastAsiaTheme="minorHAnsi" w:hAnsiTheme="majorBidi" w:cstheme="majorBidi"/>
          <w:spacing w:val="-6"/>
        </w:rPr>
        <w:t>submit</w:t>
      </w:r>
      <w:r w:rsidRPr="00912246" w:rsidR="00967556">
        <w:rPr>
          <w:rFonts w:asciiTheme="majorBidi" w:eastAsiaTheme="minorHAnsi" w:hAnsiTheme="majorBidi" w:cstheme="majorBidi"/>
          <w:spacing w:val="-6"/>
        </w:rPr>
        <w:t>ting</w:t>
      </w:r>
      <w:r w:rsidRPr="00912246" w:rsidR="0029378F">
        <w:rPr>
          <w:rFonts w:asciiTheme="majorBidi" w:eastAsiaTheme="minorHAnsi" w:hAnsiTheme="majorBidi" w:cstheme="majorBidi"/>
          <w:spacing w:val="-6"/>
        </w:rPr>
        <w:t xml:space="preserve"> the survey online, and </w:t>
      </w:r>
      <w:r w:rsidR="00762F51">
        <w:rPr>
          <w:rFonts w:asciiTheme="majorBidi" w:eastAsiaTheme="minorHAnsi" w:hAnsiTheme="majorBidi" w:cstheme="majorBidi"/>
          <w:spacing w:val="-6"/>
        </w:rPr>
        <w:t xml:space="preserve">will provide the project Help Desk </w:t>
      </w:r>
      <w:r w:rsidR="006B1C25">
        <w:rPr>
          <w:rFonts w:asciiTheme="majorBidi" w:eastAsiaTheme="minorHAnsi" w:hAnsiTheme="majorBidi" w:cstheme="majorBidi"/>
          <w:spacing w:val="-6"/>
        </w:rPr>
        <w:t>email address and telephone number should there be any questions</w:t>
      </w:r>
      <w:r w:rsidRPr="00912246" w:rsidR="0029378F">
        <w:rPr>
          <w:rFonts w:asciiTheme="majorBidi" w:eastAsiaTheme="minorHAnsi" w:hAnsiTheme="majorBidi" w:cstheme="majorBidi"/>
          <w:spacing w:val="-6"/>
        </w:rPr>
        <w:t>.</w:t>
      </w:r>
      <w:r w:rsidRPr="00912246" w:rsidR="000C0276">
        <w:rPr>
          <w:rFonts w:asciiTheme="majorBidi" w:eastAsiaTheme="minorHAnsi" w:hAnsiTheme="majorBidi" w:cstheme="majorBidi"/>
          <w:spacing w:val="-6"/>
        </w:rPr>
        <w:t xml:space="preserve"> </w:t>
      </w:r>
      <w:bookmarkStart w:id="0" w:name="_Hlk169883919"/>
      <w:r w:rsidR="00A829DC">
        <w:t>I</w:t>
      </w:r>
      <w:r w:rsidR="00C20342">
        <w:t>ncluded</w:t>
      </w:r>
      <w:r w:rsidRPr="35107414" w:rsidR="00C20342">
        <w:t xml:space="preserve"> </w:t>
      </w:r>
      <w:r w:rsidR="00C20342">
        <w:t xml:space="preserve">with the </w:t>
      </w:r>
      <w:r w:rsidR="005515F4">
        <w:t>invitation</w:t>
      </w:r>
      <w:r w:rsidR="00C20342">
        <w:t xml:space="preserve"> </w:t>
      </w:r>
      <w:r w:rsidRPr="35107414" w:rsidR="00C20342">
        <w:t xml:space="preserve">will be </w:t>
      </w:r>
      <w:r w:rsidR="00BB0061">
        <w:t xml:space="preserve">a </w:t>
      </w:r>
      <w:r w:rsidRPr="35107414" w:rsidR="00C20342">
        <w:t xml:space="preserve">letter of support </w:t>
      </w:r>
      <w:r w:rsidR="00980C53">
        <w:t>from</w:t>
      </w:r>
      <w:r w:rsidR="00C20342">
        <w:t xml:space="preserve"> </w:t>
      </w:r>
      <w:r w:rsidR="00805A1B">
        <w:t>the International Association of Coroners and Medical Examiners (IACME)</w:t>
      </w:r>
      <w:r w:rsidRPr="00946AAC" w:rsidR="00946AAC">
        <w:t xml:space="preserve"> </w:t>
      </w:r>
      <w:r w:rsidR="00C20342">
        <w:t>(</w:t>
      </w:r>
      <w:r w:rsidRPr="002E51C0" w:rsidR="00C20342">
        <w:rPr>
          <w:b/>
          <w:bCs/>
        </w:rPr>
        <w:t xml:space="preserve">Attachment </w:t>
      </w:r>
      <w:r w:rsidRPr="002E51C0" w:rsidR="00361E8A">
        <w:rPr>
          <w:b/>
          <w:bCs/>
        </w:rPr>
        <w:t>7</w:t>
      </w:r>
      <w:r w:rsidR="00C20342">
        <w:t>)</w:t>
      </w:r>
      <w:r w:rsidR="00805A1B">
        <w:t>.</w:t>
      </w:r>
      <w:bookmarkEnd w:id="0"/>
      <w:r w:rsidR="00805A1B">
        <w:t xml:space="preserve"> </w:t>
      </w:r>
      <w:r w:rsidR="00CA59DB">
        <w:rPr>
          <w:rFonts w:asciiTheme="majorBidi" w:eastAsiaTheme="minorHAnsi" w:hAnsiTheme="majorBidi" w:cstheme="majorBidi"/>
          <w:spacing w:val="-6"/>
        </w:rPr>
        <w:t xml:space="preserve">About 3 </w:t>
      </w:r>
      <w:r w:rsidR="00B367FC">
        <w:rPr>
          <w:rFonts w:asciiTheme="majorBidi" w:eastAsiaTheme="minorHAnsi" w:hAnsiTheme="majorBidi" w:cstheme="majorBidi"/>
          <w:spacing w:val="-6"/>
        </w:rPr>
        <w:t xml:space="preserve">business </w:t>
      </w:r>
      <w:r w:rsidR="00CA59DB">
        <w:rPr>
          <w:rFonts w:asciiTheme="majorBidi" w:eastAsiaTheme="minorHAnsi" w:hAnsiTheme="majorBidi" w:cstheme="majorBidi"/>
          <w:spacing w:val="-6"/>
        </w:rPr>
        <w:t xml:space="preserve">days after </w:t>
      </w:r>
      <w:r w:rsidRPr="00912246">
        <w:rPr>
          <w:rFonts w:asciiTheme="majorBidi" w:eastAsiaTheme="minorHAnsi" w:hAnsiTheme="majorBidi" w:cstheme="majorBidi"/>
          <w:spacing w:val="-6"/>
        </w:rPr>
        <w:t>the mailed invitation letter is sent, an email invitation</w:t>
      </w:r>
      <w:r w:rsidR="00393A8F">
        <w:rPr>
          <w:rFonts w:asciiTheme="majorBidi" w:eastAsiaTheme="minorHAnsi" w:hAnsiTheme="majorBidi" w:cstheme="majorBidi"/>
          <w:spacing w:val="-6"/>
        </w:rPr>
        <w:t xml:space="preserve"> and CMEC flyer</w:t>
      </w:r>
      <w:r w:rsidRPr="00912246">
        <w:rPr>
          <w:rFonts w:asciiTheme="majorBidi" w:eastAsiaTheme="minorHAnsi" w:hAnsiTheme="majorBidi" w:cstheme="majorBidi"/>
          <w:spacing w:val="-6"/>
        </w:rPr>
        <w:t xml:space="preserve"> </w:t>
      </w:r>
      <w:r w:rsidRPr="00912246" w:rsidR="00967556">
        <w:rPr>
          <w:rFonts w:asciiTheme="majorBidi" w:eastAsiaTheme="minorHAnsi" w:hAnsiTheme="majorBidi" w:cstheme="majorBidi"/>
          <w:spacing w:val="-6"/>
        </w:rPr>
        <w:t xml:space="preserve">(see </w:t>
      </w:r>
      <w:r w:rsidRPr="002E51C0" w:rsidR="002E7841">
        <w:rPr>
          <w:b/>
          <w:bCs/>
        </w:rPr>
        <w:t>Attachment</w:t>
      </w:r>
      <w:r w:rsidRPr="002E51C0" w:rsidR="00361E8A">
        <w:rPr>
          <w:b/>
          <w:bCs/>
        </w:rPr>
        <w:t xml:space="preserve"> 8</w:t>
      </w:r>
      <w:r w:rsidRPr="00912246" w:rsidR="007B49A0">
        <w:rPr>
          <w:rFonts w:asciiTheme="majorBidi" w:eastAsiaTheme="minorHAnsi" w:hAnsiTheme="majorBidi" w:cstheme="majorBidi"/>
          <w:spacing w:val="-6"/>
        </w:rPr>
        <w:t xml:space="preserve">) </w:t>
      </w:r>
      <w:r w:rsidRPr="00912246">
        <w:rPr>
          <w:rFonts w:asciiTheme="majorBidi" w:eastAsiaTheme="minorHAnsi" w:hAnsiTheme="majorBidi" w:cstheme="majorBidi"/>
          <w:spacing w:val="-6"/>
        </w:rPr>
        <w:t>will be sent to those</w:t>
      </w:r>
      <w:r w:rsidRPr="00912246" w:rsidR="00E636FE">
        <w:rPr>
          <w:rFonts w:asciiTheme="majorBidi" w:eastAsiaTheme="minorHAnsi" w:hAnsiTheme="majorBidi" w:cstheme="majorBidi"/>
          <w:spacing w:val="-6"/>
        </w:rPr>
        <w:t xml:space="preserve"> </w:t>
      </w:r>
      <w:r w:rsidRPr="00912246" w:rsidR="00967556">
        <w:rPr>
          <w:rFonts w:asciiTheme="majorBidi" w:eastAsiaTheme="minorHAnsi" w:hAnsiTheme="majorBidi" w:cstheme="majorBidi"/>
          <w:spacing w:val="-6"/>
        </w:rPr>
        <w:t xml:space="preserve">directors/designees for whom an </w:t>
      </w:r>
      <w:r w:rsidRPr="00912246">
        <w:rPr>
          <w:rFonts w:asciiTheme="majorBidi" w:eastAsiaTheme="minorHAnsi" w:hAnsiTheme="majorBidi" w:cstheme="majorBidi"/>
          <w:spacing w:val="-6"/>
        </w:rPr>
        <w:t>email address</w:t>
      </w:r>
      <w:r w:rsidRPr="00912246" w:rsidR="00967556">
        <w:rPr>
          <w:rFonts w:asciiTheme="majorBidi" w:eastAsiaTheme="minorHAnsi" w:hAnsiTheme="majorBidi" w:cstheme="majorBidi"/>
          <w:spacing w:val="-6"/>
        </w:rPr>
        <w:t xml:space="preserve"> is available</w:t>
      </w:r>
      <w:r w:rsidRPr="00912246">
        <w:rPr>
          <w:rFonts w:asciiTheme="majorBidi" w:eastAsiaTheme="minorHAnsi" w:hAnsiTheme="majorBidi" w:cstheme="majorBidi"/>
          <w:spacing w:val="-6"/>
        </w:rPr>
        <w:t xml:space="preserve">.  This invitation will closely align to the mailed invitation letter </w:t>
      </w:r>
      <w:r w:rsidR="00D61EDE">
        <w:rPr>
          <w:rFonts w:asciiTheme="majorBidi" w:eastAsiaTheme="minorHAnsi" w:hAnsiTheme="majorBidi" w:cstheme="majorBidi"/>
          <w:spacing w:val="-6"/>
        </w:rPr>
        <w:t>and</w:t>
      </w:r>
      <w:r w:rsidRPr="00912246">
        <w:rPr>
          <w:rFonts w:asciiTheme="majorBidi" w:eastAsiaTheme="minorHAnsi" w:hAnsiTheme="majorBidi" w:cstheme="majorBidi"/>
          <w:spacing w:val="-6"/>
        </w:rPr>
        <w:t xml:space="preserve"> will </w:t>
      </w:r>
      <w:r w:rsidR="00F54C6B">
        <w:rPr>
          <w:rFonts w:asciiTheme="majorBidi" w:eastAsiaTheme="minorHAnsi" w:hAnsiTheme="majorBidi" w:cstheme="majorBidi"/>
          <w:spacing w:val="-6"/>
        </w:rPr>
        <w:t>contain</w:t>
      </w:r>
      <w:r w:rsidRPr="00912246">
        <w:rPr>
          <w:rFonts w:asciiTheme="majorBidi" w:eastAsiaTheme="minorHAnsi" w:hAnsiTheme="majorBidi" w:cstheme="majorBidi"/>
          <w:spacing w:val="-6"/>
        </w:rPr>
        <w:t xml:space="preserve"> a </w:t>
      </w:r>
      <w:r w:rsidRPr="00912246" w:rsidR="0015008F">
        <w:rPr>
          <w:rFonts w:asciiTheme="majorBidi" w:eastAsiaTheme="minorHAnsi" w:hAnsiTheme="majorBidi" w:cstheme="majorBidi"/>
          <w:spacing w:val="-6"/>
        </w:rPr>
        <w:t>hyper</w:t>
      </w:r>
      <w:r w:rsidRPr="00912246">
        <w:rPr>
          <w:rFonts w:asciiTheme="majorBidi" w:eastAsiaTheme="minorHAnsi" w:hAnsiTheme="majorBidi" w:cstheme="majorBidi"/>
          <w:spacing w:val="-6"/>
        </w:rPr>
        <w:t xml:space="preserve">link to the </w:t>
      </w:r>
      <w:r w:rsidRPr="00912246" w:rsidR="0015008F">
        <w:rPr>
          <w:rFonts w:asciiTheme="majorBidi" w:eastAsiaTheme="minorHAnsi" w:hAnsiTheme="majorBidi" w:cstheme="majorBidi"/>
          <w:spacing w:val="-6"/>
        </w:rPr>
        <w:t xml:space="preserve">web </w:t>
      </w:r>
      <w:r w:rsidRPr="00912246">
        <w:rPr>
          <w:rFonts w:asciiTheme="majorBidi" w:eastAsiaTheme="minorHAnsi" w:hAnsiTheme="majorBidi" w:cstheme="majorBidi"/>
          <w:spacing w:val="-6"/>
        </w:rPr>
        <w:t xml:space="preserve">survey. </w:t>
      </w:r>
    </w:p>
    <w:p w:rsidR="00DE4BBB" w:rsidRPr="00912246" w:rsidP="008A50EA" w14:paraId="2FB252CF" w14:textId="77777777">
      <w:pPr>
        <w:autoSpaceDE w:val="0"/>
        <w:autoSpaceDN w:val="0"/>
        <w:adjustRightInd w:val="0"/>
        <w:rPr>
          <w:rFonts w:asciiTheme="majorBidi" w:eastAsiaTheme="minorHAnsi" w:hAnsiTheme="majorBidi" w:cstheme="majorBidi"/>
        </w:rPr>
      </w:pPr>
    </w:p>
    <w:p w:rsidR="0025383E" w:rsidRPr="00912246" w:rsidP="008A50EA" w14:paraId="7C77C6CA" w14:textId="1F4E3985">
      <w:pPr>
        <w:autoSpaceDE w:val="0"/>
        <w:autoSpaceDN w:val="0"/>
        <w:adjustRightInd w:val="0"/>
        <w:rPr>
          <w:rFonts w:asciiTheme="majorBidi" w:eastAsiaTheme="minorHAnsi" w:hAnsiTheme="majorBidi" w:cstheme="majorBidi"/>
          <w:bCs/>
        </w:rPr>
      </w:pPr>
      <w:r w:rsidRPr="00912246">
        <w:rPr>
          <w:rFonts w:asciiTheme="majorBidi" w:eastAsiaTheme="minorHAnsi" w:hAnsiTheme="majorBidi" w:cstheme="majorBidi"/>
          <w:bCs/>
        </w:rPr>
        <w:t>Approximately three weeks</w:t>
      </w:r>
      <w:r w:rsidRPr="00912246" w:rsidR="00902FB6">
        <w:rPr>
          <w:rFonts w:asciiTheme="majorBidi" w:eastAsiaTheme="minorHAnsi" w:hAnsiTheme="majorBidi" w:cstheme="majorBidi"/>
          <w:bCs/>
        </w:rPr>
        <w:t xml:space="preserve"> after the invitation is sent, we will mail the first mail reminder </w:t>
      </w:r>
      <w:r w:rsidR="000B246F">
        <w:rPr>
          <w:rFonts w:asciiTheme="majorBidi" w:eastAsiaTheme="minorHAnsi" w:hAnsiTheme="majorBidi" w:cstheme="majorBidi"/>
          <w:bCs/>
        </w:rPr>
        <w:t>letter</w:t>
      </w:r>
      <w:r w:rsidRPr="00912246" w:rsidR="000B246F">
        <w:rPr>
          <w:rFonts w:asciiTheme="majorBidi" w:eastAsiaTheme="minorHAnsi" w:hAnsiTheme="majorBidi" w:cstheme="majorBidi"/>
          <w:bCs/>
        </w:rPr>
        <w:t xml:space="preserve"> </w:t>
      </w:r>
      <w:r w:rsidRPr="00912246" w:rsidR="00902FB6">
        <w:rPr>
          <w:rFonts w:asciiTheme="majorBidi" w:eastAsiaTheme="minorHAnsi" w:hAnsiTheme="majorBidi" w:cstheme="majorBidi"/>
          <w:bCs/>
        </w:rPr>
        <w:t>to nonresponde</w:t>
      </w:r>
      <w:r w:rsidRPr="00912246" w:rsidR="003764E3">
        <w:rPr>
          <w:rFonts w:asciiTheme="majorBidi" w:eastAsiaTheme="minorHAnsi" w:hAnsiTheme="majorBidi" w:cstheme="majorBidi"/>
          <w:bCs/>
        </w:rPr>
        <w:t>nts</w:t>
      </w:r>
      <w:r w:rsidR="00EB0028">
        <w:rPr>
          <w:rFonts w:asciiTheme="majorBidi" w:eastAsiaTheme="minorHAnsi" w:hAnsiTheme="majorBidi" w:cstheme="majorBidi"/>
          <w:bCs/>
        </w:rPr>
        <w:t xml:space="preserve"> (</w:t>
      </w:r>
      <w:r w:rsidRPr="002E51C0" w:rsidR="002E7841">
        <w:rPr>
          <w:b/>
          <w:bCs/>
        </w:rPr>
        <w:t>Attachment</w:t>
      </w:r>
      <w:r w:rsidRPr="002E51C0" w:rsidR="00361E8A">
        <w:rPr>
          <w:b/>
          <w:bCs/>
        </w:rPr>
        <w:t xml:space="preserve"> 9</w:t>
      </w:r>
      <w:r w:rsidR="00EB0028">
        <w:rPr>
          <w:rFonts w:asciiTheme="majorBidi" w:eastAsiaTheme="minorHAnsi" w:hAnsiTheme="majorBidi" w:cstheme="majorBidi"/>
          <w:bCs/>
        </w:rPr>
        <w:t>)</w:t>
      </w:r>
      <w:r w:rsidRPr="00912246" w:rsidR="00902FB6">
        <w:rPr>
          <w:rFonts w:asciiTheme="majorBidi" w:eastAsiaTheme="minorHAnsi" w:hAnsiTheme="majorBidi" w:cstheme="majorBidi"/>
          <w:bCs/>
        </w:rPr>
        <w:t xml:space="preserve">. </w:t>
      </w:r>
      <w:r w:rsidR="00EB0028">
        <w:rPr>
          <w:rFonts w:asciiTheme="majorBidi" w:eastAsiaTheme="minorHAnsi" w:hAnsiTheme="majorBidi" w:cstheme="majorBidi"/>
          <w:bCs/>
        </w:rPr>
        <w:t xml:space="preserve">Beyond the initial </w:t>
      </w:r>
      <w:r w:rsidR="006C36B5">
        <w:rPr>
          <w:rFonts w:asciiTheme="majorBidi" w:eastAsiaTheme="minorHAnsi" w:hAnsiTheme="majorBidi" w:cstheme="majorBidi"/>
          <w:bCs/>
        </w:rPr>
        <w:t xml:space="preserve">reminder </w:t>
      </w:r>
      <w:r w:rsidR="000B246F">
        <w:rPr>
          <w:rFonts w:asciiTheme="majorBidi" w:eastAsiaTheme="minorHAnsi" w:hAnsiTheme="majorBidi" w:cstheme="majorBidi"/>
          <w:bCs/>
        </w:rPr>
        <w:t>letter</w:t>
      </w:r>
      <w:r w:rsidR="00EB0028">
        <w:rPr>
          <w:rFonts w:asciiTheme="majorBidi" w:eastAsiaTheme="minorHAnsi" w:hAnsiTheme="majorBidi" w:cstheme="majorBidi"/>
          <w:bCs/>
        </w:rPr>
        <w:t>, o</w:t>
      </w:r>
      <w:r w:rsidRPr="00912246" w:rsidR="00902FB6">
        <w:rPr>
          <w:rFonts w:asciiTheme="majorBidi" w:eastAsiaTheme="minorHAnsi" w:hAnsiTheme="majorBidi" w:cstheme="majorBidi"/>
          <w:bCs/>
        </w:rPr>
        <w:t>ver the course of approximately</w:t>
      </w:r>
      <w:r w:rsidRPr="00912246" w:rsidR="00E714C5">
        <w:rPr>
          <w:rFonts w:asciiTheme="majorBidi" w:eastAsiaTheme="minorHAnsi" w:hAnsiTheme="majorBidi" w:cstheme="majorBidi"/>
          <w:bCs/>
        </w:rPr>
        <w:t xml:space="preserve"> </w:t>
      </w:r>
      <w:r w:rsidR="000B246F">
        <w:rPr>
          <w:rFonts w:asciiTheme="majorBidi" w:eastAsiaTheme="minorHAnsi" w:hAnsiTheme="majorBidi" w:cstheme="majorBidi"/>
          <w:bCs/>
        </w:rPr>
        <w:t>ten</w:t>
      </w:r>
      <w:r w:rsidRPr="00912246" w:rsidR="000B246F">
        <w:rPr>
          <w:rFonts w:asciiTheme="majorBidi" w:eastAsiaTheme="minorHAnsi" w:hAnsiTheme="majorBidi" w:cstheme="majorBidi"/>
          <w:bCs/>
        </w:rPr>
        <w:t xml:space="preserve"> </w:t>
      </w:r>
      <w:r w:rsidRPr="00912246" w:rsidR="00E714C5">
        <w:rPr>
          <w:rFonts w:asciiTheme="majorBidi" w:eastAsiaTheme="minorHAnsi" w:hAnsiTheme="majorBidi" w:cstheme="majorBidi"/>
          <w:bCs/>
        </w:rPr>
        <w:t>months</w:t>
      </w:r>
      <w:r w:rsidRPr="00912246" w:rsidR="00902FB6">
        <w:rPr>
          <w:rFonts w:asciiTheme="majorBidi" w:eastAsiaTheme="minorHAnsi" w:hAnsiTheme="majorBidi" w:cstheme="majorBidi"/>
          <w:bCs/>
        </w:rPr>
        <w:t xml:space="preserve">, a total of </w:t>
      </w:r>
      <w:r w:rsidRPr="00B136CC" w:rsidR="00830D99">
        <w:rPr>
          <w:rFonts w:asciiTheme="majorBidi" w:eastAsiaTheme="minorHAnsi" w:hAnsiTheme="majorBidi" w:cstheme="majorBidi"/>
          <w:bCs/>
        </w:rPr>
        <w:t>nine</w:t>
      </w:r>
      <w:r w:rsidR="00830D99">
        <w:rPr>
          <w:rFonts w:asciiTheme="majorBidi" w:eastAsiaTheme="minorHAnsi" w:hAnsiTheme="majorBidi" w:cstheme="majorBidi"/>
          <w:bCs/>
        </w:rPr>
        <w:t xml:space="preserve"> reminder mailings and emails </w:t>
      </w:r>
      <w:r w:rsidR="006C36B5">
        <w:rPr>
          <w:rFonts w:asciiTheme="majorBidi" w:eastAsiaTheme="minorHAnsi" w:hAnsiTheme="majorBidi" w:cstheme="majorBidi"/>
          <w:bCs/>
        </w:rPr>
        <w:t xml:space="preserve">(see </w:t>
      </w:r>
      <w:r w:rsidRPr="002E51C0" w:rsidR="006C36B5">
        <w:rPr>
          <w:rFonts w:asciiTheme="majorBidi" w:eastAsiaTheme="minorHAnsi" w:hAnsiTheme="majorBidi" w:cstheme="majorBidi"/>
          <w:b/>
        </w:rPr>
        <w:t xml:space="preserve">Attachments </w:t>
      </w:r>
      <w:r w:rsidRPr="002E51C0" w:rsidR="006854CF">
        <w:rPr>
          <w:rFonts w:asciiTheme="majorBidi" w:eastAsiaTheme="minorHAnsi" w:hAnsiTheme="majorBidi" w:cstheme="majorBidi"/>
          <w:b/>
        </w:rPr>
        <w:t>10-17</w:t>
      </w:r>
      <w:r w:rsidRPr="002E51C0" w:rsidR="006C36B5">
        <w:rPr>
          <w:rFonts w:asciiTheme="majorBidi" w:eastAsiaTheme="minorHAnsi" w:hAnsiTheme="majorBidi" w:cstheme="majorBidi"/>
          <w:bCs/>
        </w:rPr>
        <w:t xml:space="preserve">) </w:t>
      </w:r>
      <w:r w:rsidRPr="002E51C0" w:rsidR="00CA35A2">
        <w:rPr>
          <w:rFonts w:asciiTheme="majorBidi" w:eastAsiaTheme="minorHAnsi" w:hAnsiTheme="majorBidi" w:cstheme="majorBidi"/>
          <w:bCs/>
        </w:rPr>
        <w:t>will be</w:t>
      </w:r>
      <w:r w:rsidRPr="002E51C0" w:rsidR="00CA35A2">
        <w:rPr>
          <w:rFonts w:asciiTheme="majorBidi" w:eastAsiaTheme="minorHAnsi" w:hAnsiTheme="majorBidi" w:cstheme="majorBidi"/>
          <w:b/>
          <w:bCs/>
        </w:rPr>
        <w:t xml:space="preserve"> </w:t>
      </w:r>
      <w:r w:rsidRPr="002E51C0" w:rsidR="00E94DD9">
        <w:rPr>
          <w:rFonts w:asciiTheme="majorBidi" w:eastAsiaTheme="minorHAnsi" w:hAnsiTheme="majorBidi" w:cstheme="majorBidi"/>
          <w:bCs/>
        </w:rPr>
        <w:t xml:space="preserve">sent to </w:t>
      </w:r>
      <w:r w:rsidRPr="002E51C0" w:rsidR="003764E3">
        <w:rPr>
          <w:rFonts w:asciiTheme="majorBidi" w:eastAsiaTheme="minorHAnsi" w:hAnsiTheme="majorBidi" w:cstheme="majorBidi"/>
          <w:bCs/>
        </w:rPr>
        <w:t xml:space="preserve">those </w:t>
      </w:r>
      <w:r w:rsidRPr="002E51C0" w:rsidR="00E94DD9">
        <w:rPr>
          <w:rFonts w:asciiTheme="majorBidi" w:eastAsiaTheme="minorHAnsi" w:hAnsiTheme="majorBidi" w:cstheme="majorBidi"/>
          <w:bCs/>
        </w:rPr>
        <w:t>who have not yet responded</w:t>
      </w:r>
      <w:r w:rsidRPr="002E51C0" w:rsidR="006C36B5">
        <w:rPr>
          <w:rFonts w:asciiTheme="majorBidi" w:eastAsiaTheme="minorHAnsi" w:hAnsiTheme="majorBidi" w:cstheme="majorBidi"/>
          <w:bCs/>
        </w:rPr>
        <w:t xml:space="preserve"> and will alternate between mediums to keep the survey reminders fresh to the respondents</w:t>
      </w:r>
      <w:r w:rsidRPr="002E51C0" w:rsidR="00902FB6">
        <w:rPr>
          <w:rFonts w:asciiTheme="majorBidi" w:eastAsiaTheme="minorHAnsi" w:hAnsiTheme="majorBidi" w:cstheme="majorBidi"/>
          <w:bCs/>
        </w:rPr>
        <w:t>. Both the mail an</w:t>
      </w:r>
      <w:r w:rsidRPr="00912246" w:rsidR="00902FB6">
        <w:rPr>
          <w:rFonts w:asciiTheme="majorBidi" w:eastAsiaTheme="minorHAnsi" w:hAnsiTheme="majorBidi" w:cstheme="majorBidi"/>
          <w:bCs/>
        </w:rPr>
        <w:t xml:space="preserve">d email reminders will contain information for completing the web </w:t>
      </w:r>
      <w:r w:rsidRPr="00912246" w:rsidR="003764E3">
        <w:rPr>
          <w:rFonts w:asciiTheme="majorBidi" w:eastAsiaTheme="minorHAnsi" w:hAnsiTheme="majorBidi" w:cstheme="majorBidi"/>
          <w:bCs/>
        </w:rPr>
        <w:t>survey</w:t>
      </w:r>
      <w:r w:rsidRPr="00912246" w:rsidR="00902FB6">
        <w:rPr>
          <w:rFonts w:asciiTheme="majorBidi" w:eastAsiaTheme="minorHAnsi" w:hAnsiTheme="majorBidi" w:cstheme="majorBidi"/>
          <w:bCs/>
        </w:rPr>
        <w:t xml:space="preserve">. However, as we anticipate some </w:t>
      </w:r>
      <w:r w:rsidRPr="00912246" w:rsidR="003764E3">
        <w:rPr>
          <w:rFonts w:asciiTheme="majorBidi" w:eastAsiaTheme="minorHAnsi" w:hAnsiTheme="majorBidi" w:cstheme="majorBidi"/>
          <w:bCs/>
        </w:rPr>
        <w:t xml:space="preserve">might </w:t>
      </w:r>
      <w:r w:rsidRPr="00912246" w:rsidR="00902FB6">
        <w:rPr>
          <w:rFonts w:asciiTheme="majorBidi" w:eastAsiaTheme="minorHAnsi" w:hAnsiTheme="majorBidi" w:cstheme="majorBidi"/>
          <w:bCs/>
        </w:rPr>
        <w:t xml:space="preserve">prefer </w:t>
      </w:r>
      <w:r w:rsidRPr="00912246" w:rsidR="003764E3">
        <w:rPr>
          <w:rFonts w:asciiTheme="majorBidi" w:eastAsiaTheme="minorHAnsi" w:hAnsiTheme="majorBidi" w:cstheme="majorBidi"/>
          <w:bCs/>
        </w:rPr>
        <w:t>to respond using a hard copy</w:t>
      </w:r>
      <w:r w:rsidRPr="00912246" w:rsidR="00902FB6">
        <w:rPr>
          <w:rFonts w:asciiTheme="majorBidi" w:eastAsiaTheme="minorHAnsi" w:hAnsiTheme="majorBidi" w:cstheme="majorBidi"/>
          <w:bCs/>
        </w:rPr>
        <w:t xml:space="preserve"> questionnaire, </w:t>
      </w:r>
      <w:r w:rsidR="00AB15BD">
        <w:rPr>
          <w:rFonts w:asciiTheme="majorBidi" w:eastAsiaTheme="minorHAnsi" w:hAnsiTheme="majorBidi" w:cstheme="majorBidi"/>
          <w:bCs/>
        </w:rPr>
        <w:t xml:space="preserve">three </w:t>
      </w:r>
      <w:r w:rsidRPr="00912246" w:rsidR="00902FB6">
        <w:rPr>
          <w:rFonts w:asciiTheme="majorBidi" w:eastAsiaTheme="minorHAnsi" w:hAnsiTheme="majorBidi" w:cstheme="majorBidi"/>
          <w:bCs/>
        </w:rPr>
        <w:t>mailed reminder</w:t>
      </w:r>
      <w:r w:rsidR="00C64C2C">
        <w:rPr>
          <w:rFonts w:asciiTheme="majorBidi" w:eastAsiaTheme="minorHAnsi" w:hAnsiTheme="majorBidi" w:cstheme="majorBidi"/>
          <w:bCs/>
        </w:rPr>
        <w:t>s</w:t>
      </w:r>
      <w:r w:rsidRPr="00912246" w:rsidR="00902FB6">
        <w:rPr>
          <w:rFonts w:asciiTheme="majorBidi" w:eastAsiaTheme="minorHAnsi" w:hAnsiTheme="majorBidi" w:cstheme="majorBidi"/>
          <w:bCs/>
        </w:rPr>
        <w:t xml:space="preserve"> will contain a paper questionnaire and a business reply envelope for easy return. </w:t>
      </w:r>
    </w:p>
    <w:p w:rsidR="007B49A0" w:rsidRPr="00912246" w:rsidP="008A50EA" w14:paraId="4E48818E" w14:textId="77777777">
      <w:pPr>
        <w:autoSpaceDE w:val="0"/>
        <w:autoSpaceDN w:val="0"/>
        <w:adjustRightInd w:val="0"/>
        <w:rPr>
          <w:rFonts w:asciiTheme="majorBidi" w:eastAsiaTheme="minorHAnsi" w:hAnsiTheme="majorBidi" w:cstheme="majorBidi"/>
        </w:rPr>
      </w:pPr>
    </w:p>
    <w:p w:rsidR="00F514BF" w:rsidRPr="002E51C0" w:rsidP="008A50EA" w14:paraId="00184201" w14:textId="17017391">
      <w:pPr>
        <w:autoSpaceDE w:val="0"/>
        <w:autoSpaceDN w:val="0"/>
        <w:adjustRightInd w:val="0"/>
        <w:rPr>
          <w:rFonts w:asciiTheme="majorBidi" w:eastAsiaTheme="minorHAnsi" w:hAnsiTheme="majorBidi" w:cstheme="majorBidi"/>
        </w:rPr>
      </w:pPr>
      <w:bookmarkStart w:id="1" w:name="_Hlk529197807"/>
      <w:r w:rsidRPr="00912246">
        <w:rPr>
          <w:rFonts w:asciiTheme="majorBidi" w:eastAsiaTheme="minorHAnsi" w:hAnsiTheme="majorBidi" w:cstheme="majorBidi"/>
        </w:rPr>
        <w:t xml:space="preserve">Approximately </w:t>
      </w:r>
      <w:r w:rsidR="00AA4C81">
        <w:rPr>
          <w:rFonts w:asciiTheme="majorBidi" w:eastAsiaTheme="minorHAnsi" w:hAnsiTheme="majorBidi" w:cstheme="majorBidi"/>
        </w:rPr>
        <w:t>five</w:t>
      </w:r>
      <w:r w:rsidRPr="00912246" w:rsidR="00AA4C81">
        <w:rPr>
          <w:rFonts w:asciiTheme="majorBidi" w:eastAsiaTheme="minorHAnsi" w:hAnsiTheme="majorBidi" w:cstheme="majorBidi"/>
        </w:rPr>
        <w:t xml:space="preserve"> </w:t>
      </w:r>
      <w:r w:rsidRPr="00912246">
        <w:rPr>
          <w:rFonts w:asciiTheme="majorBidi" w:eastAsiaTheme="minorHAnsi" w:hAnsiTheme="majorBidi" w:cstheme="majorBidi"/>
        </w:rPr>
        <w:t>weeks after data collection begins</w:t>
      </w:r>
      <w:r w:rsidRPr="00912246" w:rsidR="003764E3">
        <w:rPr>
          <w:rFonts w:asciiTheme="majorBidi" w:eastAsiaTheme="minorHAnsi" w:hAnsiTheme="majorBidi" w:cstheme="majorBidi"/>
        </w:rPr>
        <w:t xml:space="preserve">, RTI will begin </w:t>
      </w:r>
      <w:r w:rsidRPr="00912246" w:rsidR="007B49A0">
        <w:rPr>
          <w:rFonts w:asciiTheme="majorBidi" w:eastAsiaTheme="minorHAnsi" w:hAnsiTheme="majorBidi" w:cstheme="majorBidi"/>
        </w:rPr>
        <w:t>reviewing the data received</w:t>
      </w:r>
      <w:r w:rsidRPr="00912246" w:rsidR="003764E3">
        <w:rPr>
          <w:rFonts w:asciiTheme="majorBidi" w:eastAsiaTheme="minorHAnsi" w:hAnsiTheme="majorBidi" w:cstheme="majorBidi"/>
        </w:rPr>
        <w:t>.</w:t>
      </w:r>
      <w:r w:rsidRPr="00912246" w:rsidR="006019B8">
        <w:rPr>
          <w:rFonts w:asciiTheme="majorBidi" w:eastAsiaTheme="minorHAnsi" w:hAnsiTheme="majorBidi" w:cstheme="majorBidi"/>
        </w:rPr>
        <w:t xml:space="preserve"> As data discrepancies or missing data values are discovered, RTI staff will follow up with </w:t>
      </w:r>
      <w:r w:rsidRPr="002E51C0" w:rsidR="006019B8">
        <w:rPr>
          <w:rFonts w:asciiTheme="majorBidi" w:eastAsiaTheme="minorHAnsi" w:hAnsiTheme="majorBidi" w:cstheme="majorBidi"/>
        </w:rPr>
        <w:t xml:space="preserve">respondents </w:t>
      </w:r>
      <w:r w:rsidRPr="002E51C0" w:rsidR="008633F7">
        <w:rPr>
          <w:rFonts w:asciiTheme="majorBidi" w:eastAsiaTheme="minorHAnsi" w:hAnsiTheme="majorBidi" w:cstheme="majorBidi"/>
        </w:rPr>
        <w:t xml:space="preserve">via telephone or email </w:t>
      </w:r>
      <w:r w:rsidRPr="002E51C0" w:rsidR="006019B8">
        <w:rPr>
          <w:rFonts w:asciiTheme="majorBidi" w:eastAsiaTheme="minorHAnsi" w:hAnsiTheme="majorBidi" w:cstheme="majorBidi"/>
        </w:rPr>
        <w:t xml:space="preserve">to clarify </w:t>
      </w:r>
      <w:r w:rsidRPr="002E51C0" w:rsidR="003764E3">
        <w:rPr>
          <w:rFonts w:asciiTheme="majorBidi" w:eastAsiaTheme="minorHAnsi" w:hAnsiTheme="majorBidi" w:cstheme="majorBidi"/>
        </w:rPr>
        <w:t xml:space="preserve">responses </w:t>
      </w:r>
      <w:r w:rsidRPr="002E51C0" w:rsidR="008633F7">
        <w:rPr>
          <w:rFonts w:asciiTheme="majorBidi" w:eastAsiaTheme="minorHAnsi" w:hAnsiTheme="majorBidi" w:cstheme="majorBidi"/>
        </w:rPr>
        <w:t xml:space="preserve">or </w:t>
      </w:r>
      <w:r w:rsidRPr="002E51C0" w:rsidR="003764E3">
        <w:rPr>
          <w:rFonts w:asciiTheme="majorBidi" w:eastAsiaTheme="minorHAnsi" w:hAnsiTheme="majorBidi" w:cstheme="majorBidi"/>
        </w:rPr>
        <w:t>obtain</w:t>
      </w:r>
      <w:r w:rsidRPr="002E51C0" w:rsidR="008633F7">
        <w:rPr>
          <w:rFonts w:asciiTheme="majorBidi" w:eastAsiaTheme="minorHAnsi" w:hAnsiTheme="majorBidi" w:cstheme="majorBidi"/>
        </w:rPr>
        <w:t xml:space="preserve"> missing information</w:t>
      </w:r>
      <w:r w:rsidRPr="002E51C0" w:rsidR="00BC09EC">
        <w:rPr>
          <w:rFonts w:asciiTheme="majorBidi" w:eastAsiaTheme="minorHAnsi" w:hAnsiTheme="majorBidi" w:cstheme="majorBidi"/>
        </w:rPr>
        <w:t xml:space="preserve"> (</w:t>
      </w:r>
      <w:r w:rsidRPr="002E51C0" w:rsidR="002E7841">
        <w:rPr>
          <w:b/>
          <w:bCs/>
        </w:rPr>
        <w:t>Attachment</w:t>
      </w:r>
      <w:r w:rsidRPr="002E51C0" w:rsidR="00361E8A">
        <w:rPr>
          <w:b/>
          <w:bCs/>
        </w:rPr>
        <w:t xml:space="preserve"> </w:t>
      </w:r>
      <w:r w:rsidRPr="002E51C0" w:rsidR="009316B4">
        <w:rPr>
          <w:b/>
          <w:bCs/>
        </w:rPr>
        <w:t>18</w:t>
      </w:r>
      <w:r w:rsidRPr="002E51C0" w:rsidR="00BC09EC">
        <w:rPr>
          <w:rFonts w:asciiTheme="majorBidi" w:eastAsiaTheme="minorHAnsi" w:hAnsiTheme="majorBidi" w:cstheme="majorBidi"/>
        </w:rPr>
        <w:t>)</w:t>
      </w:r>
      <w:r w:rsidRPr="002E51C0" w:rsidR="008633F7">
        <w:rPr>
          <w:rFonts w:asciiTheme="majorBidi" w:eastAsiaTheme="minorHAnsi" w:hAnsiTheme="majorBidi" w:cstheme="majorBidi"/>
        </w:rPr>
        <w:t xml:space="preserve">. </w:t>
      </w:r>
    </w:p>
    <w:bookmarkEnd w:id="1"/>
    <w:p w:rsidR="00470EDF" w:rsidRPr="002E51C0" w:rsidP="008A50EA" w14:paraId="42F2A9D5" w14:textId="77777777">
      <w:pPr>
        <w:autoSpaceDE w:val="0"/>
        <w:autoSpaceDN w:val="0"/>
        <w:adjustRightInd w:val="0"/>
        <w:rPr>
          <w:rFonts w:asciiTheme="majorBidi" w:eastAsiaTheme="minorHAnsi" w:hAnsiTheme="majorBidi" w:cstheme="majorBidi"/>
        </w:rPr>
      </w:pPr>
    </w:p>
    <w:p w:rsidR="0029378F" w:rsidRPr="00912246" w:rsidP="008A50EA" w14:paraId="726A323C" w14:textId="26D85388">
      <w:pPr>
        <w:autoSpaceDE w:val="0"/>
        <w:autoSpaceDN w:val="0"/>
        <w:adjustRightInd w:val="0"/>
        <w:rPr>
          <w:rFonts w:asciiTheme="majorBidi" w:eastAsiaTheme="minorHAnsi" w:hAnsiTheme="majorBidi" w:cstheme="majorBidi"/>
          <w:bCs/>
        </w:rPr>
      </w:pPr>
      <w:r w:rsidRPr="002E51C0">
        <w:rPr>
          <w:rFonts w:asciiTheme="majorBidi" w:eastAsiaTheme="minorHAnsi" w:hAnsiTheme="majorBidi" w:cstheme="majorBidi"/>
          <w:bCs/>
        </w:rPr>
        <w:t xml:space="preserve">Approximately </w:t>
      </w:r>
      <w:r w:rsidRPr="002E51C0" w:rsidR="00F00D6E">
        <w:rPr>
          <w:rFonts w:asciiTheme="majorBidi" w:eastAsiaTheme="minorHAnsi" w:hAnsiTheme="majorBidi" w:cstheme="majorBidi"/>
          <w:bCs/>
        </w:rPr>
        <w:t>three weeks before</w:t>
      </w:r>
      <w:r w:rsidRPr="002E51C0" w:rsidR="003764E3">
        <w:rPr>
          <w:rFonts w:asciiTheme="majorBidi" w:eastAsiaTheme="minorHAnsi" w:hAnsiTheme="majorBidi" w:cstheme="majorBidi"/>
          <w:bCs/>
        </w:rPr>
        <w:t xml:space="preserve"> the survey due date, </w:t>
      </w:r>
      <w:r w:rsidRPr="002E51C0" w:rsidR="00F71507">
        <w:rPr>
          <w:rFonts w:asciiTheme="majorBidi" w:eastAsiaTheme="minorHAnsi" w:hAnsiTheme="majorBidi" w:cstheme="majorBidi"/>
          <w:bCs/>
        </w:rPr>
        <w:t>tele</w:t>
      </w:r>
      <w:r w:rsidRPr="002E51C0" w:rsidR="003764E3">
        <w:rPr>
          <w:rFonts w:asciiTheme="majorBidi" w:eastAsiaTheme="minorHAnsi" w:hAnsiTheme="majorBidi" w:cstheme="majorBidi"/>
          <w:bCs/>
        </w:rPr>
        <w:t>phone</w:t>
      </w:r>
      <w:r w:rsidRPr="002E51C0" w:rsidR="003764E3">
        <w:rPr>
          <w:rFonts w:asciiTheme="majorBidi" w:eastAsiaTheme="minorHAnsi" w:hAnsiTheme="majorBidi" w:cstheme="majorBidi"/>
          <w:bCs/>
        </w:rPr>
        <w:t xml:space="preserve"> </w:t>
      </w:r>
      <w:r w:rsidRPr="002E51C0">
        <w:rPr>
          <w:rFonts w:asciiTheme="majorBidi" w:eastAsiaTheme="minorHAnsi" w:hAnsiTheme="majorBidi" w:cstheme="majorBidi"/>
          <w:bCs/>
        </w:rPr>
        <w:t xml:space="preserve">and email </w:t>
      </w:r>
      <w:r w:rsidRPr="002E51C0" w:rsidR="003764E3">
        <w:rPr>
          <w:rFonts w:asciiTheme="majorBidi" w:eastAsiaTheme="minorHAnsi" w:hAnsiTheme="majorBidi" w:cstheme="majorBidi"/>
          <w:bCs/>
        </w:rPr>
        <w:t>follow-up with nonrespondents will begin</w:t>
      </w:r>
      <w:r w:rsidRPr="002E51C0" w:rsidR="00D5685E">
        <w:rPr>
          <w:rFonts w:asciiTheme="majorBidi" w:eastAsiaTheme="minorHAnsi" w:hAnsiTheme="majorBidi" w:cstheme="majorBidi"/>
          <w:bCs/>
        </w:rPr>
        <w:t xml:space="preserve"> as described earlier (see </w:t>
      </w:r>
      <w:r w:rsidRPr="002E51C0" w:rsidR="002E7841">
        <w:rPr>
          <w:b/>
          <w:bCs/>
        </w:rPr>
        <w:t xml:space="preserve">Attachment </w:t>
      </w:r>
      <w:r w:rsidRPr="002E51C0" w:rsidR="009316B4">
        <w:rPr>
          <w:b/>
          <w:bCs/>
        </w:rPr>
        <w:t>19</w:t>
      </w:r>
      <w:r w:rsidRPr="002E51C0" w:rsidR="00D5685E">
        <w:rPr>
          <w:rFonts w:asciiTheme="majorBidi" w:eastAsiaTheme="minorHAnsi" w:hAnsiTheme="majorBidi" w:cstheme="majorBidi"/>
          <w:bCs/>
        </w:rPr>
        <w:t>)</w:t>
      </w:r>
      <w:r w:rsidRPr="002E51C0" w:rsidR="003764E3">
        <w:rPr>
          <w:rFonts w:asciiTheme="majorBidi" w:eastAsiaTheme="minorHAnsi" w:hAnsiTheme="majorBidi" w:cstheme="majorBidi"/>
          <w:bCs/>
        </w:rPr>
        <w:t xml:space="preserve">. </w:t>
      </w:r>
      <w:r w:rsidRPr="002E51C0" w:rsidR="00D5685E">
        <w:rPr>
          <w:rFonts w:asciiTheme="majorBidi" w:eastAsiaTheme="minorHAnsi" w:hAnsiTheme="majorBidi" w:cstheme="majorBidi"/>
          <w:bCs/>
        </w:rPr>
        <w:t xml:space="preserve">Respondents </w:t>
      </w:r>
      <w:r w:rsidRPr="002E51C0">
        <w:rPr>
          <w:rFonts w:asciiTheme="majorBidi" w:eastAsiaTheme="minorHAnsi" w:hAnsiTheme="majorBidi" w:cstheme="majorBidi"/>
          <w:bCs/>
        </w:rPr>
        <w:t xml:space="preserve">will be reminded of the purpose and importance of the survey and informed of </w:t>
      </w:r>
      <w:r w:rsidRPr="002E51C0" w:rsidR="00A03BFC">
        <w:rPr>
          <w:rFonts w:asciiTheme="majorBidi" w:eastAsiaTheme="minorHAnsi" w:hAnsiTheme="majorBidi" w:cstheme="majorBidi"/>
          <w:bCs/>
        </w:rPr>
        <w:t xml:space="preserve">the </w:t>
      </w:r>
      <w:r w:rsidRPr="002E51C0">
        <w:rPr>
          <w:rFonts w:asciiTheme="majorBidi" w:eastAsiaTheme="minorHAnsi" w:hAnsiTheme="majorBidi" w:cstheme="majorBidi"/>
          <w:bCs/>
        </w:rPr>
        <w:t xml:space="preserve">goal of receiving a completed survey from each </w:t>
      </w:r>
      <w:r w:rsidRPr="002E51C0" w:rsidR="00233985">
        <w:rPr>
          <w:rFonts w:asciiTheme="majorBidi" w:eastAsiaTheme="minorHAnsi" w:hAnsiTheme="majorBidi" w:cstheme="majorBidi"/>
          <w:bCs/>
        </w:rPr>
        <w:t>office</w:t>
      </w:r>
      <w:r w:rsidRPr="002E51C0">
        <w:rPr>
          <w:rFonts w:asciiTheme="majorBidi" w:eastAsiaTheme="minorHAnsi" w:hAnsiTheme="majorBidi" w:cstheme="majorBidi"/>
          <w:bCs/>
        </w:rPr>
        <w:t xml:space="preserve">. They will be asked to submit the survey </w:t>
      </w:r>
      <w:r w:rsidRPr="002E51C0" w:rsidR="00C03D85">
        <w:rPr>
          <w:rFonts w:asciiTheme="majorBidi" w:eastAsiaTheme="minorHAnsi" w:hAnsiTheme="majorBidi" w:cstheme="majorBidi"/>
          <w:bCs/>
        </w:rPr>
        <w:t>online but</w:t>
      </w:r>
      <w:r w:rsidRPr="002E51C0">
        <w:rPr>
          <w:rFonts w:asciiTheme="majorBidi" w:eastAsiaTheme="minorHAnsi" w:hAnsiTheme="majorBidi" w:cstheme="majorBidi"/>
          <w:bCs/>
        </w:rPr>
        <w:t xml:space="preserve"> will be sent another </w:t>
      </w:r>
      <w:r w:rsidRPr="002E51C0" w:rsidR="00F31385">
        <w:rPr>
          <w:rFonts w:asciiTheme="majorBidi" w:eastAsiaTheme="minorHAnsi" w:hAnsiTheme="majorBidi" w:cstheme="majorBidi"/>
          <w:bCs/>
        </w:rPr>
        <w:t>hard</w:t>
      </w:r>
      <w:r w:rsidRPr="002E51C0" w:rsidR="003764E3">
        <w:rPr>
          <w:rFonts w:asciiTheme="majorBidi" w:eastAsiaTheme="minorHAnsi" w:hAnsiTheme="majorBidi" w:cstheme="majorBidi"/>
          <w:bCs/>
        </w:rPr>
        <w:t xml:space="preserve"> </w:t>
      </w:r>
      <w:r w:rsidRPr="002E51C0">
        <w:rPr>
          <w:rFonts w:asciiTheme="majorBidi" w:eastAsiaTheme="minorHAnsi" w:hAnsiTheme="majorBidi" w:cstheme="majorBidi"/>
          <w:bCs/>
        </w:rPr>
        <w:t xml:space="preserve">copy </w:t>
      </w:r>
      <w:r w:rsidRPr="002E51C0" w:rsidR="00F31385">
        <w:rPr>
          <w:rFonts w:asciiTheme="majorBidi" w:eastAsiaTheme="minorHAnsi" w:hAnsiTheme="majorBidi" w:cstheme="majorBidi"/>
          <w:bCs/>
        </w:rPr>
        <w:t xml:space="preserve">version </w:t>
      </w:r>
      <w:r w:rsidRPr="002E51C0">
        <w:rPr>
          <w:rFonts w:asciiTheme="majorBidi" w:eastAsiaTheme="minorHAnsi" w:hAnsiTheme="majorBidi" w:cstheme="majorBidi"/>
          <w:bCs/>
        </w:rPr>
        <w:t>of the survey if request</w:t>
      </w:r>
      <w:r w:rsidRPr="002E51C0" w:rsidR="003764E3">
        <w:rPr>
          <w:rFonts w:asciiTheme="majorBidi" w:eastAsiaTheme="minorHAnsi" w:hAnsiTheme="majorBidi" w:cstheme="majorBidi"/>
          <w:bCs/>
        </w:rPr>
        <w:t>ed</w:t>
      </w:r>
      <w:r w:rsidRPr="002E51C0">
        <w:rPr>
          <w:rFonts w:asciiTheme="majorBidi" w:eastAsiaTheme="minorHAnsi" w:hAnsiTheme="majorBidi" w:cstheme="majorBidi"/>
          <w:bCs/>
        </w:rPr>
        <w:t xml:space="preserve">. </w:t>
      </w:r>
      <w:r w:rsidRPr="002E51C0" w:rsidR="00AF7385">
        <w:rPr>
          <w:rFonts w:asciiTheme="majorBidi" w:eastAsiaTheme="minorHAnsi" w:hAnsiTheme="majorBidi" w:cstheme="majorBidi"/>
          <w:bCs/>
        </w:rPr>
        <w:t xml:space="preserve">Up to </w:t>
      </w:r>
      <w:r w:rsidRPr="002E51C0" w:rsidR="00B03515">
        <w:rPr>
          <w:rFonts w:asciiTheme="majorBidi" w:eastAsiaTheme="minorHAnsi" w:hAnsiTheme="majorBidi" w:cstheme="majorBidi"/>
          <w:bCs/>
        </w:rPr>
        <w:t xml:space="preserve">8 </w:t>
      </w:r>
      <w:r w:rsidRPr="002E51C0" w:rsidR="00AF7385">
        <w:rPr>
          <w:rFonts w:asciiTheme="majorBidi" w:eastAsiaTheme="minorHAnsi" w:hAnsiTheme="majorBidi" w:cstheme="majorBidi"/>
          <w:bCs/>
        </w:rPr>
        <w:t>call</w:t>
      </w:r>
      <w:r w:rsidRPr="002E51C0" w:rsidR="00DE2AA7">
        <w:rPr>
          <w:rFonts w:asciiTheme="majorBidi" w:eastAsiaTheme="minorHAnsi" w:hAnsiTheme="majorBidi" w:cstheme="majorBidi"/>
          <w:bCs/>
        </w:rPr>
        <w:t>s</w:t>
      </w:r>
      <w:r w:rsidRPr="00E040D0" w:rsidR="00BA3119">
        <w:rPr>
          <w:rFonts w:asciiTheme="majorBidi" w:eastAsiaTheme="minorHAnsi" w:hAnsiTheme="majorBidi" w:cstheme="majorBidi"/>
          <w:bCs/>
        </w:rPr>
        <w:t xml:space="preserve"> </w:t>
      </w:r>
      <w:r w:rsidRPr="00E040D0">
        <w:rPr>
          <w:rFonts w:asciiTheme="majorBidi" w:eastAsiaTheme="minorHAnsi" w:hAnsiTheme="majorBidi" w:cstheme="majorBidi"/>
          <w:bCs/>
        </w:rPr>
        <w:t>wil</w:t>
      </w:r>
      <w:r w:rsidRPr="00912246">
        <w:rPr>
          <w:rFonts w:asciiTheme="majorBidi" w:eastAsiaTheme="minorHAnsi" w:hAnsiTheme="majorBidi" w:cstheme="majorBidi"/>
          <w:bCs/>
        </w:rPr>
        <w:t>l</w:t>
      </w:r>
      <w:r w:rsidRPr="00912246" w:rsidR="00BA3119">
        <w:rPr>
          <w:rFonts w:asciiTheme="majorBidi" w:eastAsiaTheme="minorHAnsi" w:hAnsiTheme="majorBidi" w:cstheme="majorBidi"/>
          <w:bCs/>
        </w:rPr>
        <w:t xml:space="preserve"> </w:t>
      </w:r>
      <w:r w:rsidRPr="00912246">
        <w:rPr>
          <w:rFonts w:asciiTheme="majorBidi" w:eastAsiaTheme="minorHAnsi" w:hAnsiTheme="majorBidi" w:cstheme="majorBidi"/>
          <w:bCs/>
        </w:rPr>
        <w:t>be</w:t>
      </w:r>
      <w:r w:rsidRPr="00912246" w:rsidR="00BA3119">
        <w:rPr>
          <w:rFonts w:asciiTheme="majorBidi" w:eastAsiaTheme="minorHAnsi" w:hAnsiTheme="majorBidi" w:cstheme="majorBidi"/>
          <w:bCs/>
        </w:rPr>
        <w:t xml:space="preserve"> </w:t>
      </w:r>
      <w:r w:rsidRPr="00912246">
        <w:rPr>
          <w:rFonts w:asciiTheme="majorBidi" w:eastAsiaTheme="minorHAnsi" w:hAnsiTheme="majorBidi" w:cstheme="majorBidi"/>
          <w:bCs/>
        </w:rPr>
        <w:t>made</w:t>
      </w:r>
      <w:r w:rsidRPr="00912246" w:rsidR="00BA3119">
        <w:rPr>
          <w:rFonts w:asciiTheme="majorBidi" w:eastAsiaTheme="minorHAnsi" w:hAnsiTheme="majorBidi" w:cstheme="majorBidi"/>
          <w:bCs/>
        </w:rPr>
        <w:t xml:space="preserve"> </w:t>
      </w:r>
      <w:r w:rsidRPr="00912246">
        <w:rPr>
          <w:rFonts w:asciiTheme="majorBidi" w:eastAsiaTheme="minorHAnsi" w:hAnsiTheme="majorBidi" w:cstheme="majorBidi"/>
          <w:bCs/>
        </w:rPr>
        <w:t>by</w:t>
      </w:r>
      <w:r w:rsidRPr="00912246" w:rsidR="008E488A">
        <w:rPr>
          <w:rFonts w:asciiTheme="majorBidi" w:eastAsiaTheme="minorHAnsi" w:hAnsiTheme="majorBidi" w:cstheme="majorBidi"/>
          <w:bCs/>
        </w:rPr>
        <w:t xml:space="preserve"> RTI</w:t>
      </w:r>
      <w:r w:rsidRPr="00912246" w:rsidR="00BA3119">
        <w:rPr>
          <w:rFonts w:asciiTheme="majorBidi" w:eastAsiaTheme="minorHAnsi" w:hAnsiTheme="majorBidi" w:cstheme="majorBidi"/>
          <w:bCs/>
        </w:rPr>
        <w:t xml:space="preserve"> </w:t>
      </w:r>
      <w:r w:rsidRPr="00912246">
        <w:rPr>
          <w:rFonts w:asciiTheme="majorBidi" w:eastAsiaTheme="minorHAnsi" w:hAnsiTheme="majorBidi" w:cstheme="majorBidi"/>
          <w:bCs/>
        </w:rPr>
        <w:t>until</w:t>
      </w:r>
      <w:r w:rsidRPr="00912246" w:rsidR="00BA3119">
        <w:rPr>
          <w:rFonts w:asciiTheme="majorBidi" w:eastAsiaTheme="minorHAnsi" w:hAnsiTheme="majorBidi" w:cstheme="majorBidi"/>
          <w:bCs/>
        </w:rPr>
        <w:t xml:space="preserve"> </w:t>
      </w:r>
      <w:r w:rsidRPr="00912246">
        <w:rPr>
          <w:rFonts w:asciiTheme="majorBidi" w:eastAsiaTheme="minorHAnsi" w:hAnsiTheme="majorBidi" w:cstheme="majorBidi"/>
          <w:bCs/>
        </w:rPr>
        <w:t>surveys</w:t>
      </w:r>
      <w:r w:rsidRPr="00912246" w:rsidR="00BA3119">
        <w:rPr>
          <w:rFonts w:asciiTheme="majorBidi" w:eastAsiaTheme="minorHAnsi" w:hAnsiTheme="majorBidi" w:cstheme="majorBidi"/>
          <w:bCs/>
        </w:rPr>
        <w:t xml:space="preserve"> </w:t>
      </w:r>
      <w:r w:rsidRPr="00912246">
        <w:rPr>
          <w:rFonts w:asciiTheme="majorBidi" w:eastAsiaTheme="minorHAnsi" w:hAnsiTheme="majorBidi" w:cstheme="majorBidi"/>
          <w:bCs/>
        </w:rPr>
        <w:t>are</w:t>
      </w:r>
      <w:r w:rsidRPr="00912246" w:rsidR="00BA3119">
        <w:rPr>
          <w:rFonts w:asciiTheme="majorBidi" w:eastAsiaTheme="minorHAnsi" w:hAnsiTheme="majorBidi" w:cstheme="majorBidi"/>
          <w:bCs/>
        </w:rPr>
        <w:t xml:space="preserve"> </w:t>
      </w:r>
      <w:r w:rsidRPr="00912246">
        <w:rPr>
          <w:rFonts w:asciiTheme="majorBidi" w:eastAsiaTheme="minorHAnsi" w:hAnsiTheme="majorBidi" w:cstheme="majorBidi"/>
          <w:bCs/>
        </w:rPr>
        <w:t>received</w:t>
      </w:r>
      <w:r w:rsidRPr="00912246" w:rsidR="00BA3119">
        <w:rPr>
          <w:rFonts w:asciiTheme="majorBidi" w:eastAsiaTheme="minorHAnsi" w:hAnsiTheme="majorBidi" w:cstheme="majorBidi"/>
          <w:bCs/>
        </w:rPr>
        <w:t xml:space="preserve"> </w:t>
      </w:r>
      <w:r w:rsidRPr="00912246" w:rsidR="003764E3">
        <w:rPr>
          <w:rFonts w:asciiTheme="majorBidi" w:eastAsiaTheme="minorHAnsi" w:hAnsiTheme="majorBidi" w:cstheme="majorBidi"/>
          <w:bCs/>
        </w:rPr>
        <w:t xml:space="preserve">(or an </w:t>
      </w:r>
      <w:r w:rsidRPr="00912246" w:rsidR="00233985">
        <w:rPr>
          <w:rFonts w:asciiTheme="majorBidi" w:eastAsiaTheme="minorHAnsi" w:hAnsiTheme="majorBidi" w:cstheme="majorBidi"/>
          <w:bCs/>
        </w:rPr>
        <w:t>office</w:t>
      </w:r>
      <w:r w:rsidRPr="00912246" w:rsidR="00C0192C">
        <w:rPr>
          <w:rFonts w:asciiTheme="majorBidi" w:eastAsiaTheme="minorHAnsi" w:hAnsiTheme="majorBidi" w:cstheme="majorBidi"/>
          <w:bCs/>
        </w:rPr>
        <w:t xml:space="preserve"> </w:t>
      </w:r>
      <w:r w:rsidRPr="00912246" w:rsidR="003764E3">
        <w:rPr>
          <w:rFonts w:asciiTheme="majorBidi" w:eastAsiaTheme="minorHAnsi" w:hAnsiTheme="majorBidi" w:cstheme="majorBidi"/>
          <w:bCs/>
        </w:rPr>
        <w:t>refuses</w:t>
      </w:r>
      <w:r w:rsidRPr="00912246" w:rsidR="003764E3">
        <w:rPr>
          <w:rFonts w:asciiTheme="majorBidi" w:eastAsiaTheme="minorHAnsi" w:hAnsiTheme="majorBidi" w:cstheme="majorBidi"/>
          <w:bCs/>
        </w:rPr>
        <w:t xml:space="preserve"> to participate) </w:t>
      </w:r>
      <w:r w:rsidRPr="00912246">
        <w:rPr>
          <w:rFonts w:asciiTheme="majorBidi" w:eastAsiaTheme="minorHAnsi" w:hAnsiTheme="majorBidi" w:cstheme="majorBidi"/>
          <w:bCs/>
        </w:rPr>
        <w:t>and</w:t>
      </w:r>
      <w:r w:rsidRPr="00912246" w:rsidR="00BA3119">
        <w:rPr>
          <w:rFonts w:asciiTheme="majorBidi" w:eastAsiaTheme="minorHAnsi" w:hAnsiTheme="majorBidi" w:cstheme="majorBidi"/>
          <w:bCs/>
        </w:rPr>
        <w:t xml:space="preserve"> </w:t>
      </w:r>
      <w:r w:rsidRPr="00912246">
        <w:rPr>
          <w:rFonts w:asciiTheme="majorBidi" w:eastAsiaTheme="minorHAnsi" w:hAnsiTheme="majorBidi" w:cstheme="majorBidi"/>
          <w:bCs/>
        </w:rPr>
        <w:t>will</w:t>
      </w:r>
      <w:r w:rsidRPr="00912246" w:rsidR="00BA3119">
        <w:rPr>
          <w:rFonts w:asciiTheme="majorBidi" w:eastAsiaTheme="minorHAnsi" w:hAnsiTheme="majorBidi" w:cstheme="majorBidi"/>
          <w:bCs/>
        </w:rPr>
        <w:t xml:space="preserve"> </w:t>
      </w:r>
      <w:r w:rsidRPr="00912246">
        <w:rPr>
          <w:rFonts w:asciiTheme="majorBidi" w:eastAsiaTheme="minorHAnsi" w:hAnsiTheme="majorBidi" w:cstheme="majorBidi"/>
          <w:bCs/>
        </w:rPr>
        <w:t>reference</w:t>
      </w:r>
      <w:r w:rsidRPr="00912246" w:rsidR="00BA3119">
        <w:rPr>
          <w:rFonts w:asciiTheme="majorBidi" w:eastAsiaTheme="minorHAnsi" w:hAnsiTheme="majorBidi" w:cstheme="majorBidi"/>
          <w:bCs/>
        </w:rPr>
        <w:t xml:space="preserve"> </w:t>
      </w:r>
      <w:r w:rsidRPr="00912246">
        <w:rPr>
          <w:rFonts w:asciiTheme="majorBidi" w:eastAsiaTheme="minorHAnsi" w:hAnsiTheme="majorBidi" w:cstheme="majorBidi"/>
          <w:bCs/>
        </w:rPr>
        <w:t>the</w:t>
      </w:r>
      <w:r w:rsidRPr="00912246" w:rsidR="00BA3119">
        <w:rPr>
          <w:rFonts w:asciiTheme="majorBidi" w:eastAsiaTheme="minorHAnsi" w:hAnsiTheme="majorBidi" w:cstheme="majorBidi"/>
          <w:bCs/>
        </w:rPr>
        <w:t xml:space="preserve"> </w:t>
      </w:r>
      <w:r w:rsidRPr="00912246">
        <w:rPr>
          <w:rFonts w:asciiTheme="majorBidi" w:eastAsiaTheme="minorHAnsi" w:hAnsiTheme="majorBidi" w:cstheme="majorBidi"/>
          <w:bCs/>
        </w:rPr>
        <w:t>most</w:t>
      </w:r>
      <w:r w:rsidRPr="00912246" w:rsidR="00BA3119">
        <w:rPr>
          <w:rFonts w:asciiTheme="majorBidi" w:eastAsiaTheme="minorHAnsi" w:hAnsiTheme="majorBidi" w:cstheme="majorBidi"/>
          <w:bCs/>
        </w:rPr>
        <w:t xml:space="preserve"> </w:t>
      </w:r>
      <w:r w:rsidRPr="00912246">
        <w:rPr>
          <w:rFonts w:asciiTheme="majorBidi" w:eastAsiaTheme="minorHAnsi" w:hAnsiTheme="majorBidi" w:cstheme="majorBidi"/>
          <w:bCs/>
        </w:rPr>
        <w:t>recent communication</w:t>
      </w:r>
      <w:r w:rsidRPr="00912246" w:rsidR="00BA3119">
        <w:rPr>
          <w:rFonts w:asciiTheme="majorBidi" w:eastAsiaTheme="minorHAnsi" w:hAnsiTheme="majorBidi" w:cstheme="majorBidi"/>
          <w:bCs/>
        </w:rPr>
        <w:t xml:space="preserve"> </w:t>
      </w:r>
      <w:r w:rsidRPr="00912246">
        <w:rPr>
          <w:rFonts w:asciiTheme="majorBidi" w:eastAsiaTheme="minorHAnsi" w:hAnsiTheme="majorBidi" w:cstheme="majorBidi"/>
          <w:bCs/>
        </w:rPr>
        <w:t>(e.g.,</w:t>
      </w:r>
      <w:r w:rsidRPr="00912246" w:rsidR="00BA3119">
        <w:rPr>
          <w:rFonts w:asciiTheme="majorBidi" w:eastAsiaTheme="minorHAnsi" w:hAnsiTheme="majorBidi" w:cstheme="majorBidi"/>
          <w:bCs/>
        </w:rPr>
        <w:t xml:space="preserve"> </w:t>
      </w:r>
      <w:r w:rsidRPr="00912246">
        <w:rPr>
          <w:rFonts w:asciiTheme="majorBidi" w:eastAsiaTheme="minorHAnsi" w:hAnsiTheme="majorBidi" w:cstheme="majorBidi"/>
          <w:bCs/>
        </w:rPr>
        <w:t>reminder</w:t>
      </w:r>
      <w:r w:rsidRPr="00912246" w:rsidR="00BA3119">
        <w:rPr>
          <w:rFonts w:asciiTheme="majorBidi" w:eastAsiaTheme="minorHAnsi" w:hAnsiTheme="majorBidi" w:cstheme="majorBidi"/>
          <w:bCs/>
        </w:rPr>
        <w:t xml:space="preserve"> </w:t>
      </w:r>
      <w:r w:rsidRPr="00912246">
        <w:rPr>
          <w:rFonts w:asciiTheme="majorBidi" w:eastAsiaTheme="minorHAnsi" w:hAnsiTheme="majorBidi" w:cstheme="majorBidi"/>
          <w:bCs/>
        </w:rPr>
        <w:t>letters,</w:t>
      </w:r>
      <w:r w:rsidRPr="00912246" w:rsidR="00BA3119">
        <w:rPr>
          <w:rFonts w:asciiTheme="majorBidi" w:eastAsiaTheme="minorHAnsi" w:hAnsiTheme="majorBidi" w:cstheme="majorBidi"/>
          <w:bCs/>
        </w:rPr>
        <w:t xml:space="preserve"> </w:t>
      </w:r>
      <w:r w:rsidRPr="00912246" w:rsidR="00A03BFC">
        <w:rPr>
          <w:rFonts w:asciiTheme="majorBidi" w:eastAsiaTheme="minorHAnsi" w:hAnsiTheme="majorBidi" w:cstheme="majorBidi"/>
          <w:bCs/>
        </w:rPr>
        <w:t>reminder emails</w:t>
      </w:r>
      <w:r w:rsidRPr="00912246">
        <w:rPr>
          <w:rFonts w:asciiTheme="majorBidi" w:eastAsiaTheme="minorHAnsi" w:hAnsiTheme="majorBidi" w:cstheme="majorBidi"/>
          <w:bCs/>
        </w:rPr>
        <w:t xml:space="preserve">, etc.). </w:t>
      </w:r>
    </w:p>
    <w:p w:rsidR="000F7778" w:rsidP="008A50EA" w14:paraId="3E8A6518" w14:textId="77777777">
      <w:pPr>
        <w:autoSpaceDE w:val="0"/>
        <w:autoSpaceDN w:val="0"/>
        <w:adjustRightInd w:val="0"/>
        <w:rPr>
          <w:rFonts w:asciiTheme="majorBidi" w:eastAsiaTheme="minorHAnsi" w:hAnsiTheme="majorBidi" w:cstheme="majorBidi"/>
          <w:b/>
        </w:rPr>
      </w:pPr>
    </w:p>
    <w:p w:rsidR="00F03B9D" w:rsidP="00790BF7" w14:paraId="6F4FE66D" w14:textId="742011B3">
      <w:pPr>
        <w:autoSpaceDE w:val="0"/>
        <w:autoSpaceDN w:val="0"/>
        <w:adjustRightInd w:val="0"/>
        <w:spacing w:before="3"/>
        <w:ind w:right="59"/>
        <w:rPr>
          <w:rFonts w:asciiTheme="majorBidi" w:eastAsiaTheme="minorHAnsi" w:hAnsiTheme="majorBidi" w:cstheme="majorBidi"/>
        </w:rPr>
      </w:pPr>
      <w:r>
        <w:rPr>
          <w:rFonts w:asciiTheme="majorBidi" w:eastAsiaTheme="minorHAnsi" w:hAnsiTheme="majorBidi" w:cstheme="majorBidi"/>
        </w:rPr>
        <w:t xml:space="preserve">By month 6, BJS will determine if </w:t>
      </w:r>
      <w:r w:rsidR="00D87533">
        <w:rPr>
          <w:rFonts w:asciiTheme="majorBidi" w:eastAsiaTheme="minorHAnsi" w:hAnsiTheme="majorBidi" w:cstheme="majorBidi"/>
        </w:rPr>
        <w:t xml:space="preserve">a shorter </w:t>
      </w:r>
      <w:r>
        <w:rPr>
          <w:rFonts w:asciiTheme="majorBidi" w:eastAsiaTheme="minorHAnsi" w:hAnsiTheme="majorBidi" w:cstheme="majorBidi"/>
        </w:rPr>
        <w:t xml:space="preserve">critical </w:t>
      </w:r>
      <w:r w:rsidR="00D87533">
        <w:rPr>
          <w:rFonts w:asciiTheme="majorBidi" w:eastAsiaTheme="minorHAnsi" w:hAnsiTheme="majorBidi" w:cstheme="majorBidi"/>
        </w:rPr>
        <w:t>item survey</w:t>
      </w:r>
      <w:r>
        <w:rPr>
          <w:rFonts w:asciiTheme="majorBidi" w:eastAsiaTheme="minorHAnsi" w:hAnsiTheme="majorBidi" w:cstheme="majorBidi"/>
        </w:rPr>
        <w:t xml:space="preserve"> is needed to </w:t>
      </w:r>
      <w:r w:rsidR="007E5035">
        <w:rPr>
          <w:rFonts w:asciiTheme="majorBidi" w:eastAsiaTheme="minorHAnsi" w:hAnsiTheme="majorBidi" w:cstheme="majorBidi"/>
        </w:rPr>
        <w:t xml:space="preserve">bolster response rates. During the 2004 and 2018 </w:t>
      </w:r>
      <w:r w:rsidR="00E24AB8">
        <w:rPr>
          <w:rFonts w:asciiTheme="majorBidi" w:eastAsiaTheme="minorHAnsi" w:hAnsiTheme="majorBidi" w:cstheme="majorBidi"/>
        </w:rPr>
        <w:t>CMEC</w:t>
      </w:r>
      <w:r w:rsidR="007E5035">
        <w:rPr>
          <w:rFonts w:asciiTheme="majorBidi" w:eastAsiaTheme="minorHAnsi" w:hAnsiTheme="majorBidi" w:cstheme="majorBidi"/>
        </w:rPr>
        <w:t xml:space="preserve">, there were about a dozen questions that were deemed to be “critical” for BJS to </w:t>
      </w:r>
      <w:r w:rsidR="00286EB0">
        <w:rPr>
          <w:rFonts w:asciiTheme="majorBidi" w:eastAsiaTheme="minorHAnsi" w:hAnsiTheme="majorBidi" w:cstheme="majorBidi"/>
        </w:rPr>
        <w:t xml:space="preserve">obtain, including staffing, budget, and workload data; the </w:t>
      </w:r>
      <w:r w:rsidR="00B8224F">
        <w:rPr>
          <w:rFonts w:asciiTheme="majorBidi" w:eastAsiaTheme="minorHAnsi" w:hAnsiTheme="majorBidi" w:cstheme="majorBidi"/>
        </w:rPr>
        <w:t xml:space="preserve">abbreviated survey accounted for </w:t>
      </w:r>
      <w:r w:rsidR="003832C7">
        <w:rPr>
          <w:rFonts w:asciiTheme="majorBidi" w:eastAsiaTheme="minorHAnsi" w:hAnsiTheme="majorBidi" w:cstheme="majorBidi"/>
        </w:rPr>
        <w:t xml:space="preserve">18.6% of returned </w:t>
      </w:r>
      <w:r w:rsidR="009D325E">
        <w:rPr>
          <w:rFonts w:asciiTheme="majorBidi" w:eastAsiaTheme="minorHAnsi" w:hAnsiTheme="majorBidi" w:cstheme="majorBidi"/>
        </w:rPr>
        <w:t xml:space="preserve">2018 </w:t>
      </w:r>
      <w:r w:rsidR="003832C7">
        <w:rPr>
          <w:rFonts w:asciiTheme="majorBidi" w:eastAsiaTheme="minorHAnsi" w:hAnsiTheme="majorBidi" w:cstheme="majorBidi"/>
        </w:rPr>
        <w:t>CMEC surveys</w:t>
      </w:r>
      <w:r w:rsidR="00B8224F">
        <w:rPr>
          <w:rFonts w:asciiTheme="majorBidi" w:eastAsiaTheme="minorHAnsi" w:hAnsiTheme="majorBidi" w:cstheme="majorBidi"/>
        </w:rPr>
        <w:t>.</w:t>
      </w:r>
      <w:r w:rsidR="00286EB0">
        <w:rPr>
          <w:rFonts w:asciiTheme="majorBidi" w:eastAsiaTheme="minorHAnsi" w:hAnsiTheme="majorBidi" w:cstheme="majorBidi"/>
        </w:rPr>
        <w:t xml:space="preserve"> BJS has already identified the critical items that would be needed for the 2023 administrat</w:t>
      </w:r>
      <w:r w:rsidRPr="002E51C0" w:rsidR="00286EB0">
        <w:rPr>
          <w:rFonts w:asciiTheme="majorBidi" w:eastAsiaTheme="minorHAnsi" w:hAnsiTheme="majorBidi" w:cstheme="majorBidi"/>
        </w:rPr>
        <w:t>ion (</w:t>
      </w:r>
      <w:r w:rsidRPr="002E51C0" w:rsidR="00E00040">
        <w:rPr>
          <w:b/>
          <w:bCs/>
        </w:rPr>
        <w:t xml:space="preserve">Attachment </w:t>
      </w:r>
      <w:r w:rsidRPr="002E51C0" w:rsidR="00C82F46">
        <w:rPr>
          <w:b/>
          <w:bCs/>
        </w:rPr>
        <w:t>20</w:t>
      </w:r>
      <w:r w:rsidRPr="002E51C0" w:rsidR="00286EB0">
        <w:rPr>
          <w:rFonts w:asciiTheme="majorBidi" w:eastAsiaTheme="minorHAnsi" w:hAnsiTheme="majorBidi" w:cstheme="majorBidi"/>
        </w:rPr>
        <w:t xml:space="preserve">). </w:t>
      </w:r>
      <w:r w:rsidRPr="002E51C0" w:rsidR="000827E8">
        <w:rPr>
          <w:rFonts w:asciiTheme="majorBidi" w:eastAsiaTheme="minorHAnsi" w:hAnsiTheme="majorBidi" w:cstheme="majorBidi"/>
        </w:rPr>
        <w:t xml:space="preserve">Should this effort be necessary, we will begin critical item capture </w:t>
      </w:r>
      <w:r w:rsidRPr="002E51C0" w:rsidR="00CB19FE">
        <w:rPr>
          <w:rFonts w:asciiTheme="majorBidi" w:eastAsiaTheme="minorHAnsi" w:hAnsiTheme="majorBidi" w:cstheme="majorBidi"/>
        </w:rPr>
        <w:t>following the</w:t>
      </w:r>
      <w:r w:rsidRPr="002E51C0" w:rsidR="00A82030">
        <w:rPr>
          <w:rFonts w:asciiTheme="majorBidi" w:eastAsiaTheme="minorHAnsi" w:hAnsiTheme="majorBidi" w:cstheme="majorBidi"/>
        </w:rPr>
        <w:t xml:space="preserve"> </w:t>
      </w:r>
      <w:r w:rsidRPr="002E51C0" w:rsidR="00D42FD0">
        <w:rPr>
          <w:rFonts w:asciiTheme="majorBidi" w:eastAsiaTheme="minorHAnsi" w:hAnsiTheme="majorBidi" w:cstheme="majorBidi"/>
        </w:rPr>
        <w:t>ninth reminder email</w:t>
      </w:r>
      <w:r w:rsidRPr="002E51C0" w:rsidR="00A82030">
        <w:rPr>
          <w:rFonts w:asciiTheme="majorBidi" w:eastAsiaTheme="minorHAnsi" w:hAnsiTheme="majorBidi" w:cstheme="majorBidi"/>
        </w:rPr>
        <w:t xml:space="preserve">. The </w:t>
      </w:r>
      <w:r w:rsidRPr="002E51C0" w:rsidR="009C67BB">
        <w:rPr>
          <w:rFonts w:asciiTheme="majorBidi" w:eastAsiaTheme="minorHAnsi" w:hAnsiTheme="majorBidi" w:cstheme="majorBidi"/>
        </w:rPr>
        <w:t>abbreviated</w:t>
      </w:r>
      <w:r w:rsidRPr="002E51C0" w:rsidR="003F267F">
        <w:rPr>
          <w:rFonts w:asciiTheme="majorBidi" w:eastAsiaTheme="minorHAnsi" w:hAnsiTheme="majorBidi" w:cstheme="majorBidi"/>
        </w:rPr>
        <w:t xml:space="preserve"> </w:t>
      </w:r>
      <w:r w:rsidRPr="002E51C0" w:rsidR="00355E71">
        <w:rPr>
          <w:rFonts w:asciiTheme="majorBidi" w:eastAsiaTheme="minorHAnsi" w:hAnsiTheme="majorBidi" w:cstheme="majorBidi"/>
        </w:rPr>
        <w:t>paper and pencil instrument (</w:t>
      </w:r>
      <w:r w:rsidRPr="002E51C0" w:rsidR="003F267F">
        <w:rPr>
          <w:rFonts w:asciiTheme="majorBidi" w:eastAsiaTheme="minorHAnsi" w:hAnsiTheme="majorBidi" w:cstheme="majorBidi"/>
        </w:rPr>
        <w:t>PAPI</w:t>
      </w:r>
      <w:r w:rsidRPr="002E51C0" w:rsidR="00355E71">
        <w:rPr>
          <w:rFonts w:asciiTheme="majorBidi" w:eastAsiaTheme="minorHAnsi" w:hAnsiTheme="majorBidi" w:cstheme="majorBidi"/>
        </w:rPr>
        <w:t>)</w:t>
      </w:r>
      <w:r w:rsidRPr="002E51C0" w:rsidR="009C67BB">
        <w:rPr>
          <w:rFonts w:asciiTheme="majorBidi" w:eastAsiaTheme="minorHAnsi" w:hAnsiTheme="majorBidi" w:cstheme="majorBidi"/>
        </w:rPr>
        <w:t xml:space="preserve"> survey would be </w:t>
      </w:r>
      <w:r w:rsidRPr="002E51C0" w:rsidR="00D42FD0">
        <w:rPr>
          <w:rFonts w:asciiTheme="majorBidi" w:eastAsiaTheme="minorHAnsi" w:hAnsiTheme="majorBidi" w:cstheme="majorBidi"/>
        </w:rPr>
        <w:t xml:space="preserve">addressed </w:t>
      </w:r>
      <w:r w:rsidRPr="002E51C0" w:rsidR="009C67BB">
        <w:rPr>
          <w:rFonts w:asciiTheme="majorBidi" w:eastAsiaTheme="minorHAnsi" w:hAnsiTheme="majorBidi" w:cstheme="majorBidi"/>
        </w:rPr>
        <w:t xml:space="preserve">to the </w:t>
      </w:r>
      <w:r w:rsidRPr="002E51C0" w:rsidR="003F267F">
        <w:rPr>
          <w:rFonts w:asciiTheme="majorBidi" w:eastAsiaTheme="minorHAnsi" w:hAnsiTheme="majorBidi" w:cstheme="majorBidi"/>
        </w:rPr>
        <w:t xml:space="preserve">office head with an invitation to fill out the shortened survey on the web or via </w:t>
      </w:r>
      <w:r w:rsidRPr="002E51C0" w:rsidR="00355E71">
        <w:rPr>
          <w:rFonts w:asciiTheme="majorBidi" w:eastAsiaTheme="minorHAnsi" w:hAnsiTheme="majorBidi" w:cstheme="majorBidi"/>
        </w:rPr>
        <w:t>paper response</w:t>
      </w:r>
      <w:r w:rsidRPr="002E51C0" w:rsidR="00961FBA">
        <w:rPr>
          <w:rFonts w:asciiTheme="majorBidi" w:eastAsiaTheme="minorHAnsi" w:hAnsiTheme="majorBidi" w:cstheme="majorBidi"/>
        </w:rPr>
        <w:t xml:space="preserve"> via the USPS</w:t>
      </w:r>
      <w:r w:rsidRPr="002E51C0" w:rsidR="00E00040">
        <w:rPr>
          <w:rFonts w:asciiTheme="majorBidi" w:eastAsiaTheme="minorHAnsi" w:hAnsiTheme="majorBidi" w:cstheme="majorBidi"/>
        </w:rPr>
        <w:t xml:space="preserve"> </w:t>
      </w:r>
      <w:r w:rsidRPr="002E51C0" w:rsidR="00961FBA">
        <w:rPr>
          <w:rFonts w:asciiTheme="majorBidi" w:eastAsiaTheme="minorHAnsi" w:hAnsiTheme="majorBidi" w:cstheme="majorBidi"/>
        </w:rPr>
        <w:t>(</w:t>
      </w:r>
      <w:r w:rsidRPr="002E51C0" w:rsidR="00E00040">
        <w:rPr>
          <w:b/>
          <w:bCs/>
        </w:rPr>
        <w:t xml:space="preserve">Attachment </w:t>
      </w:r>
      <w:r w:rsidRPr="002E51C0" w:rsidR="00C82F46">
        <w:rPr>
          <w:b/>
          <w:bCs/>
        </w:rPr>
        <w:t>21</w:t>
      </w:r>
      <w:r w:rsidRPr="002E51C0" w:rsidR="00961FBA">
        <w:rPr>
          <w:b/>
          <w:bCs/>
        </w:rPr>
        <w:t>)</w:t>
      </w:r>
      <w:r w:rsidRPr="002E51C0" w:rsidR="00355E71">
        <w:rPr>
          <w:rFonts w:asciiTheme="majorBidi" w:eastAsiaTheme="minorHAnsi" w:hAnsiTheme="majorBidi" w:cstheme="majorBidi"/>
        </w:rPr>
        <w:t>. This mailing would include a business return envelope to facilitate paper response.</w:t>
      </w:r>
      <w:r w:rsidRPr="002E51C0" w:rsidR="00E00040">
        <w:rPr>
          <w:rFonts w:asciiTheme="majorBidi" w:eastAsiaTheme="minorHAnsi" w:hAnsiTheme="majorBidi" w:cstheme="majorBidi"/>
        </w:rPr>
        <w:t xml:space="preserve"> </w:t>
      </w:r>
      <w:r w:rsidRPr="002E51C0" w:rsidR="00961FBA">
        <w:rPr>
          <w:rFonts w:asciiTheme="majorBidi" w:eastAsiaTheme="minorHAnsi" w:hAnsiTheme="majorBidi" w:cstheme="majorBidi"/>
        </w:rPr>
        <w:t xml:space="preserve">An email would be sent to all agency heads 3 </w:t>
      </w:r>
      <w:r w:rsidRPr="002E51C0" w:rsidR="003C551A">
        <w:rPr>
          <w:rFonts w:asciiTheme="majorBidi" w:eastAsiaTheme="minorHAnsi" w:hAnsiTheme="majorBidi" w:cstheme="majorBidi"/>
        </w:rPr>
        <w:t xml:space="preserve">business </w:t>
      </w:r>
      <w:r w:rsidRPr="002E51C0" w:rsidR="00961FBA">
        <w:rPr>
          <w:rFonts w:asciiTheme="majorBidi" w:eastAsiaTheme="minorHAnsi" w:hAnsiTheme="majorBidi" w:cstheme="majorBidi"/>
        </w:rPr>
        <w:t xml:space="preserve">days after the abbreviated survey packet was sent. </w:t>
      </w:r>
      <w:r w:rsidRPr="002E51C0" w:rsidR="00E00040">
        <w:rPr>
          <w:rFonts w:asciiTheme="majorBidi" w:eastAsiaTheme="minorHAnsi" w:hAnsiTheme="majorBidi" w:cstheme="majorBidi"/>
        </w:rPr>
        <w:t>Within the letter, the login credentials</w:t>
      </w:r>
      <w:r w:rsidRPr="002E51C0" w:rsidR="001E072F">
        <w:rPr>
          <w:rFonts w:asciiTheme="majorBidi" w:eastAsiaTheme="minorHAnsi" w:hAnsiTheme="majorBidi" w:cstheme="majorBidi"/>
        </w:rPr>
        <w:t xml:space="preserve"> and the Help Desk email and toll-free telephone number would be provided</w:t>
      </w:r>
      <w:r w:rsidRPr="002E51C0" w:rsidR="00A80847">
        <w:rPr>
          <w:rFonts w:asciiTheme="majorBidi" w:eastAsiaTheme="minorHAnsi" w:hAnsiTheme="majorBidi" w:cstheme="majorBidi"/>
        </w:rPr>
        <w:t>. Nonresponse follow</w:t>
      </w:r>
      <w:r w:rsidRPr="002E51C0" w:rsidR="00797DAB">
        <w:rPr>
          <w:rFonts w:asciiTheme="majorBidi" w:eastAsiaTheme="minorHAnsi" w:hAnsiTheme="majorBidi" w:cstheme="majorBidi"/>
        </w:rPr>
        <w:t>-up</w:t>
      </w:r>
      <w:r w:rsidRPr="002E51C0" w:rsidR="00A80847">
        <w:rPr>
          <w:rFonts w:asciiTheme="majorBidi" w:eastAsiaTheme="minorHAnsi" w:hAnsiTheme="majorBidi" w:cstheme="majorBidi"/>
        </w:rPr>
        <w:t xml:space="preserve"> that would </w:t>
      </w:r>
      <w:r w:rsidRPr="002E51C0" w:rsidR="00961FBA">
        <w:rPr>
          <w:rFonts w:asciiTheme="majorBidi" w:eastAsiaTheme="minorHAnsi" w:hAnsiTheme="majorBidi" w:cstheme="majorBidi"/>
        </w:rPr>
        <w:t>incorporate</w:t>
      </w:r>
      <w:r w:rsidRPr="002E51C0" w:rsidR="00A80847">
        <w:rPr>
          <w:rFonts w:asciiTheme="majorBidi" w:eastAsiaTheme="minorHAnsi" w:hAnsiTheme="majorBidi" w:cstheme="majorBidi"/>
        </w:rPr>
        <w:t xml:space="preserve"> </w:t>
      </w:r>
      <w:r w:rsidRPr="002E51C0" w:rsidR="00961FBA">
        <w:rPr>
          <w:rFonts w:asciiTheme="majorBidi" w:eastAsiaTheme="minorHAnsi" w:hAnsiTheme="majorBidi" w:cstheme="majorBidi"/>
        </w:rPr>
        <w:t>critical item data capture would take place 3 weeks after that mailing</w:t>
      </w:r>
      <w:r w:rsidRPr="002E51C0" w:rsidR="00E00040">
        <w:rPr>
          <w:rFonts w:asciiTheme="majorBidi" w:eastAsiaTheme="minorHAnsi" w:hAnsiTheme="majorBidi" w:cstheme="majorBidi"/>
        </w:rPr>
        <w:t>.</w:t>
      </w:r>
      <w:r w:rsidRPr="002E51C0" w:rsidR="00361E8A">
        <w:rPr>
          <w:rFonts w:asciiTheme="majorBidi" w:eastAsiaTheme="minorHAnsi" w:hAnsiTheme="majorBidi" w:cstheme="majorBidi"/>
        </w:rPr>
        <w:t xml:space="preserve"> About 3 business days after the critical items letter is mailed, we will email a critical items message to </w:t>
      </w:r>
      <w:r w:rsidRPr="002E51C0" w:rsidR="001771C8">
        <w:rPr>
          <w:rFonts w:asciiTheme="majorBidi" w:eastAsiaTheme="minorHAnsi" w:hAnsiTheme="majorBidi" w:cstheme="majorBidi"/>
        </w:rPr>
        <w:t>the</w:t>
      </w:r>
      <w:r w:rsidRPr="002E51C0" w:rsidR="00C82F46">
        <w:rPr>
          <w:rFonts w:asciiTheme="majorBidi" w:eastAsiaTheme="minorHAnsi" w:hAnsiTheme="majorBidi" w:cstheme="majorBidi"/>
        </w:rPr>
        <w:t xml:space="preserve"> </w:t>
      </w:r>
      <w:r w:rsidRPr="002E51C0" w:rsidR="001771C8">
        <w:rPr>
          <w:rFonts w:asciiTheme="majorBidi" w:eastAsiaTheme="minorHAnsi" w:hAnsiTheme="majorBidi" w:cstheme="majorBidi"/>
        </w:rPr>
        <w:t>C</w:t>
      </w:r>
      <w:r w:rsidRPr="002E51C0" w:rsidR="00C82F46">
        <w:rPr>
          <w:rFonts w:asciiTheme="majorBidi" w:eastAsiaTheme="minorHAnsi" w:hAnsiTheme="majorBidi" w:cstheme="majorBidi"/>
        </w:rPr>
        <w:t xml:space="preserve">MEC </w:t>
      </w:r>
      <w:r w:rsidRPr="002E51C0" w:rsidR="00361E8A">
        <w:rPr>
          <w:rFonts w:asciiTheme="majorBidi" w:eastAsiaTheme="minorHAnsi" w:hAnsiTheme="majorBidi" w:cstheme="majorBidi"/>
        </w:rPr>
        <w:t>contact (</w:t>
      </w:r>
      <w:r w:rsidRPr="002E51C0" w:rsidR="00361E8A">
        <w:rPr>
          <w:rFonts w:asciiTheme="majorBidi" w:eastAsiaTheme="minorHAnsi" w:hAnsiTheme="majorBidi" w:cstheme="majorBidi"/>
          <w:b/>
          <w:bCs/>
        </w:rPr>
        <w:t xml:space="preserve">Attachment </w:t>
      </w:r>
      <w:r w:rsidRPr="002E51C0" w:rsidR="00C82F46">
        <w:rPr>
          <w:rFonts w:asciiTheme="majorBidi" w:eastAsiaTheme="minorHAnsi" w:hAnsiTheme="majorBidi" w:cstheme="majorBidi"/>
          <w:b/>
          <w:bCs/>
        </w:rPr>
        <w:t>2</w:t>
      </w:r>
      <w:r w:rsidRPr="002E51C0" w:rsidR="00361E8A">
        <w:rPr>
          <w:rFonts w:asciiTheme="majorBidi" w:eastAsiaTheme="minorHAnsi" w:hAnsiTheme="majorBidi" w:cstheme="majorBidi"/>
          <w:b/>
          <w:bCs/>
        </w:rPr>
        <w:t>2</w:t>
      </w:r>
      <w:r w:rsidRPr="002E51C0" w:rsidR="00361E8A">
        <w:rPr>
          <w:rFonts w:asciiTheme="majorBidi" w:eastAsiaTheme="minorHAnsi" w:hAnsiTheme="majorBidi" w:cstheme="majorBidi"/>
        </w:rPr>
        <w:t xml:space="preserve">). </w:t>
      </w:r>
      <w:r w:rsidRPr="002E51C0" w:rsidR="003D1D5E">
        <w:t>Using this approach, when the 201</w:t>
      </w:r>
      <w:r w:rsidR="003D1D5E">
        <w:t xml:space="preserve">8 CMEC </w:t>
      </w:r>
      <w:r w:rsidRPr="3F1902C0" w:rsidR="003D1D5E">
        <w:t xml:space="preserve">ended data collection, there was an overall response rate of </w:t>
      </w:r>
      <w:r w:rsidR="003D1D5E">
        <w:t>80.7</w:t>
      </w:r>
      <w:r w:rsidRPr="3F1902C0" w:rsidR="003D1D5E">
        <w:t xml:space="preserve">% </w:t>
      </w:r>
      <w:r w:rsidR="003D1D5E">
        <w:t>and 51.0%</w:t>
      </w:r>
      <w:r w:rsidRPr="3F1902C0" w:rsidR="003D1D5E">
        <w:t xml:space="preserve"> responded via </w:t>
      </w:r>
      <w:r w:rsidR="003D1D5E">
        <w:t xml:space="preserve">the </w:t>
      </w:r>
      <w:r w:rsidRPr="3F1902C0" w:rsidR="003D1D5E">
        <w:t>web.</w:t>
      </w:r>
    </w:p>
    <w:p w:rsidR="00F60065" w:rsidP="00790BF7" w14:paraId="667E1C8E" w14:textId="77777777">
      <w:pPr>
        <w:autoSpaceDE w:val="0"/>
        <w:autoSpaceDN w:val="0"/>
        <w:adjustRightInd w:val="0"/>
        <w:spacing w:before="3"/>
        <w:ind w:right="59"/>
        <w:rPr>
          <w:rFonts w:asciiTheme="majorBidi" w:eastAsiaTheme="minorHAnsi" w:hAnsiTheme="majorBidi" w:cstheme="majorBidi"/>
        </w:rPr>
      </w:pPr>
    </w:p>
    <w:p w:rsidR="00DA77FB" w:rsidRPr="00912246" w:rsidP="00DA77FB" w14:paraId="79CF13EB" w14:textId="77777777">
      <w:pPr>
        <w:autoSpaceDE w:val="0"/>
        <w:autoSpaceDN w:val="0"/>
        <w:adjustRightInd w:val="0"/>
        <w:rPr>
          <w:rFonts w:asciiTheme="majorBidi" w:eastAsiaTheme="minorHAnsi" w:hAnsiTheme="majorBidi" w:cstheme="majorBidi"/>
        </w:rPr>
      </w:pPr>
      <w:r w:rsidRPr="00912246">
        <w:rPr>
          <w:rFonts w:asciiTheme="majorBidi" w:eastAsiaTheme="minorHAnsi" w:hAnsiTheme="majorBidi" w:cstheme="majorBidi"/>
        </w:rPr>
        <w:t xml:space="preserve">RTI will send the end-of-study notification both via mail and email to notify nonrespondents that the study is coming to an end and that their response is needed within two </w:t>
      </w:r>
      <w:r w:rsidRPr="002E51C0">
        <w:rPr>
          <w:rFonts w:asciiTheme="majorBidi" w:eastAsiaTheme="minorHAnsi" w:hAnsiTheme="majorBidi" w:cstheme="majorBidi"/>
        </w:rPr>
        <w:t>weeks (</w:t>
      </w:r>
      <w:r w:rsidRPr="002E51C0">
        <w:rPr>
          <w:b/>
          <w:bCs/>
        </w:rPr>
        <w:t>Attachments 23-24</w:t>
      </w:r>
      <w:r w:rsidRPr="002E51C0">
        <w:rPr>
          <w:rFonts w:asciiTheme="majorBidi" w:eastAsiaTheme="minorHAnsi" w:hAnsiTheme="majorBidi" w:cstheme="majorBidi"/>
        </w:rPr>
        <w:t>). Data collection will continue for approximately three more weeks to allow for receipt of the remaining questionnaires.</w:t>
      </w:r>
      <w:r w:rsidRPr="00912246">
        <w:rPr>
          <w:rFonts w:asciiTheme="majorBidi" w:eastAsiaTheme="minorHAnsi" w:hAnsiTheme="majorBidi" w:cstheme="majorBidi"/>
        </w:rPr>
        <w:t xml:space="preserve">  </w:t>
      </w:r>
    </w:p>
    <w:p w:rsidR="00DA77FB" w:rsidRPr="00912246" w:rsidP="00DA77FB" w14:paraId="183C2039" w14:textId="77777777">
      <w:pPr>
        <w:autoSpaceDE w:val="0"/>
        <w:autoSpaceDN w:val="0"/>
        <w:adjustRightInd w:val="0"/>
        <w:rPr>
          <w:rFonts w:asciiTheme="majorBidi" w:eastAsiaTheme="minorHAnsi" w:hAnsiTheme="majorBidi" w:cstheme="majorBidi"/>
        </w:rPr>
      </w:pPr>
    </w:p>
    <w:p w:rsidR="00DA77FB" w:rsidRPr="00912246" w:rsidP="00DA77FB" w14:paraId="55ACFC4E" w14:textId="77777777">
      <w:pPr>
        <w:autoSpaceDE w:val="0"/>
        <w:autoSpaceDN w:val="0"/>
        <w:adjustRightInd w:val="0"/>
        <w:rPr>
          <w:rFonts w:asciiTheme="majorBidi" w:eastAsiaTheme="minorHAnsi" w:hAnsiTheme="majorBidi" w:cstheme="majorBidi"/>
        </w:rPr>
      </w:pPr>
      <w:r>
        <w:rPr>
          <w:rFonts w:asciiTheme="majorBidi" w:eastAsiaTheme="minorHAnsi" w:hAnsiTheme="majorBidi" w:cstheme="majorBidi"/>
        </w:rPr>
        <w:t>Immediately after surveys are submitted</w:t>
      </w:r>
      <w:r w:rsidRPr="00912246">
        <w:rPr>
          <w:rFonts w:asciiTheme="majorBidi" w:eastAsiaTheme="minorHAnsi" w:hAnsiTheme="majorBidi" w:cstheme="majorBidi"/>
        </w:rPr>
        <w:t xml:space="preserve"> respondents </w:t>
      </w:r>
      <w:r>
        <w:rPr>
          <w:rFonts w:asciiTheme="majorBidi" w:eastAsiaTheme="minorHAnsi" w:hAnsiTheme="majorBidi" w:cstheme="majorBidi"/>
        </w:rPr>
        <w:t>receive a thank you em</w:t>
      </w:r>
      <w:r w:rsidRPr="002E51C0">
        <w:rPr>
          <w:rFonts w:asciiTheme="majorBidi" w:eastAsiaTheme="minorHAnsi" w:hAnsiTheme="majorBidi" w:cstheme="majorBidi"/>
        </w:rPr>
        <w:t>ail (</w:t>
      </w:r>
      <w:r w:rsidRPr="002E51C0">
        <w:rPr>
          <w:b/>
          <w:bCs/>
        </w:rPr>
        <w:t>Attachment 25</w:t>
      </w:r>
      <w:r w:rsidRPr="002E51C0">
        <w:rPr>
          <w:rFonts w:asciiTheme="majorBidi" w:eastAsiaTheme="minorHAnsi" w:hAnsiTheme="majorBidi" w:cstheme="majorBidi"/>
        </w:rPr>
        <w:t xml:space="preserve">). These emails will thank them for the time and effort necessary to complete the survey. </w:t>
      </w:r>
      <w:r w:rsidRPr="002E51C0">
        <w:t>The text will formally acknowledge receipt of the survey and state that the agency may</w:t>
      </w:r>
      <w:r w:rsidRPr="35107414">
        <w:t xml:space="preserve"> be contacted for clarification once their survey responses are processed. </w:t>
      </w:r>
    </w:p>
    <w:p w:rsidR="006E0341" w:rsidP="006E0341" w14:paraId="085215B2" w14:textId="7143EE80">
      <w:pPr>
        <w:autoSpaceDE w:val="0"/>
        <w:autoSpaceDN w:val="0"/>
        <w:adjustRightInd w:val="0"/>
        <w:spacing w:before="3"/>
        <w:ind w:right="59"/>
      </w:pPr>
    </w:p>
    <w:p w:rsidR="00BA603E" w:rsidP="00790BF7" w14:paraId="64AA3328" w14:textId="70796FC7">
      <w:pPr>
        <w:autoSpaceDE w:val="0"/>
        <w:autoSpaceDN w:val="0"/>
        <w:adjustRightInd w:val="0"/>
        <w:spacing w:before="3"/>
        <w:ind w:right="59"/>
        <w:rPr>
          <w:b/>
          <w:bCs/>
        </w:rPr>
      </w:pPr>
      <w:r>
        <w:rPr>
          <w:b/>
          <w:bCs/>
        </w:rPr>
        <w:t>Data Processing</w:t>
      </w:r>
    </w:p>
    <w:p w:rsidR="00BA603E" w:rsidP="00790BF7" w14:paraId="2FED9E4F" w14:textId="77777777">
      <w:pPr>
        <w:autoSpaceDE w:val="0"/>
        <w:autoSpaceDN w:val="0"/>
        <w:adjustRightInd w:val="0"/>
        <w:spacing w:before="3"/>
        <w:ind w:right="59"/>
        <w:rPr>
          <w:b/>
          <w:bCs/>
        </w:rPr>
      </w:pPr>
    </w:p>
    <w:p w:rsidR="00694649" w:rsidP="00694649" w14:paraId="0C14200D" w14:textId="77777777">
      <w:r w:rsidRPr="50392E28">
        <w:t xml:space="preserve">Upon receipt of a survey (web or hardcopy), data will be reviewed and edited, and if needed, the respondent will be contacted to clarify answers or provide missing information. </w:t>
      </w:r>
      <w:r>
        <w:t xml:space="preserve">Respondents who submit via web will be prompted with real-time validation checks when submitting missing or inconsistent data. Any unresolved items that remain after the respondent submits will result in recontact by RTI staff to the respondent to attempt to resolve these issues. </w:t>
      </w:r>
    </w:p>
    <w:p w:rsidR="00694649" w:rsidP="00694649" w14:paraId="7B1E4C6A" w14:textId="77777777"/>
    <w:p w:rsidR="00694649" w:rsidP="00694649" w14:paraId="54667977" w14:textId="77777777">
      <w:r w:rsidRPr="50392E28">
        <w:t xml:space="preserve">The hardcopy survey will be developed </w:t>
      </w:r>
      <w:r>
        <w:t xml:space="preserve">and keyed </w:t>
      </w:r>
      <w:r w:rsidRPr="50392E28">
        <w:t xml:space="preserve">using </w:t>
      </w:r>
      <w:r w:rsidRPr="50392E28">
        <w:t>TeleForm</w:t>
      </w:r>
      <w:r w:rsidRPr="50392E28">
        <w:t xml:space="preserve">, which will allow the surveys to be scanned and the data read directly into the same database containing the web survey data. This will ensure that the same </w:t>
      </w:r>
      <w:r>
        <w:t xml:space="preserve">post-collection </w:t>
      </w:r>
      <w:r w:rsidRPr="50392E28">
        <w:t>data quality review procedures</w:t>
      </w:r>
      <w:r>
        <w:t>, which mirror and expand upon the web validation checks,</w:t>
      </w:r>
      <w:r w:rsidRPr="50392E28">
        <w:t xml:space="preserve"> are applied to all survey data, regardless of response mode. The following is a summary of the data quality assurance steps that RTI will </w:t>
      </w:r>
      <w:r>
        <w:t>take</w:t>
      </w:r>
      <w:r w:rsidRPr="50392E28">
        <w:t xml:space="preserve"> during the data collection and processing period:</w:t>
      </w:r>
    </w:p>
    <w:p w:rsidR="00694649" w:rsidP="00694649" w14:paraId="7A4EA6EA" w14:textId="77777777">
      <w:r w:rsidRPr="50392E28">
        <w:t xml:space="preserve"> </w:t>
      </w:r>
    </w:p>
    <w:p w:rsidR="00694649" w:rsidP="00694649" w14:paraId="3666534C" w14:textId="17A491A9">
      <w:r w:rsidRPr="00A747BF">
        <w:rPr>
          <w:i/>
          <w:iCs/>
        </w:rPr>
        <w:t>Data Editing.</w:t>
      </w:r>
      <w:r w:rsidRPr="50392E28">
        <w:t xml:space="preserve"> RTI will reconcile missing or erroneous data through automated and manual edits of each questionnaire. In collaboration with BJS, RTI will develop a list of edits that can be completed by referring to other data provided by the respondent on the survey instrument. For example, if a screening question was left blank, but the follow-up questions were completed, a manual edit could be made to indicate the intended positive response to the screening question. Through this process, RTI can quickly identify which hardcopy cases require follow-up and indicate the items that need clarification or retrieval from the respondent.</w:t>
      </w:r>
    </w:p>
    <w:p w:rsidR="00694649" w:rsidP="00694649" w14:paraId="0E9660DB" w14:textId="77777777">
      <w:r w:rsidRPr="50392E28">
        <w:t xml:space="preserve"> </w:t>
      </w:r>
    </w:p>
    <w:p w:rsidR="00694649" w:rsidP="00694649" w14:paraId="3A0E67A8" w14:textId="7F16C12B">
      <w:r w:rsidRPr="00603C2C">
        <w:rPr>
          <w:i/>
          <w:iCs/>
        </w:rPr>
        <w:t>Data Processing</w:t>
      </w:r>
      <w:r w:rsidRPr="00603C2C" w:rsidR="00603C2C">
        <w:rPr>
          <w:i/>
          <w:iCs/>
        </w:rPr>
        <w:t>.</w:t>
      </w:r>
      <w:r w:rsidRPr="00A747BF">
        <w:rPr>
          <w:i/>
          <w:iCs/>
        </w:rPr>
        <w:t xml:space="preserve"> </w:t>
      </w:r>
      <w:r w:rsidRPr="35107414">
        <w:t xml:space="preserve">When </w:t>
      </w:r>
      <w:r w:rsidR="00D31C04">
        <w:t xml:space="preserve">the project team identifies a potential data issue, such as missing or inconsistent answers, </w:t>
      </w:r>
      <w:r w:rsidR="00603C2C">
        <w:t>an RTI professional staff member</w:t>
      </w:r>
      <w:r w:rsidRPr="35107414">
        <w:t xml:space="preserve"> will contact the respondent for clarification. Throughout the data retrieval process, RTI will document the</w:t>
      </w:r>
      <w:r w:rsidR="00132731">
        <w:t xml:space="preserve"> critical</w:t>
      </w:r>
      <w:r w:rsidRPr="35107414">
        <w:t xml:space="preserve"> questions needing retrieval (e.g., </w:t>
      </w:r>
      <w:r w:rsidRPr="35107414">
        <w:t>missing</w:t>
      </w:r>
      <w:r w:rsidRPr="35107414">
        <w:t xml:space="preserve"> or inconsistent data elements), request clarification on the provided information, obtain values for missing data elements, and examine any other issues related to the respondent’s submission. </w:t>
      </w:r>
    </w:p>
    <w:p w:rsidR="00694649" w:rsidP="00694649" w14:paraId="55AB776A" w14:textId="77777777">
      <w:r w:rsidRPr="50392E28">
        <w:t xml:space="preserve"> </w:t>
      </w:r>
    </w:p>
    <w:p w:rsidR="00694649" w:rsidP="00694649" w14:paraId="2E11001D" w14:textId="09FB8681">
      <w:r w:rsidRPr="00A747BF">
        <w:rPr>
          <w:i/>
          <w:iCs/>
        </w:rPr>
        <w:t>Data Entry.</w:t>
      </w:r>
      <w:r w:rsidRPr="35107414">
        <w:t xml:space="preserve"> Respondents completing the survey via the web instrument will enter their responses directly into the online instrument. For those respondents returning the survey via hardcopy (mail or fax), data will be scanned once received and determined complete. To confirm that editing rules are being followed, RTI will review frequencies for the entered data after the first 10</w:t>
      </w:r>
      <w:r>
        <w:t>%</w:t>
      </w:r>
      <w:r w:rsidRPr="35107414">
        <w:t xml:space="preserve"> of cases are received. Any issues will be investigated and resolved. Throughout the remainder of the data collection period, RTI staff will conduct regular data frequency reviews to evaluate the quality and completeness of data captured in both the web and hardcopy modes.</w:t>
      </w:r>
    </w:p>
    <w:p w:rsidR="00421095" w:rsidRPr="00912246" w:rsidP="009561F8" w14:paraId="6F648A2E" w14:textId="77777777">
      <w:pPr>
        <w:pStyle w:val="Default"/>
        <w:rPr>
          <w:rFonts w:asciiTheme="majorBidi" w:hAnsiTheme="majorBidi" w:cstheme="majorBidi"/>
        </w:rPr>
      </w:pPr>
    </w:p>
    <w:p w:rsidR="00421095" w:rsidRPr="00912246" w:rsidP="009561F8" w14:paraId="7F1604A9" w14:textId="0820B67F">
      <w:pPr>
        <w:pStyle w:val="ListParagraph"/>
        <w:numPr>
          <w:ilvl w:val="0"/>
          <w:numId w:val="5"/>
        </w:numPr>
        <w:ind w:left="360"/>
        <w:contextualSpacing w:val="0"/>
        <w:rPr>
          <w:rFonts w:asciiTheme="majorBidi" w:hAnsiTheme="majorBidi" w:cstheme="majorBidi"/>
          <w:b/>
          <w:u w:val="single"/>
        </w:rPr>
      </w:pPr>
      <w:r w:rsidRPr="00912246">
        <w:rPr>
          <w:rFonts w:asciiTheme="majorBidi" w:hAnsiTheme="majorBidi" w:cstheme="majorBidi"/>
          <w:b/>
          <w:u w:val="single"/>
        </w:rPr>
        <w:t>Methods to Maximize Response Rates</w:t>
      </w:r>
    </w:p>
    <w:p w:rsidR="00421095" w:rsidP="009561F8" w14:paraId="0ABDD4A3" w14:textId="77777777">
      <w:pPr>
        <w:rPr>
          <w:rFonts w:asciiTheme="majorBidi" w:hAnsiTheme="majorBidi" w:cstheme="majorBidi"/>
          <w:highlight w:val="yellow"/>
        </w:rPr>
      </w:pPr>
    </w:p>
    <w:p w:rsidR="005963FF" w:rsidRPr="00A747BF" w:rsidP="005963FF" w14:paraId="7D1C03DF" w14:textId="77777777">
      <w:pPr>
        <w:rPr>
          <w:b/>
          <w:bCs/>
        </w:rPr>
      </w:pPr>
      <w:r w:rsidRPr="00A747BF">
        <w:rPr>
          <w:b/>
          <w:bCs/>
        </w:rPr>
        <w:t>Minimizing Nonresponse</w:t>
      </w:r>
    </w:p>
    <w:p w:rsidR="005963FF" w:rsidRPr="00912246" w:rsidP="009561F8" w14:paraId="56BF1F2E" w14:textId="77777777">
      <w:pPr>
        <w:rPr>
          <w:rFonts w:asciiTheme="majorBidi" w:hAnsiTheme="majorBidi" w:cstheme="majorBidi"/>
          <w:highlight w:val="yellow"/>
        </w:rPr>
      </w:pPr>
    </w:p>
    <w:p w:rsidR="003B3F4F" w:rsidRPr="00912246" w:rsidP="009561F8" w14:paraId="2F9333D4" w14:textId="13B70E87">
      <w:pPr>
        <w:rPr>
          <w:rFonts w:asciiTheme="majorBidi" w:hAnsiTheme="majorBidi" w:cstheme="majorBidi"/>
        </w:rPr>
      </w:pPr>
      <w:r w:rsidRPr="00912246">
        <w:rPr>
          <w:rFonts w:asciiTheme="majorBidi" w:hAnsiTheme="majorBidi" w:cstheme="majorBidi"/>
        </w:rPr>
        <w:t xml:space="preserve">The </w:t>
      </w:r>
      <w:r w:rsidRPr="00912246" w:rsidR="001C1809">
        <w:rPr>
          <w:rFonts w:asciiTheme="majorBidi" w:hAnsiTheme="majorBidi" w:cstheme="majorBidi"/>
        </w:rPr>
        <w:t>20</w:t>
      </w:r>
      <w:r w:rsidR="001B282F">
        <w:rPr>
          <w:rFonts w:asciiTheme="majorBidi" w:hAnsiTheme="majorBidi" w:cstheme="majorBidi"/>
        </w:rPr>
        <w:t>18</w:t>
      </w:r>
      <w:r w:rsidRPr="00912246">
        <w:rPr>
          <w:rFonts w:asciiTheme="majorBidi" w:hAnsiTheme="majorBidi" w:cstheme="majorBidi"/>
        </w:rPr>
        <w:t xml:space="preserve"> </w:t>
      </w:r>
      <w:r w:rsidRPr="00912246" w:rsidR="00F45304">
        <w:rPr>
          <w:rFonts w:asciiTheme="majorBidi" w:hAnsiTheme="majorBidi" w:cstheme="majorBidi"/>
        </w:rPr>
        <w:t>CMEC</w:t>
      </w:r>
      <w:r w:rsidRPr="00912246">
        <w:rPr>
          <w:rFonts w:asciiTheme="majorBidi" w:hAnsiTheme="majorBidi" w:cstheme="majorBidi"/>
        </w:rPr>
        <w:t xml:space="preserve"> </w:t>
      </w:r>
      <w:r w:rsidRPr="00912246" w:rsidR="001C1809">
        <w:rPr>
          <w:rFonts w:asciiTheme="majorBidi" w:hAnsiTheme="majorBidi" w:cstheme="majorBidi"/>
        </w:rPr>
        <w:t>achieved an 8</w:t>
      </w:r>
      <w:r w:rsidR="001B282F">
        <w:rPr>
          <w:rFonts w:asciiTheme="majorBidi" w:hAnsiTheme="majorBidi" w:cstheme="majorBidi"/>
        </w:rPr>
        <w:t>1</w:t>
      </w:r>
      <w:r w:rsidRPr="00912246" w:rsidR="001C1809">
        <w:rPr>
          <w:rFonts w:asciiTheme="majorBidi" w:hAnsiTheme="majorBidi" w:cstheme="majorBidi"/>
        </w:rPr>
        <w:t xml:space="preserve">% response rate for critical items. </w:t>
      </w:r>
      <w:r w:rsidRPr="00912246">
        <w:rPr>
          <w:rFonts w:asciiTheme="majorBidi" w:hAnsiTheme="majorBidi" w:cstheme="majorBidi"/>
        </w:rPr>
        <w:t xml:space="preserve">BJS </w:t>
      </w:r>
      <w:r w:rsidRPr="00912246" w:rsidR="00D91DDC">
        <w:rPr>
          <w:rFonts w:asciiTheme="majorBidi" w:hAnsiTheme="majorBidi" w:cstheme="majorBidi"/>
        </w:rPr>
        <w:t xml:space="preserve">and RTI </w:t>
      </w:r>
      <w:r w:rsidRPr="00912246">
        <w:rPr>
          <w:rFonts w:asciiTheme="majorBidi" w:hAnsiTheme="majorBidi" w:cstheme="majorBidi"/>
        </w:rPr>
        <w:t xml:space="preserve">will undertake various </w:t>
      </w:r>
      <w:r w:rsidRPr="00912246" w:rsidR="00D91DDC">
        <w:rPr>
          <w:rFonts w:asciiTheme="majorBidi" w:hAnsiTheme="majorBidi" w:cstheme="majorBidi"/>
        </w:rPr>
        <w:t xml:space="preserve">activities </w:t>
      </w:r>
      <w:r w:rsidRPr="00912246">
        <w:rPr>
          <w:rFonts w:asciiTheme="majorBidi" w:hAnsiTheme="majorBidi" w:cstheme="majorBidi"/>
        </w:rPr>
        <w:t xml:space="preserve">to ensure that high response rates are again achieved for the </w:t>
      </w:r>
      <w:r w:rsidRPr="00912246" w:rsidR="006F4BDC">
        <w:rPr>
          <w:rFonts w:asciiTheme="majorBidi" w:hAnsiTheme="majorBidi" w:cstheme="majorBidi"/>
        </w:rPr>
        <w:t>20</w:t>
      </w:r>
      <w:r w:rsidR="0025461C">
        <w:rPr>
          <w:rFonts w:asciiTheme="majorBidi" w:hAnsiTheme="majorBidi" w:cstheme="majorBidi"/>
        </w:rPr>
        <w:t>23</w:t>
      </w:r>
      <w:r w:rsidRPr="00912246">
        <w:rPr>
          <w:rFonts w:asciiTheme="majorBidi" w:hAnsiTheme="majorBidi" w:cstheme="majorBidi"/>
        </w:rPr>
        <w:t xml:space="preserve"> </w:t>
      </w:r>
      <w:r w:rsidRPr="00912246" w:rsidR="00F45304">
        <w:rPr>
          <w:rFonts w:asciiTheme="majorBidi" w:hAnsiTheme="majorBidi" w:cstheme="majorBidi"/>
        </w:rPr>
        <w:t>CMEC</w:t>
      </w:r>
      <w:r w:rsidRPr="00912246">
        <w:rPr>
          <w:rFonts w:asciiTheme="majorBidi" w:hAnsiTheme="majorBidi" w:cstheme="majorBidi"/>
        </w:rPr>
        <w:t>.</w:t>
      </w:r>
      <w:r w:rsidRPr="00912246">
        <w:rPr>
          <w:rFonts w:asciiTheme="majorBidi" w:hAnsiTheme="majorBidi" w:cstheme="majorBidi"/>
        </w:rPr>
        <w:t xml:space="preserve"> </w:t>
      </w:r>
      <w:r w:rsidRPr="00912246" w:rsidR="00F45304">
        <w:rPr>
          <w:rFonts w:asciiTheme="majorBidi" w:hAnsiTheme="majorBidi" w:cstheme="majorBidi"/>
        </w:rPr>
        <w:t>CMEC</w:t>
      </w:r>
      <w:r w:rsidRPr="00912246" w:rsidR="00D91DDC">
        <w:rPr>
          <w:rFonts w:asciiTheme="majorBidi" w:hAnsiTheme="majorBidi" w:cstheme="majorBidi"/>
        </w:rPr>
        <w:t xml:space="preserve"> will use</w:t>
      </w:r>
      <w:r w:rsidRPr="00912246">
        <w:rPr>
          <w:rFonts w:asciiTheme="majorBidi" w:hAnsiTheme="majorBidi" w:cstheme="majorBidi"/>
        </w:rPr>
        <w:t xml:space="preserve"> a web-based instrument supported by various online help functions to maximize response rates.</w:t>
      </w:r>
      <w:r w:rsidRPr="00912246" w:rsidR="00BA3119">
        <w:rPr>
          <w:rFonts w:asciiTheme="majorBidi" w:hAnsiTheme="majorBidi" w:cstheme="majorBidi"/>
        </w:rPr>
        <w:t xml:space="preserve"> </w:t>
      </w:r>
      <w:r w:rsidRPr="00912246">
        <w:rPr>
          <w:rFonts w:asciiTheme="majorBidi" w:hAnsiTheme="majorBidi" w:cstheme="majorBidi"/>
        </w:rPr>
        <w:t xml:space="preserve">A </w:t>
      </w:r>
      <w:r w:rsidRPr="00912246" w:rsidR="00DA7A77">
        <w:rPr>
          <w:rFonts w:asciiTheme="majorBidi" w:hAnsiTheme="majorBidi" w:cstheme="majorBidi"/>
        </w:rPr>
        <w:t xml:space="preserve">toll-free number </w:t>
      </w:r>
      <w:r w:rsidRPr="00912246">
        <w:rPr>
          <w:rFonts w:asciiTheme="majorBidi" w:hAnsiTheme="majorBidi" w:cstheme="majorBidi"/>
        </w:rPr>
        <w:t xml:space="preserve">will also be </w:t>
      </w:r>
      <w:r w:rsidRPr="00912246" w:rsidR="00DA7A77">
        <w:rPr>
          <w:rFonts w:asciiTheme="majorBidi" w:hAnsiTheme="majorBidi" w:cstheme="majorBidi"/>
        </w:rPr>
        <w:t>provided for</w:t>
      </w:r>
      <w:r w:rsidRPr="00912246">
        <w:rPr>
          <w:rFonts w:asciiTheme="majorBidi" w:hAnsiTheme="majorBidi" w:cstheme="majorBidi"/>
        </w:rPr>
        <w:t xml:space="preserve"> both substantive and technical assistance. </w:t>
      </w:r>
      <w:r w:rsidRPr="00912246" w:rsidR="00DA7A77">
        <w:rPr>
          <w:rFonts w:asciiTheme="majorBidi" w:hAnsiTheme="majorBidi" w:cstheme="majorBidi"/>
        </w:rPr>
        <w:t xml:space="preserve">RTI staff will respond to these requests for assistance. </w:t>
      </w:r>
    </w:p>
    <w:p w:rsidR="003B3F4F" w:rsidRPr="00912246" w:rsidP="009561F8" w14:paraId="3D3811D9" w14:textId="77777777">
      <w:pPr>
        <w:rPr>
          <w:rFonts w:asciiTheme="majorBidi" w:hAnsiTheme="majorBidi" w:cstheme="majorBidi"/>
        </w:rPr>
      </w:pPr>
    </w:p>
    <w:p w:rsidR="00B4474B" w:rsidRPr="00912246" w:rsidP="009561F8" w14:paraId="521D6180" w14:textId="14107C7F">
      <w:pPr>
        <w:rPr>
          <w:rFonts w:asciiTheme="majorBidi" w:hAnsiTheme="majorBidi" w:cstheme="majorBidi"/>
        </w:rPr>
      </w:pPr>
      <w:r w:rsidRPr="00912246">
        <w:rPr>
          <w:rFonts w:asciiTheme="majorBidi" w:hAnsiTheme="majorBidi" w:cstheme="majorBidi"/>
        </w:rPr>
        <w:t xml:space="preserve">The previous </w:t>
      </w:r>
      <w:r w:rsidRPr="00912246" w:rsidR="00F45304">
        <w:rPr>
          <w:rFonts w:asciiTheme="majorBidi" w:hAnsiTheme="majorBidi" w:cstheme="majorBidi"/>
        </w:rPr>
        <w:t>CMEC</w:t>
      </w:r>
      <w:r w:rsidRPr="00912246" w:rsidR="003B3F4F">
        <w:rPr>
          <w:rFonts w:asciiTheme="majorBidi" w:hAnsiTheme="majorBidi" w:cstheme="majorBidi"/>
        </w:rPr>
        <w:t xml:space="preserve"> administration</w:t>
      </w:r>
      <w:r w:rsidR="00D31C04">
        <w:rPr>
          <w:rFonts w:asciiTheme="majorBidi" w:hAnsiTheme="majorBidi" w:cstheme="majorBidi"/>
        </w:rPr>
        <w:t>s</w:t>
      </w:r>
      <w:r w:rsidRPr="00912246" w:rsidR="003B3F4F">
        <w:rPr>
          <w:rFonts w:asciiTheme="majorBidi" w:hAnsiTheme="majorBidi" w:cstheme="majorBidi"/>
        </w:rPr>
        <w:t xml:space="preserve"> have enjoyed widespread support</w:t>
      </w:r>
      <w:r w:rsidRPr="00912246">
        <w:rPr>
          <w:rFonts w:asciiTheme="majorBidi" w:hAnsiTheme="majorBidi" w:cstheme="majorBidi"/>
        </w:rPr>
        <w:t xml:space="preserve"> by the International Association of Coroners and Medical Examiners, which </w:t>
      </w:r>
      <w:r w:rsidR="00697C64">
        <w:rPr>
          <w:rFonts w:asciiTheme="majorBidi" w:hAnsiTheme="majorBidi" w:cstheme="majorBidi"/>
        </w:rPr>
        <w:t>was</w:t>
      </w:r>
      <w:r w:rsidRPr="00912246">
        <w:rPr>
          <w:rFonts w:asciiTheme="majorBidi" w:hAnsiTheme="majorBidi" w:cstheme="majorBidi"/>
        </w:rPr>
        <w:t xml:space="preserve"> enlisted to help with the development of the questionnaire and to encourage individual offices to respond to the survey. T</w:t>
      </w:r>
      <w:r w:rsidRPr="00912246" w:rsidR="003B3F4F">
        <w:rPr>
          <w:rFonts w:asciiTheme="majorBidi" w:hAnsiTheme="majorBidi" w:cstheme="majorBidi"/>
        </w:rPr>
        <w:t>his continues to be</w:t>
      </w:r>
      <w:r w:rsidRPr="32790104" w:rsidR="003B3F4F">
        <w:rPr>
          <w:rFonts w:asciiTheme="majorBidi" w:hAnsiTheme="majorBidi" w:cstheme="majorBidi"/>
        </w:rPr>
        <w:t xml:space="preserve"> </w:t>
      </w:r>
      <w:r w:rsidRPr="32790104" w:rsidR="565DF490">
        <w:rPr>
          <w:rFonts w:asciiTheme="majorBidi" w:hAnsiTheme="majorBidi" w:cstheme="majorBidi"/>
        </w:rPr>
        <w:t>the</w:t>
      </w:r>
      <w:r w:rsidRPr="00912246" w:rsidR="003B3F4F">
        <w:rPr>
          <w:rFonts w:asciiTheme="majorBidi" w:hAnsiTheme="majorBidi" w:cstheme="majorBidi"/>
        </w:rPr>
        <w:t xml:space="preserve"> case for </w:t>
      </w:r>
      <w:r w:rsidR="009670CA">
        <w:rPr>
          <w:rFonts w:asciiTheme="majorBidi" w:hAnsiTheme="majorBidi" w:cstheme="majorBidi"/>
        </w:rPr>
        <w:t>the</w:t>
      </w:r>
      <w:r w:rsidRPr="32790104" w:rsidR="094B2949">
        <w:rPr>
          <w:rFonts w:asciiTheme="majorBidi" w:hAnsiTheme="majorBidi" w:cstheme="majorBidi"/>
        </w:rPr>
        <w:t xml:space="preserve"> </w:t>
      </w:r>
      <w:r w:rsidRPr="32790104" w:rsidR="006F4BDC">
        <w:rPr>
          <w:rFonts w:asciiTheme="majorBidi" w:hAnsiTheme="majorBidi" w:cstheme="majorBidi"/>
        </w:rPr>
        <w:t>20</w:t>
      </w:r>
      <w:r w:rsidRPr="32790104" w:rsidR="0F4DACBB">
        <w:rPr>
          <w:rFonts w:asciiTheme="majorBidi" w:hAnsiTheme="majorBidi" w:cstheme="majorBidi"/>
        </w:rPr>
        <w:t>23</w:t>
      </w:r>
      <w:r w:rsidRPr="00912246" w:rsidR="003B3F4F">
        <w:rPr>
          <w:rFonts w:asciiTheme="majorBidi" w:hAnsiTheme="majorBidi" w:cstheme="majorBidi"/>
        </w:rPr>
        <w:t xml:space="preserve"> </w:t>
      </w:r>
      <w:r w:rsidR="009670CA">
        <w:rPr>
          <w:rFonts w:asciiTheme="majorBidi" w:hAnsiTheme="majorBidi" w:cstheme="majorBidi"/>
        </w:rPr>
        <w:t>CM</w:t>
      </w:r>
      <w:r w:rsidRPr="002E51C0" w:rsidR="009670CA">
        <w:rPr>
          <w:rFonts w:asciiTheme="majorBidi" w:hAnsiTheme="majorBidi" w:cstheme="majorBidi"/>
        </w:rPr>
        <w:t>EC</w:t>
      </w:r>
      <w:r w:rsidRPr="002E51C0" w:rsidR="00D5685E">
        <w:rPr>
          <w:rFonts w:asciiTheme="majorBidi" w:hAnsiTheme="majorBidi" w:cstheme="majorBidi"/>
        </w:rPr>
        <w:t xml:space="preserve"> (</w:t>
      </w:r>
      <w:r w:rsidRPr="002E51C0" w:rsidR="002E7841">
        <w:rPr>
          <w:b/>
          <w:bCs/>
        </w:rPr>
        <w:t xml:space="preserve">Attachment </w:t>
      </w:r>
      <w:r w:rsidRPr="002E51C0" w:rsidR="00A46948">
        <w:rPr>
          <w:b/>
          <w:bCs/>
        </w:rPr>
        <w:t>7</w:t>
      </w:r>
      <w:r w:rsidRPr="002E51C0" w:rsidR="00D5685E">
        <w:rPr>
          <w:rFonts w:asciiTheme="majorBidi" w:hAnsiTheme="majorBidi" w:cstheme="majorBidi"/>
        </w:rPr>
        <w:t>)</w:t>
      </w:r>
      <w:r w:rsidRPr="002E51C0" w:rsidR="003B3F4F">
        <w:rPr>
          <w:rFonts w:asciiTheme="majorBidi" w:hAnsiTheme="majorBidi" w:cstheme="majorBidi"/>
        </w:rPr>
        <w:t>.</w:t>
      </w:r>
      <w:r w:rsidRPr="00912246" w:rsidR="003B3F4F">
        <w:rPr>
          <w:rFonts w:asciiTheme="majorBidi" w:hAnsiTheme="majorBidi" w:cstheme="majorBidi"/>
        </w:rPr>
        <w:t xml:space="preserve"> </w:t>
      </w:r>
      <w:r w:rsidR="006D3C3E">
        <w:t xml:space="preserve">The </w:t>
      </w:r>
      <w:r w:rsidRPr="008F6BB5" w:rsidR="008F6BB5">
        <w:t>National Association of Medical Examiners</w:t>
      </w:r>
      <w:r w:rsidR="008F6BB5">
        <w:t xml:space="preserve">, </w:t>
      </w:r>
      <w:r w:rsidRPr="000E3408" w:rsidR="000E3408">
        <w:t>American Board of Medicolegal Death Investigators</w:t>
      </w:r>
      <w:r w:rsidR="000E3408">
        <w:t xml:space="preserve">, </w:t>
      </w:r>
      <w:r w:rsidR="006D3C3E">
        <w:t>National Sheriffs’ Association</w:t>
      </w:r>
      <w:r w:rsidR="000E3408">
        <w:t>,</w:t>
      </w:r>
      <w:r w:rsidR="006D3C3E">
        <w:t xml:space="preserve"> and the Society of Medicolegal Death Investigators have also endorsed the 2023 CMEC. </w:t>
      </w:r>
    </w:p>
    <w:p w:rsidR="00B4474B" w:rsidRPr="00912246" w:rsidP="009561F8" w14:paraId="415E37F9" w14:textId="77777777">
      <w:pPr>
        <w:rPr>
          <w:rFonts w:asciiTheme="majorBidi" w:hAnsiTheme="majorBidi" w:cstheme="majorBidi"/>
        </w:rPr>
      </w:pPr>
    </w:p>
    <w:p w:rsidR="003B3F4F" w:rsidRPr="00912246" w:rsidP="009561F8" w14:paraId="5CD18404" w14:textId="3CEBC43A">
      <w:pPr>
        <w:rPr>
          <w:rFonts w:asciiTheme="majorBidi" w:hAnsiTheme="majorBidi" w:cstheme="majorBidi"/>
        </w:rPr>
      </w:pPr>
      <w:r w:rsidRPr="00912246">
        <w:rPr>
          <w:rFonts w:asciiTheme="majorBidi" w:hAnsiTheme="majorBidi" w:cstheme="majorBidi"/>
        </w:rPr>
        <w:t xml:space="preserve">The survey instrument was reviewed to ensure </w:t>
      </w:r>
      <w:r w:rsidR="006C2B20">
        <w:rPr>
          <w:rFonts w:asciiTheme="majorBidi" w:hAnsiTheme="majorBidi" w:cstheme="majorBidi"/>
        </w:rPr>
        <w:t>that it captured</w:t>
      </w:r>
      <w:r w:rsidRPr="00912246" w:rsidR="006C2B20">
        <w:rPr>
          <w:rFonts w:asciiTheme="majorBidi" w:hAnsiTheme="majorBidi" w:cstheme="majorBidi"/>
        </w:rPr>
        <w:t xml:space="preserve"> </w:t>
      </w:r>
      <w:r w:rsidRPr="00912246">
        <w:rPr>
          <w:rFonts w:asciiTheme="majorBidi" w:hAnsiTheme="majorBidi" w:cstheme="majorBidi"/>
        </w:rPr>
        <w:t xml:space="preserve">the most </w:t>
      </w:r>
      <w:r w:rsidRPr="00912246" w:rsidR="00E1762C">
        <w:rPr>
          <w:rFonts w:asciiTheme="majorBidi" w:hAnsiTheme="majorBidi" w:cstheme="majorBidi"/>
        </w:rPr>
        <w:t>relevant</w:t>
      </w:r>
      <w:r w:rsidRPr="00912246">
        <w:rPr>
          <w:rFonts w:asciiTheme="majorBidi" w:hAnsiTheme="majorBidi" w:cstheme="majorBidi"/>
        </w:rPr>
        <w:t xml:space="preserve"> information, removing any unnecessary questions to reduce burden. </w:t>
      </w:r>
      <w:r w:rsidRPr="00912246" w:rsidR="00E5337D">
        <w:rPr>
          <w:rFonts w:asciiTheme="majorBidi" w:hAnsiTheme="majorBidi" w:cstheme="majorBidi"/>
        </w:rPr>
        <w:t xml:space="preserve">An item-level </w:t>
      </w:r>
      <w:r w:rsidR="00CF3C84">
        <w:rPr>
          <w:rFonts w:asciiTheme="majorBidi" w:hAnsiTheme="majorBidi" w:cstheme="majorBidi"/>
        </w:rPr>
        <w:t>assessment</w:t>
      </w:r>
      <w:r w:rsidRPr="00912246" w:rsidR="00E5337D">
        <w:rPr>
          <w:rFonts w:asciiTheme="majorBidi" w:hAnsiTheme="majorBidi" w:cstheme="majorBidi"/>
        </w:rPr>
        <w:t xml:space="preserve"> of the 20</w:t>
      </w:r>
      <w:r w:rsidR="00355ECD">
        <w:rPr>
          <w:rFonts w:asciiTheme="majorBidi" w:hAnsiTheme="majorBidi" w:cstheme="majorBidi"/>
        </w:rPr>
        <w:t>18</w:t>
      </w:r>
      <w:r w:rsidRPr="00912246" w:rsidR="00E5337D">
        <w:rPr>
          <w:rFonts w:asciiTheme="majorBidi" w:hAnsiTheme="majorBidi" w:cstheme="majorBidi"/>
        </w:rPr>
        <w:t xml:space="preserve"> </w:t>
      </w:r>
      <w:r w:rsidR="00CF3C84">
        <w:rPr>
          <w:rFonts w:asciiTheme="majorBidi" w:hAnsiTheme="majorBidi" w:cstheme="majorBidi"/>
        </w:rPr>
        <w:t>CMEC</w:t>
      </w:r>
      <w:r w:rsidRPr="00912246" w:rsidR="00E5337D">
        <w:rPr>
          <w:rFonts w:asciiTheme="majorBidi" w:hAnsiTheme="majorBidi" w:cstheme="majorBidi"/>
        </w:rPr>
        <w:t xml:space="preserve"> was </w:t>
      </w:r>
      <w:r w:rsidR="00CF3C84">
        <w:rPr>
          <w:rFonts w:asciiTheme="majorBidi" w:hAnsiTheme="majorBidi" w:cstheme="majorBidi"/>
        </w:rPr>
        <w:t>conducted</w:t>
      </w:r>
      <w:r w:rsidRPr="00912246" w:rsidR="00E5337D">
        <w:rPr>
          <w:rFonts w:asciiTheme="majorBidi" w:hAnsiTheme="majorBidi" w:cstheme="majorBidi"/>
        </w:rPr>
        <w:t xml:space="preserve"> to look for patterns of non-response. Items with lower response rates were dropped</w:t>
      </w:r>
      <w:r w:rsidRPr="00912246">
        <w:rPr>
          <w:rFonts w:asciiTheme="majorBidi" w:hAnsiTheme="majorBidi" w:cstheme="majorBidi"/>
        </w:rPr>
        <w:t>. In addition, the questionnaire was reviewed for ease of use, flow, and additional survey methodology best practices to ensure ease in administration</w:t>
      </w:r>
      <w:r w:rsidRPr="00912246" w:rsidR="00E5337D">
        <w:rPr>
          <w:rFonts w:asciiTheme="majorBidi" w:hAnsiTheme="majorBidi" w:cstheme="majorBidi"/>
        </w:rPr>
        <w:t xml:space="preserve"> by expert panel reviewers and by BJS and RTI</w:t>
      </w:r>
      <w:r w:rsidRPr="00912246">
        <w:rPr>
          <w:rFonts w:asciiTheme="majorBidi" w:hAnsiTheme="majorBidi" w:cstheme="majorBidi"/>
        </w:rPr>
        <w:t xml:space="preserve">. </w:t>
      </w:r>
    </w:p>
    <w:p w:rsidR="00634474" w:rsidRPr="00912246" w:rsidP="009561F8" w14:paraId="6CC26ABD" w14:textId="77777777">
      <w:pPr>
        <w:rPr>
          <w:rFonts w:asciiTheme="majorBidi" w:hAnsiTheme="majorBidi" w:cstheme="majorBidi"/>
        </w:rPr>
      </w:pPr>
    </w:p>
    <w:p w:rsidR="00421095" w:rsidRPr="00912246" w:rsidP="009561F8" w14:paraId="15334178" w14:textId="255621C4">
      <w:pPr>
        <w:rPr>
          <w:rFonts w:asciiTheme="majorBidi" w:hAnsiTheme="majorBidi" w:cstheme="majorBidi"/>
        </w:rPr>
      </w:pPr>
      <w:bookmarkStart w:id="2" w:name="_Hlk529197776"/>
      <w:r w:rsidRPr="00912246">
        <w:rPr>
          <w:rFonts w:asciiTheme="majorBidi" w:hAnsiTheme="majorBidi" w:cstheme="majorBidi"/>
        </w:rPr>
        <w:t>T</w:t>
      </w:r>
      <w:r w:rsidRPr="00912246">
        <w:rPr>
          <w:rFonts w:asciiTheme="majorBidi" w:hAnsiTheme="majorBidi" w:cstheme="majorBidi"/>
        </w:rPr>
        <w:t>o promote 100% item completion</w:t>
      </w:r>
      <w:r w:rsidRPr="00912246">
        <w:rPr>
          <w:rFonts w:asciiTheme="majorBidi" w:hAnsiTheme="majorBidi" w:cstheme="majorBidi"/>
        </w:rPr>
        <w:t xml:space="preserve"> by respondents</w:t>
      </w:r>
      <w:r w:rsidRPr="00912246">
        <w:rPr>
          <w:rFonts w:asciiTheme="majorBidi" w:hAnsiTheme="majorBidi" w:cstheme="majorBidi"/>
        </w:rPr>
        <w:t xml:space="preserve">, </w:t>
      </w:r>
      <w:r w:rsidRPr="00912246" w:rsidR="008E488A">
        <w:rPr>
          <w:rFonts w:asciiTheme="majorBidi" w:hAnsiTheme="majorBidi" w:cstheme="majorBidi"/>
        </w:rPr>
        <w:t>RTI</w:t>
      </w:r>
      <w:r w:rsidRPr="00912246" w:rsidR="00B948CD">
        <w:rPr>
          <w:rFonts w:asciiTheme="majorBidi" w:hAnsiTheme="majorBidi" w:cstheme="majorBidi"/>
        </w:rPr>
        <w:t xml:space="preserve"> will</w:t>
      </w:r>
      <w:r w:rsidRPr="00912246">
        <w:rPr>
          <w:rFonts w:asciiTheme="majorBidi" w:hAnsiTheme="majorBidi" w:cstheme="majorBidi"/>
        </w:rPr>
        <w:t xml:space="preserve"> monitor item response</w:t>
      </w:r>
      <w:r w:rsidRPr="00912246">
        <w:rPr>
          <w:rFonts w:asciiTheme="majorBidi" w:hAnsiTheme="majorBidi" w:cstheme="majorBidi"/>
        </w:rPr>
        <w:t xml:space="preserve"> rate</w:t>
      </w:r>
      <w:r w:rsidRPr="00912246">
        <w:rPr>
          <w:rFonts w:asciiTheme="majorBidi" w:hAnsiTheme="majorBidi" w:cstheme="majorBidi"/>
        </w:rPr>
        <w:t xml:space="preserve">s </w:t>
      </w:r>
      <w:r w:rsidRPr="00912246">
        <w:rPr>
          <w:rFonts w:asciiTheme="majorBidi" w:hAnsiTheme="majorBidi" w:cstheme="majorBidi"/>
        </w:rPr>
        <w:t>as surveys are submitted</w:t>
      </w:r>
      <w:r w:rsidRPr="00912246">
        <w:rPr>
          <w:rFonts w:asciiTheme="majorBidi" w:hAnsiTheme="majorBidi" w:cstheme="majorBidi"/>
        </w:rPr>
        <w:t>.</w:t>
      </w:r>
      <w:r w:rsidRPr="00912246" w:rsidR="008E488A">
        <w:rPr>
          <w:rFonts w:asciiTheme="majorBidi" w:hAnsiTheme="majorBidi" w:cstheme="majorBidi"/>
        </w:rPr>
        <w:t xml:space="preserve"> RTI</w:t>
      </w:r>
      <w:r w:rsidRPr="00912246">
        <w:rPr>
          <w:rFonts w:asciiTheme="majorBidi" w:hAnsiTheme="majorBidi" w:cstheme="majorBidi"/>
        </w:rPr>
        <w:t xml:space="preserve"> will have a </w:t>
      </w:r>
      <w:r w:rsidRPr="00912246">
        <w:rPr>
          <w:rFonts w:asciiTheme="majorBidi" w:hAnsiTheme="majorBidi" w:cstheme="majorBidi"/>
        </w:rPr>
        <w:t xml:space="preserve">survey </w:t>
      </w:r>
      <w:r w:rsidRPr="00912246">
        <w:rPr>
          <w:rFonts w:asciiTheme="majorBidi" w:hAnsiTheme="majorBidi" w:cstheme="majorBidi"/>
        </w:rPr>
        <w:t xml:space="preserve">management system linked to the web-based </w:t>
      </w:r>
      <w:r w:rsidRPr="00912246">
        <w:rPr>
          <w:rFonts w:asciiTheme="majorBidi" w:hAnsiTheme="majorBidi" w:cstheme="majorBidi"/>
        </w:rPr>
        <w:t>application</w:t>
      </w:r>
      <w:r w:rsidRPr="00912246">
        <w:rPr>
          <w:rFonts w:asciiTheme="majorBidi" w:hAnsiTheme="majorBidi" w:cstheme="majorBidi"/>
        </w:rPr>
        <w:t xml:space="preserve"> that will flag </w:t>
      </w:r>
      <w:r w:rsidRPr="00912246">
        <w:rPr>
          <w:rFonts w:asciiTheme="majorBidi" w:hAnsiTheme="majorBidi" w:cstheme="majorBidi"/>
        </w:rPr>
        <w:t>missing</w:t>
      </w:r>
      <w:r w:rsidRPr="00912246">
        <w:rPr>
          <w:rFonts w:asciiTheme="majorBidi" w:hAnsiTheme="majorBidi" w:cstheme="majorBidi"/>
        </w:rPr>
        <w:t xml:space="preserve"> items and invalid responses.</w:t>
      </w:r>
      <w:r w:rsidRPr="00912246" w:rsidR="00F6199F">
        <w:rPr>
          <w:rFonts w:asciiTheme="majorBidi" w:hAnsiTheme="majorBidi" w:cstheme="majorBidi"/>
        </w:rPr>
        <w:t xml:space="preserve"> </w:t>
      </w:r>
      <w:r w:rsidRPr="00912246" w:rsidR="008E488A">
        <w:rPr>
          <w:rFonts w:asciiTheme="majorBidi" w:hAnsiTheme="majorBidi" w:cstheme="majorBidi"/>
        </w:rPr>
        <w:t>RTI</w:t>
      </w:r>
      <w:r w:rsidRPr="00912246" w:rsidR="00A10D6D">
        <w:rPr>
          <w:rFonts w:asciiTheme="majorBidi" w:hAnsiTheme="majorBidi" w:cstheme="majorBidi"/>
        </w:rPr>
        <w:t xml:space="preserve"> </w:t>
      </w:r>
      <w:r w:rsidRPr="00912246">
        <w:rPr>
          <w:rFonts w:asciiTheme="majorBidi" w:hAnsiTheme="majorBidi" w:cstheme="majorBidi"/>
        </w:rPr>
        <w:t xml:space="preserve">will also flag </w:t>
      </w:r>
      <w:r w:rsidRPr="00912246">
        <w:rPr>
          <w:rFonts w:asciiTheme="majorBidi" w:hAnsiTheme="majorBidi" w:cstheme="majorBidi"/>
        </w:rPr>
        <w:t>missing items</w:t>
      </w:r>
      <w:r w:rsidRPr="00912246">
        <w:rPr>
          <w:rFonts w:asciiTheme="majorBidi" w:hAnsiTheme="majorBidi" w:cstheme="majorBidi"/>
        </w:rPr>
        <w:t xml:space="preserve"> on hard copy submissions on a </w:t>
      </w:r>
      <w:r w:rsidRPr="00912246">
        <w:rPr>
          <w:rFonts w:asciiTheme="majorBidi" w:hAnsiTheme="majorBidi" w:cstheme="majorBidi"/>
        </w:rPr>
        <w:t xml:space="preserve">flow </w:t>
      </w:r>
      <w:r w:rsidRPr="00912246">
        <w:rPr>
          <w:rFonts w:asciiTheme="majorBidi" w:hAnsiTheme="majorBidi" w:cstheme="majorBidi"/>
        </w:rPr>
        <w:t>basis.</w:t>
      </w:r>
      <w:r w:rsidRPr="00912246" w:rsidR="00BA3119">
        <w:rPr>
          <w:rFonts w:asciiTheme="majorBidi" w:hAnsiTheme="majorBidi" w:cstheme="majorBidi"/>
        </w:rPr>
        <w:t xml:space="preserve"> </w:t>
      </w:r>
      <w:r w:rsidRPr="00912246">
        <w:rPr>
          <w:rFonts w:asciiTheme="majorBidi" w:hAnsiTheme="majorBidi" w:cstheme="majorBidi"/>
        </w:rPr>
        <w:t xml:space="preserve">The data collection manager will oversee phone </w:t>
      </w:r>
      <w:r w:rsidRPr="00912246">
        <w:rPr>
          <w:rFonts w:asciiTheme="majorBidi" w:hAnsiTheme="majorBidi" w:cstheme="majorBidi"/>
        </w:rPr>
        <w:t>and</w:t>
      </w:r>
      <w:r w:rsidRPr="00912246">
        <w:rPr>
          <w:rFonts w:asciiTheme="majorBidi" w:hAnsiTheme="majorBidi" w:cstheme="majorBidi"/>
        </w:rPr>
        <w:t xml:space="preserve"> email </w:t>
      </w:r>
      <w:r w:rsidRPr="00912246">
        <w:rPr>
          <w:rFonts w:asciiTheme="majorBidi" w:hAnsiTheme="majorBidi" w:cstheme="majorBidi"/>
        </w:rPr>
        <w:t>outreach to</w:t>
      </w:r>
      <w:r w:rsidRPr="00912246">
        <w:rPr>
          <w:rFonts w:asciiTheme="majorBidi" w:hAnsiTheme="majorBidi" w:cstheme="majorBidi"/>
        </w:rPr>
        <w:t xml:space="preserve"> respondents to clarify missing or invalid responses and to take corrective action. </w:t>
      </w:r>
      <w:r w:rsidRPr="00912246">
        <w:rPr>
          <w:rFonts w:asciiTheme="majorBidi" w:hAnsiTheme="majorBidi" w:cstheme="majorBidi"/>
        </w:rPr>
        <w:t>C</w:t>
      </w:r>
      <w:r w:rsidRPr="00912246">
        <w:rPr>
          <w:rFonts w:asciiTheme="majorBidi" w:hAnsiTheme="majorBidi" w:cstheme="majorBidi"/>
        </w:rPr>
        <w:t xml:space="preserve">hanges </w:t>
      </w:r>
      <w:r w:rsidRPr="00912246">
        <w:rPr>
          <w:rFonts w:asciiTheme="majorBidi" w:hAnsiTheme="majorBidi" w:cstheme="majorBidi"/>
        </w:rPr>
        <w:t xml:space="preserve">to survey responses obtained through this follow-up effort </w:t>
      </w:r>
      <w:r w:rsidRPr="00912246">
        <w:rPr>
          <w:rFonts w:asciiTheme="majorBidi" w:hAnsiTheme="majorBidi" w:cstheme="majorBidi"/>
        </w:rPr>
        <w:t>will be tracke</w:t>
      </w:r>
      <w:r w:rsidRPr="00912246" w:rsidR="00F6199F">
        <w:rPr>
          <w:rFonts w:asciiTheme="majorBidi" w:hAnsiTheme="majorBidi" w:cstheme="majorBidi"/>
        </w:rPr>
        <w:t>d</w:t>
      </w:r>
      <w:r w:rsidRPr="00912246" w:rsidR="009561F8">
        <w:rPr>
          <w:rFonts w:asciiTheme="majorBidi" w:hAnsiTheme="majorBidi" w:cstheme="majorBidi"/>
        </w:rPr>
        <w:t xml:space="preserve"> and entered in the data collection database. </w:t>
      </w:r>
    </w:p>
    <w:bookmarkEnd w:id="2"/>
    <w:p w:rsidR="00924F9A" w:rsidRPr="00912246" w:rsidP="009561F8" w14:paraId="4B67D9D2" w14:textId="56D65A7C">
      <w:pPr>
        <w:rPr>
          <w:rFonts w:asciiTheme="majorBidi" w:hAnsiTheme="majorBidi" w:cstheme="majorBidi"/>
        </w:rPr>
      </w:pPr>
    </w:p>
    <w:p w:rsidR="008A7CB7" w:rsidP="009561F8" w14:paraId="62AD7645" w14:textId="36381B37">
      <w:pPr>
        <w:rPr>
          <w:rFonts w:asciiTheme="majorBidi" w:hAnsiTheme="majorBidi" w:cstheme="majorBidi"/>
        </w:rPr>
      </w:pPr>
      <w:r w:rsidRPr="001B31D2">
        <w:rPr>
          <w:i/>
          <w:iCs/>
        </w:rPr>
        <w:t>Adjusting for Nonresponse</w:t>
      </w:r>
      <w:r w:rsidRPr="001B31D2">
        <w:t>. With any survey, it is typically the case that some of the units, in this case MEC</w:t>
      </w:r>
      <w:r>
        <w:t xml:space="preserve"> office</w:t>
      </w:r>
      <w:r w:rsidRPr="001B31D2">
        <w:t xml:space="preserve">s, will not respond to the survey request (i.e., unit nonresponse) and some will not respond to </w:t>
      </w:r>
      <w:r w:rsidRPr="001B31D2">
        <w:t>particular questions</w:t>
      </w:r>
      <w:r w:rsidRPr="001B31D2">
        <w:t xml:space="preserve"> (i.e., item nonresponse). </w:t>
      </w:r>
      <w:r w:rsidRPr="00912246">
        <w:rPr>
          <w:rFonts w:asciiTheme="majorBidi" w:hAnsiTheme="majorBidi" w:cstheme="majorBidi"/>
        </w:rPr>
        <w:t>Data will be checked as it is collected for completeness and logical consistency of responses. Imputation procedures</w:t>
      </w:r>
      <w:r w:rsidR="0070602A">
        <w:rPr>
          <w:rFonts w:asciiTheme="majorBidi" w:hAnsiTheme="majorBidi" w:cstheme="majorBidi"/>
        </w:rPr>
        <w:t>, such as random hot deck imputation,</w:t>
      </w:r>
      <w:r w:rsidRPr="00912246">
        <w:rPr>
          <w:rFonts w:asciiTheme="majorBidi" w:hAnsiTheme="majorBidi" w:cstheme="majorBidi"/>
        </w:rPr>
        <w:t xml:space="preserve"> will be used to address issues of item non-response. </w:t>
      </w:r>
    </w:p>
    <w:p w:rsidR="008A7CB7" w:rsidP="009561F8" w14:paraId="1F045644" w14:textId="77777777">
      <w:pPr>
        <w:rPr>
          <w:rFonts w:asciiTheme="majorBidi" w:hAnsiTheme="majorBidi" w:cstheme="majorBidi"/>
        </w:rPr>
      </w:pPr>
    </w:p>
    <w:p w:rsidR="00924F9A" w:rsidRPr="001B31D2" w:rsidP="009561F8" w14:paraId="785A29B9" w14:textId="7E9F477C">
      <w:pPr>
        <w:rPr>
          <w:rFonts w:asciiTheme="majorBidi" w:hAnsiTheme="majorBidi" w:cstheme="majorBidi"/>
        </w:rPr>
      </w:pPr>
      <w:r w:rsidRPr="00912246">
        <w:rPr>
          <w:rFonts w:asciiTheme="majorBidi" w:hAnsiTheme="majorBidi" w:cstheme="majorBidi"/>
        </w:rPr>
        <w:t xml:space="preserve">As the </w:t>
      </w:r>
      <w:r w:rsidRPr="32790104">
        <w:rPr>
          <w:rFonts w:asciiTheme="majorBidi" w:hAnsiTheme="majorBidi" w:cstheme="majorBidi"/>
        </w:rPr>
        <w:t>20</w:t>
      </w:r>
      <w:r w:rsidRPr="32790104" w:rsidR="11DECECE">
        <w:rPr>
          <w:rFonts w:asciiTheme="majorBidi" w:hAnsiTheme="majorBidi" w:cstheme="majorBidi"/>
        </w:rPr>
        <w:t>23</w:t>
      </w:r>
      <w:r w:rsidRPr="00912246">
        <w:rPr>
          <w:rFonts w:asciiTheme="majorBidi" w:hAnsiTheme="majorBidi" w:cstheme="majorBidi"/>
        </w:rPr>
        <w:t xml:space="preserve"> CMEC is planned to be a complete census of coroners and medical examiners, sampling weights </w:t>
      </w:r>
      <w:r w:rsidR="008A7CB7">
        <w:rPr>
          <w:rFonts w:asciiTheme="majorBidi" w:hAnsiTheme="majorBidi" w:cstheme="majorBidi"/>
        </w:rPr>
        <w:t>should</w:t>
      </w:r>
      <w:r w:rsidRPr="00912246" w:rsidR="008A7CB7">
        <w:rPr>
          <w:rFonts w:asciiTheme="majorBidi" w:hAnsiTheme="majorBidi" w:cstheme="majorBidi"/>
        </w:rPr>
        <w:t xml:space="preserve"> </w:t>
      </w:r>
      <w:r w:rsidRPr="00912246">
        <w:rPr>
          <w:rFonts w:asciiTheme="majorBidi" w:hAnsiTheme="majorBidi" w:cstheme="majorBidi"/>
        </w:rPr>
        <w:t xml:space="preserve">not </w:t>
      </w:r>
      <w:r w:rsidR="008A7CB7">
        <w:rPr>
          <w:rFonts w:asciiTheme="majorBidi" w:hAnsiTheme="majorBidi" w:cstheme="majorBidi"/>
        </w:rPr>
        <w:t xml:space="preserve">be </w:t>
      </w:r>
      <w:r w:rsidRPr="001B31D2">
        <w:rPr>
          <w:rFonts w:asciiTheme="majorBidi" w:hAnsiTheme="majorBidi" w:cstheme="majorBidi"/>
        </w:rPr>
        <w:t xml:space="preserve">necessary. However, in the event </w:t>
      </w:r>
      <w:r w:rsidR="008A7CB7">
        <w:rPr>
          <w:rFonts w:asciiTheme="majorBidi" w:hAnsiTheme="majorBidi" w:cstheme="majorBidi"/>
        </w:rPr>
        <w:t xml:space="preserve">unit </w:t>
      </w:r>
      <w:r w:rsidRPr="001B31D2">
        <w:rPr>
          <w:rFonts w:asciiTheme="majorBidi" w:hAnsiTheme="majorBidi" w:cstheme="majorBidi"/>
        </w:rPr>
        <w:t xml:space="preserve">response rates are lower than anticipated, some weighting of the data may be required. The extent will depend on response rates within sub-groups of the respondent pool. Initially, </w:t>
      </w:r>
      <w:r w:rsidRPr="001B31D2" w:rsidR="00525D9F">
        <w:rPr>
          <w:rFonts w:asciiTheme="majorBidi" w:hAnsiTheme="majorBidi" w:cstheme="majorBidi"/>
        </w:rPr>
        <w:t>response rates</w:t>
      </w:r>
      <w:r w:rsidRPr="001B31D2">
        <w:rPr>
          <w:rFonts w:asciiTheme="majorBidi" w:hAnsiTheme="majorBidi" w:cstheme="majorBidi"/>
        </w:rPr>
        <w:t xml:space="preserve"> within jurisdiction size</w:t>
      </w:r>
      <w:r w:rsidRPr="001B31D2" w:rsidR="00525D9F">
        <w:rPr>
          <w:rFonts w:asciiTheme="majorBidi" w:hAnsiTheme="majorBidi" w:cstheme="majorBidi"/>
        </w:rPr>
        <w:t xml:space="preserve"> grouping</w:t>
      </w:r>
      <w:r w:rsidRPr="001B31D2">
        <w:rPr>
          <w:rFonts w:asciiTheme="majorBidi" w:hAnsiTheme="majorBidi" w:cstheme="majorBidi"/>
        </w:rPr>
        <w:t xml:space="preserve">, region of the country and coroner/medical examiner type will be </w:t>
      </w:r>
      <w:r w:rsidRPr="001B31D2" w:rsidR="00525D9F">
        <w:rPr>
          <w:rFonts w:asciiTheme="majorBidi" w:hAnsiTheme="majorBidi" w:cstheme="majorBidi"/>
        </w:rPr>
        <w:t>reviewed to determine if a weighting adjustment is necessary.</w:t>
      </w:r>
    </w:p>
    <w:p w:rsidR="007F4A6B" w:rsidRPr="001B31D2" w:rsidP="009561F8" w14:paraId="2E2641F0" w14:textId="77777777">
      <w:pPr>
        <w:rPr>
          <w:rFonts w:asciiTheme="majorBidi" w:hAnsiTheme="majorBidi" w:cstheme="majorBidi"/>
        </w:rPr>
      </w:pPr>
    </w:p>
    <w:p w:rsidR="007F4A6B" w:rsidRPr="007F4A6B" w:rsidP="009561F8" w14:paraId="318B6E99" w14:textId="05C58B4D">
      <w:pPr>
        <w:rPr>
          <w:rFonts w:asciiTheme="majorBidi" w:hAnsiTheme="majorBidi" w:cstheme="majorBidi"/>
          <w:color w:val="FF0000"/>
        </w:rPr>
      </w:pPr>
      <w:r w:rsidRPr="001B31D2">
        <w:t>Based on previous administrations</w:t>
      </w:r>
      <w:r w:rsidRPr="001B31D2">
        <w:t>, an overall response rate of</w:t>
      </w:r>
      <w:r w:rsidRPr="001B31D2">
        <w:t xml:space="preserve"> at least</w:t>
      </w:r>
      <w:r w:rsidRPr="001B31D2">
        <w:t xml:space="preserve"> 81% is expected. To ensure that nonresponding </w:t>
      </w:r>
      <w:r w:rsidRPr="001B31D2">
        <w:t>MEC</w:t>
      </w:r>
      <w:r w:rsidR="000576EE">
        <w:t xml:space="preserve"> office</w:t>
      </w:r>
      <w:r w:rsidRPr="001B31D2">
        <w:t>s</w:t>
      </w:r>
      <w:r w:rsidRPr="001B31D2">
        <w:t xml:space="preserve"> are not fundamentally different than those that </w:t>
      </w:r>
      <w:r w:rsidRPr="001B31D2">
        <w:t xml:space="preserve">participate, a nonresponse bias analysis will be conducted if the agency-level response rate obtained in the 2023 </w:t>
      </w:r>
      <w:r w:rsidRPr="001B31D2">
        <w:t>CMEC</w:t>
      </w:r>
      <w:r w:rsidRPr="001B31D2">
        <w:t xml:space="preserve"> survey falls below 8</w:t>
      </w:r>
      <w:r w:rsidR="00EA0990">
        <w:t>5</w:t>
      </w:r>
      <w:r w:rsidRPr="001B31D2">
        <w:t>%. Administrative data on agency type, size, census region or division, and population served will be used in the nonresponse bias analysis</w:t>
      </w:r>
      <w:r w:rsidRPr="001B31D2" w:rsidR="720F0179">
        <w:t xml:space="preserve"> as weighting classes</w:t>
      </w:r>
      <w:r w:rsidRPr="001B31D2" w:rsidR="38BC49FE">
        <w:t>.</w:t>
      </w:r>
      <w:r w:rsidRPr="001B31D2">
        <w:t xml:space="preserve"> For each agency characteristic, RTI will compare the distribution of respondents to nonrespondents. </w:t>
      </w:r>
      <w:r w:rsidRPr="001B31D2" w:rsidR="4C4DD689">
        <w:t xml:space="preserve">Weights </w:t>
      </w:r>
      <w:r w:rsidRPr="001B31D2" w:rsidR="20F01725">
        <w:t xml:space="preserve">will be calculated </w:t>
      </w:r>
      <w:r w:rsidRPr="001B31D2" w:rsidR="5F81DB40">
        <w:t>such that the</w:t>
      </w:r>
      <w:r w:rsidRPr="001B31D2" w:rsidR="4442C4A4">
        <w:t xml:space="preserve"> weights</w:t>
      </w:r>
      <w:r w:rsidRPr="001B31D2" w:rsidR="25B75D3B">
        <w:t xml:space="preserve"> </w:t>
      </w:r>
      <w:r w:rsidRPr="001B31D2" w:rsidR="4442C4A4">
        <w:t xml:space="preserve">sum to the frame population totals within each </w:t>
      </w:r>
      <w:r w:rsidRPr="001B31D2" w:rsidR="7CA9A6B2">
        <w:t>weighting class</w:t>
      </w:r>
      <w:r w:rsidRPr="001B31D2" w:rsidR="4442C4A4">
        <w:t>.</w:t>
      </w:r>
      <w:r w:rsidRPr="001B31D2" w:rsidR="20F01725">
        <w:t xml:space="preserve"> </w:t>
      </w:r>
      <w:r w:rsidRPr="001B31D2" w:rsidR="3288E2F3">
        <w:t>B</w:t>
      </w:r>
      <w:r w:rsidR="3288E2F3">
        <w:t>ecause this is a census, design weights are effectively “1” and every office in the frame is eligible to participate in the census. Thus, the nonresponse adjustment weight will simplify to the inverse proportion of nonrespondents to respondents for every responding office in the weighting class.</w:t>
      </w:r>
      <w:r w:rsidRPr="001B31D2" w:rsidR="38BC49FE">
        <w:t xml:space="preserve"> </w:t>
      </w:r>
      <w:r w:rsidRPr="001B31D2">
        <w:t xml:space="preserve"> </w:t>
      </w:r>
      <w:r w:rsidRPr="007F4A6B">
        <w:rPr>
          <w:color w:val="FF0000"/>
        </w:rPr>
        <w:br/>
      </w:r>
    </w:p>
    <w:p w:rsidR="0081338B" w:rsidRPr="00596C3F" w:rsidP="0081338B" w14:paraId="0DD5BE25" w14:textId="77777777">
      <w:pPr>
        <w:pStyle w:val="ListParagraph"/>
        <w:numPr>
          <w:ilvl w:val="0"/>
          <w:numId w:val="5"/>
        </w:numPr>
        <w:ind w:left="360"/>
        <w:rPr>
          <w:b/>
          <w:bCs/>
          <w:u w:val="single"/>
        </w:rPr>
      </w:pPr>
      <w:r w:rsidRPr="741403E9">
        <w:rPr>
          <w:b/>
          <w:bCs/>
          <w:u w:val="single"/>
        </w:rPr>
        <w:t>Final Testing of Procedures</w:t>
      </w:r>
      <w:r w:rsidRPr="741403E9">
        <w:rPr>
          <w:b/>
          <w:bCs/>
        </w:rPr>
        <w:t xml:space="preserve"> </w:t>
      </w:r>
    </w:p>
    <w:p w:rsidR="00421095" w:rsidRPr="00912246" w:rsidP="009561F8" w14:paraId="4DB9E5E1" w14:textId="77777777">
      <w:pPr>
        <w:pStyle w:val="ListParagraph"/>
        <w:ind w:left="360"/>
        <w:contextualSpacing w:val="0"/>
        <w:rPr>
          <w:rFonts w:asciiTheme="majorBidi" w:hAnsiTheme="majorBidi" w:cstheme="majorBidi"/>
          <w:highlight w:val="yellow"/>
          <w:u w:val="single"/>
        </w:rPr>
      </w:pPr>
    </w:p>
    <w:p w:rsidR="008D0673" w:rsidRPr="00912246" w:rsidP="009561F8" w14:paraId="7A967899" w14:textId="11F97313">
      <w:pPr>
        <w:rPr>
          <w:rFonts w:asciiTheme="majorBidi" w:hAnsiTheme="majorBidi" w:cstheme="majorBidi"/>
        </w:rPr>
      </w:pPr>
      <w:r w:rsidRPr="00912246">
        <w:rPr>
          <w:rFonts w:asciiTheme="majorBidi" w:hAnsiTheme="majorBidi" w:cstheme="majorBidi"/>
        </w:rPr>
        <w:t xml:space="preserve">The proposed new questions in the </w:t>
      </w:r>
      <w:r w:rsidRPr="00912246" w:rsidR="006F4BDC">
        <w:rPr>
          <w:rFonts w:asciiTheme="majorBidi" w:hAnsiTheme="majorBidi" w:cstheme="majorBidi"/>
        </w:rPr>
        <w:t>20</w:t>
      </w:r>
      <w:r w:rsidR="001B31D2">
        <w:rPr>
          <w:rFonts w:asciiTheme="majorBidi" w:hAnsiTheme="majorBidi" w:cstheme="majorBidi"/>
        </w:rPr>
        <w:t>23</w:t>
      </w:r>
      <w:r w:rsidRPr="00912246">
        <w:rPr>
          <w:rFonts w:asciiTheme="majorBidi" w:hAnsiTheme="majorBidi" w:cstheme="majorBidi"/>
        </w:rPr>
        <w:t xml:space="preserve"> </w:t>
      </w:r>
      <w:r w:rsidRPr="00912246" w:rsidR="00F45304">
        <w:rPr>
          <w:rFonts w:asciiTheme="majorBidi" w:hAnsiTheme="majorBidi" w:cstheme="majorBidi"/>
        </w:rPr>
        <w:t>CMEC</w:t>
      </w:r>
      <w:r w:rsidRPr="00912246">
        <w:rPr>
          <w:rFonts w:asciiTheme="majorBidi" w:hAnsiTheme="majorBidi" w:cstheme="majorBidi"/>
        </w:rPr>
        <w:t xml:space="preserve"> and the revisions made to those retained from </w:t>
      </w:r>
      <w:r w:rsidRPr="00912246" w:rsidR="006F4BDC">
        <w:rPr>
          <w:rFonts w:asciiTheme="majorBidi" w:hAnsiTheme="majorBidi" w:cstheme="majorBidi"/>
        </w:rPr>
        <w:t>20</w:t>
      </w:r>
      <w:r w:rsidR="001B31D2">
        <w:rPr>
          <w:rFonts w:asciiTheme="majorBidi" w:hAnsiTheme="majorBidi" w:cstheme="majorBidi"/>
        </w:rPr>
        <w:t>18</w:t>
      </w:r>
      <w:r w:rsidRPr="00912246" w:rsidR="006F4BDC">
        <w:rPr>
          <w:rFonts w:asciiTheme="majorBidi" w:hAnsiTheme="majorBidi" w:cstheme="majorBidi"/>
        </w:rPr>
        <w:t xml:space="preserve"> </w:t>
      </w:r>
      <w:r w:rsidRPr="00912246">
        <w:rPr>
          <w:rFonts w:asciiTheme="majorBidi" w:hAnsiTheme="majorBidi" w:cstheme="majorBidi"/>
        </w:rPr>
        <w:t>were reviewed by BJS and RTI staff</w:t>
      </w:r>
      <w:r w:rsidRPr="00912246" w:rsidR="009561F8">
        <w:rPr>
          <w:rFonts w:asciiTheme="majorBidi" w:hAnsiTheme="majorBidi" w:cstheme="majorBidi"/>
        </w:rPr>
        <w:t>,</w:t>
      </w:r>
      <w:r w:rsidRPr="00912246">
        <w:rPr>
          <w:rFonts w:asciiTheme="majorBidi" w:hAnsiTheme="majorBidi" w:cstheme="majorBidi"/>
        </w:rPr>
        <w:t xml:space="preserve"> </w:t>
      </w:r>
      <w:r w:rsidRPr="00912246" w:rsidR="006F4BDC">
        <w:rPr>
          <w:rFonts w:asciiTheme="majorBidi" w:hAnsiTheme="majorBidi" w:cstheme="majorBidi"/>
        </w:rPr>
        <w:t xml:space="preserve">suggested and discussed by </w:t>
      </w:r>
      <w:r w:rsidRPr="00912246" w:rsidR="000E758D">
        <w:rPr>
          <w:rFonts w:asciiTheme="majorBidi" w:hAnsiTheme="majorBidi" w:cstheme="majorBidi"/>
        </w:rPr>
        <w:t xml:space="preserve">the </w:t>
      </w:r>
      <w:r w:rsidR="00CF3C84">
        <w:rPr>
          <w:rFonts w:asciiTheme="majorBidi" w:hAnsiTheme="majorBidi" w:cstheme="majorBidi"/>
        </w:rPr>
        <w:t>e</w:t>
      </w:r>
      <w:r w:rsidRPr="00912246" w:rsidR="000E758D">
        <w:rPr>
          <w:rFonts w:asciiTheme="majorBidi" w:hAnsiTheme="majorBidi" w:cstheme="majorBidi"/>
        </w:rPr>
        <w:t xml:space="preserve">xpert </w:t>
      </w:r>
      <w:r w:rsidR="00CF3C84">
        <w:rPr>
          <w:rFonts w:asciiTheme="majorBidi" w:hAnsiTheme="majorBidi" w:cstheme="majorBidi"/>
        </w:rPr>
        <w:t>p</w:t>
      </w:r>
      <w:r w:rsidRPr="00912246" w:rsidR="000E758D">
        <w:rPr>
          <w:rFonts w:asciiTheme="majorBidi" w:hAnsiTheme="majorBidi" w:cstheme="majorBidi"/>
        </w:rPr>
        <w:t xml:space="preserve">anelists, </w:t>
      </w:r>
      <w:r w:rsidRPr="00912246">
        <w:rPr>
          <w:rFonts w:asciiTheme="majorBidi" w:hAnsiTheme="majorBidi" w:cstheme="majorBidi"/>
        </w:rPr>
        <w:t xml:space="preserve">and cognitively tested. </w:t>
      </w:r>
      <w:r w:rsidRPr="00912246" w:rsidR="00141E43">
        <w:rPr>
          <w:rFonts w:asciiTheme="majorBidi" w:hAnsiTheme="majorBidi" w:cstheme="majorBidi"/>
        </w:rPr>
        <w:t>The cognitive testing provided insight into whether respondents fully understood questions, provided expected answers,</w:t>
      </w:r>
      <w:r w:rsidRPr="00912246" w:rsidR="00624AB4">
        <w:rPr>
          <w:rFonts w:asciiTheme="majorBidi" w:hAnsiTheme="majorBidi" w:cstheme="majorBidi"/>
        </w:rPr>
        <w:t xml:space="preserve"> informed our phrasing and response options,</w:t>
      </w:r>
      <w:r w:rsidRPr="00912246" w:rsidR="00141E43">
        <w:rPr>
          <w:rFonts w:asciiTheme="majorBidi" w:hAnsiTheme="majorBidi" w:cstheme="majorBidi"/>
        </w:rPr>
        <w:t xml:space="preserve"> and </w:t>
      </w:r>
      <w:r w:rsidRPr="00912246" w:rsidR="00624AB4">
        <w:rPr>
          <w:rFonts w:asciiTheme="majorBidi" w:hAnsiTheme="majorBidi" w:cstheme="majorBidi"/>
        </w:rPr>
        <w:t>provided an estimate fo</w:t>
      </w:r>
      <w:r w:rsidRPr="002E51C0" w:rsidR="00624AB4">
        <w:rPr>
          <w:rFonts w:asciiTheme="majorBidi" w:hAnsiTheme="majorBidi" w:cstheme="majorBidi"/>
        </w:rPr>
        <w:t>r burden</w:t>
      </w:r>
      <w:r w:rsidRPr="002E51C0" w:rsidR="00D5685E">
        <w:rPr>
          <w:rFonts w:asciiTheme="majorBidi" w:hAnsiTheme="majorBidi" w:cstheme="majorBidi"/>
        </w:rPr>
        <w:t xml:space="preserve"> (</w:t>
      </w:r>
      <w:r w:rsidRPr="002E51C0" w:rsidR="002E7841">
        <w:rPr>
          <w:b/>
          <w:bCs/>
        </w:rPr>
        <w:t xml:space="preserve">Attachment </w:t>
      </w:r>
      <w:r w:rsidRPr="002E51C0" w:rsidR="00201D3C">
        <w:rPr>
          <w:b/>
          <w:bCs/>
        </w:rPr>
        <w:t>3</w:t>
      </w:r>
      <w:r w:rsidRPr="002E51C0" w:rsidR="00D5685E">
        <w:rPr>
          <w:rFonts w:asciiTheme="majorBidi" w:hAnsiTheme="majorBidi" w:cstheme="majorBidi"/>
        </w:rPr>
        <w:t>)</w:t>
      </w:r>
      <w:r w:rsidRPr="002E51C0" w:rsidR="00141E43">
        <w:rPr>
          <w:rFonts w:asciiTheme="majorBidi" w:hAnsiTheme="majorBidi" w:cstheme="majorBidi"/>
        </w:rPr>
        <w:t xml:space="preserve">. The instrument was modified to increase comprehension </w:t>
      </w:r>
      <w:r w:rsidRPr="002E51C0" w:rsidR="00141E43">
        <w:rPr>
          <w:rFonts w:asciiTheme="majorBidi" w:hAnsiTheme="majorBidi" w:cstheme="majorBidi"/>
        </w:rPr>
        <w:t>as a result of</w:t>
      </w:r>
      <w:r w:rsidRPr="002E51C0" w:rsidR="00141E43">
        <w:rPr>
          <w:rFonts w:asciiTheme="majorBidi" w:hAnsiTheme="majorBidi" w:cstheme="majorBidi"/>
        </w:rPr>
        <w:t xml:space="preserve"> these interviews. </w:t>
      </w:r>
      <w:r w:rsidRPr="002E51C0">
        <w:rPr>
          <w:rFonts w:asciiTheme="majorBidi" w:hAnsiTheme="majorBidi" w:cstheme="majorBidi"/>
        </w:rPr>
        <w:t>In addition, RTI</w:t>
      </w:r>
      <w:r w:rsidRPr="00912246">
        <w:rPr>
          <w:rFonts w:asciiTheme="majorBidi" w:hAnsiTheme="majorBidi" w:cstheme="majorBidi"/>
        </w:rPr>
        <w:t xml:space="preserve"> </w:t>
      </w:r>
      <w:r w:rsidRPr="00912246" w:rsidR="00624AB4">
        <w:rPr>
          <w:rFonts w:asciiTheme="majorBidi" w:hAnsiTheme="majorBidi" w:cstheme="majorBidi"/>
        </w:rPr>
        <w:t>will thoroughly test</w:t>
      </w:r>
      <w:r w:rsidRPr="00912246">
        <w:rPr>
          <w:rFonts w:asciiTheme="majorBidi" w:hAnsiTheme="majorBidi" w:cstheme="majorBidi"/>
        </w:rPr>
        <w:t xml:space="preserve"> the web-based survey administration system through systematic user testing, including testing skip patterns, attempting to “break” the instrument, and back-end data checks on entered responses.  </w:t>
      </w:r>
    </w:p>
    <w:p w:rsidR="008D0673" w:rsidRPr="00912246" w:rsidP="009561F8" w14:paraId="2CA9302E" w14:textId="77777777">
      <w:pPr>
        <w:rPr>
          <w:rFonts w:asciiTheme="majorBidi" w:hAnsiTheme="majorBidi" w:cstheme="majorBidi"/>
        </w:rPr>
      </w:pPr>
    </w:p>
    <w:p w:rsidR="00421095" w:rsidP="007B49A0" w14:paraId="41DE42B1" w14:textId="1F74D045">
      <w:pPr>
        <w:rPr>
          <w:rFonts w:asciiTheme="majorBidi" w:hAnsiTheme="majorBidi" w:cstheme="majorBidi"/>
        </w:rPr>
      </w:pPr>
      <w:r w:rsidRPr="00912246">
        <w:rPr>
          <w:rFonts w:asciiTheme="majorBidi" w:hAnsiTheme="majorBidi" w:cstheme="majorBidi"/>
        </w:rPr>
        <w:t xml:space="preserve">The </w:t>
      </w:r>
      <w:r w:rsidRPr="32790104" w:rsidR="006F4BDC">
        <w:rPr>
          <w:rFonts w:asciiTheme="majorBidi" w:hAnsiTheme="majorBidi" w:cstheme="majorBidi"/>
        </w:rPr>
        <w:t>20</w:t>
      </w:r>
      <w:r w:rsidRPr="32790104" w:rsidR="1AE53E04">
        <w:rPr>
          <w:rFonts w:asciiTheme="majorBidi" w:hAnsiTheme="majorBidi" w:cstheme="majorBidi"/>
        </w:rPr>
        <w:t>23</w:t>
      </w:r>
      <w:r w:rsidRPr="00912246" w:rsidR="0014205B">
        <w:rPr>
          <w:rFonts w:asciiTheme="majorBidi" w:hAnsiTheme="majorBidi" w:cstheme="majorBidi"/>
        </w:rPr>
        <w:t xml:space="preserve"> </w:t>
      </w:r>
      <w:r w:rsidRPr="00912246" w:rsidR="00F45304">
        <w:rPr>
          <w:rFonts w:asciiTheme="majorBidi" w:hAnsiTheme="majorBidi" w:cstheme="majorBidi"/>
        </w:rPr>
        <w:t>CMEC</w:t>
      </w:r>
      <w:r w:rsidRPr="00912246" w:rsidR="0014205B">
        <w:rPr>
          <w:rFonts w:asciiTheme="majorBidi" w:hAnsiTheme="majorBidi" w:cstheme="majorBidi"/>
        </w:rPr>
        <w:t xml:space="preserve"> </w:t>
      </w:r>
      <w:r w:rsidRPr="00912246">
        <w:rPr>
          <w:rFonts w:asciiTheme="majorBidi" w:hAnsiTheme="majorBidi" w:cstheme="majorBidi"/>
        </w:rPr>
        <w:t xml:space="preserve">will maintain similar respondent recruitment and support procedures as </w:t>
      </w:r>
      <w:r w:rsidRPr="00912246" w:rsidR="007B49A0">
        <w:rPr>
          <w:rFonts w:asciiTheme="majorBidi" w:hAnsiTheme="majorBidi" w:cstheme="majorBidi"/>
        </w:rPr>
        <w:t xml:space="preserve">the </w:t>
      </w:r>
      <w:r w:rsidRPr="00912246">
        <w:rPr>
          <w:rFonts w:asciiTheme="majorBidi" w:hAnsiTheme="majorBidi" w:cstheme="majorBidi"/>
        </w:rPr>
        <w:t xml:space="preserve">previous </w:t>
      </w:r>
      <w:r w:rsidRPr="00912246" w:rsidR="00F45304">
        <w:rPr>
          <w:rFonts w:asciiTheme="majorBidi" w:hAnsiTheme="majorBidi" w:cstheme="majorBidi"/>
        </w:rPr>
        <w:t>CMEC</w:t>
      </w:r>
      <w:r w:rsidRPr="00912246" w:rsidR="0014205B">
        <w:rPr>
          <w:rFonts w:asciiTheme="majorBidi" w:hAnsiTheme="majorBidi" w:cstheme="majorBidi"/>
        </w:rPr>
        <w:t xml:space="preserve"> </w:t>
      </w:r>
      <w:r w:rsidRPr="00912246" w:rsidR="007B49A0">
        <w:rPr>
          <w:rFonts w:asciiTheme="majorBidi" w:hAnsiTheme="majorBidi" w:cstheme="majorBidi"/>
        </w:rPr>
        <w:t>administration</w:t>
      </w:r>
      <w:r w:rsidRPr="00912246">
        <w:rPr>
          <w:rFonts w:asciiTheme="majorBidi" w:hAnsiTheme="majorBidi" w:cstheme="majorBidi"/>
        </w:rPr>
        <w:t xml:space="preserve">, which </w:t>
      </w:r>
      <w:r w:rsidRPr="00912246" w:rsidR="00624AB4">
        <w:rPr>
          <w:rFonts w:asciiTheme="majorBidi" w:hAnsiTheme="majorBidi" w:cstheme="majorBidi"/>
        </w:rPr>
        <w:t>was</w:t>
      </w:r>
      <w:r w:rsidRPr="00912246">
        <w:rPr>
          <w:rFonts w:asciiTheme="majorBidi" w:hAnsiTheme="majorBidi" w:cstheme="majorBidi"/>
        </w:rPr>
        <w:t xml:space="preserve"> field tested and successfully employed</w:t>
      </w:r>
      <w:r w:rsidRPr="00912246" w:rsidR="0014205B">
        <w:rPr>
          <w:rFonts w:asciiTheme="majorBidi" w:hAnsiTheme="majorBidi" w:cstheme="majorBidi"/>
        </w:rPr>
        <w:t>.</w:t>
      </w:r>
      <w:r w:rsidRPr="00912246">
        <w:rPr>
          <w:rFonts w:asciiTheme="majorBidi" w:hAnsiTheme="majorBidi" w:cstheme="majorBidi"/>
        </w:rPr>
        <w:t xml:space="preserve"> </w:t>
      </w:r>
      <w:r w:rsidRPr="00912246" w:rsidR="008E488A">
        <w:rPr>
          <w:rFonts w:asciiTheme="majorBidi" w:hAnsiTheme="majorBidi" w:cstheme="majorBidi"/>
        </w:rPr>
        <w:t>RTI</w:t>
      </w:r>
      <w:r w:rsidRPr="00912246" w:rsidR="0014205B">
        <w:rPr>
          <w:rFonts w:asciiTheme="majorBidi" w:hAnsiTheme="majorBidi" w:cstheme="majorBidi"/>
        </w:rPr>
        <w:t xml:space="preserve"> has </w:t>
      </w:r>
      <w:r w:rsidRPr="00912246">
        <w:rPr>
          <w:rFonts w:asciiTheme="majorBidi" w:hAnsiTheme="majorBidi" w:cstheme="majorBidi"/>
        </w:rPr>
        <w:t xml:space="preserve">utilized web-based survey instruments </w:t>
      </w:r>
      <w:r w:rsidR="00E05071">
        <w:rPr>
          <w:rFonts w:asciiTheme="majorBidi" w:hAnsiTheme="majorBidi" w:cstheme="majorBidi"/>
        </w:rPr>
        <w:t>(</w:t>
      </w:r>
      <w:r w:rsidRPr="00912246">
        <w:rPr>
          <w:rFonts w:asciiTheme="majorBidi" w:hAnsiTheme="majorBidi" w:cstheme="majorBidi"/>
        </w:rPr>
        <w:t xml:space="preserve">that are substantially </w:t>
      </w:r>
      <w:r w:rsidRPr="00912246">
        <w:rPr>
          <w:rFonts w:asciiTheme="majorBidi" w:hAnsiTheme="majorBidi" w:cstheme="majorBidi"/>
        </w:rPr>
        <w:t>similar to</w:t>
      </w:r>
      <w:r w:rsidRPr="00912246">
        <w:rPr>
          <w:rFonts w:asciiTheme="majorBidi" w:hAnsiTheme="majorBidi" w:cstheme="majorBidi"/>
        </w:rPr>
        <w:t xml:space="preserve"> the format in design for the </w:t>
      </w:r>
      <w:r w:rsidRPr="00912246" w:rsidR="006F4BDC">
        <w:rPr>
          <w:rFonts w:asciiTheme="majorBidi" w:hAnsiTheme="majorBidi" w:cstheme="majorBidi"/>
        </w:rPr>
        <w:t>20</w:t>
      </w:r>
      <w:r w:rsidR="00C91339">
        <w:rPr>
          <w:rFonts w:asciiTheme="majorBidi" w:hAnsiTheme="majorBidi" w:cstheme="majorBidi"/>
        </w:rPr>
        <w:t>23</w:t>
      </w:r>
      <w:r w:rsidRPr="00912246">
        <w:rPr>
          <w:rFonts w:asciiTheme="majorBidi" w:hAnsiTheme="majorBidi" w:cstheme="majorBidi"/>
        </w:rPr>
        <w:t xml:space="preserve"> </w:t>
      </w:r>
      <w:r w:rsidRPr="00912246" w:rsidR="00F45304">
        <w:rPr>
          <w:rFonts w:asciiTheme="majorBidi" w:hAnsiTheme="majorBidi" w:cstheme="majorBidi"/>
        </w:rPr>
        <w:t>CMEC</w:t>
      </w:r>
      <w:r w:rsidR="00E05071">
        <w:rPr>
          <w:rFonts w:asciiTheme="majorBidi" w:hAnsiTheme="majorBidi" w:cstheme="majorBidi"/>
        </w:rPr>
        <w:t>)</w:t>
      </w:r>
      <w:r w:rsidRPr="00912246" w:rsidR="00DA7A77">
        <w:rPr>
          <w:rFonts w:asciiTheme="majorBidi" w:hAnsiTheme="majorBidi" w:cstheme="majorBidi"/>
        </w:rPr>
        <w:t xml:space="preserve"> </w:t>
      </w:r>
      <w:r w:rsidR="001140ED">
        <w:rPr>
          <w:rFonts w:asciiTheme="majorBidi" w:hAnsiTheme="majorBidi" w:cstheme="majorBidi"/>
        </w:rPr>
        <w:t>for other BJS surveys including the</w:t>
      </w:r>
      <w:r w:rsidRPr="00912246" w:rsidR="001140ED">
        <w:rPr>
          <w:rFonts w:asciiTheme="majorBidi" w:hAnsiTheme="majorBidi" w:cstheme="majorBidi"/>
        </w:rPr>
        <w:t xml:space="preserve"> </w:t>
      </w:r>
      <w:r w:rsidR="001140ED">
        <w:rPr>
          <w:rFonts w:asciiTheme="majorBidi" w:hAnsiTheme="majorBidi" w:cstheme="majorBidi"/>
        </w:rPr>
        <w:t>L</w:t>
      </w:r>
      <w:r w:rsidRPr="001140ED" w:rsidR="001140ED">
        <w:rPr>
          <w:rFonts w:asciiTheme="majorBidi" w:hAnsiTheme="majorBidi" w:cstheme="majorBidi"/>
        </w:rPr>
        <w:t>aw Enforcement Management and Administrative Statistics (LEMAS)</w:t>
      </w:r>
      <w:r w:rsidRPr="00912246" w:rsidR="00DA7A77">
        <w:rPr>
          <w:rFonts w:asciiTheme="majorBidi" w:hAnsiTheme="majorBidi" w:cstheme="majorBidi"/>
        </w:rPr>
        <w:t xml:space="preserve"> and </w:t>
      </w:r>
      <w:r w:rsidR="009A5CCC">
        <w:rPr>
          <w:rFonts w:asciiTheme="majorBidi" w:hAnsiTheme="majorBidi" w:cstheme="majorBidi"/>
        </w:rPr>
        <w:t>Census of State and Local Law Enforcement Agencies (</w:t>
      </w:r>
      <w:r w:rsidRPr="00912246" w:rsidR="00DA7A77">
        <w:rPr>
          <w:rFonts w:asciiTheme="majorBidi" w:hAnsiTheme="majorBidi" w:cstheme="majorBidi"/>
        </w:rPr>
        <w:t>CSLLEA</w:t>
      </w:r>
      <w:r w:rsidR="009A5CCC">
        <w:rPr>
          <w:rFonts w:asciiTheme="majorBidi" w:hAnsiTheme="majorBidi" w:cstheme="majorBidi"/>
        </w:rPr>
        <w:t>)</w:t>
      </w:r>
      <w:r w:rsidRPr="00912246" w:rsidR="00DA7A77">
        <w:rPr>
          <w:rFonts w:asciiTheme="majorBidi" w:hAnsiTheme="majorBidi" w:cstheme="majorBidi"/>
        </w:rPr>
        <w:t xml:space="preserve"> administrations</w:t>
      </w:r>
      <w:r w:rsidRPr="00912246" w:rsidR="0014205B">
        <w:rPr>
          <w:rFonts w:asciiTheme="majorBidi" w:hAnsiTheme="majorBidi" w:cstheme="majorBidi"/>
        </w:rPr>
        <w:t xml:space="preserve">. </w:t>
      </w:r>
      <w:r w:rsidRPr="00912246">
        <w:rPr>
          <w:rFonts w:asciiTheme="majorBidi" w:hAnsiTheme="majorBidi" w:cstheme="majorBidi"/>
        </w:rPr>
        <w:t xml:space="preserve">The web-based survey administration procedures successfully employed in </w:t>
      </w:r>
      <w:r w:rsidRPr="00912246" w:rsidR="008D4883">
        <w:rPr>
          <w:rFonts w:asciiTheme="majorBidi" w:hAnsiTheme="majorBidi" w:cstheme="majorBidi"/>
        </w:rPr>
        <w:t xml:space="preserve">the LEMAS and CSLLEA </w:t>
      </w:r>
      <w:r w:rsidRPr="00912246">
        <w:rPr>
          <w:rFonts w:asciiTheme="majorBidi" w:hAnsiTheme="majorBidi" w:cstheme="majorBidi"/>
        </w:rPr>
        <w:t xml:space="preserve">survey designs will be </w:t>
      </w:r>
      <w:r w:rsidRPr="00912246" w:rsidR="0014205B">
        <w:rPr>
          <w:rFonts w:asciiTheme="majorBidi" w:hAnsiTheme="majorBidi" w:cstheme="majorBidi"/>
        </w:rPr>
        <w:t xml:space="preserve">substantially </w:t>
      </w:r>
      <w:r w:rsidRPr="00912246" w:rsidR="00B4474B">
        <w:rPr>
          <w:rFonts w:asciiTheme="majorBidi" w:hAnsiTheme="majorBidi" w:cstheme="majorBidi"/>
        </w:rPr>
        <w:t>retained but</w:t>
      </w:r>
      <w:r w:rsidRPr="00912246" w:rsidR="0014205B">
        <w:rPr>
          <w:rFonts w:asciiTheme="majorBidi" w:hAnsiTheme="majorBidi" w:cstheme="majorBidi"/>
        </w:rPr>
        <w:t xml:space="preserve"> </w:t>
      </w:r>
      <w:r w:rsidRPr="00912246">
        <w:rPr>
          <w:rFonts w:asciiTheme="majorBidi" w:hAnsiTheme="majorBidi" w:cstheme="majorBidi"/>
        </w:rPr>
        <w:t xml:space="preserve">modified </w:t>
      </w:r>
      <w:r w:rsidRPr="00912246" w:rsidR="0014205B">
        <w:rPr>
          <w:rFonts w:asciiTheme="majorBidi" w:hAnsiTheme="majorBidi" w:cstheme="majorBidi"/>
        </w:rPr>
        <w:t xml:space="preserve">as necessary </w:t>
      </w:r>
      <w:r w:rsidRPr="00912246">
        <w:rPr>
          <w:rFonts w:asciiTheme="majorBidi" w:hAnsiTheme="majorBidi" w:cstheme="majorBidi"/>
        </w:rPr>
        <w:t xml:space="preserve">to accommodate the </w:t>
      </w:r>
      <w:r w:rsidRPr="00912246" w:rsidR="006F4BDC">
        <w:rPr>
          <w:rFonts w:asciiTheme="majorBidi" w:hAnsiTheme="majorBidi" w:cstheme="majorBidi"/>
        </w:rPr>
        <w:t>20</w:t>
      </w:r>
      <w:r w:rsidR="00C91339">
        <w:rPr>
          <w:rFonts w:asciiTheme="majorBidi" w:hAnsiTheme="majorBidi" w:cstheme="majorBidi"/>
        </w:rPr>
        <w:t>23</w:t>
      </w:r>
      <w:r w:rsidRPr="00912246">
        <w:rPr>
          <w:rFonts w:asciiTheme="majorBidi" w:hAnsiTheme="majorBidi" w:cstheme="majorBidi"/>
        </w:rPr>
        <w:t xml:space="preserve"> </w:t>
      </w:r>
      <w:r w:rsidRPr="00912246" w:rsidR="00F45304">
        <w:rPr>
          <w:rFonts w:asciiTheme="majorBidi" w:hAnsiTheme="majorBidi" w:cstheme="majorBidi"/>
        </w:rPr>
        <w:t>CMEC</w:t>
      </w:r>
      <w:r w:rsidRPr="00912246">
        <w:rPr>
          <w:rFonts w:asciiTheme="majorBidi" w:hAnsiTheme="majorBidi" w:cstheme="majorBidi"/>
        </w:rPr>
        <w:t xml:space="preserve"> instrument and respondents.</w:t>
      </w:r>
      <w:r w:rsidRPr="00912246" w:rsidR="00BA3119">
        <w:rPr>
          <w:rFonts w:asciiTheme="majorBidi" w:hAnsiTheme="majorBidi" w:cstheme="majorBidi"/>
        </w:rPr>
        <w:t xml:space="preserve"> </w:t>
      </w:r>
    </w:p>
    <w:p w:rsidR="00C91339" w:rsidP="007B49A0" w14:paraId="2E646138" w14:textId="77777777">
      <w:pPr>
        <w:rPr>
          <w:rFonts w:asciiTheme="majorBidi" w:hAnsiTheme="majorBidi" w:cstheme="majorBidi"/>
        </w:rPr>
      </w:pPr>
    </w:p>
    <w:p w:rsidR="00E73CDF" w:rsidRPr="00912246" w:rsidP="009561F8" w14:paraId="05D5CDA9" w14:textId="77777777">
      <w:pPr>
        <w:pStyle w:val="ListParagraph"/>
        <w:numPr>
          <w:ilvl w:val="0"/>
          <w:numId w:val="5"/>
        </w:numPr>
        <w:ind w:left="360"/>
        <w:contextualSpacing w:val="0"/>
        <w:rPr>
          <w:rFonts w:asciiTheme="majorBidi" w:hAnsiTheme="majorBidi" w:cstheme="majorBidi"/>
          <w:b/>
          <w:u w:val="single"/>
        </w:rPr>
      </w:pPr>
      <w:r w:rsidRPr="00912246">
        <w:rPr>
          <w:rFonts w:asciiTheme="majorBidi" w:hAnsiTheme="majorBidi" w:cstheme="majorBidi"/>
          <w:b/>
          <w:u w:val="single"/>
        </w:rPr>
        <w:t>Contacts for Statistical Aspects and Data Collection</w:t>
      </w:r>
    </w:p>
    <w:p w:rsidR="00E73CDF" w:rsidRPr="00912246" w:rsidP="009561F8" w14:paraId="763F6CFC" w14:textId="77777777">
      <w:pPr>
        <w:rPr>
          <w:rFonts w:asciiTheme="majorBidi" w:hAnsiTheme="majorBidi" w:cstheme="majorBidi"/>
        </w:rPr>
      </w:pPr>
    </w:p>
    <w:p w:rsidR="00E73CDF" w:rsidRPr="00912246" w:rsidP="009561F8" w14:paraId="7A450045" w14:textId="77777777">
      <w:pPr>
        <w:pStyle w:val="ListParagraph"/>
        <w:numPr>
          <w:ilvl w:val="0"/>
          <w:numId w:val="6"/>
        </w:numPr>
        <w:tabs>
          <w:tab w:val="left" w:pos="360"/>
        </w:tabs>
        <w:ind w:left="0" w:firstLine="0"/>
        <w:contextualSpacing w:val="0"/>
        <w:rPr>
          <w:rFonts w:asciiTheme="majorBidi" w:hAnsiTheme="majorBidi" w:cstheme="majorBidi"/>
        </w:rPr>
      </w:pPr>
      <w:r w:rsidRPr="00912246">
        <w:rPr>
          <w:rFonts w:asciiTheme="majorBidi" w:hAnsiTheme="majorBidi" w:cstheme="majorBidi"/>
        </w:rPr>
        <w:t>BJS contacts include:</w:t>
      </w:r>
    </w:p>
    <w:p w:rsidR="00E73CDF" w:rsidRPr="00912246" w:rsidP="009561F8" w14:paraId="442859AB" w14:textId="77777777">
      <w:pPr>
        <w:pStyle w:val="ListParagraph"/>
        <w:tabs>
          <w:tab w:val="left" w:pos="360"/>
        </w:tabs>
        <w:ind w:left="0"/>
        <w:contextualSpacing w:val="0"/>
        <w:rPr>
          <w:rFonts w:asciiTheme="majorBidi" w:hAnsiTheme="majorBidi" w:cstheme="majorBidi"/>
        </w:rPr>
      </w:pPr>
      <w:r w:rsidRPr="00912246">
        <w:rPr>
          <w:rFonts w:asciiTheme="majorBidi" w:hAnsiTheme="majorBidi" w:cstheme="majorBidi"/>
        </w:rPr>
        <w:t xml:space="preserve"> </w:t>
      </w:r>
    </w:p>
    <w:p w:rsidR="003436E1" w:rsidRPr="00912246" w:rsidP="009561F8" w14:paraId="1EB0BC59" w14:textId="27C82FF4">
      <w:pPr>
        <w:ind w:left="720"/>
        <w:rPr>
          <w:rFonts w:asciiTheme="majorBidi" w:hAnsiTheme="majorBidi" w:cstheme="majorBidi"/>
        </w:rPr>
      </w:pPr>
      <w:r>
        <w:rPr>
          <w:rFonts w:asciiTheme="majorBidi" w:hAnsiTheme="majorBidi" w:cstheme="majorBidi"/>
        </w:rPr>
        <w:t>Matt Durose</w:t>
      </w:r>
    </w:p>
    <w:p w:rsidR="004040A2" w:rsidRPr="00912246" w:rsidP="009561F8" w14:paraId="48A00A1A" w14:textId="1F344F81">
      <w:pPr>
        <w:ind w:left="720"/>
        <w:rPr>
          <w:rFonts w:asciiTheme="majorBidi" w:hAnsiTheme="majorBidi" w:cstheme="majorBidi"/>
        </w:rPr>
      </w:pPr>
      <w:r w:rsidRPr="00912246">
        <w:rPr>
          <w:rFonts w:asciiTheme="majorBidi" w:hAnsiTheme="majorBidi" w:cstheme="majorBidi"/>
        </w:rPr>
        <w:t>CMEC Program Manager</w:t>
      </w:r>
    </w:p>
    <w:p w:rsidR="00996FD0" w:rsidP="009561F8" w14:paraId="7C32234B" w14:textId="5F66B2AB">
      <w:pPr>
        <w:ind w:left="720"/>
        <w:rPr>
          <w:rFonts w:asciiTheme="majorBidi" w:hAnsiTheme="majorBidi" w:cstheme="majorBidi"/>
        </w:rPr>
      </w:pPr>
      <w:r w:rsidRPr="00996FD0">
        <w:rPr>
          <w:rFonts w:asciiTheme="majorBidi" w:hAnsiTheme="majorBidi" w:cstheme="majorBidi"/>
        </w:rPr>
        <w:t>202</w:t>
      </w:r>
      <w:r>
        <w:rPr>
          <w:rFonts w:asciiTheme="majorBidi" w:hAnsiTheme="majorBidi" w:cstheme="majorBidi"/>
        </w:rPr>
        <w:t>-</w:t>
      </w:r>
      <w:r w:rsidR="00CF3C84">
        <w:rPr>
          <w:rFonts w:asciiTheme="majorBidi" w:hAnsiTheme="majorBidi" w:cstheme="majorBidi"/>
        </w:rPr>
        <w:t>598-0295</w:t>
      </w:r>
    </w:p>
    <w:p w:rsidR="004040A2" w:rsidP="009561F8" w14:paraId="6CA978B1" w14:textId="50BA0794">
      <w:pPr>
        <w:ind w:left="720"/>
        <w:rPr>
          <w:rFonts w:asciiTheme="majorBidi" w:hAnsiTheme="majorBidi" w:cstheme="majorBidi"/>
        </w:rPr>
      </w:pPr>
      <w:hyperlink r:id="rId9" w:history="1">
        <w:r w:rsidR="00EB1ED5">
          <w:t>Matt.Durose</w:t>
        </w:r>
        <w:r w:rsidRPr="00996FD0" w:rsidR="00EB1ED5">
          <w:t>@usdoj.gov</w:t>
        </w:r>
      </w:hyperlink>
    </w:p>
    <w:p w:rsidR="00996FD0" w:rsidRPr="00912246" w:rsidP="009561F8" w14:paraId="197CFC6D" w14:textId="77777777">
      <w:pPr>
        <w:ind w:left="720"/>
        <w:rPr>
          <w:rFonts w:asciiTheme="majorBidi" w:hAnsiTheme="majorBidi" w:cstheme="majorBidi"/>
        </w:rPr>
      </w:pPr>
    </w:p>
    <w:p w:rsidR="00403F4F" w:rsidP="00403F4F" w14:paraId="08BF2C76" w14:textId="77777777">
      <w:pPr>
        <w:pStyle w:val="ListParagraph"/>
        <w:tabs>
          <w:tab w:val="left" w:pos="360"/>
        </w:tabs>
        <w:ind w:left="0"/>
      </w:pPr>
      <w:r>
        <w:tab/>
      </w:r>
      <w:r>
        <w:tab/>
        <w:t>Alexia Cooper</w:t>
      </w:r>
    </w:p>
    <w:p w:rsidR="00403F4F" w:rsidP="00403F4F" w14:paraId="291969F5" w14:textId="77777777">
      <w:pPr>
        <w:ind w:left="720"/>
      </w:pPr>
      <w:r>
        <w:t>Law Enforcement Statistics Unit Chief</w:t>
      </w:r>
    </w:p>
    <w:p w:rsidR="00403F4F" w:rsidP="00403F4F" w14:paraId="4F02B398" w14:textId="77777777">
      <w:pPr>
        <w:pStyle w:val="ListParagraph"/>
        <w:tabs>
          <w:tab w:val="left" w:pos="360"/>
        </w:tabs>
        <w:ind w:left="0"/>
      </w:pPr>
      <w:r>
        <w:tab/>
      </w:r>
      <w:r>
        <w:tab/>
        <w:t>202-307-0582</w:t>
      </w:r>
    </w:p>
    <w:p w:rsidR="00403F4F" w:rsidP="00403F4F" w14:paraId="35B0B505" w14:textId="77777777">
      <w:pPr>
        <w:pStyle w:val="ListParagraph"/>
        <w:tabs>
          <w:tab w:val="left" w:pos="360"/>
        </w:tabs>
        <w:ind w:left="0"/>
        <w:rPr>
          <w:rStyle w:val="Hyperlink"/>
        </w:rPr>
      </w:pPr>
      <w:r>
        <w:tab/>
      </w:r>
      <w:r>
        <w:tab/>
      </w:r>
      <w:r w:rsidRPr="00D133BE">
        <w:t>Alexia.Cooper@usdoj.gov</w:t>
      </w:r>
    </w:p>
    <w:p w:rsidR="00E73CDF" w:rsidRPr="00912246" w:rsidP="009561F8" w14:paraId="5AE78D0A" w14:textId="77777777">
      <w:pPr>
        <w:ind w:left="720"/>
        <w:rPr>
          <w:rFonts w:asciiTheme="majorBidi" w:hAnsiTheme="majorBidi" w:cstheme="majorBidi"/>
        </w:rPr>
      </w:pPr>
    </w:p>
    <w:p w:rsidR="00E73CDF" w:rsidRPr="00912246" w:rsidP="009561F8" w14:paraId="10568DAD" w14:textId="77777777">
      <w:pPr>
        <w:pStyle w:val="ListParagraph"/>
        <w:numPr>
          <w:ilvl w:val="0"/>
          <w:numId w:val="6"/>
        </w:numPr>
        <w:tabs>
          <w:tab w:val="left" w:pos="360"/>
        </w:tabs>
        <w:ind w:left="0" w:firstLine="0"/>
        <w:contextualSpacing w:val="0"/>
        <w:rPr>
          <w:rFonts w:asciiTheme="majorBidi" w:hAnsiTheme="majorBidi" w:cstheme="majorBidi"/>
        </w:rPr>
      </w:pPr>
      <w:r w:rsidRPr="00912246">
        <w:rPr>
          <w:rFonts w:asciiTheme="majorBidi" w:hAnsiTheme="majorBidi" w:cstheme="majorBidi"/>
        </w:rPr>
        <w:t>Persons consulted on statistical methodology:</w:t>
      </w:r>
    </w:p>
    <w:p w:rsidR="00E73CDF" w:rsidRPr="00912246" w:rsidP="009561F8" w14:paraId="6385EA2E" w14:textId="77777777">
      <w:pPr>
        <w:tabs>
          <w:tab w:val="left" w:pos="360"/>
        </w:tabs>
        <w:rPr>
          <w:rFonts w:asciiTheme="majorBidi" w:hAnsiTheme="majorBidi" w:cstheme="majorBidi"/>
        </w:rPr>
      </w:pPr>
    </w:p>
    <w:p w:rsidR="001D7A84" w:rsidRPr="00912246" w:rsidP="009561F8" w14:paraId="7B94D807" w14:textId="46E169D4">
      <w:pPr>
        <w:ind w:left="720"/>
        <w:rPr>
          <w:rFonts w:asciiTheme="majorBidi" w:hAnsiTheme="majorBidi" w:cstheme="majorBidi"/>
        </w:rPr>
      </w:pPr>
      <w:r>
        <w:rPr>
          <w:rFonts w:asciiTheme="majorBidi" w:hAnsiTheme="majorBidi" w:cstheme="majorBidi"/>
        </w:rPr>
        <w:t>Heather Meier</w:t>
      </w:r>
    </w:p>
    <w:p w:rsidR="001D7A84" w:rsidRPr="00912246" w:rsidP="009561F8" w14:paraId="15A124E5" w14:textId="3EE0D3B6">
      <w:pPr>
        <w:ind w:left="720"/>
        <w:rPr>
          <w:rFonts w:asciiTheme="majorBidi" w:hAnsiTheme="majorBidi" w:cstheme="majorBidi"/>
        </w:rPr>
      </w:pPr>
      <w:r w:rsidRPr="00912246">
        <w:rPr>
          <w:rFonts w:asciiTheme="majorBidi" w:hAnsiTheme="majorBidi" w:cstheme="majorBidi"/>
        </w:rPr>
        <w:t>RTI International</w:t>
      </w:r>
    </w:p>
    <w:p w:rsidR="00E73CDF" w:rsidRPr="00912246" w:rsidP="009561F8" w14:paraId="0951316B" w14:textId="77777777">
      <w:pPr>
        <w:pStyle w:val="ListParagraph"/>
        <w:contextualSpacing w:val="0"/>
        <w:rPr>
          <w:rFonts w:asciiTheme="majorBidi" w:hAnsiTheme="majorBidi" w:cstheme="majorBidi"/>
        </w:rPr>
      </w:pPr>
    </w:p>
    <w:p w:rsidR="00E73CDF" w:rsidRPr="00912246" w:rsidP="009561F8" w14:paraId="0AE19AA9" w14:textId="77777777">
      <w:pPr>
        <w:pStyle w:val="ListParagraph"/>
        <w:numPr>
          <w:ilvl w:val="0"/>
          <w:numId w:val="6"/>
        </w:numPr>
        <w:tabs>
          <w:tab w:val="left" w:pos="360"/>
        </w:tabs>
        <w:ind w:left="0" w:firstLine="0"/>
        <w:contextualSpacing w:val="0"/>
        <w:rPr>
          <w:rFonts w:asciiTheme="majorBidi" w:hAnsiTheme="majorBidi" w:cstheme="majorBidi"/>
        </w:rPr>
      </w:pPr>
      <w:r w:rsidRPr="00912246">
        <w:rPr>
          <w:rFonts w:asciiTheme="majorBidi" w:hAnsiTheme="majorBidi" w:cstheme="majorBidi"/>
        </w:rPr>
        <w:t>Persons consulted on data collection and analysis:</w:t>
      </w:r>
    </w:p>
    <w:p w:rsidR="00E73CDF" w:rsidRPr="00912246" w:rsidP="009561F8" w14:paraId="0BF6EF22" w14:textId="77777777">
      <w:pPr>
        <w:pStyle w:val="ListParagraph"/>
        <w:tabs>
          <w:tab w:val="left" w:pos="360"/>
        </w:tabs>
        <w:ind w:left="0"/>
        <w:contextualSpacing w:val="0"/>
        <w:rPr>
          <w:rFonts w:asciiTheme="majorBidi" w:hAnsiTheme="majorBidi" w:cstheme="majorBidi"/>
        </w:rPr>
      </w:pPr>
    </w:p>
    <w:p w:rsidR="00F45304" w:rsidRPr="00912246" w:rsidP="00F45304" w14:paraId="5AC74C04" w14:textId="71EF5933">
      <w:pPr>
        <w:ind w:left="720"/>
        <w:rPr>
          <w:rFonts w:asciiTheme="majorBidi" w:hAnsiTheme="majorBidi" w:cstheme="majorBidi"/>
        </w:rPr>
      </w:pPr>
      <w:r w:rsidRPr="00912246">
        <w:rPr>
          <w:rFonts w:asciiTheme="majorBidi" w:hAnsiTheme="majorBidi" w:cstheme="majorBidi"/>
        </w:rPr>
        <w:t>Hope Smiley-McDonald</w:t>
      </w:r>
    </w:p>
    <w:p w:rsidR="00F45304" w:rsidRPr="00912246" w:rsidP="00F45304" w14:paraId="1CAE2051" w14:textId="532F6D68">
      <w:pPr>
        <w:ind w:left="720"/>
        <w:rPr>
          <w:rFonts w:asciiTheme="majorBidi" w:hAnsiTheme="majorBidi" w:cstheme="majorBidi"/>
        </w:rPr>
      </w:pPr>
      <w:r>
        <w:rPr>
          <w:rFonts w:asciiTheme="majorBidi" w:hAnsiTheme="majorBidi" w:cstheme="majorBidi"/>
        </w:rPr>
        <w:t>RTI International</w:t>
      </w:r>
    </w:p>
    <w:p w:rsidR="00F45304" w:rsidRPr="00912246" w:rsidP="00F45304" w14:paraId="5F1A776D" w14:textId="77777777">
      <w:pPr>
        <w:ind w:left="720"/>
        <w:rPr>
          <w:rFonts w:asciiTheme="majorBidi" w:hAnsiTheme="majorBidi" w:cstheme="majorBidi"/>
        </w:rPr>
      </w:pPr>
    </w:p>
    <w:p w:rsidR="00F45304" w:rsidP="00F45304" w14:paraId="2D9895E3" w14:textId="11D915BC">
      <w:pPr>
        <w:ind w:firstLine="720"/>
        <w:rPr>
          <w:rFonts w:asciiTheme="majorBidi" w:hAnsiTheme="majorBidi" w:cstheme="majorBidi"/>
        </w:rPr>
      </w:pPr>
      <w:r>
        <w:rPr>
          <w:rFonts w:asciiTheme="majorBidi" w:hAnsiTheme="majorBidi" w:cstheme="majorBidi"/>
        </w:rPr>
        <w:t>Kelly Keyes</w:t>
      </w:r>
    </w:p>
    <w:p w:rsidR="003A7EAC" w:rsidRPr="00912246" w:rsidP="003A7EAC" w14:paraId="1AE6070C" w14:textId="77777777">
      <w:pPr>
        <w:ind w:left="720"/>
        <w:rPr>
          <w:rFonts w:asciiTheme="majorBidi" w:hAnsiTheme="majorBidi" w:cstheme="majorBidi"/>
        </w:rPr>
      </w:pPr>
      <w:r>
        <w:rPr>
          <w:rFonts w:asciiTheme="majorBidi" w:hAnsiTheme="majorBidi" w:cstheme="majorBidi"/>
        </w:rPr>
        <w:t>RTI International</w:t>
      </w:r>
    </w:p>
    <w:p w:rsidR="003A7EAC" w:rsidP="00F45304" w14:paraId="7898D9BC" w14:textId="77777777">
      <w:pPr>
        <w:ind w:firstLine="720"/>
        <w:rPr>
          <w:rFonts w:asciiTheme="majorBidi" w:hAnsiTheme="majorBidi" w:cstheme="majorBidi"/>
        </w:rPr>
      </w:pPr>
    </w:p>
    <w:p w:rsidR="00C91339" w:rsidP="00C91339" w14:paraId="60CB569A" w14:textId="77777777">
      <w:pPr>
        <w:ind w:firstLine="720"/>
        <w:rPr>
          <w:rFonts w:asciiTheme="majorBidi" w:hAnsiTheme="majorBidi" w:cstheme="majorBidi"/>
        </w:rPr>
      </w:pPr>
      <w:r>
        <w:rPr>
          <w:rFonts w:asciiTheme="majorBidi" w:hAnsiTheme="majorBidi" w:cstheme="majorBidi"/>
        </w:rPr>
        <w:t>Amanda Smith</w:t>
      </w:r>
    </w:p>
    <w:p w:rsidR="00C91339" w:rsidP="00C91339" w14:paraId="73C62F27" w14:textId="77777777">
      <w:pPr>
        <w:ind w:firstLine="720"/>
        <w:rPr>
          <w:rFonts w:asciiTheme="majorBidi" w:hAnsiTheme="majorBidi" w:cstheme="majorBidi"/>
        </w:rPr>
      </w:pPr>
      <w:r>
        <w:rPr>
          <w:rFonts w:asciiTheme="majorBidi" w:hAnsiTheme="majorBidi" w:cstheme="majorBidi"/>
        </w:rPr>
        <w:t>RTI International</w:t>
      </w:r>
    </w:p>
    <w:p w:rsidR="00C91339" w:rsidRPr="00912246" w:rsidP="00C91339" w14:paraId="0517EFD9" w14:textId="77777777">
      <w:pPr>
        <w:ind w:firstLine="720"/>
        <w:rPr>
          <w:rFonts w:asciiTheme="majorBidi" w:hAnsiTheme="majorBidi" w:cstheme="majorBidi"/>
        </w:rPr>
      </w:pPr>
    </w:p>
    <w:p w:rsidR="003A7EAC" w:rsidP="00F45304" w14:paraId="508BADCA" w14:textId="18133C3B">
      <w:pPr>
        <w:ind w:firstLine="720"/>
        <w:rPr>
          <w:rFonts w:asciiTheme="majorBidi" w:hAnsiTheme="majorBidi" w:cstheme="majorBidi"/>
        </w:rPr>
      </w:pPr>
      <w:r>
        <w:rPr>
          <w:rFonts w:asciiTheme="majorBidi" w:hAnsiTheme="majorBidi" w:cstheme="majorBidi"/>
        </w:rPr>
        <w:t>Ryan Weber</w:t>
      </w:r>
    </w:p>
    <w:p w:rsidR="003A7EAC" w:rsidRPr="00912246" w:rsidP="003A7EAC" w14:paraId="195EE4E6" w14:textId="77777777">
      <w:pPr>
        <w:ind w:left="720"/>
        <w:rPr>
          <w:rFonts w:asciiTheme="majorBidi" w:hAnsiTheme="majorBidi" w:cstheme="majorBidi"/>
        </w:rPr>
      </w:pPr>
      <w:r>
        <w:rPr>
          <w:rFonts w:asciiTheme="majorBidi" w:hAnsiTheme="majorBidi" w:cstheme="majorBidi"/>
        </w:rPr>
        <w:t>RTI International</w:t>
      </w:r>
    </w:p>
    <w:p w:rsidR="003A7EAC" w:rsidP="00F45304" w14:paraId="041E4C39" w14:textId="77777777">
      <w:pPr>
        <w:ind w:firstLine="720"/>
        <w:rPr>
          <w:rFonts w:asciiTheme="majorBidi" w:hAnsiTheme="majorBidi" w:cstheme="majorBidi"/>
        </w:rPr>
      </w:pPr>
    </w:p>
    <w:p w:rsidR="00C91339" w:rsidRPr="00912246" w14:paraId="5BF27736" w14:textId="77777777">
      <w:pPr>
        <w:ind w:firstLine="720"/>
        <w:rPr>
          <w:rFonts w:asciiTheme="majorBidi" w:hAnsiTheme="majorBidi" w:cstheme="majorBidi"/>
        </w:rPr>
      </w:pPr>
    </w:p>
    <w:sectPr w:rsidSect="002B248B">
      <w:footerReference w:type="default" r:id="rId10"/>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Book">
    <w:altName w:val="Baskerville Boo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35A2" w14:paraId="64B7FC84" w14:textId="51C137D2">
    <w:pPr>
      <w:pStyle w:val="Footer"/>
      <w:jc w:val="center"/>
    </w:pPr>
    <w:r>
      <w:fldChar w:fldCharType="begin"/>
    </w:r>
    <w:r>
      <w:instrText xml:space="preserve"> PAGE   \* MERGEFORMAT </w:instrText>
    </w:r>
    <w:r>
      <w:fldChar w:fldCharType="separate"/>
    </w:r>
    <w:r w:rsidR="00C53092">
      <w:rPr>
        <w:noProof/>
      </w:rPr>
      <w:t>5</w:t>
    </w:r>
    <w:r>
      <w:rPr>
        <w:noProof/>
      </w:rPr>
      <w:fldChar w:fldCharType="end"/>
    </w:r>
  </w:p>
  <w:p w:rsidR="00CA35A2" w14:paraId="015F425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B248B" w:rsidP="00421095" w14:paraId="266993A8" w14:textId="77777777">
      <w:r>
        <w:separator/>
      </w:r>
    </w:p>
  </w:footnote>
  <w:footnote w:type="continuationSeparator" w:id="1">
    <w:p w:rsidR="002B248B" w:rsidP="00421095" w14:paraId="619ED497" w14:textId="77777777">
      <w:r>
        <w:continuationSeparator/>
      </w:r>
    </w:p>
  </w:footnote>
  <w:footnote w:type="continuationNotice" w:id="2">
    <w:p w:rsidR="002B248B" w14:paraId="532DB87E" w14:textId="77777777"/>
  </w:footnote>
  <w:footnote w:id="3">
    <w:p w:rsidR="00B735E8" w:rsidRPr="00B735E8" w14:paraId="1C963210" w14:textId="7419DD6E">
      <w:pPr>
        <w:pStyle w:val="FootnoteText"/>
      </w:pPr>
      <w:r>
        <w:rPr>
          <w:rStyle w:val="FootnoteReference"/>
        </w:rPr>
        <w:footnoteRef/>
      </w:r>
      <w:r>
        <w:t xml:space="preserve"> U.S. Department of Justice. Bureau of Justice Statistics. </w:t>
      </w:r>
      <w:r>
        <w:rPr>
          <w:i/>
          <w:iCs/>
        </w:rPr>
        <w:t xml:space="preserve">Medical Examiners and Coroners’ Offices, 2004. </w:t>
      </w:r>
      <w:r>
        <w:t xml:space="preserve">NCJ 216756. </w:t>
      </w:r>
      <w:hyperlink r:id="rId1" w:history="1">
        <w:r w:rsidRPr="00B735E8">
          <w:rPr>
            <w:rStyle w:val="Hyperlink"/>
          </w:rPr>
          <w:t>https://bjs.ojp.gov/content/pub/pdf/meco04.pdf</w:t>
        </w:r>
      </w:hyperlink>
      <w:r>
        <w:t xml:space="preserve">. </w:t>
      </w:r>
    </w:p>
  </w:footnote>
  <w:footnote w:id="4">
    <w:p w:rsidR="00B735E8" w:rsidRPr="00B735E8" w14:paraId="1ED71B28" w14:textId="428999D3">
      <w:pPr>
        <w:pStyle w:val="FootnoteText"/>
      </w:pPr>
      <w:r>
        <w:rPr>
          <w:rStyle w:val="FootnoteReference"/>
        </w:rPr>
        <w:footnoteRef/>
      </w:r>
      <w:r>
        <w:t xml:space="preserve"> U.S. Department of Justice. Bureau of Justice Statistics. </w:t>
      </w:r>
      <w:r>
        <w:rPr>
          <w:i/>
          <w:iCs/>
        </w:rPr>
        <w:t xml:space="preserve">Medical Examiner and Coroner Offices, 2018. </w:t>
      </w:r>
      <w:r>
        <w:t xml:space="preserve">NCJ 302051. </w:t>
      </w:r>
      <w:hyperlink r:id="rId2" w:history="1">
        <w:r w:rsidRPr="0084223D">
          <w:rPr>
            <w:rStyle w:val="Hyperlink"/>
            <w:rFonts w:asciiTheme="majorBidi" w:hAnsiTheme="majorBidi" w:cstheme="majorBidi"/>
          </w:rPr>
          <w:t>https://bjs.ojp.gov/content/pub/pdf/meco18.pdf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C37D37"/>
    <w:multiLevelType w:val="hybridMultilevel"/>
    <w:tmpl w:val="7DD24CB2"/>
    <w:lvl w:ilvl="0">
      <w:start w:val="2"/>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BD362C"/>
    <w:multiLevelType w:val="hybridMultilevel"/>
    <w:tmpl w:val="00EE099E"/>
    <w:lvl w:ilvl="0">
      <w:start w:val="8"/>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E3C5581"/>
    <w:multiLevelType w:val="hybridMultilevel"/>
    <w:tmpl w:val="2C00869A"/>
    <w:lvl w:ilvl="0">
      <w:start w:val="8"/>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81C31A7"/>
    <w:multiLevelType w:val="hybridMultilevel"/>
    <w:tmpl w:val="0438503E"/>
    <w:lvl w:ilvl="0">
      <w:start w:val="1"/>
      <w:numFmt w:val="lowerLetter"/>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
    <w:nsid w:val="186643B6"/>
    <w:multiLevelType w:val="hybridMultilevel"/>
    <w:tmpl w:val="61BCBDF2"/>
    <w:lvl w:ilvl="0">
      <w:start w:val="3"/>
      <w:numFmt w:val="bullet"/>
      <w:lvlText w:val="-"/>
      <w:lvlJc w:val="left"/>
      <w:pPr>
        <w:ind w:left="996" w:hanging="360"/>
      </w:pPr>
      <w:rPr>
        <w:rFonts w:ascii="Times New Roman" w:eastAsia="Times New Roman" w:hAnsi="Times New Roman" w:hint="default"/>
      </w:rPr>
    </w:lvl>
    <w:lvl w:ilvl="1" w:tentative="1">
      <w:start w:val="1"/>
      <w:numFmt w:val="bullet"/>
      <w:lvlText w:val="o"/>
      <w:lvlJc w:val="left"/>
      <w:pPr>
        <w:ind w:left="1716" w:hanging="360"/>
      </w:pPr>
      <w:rPr>
        <w:rFonts w:ascii="Courier New" w:hAnsi="Courier New" w:hint="default"/>
      </w:rPr>
    </w:lvl>
    <w:lvl w:ilvl="2" w:tentative="1">
      <w:start w:val="1"/>
      <w:numFmt w:val="bullet"/>
      <w:lvlText w:val=""/>
      <w:lvlJc w:val="left"/>
      <w:pPr>
        <w:ind w:left="2436" w:hanging="360"/>
      </w:pPr>
      <w:rPr>
        <w:rFonts w:ascii="Wingdings" w:hAnsi="Wingdings" w:hint="default"/>
      </w:rPr>
    </w:lvl>
    <w:lvl w:ilvl="3" w:tentative="1">
      <w:start w:val="1"/>
      <w:numFmt w:val="bullet"/>
      <w:lvlText w:val=""/>
      <w:lvlJc w:val="left"/>
      <w:pPr>
        <w:ind w:left="3156" w:hanging="360"/>
      </w:pPr>
      <w:rPr>
        <w:rFonts w:ascii="Symbol" w:hAnsi="Symbol" w:hint="default"/>
      </w:rPr>
    </w:lvl>
    <w:lvl w:ilvl="4" w:tentative="1">
      <w:start w:val="1"/>
      <w:numFmt w:val="bullet"/>
      <w:lvlText w:val="o"/>
      <w:lvlJc w:val="left"/>
      <w:pPr>
        <w:ind w:left="3876" w:hanging="360"/>
      </w:pPr>
      <w:rPr>
        <w:rFonts w:ascii="Courier New" w:hAnsi="Courier New" w:hint="default"/>
      </w:rPr>
    </w:lvl>
    <w:lvl w:ilvl="5" w:tentative="1">
      <w:start w:val="1"/>
      <w:numFmt w:val="bullet"/>
      <w:lvlText w:val=""/>
      <w:lvlJc w:val="left"/>
      <w:pPr>
        <w:ind w:left="4596" w:hanging="360"/>
      </w:pPr>
      <w:rPr>
        <w:rFonts w:ascii="Wingdings" w:hAnsi="Wingdings" w:hint="default"/>
      </w:rPr>
    </w:lvl>
    <w:lvl w:ilvl="6" w:tentative="1">
      <w:start w:val="1"/>
      <w:numFmt w:val="bullet"/>
      <w:lvlText w:val=""/>
      <w:lvlJc w:val="left"/>
      <w:pPr>
        <w:ind w:left="5316" w:hanging="360"/>
      </w:pPr>
      <w:rPr>
        <w:rFonts w:ascii="Symbol" w:hAnsi="Symbol" w:hint="default"/>
      </w:rPr>
    </w:lvl>
    <w:lvl w:ilvl="7" w:tentative="1">
      <w:start w:val="1"/>
      <w:numFmt w:val="bullet"/>
      <w:lvlText w:val="o"/>
      <w:lvlJc w:val="left"/>
      <w:pPr>
        <w:ind w:left="6036" w:hanging="360"/>
      </w:pPr>
      <w:rPr>
        <w:rFonts w:ascii="Courier New" w:hAnsi="Courier New" w:hint="default"/>
      </w:rPr>
    </w:lvl>
    <w:lvl w:ilvl="8" w:tentative="1">
      <w:start w:val="1"/>
      <w:numFmt w:val="bullet"/>
      <w:lvlText w:val=""/>
      <w:lvlJc w:val="left"/>
      <w:pPr>
        <w:ind w:left="6756" w:hanging="360"/>
      </w:pPr>
      <w:rPr>
        <w:rFonts w:ascii="Wingdings" w:hAnsi="Wingdings" w:hint="default"/>
      </w:rPr>
    </w:lvl>
  </w:abstractNum>
  <w:abstractNum w:abstractNumId="5">
    <w:nsid w:val="283409FC"/>
    <w:multiLevelType w:val="hybridMultilevel"/>
    <w:tmpl w:val="74A4434C"/>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6">
    <w:nsid w:val="289C3548"/>
    <w:multiLevelType w:val="hybridMultilevel"/>
    <w:tmpl w:val="D2663094"/>
    <w:lvl w:ilvl="0">
      <w:start w:val="2"/>
      <w:numFmt w:val="upp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
    <w:nsid w:val="2AC050BE"/>
    <w:multiLevelType w:val="hybridMultilevel"/>
    <w:tmpl w:val="A45E51F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912E68"/>
    <w:multiLevelType w:val="hybridMultilevel"/>
    <w:tmpl w:val="8208E97E"/>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2F23869"/>
    <w:multiLevelType w:val="hybridMultilevel"/>
    <w:tmpl w:val="A5D694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9361529"/>
    <w:multiLevelType w:val="hybridMultilevel"/>
    <w:tmpl w:val="F26A4D6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nsid w:val="397F016C"/>
    <w:multiLevelType w:val="hybridMultilevel"/>
    <w:tmpl w:val="9C448182"/>
    <w:lvl w:ilvl="0">
      <w:start w:val="0"/>
      <w:numFmt w:val="bullet"/>
      <w:lvlText w:val=""/>
      <w:lvlJc w:val="left"/>
      <w:pPr>
        <w:ind w:left="360" w:hanging="360"/>
      </w:pPr>
      <w:rPr>
        <w:rFonts w:ascii="Symbol" w:eastAsia="Times New Roman"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2">
    <w:nsid w:val="3A9E71E6"/>
    <w:multiLevelType w:val="hybridMultilevel"/>
    <w:tmpl w:val="BE208B08"/>
    <w:lvl w:ilvl="0">
      <w:start w:val="8"/>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F9E53B9"/>
    <w:multiLevelType w:val="hybridMultilevel"/>
    <w:tmpl w:val="5F7A30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2BF58E1"/>
    <w:multiLevelType w:val="hybridMultilevel"/>
    <w:tmpl w:val="A34060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6FB5D6A"/>
    <w:multiLevelType w:val="hybridMultilevel"/>
    <w:tmpl w:val="2620DC7C"/>
    <w:lvl w:ilvl="0">
      <w:start w:val="8"/>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EAC5260"/>
    <w:multiLevelType w:val="hybridMultilevel"/>
    <w:tmpl w:val="661813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0E6EC9"/>
    <w:multiLevelType w:val="hybridMultilevel"/>
    <w:tmpl w:val="BD76CE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98050B2"/>
    <w:multiLevelType w:val="hybridMultilevel"/>
    <w:tmpl w:val="E60E5C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BDE2799"/>
    <w:multiLevelType w:val="hybridMultilevel"/>
    <w:tmpl w:val="A6B03F9E"/>
    <w:lvl w:ilvl="0">
      <w:start w:val="8"/>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63DB255F"/>
    <w:multiLevelType w:val="hybridMultilevel"/>
    <w:tmpl w:val="4C7EF74E"/>
    <w:lvl w:ilvl="0">
      <w:start w:val="1"/>
      <w:numFmt w:val="decimal"/>
      <w:lvlText w:val="%1."/>
      <w:lvlJc w:val="left"/>
      <w:pPr>
        <w:ind w:left="360" w:hanging="360"/>
      </w:pPr>
      <w:rPr>
        <w:rFonts w:hint="default"/>
        <w:b w:val="0"/>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6D1B7937"/>
    <w:multiLevelType w:val="hybridMultilevel"/>
    <w:tmpl w:val="AA1685E8"/>
    <w:lvl w:ilvl="0">
      <w:start w:val="8"/>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13F4B34"/>
    <w:multiLevelType w:val="hybridMultilevel"/>
    <w:tmpl w:val="BAD047F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23">
    <w:nsid w:val="754C2426"/>
    <w:multiLevelType w:val="hybridMultilevel"/>
    <w:tmpl w:val="E4983F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BE254C8"/>
    <w:multiLevelType w:val="hybridMultilevel"/>
    <w:tmpl w:val="12E89A50"/>
    <w:lvl w:ilvl="0">
      <w:start w:val="1"/>
      <w:numFmt w:val="decimal"/>
      <w:lvlText w:val="%1."/>
      <w:lvlJc w:val="left"/>
      <w:pPr>
        <w:ind w:left="720" w:hanging="360"/>
      </w:pPr>
      <w:rPr>
        <w:rFonts w:cs="Times New Roman" w:hint="default"/>
        <w:u w:val="none"/>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num w:numId="1" w16cid:durableId="1970551275">
    <w:abstractNumId w:val="6"/>
  </w:num>
  <w:num w:numId="2" w16cid:durableId="1220635452">
    <w:abstractNumId w:val="22"/>
  </w:num>
  <w:num w:numId="3" w16cid:durableId="14012918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3289810">
    <w:abstractNumId w:val="11"/>
  </w:num>
  <w:num w:numId="5" w16cid:durableId="883835035">
    <w:abstractNumId w:val="24"/>
  </w:num>
  <w:num w:numId="6" w16cid:durableId="878589423">
    <w:abstractNumId w:val="3"/>
  </w:num>
  <w:num w:numId="7" w16cid:durableId="29914539">
    <w:abstractNumId w:val="5"/>
  </w:num>
  <w:num w:numId="8" w16cid:durableId="1594631023">
    <w:abstractNumId w:val="16"/>
  </w:num>
  <w:num w:numId="9" w16cid:durableId="1398015832">
    <w:abstractNumId w:val="4"/>
  </w:num>
  <w:num w:numId="10" w16cid:durableId="1122765576">
    <w:abstractNumId w:val="23"/>
  </w:num>
  <w:num w:numId="11" w16cid:durableId="739409024">
    <w:abstractNumId w:val="14"/>
  </w:num>
  <w:num w:numId="12" w16cid:durableId="1156915717">
    <w:abstractNumId w:val="0"/>
  </w:num>
  <w:num w:numId="13" w16cid:durableId="1189445331">
    <w:abstractNumId w:val="21"/>
  </w:num>
  <w:num w:numId="14" w16cid:durableId="2071922925">
    <w:abstractNumId w:val="15"/>
  </w:num>
  <w:num w:numId="15" w16cid:durableId="698701107">
    <w:abstractNumId w:val="2"/>
  </w:num>
  <w:num w:numId="16" w16cid:durableId="238752358">
    <w:abstractNumId w:val="12"/>
  </w:num>
  <w:num w:numId="17" w16cid:durableId="1089931329">
    <w:abstractNumId w:val="1"/>
  </w:num>
  <w:num w:numId="18" w16cid:durableId="59669520">
    <w:abstractNumId w:val="19"/>
  </w:num>
  <w:num w:numId="19" w16cid:durableId="1851293479">
    <w:abstractNumId w:val="20"/>
  </w:num>
  <w:num w:numId="20" w16cid:durableId="1230339923">
    <w:abstractNumId w:val="13"/>
  </w:num>
  <w:num w:numId="21" w16cid:durableId="479464633">
    <w:abstractNumId w:val="7"/>
  </w:num>
  <w:num w:numId="22" w16cid:durableId="433094057">
    <w:abstractNumId w:val="9"/>
  </w:num>
  <w:num w:numId="23" w16cid:durableId="186063497">
    <w:abstractNumId w:val="18"/>
  </w:num>
  <w:num w:numId="24" w16cid:durableId="1537809042">
    <w:abstractNumId w:val="17"/>
  </w:num>
  <w:num w:numId="25" w16cid:durableId="9560628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095"/>
    <w:rsid w:val="00001C7E"/>
    <w:rsid w:val="000074BE"/>
    <w:rsid w:val="00014CA5"/>
    <w:rsid w:val="00016411"/>
    <w:rsid w:val="00023294"/>
    <w:rsid w:val="00032469"/>
    <w:rsid w:val="00033F8F"/>
    <w:rsid w:val="000446DE"/>
    <w:rsid w:val="00045E6A"/>
    <w:rsid w:val="00050157"/>
    <w:rsid w:val="00054646"/>
    <w:rsid w:val="000576EE"/>
    <w:rsid w:val="000675B5"/>
    <w:rsid w:val="0007040A"/>
    <w:rsid w:val="00072948"/>
    <w:rsid w:val="000827E8"/>
    <w:rsid w:val="000828A4"/>
    <w:rsid w:val="00085217"/>
    <w:rsid w:val="00085720"/>
    <w:rsid w:val="000926FE"/>
    <w:rsid w:val="00094501"/>
    <w:rsid w:val="000969E7"/>
    <w:rsid w:val="000A2955"/>
    <w:rsid w:val="000A4419"/>
    <w:rsid w:val="000A650C"/>
    <w:rsid w:val="000B246F"/>
    <w:rsid w:val="000B2722"/>
    <w:rsid w:val="000B4B80"/>
    <w:rsid w:val="000C0276"/>
    <w:rsid w:val="000C5D62"/>
    <w:rsid w:val="000D35CC"/>
    <w:rsid w:val="000D6E27"/>
    <w:rsid w:val="000E0900"/>
    <w:rsid w:val="000E0CA3"/>
    <w:rsid w:val="000E2702"/>
    <w:rsid w:val="000E3408"/>
    <w:rsid w:val="000E344A"/>
    <w:rsid w:val="000E6CAA"/>
    <w:rsid w:val="000E758D"/>
    <w:rsid w:val="000E776D"/>
    <w:rsid w:val="000F04FA"/>
    <w:rsid w:val="000F7778"/>
    <w:rsid w:val="00102480"/>
    <w:rsid w:val="00106EC1"/>
    <w:rsid w:val="0011358B"/>
    <w:rsid w:val="001140ED"/>
    <w:rsid w:val="001153BE"/>
    <w:rsid w:val="00120908"/>
    <w:rsid w:val="001263B0"/>
    <w:rsid w:val="00126CF5"/>
    <w:rsid w:val="00132731"/>
    <w:rsid w:val="0013674A"/>
    <w:rsid w:val="00141E43"/>
    <w:rsid w:val="0014205B"/>
    <w:rsid w:val="00142812"/>
    <w:rsid w:val="0015008F"/>
    <w:rsid w:val="00150A68"/>
    <w:rsid w:val="00153E6C"/>
    <w:rsid w:val="0015460D"/>
    <w:rsid w:val="00154BF9"/>
    <w:rsid w:val="00156922"/>
    <w:rsid w:val="00156D8C"/>
    <w:rsid w:val="001607A7"/>
    <w:rsid w:val="0016367F"/>
    <w:rsid w:val="00174DB9"/>
    <w:rsid w:val="001756B1"/>
    <w:rsid w:val="001771C8"/>
    <w:rsid w:val="001772F0"/>
    <w:rsid w:val="00181BB8"/>
    <w:rsid w:val="00181DFB"/>
    <w:rsid w:val="00183C0D"/>
    <w:rsid w:val="00184F6F"/>
    <w:rsid w:val="00184F74"/>
    <w:rsid w:val="00195506"/>
    <w:rsid w:val="001968E5"/>
    <w:rsid w:val="001A11AD"/>
    <w:rsid w:val="001A2393"/>
    <w:rsid w:val="001A25E3"/>
    <w:rsid w:val="001A5854"/>
    <w:rsid w:val="001B282F"/>
    <w:rsid w:val="001B2FDB"/>
    <w:rsid w:val="001B31D2"/>
    <w:rsid w:val="001B7D00"/>
    <w:rsid w:val="001C1809"/>
    <w:rsid w:val="001C36A5"/>
    <w:rsid w:val="001C4F29"/>
    <w:rsid w:val="001C7BD5"/>
    <w:rsid w:val="001D0069"/>
    <w:rsid w:val="001D0A9F"/>
    <w:rsid w:val="001D0B80"/>
    <w:rsid w:val="001D19B2"/>
    <w:rsid w:val="001D2403"/>
    <w:rsid w:val="001D3395"/>
    <w:rsid w:val="001D5736"/>
    <w:rsid w:val="001D5FA9"/>
    <w:rsid w:val="001D7A84"/>
    <w:rsid w:val="001E072F"/>
    <w:rsid w:val="001F5F93"/>
    <w:rsid w:val="001F6D37"/>
    <w:rsid w:val="00201D3C"/>
    <w:rsid w:val="0021346F"/>
    <w:rsid w:val="00214193"/>
    <w:rsid w:val="00215309"/>
    <w:rsid w:val="00215BF6"/>
    <w:rsid w:val="00220D9C"/>
    <w:rsid w:val="0022162E"/>
    <w:rsid w:val="00221C45"/>
    <w:rsid w:val="00232C38"/>
    <w:rsid w:val="00233985"/>
    <w:rsid w:val="00235EEB"/>
    <w:rsid w:val="00241117"/>
    <w:rsid w:val="00244F9B"/>
    <w:rsid w:val="002517BF"/>
    <w:rsid w:val="002529F3"/>
    <w:rsid w:val="0025383E"/>
    <w:rsid w:val="0025461C"/>
    <w:rsid w:val="002556F3"/>
    <w:rsid w:val="00255BBC"/>
    <w:rsid w:val="002571A7"/>
    <w:rsid w:val="00264BD8"/>
    <w:rsid w:val="00264C0B"/>
    <w:rsid w:val="00266B74"/>
    <w:rsid w:val="00281800"/>
    <w:rsid w:val="0028322C"/>
    <w:rsid w:val="002863A9"/>
    <w:rsid w:val="00286EB0"/>
    <w:rsid w:val="002934A5"/>
    <w:rsid w:val="0029378F"/>
    <w:rsid w:val="002938DB"/>
    <w:rsid w:val="0029771E"/>
    <w:rsid w:val="002A2817"/>
    <w:rsid w:val="002A5E9A"/>
    <w:rsid w:val="002A6662"/>
    <w:rsid w:val="002A780B"/>
    <w:rsid w:val="002B248B"/>
    <w:rsid w:val="002B40A1"/>
    <w:rsid w:val="002B50D1"/>
    <w:rsid w:val="002C1195"/>
    <w:rsid w:val="002C14AB"/>
    <w:rsid w:val="002C20A4"/>
    <w:rsid w:val="002C78AD"/>
    <w:rsid w:val="002D02F0"/>
    <w:rsid w:val="002D405D"/>
    <w:rsid w:val="002E31DC"/>
    <w:rsid w:val="002E44D5"/>
    <w:rsid w:val="002E51C0"/>
    <w:rsid w:val="002E7841"/>
    <w:rsid w:val="002F1F18"/>
    <w:rsid w:val="002F2969"/>
    <w:rsid w:val="002F3155"/>
    <w:rsid w:val="002F54E1"/>
    <w:rsid w:val="003138B8"/>
    <w:rsid w:val="003143E4"/>
    <w:rsid w:val="0031523F"/>
    <w:rsid w:val="00315CB5"/>
    <w:rsid w:val="003176AF"/>
    <w:rsid w:val="00317B60"/>
    <w:rsid w:val="00324A5A"/>
    <w:rsid w:val="00327ED9"/>
    <w:rsid w:val="00335D4D"/>
    <w:rsid w:val="0033618A"/>
    <w:rsid w:val="0034126D"/>
    <w:rsid w:val="00342014"/>
    <w:rsid w:val="003436E1"/>
    <w:rsid w:val="00355E71"/>
    <w:rsid w:val="00355ECD"/>
    <w:rsid w:val="00356D98"/>
    <w:rsid w:val="00361E8A"/>
    <w:rsid w:val="00365360"/>
    <w:rsid w:val="00372124"/>
    <w:rsid w:val="00372210"/>
    <w:rsid w:val="00372E3C"/>
    <w:rsid w:val="003737A5"/>
    <w:rsid w:val="0037541D"/>
    <w:rsid w:val="003764E3"/>
    <w:rsid w:val="0038287B"/>
    <w:rsid w:val="003832C7"/>
    <w:rsid w:val="0039108F"/>
    <w:rsid w:val="00392F0B"/>
    <w:rsid w:val="00393A8F"/>
    <w:rsid w:val="00395D95"/>
    <w:rsid w:val="003A16D1"/>
    <w:rsid w:val="003A20DF"/>
    <w:rsid w:val="003A7EAC"/>
    <w:rsid w:val="003A7FFE"/>
    <w:rsid w:val="003B187E"/>
    <w:rsid w:val="003B3F4F"/>
    <w:rsid w:val="003C176B"/>
    <w:rsid w:val="003C185D"/>
    <w:rsid w:val="003C551A"/>
    <w:rsid w:val="003D1680"/>
    <w:rsid w:val="003D1D5E"/>
    <w:rsid w:val="003D3867"/>
    <w:rsid w:val="003D7540"/>
    <w:rsid w:val="003D761B"/>
    <w:rsid w:val="003F19BC"/>
    <w:rsid w:val="003F267F"/>
    <w:rsid w:val="00403F4F"/>
    <w:rsid w:val="004040A2"/>
    <w:rsid w:val="0040487E"/>
    <w:rsid w:val="00414486"/>
    <w:rsid w:val="00421095"/>
    <w:rsid w:val="00421A5C"/>
    <w:rsid w:val="00424A72"/>
    <w:rsid w:val="00427159"/>
    <w:rsid w:val="0042774B"/>
    <w:rsid w:val="00435AB2"/>
    <w:rsid w:val="00447024"/>
    <w:rsid w:val="00451D4F"/>
    <w:rsid w:val="00470EDF"/>
    <w:rsid w:val="004723F8"/>
    <w:rsid w:val="004746E1"/>
    <w:rsid w:val="00483638"/>
    <w:rsid w:val="00484AE1"/>
    <w:rsid w:val="00485FA4"/>
    <w:rsid w:val="00486047"/>
    <w:rsid w:val="004867CD"/>
    <w:rsid w:val="00491F08"/>
    <w:rsid w:val="0049533B"/>
    <w:rsid w:val="004A3F67"/>
    <w:rsid w:val="004A43EC"/>
    <w:rsid w:val="004A60CF"/>
    <w:rsid w:val="004A6B6A"/>
    <w:rsid w:val="004A6F27"/>
    <w:rsid w:val="004B36A6"/>
    <w:rsid w:val="004B3D21"/>
    <w:rsid w:val="004B70E7"/>
    <w:rsid w:val="004C04D7"/>
    <w:rsid w:val="004C17AA"/>
    <w:rsid w:val="004C3B1A"/>
    <w:rsid w:val="004C400F"/>
    <w:rsid w:val="004C6C8B"/>
    <w:rsid w:val="004C7B82"/>
    <w:rsid w:val="004D05E2"/>
    <w:rsid w:val="004D1B18"/>
    <w:rsid w:val="004D3163"/>
    <w:rsid w:val="004D408C"/>
    <w:rsid w:val="004E4F07"/>
    <w:rsid w:val="004E7722"/>
    <w:rsid w:val="00502152"/>
    <w:rsid w:val="0050547B"/>
    <w:rsid w:val="00520BFE"/>
    <w:rsid w:val="005218C3"/>
    <w:rsid w:val="005223D5"/>
    <w:rsid w:val="00522972"/>
    <w:rsid w:val="00525D9F"/>
    <w:rsid w:val="005278A6"/>
    <w:rsid w:val="00534456"/>
    <w:rsid w:val="00536F56"/>
    <w:rsid w:val="00546065"/>
    <w:rsid w:val="0055128D"/>
    <w:rsid w:val="005515F4"/>
    <w:rsid w:val="00560DB1"/>
    <w:rsid w:val="0056170A"/>
    <w:rsid w:val="00561732"/>
    <w:rsid w:val="00562CDA"/>
    <w:rsid w:val="00563991"/>
    <w:rsid w:val="00567C12"/>
    <w:rsid w:val="00584ED2"/>
    <w:rsid w:val="00585347"/>
    <w:rsid w:val="00585E69"/>
    <w:rsid w:val="00586018"/>
    <w:rsid w:val="005963FF"/>
    <w:rsid w:val="00596C3F"/>
    <w:rsid w:val="00597314"/>
    <w:rsid w:val="00597E58"/>
    <w:rsid w:val="005A2FFF"/>
    <w:rsid w:val="005A4982"/>
    <w:rsid w:val="005C387D"/>
    <w:rsid w:val="005C3A6C"/>
    <w:rsid w:val="005C3E46"/>
    <w:rsid w:val="005C59FA"/>
    <w:rsid w:val="005D00FD"/>
    <w:rsid w:val="005D6CDA"/>
    <w:rsid w:val="005E0A21"/>
    <w:rsid w:val="005E4BE4"/>
    <w:rsid w:val="005F0E3D"/>
    <w:rsid w:val="005F1731"/>
    <w:rsid w:val="005F1872"/>
    <w:rsid w:val="005F51E0"/>
    <w:rsid w:val="006019B8"/>
    <w:rsid w:val="00602E66"/>
    <w:rsid w:val="00603C2C"/>
    <w:rsid w:val="006051BB"/>
    <w:rsid w:val="00605F88"/>
    <w:rsid w:val="00610E68"/>
    <w:rsid w:val="00617031"/>
    <w:rsid w:val="00624618"/>
    <w:rsid w:val="00624AB4"/>
    <w:rsid w:val="00634148"/>
    <w:rsid w:val="00634474"/>
    <w:rsid w:val="00634B4A"/>
    <w:rsid w:val="00640A93"/>
    <w:rsid w:val="00644982"/>
    <w:rsid w:val="00645FE4"/>
    <w:rsid w:val="00653917"/>
    <w:rsid w:val="00653DFC"/>
    <w:rsid w:val="00654F27"/>
    <w:rsid w:val="00655B53"/>
    <w:rsid w:val="00660FFC"/>
    <w:rsid w:val="00662915"/>
    <w:rsid w:val="00667F04"/>
    <w:rsid w:val="0067742B"/>
    <w:rsid w:val="00684E70"/>
    <w:rsid w:val="00685121"/>
    <w:rsid w:val="006854CF"/>
    <w:rsid w:val="00690401"/>
    <w:rsid w:val="0069339F"/>
    <w:rsid w:val="00693D82"/>
    <w:rsid w:val="00694649"/>
    <w:rsid w:val="00695798"/>
    <w:rsid w:val="00697C64"/>
    <w:rsid w:val="006A4021"/>
    <w:rsid w:val="006B1C25"/>
    <w:rsid w:val="006B2952"/>
    <w:rsid w:val="006B3088"/>
    <w:rsid w:val="006B39B9"/>
    <w:rsid w:val="006B68FE"/>
    <w:rsid w:val="006C2B20"/>
    <w:rsid w:val="006C36B5"/>
    <w:rsid w:val="006C6576"/>
    <w:rsid w:val="006C70A8"/>
    <w:rsid w:val="006D3C3E"/>
    <w:rsid w:val="006D5CF9"/>
    <w:rsid w:val="006D710F"/>
    <w:rsid w:val="006E0341"/>
    <w:rsid w:val="006E2E70"/>
    <w:rsid w:val="006E2F09"/>
    <w:rsid w:val="006E3648"/>
    <w:rsid w:val="006E4D79"/>
    <w:rsid w:val="006E4EAA"/>
    <w:rsid w:val="006F23AD"/>
    <w:rsid w:val="006F342C"/>
    <w:rsid w:val="006F4BDC"/>
    <w:rsid w:val="006F5109"/>
    <w:rsid w:val="006F5AE4"/>
    <w:rsid w:val="006F7500"/>
    <w:rsid w:val="0070036B"/>
    <w:rsid w:val="0070602A"/>
    <w:rsid w:val="0071435B"/>
    <w:rsid w:val="00723A04"/>
    <w:rsid w:val="00730FD5"/>
    <w:rsid w:val="00732182"/>
    <w:rsid w:val="00735BD5"/>
    <w:rsid w:val="007363C1"/>
    <w:rsid w:val="007401C2"/>
    <w:rsid w:val="00747B75"/>
    <w:rsid w:val="007518E2"/>
    <w:rsid w:val="007525F0"/>
    <w:rsid w:val="00752D03"/>
    <w:rsid w:val="00762F51"/>
    <w:rsid w:val="00783516"/>
    <w:rsid w:val="007862D1"/>
    <w:rsid w:val="00787BCA"/>
    <w:rsid w:val="00790BF7"/>
    <w:rsid w:val="00792E7B"/>
    <w:rsid w:val="00795B4C"/>
    <w:rsid w:val="00797C04"/>
    <w:rsid w:val="00797DAB"/>
    <w:rsid w:val="007A50F4"/>
    <w:rsid w:val="007B19B9"/>
    <w:rsid w:val="007B3374"/>
    <w:rsid w:val="007B49A0"/>
    <w:rsid w:val="007B6839"/>
    <w:rsid w:val="007C126A"/>
    <w:rsid w:val="007C6117"/>
    <w:rsid w:val="007D2796"/>
    <w:rsid w:val="007E5035"/>
    <w:rsid w:val="007F0284"/>
    <w:rsid w:val="007F4A6B"/>
    <w:rsid w:val="007F7D86"/>
    <w:rsid w:val="00805A1B"/>
    <w:rsid w:val="00811132"/>
    <w:rsid w:val="0081338B"/>
    <w:rsid w:val="008230B7"/>
    <w:rsid w:val="00825AEE"/>
    <w:rsid w:val="00830D99"/>
    <w:rsid w:val="00830E89"/>
    <w:rsid w:val="008378EB"/>
    <w:rsid w:val="00840981"/>
    <w:rsid w:val="0084223D"/>
    <w:rsid w:val="00844BA7"/>
    <w:rsid w:val="0084522C"/>
    <w:rsid w:val="00850BFF"/>
    <w:rsid w:val="00851149"/>
    <w:rsid w:val="00851182"/>
    <w:rsid w:val="00854463"/>
    <w:rsid w:val="008633F7"/>
    <w:rsid w:val="0086493A"/>
    <w:rsid w:val="00866401"/>
    <w:rsid w:val="008711A5"/>
    <w:rsid w:val="008716DC"/>
    <w:rsid w:val="00872B6B"/>
    <w:rsid w:val="00873656"/>
    <w:rsid w:val="00874996"/>
    <w:rsid w:val="0087770F"/>
    <w:rsid w:val="00880043"/>
    <w:rsid w:val="00881132"/>
    <w:rsid w:val="008A2479"/>
    <w:rsid w:val="008A50EA"/>
    <w:rsid w:val="008A623B"/>
    <w:rsid w:val="008A7CB7"/>
    <w:rsid w:val="008B061B"/>
    <w:rsid w:val="008B4351"/>
    <w:rsid w:val="008B4DF2"/>
    <w:rsid w:val="008C5B49"/>
    <w:rsid w:val="008D0673"/>
    <w:rsid w:val="008D4883"/>
    <w:rsid w:val="008D7A43"/>
    <w:rsid w:val="008E488A"/>
    <w:rsid w:val="008F20E2"/>
    <w:rsid w:val="008F30CB"/>
    <w:rsid w:val="008F607E"/>
    <w:rsid w:val="008F6BB5"/>
    <w:rsid w:val="009015FB"/>
    <w:rsid w:val="00902134"/>
    <w:rsid w:val="00902675"/>
    <w:rsid w:val="00902FB6"/>
    <w:rsid w:val="0090482C"/>
    <w:rsid w:val="009065C7"/>
    <w:rsid w:val="00907513"/>
    <w:rsid w:val="00912246"/>
    <w:rsid w:val="00914254"/>
    <w:rsid w:val="0092026D"/>
    <w:rsid w:val="00920AC5"/>
    <w:rsid w:val="00924F9A"/>
    <w:rsid w:val="009316B4"/>
    <w:rsid w:val="00931733"/>
    <w:rsid w:val="00933679"/>
    <w:rsid w:val="0094056C"/>
    <w:rsid w:val="00946AAC"/>
    <w:rsid w:val="00946BF6"/>
    <w:rsid w:val="00950AE3"/>
    <w:rsid w:val="00952EB2"/>
    <w:rsid w:val="00954D5E"/>
    <w:rsid w:val="009561F8"/>
    <w:rsid w:val="00961A19"/>
    <w:rsid w:val="00961FBA"/>
    <w:rsid w:val="00962657"/>
    <w:rsid w:val="009637AB"/>
    <w:rsid w:val="00964219"/>
    <w:rsid w:val="00965177"/>
    <w:rsid w:val="00965D80"/>
    <w:rsid w:val="009662FC"/>
    <w:rsid w:val="009670CA"/>
    <w:rsid w:val="00967556"/>
    <w:rsid w:val="00971B34"/>
    <w:rsid w:val="009732F7"/>
    <w:rsid w:val="009804B2"/>
    <w:rsid w:val="00980C53"/>
    <w:rsid w:val="009911E7"/>
    <w:rsid w:val="00996FD0"/>
    <w:rsid w:val="009A5CCC"/>
    <w:rsid w:val="009A7302"/>
    <w:rsid w:val="009C1E32"/>
    <w:rsid w:val="009C2ECA"/>
    <w:rsid w:val="009C6032"/>
    <w:rsid w:val="009C67BB"/>
    <w:rsid w:val="009D325E"/>
    <w:rsid w:val="009D4CDB"/>
    <w:rsid w:val="009D598A"/>
    <w:rsid w:val="009D77A4"/>
    <w:rsid w:val="009D78EC"/>
    <w:rsid w:val="009E5F27"/>
    <w:rsid w:val="009F1CA6"/>
    <w:rsid w:val="009F457F"/>
    <w:rsid w:val="00A00AEA"/>
    <w:rsid w:val="00A012CD"/>
    <w:rsid w:val="00A01AB4"/>
    <w:rsid w:val="00A03BFC"/>
    <w:rsid w:val="00A04ED7"/>
    <w:rsid w:val="00A054DC"/>
    <w:rsid w:val="00A10512"/>
    <w:rsid w:val="00A10D6D"/>
    <w:rsid w:val="00A1117B"/>
    <w:rsid w:val="00A14C2E"/>
    <w:rsid w:val="00A14C5E"/>
    <w:rsid w:val="00A16A73"/>
    <w:rsid w:val="00A251E6"/>
    <w:rsid w:val="00A328D0"/>
    <w:rsid w:val="00A46948"/>
    <w:rsid w:val="00A631F2"/>
    <w:rsid w:val="00A73552"/>
    <w:rsid w:val="00A747BF"/>
    <w:rsid w:val="00A77948"/>
    <w:rsid w:val="00A80570"/>
    <w:rsid w:val="00A80847"/>
    <w:rsid w:val="00A8099B"/>
    <w:rsid w:val="00A82030"/>
    <w:rsid w:val="00A829DC"/>
    <w:rsid w:val="00A84248"/>
    <w:rsid w:val="00A877BF"/>
    <w:rsid w:val="00AA4A60"/>
    <w:rsid w:val="00AA4C81"/>
    <w:rsid w:val="00AB15BD"/>
    <w:rsid w:val="00AB7E9D"/>
    <w:rsid w:val="00AC4136"/>
    <w:rsid w:val="00AD3D3F"/>
    <w:rsid w:val="00AF0C45"/>
    <w:rsid w:val="00AF3400"/>
    <w:rsid w:val="00AF65C5"/>
    <w:rsid w:val="00AF7385"/>
    <w:rsid w:val="00B03515"/>
    <w:rsid w:val="00B11A62"/>
    <w:rsid w:val="00B136CC"/>
    <w:rsid w:val="00B15D3A"/>
    <w:rsid w:val="00B263F8"/>
    <w:rsid w:val="00B3014D"/>
    <w:rsid w:val="00B30A3C"/>
    <w:rsid w:val="00B367FC"/>
    <w:rsid w:val="00B41E2B"/>
    <w:rsid w:val="00B42DC5"/>
    <w:rsid w:val="00B4468B"/>
    <w:rsid w:val="00B4474B"/>
    <w:rsid w:val="00B46342"/>
    <w:rsid w:val="00B66151"/>
    <w:rsid w:val="00B6669C"/>
    <w:rsid w:val="00B735E8"/>
    <w:rsid w:val="00B75EBE"/>
    <w:rsid w:val="00B8218C"/>
    <w:rsid w:val="00B8224F"/>
    <w:rsid w:val="00B824FD"/>
    <w:rsid w:val="00B8502C"/>
    <w:rsid w:val="00B917AC"/>
    <w:rsid w:val="00B948CD"/>
    <w:rsid w:val="00B951D8"/>
    <w:rsid w:val="00B97A6A"/>
    <w:rsid w:val="00BA08D8"/>
    <w:rsid w:val="00BA3119"/>
    <w:rsid w:val="00BA38BB"/>
    <w:rsid w:val="00BA603E"/>
    <w:rsid w:val="00BA68D7"/>
    <w:rsid w:val="00BA760A"/>
    <w:rsid w:val="00BB0061"/>
    <w:rsid w:val="00BB1B5F"/>
    <w:rsid w:val="00BC09EC"/>
    <w:rsid w:val="00BD114C"/>
    <w:rsid w:val="00BD728C"/>
    <w:rsid w:val="00BE0863"/>
    <w:rsid w:val="00BF3C9C"/>
    <w:rsid w:val="00BF541F"/>
    <w:rsid w:val="00C0192C"/>
    <w:rsid w:val="00C03D85"/>
    <w:rsid w:val="00C042AB"/>
    <w:rsid w:val="00C10A40"/>
    <w:rsid w:val="00C15403"/>
    <w:rsid w:val="00C20342"/>
    <w:rsid w:val="00C226FA"/>
    <w:rsid w:val="00C320B6"/>
    <w:rsid w:val="00C406FB"/>
    <w:rsid w:val="00C40898"/>
    <w:rsid w:val="00C40F27"/>
    <w:rsid w:val="00C45267"/>
    <w:rsid w:val="00C45C8D"/>
    <w:rsid w:val="00C46F7B"/>
    <w:rsid w:val="00C51F17"/>
    <w:rsid w:val="00C53092"/>
    <w:rsid w:val="00C54F30"/>
    <w:rsid w:val="00C619AF"/>
    <w:rsid w:val="00C629F7"/>
    <w:rsid w:val="00C64C2C"/>
    <w:rsid w:val="00C659DC"/>
    <w:rsid w:val="00C75265"/>
    <w:rsid w:val="00C7554E"/>
    <w:rsid w:val="00C80F45"/>
    <w:rsid w:val="00C829B7"/>
    <w:rsid w:val="00C82F46"/>
    <w:rsid w:val="00C8618D"/>
    <w:rsid w:val="00C91339"/>
    <w:rsid w:val="00CA35A2"/>
    <w:rsid w:val="00CA59DB"/>
    <w:rsid w:val="00CB19FE"/>
    <w:rsid w:val="00CB5766"/>
    <w:rsid w:val="00CB64EE"/>
    <w:rsid w:val="00CC3A20"/>
    <w:rsid w:val="00CC7CB4"/>
    <w:rsid w:val="00CD0C57"/>
    <w:rsid w:val="00CD2DCA"/>
    <w:rsid w:val="00CD2FA8"/>
    <w:rsid w:val="00CD33AE"/>
    <w:rsid w:val="00CD4F69"/>
    <w:rsid w:val="00CE72C2"/>
    <w:rsid w:val="00CF3C84"/>
    <w:rsid w:val="00D0525F"/>
    <w:rsid w:val="00D07046"/>
    <w:rsid w:val="00D079EA"/>
    <w:rsid w:val="00D133BE"/>
    <w:rsid w:val="00D1351F"/>
    <w:rsid w:val="00D13543"/>
    <w:rsid w:val="00D21238"/>
    <w:rsid w:val="00D25DA9"/>
    <w:rsid w:val="00D31C04"/>
    <w:rsid w:val="00D4224E"/>
    <w:rsid w:val="00D42FD0"/>
    <w:rsid w:val="00D53689"/>
    <w:rsid w:val="00D5685E"/>
    <w:rsid w:val="00D61EDE"/>
    <w:rsid w:val="00D70D1D"/>
    <w:rsid w:val="00D77AFF"/>
    <w:rsid w:val="00D8163F"/>
    <w:rsid w:val="00D83CB6"/>
    <w:rsid w:val="00D85348"/>
    <w:rsid w:val="00D87533"/>
    <w:rsid w:val="00D90B7D"/>
    <w:rsid w:val="00D91DDC"/>
    <w:rsid w:val="00DA6ABB"/>
    <w:rsid w:val="00DA77FB"/>
    <w:rsid w:val="00DA7A77"/>
    <w:rsid w:val="00DB1111"/>
    <w:rsid w:val="00DC2E20"/>
    <w:rsid w:val="00DC499A"/>
    <w:rsid w:val="00DE02F5"/>
    <w:rsid w:val="00DE1C07"/>
    <w:rsid w:val="00DE2725"/>
    <w:rsid w:val="00DE2AA7"/>
    <w:rsid w:val="00DE4BBB"/>
    <w:rsid w:val="00DE55C0"/>
    <w:rsid w:val="00E00040"/>
    <w:rsid w:val="00E0154D"/>
    <w:rsid w:val="00E039FA"/>
    <w:rsid w:val="00E040D0"/>
    <w:rsid w:val="00E05071"/>
    <w:rsid w:val="00E07E25"/>
    <w:rsid w:val="00E15D89"/>
    <w:rsid w:val="00E1762C"/>
    <w:rsid w:val="00E21086"/>
    <w:rsid w:val="00E24AB8"/>
    <w:rsid w:val="00E253B2"/>
    <w:rsid w:val="00E330EB"/>
    <w:rsid w:val="00E45B7D"/>
    <w:rsid w:val="00E505CC"/>
    <w:rsid w:val="00E511F2"/>
    <w:rsid w:val="00E5337D"/>
    <w:rsid w:val="00E555FB"/>
    <w:rsid w:val="00E60C72"/>
    <w:rsid w:val="00E636FE"/>
    <w:rsid w:val="00E66755"/>
    <w:rsid w:val="00E703D2"/>
    <w:rsid w:val="00E714C5"/>
    <w:rsid w:val="00E71D4E"/>
    <w:rsid w:val="00E73CDF"/>
    <w:rsid w:val="00E87E54"/>
    <w:rsid w:val="00E92D0F"/>
    <w:rsid w:val="00E94DD9"/>
    <w:rsid w:val="00EA0990"/>
    <w:rsid w:val="00EA0A38"/>
    <w:rsid w:val="00EA179E"/>
    <w:rsid w:val="00EB0028"/>
    <w:rsid w:val="00EB1ED5"/>
    <w:rsid w:val="00EC281A"/>
    <w:rsid w:val="00EC7CC2"/>
    <w:rsid w:val="00ED1A60"/>
    <w:rsid w:val="00ED4CE6"/>
    <w:rsid w:val="00ED7214"/>
    <w:rsid w:val="00ED779C"/>
    <w:rsid w:val="00F00D6E"/>
    <w:rsid w:val="00F016C8"/>
    <w:rsid w:val="00F03B9D"/>
    <w:rsid w:val="00F0449C"/>
    <w:rsid w:val="00F17625"/>
    <w:rsid w:val="00F1799B"/>
    <w:rsid w:val="00F21D7C"/>
    <w:rsid w:val="00F26654"/>
    <w:rsid w:val="00F31385"/>
    <w:rsid w:val="00F425EA"/>
    <w:rsid w:val="00F43834"/>
    <w:rsid w:val="00F4480B"/>
    <w:rsid w:val="00F45304"/>
    <w:rsid w:val="00F514BF"/>
    <w:rsid w:val="00F537FC"/>
    <w:rsid w:val="00F54C6B"/>
    <w:rsid w:val="00F55176"/>
    <w:rsid w:val="00F56D06"/>
    <w:rsid w:val="00F572D8"/>
    <w:rsid w:val="00F60065"/>
    <w:rsid w:val="00F6199F"/>
    <w:rsid w:val="00F65B1A"/>
    <w:rsid w:val="00F71507"/>
    <w:rsid w:val="00F74153"/>
    <w:rsid w:val="00F744CB"/>
    <w:rsid w:val="00F758A9"/>
    <w:rsid w:val="00F830E5"/>
    <w:rsid w:val="00F8324C"/>
    <w:rsid w:val="00F87B8E"/>
    <w:rsid w:val="00FA096B"/>
    <w:rsid w:val="00FA38FF"/>
    <w:rsid w:val="00FB0C6E"/>
    <w:rsid w:val="00FB7496"/>
    <w:rsid w:val="00FC4251"/>
    <w:rsid w:val="00FD281D"/>
    <w:rsid w:val="02D7C42E"/>
    <w:rsid w:val="02FEE799"/>
    <w:rsid w:val="07090DF1"/>
    <w:rsid w:val="094B2949"/>
    <w:rsid w:val="09B8B5CC"/>
    <w:rsid w:val="09DFCDBB"/>
    <w:rsid w:val="0B54862D"/>
    <w:rsid w:val="0F4DACBB"/>
    <w:rsid w:val="0FE4056B"/>
    <w:rsid w:val="1197B9BF"/>
    <w:rsid w:val="11DECECE"/>
    <w:rsid w:val="142C1EFF"/>
    <w:rsid w:val="145426C6"/>
    <w:rsid w:val="1866E154"/>
    <w:rsid w:val="18B40D6E"/>
    <w:rsid w:val="1AE53E04"/>
    <w:rsid w:val="1B16FE45"/>
    <w:rsid w:val="1B4B9626"/>
    <w:rsid w:val="1E4D47E3"/>
    <w:rsid w:val="1EFD806B"/>
    <w:rsid w:val="20353945"/>
    <w:rsid w:val="20F01725"/>
    <w:rsid w:val="23396657"/>
    <w:rsid w:val="25B75D3B"/>
    <w:rsid w:val="28FB290A"/>
    <w:rsid w:val="290D92D1"/>
    <w:rsid w:val="2A093AC0"/>
    <w:rsid w:val="2B5621ED"/>
    <w:rsid w:val="2E3335A2"/>
    <w:rsid w:val="2E3B982F"/>
    <w:rsid w:val="30DD30A3"/>
    <w:rsid w:val="310996AD"/>
    <w:rsid w:val="321623B5"/>
    <w:rsid w:val="32790104"/>
    <w:rsid w:val="3288E2F3"/>
    <w:rsid w:val="3338AAE5"/>
    <w:rsid w:val="33A31E67"/>
    <w:rsid w:val="35107414"/>
    <w:rsid w:val="38BC49FE"/>
    <w:rsid w:val="39F21697"/>
    <w:rsid w:val="3E0E090E"/>
    <w:rsid w:val="3F1902C0"/>
    <w:rsid w:val="4442C4A4"/>
    <w:rsid w:val="4905807B"/>
    <w:rsid w:val="4908E50E"/>
    <w:rsid w:val="4C4DD689"/>
    <w:rsid w:val="50392E28"/>
    <w:rsid w:val="512AD266"/>
    <w:rsid w:val="5565BA98"/>
    <w:rsid w:val="5600213A"/>
    <w:rsid w:val="565DF490"/>
    <w:rsid w:val="5706E16B"/>
    <w:rsid w:val="5935E44B"/>
    <w:rsid w:val="5A8D1A86"/>
    <w:rsid w:val="5F13C7B0"/>
    <w:rsid w:val="5F81DB40"/>
    <w:rsid w:val="611DD896"/>
    <w:rsid w:val="613900CC"/>
    <w:rsid w:val="61A5BB50"/>
    <w:rsid w:val="65BDFDB7"/>
    <w:rsid w:val="66F5B691"/>
    <w:rsid w:val="680B112A"/>
    <w:rsid w:val="6CE2A11A"/>
    <w:rsid w:val="70DF0FC4"/>
    <w:rsid w:val="70EA2C57"/>
    <w:rsid w:val="720F0179"/>
    <w:rsid w:val="741403E9"/>
    <w:rsid w:val="7B6C3C3E"/>
    <w:rsid w:val="7BBDD145"/>
    <w:rsid w:val="7CA9A6B2"/>
    <w:rsid w:val="7E107EEF"/>
    <w:rsid w:val="7E407EE5"/>
    <w:rsid w:val="7EF57207"/>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4B33ADBF"/>
  <w15:docId w15:val="{60621BB1-9E6A-4419-B9B0-364644D1B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7EA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21095"/>
    <w:rPr>
      <w:rFonts w:cs="Times New Roman"/>
      <w:color w:val="0000FF"/>
      <w:u w:val="single"/>
    </w:rPr>
  </w:style>
  <w:style w:type="paragraph" w:styleId="ListParagraph">
    <w:name w:val="List Paragraph"/>
    <w:basedOn w:val="Normal"/>
    <w:uiPriority w:val="34"/>
    <w:qFormat/>
    <w:rsid w:val="00421095"/>
    <w:pPr>
      <w:ind w:left="720"/>
      <w:contextualSpacing/>
    </w:pPr>
  </w:style>
  <w:style w:type="paragraph" w:styleId="FootnoteText">
    <w:name w:val="footnote text"/>
    <w:basedOn w:val="Normal"/>
    <w:link w:val="FootnoteTextChar"/>
    <w:uiPriority w:val="99"/>
    <w:semiHidden/>
    <w:rsid w:val="00421095"/>
    <w:rPr>
      <w:sz w:val="20"/>
      <w:szCs w:val="20"/>
    </w:rPr>
  </w:style>
  <w:style w:type="character" w:customStyle="1" w:styleId="FootnoteTextChar">
    <w:name w:val="Footnote Text Char"/>
    <w:basedOn w:val="DefaultParagraphFont"/>
    <w:link w:val="FootnoteText"/>
    <w:uiPriority w:val="99"/>
    <w:semiHidden/>
    <w:rsid w:val="00421095"/>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421095"/>
    <w:rPr>
      <w:rFonts w:cs="Times New Roman"/>
      <w:vertAlign w:val="superscript"/>
    </w:rPr>
  </w:style>
  <w:style w:type="paragraph" w:styleId="Header">
    <w:name w:val="header"/>
    <w:basedOn w:val="Normal"/>
    <w:link w:val="HeaderChar"/>
    <w:uiPriority w:val="99"/>
    <w:rsid w:val="00421095"/>
    <w:pPr>
      <w:tabs>
        <w:tab w:val="center" w:pos="4680"/>
        <w:tab w:val="right" w:pos="9360"/>
      </w:tabs>
    </w:pPr>
  </w:style>
  <w:style w:type="character" w:customStyle="1" w:styleId="HeaderChar">
    <w:name w:val="Header Char"/>
    <w:basedOn w:val="DefaultParagraphFont"/>
    <w:link w:val="Header"/>
    <w:uiPriority w:val="99"/>
    <w:rsid w:val="00421095"/>
    <w:rPr>
      <w:rFonts w:ascii="Times New Roman" w:eastAsia="Times New Roman" w:hAnsi="Times New Roman" w:cs="Times New Roman"/>
      <w:sz w:val="24"/>
      <w:szCs w:val="24"/>
    </w:rPr>
  </w:style>
  <w:style w:type="paragraph" w:styleId="Footer">
    <w:name w:val="footer"/>
    <w:basedOn w:val="Normal"/>
    <w:link w:val="FooterChar"/>
    <w:uiPriority w:val="99"/>
    <w:rsid w:val="00421095"/>
    <w:pPr>
      <w:tabs>
        <w:tab w:val="center" w:pos="4680"/>
        <w:tab w:val="right" w:pos="9360"/>
      </w:tabs>
    </w:pPr>
  </w:style>
  <w:style w:type="character" w:customStyle="1" w:styleId="FooterChar">
    <w:name w:val="Footer Char"/>
    <w:basedOn w:val="DefaultParagraphFont"/>
    <w:link w:val="Footer"/>
    <w:uiPriority w:val="99"/>
    <w:rsid w:val="00421095"/>
    <w:rPr>
      <w:rFonts w:ascii="Times New Roman" w:eastAsia="Times New Roman" w:hAnsi="Times New Roman" w:cs="Times New Roman"/>
      <w:sz w:val="24"/>
      <w:szCs w:val="24"/>
    </w:rPr>
  </w:style>
  <w:style w:type="paragraph" w:styleId="NormalWeb">
    <w:name w:val="Normal (Web)"/>
    <w:basedOn w:val="Normal"/>
    <w:uiPriority w:val="99"/>
    <w:rsid w:val="00421095"/>
    <w:pPr>
      <w:spacing w:before="100" w:beforeAutospacing="1" w:after="100" w:afterAutospacing="1"/>
    </w:pPr>
  </w:style>
  <w:style w:type="paragraph" w:styleId="BalloonText">
    <w:name w:val="Balloon Text"/>
    <w:basedOn w:val="Normal"/>
    <w:link w:val="BalloonTextChar"/>
    <w:uiPriority w:val="99"/>
    <w:semiHidden/>
    <w:rsid w:val="00421095"/>
    <w:rPr>
      <w:rFonts w:ascii="Tahoma" w:hAnsi="Tahoma" w:cs="Tahoma"/>
      <w:sz w:val="16"/>
      <w:szCs w:val="16"/>
    </w:rPr>
  </w:style>
  <w:style w:type="character" w:customStyle="1" w:styleId="BalloonTextChar">
    <w:name w:val="Balloon Text Char"/>
    <w:basedOn w:val="DefaultParagraphFont"/>
    <w:link w:val="BalloonText"/>
    <w:uiPriority w:val="99"/>
    <w:semiHidden/>
    <w:rsid w:val="00421095"/>
    <w:rPr>
      <w:rFonts w:ascii="Tahoma" w:eastAsia="Times New Roman" w:hAnsi="Tahoma" w:cs="Tahoma"/>
      <w:sz w:val="16"/>
      <w:szCs w:val="16"/>
    </w:rPr>
  </w:style>
  <w:style w:type="character" w:styleId="CommentReference">
    <w:name w:val="annotation reference"/>
    <w:basedOn w:val="DefaultParagraphFont"/>
    <w:uiPriority w:val="99"/>
    <w:semiHidden/>
    <w:rsid w:val="00421095"/>
    <w:rPr>
      <w:rFonts w:cs="Times New Roman"/>
      <w:sz w:val="16"/>
    </w:rPr>
  </w:style>
  <w:style w:type="paragraph" w:styleId="CommentText">
    <w:name w:val="annotation text"/>
    <w:basedOn w:val="Normal"/>
    <w:link w:val="CommentTextChar"/>
    <w:uiPriority w:val="99"/>
    <w:semiHidden/>
    <w:rsid w:val="00421095"/>
    <w:rPr>
      <w:sz w:val="20"/>
      <w:szCs w:val="20"/>
    </w:rPr>
  </w:style>
  <w:style w:type="character" w:customStyle="1" w:styleId="CommentTextChar">
    <w:name w:val="Comment Text Char"/>
    <w:basedOn w:val="DefaultParagraphFont"/>
    <w:link w:val="CommentText"/>
    <w:uiPriority w:val="99"/>
    <w:semiHidden/>
    <w:rsid w:val="0042109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421095"/>
    <w:rPr>
      <w:b/>
      <w:bCs/>
    </w:rPr>
  </w:style>
  <w:style w:type="character" w:customStyle="1" w:styleId="CommentSubjectChar">
    <w:name w:val="Comment Subject Char"/>
    <w:basedOn w:val="CommentTextChar"/>
    <w:link w:val="CommentSubject"/>
    <w:uiPriority w:val="99"/>
    <w:semiHidden/>
    <w:rsid w:val="00421095"/>
    <w:rPr>
      <w:rFonts w:ascii="Times New Roman" w:eastAsia="Times New Roman" w:hAnsi="Times New Roman" w:cs="Times New Roman"/>
      <w:b/>
      <w:bCs/>
      <w:sz w:val="20"/>
      <w:szCs w:val="20"/>
    </w:rPr>
  </w:style>
  <w:style w:type="paragraph" w:customStyle="1" w:styleId="Default">
    <w:name w:val="Default"/>
    <w:rsid w:val="00421095"/>
    <w:pPr>
      <w:autoSpaceDE w:val="0"/>
      <w:autoSpaceDN w:val="0"/>
      <w:adjustRightInd w:val="0"/>
      <w:spacing w:after="0" w:line="240" w:lineRule="auto"/>
    </w:pPr>
    <w:rPr>
      <w:rFonts w:ascii="Calibri" w:eastAsia="Times New Roman" w:hAnsi="Calibri" w:cs="Calibri"/>
      <w:color w:val="000000"/>
      <w:sz w:val="24"/>
      <w:szCs w:val="24"/>
    </w:rPr>
  </w:style>
  <w:style w:type="paragraph" w:styleId="EndnoteText">
    <w:name w:val="endnote text"/>
    <w:basedOn w:val="Normal"/>
    <w:link w:val="EndnoteTextChar"/>
    <w:uiPriority w:val="99"/>
    <w:semiHidden/>
    <w:rsid w:val="00421095"/>
    <w:rPr>
      <w:sz w:val="20"/>
      <w:szCs w:val="20"/>
    </w:rPr>
  </w:style>
  <w:style w:type="character" w:customStyle="1" w:styleId="EndnoteTextChar">
    <w:name w:val="Endnote Text Char"/>
    <w:basedOn w:val="DefaultParagraphFont"/>
    <w:link w:val="EndnoteText"/>
    <w:uiPriority w:val="99"/>
    <w:semiHidden/>
    <w:rsid w:val="00421095"/>
    <w:rPr>
      <w:rFonts w:ascii="Times New Roman" w:eastAsia="Times New Roman" w:hAnsi="Times New Roman" w:cs="Times New Roman"/>
      <w:sz w:val="20"/>
      <w:szCs w:val="20"/>
    </w:rPr>
  </w:style>
  <w:style w:type="character" w:styleId="EndnoteReference">
    <w:name w:val="endnote reference"/>
    <w:basedOn w:val="DefaultParagraphFont"/>
    <w:uiPriority w:val="99"/>
    <w:semiHidden/>
    <w:rsid w:val="00421095"/>
    <w:rPr>
      <w:rFonts w:cs="Times New Roman"/>
      <w:vertAlign w:val="superscript"/>
    </w:rPr>
  </w:style>
  <w:style w:type="paragraph" w:customStyle="1" w:styleId="Pa3">
    <w:name w:val="Pa3"/>
    <w:basedOn w:val="Normal"/>
    <w:next w:val="Normal"/>
    <w:uiPriority w:val="99"/>
    <w:rsid w:val="00421095"/>
    <w:pPr>
      <w:autoSpaceDE w:val="0"/>
      <w:autoSpaceDN w:val="0"/>
      <w:adjustRightInd w:val="0"/>
      <w:spacing w:line="221" w:lineRule="atLeast"/>
    </w:pPr>
    <w:rPr>
      <w:rFonts w:ascii="Baskerville Book" w:hAnsi="Baskerville Book"/>
    </w:rPr>
  </w:style>
  <w:style w:type="paragraph" w:customStyle="1" w:styleId="SP-SglSpPara">
    <w:name w:val="SP-Sgl Sp Para"/>
    <w:link w:val="SP-SglSpParaChar"/>
    <w:uiPriority w:val="99"/>
    <w:rsid w:val="00421095"/>
    <w:pPr>
      <w:tabs>
        <w:tab w:val="left" w:pos="576"/>
      </w:tabs>
      <w:spacing w:after="0" w:line="240" w:lineRule="atLeast"/>
      <w:ind w:firstLine="576"/>
      <w:jc w:val="both"/>
    </w:pPr>
    <w:rPr>
      <w:rFonts w:ascii="Times New Roman" w:eastAsia="Times New Roman" w:hAnsi="Times New Roman" w:cs="Times New Roman"/>
      <w:szCs w:val="20"/>
    </w:rPr>
  </w:style>
  <w:style w:type="character" w:customStyle="1" w:styleId="SP-SglSpParaChar">
    <w:name w:val="SP-Sgl Sp Para Char"/>
    <w:link w:val="SP-SglSpPara"/>
    <w:uiPriority w:val="99"/>
    <w:locked/>
    <w:rsid w:val="00421095"/>
    <w:rPr>
      <w:rFonts w:ascii="Times New Roman" w:eastAsia="Times New Roman" w:hAnsi="Times New Roman" w:cs="Times New Roman"/>
      <w:szCs w:val="20"/>
    </w:rPr>
  </w:style>
  <w:style w:type="table" w:styleId="TableGrid">
    <w:name w:val="Table Grid"/>
    <w:basedOn w:val="TableNormal"/>
    <w:uiPriority w:val="39"/>
    <w:rsid w:val="00421095"/>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99"/>
    <w:qFormat/>
    <w:rsid w:val="00421095"/>
    <w:rPr>
      <w:rFonts w:cs="Times New Roman"/>
      <w:b/>
    </w:rPr>
  </w:style>
  <w:style w:type="character" w:customStyle="1" w:styleId="street-address">
    <w:name w:val="street-address"/>
    <w:basedOn w:val="DefaultParagraphFont"/>
    <w:uiPriority w:val="99"/>
    <w:rsid w:val="00421095"/>
    <w:rPr>
      <w:rFonts w:cs="Times New Roman"/>
    </w:rPr>
  </w:style>
  <w:style w:type="character" w:customStyle="1" w:styleId="locality">
    <w:name w:val="locality"/>
    <w:basedOn w:val="DefaultParagraphFont"/>
    <w:uiPriority w:val="99"/>
    <w:rsid w:val="00421095"/>
    <w:rPr>
      <w:rFonts w:cs="Times New Roman"/>
    </w:rPr>
  </w:style>
  <w:style w:type="character" w:customStyle="1" w:styleId="region">
    <w:name w:val="region"/>
    <w:basedOn w:val="DefaultParagraphFont"/>
    <w:uiPriority w:val="99"/>
    <w:rsid w:val="00421095"/>
    <w:rPr>
      <w:rFonts w:cs="Times New Roman"/>
    </w:rPr>
  </w:style>
  <w:style w:type="character" w:customStyle="1" w:styleId="postal-code">
    <w:name w:val="postal-code"/>
    <w:basedOn w:val="DefaultParagraphFont"/>
    <w:uiPriority w:val="99"/>
    <w:rsid w:val="00421095"/>
    <w:rPr>
      <w:rFonts w:cs="Times New Roman"/>
    </w:rPr>
  </w:style>
  <w:style w:type="paragraph" w:styleId="Revision">
    <w:name w:val="Revision"/>
    <w:hidden/>
    <w:uiPriority w:val="99"/>
    <w:semiHidden/>
    <w:rsid w:val="00421095"/>
    <w:pPr>
      <w:spacing w:after="0" w:line="240" w:lineRule="auto"/>
    </w:pPr>
    <w:rPr>
      <w:rFonts w:ascii="Times New Roman" w:eastAsia="Times New Roman" w:hAnsi="Times New Roman" w:cs="Times New Roman"/>
      <w:sz w:val="24"/>
      <w:szCs w:val="24"/>
    </w:rPr>
  </w:style>
  <w:style w:type="paragraph" w:customStyle="1" w:styleId="Level1">
    <w:name w:val="Level 1"/>
    <w:basedOn w:val="Normal"/>
    <w:uiPriority w:val="99"/>
    <w:rsid w:val="00421095"/>
    <w:pPr>
      <w:widowControl w:val="0"/>
      <w:autoSpaceDE w:val="0"/>
      <w:autoSpaceDN w:val="0"/>
      <w:adjustRightInd w:val="0"/>
      <w:ind w:left="720" w:hanging="720"/>
      <w:outlineLvl w:val="0"/>
    </w:pPr>
  </w:style>
  <w:style w:type="paragraph" w:customStyle="1" w:styleId="headline1">
    <w:name w:val="headline1"/>
    <w:basedOn w:val="Normal"/>
    <w:rsid w:val="00421095"/>
    <w:pPr>
      <w:spacing w:before="100" w:beforeAutospacing="1" w:after="100" w:afterAutospacing="1"/>
    </w:pPr>
    <w:rPr>
      <w:rFonts w:ascii="Arial" w:hAnsi="Arial" w:cs="Arial"/>
      <w:b/>
      <w:bCs/>
      <w:color w:val="000000"/>
      <w:sz w:val="27"/>
      <w:szCs w:val="27"/>
    </w:rPr>
  </w:style>
  <w:style w:type="character" w:customStyle="1" w:styleId="UnresolvedMention1">
    <w:name w:val="Unresolved Mention1"/>
    <w:basedOn w:val="DefaultParagraphFont"/>
    <w:uiPriority w:val="99"/>
    <w:semiHidden/>
    <w:unhideWhenUsed/>
    <w:rsid w:val="003436E1"/>
    <w:rPr>
      <w:color w:val="808080"/>
      <w:shd w:val="clear" w:color="auto" w:fill="E6E6E6"/>
    </w:rPr>
  </w:style>
  <w:style w:type="character" w:styleId="UnresolvedMention">
    <w:name w:val="Unresolved Mention"/>
    <w:basedOn w:val="DefaultParagraphFont"/>
    <w:uiPriority w:val="99"/>
    <w:semiHidden/>
    <w:unhideWhenUsed/>
    <w:rsid w:val="001772F0"/>
    <w:rPr>
      <w:color w:val="605E5C"/>
      <w:shd w:val="clear" w:color="auto" w:fill="E1DFDD"/>
    </w:rPr>
  </w:style>
  <w:style w:type="character" w:styleId="Mention">
    <w:name w:val="Mention"/>
    <w:basedOn w:val="DefaultParagraphFont"/>
    <w:uiPriority w:val="99"/>
    <w:unhideWhenUsed/>
    <w:rsid w:val="00961FBA"/>
    <w:rPr>
      <w:color w:val="2B579A"/>
      <w:shd w:val="clear" w:color="auto" w:fill="E1DFDD"/>
    </w:rPr>
  </w:style>
  <w:style w:type="character" w:styleId="FollowedHyperlink">
    <w:name w:val="FollowedHyperlink"/>
    <w:basedOn w:val="DefaultParagraphFont"/>
    <w:uiPriority w:val="99"/>
    <w:semiHidden/>
    <w:unhideWhenUsed/>
    <w:rsid w:val="00B735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Connor.Brooks@usdoj.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bjs.ojp.gov/content/pub/pdf/meco04.pdf" TargetMode="External" /><Relationship Id="rId2" Type="http://schemas.openxmlformats.org/officeDocument/2006/relationships/hyperlink" Target="https://bjs.ojp.gov/content/pub/pdf/meco18.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FE5814883B49940B4B8AAE202A6E984" ma:contentTypeVersion="6" ma:contentTypeDescription="Create a new document." ma:contentTypeScope="" ma:versionID="062e189a88a4990af35fd95e0df1db7e">
  <xsd:schema xmlns:xsd="http://www.w3.org/2001/XMLSchema" xmlns:xs="http://www.w3.org/2001/XMLSchema" xmlns:p="http://schemas.microsoft.com/office/2006/metadata/properties" xmlns:ns2="8ef27eb8-0e3d-496f-b523-771757bdd770" xmlns:ns3="8416942f-d982-4ba4-a5b0-104826b4be24" targetNamespace="http://schemas.microsoft.com/office/2006/metadata/properties" ma:root="true" ma:fieldsID="847340f62415b7c2938ebb8a24a8f512" ns2:_="" ns3:_="">
    <xsd:import namespace="8ef27eb8-0e3d-496f-b523-771757bdd770"/>
    <xsd:import namespace="8416942f-d982-4ba4-a5b0-104826b4be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27eb8-0e3d-496f-b523-771757bdd7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16942f-d982-4ba4-a5b0-104826b4be2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5DBA76-2595-48FA-AB6F-238C71B91492}">
  <ds:schemaRefs>
    <ds:schemaRef ds:uri="http://schemas.openxmlformats.org/officeDocument/2006/bibliography"/>
  </ds:schemaRefs>
</ds:datastoreItem>
</file>

<file path=customXml/itemProps2.xml><?xml version="1.0" encoding="utf-8"?>
<ds:datastoreItem xmlns:ds="http://schemas.openxmlformats.org/officeDocument/2006/customXml" ds:itemID="{AAD10BC0-11B7-4C49-A8BD-046E6D003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27eb8-0e3d-496f-b523-771757bdd770"/>
    <ds:schemaRef ds:uri="8416942f-d982-4ba4-a5b0-104826b4be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A11633-0AB6-4DA7-96D1-839C49A70D3E}">
  <ds:schemaRefs>
    <ds:schemaRef ds:uri="http://schemas.microsoft.com/sharepoint/v3/contenttype/forms"/>
  </ds:schemaRefs>
</ds:datastoreItem>
</file>

<file path=customXml/itemProps4.xml><?xml version="1.0" encoding="utf-8"?>
<ds:datastoreItem xmlns:ds="http://schemas.openxmlformats.org/officeDocument/2006/customXml" ds:itemID="{2F6CC51F-B765-4A28-B63B-41C4A238DC6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2965</Words>
  <Characters>16904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19830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adamsd</dc:creator>
  <cp:lastModifiedBy>Adams, Devon (OJP)</cp:lastModifiedBy>
  <cp:revision>2</cp:revision>
  <cp:lastPrinted>2013-04-11T01:17:00Z</cp:lastPrinted>
  <dcterms:created xsi:type="dcterms:W3CDTF">2024-08-01T12:54:00Z</dcterms:created>
  <dcterms:modified xsi:type="dcterms:W3CDTF">2024-08-01T12:54:00Z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0x0101002FE5814883B49940B4B8AAE202A6E984</vt:lpwstr>
  </property>
</Properties>
</file>