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17E" w:rsidRPr="00943329" w:rsidP="00DA417E" w14:paraId="2C4C03A1" w14:textId="3F155751">
      <w:pPr>
        <w:jc w:val="center"/>
        <w:rPr>
          <w:b/>
        </w:rPr>
      </w:pPr>
      <w:r>
        <w:rPr>
          <w:b/>
        </w:rPr>
        <w:t xml:space="preserve"> </w:t>
      </w:r>
      <w:r w:rsidRPr="00943329">
        <w:rPr>
          <w:b/>
        </w:rPr>
        <w:t xml:space="preserve">SUPPORTING STATEMENT </w:t>
      </w:r>
    </w:p>
    <w:p w:rsidR="00DA417E" w:rsidRPr="00943329" w:rsidP="00DA417E" w14:paraId="7B33F141" w14:textId="77777777">
      <w:pPr>
        <w:jc w:val="center"/>
        <w:rPr>
          <w:b/>
          <w:bCs/>
        </w:rPr>
      </w:pPr>
      <w:r w:rsidRPr="00943329">
        <w:rPr>
          <w:b/>
          <w:bCs/>
        </w:rPr>
        <w:t>LABOR CONDITION APPLICATION FOR H-1B, H-1B1, and E-3 NONIMMIGRANTS and the NONIMMIGRANT WORKER INFORMATION FORM</w:t>
      </w:r>
    </w:p>
    <w:p w:rsidR="00BA6848" w:rsidP="00910252" w14:paraId="12BB4C8B" w14:textId="77777777">
      <w:pPr>
        <w:pBdr>
          <w:bottom w:val="single" w:sz="12" w:space="1" w:color="auto"/>
        </w:pBdr>
        <w:autoSpaceDE w:val="0"/>
        <w:autoSpaceDN w:val="0"/>
        <w:adjustRightInd w:val="0"/>
        <w:jc w:val="center"/>
        <w:rPr>
          <w:b/>
        </w:rPr>
      </w:pPr>
      <w:r w:rsidRPr="00943329">
        <w:rPr>
          <w:b/>
        </w:rPr>
        <w:t>OMB Control No. 1205-0310</w:t>
      </w:r>
    </w:p>
    <w:p w:rsidR="009C787F" w:rsidP="00F52816" w14:paraId="367422C6" w14:textId="77777777">
      <w:pPr>
        <w:pStyle w:val="NoSpacing"/>
      </w:pPr>
    </w:p>
    <w:p w:rsidR="428EE5C3" w:rsidP="00786E62" w14:paraId="55099442" w14:textId="67CF4A49">
      <w:r w:rsidRPr="428EE5C3">
        <w:rPr>
          <w:color w:val="000000" w:themeColor="text1"/>
        </w:rPr>
        <w:t>This information collection request (ICR) seeks an Extension of a currently approved ICR.</w:t>
      </w:r>
    </w:p>
    <w:p w:rsidR="00F54779" w:rsidP="00CE0622" w14:paraId="4347811C" w14:textId="77777777">
      <w:pPr>
        <w:pStyle w:val="NoSpacing"/>
      </w:pPr>
    </w:p>
    <w:p w:rsidR="00CE0622" w:rsidRPr="00974D81" w:rsidP="00CE0622" w14:paraId="2066DB33" w14:textId="6E7CC2BB">
      <w:pPr>
        <w:pStyle w:val="NoSpacing"/>
      </w:pPr>
      <w:r w:rsidRPr="00974D81">
        <w:t>The Department</w:t>
      </w:r>
      <w:r w:rsidR="003B11EE">
        <w:t xml:space="preserve"> of Labor (Department</w:t>
      </w:r>
      <w:r w:rsidR="002C07DC">
        <w:t xml:space="preserve"> or DOL</w:t>
      </w:r>
      <w:r w:rsidR="003B11EE">
        <w:t>)</w:t>
      </w:r>
      <w:r w:rsidRPr="00974D81">
        <w:t xml:space="preserve"> </w:t>
      </w:r>
      <w:r w:rsidR="00974D81">
        <w:t xml:space="preserve">requests </w:t>
      </w:r>
      <w:r w:rsidRPr="00974D81">
        <w:t xml:space="preserve">an extension </w:t>
      </w:r>
      <w:r w:rsidR="003B11EE">
        <w:t xml:space="preserve">without change </w:t>
      </w:r>
      <w:r w:rsidRPr="00974D81">
        <w:t xml:space="preserve">for this </w:t>
      </w:r>
      <w:r w:rsidR="003B11EE">
        <w:t>Information Collection</w:t>
      </w:r>
      <w:r w:rsidR="007C2845">
        <w:t xml:space="preserve"> Request</w:t>
      </w:r>
      <w:r w:rsidR="003B11EE">
        <w:t xml:space="preserve"> (</w:t>
      </w:r>
      <w:r w:rsidRPr="00974D81">
        <w:t>ICR</w:t>
      </w:r>
      <w:r w:rsidR="003B11EE">
        <w:t>)</w:t>
      </w:r>
      <w:r w:rsidRPr="00974D81">
        <w:t>, which includes Form ETA-9035</w:t>
      </w:r>
      <w:r w:rsidR="003B11EE">
        <w:t xml:space="preserve"> &amp; </w:t>
      </w:r>
      <w:r w:rsidRPr="00974D81">
        <w:t xml:space="preserve">9035E, </w:t>
      </w:r>
      <w:r w:rsidR="003B11EE">
        <w:rPr>
          <w:i/>
          <w:iCs/>
        </w:rPr>
        <w:t xml:space="preserve">Labor Condition Application Form for Nonimmigrant </w:t>
      </w:r>
      <w:r w:rsidRPr="00CF219E" w:rsidR="003B11EE">
        <w:rPr>
          <w:i/>
          <w:iCs/>
        </w:rPr>
        <w:t>Workers</w:t>
      </w:r>
      <w:r w:rsidR="007C323D">
        <w:t xml:space="preserve"> (LCA)</w:t>
      </w:r>
      <w:r w:rsidR="003B11EE">
        <w:t xml:space="preserve">, </w:t>
      </w:r>
      <w:r w:rsidRPr="003B11EE">
        <w:t>Form</w:t>
      </w:r>
      <w:r w:rsidRPr="00974D81">
        <w:t xml:space="preserve"> ETA</w:t>
      </w:r>
      <w:r w:rsidR="003B11EE">
        <w:t>-</w:t>
      </w:r>
      <w:r w:rsidRPr="00974D81">
        <w:t>9035</w:t>
      </w:r>
      <w:r w:rsidR="003B11EE">
        <w:t xml:space="preserve"> &amp; </w:t>
      </w:r>
      <w:r w:rsidRPr="00974D81">
        <w:t>9035E</w:t>
      </w:r>
      <w:r w:rsidR="00BD495F">
        <w:t>,</w:t>
      </w:r>
      <w:r w:rsidR="00047159">
        <w:t xml:space="preserve"> </w:t>
      </w:r>
      <w:r w:rsidRPr="00974D81">
        <w:t>Appendix A, Form ETA-9035CP</w:t>
      </w:r>
      <w:r w:rsidR="003B11EE">
        <w:t>,</w:t>
      </w:r>
      <w:r w:rsidRPr="00974D81">
        <w:t xml:space="preserve"> </w:t>
      </w:r>
      <w:r w:rsidRPr="003B11EE">
        <w:rPr>
          <w:i/>
          <w:iCs/>
        </w:rPr>
        <w:t>General Instructions</w:t>
      </w:r>
      <w:r w:rsidRPr="003B11EE" w:rsidR="003B11EE">
        <w:rPr>
          <w:i/>
          <w:iCs/>
        </w:rPr>
        <w:t xml:space="preserve"> for the 9035 &amp; 9035E</w:t>
      </w:r>
      <w:r w:rsidRPr="00974D81">
        <w:t>, and Form WH-4</w:t>
      </w:r>
      <w:r w:rsidR="003B11EE">
        <w:t xml:space="preserve">, </w:t>
      </w:r>
      <w:r w:rsidR="003B11EE">
        <w:rPr>
          <w:i/>
          <w:iCs/>
        </w:rPr>
        <w:t>Nonimmigrant Worker Information Form</w:t>
      </w:r>
      <w:r w:rsidRPr="00974D81">
        <w:t>.</w:t>
      </w:r>
    </w:p>
    <w:p w:rsidR="00CE0622" w:rsidRPr="00974D81" w:rsidP="00F52816" w14:paraId="24F40221" w14:textId="77777777">
      <w:pPr>
        <w:pStyle w:val="NoSpacing"/>
      </w:pPr>
    </w:p>
    <w:p w:rsidR="00A476D4" w:rsidRPr="00974D81" w:rsidP="00F52816" w14:paraId="40027438" w14:textId="21F254D2">
      <w:pPr>
        <w:pStyle w:val="NoSpacing"/>
      </w:pPr>
      <w:r w:rsidRPr="00974D81">
        <w:t xml:space="preserve">Employers </w:t>
      </w:r>
      <w:r w:rsidRPr="00974D81" w:rsidR="006370BD">
        <w:t>file the</w:t>
      </w:r>
      <w:r w:rsidR="00BD495F">
        <w:t xml:space="preserve"> Form ETA-9</w:t>
      </w:r>
      <w:r w:rsidRPr="00974D81" w:rsidR="00F10CD8">
        <w:t>035</w:t>
      </w:r>
      <w:r w:rsidR="00BD495F">
        <w:t xml:space="preserve"> &amp; 9035E form, and related forms,</w:t>
      </w:r>
      <w:r w:rsidRPr="00974D81" w:rsidR="00F10CD8">
        <w:t xml:space="preserve"> </w:t>
      </w:r>
      <w:r w:rsidRPr="00974D81" w:rsidR="006370BD">
        <w:t xml:space="preserve">with the Department’s Employment and Training Administration </w:t>
      </w:r>
      <w:r w:rsidRPr="00974D81" w:rsidR="00CD254A">
        <w:t xml:space="preserve">(ETA) </w:t>
      </w:r>
      <w:r w:rsidR="00974D81">
        <w:t xml:space="preserve">for </w:t>
      </w:r>
      <w:r w:rsidRPr="00974D81" w:rsidR="0021383D">
        <w:t xml:space="preserve">H-1B, H-1B1, and E-3 </w:t>
      </w:r>
      <w:r w:rsidRPr="00974D81">
        <w:t>nonimmigrant</w:t>
      </w:r>
      <w:r w:rsidRPr="00974D81" w:rsidR="006370BD">
        <w:t xml:space="preserve"> workers</w:t>
      </w:r>
      <w:r w:rsidR="00974D81">
        <w:t xml:space="preserve"> </w:t>
      </w:r>
      <w:r w:rsidRPr="00974D81">
        <w:t>to perform certain work in specialty occupations or as fashion models of distinguished merit and ability</w:t>
      </w:r>
      <w:r w:rsidR="00974D81">
        <w:t xml:space="preserve"> in the United States</w:t>
      </w:r>
      <w:r w:rsidRPr="00974D81">
        <w:t xml:space="preserve">.  </w:t>
      </w:r>
      <w:r w:rsidRPr="00974D81">
        <w:t xml:space="preserve">The public uses </w:t>
      </w:r>
      <w:r w:rsidRPr="00974D81">
        <w:t xml:space="preserve">Form WH-4 to request that </w:t>
      </w:r>
      <w:r w:rsidRPr="00974D81" w:rsidR="00A30BAE">
        <w:t xml:space="preserve">the Department’s </w:t>
      </w:r>
      <w:r w:rsidRPr="00974D81">
        <w:t>Wage and Hour Division (WHD) initiate investigation</w:t>
      </w:r>
      <w:r w:rsidRPr="00974D81">
        <w:t>s</w:t>
      </w:r>
      <w:r w:rsidRPr="00974D81">
        <w:t xml:space="preserve"> related to alleged violations of H-1B, H-1B1, and E-3 program requirements.  </w:t>
      </w:r>
    </w:p>
    <w:p w:rsidR="00A476D4" w:rsidRPr="00974D81" w:rsidP="00F52816" w14:paraId="39316614" w14:textId="77777777">
      <w:pPr>
        <w:rPr>
          <w:b/>
        </w:rPr>
      </w:pPr>
    </w:p>
    <w:p w:rsidR="00EA78D2" w:rsidRPr="00974D81" w:rsidP="0052176B" w14:paraId="3725F006" w14:textId="77777777">
      <w:pPr>
        <w:tabs>
          <w:tab w:val="left" w:pos="540"/>
        </w:tabs>
        <w:autoSpaceDE w:val="0"/>
        <w:autoSpaceDN w:val="0"/>
        <w:adjustRightInd w:val="0"/>
        <w:rPr>
          <w:b/>
          <w:u w:val="single"/>
        </w:rPr>
      </w:pPr>
      <w:r w:rsidRPr="00974D81">
        <w:rPr>
          <w:b/>
        </w:rPr>
        <w:t xml:space="preserve">A. </w:t>
      </w:r>
      <w:r w:rsidRPr="00974D81" w:rsidR="00C86FA4">
        <w:rPr>
          <w:b/>
        </w:rPr>
        <w:t xml:space="preserve">  </w:t>
      </w:r>
      <w:r w:rsidRPr="00974D81">
        <w:rPr>
          <w:b/>
          <w:u w:val="single"/>
        </w:rPr>
        <w:t>Justification</w:t>
      </w:r>
    </w:p>
    <w:p w:rsidR="00EA78D2" w:rsidRPr="00974D81" w:rsidP="00EA78D2" w14:paraId="4575D917" w14:textId="77777777">
      <w:pPr>
        <w:autoSpaceDE w:val="0"/>
        <w:autoSpaceDN w:val="0"/>
        <w:adjustRightInd w:val="0"/>
      </w:pPr>
    </w:p>
    <w:p w:rsidR="00EA78D2" w:rsidRPr="00974D81" w:rsidP="00C86FA4" w14:paraId="55162910" w14:textId="77777777">
      <w:pPr>
        <w:tabs>
          <w:tab w:val="right" w:pos="360"/>
        </w:tabs>
        <w:autoSpaceDE w:val="0"/>
        <w:autoSpaceDN w:val="0"/>
        <w:adjustRightInd w:val="0"/>
        <w:rPr>
          <w:i/>
        </w:rPr>
      </w:pPr>
      <w:r w:rsidRPr="00974D81">
        <w:rPr>
          <w:i/>
        </w:rPr>
        <w:tab/>
      </w:r>
      <w:r w:rsidRPr="00974D81" w:rsidR="00C86FA4">
        <w:rPr>
          <w:i/>
        </w:rPr>
        <w:t>A</w:t>
      </w:r>
      <w:r w:rsidRPr="00974D81">
        <w:rPr>
          <w:i/>
        </w:rPr>
        <w:t>1.</w:t>
      </w:r>
      <w:r w:rsidRPr="00974D81" w:rsidR="00C86FA4">
        <w:rPr>
          <w:i/>
        </w:rPr>
        <w:t xml:space="preserve">  </w:t>
      </w:r>
      <w:r w:rsidRPr="00974D81">
        <w:rPr>
          <w:i/>
        </w:rPr>
        <w:t>Explain the circumstances that make the collection of information necessary</w:t>
      </w:r>
      <w:r w:rsidRPr="00974D81" w:rsidR="00F25EFF">
        <w:rPr>
          <w:i/>
        </w:rPr>
        <w:t xml:space="preserve">.  </w:t>
      </w:r>
      <w:r w:rsidRPr="00974D81">
        <w:rPr>
          <w:i/>
        </w:rPr>
        <w:t xml:space="preserve">Identify any legal or administrative requirements that necessitate the collection. </w:t>
      </w:r>
      <w:r w:rsidRPr="00974D81" w:rsidR="001C050B">
        <w:rPr>
          <w:i/>
        </w:rPr>
        <w:t xml:space="preserve"> </w:t>
      </w:r>
      <w:r w:rsidRPr="00974D81">
        <w:rPr>
          <w:i/>
        </w:rPr>
        <w:t>Attach a copy of the appropriate section of each statute and regulation mandating or authorizing the collection of information.</w:t>
      </w:r>
    </w:p>
    <w:p w:rsidR="00EA78D2" w:rsidRPr="00974D81" w:rsidP="00F52816" w14:paraId="4E321F42" w14:textId="77777777">
      <w:pPr>
        <w:pStyle w:val="NoSpacing"/>
      </w:pPr>
    </w:p>
    <w:p w:rsidR="00DA417E" w:rsidRPr="00974D81" w:rsidP="00F52816" w14:paraId="73E5F5A6" w14:textId="77777777">
      <w:pPr>
        <w:pStyle w:val="NoSpacing"/>
      </w:pPr>
      <w:r w:rsidRPr="00974D81">
        <w:t xml:space="preserve">Under the Immigration and Nationality Act (INA), </w:t>
      </w:r>
      <w:r w:rsidRPr="00974D81" w:rsidR="008F2A74">
        <w:t xml:space="preserve">as amended by the Immigration Act of 1990, </w:t>
      </w:r>
      <w:r w:rsidRPr="00974D81">
        <w:t>an employer seeking to employ a foreign worker in a specialty occupation or as a fashion model of distingu</w:t>
      </w:r>
      <w:r w:rsidRPr="00974D81" w:rsidR="001E4D4C">
        <w:t>ished merit and ability on an H-</w:t>
      </w:r>
      <w:r w:rsidRPr="00974D81">
        <w:t xml:space="preserve">1B visa is required to file </w:t>
      </w:r>
      <w:r w:rsidRPr="00974D81" w:rsidR="00EE0D8F">
        <w:t xml:space="preserve">an LCA </w:t>
      </w:r>
      <w:r w:rsidRPr="00974D81">
        <w:t>with, and receive certification from, the Department</w:t>
      </w:r>
      <w:r w:rsidRPr="00974D81" w:rsidR="001F5A32">
        <w:t xml:space="preserve"> before the Department</w:t>
      </w:r>
      <w:r w:rsidRPr="00974D81">
        <w:t xml:space="preserve"> of Homeland Security</w:t>
      </w:r>
      <w:r w:rsidRPr="00974D81" w:rsidR="004421AC">
        <w:t>’s</w:t>
      </w:r>
      <w:r w:rsidRPr="00974D81" w:rsidR="00CF3215">
        <w:t xml:space="preserve"> (DHS)</w:t>
      </w:r>
      <w:r w:rsidRPr="00974D81">
        <w:t xml:space="preserve"> </w:t>
      </w:r>
      <w:r w:rsidRPr="00974D81" w:rsidR="001F5A32">
        <w:t xml:space="preserve">U.S. </w:t>
      </w:r>
      <w:r w:rsidRPr="00974D81">
        <w:t>Citizenship and Immigration Services (USCIS) may approve a petition for a foreign worker</w:t>
      </w:r>
      <w:r w:rsidRPr="00974D81" w:rsidR="0043634B">
        <w:t>,</w:t>
      </w:r>
      <w:r w:rsidRPr="00974D81">
        <w:t xml:space="preserve"> </w:t>
      </w:r>
      <w:r w:rsidRPr="00974D81" w:rsidR="0043634B">
        <w:t>affording</w:t>
      </w:r>
      <w:r w:rsidRPr="00974D81" w:rsidR="00555D58">
        <w:t xml:space="preserve"> the foreign worker </w:t>
      </w:r>
      <w:r w:rsidRPr="00974D81" w:rsidR="004421AC">
        <w:t xml:space="preserve">the </w:t>
      </w:r>
      <w:r w:rsidRPr="00974D81">
        <w:t xml:space="preserve">H-1B visa classification. </w:t>
      </w:r>
      <w:r w:rsidRPr="00974D81" w:rsidR="0043634B">
        <w:t xml:space="preserve"> </w:t>
      </w:r>
      <w:r w:rsidRPr="00974D81">
        <w:t xml:space="preserve">The </w:t>
      </w:r>
      <w:r w:rsidRPr="00974D81" w:rsidR="004421AC">
        <w:t xml:space="preserve">Department’s </w:t>
      </w:r>
      <w:r w:rsidRPr="00974D81">
        <w:t xml:space="preserve">LCA process is administered by the Office of Foreign Labor Certification (OFLC) within </w:t>
      </w:r>
      <w:r w:rsidRPr="00974D81" w:rsidR="004421AC">
        <w:t>ETA</w:t>
      </w:r>
      <w:r w:rsidRPr="00974D81">
        <w:t>.</w:t>
      </w:r>
    </w:p>
    <w:p w:rsidR="00DA417E" w:rsidRPr="00974D81" w:rsidP="00D16B3A" w14:paraId="580DD6DE" w14:textId="77777777">
      <w:pPr>
        <w:pStyle w:val="NoSpacing"/>
      </w:pPr>
    </w:p>
    <w:p w:rsidR="00DA417E" w:rsidRPr="00974D81" w:rsidP="00D16B3A" w14:paraId="25F8DC57" w14:textId="44E682EC">
      <w:pPr>
        <w:pStyle w:val="NoSpacing"/>
      </w:pPr>
      <w:r w:rsidRPr="00974D81">
        <w:t>Congress amended the INA and created the H-1B1 visa classification as part of its approval of the</w:t>
      </w:r>
      <w:r w:rsidRPr="00974D81" w:rsidR="008E3676">
        <w:t xml:space="preserve"> </w:t>
      </w:r>
      <w:r w:rsidRPr="00974D81">
        <w:t>United States-Chile Free Trade Agreement and United States-Singapore Free Trade Agreement</w:t>
      </w:r>
      <w:r w:rsidRPr="00974D81" w:rsidR="00253C20">
        <w:t>.</w:t>
      </w:r>
      <w:r w:rsidRPr="00974D81">
        <w:t xml:space="preserve"> </w:t>
      </w:r>
      <w:r w:rsidRPr="00974D81" w:rsidR="00253C20">
        <w:t xml:space="preserve"> The INA amendments </w:t>
      </w:r>
      <w:r w:rsidRPr="00974D81">
        <w:t>took effect January 1, 2004.  On May 11, 2005, Congress enacted Section 501 of title V of the REAL ID Act of 2005 (Division B) in the Emergency Supplemental Appropriations Act for Defense, the Global War on Terror, and Tsunami Relief, 2005 (Pub. L. 109</w:t>
      </w:r>
      <w:r w:rsidRPr="00974D81" w:rsidR="009C787F">
        <w:t>-</w:t>
      </w:r>
      <w:r w:rsidRPr="00974D81">
        <w:t xml:space="preserve">13, § 501, 119 Stat. 231, 278 (2005)), amending section 101(a)(15)(E) of the INA by establishing the E-3 visa classification for Australian nationals who enter </w:t>
      </w:r>
      <w:r w:rsidR="004220AB">
        <w:t xml:space="preserve">the United States to </w:t>
      </w:r>
      <w:r w:rsidRPr="00974D81">
        <w:t xml:space="preserve">perform services in specialty occupations in the United States.  Under these INA amendments, </w:t>
      </w:r>
      <w:r w:rsidRPr="00974D81" w:rsidR="006B1C14">
        <w:t xml:space="preserve">the Department </w:t>
      </w:r>
      <w:r w:rsidRPr="00974D81">
        <w:t>implement</w:t>
      </w:r>
      <w:r w:rsidRPr="00974D81" w:rsidR="001D4C10">
        <w:t>ed</w:t>
      </w:r>
      <w:r w:rsidRPr="00974D81">
        <w:t xml:space="preserve"> the H</w:t>
      </w:r>
      <w:r w:rsidRPr="00974D81" w:rsidR="009C787F">
        <w:t>-</w:t>
      </w:r>
      <w:r w:rsidRPr="00974D81">
        <w:t>1B1 and E-3 visa programs using a similar LCA process to that administered for the H-1B visa program.</w:t>
      </w:r>
    </w:p>
    <w:p w:rsidR="00994B40" w:rsidRPr="00974D81" w:rsidP="00D16B3A" w14:paraId="3668B89A" w14:textId="77777777">
      <w:pPr>
        <w:pStyle w:val="NoSpacing"/>
      </w:pPr>
    </w:p>
    <w:p w:rsidR="00DA417E" w:rsidRPr="00974D81" w:rsidP="00F52816" w14:paraId="5729B957" w14:textId="21BE37FE">
      <w:pPr>
        <w:pStyle w:val="NoSpacing"/>
      </w:pPr>
      <w:r w:rsidRPr="00974D81">
        <w:t xml:space="preserve">The </w:t>
      </w:r>
      <w:r w:rsidRPr="00974D81" w:rsidR="00C664AA">
        <w:t xml:space="preserve">WHD </w:t>
      </w:r>
      <w:r w:rsidRPr="00974D81">
        <w:t xml:space="preserve">enforces employer compliance with the LCA.  It may conduct investigations in four circumstances: (1) when it receives a complaint from an aggrieved party that is adversely affected by the employer’s alleged non-compliance that provides reasonable cause to believe an H-1B program violation has occurred; (2) when it receives information from a known credible source that is likely to have knowledge of the employer’s employment practices or its compliance with H-1B requirements that provides reasonable cause to believe specified H-1B program violations have occurred; (3) when the Secretary of Labor (Secretary) personally certifies that there is reasonable cause to believe that the employer is not in compliance (Secretary-certified); and (4) when it identifies certain willful violators for random investigations.  </w:t>
      </w:r>
      <w:r w:rsidRPr="00974D81">
        <w:rPr>
          <w:i/>
        </w:rPr>
        <w:t xml:space="preserve">See </w:t>
      </w:r>
      <w:r w:rsidRPr="00974D81">
        <w:t xml:space="preserve">8 U.S.C. </w:t>
      </w:r>
      <w:r w:rsidRPr="00974D81" w:rsidR="00CE443E">
        <w:t xml:space="preserve">§§ </w:t>
      </w:r>
      <w:r w:rsidRPr="00974D81">
        <w:t>1182(n)(2)(A), (F)</w:t>
      </w:r>
      <w:r w:rsidRPr="00974D81" w:rsidR="00A82725">
        <w:t xml:space="preserve">, </w:t>
      </w:r>
      <w:r w:rsidRPr="00974D81" w:rsidR="00B35E81">
        <w:t xml:space="preserve">and </w:t>
      </w:r>
      <w:r w:rsidRPr="00974D81">
        <w:t xml:space="preserve">(G).  </w:t>
      </w:r>
    </w:p>
    <w:p w:rsidR="00DA417E" w:rsidRPr="00974D81" w:rsidP="00F52816" w14:paraId="76B8203C" w14:textId="77777777">
      <w:r w:rsidRPr="00974D81">
        <w:tab/>
      </w:r>
    </w:p>
    <w:p w:rsidR="00DA417E" w:rsidRPr="00974D81" w:rsidP="00D16B3A" w14:paraId="10B991A4" w14:textId="70A34346">
      <w:pPr>
        <w:pStyle w:val="NoSpacing"/>
      </w:pPr>
      <w:r w:rsidRPr="00974D81">
        <w:t>To administer these programs, ETA and WHD rely on the following forms: ETA</w:t>
      </w:r>
      <w:r w:rsidRPr="00974D81" w:rsidR="00EB19B1">
        <w:t>-</w:t>
      </w:r>
      <w:r w:rsidRPr="00974D81">
        <w:t>9035</w:t>
      </w:r>
      <w:r w:rsidRPr="00974D81" w:rsidR="00B35E81">
        <w:t>,</w:t>
      </w:r>
      <w:r w:rsidRPr="00974D81">
        <w:t xml:space="preserve"> </w:t>
      </w:r>
      <w:r w:rsidRPr="00974D81">
        <w:rPr>
          <w:i/>
        </w:rPr>
        <w:t>Labor Condition Application for Nonimmigrant Workers</w:t>
      </w:r>
      <w:r w:rsidRPr="00974D81">
        <w:t xml:space="preserve"> (a fillable and printable form); ETA</w:t>
      </w:r>
      <w:r w:rsidRPr="00974D81" w:rsidR="00EB19B1">
        <w:t>-</w:t>
      </w:r>
      <w:r w:rsidRPr="00974D81">
        <w:t>9035E</w:t>
      </w:r>
      <w:r w:rsidRPr="00974D81" w:rsidR="00B35E81">
        <w:t>,</w:t>
      </w:r>
      <w:r w:rsidRPr="00974D81">
        <w:t xml:space="preserve"> </w:t>
      </w:r>
      <w:r w:rsidRPr="00974D81">
        <w:rPr>
          <w:i/>
        </w:rPr>
        <w:t>Labor Condition Application for Nonimmigrant Workers</w:t>
      </w:r>
      <w:r w:rsidRPr="00974D81">
        <w:t xml:space="preserve"> (an electronic fil</w:t>
      </w:r>
      <w:r w:rsidRPr="00974D81" w:rsidR="00A14A3B">
        <w:t>lable ETA-</w:t>
      </w:r>
      <w:r w:rsidRPr="00974D81">
        <w:t xml:space="preserve">9035 form); </w:t>
      </w:r>
      <w:r w:rsidRPr="00974D81" w:rsidR="008F3442">
        <w:t>ETA-9035 &amp; 9035E</w:t>
      </w:r>
      <w:r w:rsidR="005E2E60">
        <w:t>,</w:t>
      </w:r>
      <w:r w:rsidRPr="00974D81" w:rsidR="008F3442">
        <w:t xml:space="preserve"> </w:t>
      </w:r>
      <w:r w:rsidRPr="00974D81" w:rsidR="008F3442">
        <w:rPr>
          <w:i/>
        </w:rPr>
        <w:t>Appendix A</w:t>
      </w:r>
      <w:r w:rsidR="00A14337">
        <w:rPr>
          <w:i/>
        </w:rPr>
        <w:t xml:space="preserve"> </w:t>
      </w:r>
      <w:r w:rsidRPr="00974D81" w:rsidR="00A14337">
        <w:t>(a</w:t>
      </w:r>
      <w:r w:rsidR="00A14337">
        <w:t>n electronic fillable form, and a</w:t>
      </w:r>
      <w:r w:rsidRPr="00974D81" w:rsidR="00A14337">
        <w:t xml:space="preserve"> fillable and printable form)</w:t>
      </w:r>
      <w:r w:rsidRPr="00974D81" w:rsidR="00BD61A5">
        <w:t xml:space="preserve">, </w:t>
      </w:r>
      <w:r w:rsidRPr="00974D81">
        <w:t>ETA</w:t>
      </w:r>
      <w:r w:rsidRPr="00974D81" w:rsidR="00EB19B1">
        <w:t>-</w:t>
      </w:r>
      <w:r w:rsidRPr="00974D81">
        <w:t>90</w:t>
      </w:r>
      <w:r w:rsidRPr="00974D81" w:rsidR="00F82A6D">
        <w:t>35</w:t>
      </w:r>
      <w:r w:rsidRPr="00974D81">
        <w:t>CP</w:t>
      </w:r>
      <w:r w:rsidRPr="00974D81" w:rsidR="00B35E81">
        <w:t>,</w:t>
      </w:r>
      <w:r w:rsidRPr="00974D81">
        <w:t xml:space="preserve"> </w:t>
      </w:r>
      <w:r w:rsidRPr="00974D81">
        <w:rPr>
          <w:i/>
        </w:rPr>
        <w:t>General Instructions for the 9035 &amp; 9035E</w:t>
      </w:r>
      <w:r w:rsidRPr="00974D81">
        <w:t>; and the WH-4</w:t>
      </w:r>
      <w:r w:rsidRPr="00974D81" w:rsidR="00B35E81">
        <w:t>,</w:t>
      </w:r>
      <w:r w:rsidRPr="00974D81">
        <w:t xml:space="preserve"> </w:t>
      </w:r>
      <w:r w:rsidRPr="00974D81">
        <w:rPr>
          <w:i/>
        </w:rPr>
        <w:t xml:space="preserve">Nonimmigrant Worker Information </w:t>
      </w:r>
      <w:r w:rsidRPr="00974D81" w:rsidR="001E4D4C">
        <w:rPr>
          <w:i/>
        </w:rPr>
        <w:t>F</w:t>
      </w:r>
      <w:r w:rsidRPr="00974D81">
        <w:rPr>
          <w:i/>
        </w:rPr>
        <w:t>orm</w:t>
      </w:r>
      <w:r w:rsidRPr="00A14337" w:rsidR="00A14337">
        <w:t xml:space="preserve"> </w:t>
      </w:r>
      <w:r w:rsidRPr="00974D81" w:rsidR="00A14337">
        <w:t>(a fillable and printable form)</w:t>
      </w:r>
      <w:r w:rsidR="00A14337">
        <w:t>.</w:t>
      </w:r>
    </w:p>
    <w:p w:rsidR="00DA417E" w:rsidRPr="00974D81" w:rsidP="00C56209" w14:paraId="3A14ED29" w14:textId="77777777">
      <w:pPr>
        <w:autoSpaceDE w:val="0"/>
        <w:autoSpaceDN w:val="0"/>
        <w:adjustRightInd w:val="0"/>
        <w:jc w:val="both"/>
      </w:pPr>
    </w:p>
    <w:p w:rsidR="00DA417E" w:rsidRPr="00974D81" w:rsidP="007B6959" w14:paraId="4FDB1AA8" w14:textId="77777777">
      <w:pPr>
        <w:pStyle w:val="NoSpacing"/>
      </w:pPr>
      <w:r w:rsidRPr="00974D81">
        <w:rPr>
          <w:b/>
        </w:rPr>
        <w:t>Statutory Authority:</w:t>
      </w:r>
      <w:r w:rsidRPr="00974D81">
        <w:t xml:space="preserve"> 8 U.S.C. </w:t>
      </w:r>
      <w:r w:rsidRPr="00974D81" w:rsidR="00CE443E">
        <w:t xml:space="preserve">§§ </w:t>
      </w:r>
      <w:r w:rsidRPr="00974D81">
        <w:t xml:space="preserve">1101(a)(15)(H)(i)(B), (H)(i)(B)(1), </w:t>
      </w:r>
      <w:r w:rsidRPr="00974D81" w:rsidR="00B35E81">
        <w:t xml:space="preserve">and </w:t>
      </w:r>
      <w:r w:rsidRPr="00974D81">
        <w:t>(E)(iii), 1182(n) and (t), and 1184(c).</w:t>
      </w:r>
    </w:p>
    <w:p w:rsidR="00DA417E" w:rsidRPr="00974D81" w:rsidP="00DA417E" w14:paraId="239A73ED" w14:textId="77777777">
      <w:pPr>
        <w:autoSpaceDE w:val="0"/>
        <w:autoSpaceDN w:val="0"/>
        <w:adjustRightInd w:val="0"/>
      </w:pPr>
    </w:p>
    <w:p w:rsidR="00DA417E" w:rsidRPr="00974D81" w:rsidP="00DA417E" w14:paraId="775E1D37" w14:textId="77777777">
      <w:pPr>
        <w:autoSpaceDE w:val="0"/>
        <w:autoSpaceDN w:val="0"/>
        <w:adjustRightInd w:val="0"/>
        <w:rPr>
          <w:b/>
        </w:rPr>
      </w:pPr>
      <w:r w:rsidRPr="00974D81">
        <w:rPr>
          <w:b/>
        </w:rPr>
        <w:t xml:space="preserve">Regulatory Authority: </w:t>
      </w:r>
    </w:p>
    <w:p w:rsidR="009C787F" w:rsidRPr="00974D81" w:rsidP="00DA417E" w14:paraId="7093CA2D" w14:textId="77777777">
      <w:pPr>
        <w:autoSpaceDE w:val="0"/>
        <w:autoSpaceDN w:val="0"/>
        <w:adjustRightInd w:val="0"/>
        <w:rPr>
          <w:b/>
        </w:rPr>
      </w:pPr>
    </w:p>
    <w:p w:rsidR="00DA417E" w:rsidRPr="00974D81" w:rsidP="00CC27B1" w14:paraId="70C022A5" w14:textId="0068FA77">
      <w:pPr>
        <w:pStyle w:val="ListParagraph"/>
        <w:numPr>
          <w:ilvl w:val="0"/>
          <w:numId w:val="20"/>
        </w:numPr>
        <w:autoSpaceDE w:val="0"/>
        <w:autoSpaceDN w:val="0"/>
        <w:adjustRightInd w:val="0"/>
      </w:pPr>
      <w:r w:rsidRPr="00E634BB">
        <w:rPr>
          <w:u w:val="single"/>
        </w:rPr>
        <w:t xml:space="preserve">Labor Condition Application (LCA) </w:t>
      </w:r>
      <w:r w:rsidRPr="00E634BB" w:rsidR="001E4D4C">
        <w:rPr>
          <w:u w:val="single"/>
        </w:rPr>
        <w:t>–</w:t>
      </w:r>
      <w:r w:rsidRPr="00E634BB">
        <w:rPr>
          <w:u w:val="single"/>
        </w:rPr>
        <w:t xml:space="preserve"> 20 CFR 655.700, 655.705, 655.720, 655.730</w:t>
      </w:r>
      <w:r w:rsidRPr="00E634BB" w:rsidR="00B35E81">
        <w:rPr>
          <w:u w:val="single"/>
        </w:rPr>
        <w:t xml:space="preserve"> through </w:t>
      </w:r>
      <w:r w:rsidRPr="00E634BB">
        <w:rPr>
          <w:u w:val="single"/>
        </w:rPr>
        <w:t>655.739, and 655.760</w:t>
      </w:r>
      <w:r w:rsidRPr="00974D81">
        <w:t xml:space="preserve"> </w:t>
      </w:r>
    </w:p>
    <w:p w:rsidR="00DA417E" w:rsidRPr="00974D81" w:rsidP="00C56209" w14:paraId="15FE0F5A" w14:textId="77777777">
      <w:pPr>
        <w:autoSpaceDE w:val="0"/>
        <w:autoSpaceDN w:val="0"/>
        <w:adjustRightInd w:val="0"/>
        <w:jc w:val="both"/>
      </w:pPr>
    </w:p>
    <w:p w:rsidR="00DA417E" w:rsidRPr="00974D81" w:rsidP="00F52816" w14:paraId="4E9FA977" w14:textId="0115C13A">
      <w:pPr>
        <w:pStyle w:val="NoSpacing"/>
      </w:pPr>
      <w:r w:rsidRPr="00974D81">
        <w:t xml:space="preserve">Under the INA, an employer must submit to </w:t>
      </w:r>
      <w:r w:rsidRPr="00974D81" w:rsidR="006B1C14">
        <w:t xml:space="preserve">the Department </w:t>
      </w:r>
      <w:r w:rsidRPr="00974D81">
        <w:t xml:space="preserve">an </w:t>
      </w:r>
      <w:r w:rsidRPr="00974D81" w:rsidR="002B3CB6">
        <w:t xml:space="preserve">application </w:t>
      </w:r>
      <w:r w:rsidRPr="00974D81">
        <w:t>stating that it agrees to certain conditions related to the employment of a</w:t>
      </w:r>
      <w:r w:rsidRPr="00974D81" w:rsidR="008305D6">
        <w:t>n</w:t>
      </w:r>
      <w:r w:rsidRPr="00974D81">
        <w:t xml:space="preserve"> </w:t>
      </w:r>
      <w:r w:rsidRPr="00974D81" w:rsidR="000D74E5">
        <w:t xml:space="preserve">H-1B, H-1B1, or E-3 </w:t>
      </w:r>
      <w:r w:rsidRPr="00974D81">
        <w:t>foreign worker</w:t>
      </w:r>
      <w:r w:rsidRPr="00974D81" w:rsidR="002B3CB6">
        <w:t xml:space="preserve">.  </w:t>
      </w:r>
      <w:r w:rsidRPr="00974D81" w:rsidR="00B35E81">
        <w:rPr>
          <w:i/>
        </w:rPr>
        <w:t xml:space="preserve">See </w:t>
      </w:r>
      <w:r w:rsidRPr="00974D81" w:rsidR="00B35E81">
        <w:t xml:space="preserve">8 U.S.C. </w:t>
      </w:r>
      <w:r w:rsidRPr="00974D81" w:rsidR="00C86656">
        <w:t xml:space="preserve">§ </w:t>
      </w:r>
      <w:r w:rsidRPr="00974D81" w:rsidR="00B35E81">
        <w:t xml:space="preserve">1182(n).  </w:t>
      </w:r>
      <w:r w:rsidRPr="00974D81" w:rsidR="002B3CB6">
        <w:t xml:space="preserve">For this purpose, the Department uses the </w:t>
      </w:r>
      <w:r w:rsidRPr="00974D81" w:rsidR="00A25075">
        <w:t xml:space="preserve">LCA, </w:t>
      </w:r>
      <w:r w:rsidRPr="00974D81" w:rsidR="002B3CB6">
        <w:t>Form ETA-9035/</w:t>
      </w:r>
      <w:r w:rsidRPr="00974D81" w:rsidR="00A25075">
        <w:t>9035E</w:t>
      </w:r>
      <w:r w:rsidRPr="00974D81" w:rsidR="002B3CB6">
        <w:t xml:space="preserve">.  </w:t>
      </w:r>
      <w:r w:rsidRPr="00974D81">
        <w:t>Employers must include on the LCA basic information, including information about their business and, if applic</w:t>
      </w:r>
      <w:r w:rsidRPr="00974D81" w:rsidR="006B1D11">
        <w:t>able, authorized representation,</w:t>
      </w:r>
      <w:r w:rsidRPr="00974D81">
        <w:t xml:space="preserve"> the number of foreign workers sought in the visa classification</w:t>
      </w:r>
      <w:r w:rsidRPr="00974D81" w:rsidR="006B1D11">
        <w:t>,</w:t>
      </w:r>
      <w:r w:rsidRPr="00974D81">
        <w:t xml:space="preserve"> position details</w:t>
      </w:r>
      <w:r w:rsidRPr="00974D81" w:rsidR="006B1D11">
        <w:t>,</w:t>
      </w:r>
      <w:r w:rsidRPr="00974D81">
        <w:t xml:space="preserve"> the occupational classification in which the workers will be employed</w:t>
      </w:r>
      <w:r w:rsidRPr="00974D81" w:rsidR="006B1D11">
        <w:t>,</w:t>
      </w:r>
      <w:r w:rsidRPr="00974D81">
        <w:t xml:space="preserve"> the prevailing wage rate and rate of pay to the nonimmigrant worker(s)</w:t>
      </w:r>
      <w:r w:rsidRPr="00974D81" w:rsidR="006B1D11">
        <w:t>,</w:t>
      </w:r>
      <w:r w:rsidRPr="00974D81">
        <w:t xml:space="preserve"> the intended place(s) of employment</w:t>
      </w:r>
      <w:r w:rsidRPr="00974D81" w:rsidR="006B1D11">
        <w:t>,</w:t>
      </w:r>
      <w:r w:rsidRPr="00974D81">
        <w:t xml:space="preserve"> and the conditions under which the nonimmigrant worker(s) will be employed.  Employers who meet the statutory criteria for H-1B dependency or willful violators must generally make additional attestations that U.S. workers will not be displaced and that the employer will make good faith recruitment efforts </w:t>
      </w:r>
      <w:r w:rsidR="00A94A8E">
        <w:t>for</w:t>
      </w:r>
      <w:r w:rsidRPr="00974D81">
        <w:t xml:space="preserve"> U.S. workers prior to filing the LCA.</w:t>
      </w:r>
      <w:r>
        <w:rPr>
          <w:vertAlign w:val="superscript"/>
        </w:rPr>
        <w:footnoteReference w:id="3"/>
      </w:r>
      <w:r w:rsidRPr="00974D81">
        <w:t xml:space="preserve">  Through the LCA, the employer attests that it has met the statutory requirements in 8 U.S.C. </w:t>
      </w:r>
      <w:r w:rsidRPr="00974D81" w:rsidR="00C86656">
        <w:t xml:space="preserve">§§ </w:t>
      </w:r>
      <w:r w:rsidRPr="00974D81">
        <w:t xml:space="preserve">1182(n)(1)(A), (B), and (C), as well as the special requirements for willful violators </w:t>
      </w:r>
      <w:r w:rsidRPr="00974D81">
        <w:t>and dependent employers (if applicable), as those requirements are explained in the Department’s regulations.</w:t>
      </w:r>
      <w:r w:rsidRPr="00974D81" w:rsidR="002B3CB6">
        <w:t xml:space="preserve">  The employer must provide a copy of the LCA to the foreign worker beneficiary.  </w:t>
      </w:r>
    </w:p>
    <w:p w:rsidR="009C787F" w:rsidRPr="00974D81" w:rsidP="00F52816" w14:paraId="5E3515CB" w14:textId="77777777">
      <w:pPr>
        <w:pStyle w:val="NoSpacing"/>
      </w:pPr>
    </w:p>
    <w:p w:rsidR="00DA417E" w:rsidRPr="00974D81" w:rsidP="00E634BB" w14:paraId="3591E53D" w14:textId="4686A8A8">
      <w:pPr>
        <w:pStyle w:val="ListParagraph"/>
        <w:numPr>
          <w:ilvl w:val="0"/>
          <w:numId w:val="20"/>
        </w:numPr>
        <w:autoSpaceDE w:val="0"/>
        <w:autoSpaceDN w:val="0"/>
        <w:adjustRightInd w:val="0"/>
        <w:jc w:val="both"/>
      </w:pPr>
      <w:r w:rsidRPr="00E634BB">
        <w:rPr>
          <w:u w:val="single"/>
        </w:rPr>
        <w:t xml:space="preserve">Documentation of Corporate Identity </w:t>
      </w:r>
      <w:r w:rsidRPr="00E634BB" w:rsidR="001E4D4C">
        <w:rPr>
          <w:u w:val="single"/>
        </w:rPr>
        <w:t>–</w:t>
      </w:r>
      <w:r w:rsidRPr="00E634BB">
        <w:rPr>
          <w:u w:val="single"/>
        </w:rPr>
        <w:t xml:space="preserve"> 20 CFR 655.730(e)(3)</w:t>
      </w:r>
      <w:r w:rsidRPr="00E634BB">
        <w:rPr>
          <w:u w:val="single"/>
        </w:rPr>
        <w:t xml:space="preserve"> </w:t>
      </w:r>
    </w:p>
    <w:p w:rsidR="00DA417E" w:rsidRPr="00974D81" w:rsidP="00C56209" w14:paraId="39141C7E" w14:textId="77777777">
      <w:pPr>
        <w:autoSpaceDE w:val="0"/>
        <w:autoSpaceDN w:val="0"/>
        <w:adjustRightInd w:val="0"/>
        <w:jc w:val="both"/>
      </w:pPr>
    </w:p>
    <w:p w:rsidR="00DA417E" w:rsidRPr="00974D81" w:rsidP="002D5EF3" w14:paraId="5395E49D" w14:textId="47A8F6C3">
      <w:pPr>
        <w:pStyle w:val="NoSpacing"/>
      </w:pPr>
      <w:r w:rsidRPr="00974D81">
        <w:t xml:space="preserve">The Department’s </w:t>
      </w:r>
      <w:r w:rsidRPr="00974D81">
        <w:t>regulation</w:t>
      </w:r>
      <w:r w:rsidR="00A94A8E">
        <w:t>s</w:t>
      </w:r>
      <w:r w:rsidRPr="00974D81">
        <w:t xml:space="preserve"> at 20 CFR 655.730(e)(3) provide that where an employer undergoes a change in corporate structure, the employer must make and maintain a sworn statement by a responsible official of the new employing entity that it accepts all obligations, liabilities</w:t>
      </w:r>
      <w:r w:rsidRPr="00974D81" w:rsidR="00945E2E">
        <w:t>,</w:t>
      </w:r>
      <w:r w:rsidRPr="00974D81">
        <w:t xml:space="preserve"> and undertakings under the LCAs filed by the predecessor employing entity, together with a list of each affected LCA and its date of certification, and a description of the actual wage system and Federal Employer Identification Number of the new employing entity.  </w:t>
      </w:r>
      <w:r w:rsidRPr="00974D81" w:rsidR="00B35E81">
        <w:rPr>
          <w:i/>
        </w:rPr>
        <w:t xml:space="preserve">See </w:t>
      </w:r>
      <w:r w:rsidRPr="00974D81">
        <w:t xml:space="preserve">20 CFR 655.730(e)(1).  These documents are to be maintained in the employer’s public access file for a period of one year beyond the last date on which any nonimmigrant is employed under the LCA or, if no nonimmigrants were employed under the LCA, one year from the date the </w:t>
      </w:r>
      <w:r w:rsidRPr="00974D81" w:rsidR="001E4D4C">
        <w:t>LCA</w:t>
      </w:r>
      <w:r w:rsidRPr="00974D81">
        <w:t xml:space="preserve"> expired or was withdrawn.</w:t>
      </w:r>
    </w:p>
    <w:p w:rsidR="00DA417E" w:rsidRPr="00974D81" w:rsidP="00C56209" w14:paraId="387048E1" w14:textId="77777777">
      <w:pPr>
        <w:autoSpaceDE w:val="0"/>
        <w:autoSpaceDN w:val="0"/>
        <w:adjustRightInd w:val="0"/>
        <w:jc w:val="both"/>
      </w:pPr>
    </w:p>
    <w:p w:rsidR="00DA417E" w:rsidRPr="00E634BB" w:rsidP="00E634BB" w14:paraId="46A8C484" w14:textId="6380216A">
      <w:pPr>
        <w:pStyle w:val="ListParagraph"/>
        <w:numPr>
          <w:ilvl w:val="0"/>
          <w:numId w:val="20"/>
        </w:numPr>
        <w:autoSpaceDE w:val="0"/>
        <w:autoSpaceDN w:val="0"/>
        <w:adjustRightInd w:val="0"/>
        <w:jc w:val="both"/>
        <w:rPr>
          <w:u w:val="single"/>
        </w:rPr>
      </w:pPr>
      <w:r w:rsidRPr="00E634BB">
        <w:rPr>
          <w:u w:val="single"/>
        </w:rPr>
        <w:t>H-1B Employers Only</w:t>
      </w:r>
      <w:r w:rsidRPr="00E634BB" w:rsidR="001E4D4C">
        <w:rPr>
          <w:u w:val="single"/>
        </w:rPr>
        <w:t>:</w:t>
      </w:r>
      <w:r w:rsidRPr="00E634BB">
        <w:rPr>
          <w:u w:val="single"/>
        </w:rPr>
        <w:t xml:space="preserve"> Determination of H-1B Dependency </w:t>
      </w:r>
      <w:r w:rsidRPr="00E634BB" w:rsidR="001E4D4C">
        <w:rPr>
          <w:u w:val="single"/>
        </w:rPr>
        <w:t>–</w:t>
      </w:r>
      <w:r w:rsidRPr="00E634BB">
        <w:rPr>
          <w:u w:val="single"/>
        </w:rPr>
        <w:t xml:space="preserve"> 20 CFR 655.736</w:t>
      </w:r>
    </w:p>
    <w:p w:rsidR="00DA417E" w:rsidRPr="00974D81" w:rsidP="00C56209" w14:paraId="5387E18E" w14:textId="77777777">
      <w:pPr>
        <w:autoSpaceDE w:val="0"/>
        <w:autoSpaceDN w:val="0"/>
        <w:adjustRightInd w:val="0"/>
        <w:jc w:val="both"/>
      </w:pPr>
    </w:p>
    <w:p w:rsidR="00DA417E" w:rsidRPr="00974D81" w:rsidP="002D5EF3" w14:paraId="1EE4EA1E" w14:textId="68ACAFFD">
      <w:pPr>
        <w:pStyle w:val="NoSpacing"/>
      </w:pPr>
      <w:r w:rsidRPr="00974D81">
        <w:t xml:space="preserve">INA provisions for H-1B employers generally </w:t>
      </w:r>
      <w:r w:rsidR="003D313B">
        <w:t>require</w:t>
      </w:r>
      <w:r w:rsidRPr="00974D81" w:rsidR="003D313B">
        <w:t xml:space="preserve"> </w:t>
      </w:r>
      <w:r w:rsidRPr="00974D81">
        <w:t>additional recruitment and non-displacement requirements applicable to willful violators and H-1B dependent employers.  H-1B dependency is based on the ratio between the employer</w:t>
      </w:r>
      <w:r w:rsidR="00672CE4">
        <w:t>’</w:t>
      </w:r>
      <w:r w:rsidRPr="00974D81">
        <w:t xml:space="preserve">s total work force employed in the </w:t>
      </w:r>
      <w:r w:rsidR="00A94A8E">
        <w:t>United States</w:t>
      </w:r>
      <w:r w:rsidR="003E5670">
        <w:t>,</w:t>
      </w:r>
      <w:r w:rsidR="00A94A8E">
        <w:t xml:space="preserve"> </w:t>
      </w:r>
      <w:r w:rsidRPr="00974D81">
        <w:t>including both U.S. workers and nonimmigrant workers, and measured according to full-time equival</w:t>
      </w:r>
      <w:r w:rsidRPr="00974D81" w:rsidR="007612EA">
        <w:t>ent employees) and the employer’</w:t>
      </w:r>
      <w:r w:rsidRPr="00974D81">
        <w:t>s H-1B nonimmigrant employees (a “head count” including both full-time and part-time H-1B employees).</w:t>
      </w:r>
    </w:p>
    <w:p w:rsidR="00DA417E" w:rsidRPr="00974D81" w:rsidP="00C56209" w14:paraId="4EF63918" w14:textId="77777777">
      <w:pPr>
        <w:autoSpaceDE w:val="0"/>
        <w:autoSpaceDN w:val="0"/>
        <w:adjustRightInd w:val="0"/>
        <w:jc w:val="both"/>
      </w:pPr>
    </w:p>
    <w:p w:rsidR="00DA417E" w:rsidRPr="00974D81" w:rsidP="002D5EF3" w14:paraId="56F93066" w14:textId="61CD70C0">
      <w:pPr>
        <w:pStyle w:val="NoSpacing"/>
      </w:pPr>
      <w:r w:rsidRPr="00974D81">
        <w:t xml:space="preserve">The Department’s </w:t>
      </w:r>
      <w:r w:rsidRPr="00974D81">
        <w:t xml:space="preserve">regulations note that most employers need not calculate their dependency status as it is readily apparent.  </w:t>
      </w:r>
      <w:r w:rsidRPr="00974D81" w:rsidR="00B35E81">
        <w:rPr>
          <w:i/>
        </w:rPr>
        <w:t xml:space="preserve">See </w:t>
      </w:r>
      <w:r w:rsidRPr="00974D81" w:rsidR="00B35E81">
        <w:t xml:space="preserve">20 CFR 655.736(c)(1).  </w:t>
      </w:r>
      <w:r w:rsidRPr="00974D81">
        <w:t>Employers with borderline H-1B dependency status are permitted to use a “</w:t>
      </w:r>
      <w:r w:rsidRPr="00974D81">
        <w:t>snap shot</w:t>
      </w:r>
      <w:r w:rsidRPr="00974D81">
        <w:t>” test to determine whether a calculation of dependency is necessary and must retain a copy of the documents that allow the WHD to verify the snap</w:t>
      </w:r>
      <w:r w:rsidRPr="00974D81" w:rsidR="00A82725">
        <w:t xml:space="preserve"> </w:t>
      </w:r>
      <w:r w:rsidRPr="00974D81">
        <w:t xml:space="preserve">shot test.  </w:t>
      </w:r>
      <w:r w:rsidRPr="00974D81" w:rsidR="00B35E81">
        <w:rPr>
          <w:i/>
        </w:rPr>
        <w:t xml:space="preserve">See </w:t>
      </w:r>
      <w:r w:rsidRPr="00974D81">
        <w:t>20 CFR 655.736(c)(2).  The employer must retain a copy of the full computation in specified circumstances that the Department believes will occur</w:t>
      </w:r>
      <w:r w:rsidRPr="00974D81" w:rsidR="002410A7">
        <w:t xml:space="preserve"> </w:t>
      </w:r>
      <w:r w:rsidRPr="00974D81" w:rsidR="006A6A5A">
        <w:t>infrequently</w:t>
      </w:r>
      <w:r w:rsidRPr="00974D81">
        <w:t xml:space="preserve">.  </w:t>
      </w:r>
      <w:r w:rsidRPr="00974D81" w:rsidR="00B35E81">
        <w:rPr>
          <w:i/>
        </w:rPr>
        <w:t xml:space="preserve">See </w:t>
      </w:r>
      <w:r w:rsidRPr="00974D81">
        <w:t xml:space="preserve">20 CFR 655.736(d)(4). </w:t>
      </w:r>
      <w:r w:rsidRPr="00974D81" w:rsidR="006B1D11">
        <w:t xml:space="preserve"> </w:t>
      </w:r>
      <w:r w:rsidRPr="00974D81">
        <w:t xml:space="preserve">The full computation must be maintained if the employer changes status from dependent to non-dependent.  </w:t>
      </w:r>
      <w:r w:rsidRPr="00974D81" w:rsidR="00B35E81">
        <w:rPr>
          <w:i/>
        </w:rPr>
        <w:t xml:space="preserve">See </w:t>
      </w:r>
      <w:r w:rsidRPr="00974D81">
        <w:t xml:space="preserve">20 CFR 655.736(d)(5)(ii).  If the employer uses the Internal Revenue Code’s single-employer test to determine dependency, it must maintain records documenting which entities are included in the single employer, as well as the computation performed, showing the number of workers employed by each entity that is included in the calculation.  </w:t>
      </w:r>
      <w:r w:rsidRPr="00974D81" w:rsidR="00CE443E">
        <w:rPr>
          <w:i/>
        </w:rPr>
        <w:t xml:space="preserve">See </w:t>
      </w:r>
      <w:r w:rsidRPr="00974D81">
        <w:t xml:space="preserve">20 CFR 655.736(d)(7).  Finally, if the employer includes workers who do not appear on the payroll, a record of computation must be kept.  </w:t>
      </w:r>
      <w:r w:rsidRPr="00974D81" w:rsidR="00CE443E">
        <w:rPr>
          <w:i/>
        </w:rPr>
        <w:t xml:space="preserve">See </w:t>
      </w:r>
      <w:r w:rsidRPr="00974D81">
        <w:t xml:space="preserve">20 CFR 655.736(a)(2)(ii)(B).  </w:t>
      </w:r>
    </w:p>
    <w:p w:rsidR="00DA417E" w:rsidRPr="00974D81" w:rsidP="00C56209" w14:paraId="30C29B5D" w14:textId="77777777">
      <w:pPr>
        <w:autoSpaceDE w:val="0"/>
        <w:autoSpaceDN w:val="0"/>
        <w:adjustRightInd w:val="0"/>
        <w:jc w:val="both"/>
      </w:pPr>
    </w:p>
    <w:p w:rsidR="00DA417E" w:rsidRPr="00974D81" w:rsidP="002D5EF3" w14:paraId="34CEFE40" w14:textId="77777777">
      <w:pPr>
        <w:pStyle w:val="NoSpacing"/>
      </w:pPr>
      <w:r w:rsidRPr="00974D81">
        <w:t xml:space="preserve">All records supporting the employer’s H-1B dependency status at the time of filing the LCA are to be maintained in the employer’s public access file for a period of one year beyond the last date on which any nonimmigrant is employed under the LCA or, if no nonimmigrants were employed under the LCA, one year from the date the </w:t>
      </w:r>
      <w:r w:rsidRPr="00974D81" w:rsidR="00913DDE">
        <w:t xml:space="preserve">LCA </w:t>
      </w:r>
      <w:r w:rsidRPr="00974D81" w:rsidR="00C56209">
        <w:t xml:space="preserve">expired or was withdrawn. </w:t>
      </w:r>
      <w:r w:rsidRPr="00974D81" w:rsidR="002D5EF3">
        <w:t xml:space="preserve"> </w:t>
      </w:r>
      <w:r w:rsidRPr="00974D81" w:rsidR="00B35E81">
        <w:rPr>
          <w:i/>
        </w:rPr>
        <w:t xml:space="preserve">See </w:t>
      </w:r>
      <w:r w:rsidRPr="00974D81">
        <w:t xml:space="preserve">20 CFR 655.760. </w:t>
      </w:r>
    </w:p>
    <w:p w:rsidR="000B63F0" w:rsidRPr="00974D81" w:rsidP="002D5EF3" w14:paraId="03FCB153" w14:textId="1AF396F7">
      <w:pPr>
        <w:pStyle w:val="NoSpacing"/>
      </w:pPr>
    </w:p>
    <w:p w:rsidR="00D71AA3" w:rsidRPr="00974D81" w:rsidP="002D5EF3" w14:paraId="0DF34159" w14:textId="70796839">
      <w:pPr>
        <w:pStyle w:val="NoSpacing"/>
      </w:pPr>
    </w:p>
    <w:p w:rsidR="00DA417E" w:rsidRPr="00E634BB" w:rsidP="00E634BB" w14:paraId="6C676F59" w14:textId="10CCFBAD">
      <w:pPr>
        <w:pStyle w:val="ListParagraph"/>
        <w:numPr>
          <w:ilvl w:val="0"/>
          <w:numId w:val="20"/>
        </w:numPr>
        <w:autoSpaceDE w:val="0"/>
        <w:autoSpaceDN w:val="0"/>
        <w:adjustRightInd w:val="0"/>
        <w:jc w:val="both"/>
        <w:rPr>
          <w:u w:val="single"/>
        </w:rPr>
      </w:pPr>
      <w:r w:rsidRPr="00E634BB">
        <w:rPr>
          <w:u w:val="single"/>
        </w:rPr>
        <w:t>H-1B Employers Only</w:t>
      </w:r>
      <w:r w:rsidRPr="00E634BB" w:rsidR="00864EA5">
        <w:rPr>
          <w:u w:val="single"/>
        </w:rPr>
        <w:t>:</w:t>
      </w:r>
      <w:r w:rsidRPr="00E634BB">
        <w:rPr>
          <w:u w:val="single"/>
        </w:rPr>
        <w:t xml:space="preserve"> List of Exempt H-1B Employees in Public Access File </w:t>
      </w:r>
      <w:r w:rsidRPr="00E634BB" w:rsidR="001E4D4C">
        <w:rPr>
          <w:u w:val="single"/>
        </w:rPr>
        <w:t>–</w:t>
      </w:r>
      <w:r w:rsidRPr="00E634BB">
        <w:rPr>
          <w:u w:val="single"/>
        </w:rPr>
        <w:t xml:space="preserve"> 20 CFR 655.737(e)(1)</w:t>
      </w:r>
      <w:r w:rsidRPr="00974D81">
        <w:tab/>
      </w:r>
      <w:r w:rsidRPr="00974D81">
        <w:tab/>
      </w:r>
    </w:p>
    <w:p w:rsidR="00DA417E" w:rsidRPr="00974D81" w:rsidP="00C56209" w14:paraId="5727A76F" w14:textId="77777777">
      <w:pPr>
        <w:autoSpaceDE w:val="0"/>
        <w:autoSpaceDN w:val="0"/>
        <w:adjustRightInd w:val="0"/>
        <w:jc w:val="both"/>
      </w:pPr>
    </w:p>
    <w:p w:rsidR="00DA417E" w:rsidRPr="00974D81" w:rsidP="001F1A2A" w14:paraId="274F4224" w14:textId="77777777">
      <w:pPr>
        <w:pStyle w:val="NoSpacing"/>
      </w:pPr>
      <w:r w:rsidRPr="00974D81">
        <w:t>An employer that is H-1B-dependent or found to be in willful violation of H-1B program requirements in the prior five years</w:t>
      </w:r>
      <w:r w:rsidRPr="00974D81" w:rsidR="00A82725">
        <w:t xml:space="preserve"> (</w:t>
      </w:r>
      <w:r w:rsidRPr="00974D81" w:rsidR="00B35E81">
        <w:t>“</w:t>
      </w:r>
      <w:r w:rsidRPr="00974D81" w:rsidR="00A82725">
        <w:t>willful violator</w:t>
      </w:r>
      <w:r w:rsidRPr="00974D81" w:rsidR="00B35E81">
        <w:t>”</w:t>
      </w:r>
      <w:r w:rsidRPr="00974D81" w:rsidR="00A82725">
        <w:t>)</w:t>
      </w:r>
      <w:r w:rsidRPr="00974D81" w:rsidR="00BD06D0">
        <w:t>,</w:t>
      </w:r>
      <w:r w:rsidRPr="00974D81" w:rsidR="00AA6F3B">
        <w:t xml:space="preserve"> </w:t>
      </w:r>
      <w:r w:rsidRPr="00974D81">
        <w:t xml:space="preserve">as described at 20 CFR 655.736(f), may designate on the LCA that </w:t>
      </w:r>
      <w:r w:rsidRPr="00974D81" w:rsidR="00A82725">
        <w:t>the LCA</w:t>
      </w:r>
      <w:r w:rsidRPr="00974D81">
        <w:t xml:space="preserve"> will only be used to support H-1B petitions and/or requests for extension of status for “exempt” H-1B nonimmigrants. </w:t>
      </w:r>
      <w:r w:rsidRPr="00974D81" w:rsidR="00AA6F3B">
        <w:t xml:space="preserve"> </w:t>
      </w:r>
      <w:r w:rsidRPr="00974D81">
        <w:t xml:space="preserve">Employers are required to include in their public access file a list of the H-1B nonimmigrants whose petitions and/or requests are supported by LCAs that the employer has attested will be used only for exempt H-1B nonimmigrants.  These records are to be maintained in the employer’s public access file for a period of one year beyond the last date on which any nonimmigrant is employed under the LCA or, if no nonimmigrants were employed under the LCA, one year from the date the </w:t>
      </w:r>
      <w:r w:rsidRPr="00974D81" w:rsidR="00EF1C73">
        <w:t xml:space="preserve">LCA </w:t>
      </w:r>
      <w:r w:rsidRPr="00974D81">
        <w:t xml:space="preserve">expired or was withdrawn.  </w:t>
      </w:r>
      <w:r w:rsidRPr="00974D81" w:rsidR="00B35E81">
        <w:rPr>
          <w:i/>
        </w:rPr>
        <w:t xml:space="preserve">See </w:t>
      </w:r>
      <w:r w:rsidRPr="00974D81">
        <w:t>20 CFR 655.760(c).</w:t>
      </w:r>
    </w:p>
    <w:p w:rsidR="004136B5" w:rsidRPr="00974D81" w:rsidP="00D16B3A" w14:paraId="26A91960" w14:textId="77777777">
      <w:pPr>
        <w:pStyle w:val="NoSpacing"/>
      </w:pPr>
    </w:p>
    <w:p w:rsidR="00247992" w:rsidRPr="00974D81" w:rsidP="008562A2" w14:paraId="403F377D" w14:textId="22DFCA3B">
      <w:pPr>
        <w:pStyle w:val="NoSpacing"/>
      </w:pPr>
      <w:r w:rsidRPr="00974D81">
        <w:t>In accordance with regulatory requirements, the Form ETA-9035</w:t>
      </w:r>
      <w:r w:rsidRPr="00974D81" w:rsidR="001F1A2A">
        <w:t>/9035E</w:t>
      </w:r>
      <w:r w:rsidRPr="00974D81">
        <w:t xml:space="preserve"> permits an H-1B dependent and/or willful violator employer to designate that the LCA will be used only to support “exempt” H-1B nonimmigrant workers and identify the statutory basis (</w:t>
      </w:r>
      <w:r w:rsidRPr="00E634BB" w:rsidR="00992BD4">
        <w:rPr>
          <w:i/>
          <w:iCs/>
        </w:rPr>
        <w:t>i.e</w:t>
      </w:r>
      <w:r w:rsidRPr="00E634BB">
        <w:rPr>
          <w:i/>
          <w:iCs/>
        </w:rPr>
        <w:t>.</w:t>
      </w:r>
      <w:r w:rsidRPr="00974D81">
        <w:t xml:space="preserve">, $60,000 or higher in annual wages, attainment of </w:t>
      </w:r>
      <w:r w:rsidRPr="00974D81">
        <w:t>Master’s</w:t>
      </w:r>
      <w:r w:rsidRPr="00974D81">
        <w:t xml:space="preserve"> degree or higher) </w:t>
      </w:r>
      <w:r w:rsidR="00BB6146">
        <w:t>for</w:t>
      </w:r>
      <w:r w:rsidRPr="00974D81">
        <w:t xml:space="preserve"> the exemption.  For those </w:t>
      </w:r>
      <w:r w:rsidRPr="00974D81" w:rsidR="00C47F4D">
        <w:t xml:space="preserve">H-1B dependent and/or willful violator </w:t>
      </w:r>
      <w:r w:rsidRPr="00974D81">
        <w:t xml:space="preserve">employers </w:t>
      </w:r>
      <w:r w:rsidRPr="00974D81" w:rsidR="002E2BE7">
        <w:t>designating</w:t>
      </w:r>
      <w:r w:rsidRPr="00974D81">
        <w:t xml:space="preserve"> an exemption based </w:t>
      </w:r>
      <w:r w:rsidRPr="00974D81" w:rsidR="00B05344">
        <w:t xml:space="preserve">only </w:t>
      </w:r>
      <w:r w:rsidRPr="00974D81">
        <w:t xml:space="preserve">on attainment of a </w:t>
      </w:r>
      <w:r w:rsidRPr="00974D81">
        <w:t>Master’s</w:t>
      </w:r>
      <w:r w:rsidRPr="00974D81">
        <w:t xml:space="preserve"> degree or higher, the employer must identify on the Form ETA-9035</w:t>
      </w:r>
      <w:r w:rsidRPr="00974D81" w:rsidR="00640FBE">
        <w:t>/9035E</w:t>
      </w:r>
      <w:r w:rsidR="005C677C">
        <w:t>,</w:t>
      </w:r>
      <w:r w:rsidR="009B66F9">
        <w:t xml:space="preserve"> </w:t>
      </w:r>
      <w:r w:rsidRPr="00974D81">
        <w:t>Appendix A</w:t>
      </w:r>
      <w:r w:rsidR="009B66F9">
        <w:t xml:space="preserve"> </w:t>
      </w:r>
      <w:r w:rsidRPr="00974D81">
        <w:t xml:space="preserve">the academic and degree information for the exempt H-1B nonimmigrant worker(s) and provide a </w:t>
      </w:r>
      <w:r w:rsidRPr="00974D81" w:rsidR="00276DA3">
        <w:t xml:space="preserve">translated </w:t>
      </w:r>
      <w:r w:rsidRPr="00974D81">
        <w:t>copy of the educational credential or alternative permissible documentation to the Department.  This information is collected pursuant to 20 CFR 655.737(d)</w:t>
      </w:r>
      <w:r w:rsidRPr="00974D81" w:rsidR="002E2BE7">
        <w:t xml:space="preserve"> and (e) to ensure the education-based exemption designation is complete and without obvious</w:t>
      </w:r>
      <w:r w:rsidRPr="00974D81" w:rsidR="00A35326">
        <w:t xml:space="preserve"> errors or inaccuracies on the LCA</w:t>
      </w:r>
      <w:r w:rsidRPr="00974D81" w:rsidR="00A9020E">
        <w:t>,</w:t>
      </w:r>
      <w:r w:rsidRPr="00974D81" w:rsidR="00A35326">
        <w:t xml:space="preserve"> before a certification</w:t>
      </w:r>
      <w:r w:rsidRPr="00974D81" w:rsidR="00821C8C">
        <w:t xml:space="preserve"> decision</w:t>
      </w:r>
      <w:r w:rsidRPr="00974D81" w:rsidR="00A35326">
        <w:t xml:space="preserve"> is issued and the employer files the H-1B petition </w:t>
      </w:r>
      <w:r w:rsidRPr="00974D81" w:rsidR="00821C8C">
        <w:t>with</w:t>
      </w:r>
      <w:r w:rsidRPr="00974D81" w:rsidR="00466C62">
        <w:t xml:space="preserve"> </w:t>
      </w:r>
      <w:r w:rsidRPr="00974D81" w:rsidR="00821C8C">
        <w:t>DHS.  DHS is responsible for determining</w:t>
      </w:r>
      <w:r w:rsidRPr="00974D81" w:rsidR="0052127E">
        <w:t>, upon request</w:t>
      </w:r>
      <w:r w:rsidRPr="00974D81" w:rsidR="00200F1A">
        <w:t xml:space="preserve"> at the petition stage</w:t>
      </w:r>
      <w:r w:rsidRPr="00974D81" w:rsidR="0052127E">
        <w:t>,</w:t>
      </w:r>
      <w:r w:rsidRPr="00974D81" w:rsidR="00821C8C">
        <w:t xml:space="preserve"> whether </w:t>
      </w:r>
      <w:r w:rsidRPr="00974D81" w:rsidR="00A35326">
        <w:t>the degree was attained in a specialty related to the occupation and, if obtain</w:t>
      </w:r>
      <w:r w:rsidRPr="00974D81" w:rsidR="00A9020E">
        <w:t>ed</w:t>
      </w:r>
      <w:r w:rsidRPr="00974D81" w:rsidR="00A35326">
        <w:t xml:space="preserve"> from a foreign academic institution, </w:t>
      </w:r>
      <w:r w:rsidRPr="00974D81" w:rsidR="00A9020E">
        <w:t xml:space="preserve">whether it </w:t>
      </w:r>
      <w:r w:rsidRPr="00974D81" w:rsidR="00A35326">
        <w:t xml:space="preserve">is equivalent to a </w:t>
      </w:r>
      <w:r w:rsidRPr="00974D81" w:rsidR="00A9020E">
        <w:t>M</w:t>
      </w:r>
      <w:r w:rsidRPr="00974D81" w:rsidR="00A35326">
        <w:t>aster’s</w:t>
      </w:r>
      <w:r w:rsidRPr="00974D81" w:rsidR="00A35326">
        <w:t xml:space="preserve"> or higher degree issued by a U.S. academic institution.</w:t>
      </w:r>
      <w:r w:rsidRPr="00974D81">
        <w:t xml:space="preserve">  </w:t>
      </w:r>
    </w:p>
    <w:p w:rsidR="00DA417E" w:rsidRPr="00974D81" w:rsidP="00720363" w14:paraId="5440986A" w14:textId="77777777">
      <w:pPr>
        <w:autoSpaceDE w:val="0"/>
        <w:autoSpaceDN w:val="0"/>
        <w:adjustRightInd w:val="0"/>
        <w:jc w:val="both"/>
      </w:pPr>
    </w:p>
    <w:p w:rsidR="00DA417E" w:rsidRPr="00E634BB" w:rsidP="00E634BB" w14:paraId="4D240AD3" w14:textId="7E43C5E2">
      <w:pPr>
        <w:pStyle w:val="ListParagraph"/>
        <w:numPr>
          <w:ilvl w:val="0"/>
          <w:numId w:val="20"/>
        </w:numPr>
        <w:autoSpaceDE w:val="0"/>
        <w:autoSpaceDN w:val="0"/>
        <w:adjustRightInd w:val="0"/>
        <w:jc w:val="both"/>
        <w:rPr>
          <w:u w:val="single"/>
        </w:rPr>
      </w:pPr>
      <w:r w:rsidRPr="00E634BB">
        <w:rPr>
          <w:u w:val="single"/>
        </w:rPr>
        <w:t>H-1B Employers Only</w:t>
      </w:r>
      <w:r w:rsidRPr="00E634BB" w:rsidR="00A82725">
        <w:rPr>
          <w:u w:val="single"/>
        </w:rPr>
        <w:t>:</w:t>
      </w:r>
      <w:r w:rsidRPr="00E634BB">
        <w:rPr>
          <w:u w:val="single"/>
        </w:rPr>
        <w:t xml:space="preserve"> Record of Assurance of Non-</w:t>
      </w:r>
      <w:r w:rsidRPr="00E634BB" w:rsidR="00B35E81">
        <w:rPr>
          <w:u w:val="single"/>
        </w:rPr>
        <w:t xml:space="preserve">Displacement </w:t>
      </w:r>
      <w:r w:rsidRPr="00E634BB">
        <w:rPr>
          <w:u w:val="single"/>
        </w:rPr>
        <w:t>of U.S</w:t>
      </w:r>
      <w:r w:rsidR="00EE6247">
        <w:rPr>
          <w:u w:val="single"/>
        </w:rPr>
        <w:t>.</w:t>
      </w:r>
      <w:r w:rsidRPr="00E634BB">
        <w:rPr>
          <w:u w:val="single"/>
        </w:rPr>
        <w:t xml:space="preserve"> Workers at Second Employer’s Worksite </w:t>
      </w:r>
      <w:r w:rsidRPr="00E634BB" w:rsidR="001E4D4C">
        <w:rPr>
          <w:u w:val="single"/>
        </w:rPr>
        <w:t>–</w:t>
      </w:r>
      <w:r w:rsidRPr="00E634BB">
        <w:rPr>
          <w:u w:val="single"/>
        </w:rPr>
        <w:t xml:space="preserve"> 20 CFR 655.738(e)</w:t>
      </w:r>
    </w:p>
    <w:p w:rsidR="00DA417E" w:rsidRPr="00974D81" w:rsidP="00CC1A3B" w14:paraId="7AC02534" w14:textId="77777777">
      <w:pPr>
        <w:autoSpaceDE w:val="0"/>
        <w:autoSpaceDN w:val="0"/>
        <w:adjustRightInd w:val="0"/>
        <w:jc w:val="both"/>
        <w:rPr>
          <w:u w:val="single"/>
        </w:rPr>
      </w:pPr>
    </w:p>
    <w:p w:rsidR="00447ECB" w:rsidRPr="00974D81" w:rsidP="008562A2" w14:paraId="386032F4" w14:textId="300E105F">
      <w:pPr>
        <w:pStyle w:val="NoSpacing"/>
      </w:pPr>
      <w:r w:rsidRPr="00974D81">
        <w:t xml:space="preserve">The INA generally prohibits an H-1B dependent employer or willful violator from direct displacement of U.S. workers in the employer’s own workforce 90 days before and 90 days after the filing of an H-1B visa petition and from placement of an H-1B worker with a secondary employer unless it has first inquired of the second employer whether it will displace a U.S. worker in the period of 90 days before to 90 days after the date of the H-1B worker’s placement with the other employer (secondary displacement).  </w:t>
      </w:r>
      <w:r w:rsidRPr="00974D81" w:rsidR="00B35E81">
        <w:rPr>
          <w:i/>
        </w:rPr>
        <w:t xml:space="preserve">See </w:t>
      </w:r>
      <w:r w:rsidRPr="00974D81">
        <w:t xml:space="preserve">8 U.S.C. </w:t>
      </w:r>
      <w:r w:rsidRPr="00974D81" w:rsidR="00C86656">
        <w:t xml:space="preserve">§§ </w:t>
      </w:r>
      <w:r w:rsidRPr="00974D81">
        <w:t>1182(n)(1)(E</w:t>
      </w:r>
      <w:r w:rsidRPr="00974D81" w:rsidR="00C86656">
        <w:t xml:space="preserve">) and </w:t>
      </w:r>
      <w:r w:rsidRPr="00974D81">
        <w:t xml:space="preserve">(F).  </w:t>
      </w:r>
      <w:r w:rsidRPr="00974D81" w:rsidR="00A30BAE">
        <w:t xml:space="preserve">The Department’s </w:t>
      </w:r>
      <w:r w:rsidRPr="00974D81">
        <w:t>regulation</w:t>
      </w:r>
      <w:r w:rsidR="001520D9">
        <w:t>s</w:t>
      </w:r>
      <w:r w:rsidRPr="00974D81" w:rsidR="00A82725">
        <w:t xml:space="preserve"> at</w:t>
      </w:r>
      <w:r w:rsidRPr="00974D81">
        <w:t xml:space="preserve"> 20 CFR 655.738(e) require such employers that seek to place an H-1B nonimmigrant </w:t>
      </w:r>
      <w:r w:rsidRPr="00974D81" w:rsidR="00573DBE">
        <w:t xml:space="preserve">worker </w:t>
      </w:r>
      <w:r w:rsidRPr="00974D81">
        <w:t xml:space="preserve">with another employer to secure and retain either a written assurance from the second employer, a contemporaneous written record of the second employer’s oral statements regarding non-displacement, or a prohibition of displacement in the contract between </w:t>
      </w:r>
      <w:r w:rsidRPr="00974D81">
        <w:t xml:space="preserve">the H-1B employer and the secondary employer.  </w:t>
      </w:r>
      <w:r w:rsidRPr="00974D81" w:rsidR="00B35E81">
        <w:rPr>
          <w:i/>
        </w:rPr>
        <w:t xml:space="preserve">See </w:t>
      </w:r>
      <w:r w:rsidRPr="00974D81">
        <w:t>20 CFR 655.738(e)(2</w:t>
      </w:r>
      <w:r w:rsidRPr="00974D81" w:rsidR="00B35E81">
        <w:t xml:space="preserve">) and </w:t>
      </w:r>
      <w:r w:rsidRPr="00974D81">
        <w:t xml:space="preserve">(d)(5)(i).  These records are to be maintained in the employer’s public access file for a period of one year beyond the last date on which any </w:t>
      </w:r>
      <w:r w:rsidRPr="00974D81" w:rsidR="00573DBE">
        <w:t xml:space="preserve">H-1B </w:t>
      </w:r>
      <w:r w:rsidRPr="00974D81">
        <w:t>nonimmigrant</w:t>
      </w:r>
      <w:r w:rsidRPr="00974D81" w:rsidR="00573DBE">
        <w:t xml:space="preserve"> worker</w:t>
      </w:r>
      <w:r w:rsidRPr="00974D81">
        <w:t xml:space="preserve"> is employed under the LCA or, if no </w:t>
      </w:r>
      <w:r w:rsidRPr="00974D81" w:rsidR="00573DBE">
        <w:t xml:space="preserve">H-1B </w:t>
      </w:r>
      <w:r w:rsidRPr="00974D81">
        <w:t xml:space="preserve">nonimmigrant </w:t>
      </w:r>
      <w:r w:rsidRPr="00974D81" w:rsidR="00573DBE">
        <w:t xml:space="preserve">workers </w:t>
      </w:r>
      <w:r w:rsidRPr="00974D81">
        <w:t xml:space="preserve">were employed under the LCA, one year from the date the </w:t>
      </w:r>
      <w:r w:rsidRPr="00974D81" w:rsidR="00EF1C73">
        <w:t xml:space="preserve">LCA </w:t>
      </w:r>
      <w:r w:rsidRPr="00974D81" w:rsidR="00CF204B">
        <w:t xml:space="preserve">expired or was withdrawn.  </w:t>
      </w:r>
      <w:r w:rsidRPr="00974D81" w:rsidR="00B35E81">
        <w:rPr>
          <w:i/>
        </w:rPr>
        <w:t xml:space="preserve">See </w:t>
      </w:r>
      <w:r w:rsidRPr="00974D81">
        <w:t>20 CFR 655.760.</w:t>
      </w:r>
    </w:p>
    <w:p w:rsidR="004136B5" w:rsidRPr="00974D81" w:rsidP="00D16B3A" w14:paraId="5D8F863E" w14:textId="77777777">
      <w:pPr>
        <w:pStyle w:val="NoSpacing"/>
      </w:pPr>
    </w:p>
    <w:p w:rsidR="00DA417E" w:rsidRPr="00974D81" w:rsidP="00E634BB" w14:paraId="661DDCED" w14:textId="4BDDFEB5">
      <w:pPr>
        <w:pStyle w:val="ListParagraph"/>
        <w:numPr>
          <w:ilvl w:val="0"/>
          <w:numId w:val="20"/>
        </w:numPr>
      </w:pPr>
      <w:r w:rsidRPr="00E634BB">
        <w:rPr>
          <w:u w:val="single"/>
        </w:rPr>
        <w:t>H-1B Employers Only</w:t>
      </w:r>
      <w:r w:rsidRPr="00E634BB" w:rsidR="00A82725">
        <w:rPr>
          <w:u w:val="single"/>
        </w:rPr>
        <w:t>:</w:t>
      </w:r>
      <w:r w:rsidRPr="00E634BB">
        <w:rPr>
          <w:u w:val="single"/>
        </w:rPr>
        <w:t xml:space="preserve"> Offers of Employment to Displaced U.S. Workers </w:t>
      </w:r>
      <w:r w:rsidRPr="00E634BB" w:rsidR="001E4D4C">
        <w:rPr>
          <w:u w:val="single"/>
        </w:rPr>
        <w:t>–</w:t>
      </w:r>
      <w:r w:rsidRPr="00E634BB">
        <w:rPr>
          <w:u w:val="single"/>
        </w:rPr>
        <w:t xml:space="preserve"> 20 CFR 655.738(e)</w:t>
      </w:r>
    </w:p>
    <w:p w:rsidR="00DA417E" w:rsidRPr="00974D81" w:rsidP="005C565F" w14:paraId="22B15939" w14:textId="77777777"/>
    <w:p w:rsidR="00DA417E" w:rsidRPr="00974D81" w:rsidP="008562A2" w14:paraId="08B8B37B" w14:textId="77777777">
      <w:pPr>
        <w:pStyle w:val="NoSpacing"/>
      </w:pPr>
      <w:r w:rsidRPr="00974D81">
        <w:t>The INA generally prohibits H-1B</w:t>
      </w:r>
      <w:r w:rsidRPr="00974D81" w:rsidR="00573DBE">
        <w:t>-</w:t>
      </w:r>
      <w:r w:rsidRPr="00974D81">
        <w:t>dependent employers and willful violators from hiring an H-1B nonimmigrant</w:t>
      </w:r>
      <w:r w:rsidRPr="00974D81" w:rsidR="00573DBE">
        <w:t xml:space="preserve"> worker</w:t>
      </w:r>
      <w:r w:rsidRPr="00974D81">
        <w:t xml:space="preserve"> if doing so would displace a U.S. worker from an essentially equivalent job in the sam</w:t>
      </w:r>
      <w:r w:rsidRPr="00974D81" w:rsidR="007B6959">
        <w:t>e area of employment.</w:t>
      </w:r>
      <w:r w:rsidRPr="00974D81" w:rsidR="00466C62">
        <w:t xml:space="preserve"> </w:t>
      </w:r>
      <w:r w:rsidRPr="00974D81" w:rsidR="007B6959">
        <w:t xml:space="preserve"> </w:t>
      </w:r>
      <w:r w:rsidRPr="00974D81" w:rsidR="00B35E81">
        <w:rPr>
          <w:i/>
        </w:rPr>
        <w:t xml:space="preserve">See </w:t>
      </w:r>
      <w:r w:rsidRPr="00974D81" w:rsidR="007B6959">
        <w:t>8 U.S.C.</w:t>
      </w:r>
      <w:r w:rsidRPr="00974D81" w:rsidR="00CF204B">
        <w:t xml:space="preserve"> </w:t>
      </w:r>
      <w:r w:rsidRPr="00974D81" w:rsidR="00C86656">
        <w:t xml:space="preserve">§§ </w:t>
      </w:r>
      <w:r w:rsidRPr="00974D81">
        <w:t>1182(n)(1)(E)</w:t>
      </w:r>
      <w:r w:rsidRPr="00974D81" w:rsidR="00C86656">
        <w:t xml:space="preserve"> and</w:t>
      </w:r>
      <w:r w:rsidRPr="00974D81" w:rsidR="00466C62">
        <w:t xml:space="preserve"> </w:t>
      </w:r>
      <w:r w:rsidRPr="00974D81" w:rsidR="007B6959">
        <w:t>(F).</w:t>
      </w:r>
      <w:r w:rsidRPr="00974D81" w:rsidR="00466C62">
        <w:t xml:space="preserve"> </w:t>
      </w:r>
      <w:r w:rsidRPr="00974D81" w:rsidR="007B6959">
        <w:t xml:space="preserve"> </w:t>
      </w:r>
      <w:r w:rsidRPr="00974D81" w:rsidR="006B1C14">
        <w:t xml:space="preserve">The Department’s </w:t>
      </w:r>
      <w:r w:rsidRPr="00974D81">
        <w:t>regulations generally require H-1B</w:t>
      </w:r>
      <w:r w:rsidRPr="00974D81" w:rsidR="00573DBE">
        <w:t>-</w:t>
      </w:r>
      <w:r w:rsidRPr="00974D81">
        <w:t xml:space="preserve">dependent employers to keep certain documentation with respect to each former worker in the same locality and same occupation as any H-1B </w:t>
      </w:r>
      <w:r w:rsidRPr="00974D81" w:rsidR="00573DBE">
        <w:t xml:space="preserve">nonimmigrant </w:t>
      </w:r>
      <w:r w:rsidRPr="00974D81">
        <w:t xml:space="preserve">worker, who left its employ 90 days before or after an employer’s petition for an H-1B </w:t>
      </w:r>
      <w:r w:rsidRPr="00974D81" w:rsidR="00573DBE">
        <w:t xml:space="preserve">nonimmigrant </w:t>
      </w:r>
      <w:r w:rsidRPr="00974D81">
        <w:t xml:space="preserve">worker.  </w:t>
      </w:r>
      <w:r w:rsidRPr="00974D81" w:rsidR="00B35E81">
        <w:rPr>
          <w:i/>
        </w:rPr>
        <w:t xml:space="preserve">See </w:t>
      </w:r>
      <w:r w:rsidRPr="00974D81" w:rsidR="00B35E81">
        <w:t xml:space="preserve">20 CFR 655.738(e).  </w:t>
      </w:r>
      <w:r w:rsidRPr="00974D81">
        <w:t xml:space="preserve">The employer must maintain the name, last-known mailing address, occupational title and job description, any documentation concerning the employee’s experience and qualifications, and principal assignments; as well as all documents concerning the departure of such employee, and evaluations of his/her job performance.  The employer is also required to maintain a record of the terms of any offers of similar employment to such U.S. workers and the responses to those offers.  These records are necessary for the Department to determine whether the H-1B employer has displaced similar U.S. workers with H-1B nonimmigrant workers.  These records are to be maintained in the employer’s public access file for a period of one year beyond the last date on which any nonimmigrant is employed under the LCA or, if no nonimmigrants were employed under the LCA, one year from the date the </w:t>
      </w:r>
      <w:r w:rsidRPr="00974D81" w:rsidR="00EF1C73">
        <w:t xml:space="preserve">LCA </w:t>
      </w:r>
      <w:r w:rsidRPr="00974D81">
        <w:t xml:space="preserve">expired or was withdrawn.  </w:t>
      </w:r>
      <w:r w:rsidRPr="00974D81" w:rsidR="00B35E81">
        <w:rPr>
          <w:i/>
        </w:rPr>
        <w:t xml:space="preserve">See </w:t>
      </w:r>
      <w:r w:rsidRPr="00974D81">
        <w:t>20 CFR 655.760.</w:t>
      </w:r>
    </w:p>
    <w:p w:rsidR="00293482" w:rsidRPr="00974D81" w:rsidP="00DA417E" w14:paraId="30CA2C02" w14:textId="77777777">
      <w:pPr>
        <w:autoSpaceDE w:val="0"/>
        <w:autoSpaceDN w:val="0"/>
        <w:adjustRightInd w:val="0"/>
      </w:pPr>
    </w:p>
    <w:p w:rsidR="00DA417E" w:rsidRPr="00E634BB" w:rsidP="00E634BB" w14:paraId="570716A7" w14:textId="0F4A336A">
      <w:pPr>
        <w:pStyle w:val="ListParagraph"/>
        <w:numPr>
          <w:ilvl w:val="0"/>
          <w:numId w:val="20"/>
        </w:numPr>
        <w:autoSpaceDE w:val="0"/>
        <w:autoSpaceDN w:val="0"/>
        <w:adjustRightInd w:val="0"/>
        <w:jc w:val="both"/>
        <w:rPr>
          <w:u w:val="single"/>
        </w:rPr>
      </w:pPr>
      <w:r w:rsidRPr="00E634BB">
        <w:rPr>
          <w:u w:val="single"/>
        </w:rPr>
        <w:t>H-1B Employers Only</w:t>
      </w:r>
      <w:r w:rsidRPr="00E634BB" w:rsidR="00A82725">
        <w:rPr>
          <w:u w:val="single"/>
        </w:rPr>
        <w:t>:</w:t>
      </w:r>
      <w:r w:rsidRPr="00E634BB">
        <w:rPr>
          <w:u w:val="single"/>
        </w:rPr>
        <w:t xml:space="preserve"> Documentation of U.S Worker Recruitment </w:t>
      </w:r>
      <w:r w:rsidRPr="00E634BB" w:rsidR="001E4D4C">
        <w:rPr>
          <w:u w:val="single"/>
        </w:rPr>
        <w:t>–</w:t>
      </w:r>
      <w:r w:rsidRPr="00E634BB">
        <w:rPr>
          <w:u w:val="single"/>
        </w:rPr>
        <w:t xml:space="preserve"> 20 CFR 655.739(i)</w:t>
      </w:r>
    </w:p>
    <w:p w:rsidR="00DA417E" w:rsidRPr="00974D81" w:rsidP="00CC1A3B" w14:paraId="45FCDAE9" w14:textId="77777777">
      <w:pPr>
        <w:autoSpaceDE w:val="0"/>
        <w:autoSpaceDN w:val="0"/>
        <w:adjustRightInd w:val="0"/>
        <w:jc w:val="both"/>
      </w:pPr>
    </w:p>
    <w:p w:rsidR="00DA417E" w:rsidRPr="00974D81" w:rsidP="008562A2" w14:paraId="1066F91C" w14:textId="77777777">
      <w:pPr>
        <w:pStyle w:val="NoSpacing"/>
      </w:pPr>
      <w:r w:rsidRPr="00974D81">
        <w:t>The INA establishes that H-1B</w:t>
      </w:r>
      <w:r w:rsidRPr="00974D81" w:rsidR="00A82725">
        <w:t>-</w:t>
      </w:r>
      <w:r w:rsidRPr="00974D81">
        <w:t xml:space="preserve">dependent employers and willful violator employers are generally required to make good faith efforts to recruit U.S. workers before hiring H-1B workers.  </w:t>
      </w:r>
      <w:r w:rsidRPr="00974D81" w:rsidR="00B35E81">
        <w:rPr>
          <w:i/>
        </w:rPr>
        <w:t xml:space="preserve">See </w:t>
      </w:r>
      <w:r w:rsidRPr="00974D81">
        <w:t xml:space="preserve">8 U.S.C. 1182(n)(1)(G).  Under 20 CFR 655.739(i)(1), those H-1B dependent employers are required to retain documentation of the recruiting methods used, including the places and dates of the advertisements and postings or other recruitment method used, the content of the advertisements and postings, and the compensation terms.  Further, the employer must retain </w:t>
      </w:r>
      <w:r w:rsidRPr="00974D81">
        <w:t>documentation</w:t>
      </w:r>
      <w:r w:rsidRPr="00974D81">
        <w:t xml:space="preserve"> or a simple summary of the principal recruitment methods used and the timeframe of the recruitment in the public access file.  </w:t>
      </w:r>
      <w:r w:rsidRPr="00974D81" w:rsidR="00B35E81">
        <w:rPr>
          <w:i/>
        </w:rPr>
        <w:t xml:space="preserve">See </w:t>
      </w:r>
      <w:r w:rsidRPr="00974D81">
        <w:t xml:space="preserve">20 CFR 655.739(i)(4).  In addition, the employer must retain any documentation concerning consideration of applications of U.S. workers, such as copies of applications and related documents, rating forms, job offers, etc.  </w:t>
      </w:r>
      <w:r w:rsidRPr="00974D81" w:rsidR="00B35E81">
        <w:rPr>
          <w:i/>
        </w:rPr>
        <w:t xml:space="preserve">See </w:t>
      </w:r>
      <w:r w:rsidRPr="00974D81">
        <w:t xml:space="preserve">20 CFR 655.739(i)(2).  This documentation is necessary for the Department to determine in an investigation whether the employer has made a good faith effort to recruit U.S. workers and for the public to be aware of the recruitment methods used.  </w:t>
      </w:r>
    </w:p>
    <w:p w:rsidR="00DA417E" w:rsidRPr="00974D81" w:rsidP="00D16B3A" w14:paraId="596F6031" w14:textId="77777777">
      <w:pPr>
        <w:pStyle w:val="NoSpacing"/>
      </w:pPr>
    </w:p>
    <w:p w:rsidR="00DA417E" w:rsidRPr="00974D81" w:rsidP="00D16B3A" w14:paraId="20CA1A69" w14:textId="77777777">
      <w:pPr>
        <w:pStyle w:val="NoSpacing"/>
      </w:pPr>
      <w:r w:rsidRPr="00974D81">
        <w:t>With the exception of</w:t>
      </w:r>
      <w:r w:rsidRPr="00974D81">
        <w:t xml:space="preserve"> the list</w:t>
      </w:r>
      <w:r w:rsidRPr="00974D81" w:rsidR="00573DBE">
        <w:t xml:space="preserve"> of </w:t>
      </w:r>
      <w:r w:rsidRPr="00974D81" w:rsidR="000429C7">
        <w:t>records</w:t>
      </w:r>
      <w:r w:rsidRPr="00974D81">
        <w:t xml:space="preserve"> to be included in the public access file (where employers have the option of putting the actual records in the file), </w:t>
      </w:r>
      <w:r w:rsidRPr="00974D81" w:rsidR="006B1C14">
        <w:t xml:space="preserve">the Department </w:t>
      </w:r>
      <w:r w:rsidRPr="00974D81" w:rsidR="00573DBE">
        <w:t xml:space="preserve">does </w:t>
      </w:r>
      <w:r w:rsidRPr="00974D81">
        <w:t>not requir</w:t>
      </w:r>
      <w:r w:rsidRPr="00974D81" w:rsidR="00573DBE">
        <w:t>e</w:t>
      </w:r>
      <w:r w:rsidRPr="00974D81">
        <w:t xml:space="preserve"> employers to create any documents related to U.S. worker recruitment, but rather to preserve those documents, which are created or received.  The only additional recordkeeping burden required by the regulations is that the public disclosure files contain a summary of the principal recruitment methods used and the timeframes in which they were used.  Creating a memorandum to the file or the filing of pertinent documents may satisfy this recordkeeping requirement.  All records under this section are to be maintained in the employer’s public access file for a period of one year beyond the last date on which any nonimmigrant is employed under the LCA or, if no nonimmigrants were employed under the LCA, one year from the date the </w:t>
      </w:r>
      <w:r w:rsidRPr="00974D81" w:rsidR="00EF1C73">
        <w:t xml:space="preserve">LCA </w:t>
      </w:r>
      <w:r w:rsidRPr="00974D81">
        <w:t xml:space="preserve">expired or was withdrawn.  </w:t>
      </w:r>
      <w:r w:rsidRPr="00974D81" w:rsidR="00CE443E">
        <w:rPr>
          <w:i/>
        </w:rPr>
        <w:t xml:space="preserve">See </w:t>
      </w:r>
      <w:r w:rsidRPr="00974D81">
        <w:t>20 CFR 655.760.</w:t>
      </w:r>
    </w:p>
    <w:p w:rsidR="00DA417E" w:rsidRPr="00974D81" w:rsidP="00DA417E" w14:paraId="0463E31F" w14:textId="77777777">
      <w:pPr>
        <w:autoSpaceDE w:val="0"/>
        <w:autoSpaceDN w:val="0"/>
        <w:adjustRightInd w:val="0"/>
      </w:pPr>
    </w:p>
    <w:p w:rsidR="00DA417E" w:rsidRPr="00974D81" w:rsidP="00E634BB" w14:paraId="070CDFDA" w14:textId="5D5F7137">
      <w:pPr>
        <w:pStyle w:val="ListParagraph"/>
        <w:numPr>
          <w:ilvl w:val="0"/>
          <w:numId w:val="20"/>
        </w:numPr>
        <w:autoSpaceDE w:val="0"/>
        <w:autoSpaceDN w:val="0"/>
        <w:adjustRightInd w:val="0"/>
        <w:jc w:val="both"/>
      </w:pPr>
      <w:r w:rsidRPr="00E634BB">
        <w:rPr>
          <w:u w:val="single"/>
        </w:rPr>
        <w:t xml:space="preserve">Documentation of Benefits </w:t>
      </w:r>
      <w:r w:rsidRPr="00E634BB" w:rsidR="001E4D4C">
        <w:rPr>
          <w:u w:val="single"/>
        </w:rPr>
        <w:t>–</w:t>
      </w:r>
      <w:r w:rsidRPr="00E634BB">
        <w:rPr>
          <w:u w:val="single"/>
        </w:rPr>
        <w:t xml:space="preserve"> 20 CFR 655.731(b)</w:t>
      </w:r>
      <w:r w:rsidRPr="00974D81">
        <w:t xml:space="preserve"> </w:t>
      </w:r>
    </w:p>
    <w:p w:rsidR="00DA417E" w:rsidRPr="00974D81" w:rsidP="00CC1A3B" w14:paraId="13F45B88" w14:textId="77777777">
      <w:pPr>
        <w:autoSpaceDE w:val="0"/>
        <w:autoSpaceDN w:val="0"/>
        <w:adjustRightInd w:val="0"/>
        <w:jc w:val="both"/>
      </w:pPr>
    </w:p>
    <w:p w:rsidR="00DA417E" w:rsidRPr="00974D81" w:rsidP="008562A2" w14:paraId="20681FC3" w14:textId="14E3BBD6">
      <w:pPr>
        <w:pStyle w:val="NoSpacing"/>
      </w:pPr>
      <w:r w:rsidRPr="00974D81">
        <w:t xml:space="preserve">Pursuant to the INA, all employers of H-1B, H-1B1, and E-3 nonimmigrant workers are required to offer benefits to these workers on the same basis and under the same terms as offered to similarly </w:t>
      </w:r>
      <w:r w:rsidRPr="00974D81">
        <w:t>employed</w:t>
      </w:r>
      <w:r w:rsidRPr="00974D81">
        <w:t xml:space="preserve"> U.S. workers.  </w:t>
      </w:r>
      <w:r w:rsidRPr="00974D81" w:rsidR="00CE443E">
        <w:rPr>
          <w:i/>
        </w:rPr>
        <w:t xml:space="preserve">See </w:t>
      </w:r>
      <w:r w:rsidRPr="00974D81" w:rsidR="00CE443E">
        <w:t xml:space="preserve">8 U.S.C. </w:t>
      </w:r>
      <w:r w:rsidRPr="00974D81" w:rsidR="00C86656">
        <w:t xml:space="preserve">§§ </w:t>
      </w:r>
      <w:r w:rsidRPr="00974D81" w:rsidR="00CE443E">
        <w:t>1182(n)(2)(C)(viii) and (t)</w:t>
      </w:r>
      <w:r w:rsidR="003F4865">
        <w:t>(3)</w:t>
      </w:r>
      <w:r w:rsidRPr="00974D81" w:rsidR="00CE443E">
        <w:t xml:space="preserve">(C)(viii) and </w:t>
      </w:r>
      <w:r w:rsidRPr="00974D81">
        <w:t xml:space="preserve">20 CFR 655.731(c)(3).  Employers are required to make and retain copies of all benefit plans and </w:t>
      </w:r>
      <w:r w:rsidRPr="00974D81" w:rsidR="00CF204B">
        <w:t xml:space="preserve">any summary plan descriptions.  </w:t>
      </w:r>
      <w:r w:rsidRPr="00974D81" w:rsidR="00CE443E">
        <w:rPr>
          <w:i/>
        </w:rPr>
        <w:t xml:space="preserve">See </w:t>
      </w:r>
      <w:r w:rsidRPr="00974D81">
        <w:t>20 CFR 655.731(b).</w:t>
      </w:r>
      <w:r w:rsidRPr="00974D81" w:rsidR="00CF204B">
        <w:t xml:space="preserve">  </w:t>
      </w:r>
      <w:r w:rsidRPr="00974D81">
        <w:t xml:space="preserve">The public access file must contain a summary of the benefits offered, usually set forth in the employee handbook or summary plan description.  </w:t>
      </w:r>
      <w:r w:rsidRPr="00974D81" w:rsidR="00463539">
        <w:t>Where the employer is a multinational corporate</w:t>
      </w:r>
      <w:r w:rsidRPr="00974D81" w:rsidR="00E646D9">
        <w:t xml:space="preserve"> entity that employed the worker in its home country, it </w:t>
      </w:r>
      <w:r w:rsidRPr="00974D81" w:rsidR="0077066D">
        <w:t xml:space="preserve">may </w:t>
      </w:r>
      <w:r w:rsidRPr="00974D81" w:rsidR="00E646D9">
        <w:t xml:space="preserve">continue providing the benefits it provided </w:t>
      </w:r>
      <w:r w:rsidRPr="00974D81" w:rsidR="0077066D">
        <w:t>to</w:t>
      </w:r>
      <w:r w:rsidRPr="00974D81" w:rsidR="004D2FFB">
        <w:t xml:space="preserve"> the</w:t>
      </w:r>
      <w:r w:rsidRPr="00974D81" w:rsidR="00E646D9">
        <w:t xml:space="preserve"> worker in their home country.  When it chooses to do so, </w:t>
      </w:r>
      <w:r w:rsidRPr="00974D81" w:rsidR="00463539">
        <w:t>the public access file need only contain a statement that the employer is maintaining the worker</w:t>
      </w:r>
      <w:r w:rsidR="009F1EDE">
        <w:t>’</w:t>
      </w:r>
      <w:r w:rsidRPr="00974D81" w:rsidR="00463539">
        <w:t>s home country benefit, in compliance with 20 CFR 655.731(c)(3)(iii)</w:t>
      </w:r>
      <w:r w:rsidRPr="00974D81" w:rsidR="00E646D9">
        <w:t xml:space="preserve">.  </w:t>
      </w:r>
      <w:r w:rsidRPr="00974D81">
        <w:t xml:space="preserve">These records are to be maintained in the employer’s public access file for a period of one year beyond the last date on which any nonimmigrant is employed under the LCA or, if no nonimmigrants were employed under the LCA, one year from the date the </w:t>
      </w:r>
      <w:r w:rsidRPr="00974D81" w:rsidR="00EF1C73">
        <w:t xml:space="preserve">LCA </w:t>
      </w:r>
      <w:r w:rsidRPr="00974D81">
        <w:t xml:space="preserve">expired or was withdrawn.  </w:t>
      </w:r>
      <w:r w:rsidRPr="00974D81" w:rsidR="00CE443E">
        <w:rPr>
          <w:i/>
        </w:rPr>
        <w:t xml:space="preserve">See </w:t>
      </w:r>
      <w:r w:rsidRPr="00974D81">
        <w:t>20 CFR 655.760.</w:t>
      </w:r>
    </w:p>
    <w:p w:rsidR="00293482" w:rsidRPr="00974D81" w:rsidP="008562A2" w14:paraId="55974DE3" w14:textId="77777777">
      <w:pPr>
        <w:pStyle w:val="NoSpacing"/>
      </w:pPr>
    </w:p>
    <w:p w:rsidR="00DA417E" w:rsidRPr="00974D81" w:rsidP="00E634BB" w14:paraId="2893D356" w14:textId="48F2C99B">
      <w:pPr>
        <w:pStyle w:val="ListParagraph"/>
        <w:numPr>
          <w:ilvl w:val="0"/>
          <w:numId w:val="20"/>
        </w:numPr>
        <w:autoSpaceDE w:val="0"/>
        <w:autoSpaceDN w:val="0"/>
        <w:adjustRightInd w:val="0"/>
        <w:jc w:val="both"/>
      </w:pPr>
      <w:r w:rsidRPr="00E634BB">
        <w:rPr>
          <w:u w:val="single"/>
        </w:rPr>
        <w:t xml:space="preserve">Employer Wage Record Keeping Requirements </w:t>
      </w:r>
      <w:r w:rsidRPr="00E634BB" w:rsidR="001E4D4C">
        <w:rPr>
          <w:u w:val="single"/>
        </w:rPr>
        <w:t>–</w:t>
      </w:r>
      <w:r w:rsidRPr="00E634BB">
        <w:rPr>
          <w:u w:val="single"/>
        </w:rPr>
        <w:t xml:space="preserve"> 20 CFR 655.731</w:t>
      </w:r>
      <w:r w:rsidRPr="00974D81">
        <w:t xml:space="preserve"> </w:t>
      </w:r>
    </w:p>
    <w:p w:rsidR="00DA417E" w:rsidRPr="00974D81" w:rsidP="00CC1A3B" w14:paraId="4A1F43DD" w14:textId="77777777">
      <w:pPr>
        <w:autoSpaceDE w:val="0"/>
        <w:autoSpaceDN w:val="0"/>
        <w:adjustRightInd w:val="0"/>
        <w:jc w:val="both"/>
      </w:pPr>
    </w:p>
    <w:p w:rsidR="00DA417E" w:rsidRPr="00974D81" w:rsidP="008562A2" w14:paraId="2C7B42EA" w14:textId="77777777">
      <w:pPr>
        <w:pStyle w:val="NoSpacing"/>
      </w:pPr>
      <w:r w:rsidRPr="00974D81">
        <w:t>As part of the LCA, the employer attests that for the entire period of authorized employment of the H-1B, H-1B1, or E-3 nonimmigrant worker(s), the required wage rate will be paid to the nonimmigrant workers; that is, that the wage paid shall be the greater of the actual wage rate or the prev</w:t>
      </w:r>
      <w:r w:rsidRPr="00974D81" w:rsidR="00CF204B">
        <w:t xml:space="preserve">ailing wage. </w:t>
      </w:r>
      <w:r w:rsidRPr="00974D81" w:rsidR="00CE443E">
        <w:t xml:space="preserve"> </w:t>
      </w:r>
      <w:r w:rsidRPr="00974D81" w:rsidR="00CE443E">
        <w:rPr>
          <w:i/>
        </w:rPr>
        <w:t xml:space="preserve">See </w:t>
      </w:r>
      <w:r w:rsidRPr="00974D81" w:rsidR="00CF204B">
        <w:t xml:space="preserve">20 CFR 655.731(a).  </w:t>
      </w:r>
      <w:r w:rsidRPr="00974D81">
        <w:t xml:space="preserve">The regulations require that all H-1B, H-1B1, and E-3 employers document the basis used to establish the actual wages for their U.S. workers and how it relates to the H-1B nonimmigrant worker’s wage and to keep payroll records for workers that are not exempt under the Fair Labor Standards Act (FLSA), whether nonimmigrant workers or employees for the specific employment in question.  </w:t>
      </w:r>
      <w:r w:rsidRPr="00974D81" w:rsidR="00CE443E">
        <w:rPr>
          <w:i/>
        </w:rPr>
        <w:t xml:space="preserve">See </w:t>
      </w:r>
      <w:r w:rsidRPr="00974D81">
        <w:t>20 CFR 655.731(b).</w:t>
      </w:r>
    </w:p>
    <w:p w:rsidR="00DA417E" w:rsidRPr="00974D81" w:rsidP="00D16B3A" w14:paraId="0FC2C561" w14:textId="77777777">
      <w:pPr>
        <w:pStyle w:val="NoSpacing"/>
      </w:pPr>
    </w:p>
    <w:p w:rsidR="00DA417E" w:rsidRPr="00974D81" w:rsidP="008562A2" w14:paraId="3E1AE0D2" w14:textId="43E8637D">
      <w:pPr>
        <w:pStyle w:val="NoSpacing"/>
      </w:pPr>
      <w:r w:rsidRPr="00974D81">
        <w:t xml:space="preserve">Employers are required to keep records of the hours worked by employees not paid on a salary basis and for part-time nonimmigrant workers, regardless of how they are paid.  The additional recordkeeping burden over and above </w:t>
      </w:r>
      <w:r w:rsidRPr="00974D81" w:rsidR="008D27D3">
        <w:t xml:space="preserve">that </w:t>
      </w:r>
      <w:r w:rsidRPr="00974D81">
        <w:t>required by the FLSA, and approved under OMB Approval No.</w:t>
      </w:r>
      <w:r w:rsidRPr="00974D81" w:rsidR="00CE443E">
        <w:t xml:space="preserve"> </w:t>
      </w:r>
      <w:r w:rsidRPr="00974D81">
        <w:t>1235-00</w:t>
      </w:r>
      <w:r w:rsidRPr="00974D81" w:rsidR="008D27D3">
        <w:t>1</w:t>
      </w:r>
      <w:r w:rsidRPr="00974D81">
        <w:t xml:space="preserve">8, is for keeping records of hours worked by part-time, salaried nonimmigrant workers who are exempt from </w:t>
      </w:r>
      <w:r w:rsidRPr="00974D81" w:rsidR="00901C57">
        <w:t xml:space="preserve">the </w:t>
      </w:r>
      <w:r w:rsidRPr="00974D81">
        <w:t xml:space="preserve">FLSA.  Required payroll records for the H-1B </w:t>
      </w:r>
      <w:r w:rsidRPr="00974D81">
        <w:t>employees and other employees in the occupational classification shall be retained at the employer</w:t>
      </w:r>
      <w:r w:rsidR="00D64FF0">
        <w:t>’</w:t>
      </w:r>
      <w:r w:rsidRPr="00974D81">
        <w:t>s principal place of business in the U.S. or at the place of employment for a period of three years from the date(s) of the creation of the record(s), except that if an enforcement action is commenced, all payroll records shall be retained until the enforcement proceeding is completed through the procedures set forth in 20 CFR</w:t>
      </w:r>
      <w:r w:rsidR="00F4100B">
        <w:t xml:space="preserve"> part </w:t>
      </w:r>
      <w:r w:rsidRPr="00974D81">
        <w:t>655</w:t>
      </w:r>
      <w:r w:rsidRPr="00974D81" w:rsidR="00CE443E">
        <w:t>,</w:t>
      </w:r>
      <w:r w:rsidRPr="00974D81">
        <w:t xml:space="preserve"> </w:t>
      </w:r>
      <w:r w:rsidR="00F4100B">
        <w:t>s</w:t>
      </w:r>
      <w:r w:rsidRPr="00974D81">
        <w:t xml:space="preserve">ubpart I.  </w:t>
      </w:r>
      <w:r w:rsidRPr="00974D81" w:rsidR="00CE443E">
        <w:rPr>
          <w:i/>
        </w:rPr>
        <w:t xml:space="preserve">See </w:t>
      </w:r>
      <w:r w:rsidRPr="00974D81">
        <w:t>20 CFR 655.760.</w:t>
      </w:r>
    </w:p>
    <w:p w:rsidR="00DA417E" w:rsidRPr="00974D81" w:rsidP="008562A2" w14:paraId="282FB62D" w14:textId="77777777">
      <w:pPr>
        <w:pStyle w:val="NoSpacing"/>
      </w:pPr>
    </w:p>
    <w:p w:rsidR="00DA417E" w:rsidRPr="00974D81" w:rsidP="008562A2" w14:paraId="496CA6AD" w14:textId="77777777">
      <w:pPr>
        <w:pStyle w:val="NoSpacing"/>
      </w:pPr>
      <w:r w:rsidRPr="00974D81">
        <w:t xml:space="preserve">Employers are required to keep records for the determination of the prevailing wage.  </w:t>
      </w:r>
      <w:r w:rsidRPr="00974D81" w:rsidR="00CE443E">
        <w:rPr>
          <w:i/>
        </w:rPr>
        <w:t xml:space="preserve">See </w:t>
      </w:r>
      <w:r w:rsidRPr="00974D81">
        <w:t xml:space="preserve">20 CFR 655.731(b)(3).  The prevailing wage documentation shall be retained at the employer’s place of business for a period of one year beyond the last date on which any H-1B employee is employed under the LCA, or one year from the date the LCA expired or was withdrawn if H-1B nonimmigrant workers were not employed. </w:t>
      </w:r>
      <w:r w:rsidRPr="00974D81" w:rsidR="00AA6F3B">
        <w:t xml:space="preserve"> </w:t>
      </w:r>
      <w:r w:rsidRPr="00974D81" w:rsidR="00CE443E">
        <w:rPr>
          <w:i/>
        </w:rPr>
        <w:t xml:space="preserve">See </w:t>
      </w:r>
      <w:r w:rsidRPr="00974D81">
        <w:t>20 CFR 655.760.</w:t>
      </w:r>
    </w:p>
    <w:p w:rsidR="008E3676" w:rsidRPr="00974D81" w:rsidP="00CC1A3B" w14:paraId="68431BE1" w14:textId="77777777">
      <w:pPr>
        <w:autoSpaceDE w:val="0"/>
        <w:autoSpaceDN w:val="0"/>
        <w:adjustRightInd w:val="0"/>
        <w:jc w:val="both"/>
      </w:pPr>
    </w:p>
    <w:p w:rsidR="00DA417E" w:rsidRPr="00974D81" w:rsidP="00E634BB" w14:paraId="71916931" w14:textId="5F6FF9EA">
      <w:pPr>
        <w:pStyle w:val="ListParagraph"/>
        <w:numPr>
          <w:ilvl w:val="0"/>
          <w:numId w:val="20"/>
        </w:numPr>
        <w:autoSpaceDE w:val="0"/>
        <w:autoSpaceDN w:val="0"/>
        <w:adjustRightInd w:val="0"/>
        <w:jc w:val="both"/>
      </w:pPr>
      <w:r w:rsidRPr="00E634BB">
        <w:rPr>
          <w:u w:val="single"/>
        </w:rPr>
        <w:t>Nonimmigrant Worker Information Form (WH-4)</w:t>
      </w:r>
      <w:r w:rsidRPr="00974D81">
        <w:t xml:space="preserve"> </w:t>
      </w:r>
    </w:p>
    <w:p w:rsidR="00DA417E" w:rsidRPr="00974D81" w:rsidP="00CC1A3B" w14:paraId="727D7090" w14:textId="77777777">
      <w:pPr>
        <w:autoSpaceDE w:val="0"/>
        <w:autoSpaceDN w:val="0"/>
        <w:adjustRightInd w:val="0"/>
        <w:jc w:val="both"/>
      </w:pPr>
    </w:p>
    <w:p w:rsidR="00DA417E" w:rsidRPr="00974D81" w:rsidP="008562A2" w14:paraId="51543694" w14:textId="77777777">
      <w:pPr>
        <w:pStyle w:val="NoSpacing"/>
      </w:pPr>
      <w:r w:rsidRPr="00974D81">
        <w:t xml:space="preserve">The INA requires </w:t>
      </w:r>
      <w:r w:rsidRPr="00974D81" w:rsidR="006B1C14">
        <w:t xml:space="preserve">the Department </w:t>
      </w:r>
      <w:r w:rsidRPr="00974D81">
        <w:t xml:space="preserve">to establish processes to allow individuals or entities to provide information alleging H-1B program violations.  </w:t>
      </w:r>
      <w:r w:rsidRPr="00974D81" w:rsidR="00CE443E">
        <w:rPr>
          <w:i/>
        </w:rPr>
        <w:t xml:space="preserve">See </w:t>
      </w:r>
      <w:r w:rsidRPr="00974D81">
        <w:t xml:space="preserve">8 U.S.C. </w:t>
      </w:r>
      <w:r w:rsidRPr="00974D81" w:rsidR="00C86656">
        <w:t xml:space="preserve">§§ </w:t>
      </w:r>
      <w:r w:rsidRPr="00974D81">
        <w:t>1182(n)(2)(A), (n)(2)(G)(iii)</w:t>
      </w:r>
      <w:r w:rsidRPr="00974D81" w:rsidR="00901C57">
        <w:t>,</w:t>
      </w:r>
      <w:r w:rsidRPr="00974D81">
        <w:t xml:space="preserve"> </w:t>
      </w:r>
      <w:r w:rsidRPr="00974D81" w:rsidR="00CE443E">
        <w:t xml:space="preserve">and </w:t>
      </w:r>
      <w:r w:rsidRPr="00974D81">
        <w:t xml:space="preserve">(t)(3)(A). </w:t>
      </w:r>
      <w:r w:rsidRPr="00974D81" w:rsidR="006B1C14">
        <w:t xml:space="preserve"> The Department</w:t>
      </w:r>
      <w:r w:rsidRPr="00974D81" w:rsidR="005138C2">
        <w:t>’s WHD</w:t>
      </w:r>
      <w:r w:rsidRPr="00974D81" w:rsidR="006B1C14">
        <w:t xml:space="preserve"> </w:t>
      </w:r>
      <w:r w:rsidRPr="00974D81">
        <w:t xml:space="preserve">uses Form WH-4 to meet these statutory requirements.  </w:t>
      </w:r>
    </w:p>
    <w:p w:rsidR="00EA78D2" w:rsidRPr="00974D81" w:rsidP="00EA78D2" w14:paraId="26BEA5C2" w14:textId="77777777">
      <w:pPr>
        <w:autoSpaceDE w:val="0"/>
        <w:autoSpaceDN w:val="0"/>
        <w:adjustRightInd w:val="0"/>
      </w:pPr>
    </w:p>
    <w:p w:rsidR="00EA78D2" w:rsidRPr="00974D81" w:rsidP="0020651D" w14:paraId="7AE9BCB8" w14:textId="77777777">
      <w:pPr>
        <w:tabs>
          <w:tab w:val="right" w:pos="360"/>
        </w:tabs>
        <w:autoSpaceDE w:val="0"/>
        <w:autoSpaceDN w:val="0"/>
        <w:adjustRightInd w:val="0"/>
        <w:rPr>
          <w:i/>
        </w:rPr>
      </w:pPr>
      <w:r w:rsidRPr="00974D81">
        <w:rPr>
          <w:i/>
        </w:rPr>
        <w:tab/>
      </w:r>
      <w:r w:rsidRPr="00974D81" w:rsidR="00C86FA4">
        <w:rPr>
          <w:i/>
        </w:rPr>
        <w:t>A</w:t>
      </w:r>
      <w:r w:rsidRPr="00974D81">
        <w:rPr>
          <w:i/>
        </w:rPr>
        <w:t xml:space="preserve">2. </w:t>
      </w:r>
      <w:r w:rsidRPr="00974D81" w:rsidR="004C7F0F">
        <w:rPr>
          <w:i/>
        </w:rPr>
        <w:t xml:space="preserve"> </w:t>
      </w:r>
      <w:r w:rsidRPr="00974D81">
        <w:rPr>
          <w:i/>
        </w:rPr>
        <w:t xml:space="preserve">Indicate how, by whom, and for what purpose the information is to be used. </w:t>
      </w:r>
      <w:r w:rsidRPr="00974D81" w:rsidR="00B10FD7">
        <w:rPr>
          <w:i/>
        </w:rPr>
        <w:t xml:space="preserve"> </w:t>
      </w:r>
      <w:r w:rsidRPr="00974D81">
        <w:rPr>
          <w:i/>
        </w:rPr>
        <w:t>Except for a new collection, indicate the actual use the agency has made of the information received from the current collection.</w:t>
      </w:r>
    </w:p>
    <w:p w:rsidR="00EA78D2" w:rsidRPr="00974D81" w:rsidP="00EA78D2" w14:paraId="73F9D65A" w14:textId="77777777">
      <w:pPr>
        <w:autoSpaceDE w:val="0"/>
        <w:autoSpaceDN w:val="0"/>
        <w:adjustRightInd w:val="0"/>
      </w:pPr>
    </w:p>
    <w:p w:rsidR="00836C53" w:rsidRPr="00974D81" w:rsidP="00930109" w14:paraId="52A1301B" w14:textId="1F93BB25">
      <w:pPr>
        <w:pStyle w:val="NoSpacing"/>
      </w:pPr>
      <w:r w:rsidRPr="00974D81">
        <w:t xml:space="preserve">The Department’s </w:t>
      </w:r>
      <w:r w:rsidRPr="00974D81">
        <w:t>OFLC relies on Forms ETA</w:t>
      </w:r>
      <w:r w:rsidRPr="00974D81" w:rsidR="00EB19B1">
        <w:t>-</w:t>
      </w:r>
      <w:r w:rsidRPr="00974D81">
        <w:t>9035, ETA</w:t>
      </w:r>
      <w:r w:rsidRPr="00974D81" w:rsidR="00EB19B1">
        <w:t>-</w:t>
      </w:r>
      <w:r w:rsidRPr="00974D81">
        <w:t>9035E</w:t>
      </w:r>
      <w:r w:rsidRPr="00974D81" w:rsidR="00E657D1">
        <w:t>,</w:t>
      </w:r>
      <w:r w:rsidRPr="00974D81">
        <w:t xml:space="preserve"> </w:t>
      </w:r>
      <w:r w:rsidRPr="00974D81" w:rsidR="005138C2">
        <w:t xml:space="preserve">ETA-9035/9035E </w:t>
      </w:r>
      <w:r w:rsidR="00047159">
        <w:t xml:space="preserve">- </w:t>
      </w:r>
      <w:r w:rsidRPr="00974D81" w:rsidR="005138C2">
        <w:t xml:space="preserve">Appendix A, </w:t>
      </w:r>
      <w:r w:rsidRPr="00974D81">
        <w:t>and ETA</w:t>
      </w:r>
      <w:r w:rsidRPr="00974D81" w:rsidR="00EB19B1">
        <w:t>-</w:t>
      </w:r>
      <w:r w:rsidRPr="00974D81">
        <w:t>90</w:t>
      </w:r>
      <w:r w:rsidRPr="00974D81" w:rsidR="00901C57">
        <w:t>35</w:t>
      </w:r>
      <w:r w:rsidRPr="00974D81">
        <w:t>CP to collect the necessary information from employers to adjudicate LCAs.</w:t>
      </w:r>
    </w:p>
    <w:p w:rsidR="00836C53" w:rsidRPr="00974D81" w:rsidP="00930109" w14:paraId="0CBF6DEE" w14:textId="77777777">
      <w:pPr>
        <w:pStyle w:val="NoSpacing"/>
      </w:pPr>
    </w:p>
    <w:p w:rsidR="00836C53" w:rsidRPr="00974D81" w:rsidP="00930109" w14:paraId="26E8E914" w14:textId="77777777">
      <w:pPr>
        <w:pStyle w:val="NoSpacing"/>
      </w:pPr>
      <w:r w:rsidRPr="00974D81">
        <w:t xml:space="preserve">The INA provides that unless the LCA is incomplete or appears obviously inaccurate, the Secretary shall certify the application and return it to the employer within seven days.  </w:t>
      </w:r>
      <w:r w:rsidRPr="00974D81" w:rsidR="000202E6">
        <w:rPr>
          <w:i/>
        </w:rPr>
        <w:t xml:space="preserve">See </w:t>
      </w:r>
      <w:r w:rsidRPr="00974D81" w:rsidR="00C86656">
        <w:t xml:space="preserve">8 U.S.C. § 1182(n)(1)(G).  </w:t>
      </w:r>
      <w:r w:rsidRPr="00974D81">
        <w:t xml:space="preserve">The INA further requires the Department to make available for public examination on a current basis a list (by employer and by occupational classification) of LCAs filed by employers.  </w:t>
      </w:r>
      <w:r w:rsidRPr="00974D81" w:rsidR="000202E6">
        <w:rPr>
          <w:i/>
        </w:rPr>
        <w:t>See id</w:t>
      </w:r>
      <w:r w:rsidRPr="00974D81" w:rsidR="00AA6F3B">
        <w:t>.</w:t>
      </w:r>
      <w:r w:rsidRPr="00974D81">
        <w:t xml:space="preserve"> </w:t>
      </w:r>
      <w:r w:rsidRPr="00974D81" w:rsidR="00901C57">
        <w:t xml:space="preserve"> </w:t>
      </w:r>
      <w:r w:rsidRPr="00974D81">
        <w:t>The records and information supporting the LCA attestations are reviewed by the WHD to determine employer compliance.  The public access file is required by the INA so that the public has access to information to file complaints about violations.</w:t>
      </w:r>
    </w:p>
    <w:p w:rsidR="00836C53" w:rsidRPr="00974D81" w:rsidP="00D16B3A" w14:paraId="50425EC9" w14:textId="77777777">
      <w:pPr>
        <w:pStyle w:val="NoSpacing"/>
      </w:pPr>
    </w:p>
    <w:p w:rsidR="008E3676" w:rsidRPr="00974D81" w:rsidP="00853109" w14:paraId="1D3B198B" w14:textId="77777777">
      <w:pPr>
        <w:pStyle w:val="NoSpacing"/>
      </w:pPr>
      <w:r w:rsidRPr="00974D81">
        <w:t>Form WH-4 is a form</w:t>
      </w:r>
      <w:r w:rsidRPr="00974D81" w:rsidR="000429C7">
        <w:t xml:space="preserve"> the Department provides for</w:t>
      </w:r>
      <w:r w:rsidRPr="00974D81">
        <w:t xml:space="preserve"> anyone to </w:t>
      </w:r>
      <w:r w:rsidRPr="00974D81" w:rsidR="000429C7">
        <w:t xml:space="preserve">report </w:t>
      </w:r>
      <w:r w:rsidRPr="00974D81">
        <w:t>allege</w:t>
      </w:r>
      <w:r w:rsidRPr="00974D81" w:rsidR="00BA1E28">
        <w:t>d</w:t>
      </w:r>
      <w:r w:rsidRPr="00974D81">
        <w:t xml:space="preserve"> violations of the INA provisions enforced by the WHD</w:t>
      </w:r>
      <w:r w:rsidRPr="00974D81" w:rsidR="00BB50FB">
        <w:t xml:space="preserve"> for these programs</w:t>
      </w:r>
      <w:r w:rsidRPr="00974D81">
        <w:t xml:space="preserve">.  WHD uses the information </w:t>
      </w:r>
      <w:r w:rsidRPr="00974D81" w:rsidR="000429C7">
        <w:t xml:space="preserve">collected through </w:t>
      </w:r>
      <w:r w:rsidRPr="00974D81">
        <w:t>the form to determine whether it has reasonable cause to commence an investigation.</w:t>
      </w:r>
    </w:p>
    <w:p w:rsidR="00447ECB" w:rsidRPr="00974D81" w:rsidP="00853109" w14:paraId="7F4F98C6" w14:textId="77777777">
      <w:pPr>
        <w:pStyle w:val="NoSpacing"/>
      </w:pPr>
    </w:p>
    <w:p w:rsidR="00EA78D2" w:rsidRPr="00974D81" w:rsidP="0020651D" w14:paraId="2BA4D55F" w14:textId="77777777">
      <w:pPr>
        <w:tabs>
          <w:tab w:val="right" w:pos="360"/>
        </w:tabs>
        <w:autoSpaceDE w:val="0"/>
        <w:autoSpaceDN w:val="0"/>
        <w:adjustRightInd w:val="0"/>
        <w:rPr>
          <w:i/>
        </w:rPr>
      </w:pPr>
      <w:r w:rsidRPr="00974D81">
        <w:rPr>
          <w:i/>
        </w:rPr>
        <w:tab/>
      </w:r>
      <w:r w:rsidRPr="00974D81" w:rsidR="00C86FA4">
        <w:rPr>
          <w:i/>
        </w:rPr>
        <w:t>A</w:t>
      </w:r>
      <w:r w:rsidRPr="00974D81">
        <w:rPr>
          <w:i/>
        </w:rPr>
        <w:t>3.</w:t>
      </w:r>
      <w:r w:rsidRPr="00974D81" w:rsidR="00C86FA4">
        <w:rPr>
          <w:i/>
        </w:rPr>
        <w:t xml:space="preserve">  </w:t>
      </w:r>
      <w:r w:rsidRPr="00974D81">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974D81" w:rsidR="00910252">
        <w:rPr>
          <w:i/>
        </w:rPr>
        <w:t xml:space="preserve"> </w:t>
      </w:r>
      <w:r w:rsidRPr="00974D81">
        <w:rPr>
          <w:i/>
        </w:rPr>
        <w:t>Also</w:t>
      </w:r>
      <w:r w:rsidRPr="00974D81" w:rsidR="00910252">
        <w:rPr>
          <w:i/>
        </w:rPr>
        <w:t>,</w:t>
      </w:r>
      <w:r w:rsidRPr="00974D81">
        <w:rPr>
          <w:i/>
        </w:rPr>
        <w:t xml:space="preserve"> describe any consideration of using information technology to reduce burden.</w:t>
      </w:r>
    </w:p>
    <w:p w:rsidR="00EA78D2" w:rsidRPr="00974D81" w:rsidP="00EA78D2" w14:paraId="6D9A77A6" w14:textId="77777777">
      <w:pPr>
        <w:autoSpaceDE w:val="0"/>
        <w:autoSpaceDN w:val="0"/>
        <w:adjustRightInd w:val="0"/>
      </w:pPr>
    </w:p>
    <w:p w:rsidR="00836C53" w:rsidRPr="00974D81" w:rsidP="00853109" w14:paraId="59ED08D9" w14:textId="187D747B">
      <w:pPr>
        <w:pStyle w:val="NoSpacing"/>
      </w:pPr>
      <w:r w:rsidRPr="00974D81">
        <w:t xml:space="preserve">Since December 2005, the Department has mandated that the LCA </w:t>
      </w:r>
      <w:r w:rsidR="00CF64A5">
        <w:t xml:space="preserve">must </w:t>
      </w:r>
      <w:r w:rsidRPr="00974D81">
        <w:t xml:space="preserve">be filed electronically unless the employer has a disability or lacks internet access.  Employers with a disability that prevents them from filing electronic applications or employers without </w:t>
      </w:r>
      <w:r w:rsidRPr="00974D81" w:rsidR="009D69E2">
        <w:t>i</w:t>
      </w:r>
      <w:r w:rsidRPr="00974D81">
        <w:t>nternet access can file the LCA by U.S. mail.  The electronic filing of Form ETA</w:t>
      </w:r>
      <w:r w:rsidRPr="00974D81" w:rsidR="00EB19B1">
        <w:t>-</w:t>
      </w:r>
      <w:r w:rsidRPr="00974D81">
        <w:t>9035E is</w:t>
      </w:r>
      <w:r w:rsidR="00BC1D19">
        <w:t xml:space="preserve"> </w:t>
      </w:r>
      <w:r w:rsidRPr="00974D81">
        <w:t xml:space="preserve">supported by the Department’s </w:t>
      </w:r>
      <w:r w:rsidRPr="00974D81" w:rsidR="006B1C14">
        <w:t>Foreign Labor Application Gateway (FLAG)</w:t>
      </w:r>
      <w:r w:rsidRPr="00974D81">
        <w:t xml:space="preserve">, which is accessible at </w:t>
      </w:r>
      <w:hyperlink r:id="rId10" w:history="1">
        <w:r w:rsidRPr="00974D81" w:rsidR="006B1C14">
          <w:t>https://flag.dol.gov/</w:t>
        </w:r>
      </w:hyperlink>
      <w:r w:rsidRPr="00974D81" w:rsidR="006B1C14">
        <w:t xml:space="preserve">. </w:t>
      </w:r>
    </w:p>
    <w:p w:rsidR="00836C53" w:rsidRPr="00974D81" w:rsidP="00D16B3A" w14:paraId="75795C3F" w14:textId="77777777">
      <w:pPr>
        <w:pStyle w:val="NoSpacing"/>
      </w:pPr>
    </w:p>
    <w:p w:rsidR="00836C53" w:rsidRPr="00974D81" w:rsidP="00D16B3A" w14:paraId="4BD4E0E9" w14:textId="7993292E">
      <w:pPr>
        <w:pStyle w:val="NoSpacing"/>
      </w:pPr>
      <w:r w:rsidRPr="00974D81">
        <w:t xml:space="preserve">FLAG </w:t>
      </w:r>
      <w:r w:rsidRPr="00974D81">
        <w:t xml:space="preserve">permits an employer or, if applicable, its authorized attorney or agent to efficiently prepare and submit LCAs for processing by OFLC.  Since the Department’s review of LCAs under the INA sections 212(n)(1)(G) and 212(t)(2)(c) is limited to only completeness and obvious inaccuracies, </w:t>
      </w:r>
      <w:r w:rsidRPr="00974D81" w:rsidR="0030295F">
        <w:t xml:space="preserve">FLAG </w:t>
      </w:r>
      <w:r w:rsidRPr="00974D81">
        <w:t xml:space="preserve">provides employers with a series of electronic data checks and prompts to </w:t>
      </w:r>
      <w:r w:rsidR="00911A60">
        <w:t>ensure</w:t>
      </w:r>
      <w:r w:rsidRPr="00974D81" w:rsidR="00911A60">
        <w:t xml:space="preserve"> </w:t>
      </w:r>
      <w:r w:rsidRPr="00974D81">
        <w:t xml:space="preserve">that each required field on Form </w:t>
      </w:r>
      <w:r w:rsidRPr="00974D81" w:rsidR="00901C57">
        <w:t>ETA</w:t>
      </w:r>
      <w:r w:rsidRPr="00974D81" w:rsidR="00EB19B1">
        <w:t>-</w:t>
      </w:r>
      <w:r w:rsidRPr="00974D81">
        <w:t xml:space="preserve">9035E is completed and </w:t>
      </w:r>
      <w:r w:rsidR="00911A60">
        <w:t xml:space="preserve">that </w:t>
      </w:r>
      <w:r w:rsidRPr="00974D81">
        <w:t>values entered on the form are consistent with regulatory requirements.  OFLC</w:t>
      </w:r>
      <w:r w:rsidRPr="00974D81" w:rsidR="00B61AA7">
        <w:t>’s</w:t>
      </w:r>
      <w:r w:rsidRPr="00974D81">
        <w:t xml:space="preserve"> website </w:t>
      </w:r>
      <w:r w:rsidR="000D1134">
        <w:t xml:space="preserve">at </w:t>
      </w:r>
      <w:r w:rsidRPr="00BC72A4" w:rsidR="000D1134">
        <w:t>https://www.dol.gov/agencies/eta/foreign-labor</w:t>
      </w:r>
      <w:r w:rsidR="000D1134">
        <w:t xml:space="preserve"> </w:t>
      </w:r>
      <w:r w:rsidRPr="00974D81">
        <w:t xml:space="preserve">and </w:t>
      </w:r>
      <w:r w:rsidRPr="00974D81" w:rsidR="0030295F">
        <w:t>FLAG</w:t>
      </w:r>
      <w:r w:rsidRPr="00974D81" w:rsidR="00780FC9">
        <w:t>’s</w:t>
      </w:r>
      <w:r w:rsidRPr="00974D81" w:rsidR="0030295F">
        <w:t xml:space="preserve"> </w:t>
      </w:r>
      <w:r w:rsidRPr="00974D81">
        <w:t xml:space="preserve">Form </w:t>
      </w:r>
      <w:r w:rsidRPr="00974D81" w:rsidR="00901C57">
        <w:t>ETA</w:t>
      </w:r>
      <w:r w:rsidRPr="00974D81" w:rsidR="00EB19B1">
        <w:t>-</w:t>
      </w:r>
      <w:r w:rsidRPr="00974D81">
        <w:t>9035E Case Preparation Module include detailed instructions designed to help employers understand what each form collection item means and what kind</w:t>
      </w:r>
      <w:r w:rsidRPr="00974D81" w:rsidR="00604509">
        <w:t>s</w:t>
      </w:r>
      <w:r w:rsidRPr="00974D81">
        <w:t xml:space="preserve"> of entries are required.  When the employer or, if applicable, its authorized attorney or agent, initially enter</w:t>
      </w:r>
      <w:r w:rsidR="00ED7560">
        <w:t>s</w:t>
      </w:r>
      <w:r w:rsidRPr="00974D81">
        <w:t xml:space="preserve"> contact information and establish</w:t>
      </w:r>
      <w:r w:rsidR="00894AB6">
        <w:t>es</w:t>
      </w:r>
      <w:r w:rsidRPr="00974D81">
        <w:t xml:space="preserve"> </w:t>
      </w:r>
      <w:r w:rsidRPr="00974D81" w:rsidR="0030295F">
        <w:t>a FLAG a</w:t>
      </w:r>
      <w:r w:rsidRPr="00974D81">
        <w:t xml:space="preserve">ccount, the Form </w:t>
      </w:r>
      <w:r w:rsidRPr="00974D81" w:rsidR="00901C57">
        <w:t>ETA</w:t>
      </w:r>
      <w:r w:rsidRPr="00974D81" w:rsidR="00EB19B1">
        <w:t>-</w:t>
      </w:r>
      <w:r w:rsidRPr="00974D81">
        <w:t xml:space="preserve">9035E automatically pre-populates contact information on the draft application, significantly reducing the time and burden for repeated online data entry.  Additionally, the Form </w:t>
      </w:r>
      <w:r w:rsidRPr="00974D81" w:rsidR="00901C57">
        <w:t>ETA</w:t>
      </w:r>
      <w:r w:rsidRPr="00974D81" w:rsidR="00EB19B1">
        <w:t>-</w:t>
      </w:r>
      <w:r w:rsidRPr="00974D81">
        <w:t xml:space="preserve">9035E provides employers with an option to “reuse” previously filed LCAs, which automatically copies information into a new draft application.  Under this option, employers only </w:t>
      </w:r>
      <w:r w:rsidRPr="00974D81">
        <w:t>have to</w:t>
      </w:r>
      <w:r w:rsidRPr="00974D81">
        <w:t xml:space="preserve"> change a limited set of information on the new LCA to accommodate the job opportunity such as the number of workers being requested for certification, period of employment, and the intended place(s) of employment.  This option significantly reduces the time and burden for online data entry, particularly </w:t>
      </w:r>
      <w:r w:rsidRPr="00974D81" w:rsidR="00901C57">
        <w:t xml:space="preserve">for </w:t>
      </w:r>
      <w:r w:rsidRPr="00974D81">
        <w:t xml:space="preserve">those employers who need to access the program to hire nonimmigrant workers in a common set of occupational classifications.  This process is designed to help employers </w:t>
      </w:r>
      <w:r w:rsidRPr="00974D81" w:rsidR="00604509">
        <w:t>provide accurate LCA information while providing employers with clear</w:t>
      </w:r>
      <w:r w:rsidRPr="00974D81">
        <w:t>, immediate notice of the obligations.  This collection is in full compliance with the Government Paperwork Elimination Act.</w:t>
      </w:r>
      <w:r w:rsidR="002A13EE">
        <w:t xml:space="preserve">  </w:t>
      </w:r>
      <w:r w:rsidRPr="00974D81" w:rsidR="002A13EE">
        <w:t xml:space="preserve">The information collected in electronic format is substantially the same </w:t>
      </w:r>
      <w:r w:rsidRPr="00974D81" w:rsidR="002A13EE">
        <w:t>with the exception of</w:t>
      </w:r>
      <w:r w:rsidRPr="00974D81" w:rsidR="002A13EE">
        <w:t xml:space="preserve"> some minor word changes to accommodate the type of submission.  </w:t>
      </w:r>
    </w:p>
    <w:p w:rsidR="00836C53" w:rsidRPr="00974D81" w:rsidP="00CC1A3B" w14:paraId="40C52695" w14:textId="77777777">
      <w:pPr>
        <w:autoSpaceDE w:val="0"/>
        <w:autoSpaceDN w:val="0"/>
        <w:adjustRightInd w:val="0"/>
        <w:jc w:val="both"/>
      </w:pPr>
    </w:p>
    <w:p w:rsidR="00836C53" w:rsidRPr="00974D81" w:rsidP="00853109" w14:paraId="6665F718" w14:textId="58A0A1C4">
      <w:pPr>
        <w:pStyle w:val="NoSpacing"/>
      </w:pPr>
      <w:r w:rsidRPr="00F852FD">
        <w:t xml:space="preserve">The Department previously considered developing an automated complaint system for H-1B, H-1B1, and E-3 complaints, and determined at the time that it was not feasible.  </w:t>
      </w:r>
      <w:r w:rsidRPr="00F852FD" w:rsidR="002A13EE">
        <w:t xml:space="preserve">The </w:t>
      </w:r>
      <w:r w:rsidRPr="00F852FD">
        <w:t xml:space="preserve">Department </w:t>
      </w:r>
      <w:r w:rsidRPr="00F852FD" w:rsidR="007D4F77">
        <w:t xml:space="preserve">continues to review </w:t>
      </w:r>
      <w:r w:rsidRPr="00F852FD">
        <w:t>options for the</w:t>
      </w:r>
      <w:r w:rsidRPr="00F852FD" w:rsidR="002A13EE">
        <w:t xml:space="preserve"> WH-4</w:t>
      </w:r>
      <w:r w:rsidRPr="00F852FD" w:rsidR="001B7BD4">
        <w:t xml:space="preserve"> information collection</w:t>
      </w:r>
      <w:r w:rsidRPr="00F852FD">
        <w:t>.</w:t>
      </w:r>
      <w:r w:rsidRPr="002A13EE">
        <w:t xml:space="preserve"> </w:t>
      </w:r>
      <w:r w:rsidRPr="002A13EE">
        <w:t xml:space="preserve"> </w:t>
      </w:r>
    </w:p>
    <w:p w:rsidR="00EA78D2" w:rsidRPr="00974D81" w:rsidP="00C86FA4" w14:paraId="7A0C8A43" w14:textId="77777777">
      <w:pPr>
        <w:autoSpaceDE w:val="0"/>
        <w:autoSpaceDN w:val="0"/>
        <w:adjustRightInd w:val="0"/>
      </w:pPr>
    </w:p>
    <w:p w:rsidR="00EA78D2" w:rsidRPr="00974D81" w:rsidP="00C86FA4" w14:paraId="4E211D2E" w14:textId="77777777">
      <w:pPr>
        <w:tabs>
          <w:tab w:val="right" w:pos="360"/>
          <w:tab w:val="left" w:pos="540"/>
        </w:tabs>
        <w:autoSpaceDE w:val="0"/>
        <w:autoSpaceDN w:val="0"/>
        <w:adjustRightInd w:val="0"/>
        <w:rPr>
          <w:i/>
        </w:rPr>
      </w:pPr>
      <w:r w:rsidRPr="00974D81">
        <w:rPr>
          <w:i/>
        </w:rPr>
        <w:tab/>
      </w:r>
      <w:r w:rsidRPr="00974D81" w:rsidR="00C86FA4">
        <w:rPr>
          <w:i/>
        </w:rPr>
        <w:t>A</w:t>
      </w:r>
      <w:r w:rsidRPr="00974D81">
        <w:rPr>
          <w:i/>
        </w:rPr>
        <w:t>4.</w:t>
      </w:r>
      <w:r w:rsidRPr="00974D81" w:rsidR="00C86FA4">
        <w:rPr>
          <w:i/>
        </w:rPr>
        <w:t xml:space="preserve">  </w:t>
      </w:r>
      <w:r w:rsidRPr="00974D81">
        <w:rPr>
          <w:i/>
        </w:rPr>
        <w:t xml:space="preserve">Describe efforts to identify duplication. </w:t>
      </w:r>
      <w:r w:rsidRPr="00974D81" w:rsidR="00910252">
        <w:rPr>
          <w:i/>
        </w:rPr>
        <w:t xml:space="preserve"> </w:t>
      </w:r>
      <w:r w:rsidRPr="00974D81">
        <w:rPr>
          <w:i/>
        </w:rPr>
        <w:t>Show specifically why any similar information already available cannot be used or modified for use for the purposes described in Item 2 above.</w:t>
      </w:r>
    </w:p>
    <w:p w:rsidR="00EA78D2" w:rsidRPr="00974D81" w:rsidP="00EA78D2" w14:paraId="67695CD4" w14:textId="77777777">
      <w:pPr>
        <w:autoSpaceDE w:val="0"/>
        <w:autoSpaceDN w:val="0"/>
        <w:adjustRightInd w:val="0"/>
      </w:pPr>
    </w:p>
    <w:p w:rsidR="009E7A9D" w:rsidRPr="00974D81" w:rsidP="00853109" w14:paraId="501B192A" w14:textId="77777777">
      <w:pPr>
        <w:pStyle w:val="NoSpacing"/>
      </w:pPr>
      <w:r w:rsidRPr="00974D81">
        <w:t>The information required on Form ETA</w:t>
      </w:r>
      <w:r w:rsidRPr="00974D81" w:rsidR="00EB19B1">
        <w:t>-</w:t>
      </w:r>
      <w:r w:rsidRPr="00974D81">
        <w:t>9035</w:t>
      </w:r>
      <w:r w:rsidRPr="00974D81" w:rsidR="00853109">
        <w:t>/9035E</w:t>
      </w:r>
      <w:r w:rsidRPr="00974D81">
        <w:t xml:space="preserve"> is not </w:t>
      </w:r>
      <w:r w:rsidRPr="00974D81" w:rsidR="008333C8">
        <w:t xml:space="preserve">available </w:t>
      </w:r>
      <w:r w:rsidRPr="00974D81">
        <w:t xml:space="preserve">from any other source at the time of filing.  Collection of the prevailing wage tracking number is necessary to identify the </w:t>
      </w:r>
      <w:r w:rsidRPr="00974D81" w:rsidR="00E053A1">
        <w:t xml:space="preserve">Department’s </w:t>
      </w:r>
      <w:r w:rsidRPr="00974D81">
        <w:t>prevailing wage determina</w:t>
      </w:r>
      <w:r w:rsidRPr="00974D81" w:rsidR="00E053A1">
        <w:t xml:space="preserve">tion, if any, and associate the </w:t>
      </w:r>
      <w:r w:rsidRPr="00974D81">
        <w:t>prevailing wage determination with the LCA.</w:t>
      </w:r>
    </w:p>
    <w:p w:rsidR="00D402F5" w:rsidRPr="00974D81" w:rsidP="00D16B3A" w14:paraId="3AA14C88" w14:textId="77777777">
      <w:pPr>
        <w:pStyle w:val="NoSpacing"/>
      </w:pPr>
    </w:p>
    <w:p w:rsidR="009E7A9D" w:rsidRPr="00974D81" w:rsidP="00930109" w14:paraId="5901C2F0" w14:textId="77777777">
      <w:pPr>
        <w:pStyle w:val="NoSpacing"/>
      </w:pPr>
      <w:r w:rsidRPr="00974D81">
        <w:t xml:space="preserve">The Department’s </w:t>
      </w:r>
      <w:r w:rsidRPr="00974D81">
        <w:t>regulations require the employer to place in its public access file a list of “</w:t>
      </w:r>
      <w:r w:rsidRPr="00974D81">
        <w:t>exempt</w:t>
      </w:r>
      <w:r w:rsidRPr="00974D81">
        <w:t xml:space="preserve">” H-1B nonimmigrants within one working day of filing the LCA if the employer is claiming the exemption.  </w:t>
      </w:r>
      <w:r w:rsidRPr="00974D81" w:rsidR="000202E6">
        <w:rPr>
          <w:i/>
        </w:rPr>
        <w:t xml:space="preserve">See </w:t>
      </w:r>
      <w:r w:rsidRPr="00974D81">
        <w:t xml:space="preserve">20 CFR 655.760(a).  This means that the employer must have identified </w:t>
      </w:r>
      <w:r w:rsidRPr="00974D81" w:rsidR="00AC15B8">
        <w:t xml:space="preserve">the </w:t>
      </w:r>
      <w:r w:rsidRPr="00974D81" w:rsidR="0076140F">
        <w:t>H-1B nonimmigrant</w:t>
      </w:r>
      <w:r w:rsidRPr="00974D81" w:rsidR="00AC15B8">
        <w:t>(</w:t>
      </w:r>
      <w:r w:rsidRPr="00974D81" w:rsidR="0076140F">
        <w:t>s</w:t>
      </w:r>
      <w:r w:rsidRPr="00974D81" w:rsidR="00AC15B8">
        <w:t>)</w:t>
      </w:r>
      <w:r w:rsidRPr="00974D81" w:rsidR="0076140F">
        <w:t xml:space="preserve"> subject to the education-based exemption and collected all </w:t>
      </w:r>
      <w:r w:rsidRPr="00974D81" w:rsidR="00A7051A">
        <w:t>credential</w:t>
      </w:r>
      <w:r w:rsidRPr="00974D81" w:rsidR="0076140F">
        <w:t xml:space="preserve"> information </w:t>
      </w:r>
      <w:r w:rsidRPr="00974D81" w:rsidR="001E0EA6">
        <w:t>justifying</w:t>
      </w:r>
      <w:r w:rsidRPr="00974D81" w:rsidR="0076140F">
        <w:t xml:space="preserve"> the basis of </w:t>
      </w:r>
      <w:r w:rsidRPr="00974D81" w:rsidR="002E4B41">
        <w:t>such</w:t>
      </w:r>
      <w:r w:rsidRPr="00974D81">
        <w:t xml:space="preserve"> exemption</w:t>
      </w:r>
      <w:r w:rsidRPr="00974D81" w:rsidR="00A80FD7">
        <w:t>(s)</w:t>
      </w:r>
      <w:r w:rsidRPr="00974D81">
        <w:t xml:space="preserve"> at the time of filing</w:t>
      </w:r>
      <w:r w:rsidRPr="00974D81" w:rsidR="009C4C6B">
        <w:t xml:space="preserve"> the LCA</w:t>
      </w:r>
      <w:r w:rsidRPr="00974D81">
        <w:t xml:space="preserve">.  </w:t>
      </w:r>
      <w:r w:rsidRPr="00974D81" w:rsidR="00247992">
        <w:t>The Department require</w:t>
      </w:r>
      <w:r w:rsidRPr="00974D81" w:rsidR="00DF2823">
        <w:t>s</w:t>
      </w:r>
      <w:r w:rsidRPr="00974D81" w:rsidR="00247992">
        <w:t xml:space="preserve"> submission of these educational credential documents </w:t>
      </w:r>
      <w:r w:rsidRPr="00974D81" w:rsidR="00EE4CF6">
        <w:t>to ensure the education-based exemption designation</w:t>
      </w:r>
      <w:r w:rsidRPr="00974D81" w:rsidR="00A80FD7">
        <w:t>(s)</w:t>
      </w:r>
      <w:r w:rsidRPr="00974D81" w:rsidR="006B7FED">
        <w:t xml:space="preserve"> on the LCA</w:t>
      </w:r>
      <w:r w:rsidRPr="00974D81" w:rsidR="00EE4CF6">
        <w:t xml:space="preserve"> is complete and without obvious errors or inaccuracies before a certification decision is issued and the H-1B petition </w:t>
      </w:r>
      <w:r w:rsidRPr="00974D81" w:rsidR="00CB1130">
        <w:t>is submitted to</w:t>
      </w:r>
      <w:r w:rsidRPr="00974D81" w:rsidR="00EE4CF6">
        <w:t xml:space="preserve"> DHS.</w:t>
      </w:r>
      <w:r w:rsidRPr="00974D81" w:rsidR="00247992">
        <w:t xml:space="preserve">   </w:t>
      </w:r>
      <w:r w:rsidRPr="00974D81" w:rsidR="0065336C">
        <w:tab/>
      </w:r>
    </w:p>
    <w:p w:rsidR="00720363" w:rsidRPr="00974D81" w:rsidP="00930109" w14:paraId="33A0609B" w14:textId="15912933">
      <w:pPr>
        <w:pStyle w:val="NoSpacing"/>
      </w:pPr>
      <w:r w:rsidRPr="00974D81">
        <w:t xml:space="preserve">Many of the records required to be kept by the regulations are also required under the </w:t>
      </w:r>
      <w:r w:rsidRPr="00974D81" w:rsidR="0083106E">
        <w:t>FLSA</w:t>
      </w:r>
      <w:r w:rsidRPr="00974D81">
        <w:t>, administered by WHD, and by the E</w:t>
      </w:r>
      <w:r w:rsidRPr="00974D81" w:rsidR="0083106E">
        <w:t xml:space="preserve">qual </w:t>
      </w:r>
      <w:r w:rsidRPr="00974D81">
        <w:t>E</w:t>
      </w:r>
      <w:r w:rsidRPr="00974D81" w:rsidR="0083106E">
        <w:t xml:space="preserve">mployment </w:t>
      </w:r>
      <w:r w:rsidRPr="00974D81">
        <w:t>O</w:t>
      </w:r>
      <w:r w:rsidRPr="00974D81" w:rsidR="0083106E">
        <w:t xml:space="preserve">pportunity </w:t>
      </w:r>
      <w:r w:rsidRPr="00974D81">
        <w:t>C</w:t>
      </w:r>
      <w:r w:rsidRPr="00974D81" w:rsidR="0083106E">
        <w:t>ommission</w:t>
      </w:r>
      <w:r w:rsidRPr="00974D81">
        <w:t xml:space="preserve">, </w:t>
      </w:r>
      <w:r w:rsidRPr="00974D81" w:rsidR="0083106E">
        <w:t xml:space="preserve">the Employee Benefits Security </w:t>
      </w:r>
      <w:r w:rsidRPr="00974D81">
        <w:t>Administration</w:t>
      </w:r>
      <w:r w:rsidRPr="00974D81" w:rsidR="0083106E">
        <w:t>,</w:t>
      </w:r>
      <w:r w:rsidRPr="00974D81">
        <w:t xml:space="preserve"> and the Internal Revenue Service.  </w:t>
      </w:r>
      <w:r w:rsidR="00F3192E">
        <w:t>T</w:t>
      </w:r>
      <w:r w:rsidRPr="00974D81">
        <w:t>o</w:t>
      </w:r>
      <w:r w:rsidR="00F3192E">
        <w:t xml:space="preserve"> avoid</w:t>
      </w:r>
      <w:r w:rsidRPr="00974D81">
        <w:t xml:space="preserve"> </w:t>
      </w:r>
      <w:r w:rsidRPr="00974D81" w:rsidR="00F3192E">
        <w:t>duplicat</w:t>
      </w:r>
      <w:r w:rsidR="00F3192E">
        <w:t>ing</w:t>
      </w:r>
      <w:r w:rsidRPr="00974D81" w:rsidR="00F3192E">
        <w:t xml:space="preserve"> </w:t>
      </w:r>
      <w:r w:rsidRPr="00974D81">
        <w:t xml:space="preserve">burden, the Department accepts applicable records normally maintained for other purposes to document compliance during an investigation conducted under the H-1B and related programs.  The Department is not aware of any duplication of data collection for the WH-4 form.  </w:t>
      </w:r>
    </w:p>
    <w:p w:rsidR="003400B7" w:rsidRPr="00974D81" w:rsidP="00EA78D2" w14:paraId="2AA6F7F8" w14:textId="77777777">
      <w:pPr>
        <w:autoSpaceDE w:val="0"/>
        <w:autoSpaceDN w:val="0"/>
        <w:adjustRightInd w:val="0"/>
      </w:pPr>
    </w:p>
    <w:p w:rsidR="00EA78D2" w:rsidRPr="00974D81" w:rsidP="0020651D" w14:paraId="6283C0E1" w14:textId="77777777">
      <w:pPr>
        <w:tabs>
          <w:tab w:val="left" w:pos="0"/>
          <w:tab w:val="right" w:pos="360"/>
        </w:tabs>
        <w:autoSpaceDE w:val="0"/>
        <w:autoSpaceDN w:val="0"/>
        <w:adjustRightInd w:val="0"/>
        <w:rPr>
          <w:i/>
        </w:rPr>
      </w:pPr>
      <w:r w:rsidRPr="00974D81">
        <w:rPr>
          <w:i/>
        </w:rPr>
        <w:tab/>
      </w:r>
      <w:r w:rsidRPr="00974D81" w:rsidR="00C86FA4">
        <w:rPr>
          <w:i/>
        </w:rPr>
        <w:t>A</w:t>
      </w:r>
      <w:r w:rsidRPr="00974D81">
        <w:rPr>
          <w:i/>
        </w:rPr>
        <w:t>5.</w:t>
      </w:r>
      <w:r w:rsidRPr="00974D81" w:rsidR="00C86FA4">
        <w:rPr>
          <w:i/>
        </w:rPr>
        <w:t xml:space="preserve">  </w:t>
      </w:r>
      <w:r w:rsidRPr="00974D81">
        <w:rPr>
          <w:i/>
        </w:rPr>
        <w:t>If the collection of information impacts small businesses or other small entities, describe any methods used to minimize burden.</w:t>
      </w:r>
    </w:p>
    <w:p w:rsidR="00EA78D2" w:rsidRPr="00974D81" w:rsidP="00EA78D2" w14:paraId="738B6521" w14:textId="77777777">
      <w:pPr>
        <w:autoSpaceDE w:val="0"/>
        <w:autoSpaceDN w:val="0"/>
        <w:adjustRightInd w:val="0"/>
      </w:pPr>
    </w:p>
    <w:p w:rsidR="008D27D3" w:rsidRPr="00974D81" w:rsidP="00930109" w14:paraId="45B3AAAF" w14:textId="38205F9F">
      <w:pPr>
        <w:pStyle w:val="NoSpacing"/>
      </w:pPr>
      <w:r w:rsidRPr="00974D81">
        <w:t>The burden on small business concerns is minimal.  Even though the information collection is required of small businesses who want to hire foreign workers, the recordkeeping requirements largely involve information that already exists in payroll and other records kept by most employers for other purposes.</w:t>
      </w:r>
      <w:r w:rsidRPr="00974D81">
        <w:t xml:space="preserve">  As previously noted, the Department accepts applicable records normally maintained for other purposes</w:t>
      </w:r>
      <w:r w:rsidRPr="00974D81" w:rsidR="003400B7">
        <w:t>,</w:t>
      </w:r>
      <w:r w:rsidRPr="00974D81">
        <w:t xml:space="preserve"> to document compliance during an investigation conducted under the H-1B and related programs</w:t>
      </w:r>
      <w:r w:rsidR="00751B24">
        <w:t>.</w:t>
      </w:r>
      <w:r w:rsidRPr="00974D81">
        <w:t xml:space="preserve"> </w:t>
      </w:r>
    </w:p>
    <w:p w:rsidR="00EA78D2" w:rsidRPr="00974D81" w:rsidP="00EA78D2" w14:paraId="18A7D39E" w14:textId="77777777">
      <w:pPr>
        <w:autoSpaceDE w:val="0"/>
        <w:autoSpaceDN w:val="0"/>
        <w:adjustRightInd w:val="0"/>
      </w:pPr>
    </w:p>
    <w:p w:rsidR="00EA78D2" w:rsidRPr="00974D81" w:rsidP="0020651D" w14:paraId="796E1848" w14:textId="77777777">
      <w:pPr>
        <w:tabs>
          <w:tab w:val="left" w:pos="0"/>
          <w:tab w:val="right" w:pos="360"/>
        </w:tabs>
        <w:autoSpaceDE w:val="0"/>
        <w:autoSpaceDN w:val="0"/>
        <w:adjustRightInd w:val="0"/>
        <w:rPr>
          <w:i/>
        </w:rPr>
      </w:pPr>
      <w:r w:rsidRPr="00974D81">
        <w:rPr>
          <w:i/>
        </w:rPr>
        <w:tab/>
      </w:r>
      <w:r w:rsidRPr="00974D81" w:rsidR="00C86FA4">
        <w:rPr>
          <w:i/>
        </w:rPr>
        <w:t>A</w:t>
      </w:r>
      <w:r w:rsidRPr="00974D81">
        <w:rPr>
          <w:i/>
        </w:rPr>
        <w:t>6.</w:t>
      </w:r>
      <w:r w:rsidRPr="00974D81" w:rsidR="00C86FA4">
        <w:rPr>
          <w:i/>
        </w:rPr>
        <w:t xml:space="preserve">  </w:t>
      </w:r>
      <w:r w:rsidRPr="00974D81">
        <w:rPr>
          <w:i/>
        </w:rPr>
        <w:t>Describe the consequence to Federal program or policy activities if the collection is not conducted or is conducted less frequently, as well as any technical or legal obstacles to reducing burden.</w:t>
      </w:r>
    </w:p>
    <w:p w:rsidR="00EA78D2" w:rsidRPr="00974D81" w:rsidP="00EA78D2" w14:paraId="0FA671BA" w14:textId="77777777">
      <w:pPr>
        <w:autoSpaceDE w:val="0"/>
        <w:autoSpaceDN w:val="0"/>
        <w:adjustRightInd w:val="0"/>
      </w:pPr>
    </w:p>
    <w:p w:rsidR="0065336C" w:rsidRPr="00974D81" w:rsidP="00930109" w14:paraId="7F65B1E0" w14:textId="7CE63E0C">
      <w:pPr>
        <w:pStyle w:val="NoSpacing"/>
      </w:pPr>
      <w:r w:rsidRPr="00974D81">
        <w:t>Th</w:t>
      </w:r>
      <w:r w:rsidRPr="00974D81" w:rsidR="00E23E69">
        <w:t>e</w:t>
      </w:r>
      <w:r w:rsidRPr="00974D81">
        <w:t xml:space="preserve"> </w:t>
      </w:r>
      <w:r w:rsidRPr="00974D81" w:rsidR="003400B7">
        <w:t>information</w:t>
      </w:r>
      <w:r w:rsidRPr="00974D81">
        <w:t xml:space="preserve"> </w:t>
      </w:r>
      <w:r w:rsidR="00967F8D">
        <w:t>o</w:t>
      </w:r>
      <w:r w:rsidRPr="00974D81" w:rsidR="00E23E69">
        <w:t xml:space="preserve">n the Form ETA-9035/9035E </w:t>
      </w:r>
      <w:r w:rsidRPr="00974D81">
        <w:t xml:space="preserve">collection is only conducted at the time an employer seeks an H-1B, H-1B1, or E-3 visa to employ foreign workers.  The Department would be in direct violation of Federal law and regulations </w:t>
      </w:r>
      <w:r w:rsidRPr="00974D81" w:rsidR="003400B7">
        <w:t xml:space="preserve">because </w:t>
      </w:r>
      <w:r w:rsidRPr="00974D81">
        <w:t>without this information collection</w:t>
      </w:r>
      <w:r w:rsidRPr="00974D81" w:rsidR="003400B7">
        <w:t xml:space="preserve">, it </w:t>
      </w:r>
      <w:r w:rsidRPr="00974D81" w:rsidR="00F55603">
        <w:t xml:space="preserve">would </w:t>
      </w:r>
      <w:r w:rsidRPr="00974D81" w:rsidR="003400B7">
        <w:t>not be able to administer the LCA process which is an essential part of the H-1B program</w:t>
      </w:r>
      <w:r w:rsidRPr="00974D81">
        <w:t xml:space="preserve">.  </w:t>
      </w:r>
    </w:p>
    <w:p w:rsidR="0065336C" w:rsidRPr="00974D81" w:rsidP="00930109" w14:paraId="7B65DF40" w14:textId="77777777">
      <w:pPr>
        <w:pStyle w:val="NoSpacing"/>
      </w:pPr>
    </w:p>
    <w:p w:rsidR="0065336C" w:rsidRPr="00974D81" w:rsidP="00930109" w14:paraId="0E328447" w14:textId="27E75F3A">
      <w:pPr>
        <w:pStyle w:val="NoSpacing"/>
      </w:pPr>
      <w:r w:rsidRPr="00974D81">
        <w:t xml:space="preserve">The WH-4 form is the form that initiates the compliance review of a specific employer and facilitates aggrieved parties’ ability to complete the process to file a complaint.  Thus, </w:t>
      </w:r>
      <w:r w:rsidRPr="00974D81">
        <w:t xml:space="preserve">the consequences of less frequent collection would undermine the Department’s ability to identify possible violations, such as whether the employee is being paid the proper wage and whether the employee is working in the intended area of employment.  </w:t>
      </w:r>
    </w:p>
    <w:p w:rsidR="0065336C" w:rsidRPr="00974D81" w:rsidP="00930109" w14:paraId="43094C2B" w14:textId="77777777">
      <w:pPr>
        <w:pStyle w:val="NoSpacing"/>
      </w:pPr>
    </w:p>
    <w:p w:rsidR="00C86FA4" w:rsidRPr="00974D81" w:rsidP="00C86FA4" w14:paraId="56BBE62F" w14:textId="77777777">
      <w:pPr>
        <w:outlineLvl w:val="1"/>
        <w:rPr>
          <w:i/>
          <w:iCs/>
        </w:rPr>
      </w:pPr>
      <w:bookmarkStart w:id="0" w:name="_Toc486874651"/>
      <w:r w:rsidRPr="00974D81">
        <w:rPr>
          <w:i/>
          <w:iCs/>
        </w:rPr>
        <w:t xml:space="preserve">A.7. </w:t>
      </w:r>
      <w:r w:rsidRPr="00974D81" w:rsidR="004C7F0F">
        <w:rPr>
          <w:i/>
          <w:iCs/>
        </w:rPr>
        <w:t xml:space="preserve"> </w:t>
      </w:r>
      <w:r w:rsidRPr="00974D81">
        <w:rPr>
          <w:i/>
        </w:rPr>
        <w:t>Explain any special circumstances that would cause an information collection to be conducted in a manner that requires further explanation pursuant to regulations 5 CFR 1320.5</w:t>
      </w:r>
      <w:r w:rsidRPr="00974D81" w:rsidR="00992BD4">
        <w:rPr>
          <w:i/>
        </w:rPr>
        <w:t>(d)(2).</w:t>
      </w:r>
      <w:bookmarkEnd w:id="0"/>
    </w:p>
    <w:p w:rsidR="00EA78D2" w:rsidRPr="00974D81" w:rsidP="00EA78D2" w14:paraId="017A8DBE" w14:textId="77777777">
      <w:pPr>
        <w:autoSpaceDE w:val="0"/>
        <w:autoSpaceDN w:val="0"/>
        <w:adjustRightInd w:val="0"/>
      </w:pPr>
    </w:p>
    <w:p w:rsidR="0065336C" w:rsidRPr="00974D81" w:rsidP="00930109" w14:paraId="559C5E61" w14:textId="77777777">
      <w:pPr>
        <w:pStyle w:val="NoSpacing"/>
      </w:pPr>
      <w:r w:rsidRPr="00974D81">
        <w:t>There are no special circumstances that would require the information to be collected or kept in a manner that requires further explanation pursuant to the regulations set forth at 5 CFR 1320.5(d)(2).</w:t>
      </w:r>
    </w:p>
    <w:p w:rsidR="0026430A" w:rsidRPr="00974D81" w:rsidP="00930109" w14:paraId="7D14091F" w14:textId="77777777">
      <w:pPr>
        <w:pStyle w:val="NoSpacing"/>
      </w:pPr>
    </w:p>
    <w:p w:rsidR="00C86FA4" w:rsidRPr="00974D81" w:rsidP="00C86FA4" w14:paraId="52EE7E39" w14:textId="77777777">
      <w:pPr>
        <w:outlineLvl w:val="1"/>
        <w:rPr>
          <w:i/>
        </w:rPr>
      </w:pPr>
      <w:bookmarkStart w:id="1" w:name="_Toc486874652"/>
      <w:r w:rsidRPr="00974D81">
        <w:rPr>
          <w:i/>
          <w:iCs/>
        </w:rPr>
        <w:t xml:space="preserve">A.8. </w:t>
      </w:r>
      <w:r w:rsidRPr="00974D81">
        <w:rPr>
          <w:i/>
        </w:rPr>
        <w:t xml:space="preserve">If applicable, provide a copy and identify the date and page number of </w:t>
      </w:r>
      <w:r w:rsidRPr="00974D81">
        <w:rPr>
          <w:i/>
        </w:rPr>
        <w:t>publication</w:t>
      </w:r>
      <w:r w:rsidRPr="00974D81">
        <w:rPr>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1"/>
      <w:r w:rsidRPr="00974D81">
        <w:rPr>
          <w:i/>
        </w:rPr>
        <w:t xml:space="preserve"> </w:t>
      </w:r>
    </w:p>
    <w:p w:rsidR="00C86FA4" w:rsidRPr="00974D81" w:rsidP="00C86FA4" w14:paraId="226D4021" w14:textId="77777777">
      <w:pPr>
        <w:outlineLvl w:val="1"/>
        <w:rPr>
          <w:i/>
        </w:rPr>
      </w:pPr>
    </w:p>
    <w:p w:rsidR="00C86FA4" w:rsidRPr="00974D81" w:rsidP="00C86FA4" w14:paraId="5441E949" w14:textId="77777777">
      <w:pPr>
        <w:outlineLvl w:val="1"/>
        <w:rPr>
          <w:i/>
        </w:rPr>
      </w:pPr>
      <w:bookmarkStart w:id="2" w:name="_Toc486874653"/>
      <w:r w:rsidRPr="00974D81">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2"/>
    </w:p>
    <w:p w:rsidR="00C86FA4" w:rsidRPr="00974D81" w:rsidP="00C86FA4" w14:paraId="7F9F714E" w14:textId="77777777">
      <w:pPr>
        <w:outlineLvl w:val="1"/>
        <w:rPr>
          <w:i/>
        </w:rPr>
      </w:pPr>
    </w:p>
    <w:p w:rsidR="00C86FA4" w:rsidRPr="00974D81" w:rsidP="00C86FA4" w14:paraId="22CAAABC" w14:textId="77777777">
      <w:pPr>
        <w:outlineLvl w:val="1"/>
        <w:rPr>
          <w:i/>
          <w:iCs/>
        </w:rPr>
      </w:pPr>
      <w:bookmarkStart w:id="3" w:name="_Toc486874654"/>
      <w:r w:rsidRPr="00974D81">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bookmarkEnd w:id="3"/>
    </w:p>
    <w:p w:rsidR="00F239EE" w:rsidP="00930109" w14:paraId="5404A944" w14:textId="77777777">
      <w:pPr>
        <w:pStyle w:val="NoSpacing"/>
      </w:pPr>
    </w:p>
    <w:p w:rsidR="00412342" w:rsidP="00176B0B" w14:paraId="4C9C23A4" w14:textId="77777777">
      <w:pPr>
        <w:pStyle w:val="NoSpacing"/>
      </w:pPr>
    </w:p>
    <w:p w:rsidR="00412342" w:rsidRPr="00412342" w:rsidP="00412342" w14:paraId="10B09EC5" w14:textId="103441E0">
      <w:pPr>
        <w:autoSpaceDE w:val="0"/>
        <w:autoSpaceDN w:val="0"/>
        <w:adjustRightInd w:val="0"/>
        <w:rPr>
          <w:highlight w:val="yellow"/>
        </w:rPr>
      </w:pPr>
      <w:r w:rsidRPr="00F239EE">
        <w:t xml:space="preserve">In accordance with the Paperwork Reduction Act </w:t>
      </w:r>
      <w:r>
        <w:t xml:space="preserve">(PRA) </w:t>
      </w:r>
      <w:r w:rsidRPr="00F239EE">
        <w:t xml:space="preserve">of 1995, the Department solicited comments on this proposed collection for 60 days.  The Department published the 60-day notice </w:t>
      </w:r>
      <w:r w:rsidRPr="00702EF3" w:rsidR="007131E9">
        <w:t xml:space="preserve">on </w:t>
      </w:r>
      <w:r w:rsidRPr="0043711D" w:rsidR="007131E9">
        <w:t>May 6, 2024</w:t>
      </w:r>
      <w:r w:rsidR="007131E9">
        <w:t xml:space="preserve"> (</w:t>
      </w:r>
      <w:r w:rsidRPr="00033D27" w:rsidR="007131E9">
        <w:t>89 FR 37263</w:t>
      </w:r>
      <w:r w:rsidR="007131E9">
        <w:t>)</w:t>
      </w:r>
      <w:r w:rsidRPr="00F239EE">
        <w:t xml:space="preserve"> and the comment period expired</w:t>
      </w:r>
      <w:r>
        <w:t xml:space="preserve"> </w:t>
      </w:r>
      <w:r w:rsidR="007131E9">
        <w:t>July 5, 2024</w:t>
      </w:r>
      <w:r w:rsidRPr="00F239EE">
        <w:t xml:space="preserve">.  The Department received </w:t>
      </w:r>
      <w:r>
        <w:t>one public comment from commenter Jean Public, expressing general opposition to immigration policies</w:t>
      </w:r>
      <w:r w:rsidRPr="00F239EE">
        <w:t xml:space="preserve">. </w:t>
      </w:r>
      <w:r>
        <w:t xml:space="preserve"> The comment was outside of the scope of this IC.</w:t>
      </w:r>
      <w:r w:rsidRPr="00F239EE">
        <w:rPr>
          <w:highlight w:val="yellow"/>
        </w:rPr>
        <w:t xml:space="preserve"> </w:t>
      </w:r>
    </w:p>
    <w:p w:rsidR="000C53BF" w:rsidRPr="00974D81" w:rsidP="00F239EE" w14:paraId="5D221C66" w14:textId="77777777">
      <w:pPr>
        <w:autoSpaceDE w:val="0"/>
        <w:autoSpaceDN w:val="0"/>
        <w:adjustRightInd w:val="0"/>
      </w:pPr>
    </w:p>
    <w:p w:rsidR="00EA78D2" w:rsidRPr="00974D81" w:rsidP="0020651D" w14:paraId="0EF943F5" w14:textId="77777777">
      <w:pPr>
        <w:tabs>
          <w:tab w:val="left" w:pos="0"/>
          <w:tab w:val="right" w:pos="360"/>
        </w:tabs>
        <w:autoSpaceDE w:val="0"/>
        <w:autoSpaceDN w:val="0"/>
        <w:adjustRightInd w:val="0"/>
        <w:rPr>
          <w:i/>
        </w:rPr>
      </w:pPr>
      <w:r w:rsidRPr="00974D81">
        <w:rPr>
          <w:i/>
        </w:rPr>
        <w:tab/>
      </w:r>
      <w:r w:rsidRPr="00974D81" w:rsidR="00C86FA4">
        <w:rPr>
          <w:i/>
        </w:rPr>
        <w:t>A</w:t>
      </w:r>
      <w:r w:rsidRPr="00974D81">
        <w:rPr>
          <w:i/>
        </w:rPr>
        <w:t>9.</w:t>
      </w:r>
      <w:r w:rsidRPr="00974D81" w:rsidR="00C86FA4">
        <w:rPr>
          <w:i/>
        </w:rPr>
        <w:t xml:space="preserve">  </w:t>
      </w:r>
      <w:r w:rsidRPr="00974D81">
        <w:rPr>
          <w:i/>
        </w:rPr>
        <w:t>Explain any decision to provide any payment or gift to respondents, other than remuneration of contractors or grantees.</w:t>
      </w:r>
    </w:p>
    <w:p w:rsidR="00EA78D2" w:rsidRPr="00974D81" w:rsidP="00EA78D2" w14:paraId="0BB0CF7F" w14:textId="77777777">
      <w:pPr>
        <w:autoSpaceDE w:val="0"/>
        <w:autoSpaceDN w:val="0"/>
        <w:adjustRightInd w:val="0"/>
      </w:pPr>
    </w:p>
    <w:p w:rsidR="00C53DD8" w:rsidRPr="00974D81" w:rsidP="00D16B3A" w14:paraId="1914E52D" w14:textId="77777777">
      <w:pPr>
        <w:pStyle w:val="NoSpacing"/>
      </w:pPr>
      <w:r w:rsidRPr="00974D81">
        <w:t>No payments or gifts are made to respondents in exchange for the information provided through these information collection tools.</w:t>
      </w:r>
    </w:p>
    <w:p w:rsidR="00293482" w:rsidRPr="00974D81" w:rsidP="00B554D8" w14:paraId="51A89F00" w14:textId="77777777">
      <w:pPr>
        <w:autoSpaceDE w:val="0"/>
        <w:autoSpaceDN w:val="0"/>
        <w:adjustRightInd w:val="0"/>
        <w:jc w:val="both"/>
      </w:pPr>
    </w:p>
    <w:p w:rsidR="00EA78D2" w:rsidRPr="00974D81" w:rsidP="00973CD5" w14:paraId="4CE8B0EB" w14:textId="77777777">
      <w:pPr>
        <w:tabs>
          <w:tab w:val="right" w:pos="360"/>
          <w:tab w:val="left" w:pos="540"/>
        </w:tabs>
        <w:autoSpaceDE w:val="0"/>
        <w:autoSpaceDN w:val="0"/>
        <w:adjustRightInd w:val="0"/>
        <w:ind w:left="540" w:hanging="540"/>
        <w:rPr>
          <w:i/>
        </w:rPr>
      </w:pPr>
      <w:r w:rsidRPr="00974D81">
        <w:rPr>
          <w:i/>
        </w:rPr>
        <w:tab/>
      </w:r>
      <w:r w:rsidRPr="00974D81" w:rsidR="00C86FA4">
        <w:rPr>
          <w:i/>
        </w:rPr>
        <w:t>A</w:t>
      </w:r>
      <w:r w:rsidRPr="00974D81">
        <w:rPr>
          <w:i/>
        </w:rPr>
        <w:t>10.</w:t>
      </w:r>
      <w:r w:rsidRPr="00974D81">
        <w:rPr>
          <w:i/>
        </w:rPr>
        <w:tab/>
      </w:r>
      <w:r w:rsidRPr="00974D81">
        <w:rPr>
          <w:i/>
        </w:rPr>
        <w:t>Describe any assurance of confidentiality provided to respondents and the basis for the assurance in statute, regulation, or agency policy.</w:t>
      </w:r>
    </w:p>
    <w:p w:rsidR="00EA78D2" w:rsidRPr="00974D81" w:rsidP="00EA78D2" w14:paraId="15D8131F" w14:textId="77777777">
      <w:pPr>
        <w:autoSpaceDE w:val="0"/>
        <w:autoSpaceDN w:val="0"/>
        <w:adjustRightInd w:val="0"/>
      </w:pPr>
    </w:p>
    <w:p w:rsidR="00491E39" w:rsidRPr="00974D81" w:rsidP="009D1F19" w14:paraId="1D624762" w14:textId="4C3CB24B">
      <w:pPr>
        <w:pStyle w:val="NoSpacing"/>
      </w:pPr>
      <w:r w:rsidRPr="00974D81">
        <w:t>There are no assurances of keeping information provided by respondents covered under th</w:t>
      </w:r>
      <w:r w:rsidRPr="00974D81" w:rsidR="0062442E">
        <w:t>e</w:t>
      </w:r>
      <w:r w:rsidRPr="00974D81">
        <w:t>s</w:t>
      </w:r>
      <w:r w:rsidRPr="00974D81" w:rsidR="0062442E">
        <w:t>e</w:t>
      </w:r>
      <w:r w:rsidRPr="00974D81">
        <w:t xml:space="preserve"> information collection tools private except for the WH-4 form.  With respect to the WH-4 form, WHD will keep the respondent’s identity private to the extent possible under existing law.  </w:t>
      </w:r>
      <w:r w:rsidRPr="00974D81" w:rsidR="002732BE">
        <w:t>As a practical matter, i</w:t>
      </w:r>
      <w:r w:rsidRPr="00974D81">
        <w:t xml:space="preserve">nformation gathered during the course of an investigation of a complaint is disclosed </w:t>
      </w:r>
      <w:r w:rsidRPr="00974D81" w:rsidR="00D860FA">
        <w:t xml:space="preserve">to the extent required by </w:t>
      </w:r>
      <w:r w:rsidRPr="00974D81">
        <w:t>the provisions of the Freedom of Information Act (FOIA), 5 U.S.C</w:t>
      </w:r>
      <w:r w:rsidR="005223B2">
        <w:t>.</w:t>
      </w:r>
      <w:r w:rsidRPr="00974D81">
        <w:t xml:space="preserve"> </w:t>
      </w:r>
      <w:r w:rsidRPr="00974D81" w:rsidR="0076455A">
        <w:t xml:space="preserve">§ </w:t>
      </w:r>
      <w:r w:rsidRPr="00974D81">
        <w:t xml:space="preserve">552; the Privacy Act, 5 U.S.C. </w:t>
      </w:r>
      <w:r w:rsidRPr="00974D81" w:rsidR="0076455A">
        <w:t xml:space="preserve">§ </w:t>
      </w:r>
      <w:r w:rsidRPr="00974D81">
        <w:t xml:space="preserve">552a; and related regulations, 29 CFR </w:t>
      </w:r>
      <w:r w:rsidRPr="00974D81" w:rsidR="009C787F">
        <w:t xml:space="preserve">parts </w:t>
      </w:r>
      <w:r w:rsidRPr="00974D81">
        <w:t xml:space="preserve">70 and 71.  Among other exclusions, FOIA provides agencies an exemption from disclosing records or information compiled for law enforcement purposes, to the extent that the production of such </w:t>
      </w:r>
      <w:r w:rsidRPr="00974D81">
        <w:t xml:space="preserve">enforcement records or information could reasonably be expected to disclose the identity of a confidential source.  </w:t>
      </w:r>
      <w:r w:rsidRPr="00974D81" w:rsidR="0076455A">
        <w:rPr>
          <w:i/>
        </w:rPr>
        <w:t xml:space="preserve">See </w:t>
      </w:r>
      <w:r w:rsidRPr="00974D81">
        <w:t xml:space="preserve">5 U.S.C. </w:t>
      </w:r>
      <w:r w:rsidRPr="00974D81" w:rsidR="0076455A">
        <w:t xml:space="preserve">§ </w:t>
      </w:r>
      <w:r w:rsidRPr="00974D81">
        <w:t>552(b)(7)(D).</w:t>
      </w:r>
    </w:p>
    <w:p w:rsidR="00742231" w:rsidRPr="00974D81" w:rsidP="009D1F19" w14:paraId="5E593A24" w14:textId="77777777">
      <w:pPr>
        <w:pStyle w:val="NoSpacing"/>
      </w:pPr>
    </w:p>
    <w:p w:rsidR="00742231" w:rsidRPr="00974D81" w:rsidP="007D6C99" w14:paraId="2018521E" w14:textId="1AAE15C5">
      <w:pPr>
        <w:pStyle w:val="NoSpacing"/>
      </w:pPr>
      <w:r w:rsidRPr="00974D81">
        <w:t xml:space="preserve">In accordance with the Privacy Act, 5 U.S.C. </w:t>
      </w:r>
      <w:r w:rsidRPr="00974D81" w:rsidR="0076455A">
        <w:t xml:space="preserve">§ </w:t>
      </w:r>
      <w:r w:rsidRPr="00974D81">
        <w:t>552a; and its respective regulations, the authority for th</w:t>
      </w:r>
      <w:r w:rsidRPr="00974D81" w:rsidR="00362CC2">
        <w:t>e</w:t>
      </w:r>
      <w:r w:rsidRPr="00974D81">
        <w:t>s</w:t>
      </w:r>
      <w:r w:rsidRPr="00974D81" w:rsidR="00362CC2">
        <w:t>e</w:t>
      </w:r>
      <w:r w:rsidRPr="00974D81">
        <w:t xml:space="preserve"> collection</w:t>
      </w:r>
      <w:r w:rsidRPr="00974D81" w:rsidR="00362CC2">
        <w:t>s</w:t>
      </w:r>
      <w:r w:rsidRPr="00974D81">
        <w:t xml:space="preserve"> of information is derived </w:t>
      </w:r>
      <w:r w:rsidRPr="00974D81" w:rsidR="00DF5137">
        <w:t xml:space="preserve">from </w:t>
      </w:r>
      <w:r w:rsidRPr="00974D81">
        <w:t xml:space="preserve">8 U.S.C. </w:t>
      </w:r>
      <w:r w:rsidRPr="00974D81" w:rsidR="0076455A">
        <w:t xml:space="preserve">§ </w:t>
      </w:r>
      <w:r w:rsidRPr="00974D81">
        <w:t xml:space="preserve">1182.  </w:t>
      </w:r>
      <w:r w:rsidRPr="00974D81" w:rsidR="00A30BAE">
        <w:t xml:space="preserve">The Department </w:t>
      </w:r>
      <w:r w:rsidRPr="00974D81">
        <w:t>will use this information to enforce employer compliance with the</w:t>
      </w:r>
      <w:r w:rsidRPr="00974D81" w:rsidR="00EF1C73">
        <w:t xml:space="preserve"> LCA</w:t>
      </w:r>
      <w:r w:rsidRPr="00974D81">
        <w:t xml:space="preserve">. </w:t>
      </w:r>
      <w:r w:rsidRPr="00974D81" w:rsidR="009D1F19">
        <w:t xml:space="preserve"> </w:t>
      </w:r>
      <w:r w:rsidRPr="00974D81">
        <w:t>The information provided on th</w:t>
      </w:r>
      <w:r w:rsidRPr="00974D81" w:rsidR="00362CC2">
        <w:t>e</w:t>
      </w:r>
      <w:r w:rsidRPr="00974D81">
        <w:t>s</w:t>
      </w:r>
      <w:r w:rsidRPr="00974D81" w:rsidR="00362CC2">
        <w:t>e</w:t>
      </w:r>
      <w:r w:rsidRPr="00974D81">
        <w:t xml:space="preserve"> form</w:t>
      </w:r>
      <w:r w:rsidRPr="00974D81" w:rsidR="00362CC2">
        <w:t>s</w:t>
      </w:r>
      <w:r w:rsidRPr="00974D81">
        <w:t xml:space="preserve"> will assist the </w:t>
      </w:r>
      <w:r w:rsidRPr="00974D81" w:rsidR="00A30BAE">
        <w:t xml:space="preserve">Department </w:t>
      </w:r>
      <w:r w:rsidRPr="00974D81">
        <w:t xml:space="preserve">in determining whether the named employer of H-1B, H-1B1 or E-3 nonimmigrant(s) has committed a violation of provisions of the applicable nonimmigrant program.  With respect to routine uses, the information will be used by and disclosed to </w:t>
      </w:r>
      <w:r w:rsidRPr="00974D81" w:rsidR="00A30BAE">
        <w:t xml:space="preserve">Department </w:t>
      </w:r>
      <w:r w:rsidRPr="00974D81">
        <w:t xml:space="preserve">personnel and contractors or other agents who need the information to assist in activities related to employer compliance with the </w:t>
      </w:r>
      <w:r w:rsidRPr="00974D81" w:rsidR="00EF1C73">
        <w:t xml:space="preserve">LCA </w:t>
      </w:r>
      <w:r w:rsidRPr="00974D81">
        <w:t xml:space="preserve">and law enforcement. </w:t>
      </w:r>
      <w:r w:rsidRPr="00974D81" w:rsidR="007D6C99">
        <w:t xml:space="preserve"> </w:t>
      </w:r>
      <w:r w:rsidRPr="00974D81">
        <w:t xml:space="preserve">Additionally, </w:t>
      </w:r>
      <w:r w:rsidRPr="00974D81" w:rsidR="00A30BAE">
        <w:t xml:space="preserve">the Department </w:t>
      </w:r>
      <w:r w:rsidRPr="00974D81">
        <w:t xml:space="preserve">may share the information pursuant to its published Privacy Act system of records notice. </w:t>
      </w:r>
      <w:r w:rsidRPr="00974D81" w:rsidR="007D6C99">
        <w:t xml:space="preserve"> </w:t>
      </w:r>
      <w:r w:rsidRPr="00974D81">
        <w:t>Furnishing this information is voluntary; however, failure to furnish the requested information may result in an inability to initiate compliance review and/or identify potential violations</w:t>
      </w:r>
      <w:r w:rsidRPr="00974D81" w:rsidR="00447ECB">
        <w:t>.</w:t>
      </w:r>
    </w:p>
    <w:p w:rsidR="00EA78D2" w:rsidRPr="00974D81" w:rsidP="00EA78D2" w14:paraId="601316F9" w14:textId="77777777">
      <w:pPr>
        <w:autoSpaceDE w:val="0"/>
        <w:autoSpaceDN w:val="0"/>
        <w:adjustRightInd w:val="0"/>
      </w:pPr>
    </w:p>
    <w:p w:rsidR="00EA78D2" w:rsidRPr="00974D81" w:rsidP="0020651D" w14:paraId="576532A3" w14:textId="77777777">
      <w:pPr>
        <w:tabs>
          <w:tab w:val="left" w:pos="0"/>
          <w:tab w:val="right" w:pos="360"/>
        </w:tabs>
        <w:autoSpaceDE w:val="0"/>
        <w:autoSpaceDN w:val="0"/>
        <w:adjustRightInd w:val="0"/>
        <w:rPr>
          <w:i/>
        </w:rPr>
      </w:pPr>
      <w:r w:rsidRPr="00974D81">
        <w:rPr>
          <w:i/>
        </w:rPr>
        <w:tab/>
      </w:r>
      <w:r w:rsidRPr="00974D81" w:rsidR="00C86FA4">
        <w:rPr>
          <w:i/>
        </w:rPr>
        <w:t>A</w:t>
      </w:r>
      <w:r w:rsidRPr="00974D81">
        <w:rPr>
          <w:i/>
        </w:rPr>
        <w:t>11.</w:t>
      </w:r>
      <w:r w:rsidRPr="00974D81" w:rsidR="002B14CE">
        <w:rPr>
          <w:i/>
        </w:rPr>
        <w:t xml:space="preserve"> </w:t>
      </w:r>
      <w:r w:rsidRPr="00974D81">
        <w:rPr>
          <w:i/>
        </w:rPr>
        <w:t xml:space="preserve">Provide additional justification for any questions of a sensitive nature, such as sexual behavior and attitudes, religious beliefs, and other matters that are commonly considered private. </w:t>
      </w:r>
      <w:r w:rsidRPr="00974D81" w:rsidR="00904938">
        <w:rPr>
          <w:i/>
        </w:rPr>
        <w:t xml:space="preserve"> </w:t>
      </w:r>
      <w:r w:rsidRPr="00974D81">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974D81" w:rsidP="00EA78D2" w14:paraId="60546B6F" w14:textId="77777777">
      <w:pPr>
        <w:autoSpaceDE w:val="0"/>
        <w:autoSpaceDN w:val="0"/>
        <w:adjustRightInd w:val="0"/>
      </w:pPr>
    </w:p>
    <w:p w:rsidR="00491E39" w:rsidRPr="00974D81" w:rsidP="00491E39" w14:paraId="21AA6176" w14:textId="77777777">
      <w:pPr>
        <w:autoSpaceDE w:val="0"/>
        <w:autoSpaceDN w:val="0"/>
        <w:adjustRightInd w:val="0"/>
      </w:pPr>
      <w:r w:rsidRPr="00974D81">
        <w:t>These information collections d</w:t>
      </w:r>
      <w:bookmarkStart w:id="4" w:name="_Toc486874659"/>
      <w:r w:rsidRPr="00974D81">
        <w:t>o not involve sensitive matters.</w:t>
      </w:r>
    </w:p>
    <w:p w:rsidR="00491E39" w:rsidRPr="00974D81" w:rsidP="00491E39" w14:paraId="2069A112" w14:textId="77777777">
      <w:pPr>
        <w:autoSpaceDE w:val="0"/>
        <w:autoSpaceDN w:val="0"/>
        <w:adjustRightInd w:val="0"/>
      </w:pPr>
    </w:p>
    <w:p w:rsidR="001D5630" w:rsidP="00176B0B" w14:paraId="46622474" w14:textId="4E6E6927">
      <w:pPr>
        <w:autoSpaceDE w:val="0"/>
        <w:autoSpaceDN w:val="0"/>
        <w:adjustRightInd w:val="0"/>
      </w:pPr>
      <w:r w:rsidRPr="00974D81">
        <w:rPr>
          <w:i/>
        </w:rPr>
        <w:t>A</w:t>
      </w:r>
      <w:r w:rsidRPr="00974D81">
        <w:rPr>
          <w:i/>
          <w:iCs/>
        </w:rPr>
        <w:t xml:space="preserve">.12. </w:t>
      </w:r>
      <w:r w:rsidRPr="00974D81">
        <w:rPr>
          <w:i/>
        </w:rPr>
        <w:t>Provide estimates of the hour burden of the collection of information.</w:t>
      </w:r>
      <w:bookmarkStart w:id="5" w:name="_Hlk159508291"/>
      <w:bookmarkEnd w:id="4"/>
    </w:p>
    <w:p w:rsidR="00194DE1" w:rsidRPr="00194DE1" w:rsidP="00194DE1" w14:paraId="7B997310" w14:textId="77777777">
      <w:pPr>
        <w:outlineLvl w:val="1"/>
        <w:rPr>
          <w:b/>
          <w:bCs/>
        </w:rPr>
      </w:pPr>
    </w:p>
    <w:p w:rsidR="001174C4" w:rsidRPr="00974D81" w:rsidP="001174C4" w14:paraId="3E1D4CFC"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974D81">
        <w:t>A.</w:t>
      </w:r>
      <w:r w:rsidRPr="00974D81">
        <w:tab/>
      </w:r>
      <w:r w:rsidRPr="00974D81">
        <w:rPr>
          <w:u w:val="single"/>
        </w:rPr>
        <w:t>Labor Condition Applications</w:t>
      </w:r>
      <w:r>
        <w:rPr>
          <w:u w:val="single"/>
          <w:vertAlign w:val="superscript"/>
        </w:rPr>
        <w:footnoteReference w:id="4"/>
      </w:r>
      <w:r w:rsidRPr="00974D81">
        <w:rPr>
          <w:u w:val="single"/>
        </w:rPr>
        <w:t xml:space="preserve"> –</w:t>
      </w:r>
      <w:r w:rsidRPr="00974D81" w:rsidR="009C787F">
        <w:rPr>
          <w:u w:val="single"/>
        </w:rPr>
        <w:t xml:space="preserve"> </w:t>
      </w:r>
      <w:r w:rsidRPr="00974D81">
        <w:rPr>
          <w:u w:val="single"/>
        </w:rPr>
        <w:t>20 CFR 655.760</w:t>
      </w:r>
      <w:r w:rsidRPr="00974D81">
        <w:t xml:space="preserve"> </w:t>
      </w:r>
    </w:p>
    <w:p w:rsidR="001174C4" w:rsidRPr="00974D81" w:rsidP="001174C4" w14:paraId="051F2708"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BC1D19" w:rsidP="007D6C99" w14:paraId="17291C53" w14:textId="45ACF19F">
      <w:pPr>
        <w:pStyle w:val="NoSpacing"/>
      </w:pPr>
      <w:r w:rsidRPr="00BC1D19">
        <w:t xml:space="preserve">Employers submit LCAs </w:t>
      </w:r>
      <w:r w:rsidRPr="00BC1D19" w:rsidR="007272AB">
        <w:t xml:space="preserve">to the Department </w:t>
      </w:r>
      <w:r w:rsidRPr="00BC1D19">
        <w:t xml:space="preserve">to employ H-1B, H-1B1, </w:t>
      </w:r>
      <w:r w:rsidRPr="00BC1D19" w:rsidR="00A167AE">
        <w:t xml:space="preserve">or </w:t>
      </w:r>
      <w:r w:rsidRPr="00BC1D19">
        <w:t>E-3 nonimmigrant worker</w:t>
      </w:r>
      <w:r w:rsidRPr="00BC1D19" w:rsidR="00A167AE">
        <w:t>s</w:t>
      </w:r>
      <w:r w:rsidRPr="00BC1D19">
        <w:t xml:space="preserve">.  One hundred percent of employers currently file LCAs using </w:t>
      </w:r>
      <w:r w:rsidRPr="00BC1D19" w:rsidR="00706823">
        <w:t>FLAG</w:t>
      </w:r>
      <w:r w:rsidRPr="00BC1D19">
        <w:t xml:space="preserve">.  Based on </w:t>
      </w:r>
      <w:r w:rsidRPr="00BC1D19" w:rsidR="007272AB">
        <w:t xml:space="preserve">the </w:t>
      </w:r>
      <w:r w:rsidRPr="00BC1D19">
        <w:t>program</w:t>
      </w:r>
      <w:r w:rsidRPr="00BC1D19" w:rsidR="007272AB">
        <w:t>’s recent</w:t>
      </w:r>
      <w:r w:rsidRPr="00BC1D19" w:rsidR="00C55BF2">
        <w:t xml:space="preserve"> </w:t>
      </w:r>
      <w:r w:rsidRPr="00BC1D19">
        <w:t xml:space="preserve">experience, ETA estimates that it will receive </w:t>
      </w:r>
      <w:r w:rsidRPr="00BC1D19" w:rsidR="00373B02">
        <w:t xml:space="preserve">on average, </w:t>
      </w:r>
      <w:r w:rsidRPr="00BC1D19">
        <w:t xml:space="preserve">approximately </w:t>
      </w:r>
      <w:r w:rsidRPr="00BC1D19" w:rsidR="00AB59E9">
        <w:t xml:space="preserve">550,028 </w:t>
      </w:r>
      <w:r w:rsidRPr="00BC1D19">
        <w:t xml:space="preserve">LCAs each year from approximately </w:t>
      </w:r>
      <w:r w:rsidRPr="00BC1D19" w:rsidR="00AB59E9">
        <w:t xml:space="preserve">53,321 </w:t>
      </w:r>
      <w:r w:rsidRPr="00BC1D19">
        <w:t>employers over the next three years.</w:t>
      </w:r>
    </w:p>
    <w:p w:rsidR="001174C4" w:rsidRPr="00BC1D19" w:rsidP="007D6C99" w14:paraId="1F305B65" w14:textId="77777777">
      <w:pPr>
        <w:pStyle w:val="NoSpacing"/>
      </w:pPr>
      <w:r w:rsidRPr="00BC1D19">
        <w:t xml:space="preserve">  </w:t>
      </w:r>
    </w:p>
    <w:p w:rsidR="00D71AA3" w:rsidP="00176B0B" w14:paraId="5842811B" w14:textId="7CC4E7CA">
      <w:pPr>
        <w:pStyle w:val="NoSpacing"/>
      </w:pPr>
      <w:r w:rsidRPr="00BC1D19">
        <w:t xml:space="preserve">ETA estimates that the completion and submission of an LCA takes 45 minutes </w:t>
      </w:r>
      <w:r w:rsidRPr="00BC1D19" w:rsidR="000C53BF">
        <w:t xml:space="preserve">(0.75 hours) </w:t>
      </w:r>
      <w:r w:rsidRPr="00BC1D19">
        <w:t xml:space="preserve">for completion and submission by most employers and an additional 20 minutes </w:t>
      </w:r>
      <w:r w:rsidRPr="00BC1D19" w:rsidR="000C53BF">
        <w:t xml:space="preserve">(0.33 hours) </w:t>
      </w:r>
      <w:r w:rsidRPr="00BC1D19">
        <w:t>for H-1B dependent employers or willful violator employers claiming degree-based exemptions</w:t>
      </w:r>
      <w:r w:rsidRPr="00BC1D19" w:rsidR="00700272">
        <w:t xml:space="preserve"> (a total of </w:t>
      </w:r>
      <w:r w:rsidRPr="00BC1D19" w:rsidR="00AE051B">
        <w:t>65 minutes or 1.08 hours</w:t>
      </w:r>
      <w:r w:rsidRPr="00BC1D19" w:rsidR="00700272">
        <w:t>)</w:t>
      </w:r>
      <w:r w:rsidRPr="00BC1D19">
        <w:t xml:space="preserve">; complying with recordkeeping requirements of creating a </w:t>
      </w:r>
      <w:r w:rsidR="00D91346">
        <w:t>public access</w:t>
      </w:r>
      <w:r w:rsidRPr="00BC1D19">
        <w:t xml:space="preserve"> file takes five minutes</w:t>
      </w:r>
      <w:r w:rsidRPr="00BC1D19" w:rsidR="004761FC">
        <w:t xml:space="preserve"> (0.083 hours)</w:t>
      </w:r>
      <w:r w:rsidRPr="00BC1D19">
        <w:t>; and</w:t>
      </w:r>
      <w:r w:rsidRPr="00BC1D19" w:rsidR="00BA6054">
        <w:t xml:space="preserve"> </w:t>
      </w:r>
      <w:r w:rsidRPr="00BC1D19">
        <w:t>posting notice of the LCA filing in a conspicuous place or providing such notice to the collective bargaining representative and providing a copy of the LCA to each nonimmigrant worker takes five minutes</w:t>
      </w:r>
      <w:r w:rsidRPr="00BC1D19" w:rsidR="00394942">
        <w:t xml:space="preserve"> (0.083 hours)</w:t>
      </w:r>
      <w:r w:rsidRPr="00BC1D19" w:rsidR="00E113E9">
        <w:t>.  This results in a</w:t>
      </w:r>
      <w:r w:rsidRPr="00BC1D19">
        <w:t xml:space="preserve"> total of 75 minutes</w:t>
      </w:r>
      <w:r w:rsidRPr="00BC1D19" w:rsidR="00AE051B">
        <w:t xml:space="preserve"> (1.25 hours)</w:t>
      </w:r>
      <w:r w:rsidRPr="00BC1D19">
        <w:t xml:space="preserve"> per application.  The total annual burden hours </w:t>
      </w:r>
      <w:r w:rsidR="000C0ADE">
        <w:t xml:space="preserve">are </w:t>
      </w:r>
      <w:r w:rsidRPr="00BC1D19" w:rsidR="00AB59E9">
        <w:t xml:space="preserve">687,535 </w:t>
      </w:r>
      <w:r w:rsidRPr="00BC1D19">
        <w:t>burden hours (</w:t>
      </w:r>
      <w:r w:rsidRPr="00BC1D19" w:rsidR="00AB59E9">
        <w:t>550,028</w:t>
      </w:r>
      <w:r w:rsidRPr="00BC1D19" w:rsidR="002951D1">
        <w:t xml:space="preserve"> </w:t>
      </w:r>
      <w:r w:rsidRPr="00BC1D19">
        <w:t>x</w:t>
      </w:r>
      <w:r w:rsidRPr="00BC1D19" w:rsidR="00700272">
        <w:t xml:space="preserve"> </w:t>
      </w:r>
      <w:r w:rsidRPr="00BC1D19">
        <w:t>75 minutes ÷ 60)</w:t>
      </w:r>
      <w:r w:rsidRPr="00BC1D19" w:rsidR="00780FC9">
        <w:t>.  The total annual burden hours</w:t>
      </w:r>
      <w:r w:rsidRPr="00974D81" w:rsidR="00780FC9">
        <w:t xml:space="preserve"> include</w:t>
      </w:r>
      <w:r w:rsidRPr="00974D81" w:rsidR="005573A1">
        <w:t xml:space="preserve"> </w:t>
      </w:r>
      <w:r w:rsidR="009460EF">
        <w:t xml:space="preserve">595,863.66 </w:t>
      </w:r>
      <w:r w:rsidRPr="00974D81">
        <w:t>reporting hours (</w:t>
      </w:r>
      <w:r w:rsidR="00AB59E9">
        <w:t>550,028</w:t>
      </w:r>
      <w:r w:rsidR="002951D1">
        <w:t xml:space="preserve"> </w:t>
      </w:r>
      <w:r w:rsidRPr="00974D81">
        <w:t xml:space="preserve">x 65 minutes ÷ 60), </w:t>
      </w:r>
      <w:bookmarkStart w:id="7" w:name="_Hlk173835503"/>
      <w:r w:rsidR="009460EF">
        <w:t>45,835.66</w:t>
      </w:r>
      <w:r w:rsidR="00E66DAE">
        <w:t xml:space="preserve"> </w:t>
      </w:r>
      <w:bookmarkEnd w:id="7"/>
      <w:r w:rsidRPr="00974D81">
        <w:t>recordkeeping hours (</w:t>
      </w:r>
      <w:r w:rsidR="00AB59E9">
        <w:t xml:space="preserve">550,028 </w:t>
      </w:r>
      <w:r w:rsidRPr="00974D81">
        <w:t xml:space="preserve">x 5 minutes ÷ 60), and </w:t>
      </w:r>
      <w:bookmarkStart w:id="8" w:name="_Hlk173835563"/>
      <w:r w:rsidR="009460EF">
        <w:t xml:space="preserve">45,835.66 </w:t>
      </w:r>
      <w:bookmarkEnd w:id="8"/>
      <w:r w:rsidRPr="00974D81">
        <w:t>third-party disclosure hours (</w:t>
      </w:r>
      <w:r w:rsidR="00AB59E9">
        <w:t xml:space="preserve">550,028 </w:t>
      </w:r>
      <w:r w:rsidRPr="00974D81">
        <w:t>x 5 minutes ÷ 60).</w:t>
      </w:r>
      <w:r>
        <w:rPr>
          <w:vertAlign w:val="superscript"/>
        </w:rPr>
        <w:footnoteReference w:id="5"/>
      </w:r>
    </w:p>
    <w:p w:rsidR="00E66DAE" w:rsidRPr="00974D81" w:rsidP="001174C4" w14:paraId="2BB89F26"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1174C4" w14:paraId="63D4C194"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974D81">
        <w:t>B.</w:t>
      </w:r>
      <w:r w:rsidRPr="00974D81">
        <w:tab/>
      </w:r>
      <w:r w:rsidRPr="00974D81">
        <w:rPr>
          <w:u w:val="single"/>
        </w:rPr>
        <w:t>Documentation of Corporate Identity –</w:t>
      </w:r>
      <w:r w:rsidRPr="00974D81">
        <w:rPr>
          <w:color w:val="000000"/>
          <w:u w:val="single"/>
        </w:rPr>
        <w:t xml:space="preserve"> 20 CFR 655.730(e)(3)</w:t>
      </w:r>
    </w:p>
    <w:p w:rsidR="001174C4" w:rsidRPr="00974D81" w:rsidP="001174C4" w14:paraId="74132D12"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721DA2" w14:paraId="1EB4F15E" w14:textId="77777777">
      <w:pPr>
        <w:pStyle w:val="NoSpacing"/>
      </w:pPr>
      <w:r w:rsidRPr="00974D81">
        <w:t xml:space="preserve">Pursuant to 20 CFR 655.730(e)(3), prior to the continued employment of the nonimmigrant worker when there is a corporate change and the new corporation agrees to assume the predecessor entity’s obligations and liabilities under the LCA, the agreement to comply with the LCA for the future and to any liability of the predecessor under the LCA must be documented with a sworn statement in the public access file.  </w:t>
      </w:r>
    </w:p>
    <w:p w:rsidR="001174C4" w:rsidRPr="00974D81" w:rsidP="00D16B3A" w14:paraId="1E9C774C" w14:textId="77777777">
      <w:pPr>
        <w:pStyle w:val="NoSpacing"/>
      </w:pPr>
    </w:p>
    <w:p w:rsidR="001174C4" w:rsidRPr="00974D81" w:rsidP="00721DA2" w14:paraId="73995168" w14:textId="77777777">
      <w:pPr>
        <w:pStyle w:val="NoSpacing"/>
      </w:pPr>
      <w:r w:rsidRPr="00974D81">
        <w:t xml:space="preserve">It is estimated that approximately 1,000 LCA employers will be required to file the documentation annually and that the recording and filing of each such document will take approximately 1 hour for a </w:t>
      </w:r>
      <w:r w:rsidRPr="00974D81">
        <w:rPr>
          <w:b/>
        </w:rPr>
        <w:t>total annual burden of 1,000 recordkeeping hours</w:t>
      </w:r>
      <w:r w:rsidRPr="00974D81">
        <w:t xml:space="preserve">.  </w:t>
      </w:r>
    </w:p>
    <w:p w:rsidR="001174C4" w:rsidRPr="00974D81" w:rsidP="00721DA2" w14:paraId="5BD508D4" w14:textId="77777777">
      <w:pPr>
        <w:pStyle w:val="NoSpacing"/>
      </w:pPr>
    </w:p>
    <w:p w:rsidR="001174C4" w:rsidRPr="009014CF" w:rsidP="001174C4" w14:paraId="16C08536" w14:textId="77777777">
      <w:pPr>
        <w:widowControl w:val="0"/>
        <w:numPr>
          <w:ilvl w:val="0"/>
          <w:numId w:val="5"/>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after="160" w:line="259" w:lineRule="auto"/>
        <w:contextualSpacing/>
      </w:pPr>
      <w:r w:rsidRPr="00974D81">
        <w:t xml:space="preserve"> </w:t>
      </w:r>
      <w:r w:rsidRPr="00974D81">
        <w:tab/>
      </w:r>
      <w:r w:rsidRPr="009014CF">
        <w:rPr>
          <w:u w:val="single"/>
        </w:rPr>
        <w:t>H-1B Employers Only:  Determination of H-1B Dependency – 20 CFR 655.736</w:t>
      </w:r>
    </w:p>
    <w:p w:rsidR="001174C4" w:rsidRPr="009014CF" w:rsidP="001174C4" w14:paraId="72C31413"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014CF" w:rsidP="00D16B3A" w14:paraId="40E6043B" w14:textId="7D01EE61">
      <w:pPr>
        <w:pStyle w:val="NoSpacing"/>
      </w:pPr>
      <w:r w:rsidRPr="009014CF">
        <w:t>The Department estimates an average burden of 30 minutes</w:t>
      </w:r>
      <w:r w:rsidRPr="009014CF" w:rsidR="00394942">
        <w:t xml:space="preserve"> (0.5 hours)</w:t>
      </w:r>
      <w:r w:rsidRPr="009014CF">
        <w:t xml:space="preserve">, twice annually, for each employer that must document the dependency determination as outlined in 20 CFR 655.736.  The Department estimates that </w:t>
      </w:r>
      <w:r w:rsidRPr="009014CF" w:rsidR="00F84C35">
        <w:t xml:space="preserve">3,835 </w:t>
      </w:r>
      <w:r w:rsidRPr="009014CF">
        <w:t xml:space="preserve">employers will make this determination for a </w:t>
      </w:r>
      <w:r w:rsidRPr="009014CF">
        <w:rPr>
          <w:b/>
        </w:rPr>
        <w:t xml:space="preserve">total annual burden of </w:t>
      </w:r>
      <w:r w:rsidRPr="009014CF" w:rsidR="00F84C35">
        <w:rPr>
          <w:b/>
        </w:rPr>
        <w:t xml:space="preserve">3,835 </w:t>
      </w:r>
      <w:r w:rsidRPr="009014CF">
        <w:rPr>
          <w:b/>
        </w:rPr>
        <w:t>recordkeeping hours</w:t>
      </w:r>
      <w:r w:rsidRPr="009014CF">
        <w:t xml:space="preserve"> (</w:t>
      </w:r>
      <w:r w:rsidRPr="009014CF" w:rsidR="00F84C35">
        <w:t xml:space="preserve">3,835 </w:t>
      </w:r>
      <w:r w:rsidRPr="009014CF">
        <w:t>x 30 minutes ÷ 60) (x 2 times annually).</w:t>
      </w:r>
    </w:p>
    <w:p w:rsidR="001174C4" w:rsidRPr="009014CF" w:rsidP="00D16B3A" w14:paraId="533D117E" w14:textId="77777777">
      <w:pPr>
        <w:pStyle w:val="NoSpacing"/>
      </w:pPr>
    </w:p>
    <w:p w:rsidR="001174C4" w:rsidRPr="009014CF" w:rsidP="00D16B3A" w14:paraId="68D4E23E" w14:textId="0049AF5C">
      <w:pPr>
        <w:pStyle w:val="NoSpacing"/>
      </w:pPr>
      <w:r w:rsidRPr="009014CF">
        <w:t xml:space="preserve">The Department also estimates that no more than 5 percent of the total estimated </w:t>
      </w:r>
      <w:r w:rsidRPr="009014CF" w:rsidR="00F84C35">
        <w:t xml:space="preserve">53,321 </w:t>
      </w:r>
      <w:r w:rsidRPr="009014CF">
        <w:rPr>
          <w:color w:val="000000"/>
        </w:rPr>
        <w:t>H-1B employers</w:t>
      </w:r>
      <w:r w:rsidRPr="009014CF">
        <w:t xml:space="preserve"> (</w:t>
      </w:r>
      <w:r w:rsidRPr="009014CF" w:rsidR="00F84C35">
        <w:t>2,666</w:t>
      </w:r>
      <w:r w:rsidRPr="009014CF">
        <w:t xml:space="preserve">) will be required to retain copies of H-1B petitions and extensions that do not currently retain these documents for other purposes, for an average of 3 minutes </w:t>
      </w:r>
      <w:r w:rsidRPr="009014CF" w:rsidR="00394942">
        <w:t xml:space="preserve">(0.05 hours) </w:t>
      </w:r>
      <w:r w:rsidRPr="009014CF">
        <w:t xml:space="preserve">per petition, for a </w:t>
      </w:r>
      <w:r w:rsidRPr="009014CF">
        <w:rPr>
          <w:b/>
        </w:rPr>
        <w:t xml:space="preserve">total annual burden of </w:t>
      </w:r>
      <w:r w:rsidRPr="009014CF" w:rsidR="009014CF">
        <w:rPr>
          <w:b/>
        </w:rPr>
        <w:t xml:space="preserve">133 </w:t>
      </w:r>
      <w:r w:rsidRPr="009014CF" w:rsidR="00636281">
        <w:rPr>
          <w:b/>
        </w:rPr>
        <w:t xml:space="preserve">recordkeeping </w:t>
      </w:r>
      <w:r w:rsidRPr="009014CF">
        <w:rPr>
          <w:b/>
        </w:rPr>
        <w:t>hours</w:t>
      </w:r>
      <w:r w:rsidRPr="009014CF">
        <w:t xml:space="preserve"> (</w:t>
      </w:r>
      <w:r w:rsidRPr="009014CF" w:rsidR="009014CF">
        <w:t>2,666</w:t>
      </w:r>
      <w:r w:rsidRPr="009014CF" w:rsidR="00394942">
        <w:t xml:space="preserve"> </w:t>
      </w:r>
      <w:r w:rsidRPr="009014CF">
        <w:t xml:space="preserve">x 3 minutes ÷ 60).  </w:t>
      </w:r>
    </w:p>
    <w:p w:rsidR="001174C4" w:rsidRPr="009014CF" w:rsidP="001174C4" w14:paraId="49F84BB3"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1174C4" w14:paraId="557CF070" w14:textId="21CB6BD5">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9014CF">
        <w:rPr>
          <w:b/>
        </w:rPr>
        <w:t xml:space="preserve">The total annual burden for this item is </w:t>
      </w:r>
      <w:r w:rsidR="00AB23CE">
        <w:rPr>
          <w:b/>
        </w:rPr>
        <w:t>3,968</w:t>
      </w:r>
      <w:r w:rsidRPr="009014CF" w:rsidR="006C4145">
        <w:rPr>
          <w:b/>
        </w:rPr>
        <w:t xml:space="preserve"> </w:t>
      </w:r>
      <w:r w:rsidRPr="009014CF">
        <w:rPr>
          <w:b/>
        </w:rPr>
        <w:t>recordkeeping hours</w:t>
      </w:r>
      <w:r w:rsidRPr="009014CF">
        <w:t xml:space="preserve"> (</w:t>
      </w:r>
      <w:r w:rsidRPr="009014CF" w:rsidR="009014CF">
        <w:t>3,835</w:t>
      </w:r>
      <w:r w:rsidRPr="009014CF">
        <w:t xml:space="preserve"> + </w:t>
      </w:r>
      <w:r w:rsidRPr="009014CF" w:rsidR="009014CF">
        <w:t>133</w:t>
      </w:r>
      <w:r w:rsidRPr="009014CF">
        <w:t xml:space="preserve"> =</w:t>
      </w:r>
      <w:r w:rsidRPr="009014CF" w:rsidR="0076455A">
        <w:t xml:space="preserve"> </w:t>
      </w:r>
      <w:r w:rsidRPr="009014CF" w:rsidR="009014CF">
        <w:t>3,968</w:t>
      </w:r>
      <w:r w:rsidRPr="009014CF">
        <w:t>).</w:t>
      </w:r>
    </w:p>
    <w:p w:rsidR="001174C4" w:rsidRPr="00974D81" w:rsidP="001174C4" w14:paraId="3520CD6F"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1174C4" w14:paraId="4675DF82"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974D81">
        <w:t>D.</w:t>
      </w:r>
      <w:r w:rsidRPr="00974D81">
        <w:tab/>
      </w:r>
      <w:r w:rsidRPr="00974D81">
        <w:rPr>
          <w:u w:val="single"/>
        </w:rPr>
        <w:t>List of Exempt H-1B Employees in Public Access File – 20 CFR 655.737(e)(1)</w:t>
      </w:r>
    </w:p>
    <w:p w:rsidR="001174C4" w:rsidRPr="00974D81" w:rsidP="001174C4" w14:paraId="330C634E"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D16B3A" w14:paraId="7D4A8272" w14:textId="507F17D9">
      <w:pPr>
        <w:pStyle w:val="NoSpacing"/>
      </w:pPr>
      <w:r w:rsidRPr="00974D81">
        <w:t>Under 20 CFR 655.737(e)(1), employers are required to include in their public access file a list of the H-1B nonimmigrants supported by any LCA attesting that it will be used only for exempt wor</w:t>
      </w:r>
      <w:r w:rsidRPr="00974D81" w:rsidR="00B10FB9">
        <w:t>kers.  The Department</w:t>
      </w:r>
      <w:r w:rsidRPr="00974D81">
        <w:t xml:space="preserve"> estimates that each list will take approximately 15 minutes </w:t>
      </w:r>
      <w:r w:rsidRPr="00974D81" w:rsidR="00394942">
        <w:t xml:space="preserve">(0.25 hours) </w:t>
      </w:r>
      <w:r w:rsidRPr="00974D81">
        <w:t xml:space="preserve">to prepare and that </w:t>
      </w:r>
      <w:r w:rsidR="005338A5">
        <w:t>3,775</w:t>
      </w:r>
      <w:r w:rsidRPr="00974D81">
        <w:t xml:space="preserve"> H-1B employers will prepare such a list annually for a </w:t>
      </w:r>
      <w:r w:rsidRPr="00974D81">
        <w:rPr>
          <w:b/>
        </w:rPr>
        <w:t xml:space="preserve">total annual burden of </w:t>
      </w:r>
      <w:r w:rsidR="005338A5">
        <w:rPr>
          <w:b/>
        </w:rPr>
        <w:t>944</w:t>
      </w:r>
      <w:r w:rsidRPr="00974D81">
        <w:rPr>
          <w:b/>
        </w:rPr>
        <w:t xml:space="preserve"> recordkeeping hours</w:t>
      </w:r>
      <w:r w:rsidRPr="00974D81">
        <w:t xml:space="preserve"> (</w:t>
      </w:r>
      <w:r w:rsidR="005338A5">
        <w:t>3,775</w:t>
      </w:r>
      <w:r w:rsidRPr="00974D81">
        <w:t xml:space="preserve"> x 15 minutes ÷ 60).</w:t>
      </w:r>
    </w:p>
    <w:p w:rsidR="001174C4" w:rsidRPr="00974D81" w:rsidP="00D16B3A" w14:paraId="2E7B4AD3" w14:textId="77777777">
      <w:pPr>
        <w:pStyle w:val="NoSpacing"/>
      </w:pPr>
    </w:p>
    <w:p w:rsidR="000261BE" w:rsidRPr="00974D81" w:rsidP="00322F87" w14:paraId="4AF23A6C" w14:textId="06FD42F4">
      <w:pPr>
        <w:pStyle w:val="NoSpacing"/>
      </w:pPr>
      <w:r w:rsidRPr="00974D81">
        <w:t xml:space="preserve">For those H-1B dependent/willful violator employers seeking an exemption based </w:t>
      </w:r>
      <w:r w:rsidRPr="00974D81">
        <w:rPr>
          <w:b/>
        </w:rPr>
        <w:t>only</w:t>
      </w:r>
      <w:r w:rsidRPr="00974D81">
        <w:t xml:space="preserve"> on attainment of a </w:t>
      </w:r>
      <w:r w:rsidRPr="00974D81">
        <w:t>Master’s</w:t>
      </w:r>
      <w:r w:rsidRPr="00974D81">
        <w:t xml:space="preserve"> degree or higher, the employer must identify on the Form ETA-9035/9035E </w:t>
      </w:r>
      <w:r w:rsidR="00047159">
        <w:t>-</w:t>
      </w:r>
      <w:r w:rsidRPr="00974D81" w:rsidR="0076455A">
        <w:t xml:space="preserve"> </w:t>
      </w:r>
      <w:r w:rsidRPr="00974D81">
        <w:t>Appendix A, the academic institution and degree information for the exempt H-1B nonimmigrant worker(s) and provide a copy of the educational credential documentation to the Department.  This information is being collected pursuant to 20 CFR 655.737(d) and (e) to ensure the education-based exemption designation is complete and without obvious errors or inaccuracies on the LCA before a certification decision is issued and the employer files the H-1B petition with DHS.  DHS is responsible for determining, upon request at the petition stage, whether the degree was attained in a specialty related to the occupation and, if obtain</w:t>
      </w:r>
      <w:r w:rsidRPr="00974D81" w:rsidR="00F8352B">
        <w:t>ed</w:t>
      </w:r>
      <w:r w:rsidRPr="00974D81">
        <w:t xml:space="preserve"> from a foreign academic institution, is equivalent to a master’s or higher degree issued by a U.S. academic institution.  The Department estimates that the information collection of the Appendix </w:t>
      </w:r>
      <w:r w:rsidRPr="00974D81">
        <w:t>A</w:t>
      </w:r>
      <w:r w:rsidRPr="00974D81">
        <w:t xml:space="preserve"> information and documentation will take approximately 20 minutes </w:t>
      </w:r>
      <w:r w:rsidRPr="00974D81" w:rsidR="00BE62F4">
        <w:t xml:space="preserve">(0.33 hours) </w:t>
      </w:r>
      <w:r w:rsidRPr="00974D81">
        <w:t xml:space="preserve">to prepare </w:t>
      </w:r>
      <w:r w:rsidRPr="00530CC6">
        <w:t>and that an estimated</w:t>
      </w:r>
      <w:r w:rsidRPr="00530CC6" w:rsidR="006E394A">
        <w:t xml:space="preserve"> </w:t>
      </w:r>
      <w:r w:rsidRPr="00BC1D19" w:rsidR="002951D1">
        <w:t>484</w:t>
      </w:r>
      <w:r w:rsidRPr="00BC1D19" w:rsidR="006E394A">
        <w:t xml:space="preserve"> </w:t>
      </w:r>
      <w:r w:rsidRPr="00BC1D19">
        <w:t>LCAs</w:t>
      </w:r>
      <w:r w:rsidRPr="00530CC6">
        <w:t xml:space="preserve"> prepared annually will include this information for a </w:t>
      </w:r>
      <w:r w:rsidRPr="00530CC6">
        <w:rPr>
          <w:b/>
        </w:rPr>
        <w:t xml:space="preserve">total burden of </w:t>
      </w:r>
      <w:r w:rsidRPr="00530CC6" w:rsidR="00AE4AF0">
        <w:rPr>
          <w:b/>
        </w:rPr>
        <w:t>161</w:t>
      </w:r>
      <w:r w:rsidRPr="00530CC6" w:rsidR="006E394A">
        <w:rPr>
          <w:b/>
        </w:rPr>
        <w:t xml:space="preserve"> </w:t>
      </w:r>
      <w:r w:rsidRPr="00530CC6" w:rsidR="003340C4">
        <w:rPr>
          <w:b/>
        </w:rPr>
        <w:t xml:space="preserve">reporting </w:t>
      </w:r>
      <w:r w:rsidRPr="00530CC6">
        <w:rPr>
          <w:b/>
        </w:rPr>
        <w:t>hours</w:t>
      </w:r>
      <w:r w:rsidRPr="00530CC6">
        <w:t xml:space="preserve"> (</w:t>
      </w:r>
      <w:r w:rsidRPr="00530CC6" w:rsidR="002951D1">
        <w:t>484</w:t>
      </w:r>
      <w:r w:rsidRPr="00530CC6" w:rsidR="00322F87">
        <w:t xml:space="preserve"> x 20 minutes ÷ 60).</w:t>
      </w:r>
    </w:p>
    <w:p w:rsidR="000261BE" w:rsidRPr="00974D81" w:rsidP="001174C4" w14:paraId="49B81CCC" w14:textId="77777777">
      <w:pPr>
        <w:pBdr>
          <w:top w:val="single" w:sz="6" w:space="0" w:color="FFFFFF"/>
          <w:left w:val="single" w:sz="6" w:space="0" w:color="FFFFFF"/>
          <w:bottom w:val="single" w:sz="6" w:space="0" w:color="FFFFFF"/>
          <w:right w:val="single" w:sz="6" w:space="0" w:color="FFFFFF"/>
        </w:pBdr>
        <w:autoSpaceDE w:val="0"/>
        <w:autoSpaceDN w:val="0"/>
        <w:adjustRightInd w:val="0"/>
        <w:ind w:firstLine="720"/>
      </w:pPr>
    </w:p>
    <w:p w:rsidR="001174C4" w:rsidRPr="00974D81" w:rsidP="001174C4" w14:paraId="3735969A"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720" w:hanging="720"/>
      </w:pPr>
      <w:r w:rsidRPr="00974D81">
        <w:t>E.</w:t>
      </w:r>
      <w:r w:rsidRPr="00974D81">
        <w:tab/>
      </w:r>
      <w:r w:rsidRPr="00974D81">
        <w:rPr>
          <w:u w:val="single"/>
        </w:rPr>
        <w:t>Record of Assurances of Non-displacement of U.S. Workers at Second Employer’s Worksite</w:t>
      </w:r>
    </w:p>
    <w:p w:rsidR="001174C4" w:rsidRPr="00974D81" w:rsidP="001174C4" w14:paraId="1DDF5948"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D16B3A" w14:paraId="1C70CFA3" w14:textId="3D0FFE89">
      <w:pPr>
        <w:pStyle w:val="NoSpacing"/>
      </w:pPr>
      <w:r w:rsidRPr="00974D81">
        <w:t xml:space="preserve">Generally, willful violators and H-1B dependent employers must attest that they will not place H-1B employees with other employers unless these employers have inquired about the displacement of U.S. workers at the second employer’s place of business as described in 8 U.S.C. </w:t>
      </w:r>
      <w:r w:rsidRPr="00974D81" w:rsidR="0076455A">
        <w:t xml:space="preserve">§ </w:t>
      </w:r>
      <w:r w:rsidRPr="00974D81">
        <w:t>1182(n)(1)(F).</w:t>
      </w:r>
      <w:r>
        <w:rPr>
          <w:vertAlign w:val="superscript"/>
        </w:rPr>
        <w:footnoteReference w:id="6"/>
      </w:r>
      <w:r w:rsidRPr="00974D81">
        <w:t xml:space="preserve">  </w:t>
      </w:r>
      <w:r w:rsidRPr="00530CC6" w:rsidR="00C55BF2">
        <w:t xml:space="preserve">The Department </w:t>
      </w:r>
      <w:r w:rsidRPr="00530CC6">
        <w:t xml:space="preserve">estimates an average burden of 10 minutes </w:t>
      </w:r>
      <w:r w:rsidRPr="00530CC6" w:rsidR="00BE62F4">
        <w:t xml:space="preserve">(0.16 hours) </w:t>
      </w:r>
      <w:r w:rsidRPr="00530CC6">
        <w:t xml:space="preserve">per attestation or statement, and that </w:t>
      </w:r>
      <w:r w:rsidRPr="00530CC6" w:rsidR="006937C8">
        <w:t xml:space="preserve">154 </w:t>
      </w:r>
      <w:r w:rsidRPr="00530CC6">
        <w:t xml:space="preserve">H-1B employers will document such assurance 5 times annually, for a </w:t>
      </w:r>
      <w:r w:rsidRPr="00530CC6">
        <w:rPr>
          <w:b/>
        </w:rPr>
        <w:t xml:space="preserve">total annual burden of </w:t>
      </w:r>
      <w:r w:rsidRPr="00530CC6" w:rsidR="006937C8">
        <w:rPr>
          <w:b/>
        </w:rPr>
        <w:t>128</w:t>
      </w:r>
      <w:r w:rsidRPr="00530CC6">
        <w:rPr>
          <w:b/>
        </w:rPr>
        <w:t xml:space="preserve"> recordkeeping hours </w:t>
      </w:r>
      <w:r w:rsidRPr="00530CC6">
        <w:t>(</w:t>
      </w:r>
      <w:r w:rsidRPr="00530CC6" w:rsidR="006937C8">
        <w:t>154</w:t>
      </w:r>
      <w:r w:rsidRPr="00530CC6">
        <w:t xml:space="preserve"> x 10 minutes ÷ 60) (x 5 times annually).</w:t>
      </w:r>
    </w:p>
    <w:p w:rsidR="001174C4" w:rsidRPr="00974D81" w:rsidP="001174C4" w14:paraId="2EDA67B3"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1174C4" w14:paraId="0BC8FC72"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974D81">
        <w:t>F.</w:t>
      </w:r>
      <w:r w:rsidRPr="00974D81">
        <w:tab/>
      </w:r>
      <w:r w:rsidRPr="00974D81">
        <w:rPr>
          <w:u w:val="single"/>
        </w:rPr>
        <w:t>Offers of Employment to Displaced U.S. Workers – 20 CFR 655.738(e)</w:t>
      </w:r>
    </w:p>
    <w:p w:rsidR="001174C4" w:rsidRPr="00974D81" w:rsidP="001174C4" w14:paraId="388960A8"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D16B3A" w14:paraId="094DCC33" w14:textId="16F569D3">
      <w:pPr>
        <w:pStyle w:val="NoSpacing"/>
      </w:pPr>
      <w:r w:rsidRPr="00BC1D19">
        <w:t>It is estimated that 665</w:t>
      </w:r>
      <w:r w:rsidRPr="00BC1D19" w:rsidR="00893E1D">
        <w:t xml:space="preserve"> </w:t>
      </w:r>
      <w:r w:rsidRPr="00BC1D19">
        <w:t xml:space="preserve">H-1B employers who are willful violators or H-1B dependent will make offers of employment to displaced U.S. workers </w:t>
      </w:r>
      <w:r w:rsidRPr="00BC1D19" w:rsidR="0076455A">
        <w:t>five</w:t>
      </w:r>
      <w:r w:rsidRPr="00BC1D19">
        <w:t xml:space="preserve"> times annually and responses documented under the requirement in 20 CFR 655.738(e).  Each such document is estimated to take 20 minutes </w:t>
      </w:r>
      <w:r w:rsidRPr="00BC1D19" w:rsidR="00BE62F4">
        <w:t>(0.33</w:t>
      </w:r>
      <w:r w:rsidRPr="00BC1D19" w:rsidR="00E878FA">
        <w:t xml:space="preserve"> hours</w:t>
      </w:r>
      <w:r w:rsidRPr="00BC1D19" w:rsidR="00BE62F4">
        <w:t xml:space="preserve">) </w:t>
      </w:r>
      <w:r w:rsidRPr="00BC1D19">
        <w:t xml:space="preserve">for a </w:t>
      </w:r>
      <w:r w:rsidRPr="00BC1D19">
        <w:rPr>
          <w:b/>
        </w:rPr>
        <w:t xml:space="preserve">total annual burden of </w:t>
      </w:r>
      <w:r w:rsidRPr="00BC1D19">
        <w:rPr>
          <w:b/>
          <w:bCs/>
        </w:rPr>
        <w:t xml:space="preserve">1,108 </w:t>
      </w:r>
      <w:r w:rsidRPr="00BC1D19">
        <w:rPr>
          <w:b/>
        </w:rPr>
        <w:t>recordkeeping hours</w:t>
      </w:r>
      <w:r w:rsidRPr="00BC1D19">
        <w:t xml:space="preserve"> (665 x 20 minutes ÷ 60) (x 5 times annually)).</w:t>
      </w:r>
    </w:p>
    <w:p w:rsidR="001174C4" w:rsidRPr="00974D81" w:rsidP="001174C4" w14:paraId="089F78BA"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1174C4" w14:paraId="68E733E3" w14:textId="77777777">
      <w:r w:rsidRPr="00974D81">
        <w:t>G.</w:t>
      </w:r>
      <w:r w:rsidRPr="00974D81">
        <w:tab/>
      </w:r>
      <w:r w:rsidRPr="00974D81">
        <w:rPr>
          <w:u w:val="single"/>
        </w:rPr>
        <w:t>Documentation of U.S. Worker Recruitment – 20 CFR 655.739(i)</w:t>
      </w:r>
    </w:p>
    <w:p w:rsidR="001174C4" w:rsidRPr="00974D81" w:rsidP="001174C4" w14:paraId="08BE6DC6" w14:textId="77777777"/>
    <w:p w:rsidR="0000260E" w:rsidRPr="00974D81" w:rsidP="00D16B3A" w14:paraId="63C84A7D" w14:textId="629725BB">
      <w:pPr>
        <w:pStyle w:val="NoSpacing"/>
      </w:pPr>
      <w:r w:rsidRPr="00974D81">
        <w:t xml:space="preserve">Pursuant to the INA, H-1B dependent employers and willful violators are generally required to make good faith efforts to recruit U.S. workers before hiring H-1B workers.  </w:t>
      </w:r>
      <w:r w:rsidRPr="00974D81" w:rsidR="0076455A">
        <w:rPr>
          <w:i/>
        </w:rPr>
        <w:t xml:space="preserve">See </w:t>
      </w:r>
      <w:r w:rsidRPr="00974D81" w:rsidR="0076455A">
        <w:t xml:space="preserve">8 U.S.C. § 1182(n)(1)(G).  </w:t>
      </w:r>
      <w:r w:rsidRPr="00974D81">
        <w:t xml:space="preserve">Under the regulations, those employers are required to retain documentation of U.S. worker recruitment.  </w:t>
      </w:r>
      <w:r w:rsidRPr="00974D81">
        <w:rPr>
          <w:color w:val="000000"/>
        </w:rPr>
        <w:t xml:space="preserve">Under 20 CFR 655.739(i)(1), those employers are required to retain </w:t>
      </w:r>
      <w:r w:rsidRPr="00974D81">
        <w:rPr>
          <w:color w:val="000000"/>
        </w:rPr>
        <w:t xml:space="preserve">documentation of the recruiting methods used, including the places and dates of the advertisements and postings or other recruitment method used, the content of the advertisements and postings, and the compensation terms.  Further, the employer must retain </w:t>
      </w:r>
      <w:r w:rsidRPr="00974D81">
        <w:rPr>
          <w:color w:val="000000"/>
        </w:rPr>
        <w:t>documentation</w:t>
      </w:r>
      <w:r w:rsidRPr="00974D81">
        <w:rPr>
          <w:color w:val="000000"/>
        </w:rPr>
        <w:t xml:space="preserve"> or a simple summary of the principal recruitment methods used and </w:t>
      </w:r>
      <w:r w:rsidRPr="00974D81">
        <w:t xml:space="preserve">the timeframe of the recruitment in the public access file.  </w:t>
      </w:r>
      <w:r w:rsidRPr="00974D81" w:rsidR="0076455A">
        <w:rPr>
          <w:i/>
        </w:rPr>
        <w:t xml:space="preserve">See </w:t>
      </w:r>
      <w:r w:rsidRPr="00974D81">
        <w:t xml:space="preserve">20 CFR 655.739(i)(4).  In addition, the employer must retain any documentation concerning consideration of applications of U.S. workers, such as copies of applications and related documents, rating forms, job offers, </w:t>
      </w:r>
      <w:r w:rsidRPr="00BC1D19">
        <w:t xml:space="preserve">etc.  It is estimated that 665 H-1B employers will file such documents or memoranda </w:t>
      </w:r>
      <w:r w:rsidRPr="00BC1D19" w:rsidR="0076455A">
        <w:t>five</w:t>
      </w:r>
      <w:r w:rsidRPr="00BC1D19">
        <w:t xml:space="preserve"> times annually and that each recordkeeping will take 20 minutes</w:t>
      </w:r>
      <w:r w:rsidRPr="00BC1D19" w:rsidR="00BE62F4">
        <w:t xml:space="preserve"> (0.33 hours)</w:t>
      </w:r>
      <w:r w:rsidRPr="00BC1D19">
        <w:t xml:space="preserve">, for a </w:t>
      </w:r>
      <w:r w:rsidRPr="00BC1D19">
        <w:rPr>
          <w:b/>
        </w:rPr>
        <w:t>total annual burden of 1,108 recordkeeping hours</w:t>
      </w:r>
      <w:r w:rsidRPr="00BC1D19">
        <w:t xml:space="preserve"> (665 x 20 minutes ÷ 60) (x 5 times annually).</w:t>
      </w:r>
      <w:r w:rsidRPr="00974D81">
        <w:t xml:space="preserve">  </w:t>
      </w:r>
    </w:p>
    <w:p w:rsidR="001174C4" w:rsidRPr="00974D81" w:rsidP="001174C4" w14:paraId="5D038D09"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0F6847" w:rsidP="001174C4" w14:paraId="6C467612"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F6847">
        <w:t>H.</w:t>
      </w:r>
      <w:r w:rsidRPr="000F6847">
        <w:tab/>
      </w:r>
      <w:r w:rsidRPr="000F6847">
        <w:rPr>
          <w:u w:val="single"/>
        </w:rPr>
        <w:t>Documentation of Fringe Benefits – 20 CFR 655.731(b)(1)(viii)</w:t>
      </w:r>
      <w:r w:rsidRPr="000F6847">
        <w:t xml:space="preserve"> </w:t>
      </w:r>
    </w:p>
    <w:p w:rsidR="001174C4" w:rsidRPr="000F6847" w:rsidP="001174C4" w14:paraId="662C8EA4"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D16B3A" w14:paraId="56691E64" w14:textId="57DE1D84">
      <w:pPr>
        <w:pStyle w:val="NoSpacing"/>
      </w:pPr>
      <w:r w:rsidRPr="000F6847">
        <w:t>There are an estimated 10 percent of LCA employers (</w:t>
      </w:r>
      <w:r w:rsidRPr="000F6847" w:rsidR="00AE4AF0">
        <w:t>5,332</w:t>
      </w:r>
      <w:r w:rsidRPr="000F6847">
        <w:t>) that provide fringe benefits, such as bonuses, vacations</w:t>
      </w:r>
      <w:r w:rsidR="00C319AB">
        <w:t>,</w:t>
      </w:r>
      <w:r w:rsidRPr="000F6847">
        <w:t xml:space="preserve"> and holidays, not required by ERISA regulations to be documented.  It is estimated to document these benefits as outlined in 20 CFR 655.731(b) would take </w:t>
      </w:r>
      <w:r w:rsidRPr="000F6847" w:rsidR="00BE62F4">
        <w:t>90 minutes (</w:t>
      </w:r>
      <w:r w:rsidRPr="000F6847">
        <w:t>1.5 hours</w:t>
      </w:r>
      <w:r w:rsidRPr="000F6847" w:rsidR="00BE62F4">
        <w:t>)</w:t>
      </w:r>
      <w:r w:rsidRPr="000F6847">
        <w:t xml:space="preserve"> per employer, for a</w:t>
      </w:r>
      <w:r w:rsidRPr="000F6847">
        <w:rPr>
          <w:b/>
        </w:rPr>
        <w:t xml:space="preserve"> total</w:t>
      </w:r>
      <w:r w:rsidRPr="000F6847">
        <w:t xml:space="preserve"> </w:t>
      </w:r>
      <w:r w:rsidRPr="000F6847">
        <w:rPr>
          <w:b/>
        </w:rPr>
        <w:t xml:space="preserve">annual burden of </w:t>
      </w:r>
      <w:r w:rsidRPr="000F6847" w:rsidR="00F67C82">
        <w:rPr>
          <w:b/>
        </w:rPr>
        <w:t xml:space="preserve">7,998 </w:t>
      </w:r>
      <w:r w:rsidRPr="000F6847">
        <w:rPr>
          <w:b/>
        </w:rPr>
        <w:t>hours</w:t>
      </w:r>
      <w:r w:rsidRPr="000F6847">
        <w:t xml:space="preserve"> (</w:t>
      </w:r>
      <w:r w:rsidRPr="000F6847" w:rsidR="00AE4AF0">
        <w:t>5,332</w:t>
      </w:r>
      <w:r w:rsidRPr="000F6847">
        <w:t xml:space="preserve"> employers x 90 minutes ÷ 60 =</w:t>
      </w:r>
      <w:r w:rsidRPr="000F6847" w:rsidR="00184C1F">
        <w:t xml:space="preserve"> </w:t>
      </w:r>
      <w:r w:rsidRPr="000F6847" w:rsidR="00AE4AF0">
        <w:t>7,998</w:t>
      </w:r>
      <w:r w:rsidRPr="000F6847">
        <w:t>).  It is further estimated that 25 percent of H-1B employers (</w:t>
      </w:r>
      <w:r w:rsidRPr="000F6847" w:rsidR="00AE4AF0">
        <w:t>13,330</w:t>
      </w:r>
      <w:r w:rsidRPr="000F6847">
        <w:t xml:space="preserve">) are multinational employers and that a note to the file that these workers receive home country benefits would take 30 minutes per employer for a </w:t>
      </w:r>
      <w:r w:rsidRPr="000F6847">
        <w:rPr>
          <w:b/>
        </w:rPr>
        <w:t xml:space="preserve">total annual burden of </w:t>
      </w:r>
      <w:r w:rsidRPr="000F6847" w:rsidR="00AE4AF0">
        <w:rPr>
          <w:b/>
        </w:rPr>
        <w:t>6,665</w:t>
      </w:r>
      <w:r w:rsidRPr="000F6847" w:rsidR="00B10FB9">
        <w:rPr>
          <w:b/>
        </w:rPr>
        <w:t xml:space="preserve"> </w:t>
      </w:r>
      <w:r w:rsidRPr="000F6847">
        <w:rPr>
          <w:b/>
        </w:rPr>
        <w:t>hours</w:t>
      </w:r>
      <w:r w:rsidRPr="000F6847">
        <w:t xml:space="preserve"> (</w:t>
      </w:r>
      <w:r w:rsidRPr="000F6847" w:rsidR="00AE4AF0">
        <w:t>13,330</w:t>
      </w:r>
      <w:r w:rsidRPr="000F6847">
        <w:t xml:space="preserve"> x 30 minutes ÷ 60 = </w:t>
      </w:r>
      <w:r w:rsidRPr="000F6847" w:rsidR="00AE4AF0">
        <w:t>6,665</w:t>
      </w:r>
      <w:r w:rsidRPr="000F6847" w:rsidR="00C27CF9">
        <w:t xml:space="preserve"> </w:t>
      </w:r>
      <w:r w:rsidRPr="000F6847">
        <w:t>hours).</w:t>
      </w:r>
      <w:r w:rsidRPr="00974D81">
        <w:t xml:space="preserve">  </w:t>
      </w:r>
    </w:p>
    <w:p w:rsidR="001174C4" w:rsidRPr="00974D81" w:rsidP="001174C4" w14:paraId="19BFC2FD"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1174C4" w14:paraId="6CA82386" w14:textId="30C0DB40">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530CC6">
        <w:rPr>
          <w:b/>
        </w:rPr>
        <w:t xml:space="preserve">The total annual burden for this item is </w:t>
      </w:r>
      <w:r w:rsidRPr="00530CC6" w:rsidR="00063B4D">
        <w:rPr>
          <w:b/>
        </w:rPr>
        <w:t>14,663</w:t>
      </w:r>
      <w:r w:rsidRPr="00530CC6" w:rsidR="006C4145">
        <w:rPr>
          <w:b/>
        </w:rPr>
        <w:t xml:space="preserve"> </w:t>
      </w:r>
      <w:r w:rsidRPr="00530CC6">
        <w:rPr>
          <w:b/>
        </w:rPr>
        <w:t>recordkeeping hours</w:t>
      </w:r>
      <w:r w:rsidRPr="00530CC6">
        <w:t xml:space="preserve"> (</w:t>
      </w:r>
      <w:r w:rsidRPr="00530CC6" w:rsidR="00063B4D">
        <w:t>7</w:t>
      </w:r>
      <w:r w:rsidR="000F6847">
        <w:t>,</w:t>
      </w:r>
      <w:r w:rsidRPr="00530CC6" w:rsidR="00063B4D">
        <w:t>998</w:t>
      </w:r>
      <w:r w:rsidRPr="00530CC6">
        <w:t xml:space="preserve"> + </w:t>
      </w:r>
      <w:r w:rsidRPr="00530CC6" w:rsidR="00063B4D">
        <w:t>6,665</w:t>
      </w:r>
      <w:r w:rsidRPr="00530CC6">
        <w:t xml:space="preserve"> = </w:t>
      </w:r>
      <w:r w:rsidRPr="00530CC6" w:rsidR="00063B4D">
        <w:t>14,663</w:t>
      </w:r>
      <w:r w:rsidRPr="00530CC6">
        <w:t>).</w:t>
      </w:r>
    </w:p>
    <w:p w:rsidR="001174C4" w:rsidRPr="00974D81" w:rsidP="001174C4" w14:paraId="0967ADB1"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1174C4" w14:paraId="697F02E4" w14:textId="14851AB5">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720" w:hanging="720"/>
      </w:pPr>
      <w:r w:rsidRPr="00974D81">
        <w:t>I.</w:t>
      </w:r>
      <w:r w:rsidRPr="00974D81">
        <w:tab/>
      </w:r>
      <w:r w:rsidRPr="00974D81">
        <w:rPr>
          <w:u w:val="single"/>
        </w:rPr>
        <w:t xml:space="preserve">Wage Recordkeeping </w:t>
      </w:r>
      <w:r w:rsidR="00C43187">
        <w:rPr>
          <w:u w:val="single"/>
        </w:rPr>
        <w:t>R</w:t>
      </w:r>
      <w:r w:rsidRPr="00974D81">
        <w:rPr>
          <w:u w:val="single"/>
        </w:rPr>
        <w:t>equirements Applicable to Employers of H-1B Nonimmigrants – 20 CFR 655.731</w:t>
      </w:r>
      <w:r w:rsidRPr="00974D81">
        <w:t xml:space="preserve"> </w:t>
      </w:r>
    </w:p>
    <w:p w:rsidR="001174C4" w:rsidRPr="00974D81" w:rsidP="001174C4" w14:paraId="489EC962"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D16B3A" w14:paraId="0EA0854D" w14:textId="5AF916A2">
      <w:pPr>
        <w:pStyle w:val="NoSpacing"/>
      </w:pPr>
      <w:r w:rsidRPr="00974D81">
        <w:t xml:space="preserve">The additional burden of keeping records documenting the determination of the actual wage and prevailing wage as defined in 20 CFR 655.731 is estimated at </w:t>
      </w:r>
      <w:r w:rsidRPr="00974D81" w:rsidR="000C53BF">
        <w:t>150 minutes (</w:t>
      </w:r>
      <w:r w:rsidRPr="00974D81">
        <w:t>2.5 hours</w:t>
      </w:r>
      <w:r w:rsidRPr="00974D81" w:rsidR="000C53BF">
        <w:t>)</w:t>
      </w:r>
      <w:r w:rsidRPr="00974D81">
        <w:t xml:space="preserve"> per employer for </w:t>
      </w:r>
      <w:r w:rsidR="00063B4D">
        <w:t>53,321</w:t>
      </w:r>
      <w:r w:rsidRPr="00974D81">
        <w:t xml:space="preserve"> employers for a </w:t>
      </w:r>
      <w:r w:rsidRPr="00974D81">
        <w:rPr>
          <w:b/>
        </w:rPr>
        <w:t xml:space="preserve">total annual burden of </w:t>
      </w:r>
      <w:r w:rsidR="00063B4D">
        <w:rPr>
          <w:b/>
        </w:rPr>
        <w:t>133,303</w:t>
      </w:r>
      <w:r w:rsidRPr="00974D81" w:rsidR="00B10FB9">
        <w:rPr>
          <w:b/>
        </w:rPr>
        <w:t xml:space="preserve"> </w:t>
      </w:r>
      <w:r w:rsidRPr="00974D81">
        <w:rPr>
          <w:b/>
        </w:rPr>
        <w:t>recordkeeping hours</w:t>
      </w:r>
      <w:r w:rsidRPr="00974D81">
        <w:t xml:space="preserve"> (</w:t>
      </w:r>
      <w:r w:rsidR="00063B4D">
        <w:t>53,321</w:t>
      </w:r>
      <w:r w:rsidRPr="00974D81">
        <w:t xml:space="preserve"> x 150 minutes ÷ 60 =</w:t>
      </w:r>
      <w:r w:rsidRPr="00974D81" w:rsidR="00C27CF9">
        <w:t xml:space="preserve"> </w:t>
      </w:r>
      <w:r w:rsidR="00063B4D">
        <w:t>133,303</w:t>
      </w:r>
      <w:r w:rsidRPr="00974D81">
        <w:t>).</w:t>
      </w:r>
    </w:p>
    <w:p w:rsidR="001174C4" w:rsidRPr="00974D81" w:rsidP="001174C4" w14:paraId="3F26A680"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1174C4" w14:paraId="48CE59EF"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974D81">
        <w:t>J.</w:t>
      </w:r>
      <w:r w:rsidRPr="00974D81">
        <w:tab/>
      </w:r>
      <w:r w:rsidRPr="00974D81">
        <w:rPr>
          <w:u w:val="single"/>
        </w:rPr>
        <w:t>Information Form Alleging H-1B Violations (WH-4)</w:t>
      </w:r>
      <w:r w:rsidRPr="00974D81">
        <w:t xml:space="preserve"> </w:t>
      </w:r>
    </w:p>
    <w:p w:rsidR="001174C4" w:rsidRPr="00974D81" w:rsidP="001174C4" w14:paraId="2F5D1312"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1174C4" w:rsidRPr="00974D81" w:rsidP="00D16B3A" w14:paraId="20B16CF0" w14:textId="5743E85D">
      <w:pPr>
        <w:pStyle w:val="NoSpacing"/>
      </w:pPr>
      <w:r w:rsidRPr="00530CC6">
        <w:t>Based on program experience</w:t>
      </w:r>
      <w:r w:rsidRPr="00530CC6" w:rsidR="0076455A">
        <w:t>,</w:t>
      </w:r>
      <w:r w:rsidRPr="00530CC6">
        <w:t xml:space="preserve"> the number of Forms WH-4 filed is estimated to be </w:t>
      </w:r>
      <w:r w:rsidRPr="00530CC6" w:rsidR="005210D6">
        <w:t>97</w:t>
      </w:r>
      <w:r w:rsidR="00FF6EA1">
        <w:t xml:space="preserve"> </w:t>
      </w:r>
      <w:r w:rsidRPr="00530CC6">
        <w:t>annually and that each response will take approximately 20 minutes</w:t>
      </w:r>
      <w:r w:rsidRPr="00530CC6" w:rsidR="000C53BF">
        <w:t xml:space="preserve"> (0.33 hours)</w:t>
      </w:r>
      <w:r w:rsidRPr="00530CC6">
        <w:t xml:space="preserve">, for a </w:t>
      </w:r>
      <w:r w:rsidRPr="00530CC6">
        <w:rPr>
          <w:b/>
        </w:rPr>
        <w:t>total annual bu</w:t>
      </w:r>
      <w:r w:rsidRPr="00530CC6" w:rsidR="00B10FB9">
        <w:rPr>
          <w:b/>
        </w:rPr>
        <w:t xml:space="preserve">rden of </w:t>
      </w:r>
      <w:r w:rsidRPr="00530CC6" w:rsidR="005210D6">
        <w:rPr>
          <w:b/>
        </w:rPr>
        <w:t>32</w:t>
      </w:r>
      <w:r w:rsidRPr="00530CC6">
        <w:rPr>
          <w:b/>
        </w:rPr>
        <w:t xml:space="preserve"> reporting hours </w:t>
      </w:r>
      <w:r w:rsidRPr="00530CC6">
        <w:t>(</w:t>
      </w:r>
      <w:r w:rsidRPr="00530CC6" w:rsidR="005210D6">
        <w:t>97</w:t>
      </w:r>
      <w:r w:rsidRPr="00530CC6">
        <w:t xml:space="preserve"> x 20 minutes ÷ 60 = </w:t>
      </w:r>
      <w:r w:rsidRPr="00530CC6" w:rsidR="005210D6">
        <w:t>32</w:t>
      </w:r>
      <w:r w:rsidRPr="00530CC6">
        <w:t xml:space="preserve"> hours).</w:t>
      </w:r>
    </w:p>
    <w:p w:rsidR="001174C4" w:rsidRPr="00974D81" w:rsidP="00D16B3A" w14:paraId="51ACED08" w14:textId="77777777">
      <w:pPr>
        <w:pStyle w:val="NoSpacing"/>
      </w:pPr>
    </w:p>
    <w:p w:rsidR="003737FC" w:rsidP="00530CC6" w14:paraId="5D612473" w14:textId="27824676">
      <w:pPr>
        <w:pStyle w:val="NoSpacing"/>
      </w:pPr>
      <w:r w:rsidRPr="00974D81">
        <w:rPr>
          <w:i/>
          <w:u w:val="single"/>
        </w:rPr>
        <w:t>Important Note</w:t>
      </w:r>
      <w:r w:rsidRPr="00974D81">
        <w:t>:  Where appropriate, burden estimates are rounded to the next whole number.  Burden hours are estimated based on historical program data and the Department’s experience administering the program.</w:t>
      </w:r>
      <w:bookmarkEnd w:id="5"/>
    </w:p>
    <w:p w:rsidR="00BC1D19" w:rsidP="001D5630" w14:paraId="1402A423" w14:textId="0177D109">
      <w:pPr>
        <w:outlineLvl w:val="1"/>
      </w:pPr>
    </w:p>
    <w:p w:rsidR="00BC1D19" w:rsidP="001D5630" w14:paraId="708F2F56" w14:textId="77777777">
      <w:pPr>
        <w:outlineLvl w:val="1"/>
      </w:pPr>
    </w:p>
    <w:p w:rsidR="00BC1D19" w:rsidP="001D5630" w14:paraId="466BCAD1" w14:textId="77777777">
      <w:pPr>
        <w:outlineLvl w:val="1"/>
      </w:pPr>
    </w:p>
    <w:p w:rsidR="00BC1D19" w:rsidP="001D5630" w14:paraId="298FFEE6" w14:textId="77777777">
      <w:pPr>
        <w:outlineLvl w:val="1"/>
      </w:pPr>
    </w:p>
    <w:p w:rsidR="00BC1D19" w:rsidP="001D5630" w14:paraId="72EED779" w14:textId="77777777">
      <w:pPr>
        <w:outlineLvl w:val="1"/>
      </w:pPr>
    </w:p>
    <w:p w:rsidR="00BC1D19" w:rsidP="001D5630" w14:paraId="55D0F5C2" w14:textId="77777777">
      <w:pPr>
        <w:outlineLvl w:val="1"/>
      </w:pPr>
    </w:p>
    <w:p w:rsidR="00176B0B" w:rsidP="001D5630" w14:paraId="72EBA54D" w14:textId="77777777">
      <w:pPr>
        <w:outlineLvl w:val="1"/>
      </w:pPr>
    </w:p>
    <w:p w:rsidR="00BC1D19" w:rsidP="001D5630" w14:paraId="742C5FE8" w14:textId="77777777">
      <w:pPr>
        <w:outlineLvl w:val="1"/>
      </w:pPr>
    </w:p>
    <w:p w:rsidR="002732BE" w:rsidRPr="00974D81" w:rsidP="00BC1D19" w14:paraId="3E77D798" w14:textId="0D8CF8AB">
      <w:pPr>
        <w:ind w:left="3600" w:firstLine="720"/>
        <w:outlineLvl w:val="1"/>
        <w:rPr>
          <w:u w:val="single"/>
        </w:rPr>
      </w:pPr>
      <w:r w:rsidRPr="00974D81">
        <w:rPr>
          <w:u w:val="single"/>
        </w:rPr>
        <w:t>Table 1</w:t>
      </w:r>
    </w:p>
    <w:p w:rsidR="008E3676" w:rsidRPr="00974D81" w:rsidP="001D5630" w14:paraId="1696BFF5" w14:textId="77777777">
      <w:pPr>
        <w:outlineLvl w:val="1"/>
        <w:rPr>
          <w:u w:val="single"/>
        </w:rPr>
      </w:pPr>
    </w:p>
    <w:p w:rsidR="00C53DD8" w:rsidRPr="00974D81" w:rsidP="00061C42" w14:paraId="304ED666" w14:textId="75EB0073">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b/>
          <w:color w:val="000000"/>
        </w:rPr>
      </w:pPr>
      <w:r w:rsidRPr="00974D81">
        <w:rPr>
          <w:b/>
          <w:color w:val="000000"/>
        </w:rPr>
        <w:t>BURDEN HOURS AND ANNUA</w:t>
      </w:r>
      <w:r w:rsidRPr="00974D81" w:rsidR="00061C42">
        <w:rPr>
          <w:b/>
          <w:color w:val="000000"/>
        </w:rPr>
        <w:t>L COST TO RESPONDENTS</w:t>
      </w:r>
      <w:r w:rsidR="00AD5FCE">
        <w:rPr>
          <w:b/>
          <w:color w:val="000000"/>
        </w:rPr>
        <w:t>’</w:t>
      </w:r>
      <w:r w:rsidRPr="00974D81" w:rsidR="00061C42">
        <w:rPr>
          <w:b/>
          <w:color w:val="000000"/>
        </w:rPr>
        <w:t xml:space="preserve"> ESTIMATES</w:t>
      </w:r>
    </w:p>
    <w:p w:rsidR="00C53DD8" w:rsidP="00D87376" w14:paraId="69E7EA6F" w14:textId="0CC5E292">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b/>
          <w:color w:val="000000"/>
        </w:rPr>
      </w:pPr>
      <w:r w:rsidRPr="00974D81">
        <w:rPr>
          <w:b/>
          <w:color w:val="000000"/>
        </w:rPr>
        <w:t>FORM ETA</w:t>
      </w:r>
      <w:r w:rsidRPr="00974D81" w:rsidR="00EB19B1">
        <w:rPr>
          <w:b/>
          <w:color w:val="000000"/>
        </w:rPr>
        <w:t>-</w:t>
      </w:r>
      <w:r w:rsidRPr="00974D81">
        <w:rPr>
          <w:b/>
          <w:color w:val="000000"/>
        </w:rPr>
        <w:t>9035</w:t>
      </w:r>
      <w:r w:rsidRPr="00974D81" w:rsidR="00757D25">
        <w:rPr>
          <w:b/>
          <w:color w:val="000000"/>
        </w:rPr>
        <w:t>/9035E</w:t>
      </w:r>
      <w:r w:rsidRPr="00974D81">
        <w:rPr>
          <w:b/>
          <w:color w:val="000000"/>
        </w:rPr>
        <w:t xml:space="preserve"> BURDEN HOURS AND ANNUAL COST TO RESPONDENTS</w:t>
      </w:r>
      <w:r w:rsidR="00AD5FCE">
        <w:rPr>
          <w:b/>
          <w:color w:val="000000"/>
        </w:rPr>
        <w:t>’</w:t>
      </w:r>
      <w:r w:rsidRPr="00974D81">
        <w:rPr>
          <w:b/>
          <w:color w:val="000000"/>
        </w:rPr>
        <w:t xml:space="preserve"> ESTIMATES</w:t>
      </w:r>
    </w:p>
    <w:p w:rsidR="00DE671F" w:rsidRPr="00D87376" w:rsidP="00D87376" w14:paraId="7702B2D5"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b/>
          <w:color w:val="000000"/>
        </w:rPr>
      </w:pPr>
    </w:p>
    <w:tbl>
      <w:tblPr>
        <w:tblW w:w="113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1283"/>
        <w:gridCol w:w="1440"/>
        <w:gridCol w:w="1260"/>
        <w:gridCol w:w="1170"/>
        <w:gridCol w:w="1170"/>
        <w:gridCol w:w="1080"/>
        <w:gridCol w:w="1260"/>
        <w:gridCol w:w="1260"/>
      </w:tblGrid>
      <w:tr w14:paraId="6716DF86" w14:textId="77777777" w:rsidTr="0072120A">
        <w:tblPrEx>
          <w:tblW w:w="113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17" w:type="dxa"/>
          </w:tcPr>
          <w:p w:rsidR="002B0D46" w:rsidRPr="00974D81" w:rsidP="0072120A" w14:paraId="01199F23" w14:textId="77777777">
            <w:pPr>
              <w:jc w:val="center"/>
              <w:rPr>
                <w:rFonts w:eastAsia="Calibri"/>
                <w:b/>
                <w:bCs/>
                <w:color w:val="000000"/>
                <w:sz w:val="20"/>
                <w:szCs w:val="20"/>
              </w:rPr>
            </w:pPr>
            <w:bookmarkStart w:id="10" w:name="_Hlk160034581"/>
            <w:r w:rsidRPr="00974D81">
              <w:rPr>
                <w:rFonts w:eastAsia="Calibri"/>
                <w:b/>
                <w:bCs/>
                <w:color w:val="000000"/>
                <w:sz w:val="20"/>
                <w:szCs w:val="20"/>
              </w:rPr>
              <w:t>Type of Respondent</w:t>
            </w:r>
          </w:p>
        </w:tc>
        <w:tc>
          <w:tcPr>
            <w:tcW w:w="1283" w:type="dxa"/>
          </w:tcPr>
          <w:p w:rsidR="002B0D46" w:rsidRPr="00974D81" w:rsidP="0072120A" w14:paraId="4EFAAA07" w14:textId="3CCF9688">
            <w:pPr>
              <w:jc w:val="center"/>
              <w:rPr>
                <w:rFonts w:eastAsia="Calibri"/>
                <w:b/>
                <w:bCs/>
                <w:color w:val="000000"/>
                <w:sz w:val="20"/>
                <w:szCs w:val="20"/>
              </w:rPr>
            </w:pPr>
            <w:r w:rsidRPr="00974D81">
              <w:rPr>
                <w:rFonts w:eastAsia="Calibri"/>
                <w:b/>
                <w:bCs/>
                <w:color w:val="000000"/>
                <w:sz w:val="20"/>
                <w:szCs w:val="20"/>
              </w:rPr>
              <w:t>Information Collection Activity</w:t>
            </w:r>
          </w:p>
        </w:tc>
        <w:tc>
          <w:tcPr>
            <w:tcW w:w="1440" w:type="dxa"/>
          </w:tcPr>
          <w:p w:rsidR="002B0D46" w:rsidRPr="00974D81" w:rsidP="0072120A" w14:paraId="01599DBF" w14:textId="77777777">
            <w:pPr>
              <w:jc w:val="center"/>
              <w:rPr>
                <w:rFonts w:eastAsia="Calibri"/>
                <w:b/>
                <w:bCs/>
                <w:color w:val="000000"/>
                <w:sz w:val="20"/>
                <w:szCs w:val="20"/>
              </w:rPr>
            </w:pPr>
            <w:r w:rsidRPr="00974D81">
              <w:rPr>
                <w:rFonts w:eastAsia="Calibri"/>
                <w:b/>
                <w:bCs/>
                <w:color w:val="000000"/>
                <w:sz w:val="20"/>
                <w:szCs w:val="20"/>
              </w:rPr>
              <w:t>No. of Respondents</w:t>
            </w:r>
            <w:r>
              <w:rPr>
                <w:rStyle w:val="FootnoteReference"/>
                <w:rFonts w:eastAsia="Calibri"/>
                <w:b/>
                <w:bCs/>
                <w:color w:val="000000"/>
                <w:sz w:val="20"/>
                <w:szCs w:val="20"/>
                <w:vertAlign w:val="superscript"/>
              </w:rPr>
              <w:footnoteReference w:id="7"/>
            </w:r>
          </w:p>
        </w:tc>
        <w:tc>
          <w:tcPr>
            <w:tcW w:w="1260" w:type="dxa"/>
          </w:tcPr>
          <w:p w:rsidR="002B0D46" w:rsidRPr="00974D81" w:rsidP="0072120A" w14:paraId="6605671A" w14:textId="77777777">
            <w:pPr>
              <w:jc w:val="center"/>
              <w:rPr>
                <w:rFonts w:eastAsia="Calibri"/>
                <w:b/>
                <w:bCs/>
                <w:color w:val="000000"/>
                <w:sz w:val="20"/>
                <w:szCs w:val="20"/>
              </w:rPr>
            </w:pPr>
            <w:r w:rsidRPr="00974D81">
              <w:rPr>
                <w:rFonts w:eastAsia="Calibri"/>
                <w:b/>
                <w:bCs/>
                <w:color w:val="000000"/>
                <w:sz w:val="20"/>
                <w:szCs w:val="20"/>
              </w:rPr>
              <w:t xml:space="preserve">No. of </w:t>
            </w:r>
            <w:r w:rsidRPr="00974D81" w:rsidR="0091524F">
              <w:rPr>
                <w:rFonts w:eastAsia="Calibri"/>
                <w:b/>
                <w:bCs/>
                <w:color w:val="000000"/>
                <w:sz w:val="20"/>
                <w:szCs w:val="20"/>
              </w:rPr>
              <w:t xml:space="preserve">Annual </w:t>
            </w:r>
            <w:r w:rsidRPr="00974D81">
              <w:rPr>
                <w:rFonts w:eastAsia="Calibri"/>
                <w:b/>
                <w:bCs/>
                <w:color w:val="000000"/>
                <w:sz w:val="20"/>
                <w:szCs w:val="20"/>
              </w:rPr>
              <w:t>Responses per Respondent</w:t>
            </w:r>
          </w:p>
        </w:tc>
        <w:tc>
          <w:tcPr>
            <w:tcW w:w="1170" w:type="dxa"/>
          </w:tcPr>
          <w:p w:rsidR="002B0D46" w:rsidRPr="00974D81" w:rsidP="0072120A" w14:paraId="78512B8E" w14:textId="02CEA252">
            <w:pPr>
              <w:jc w:val="center"/>
              <w:rPr>
                <w:rFonts w:eastAsia="Calibri"/>
                <w:b/>
                <w:bCs/>
                <w:color w:val="000000"/>
                <w:sz w:val="20"/>
                <w:szCs w:val="20"/>
              </w:rPr>
            </w:pPr>
            <w:r w:rsidRPr="00974D81">
              <w:rPr>
                <w:rFonts w:eastAsia="Calibri"/>
                <w:b/>
                <w:bCs/>
                <w:color w:val="000000"/>
                <w:sz w:val="20"/>
                <w:szCs w:val="20"/>
              </w:rPr>
              <w:t>Total Annual Responses</w:t>
            </w:r>
          </w:p>
        </w:tc>
        <w:tc>
          <w:tcPr>
            <w:tcW w:w="1170" w:type="dxa"/>
          </w:tcPr>
          <w:p w:rsidR="002B0D46" w:rsidRPr="00974D81" w:rsidP="0072120A" w14:paraId="5D00ED75" w14:textId="77777777">
            <w:pPr>
              <w:jc w:val="center"/>
              <w:rPr>
                <w:rFonts w:eastAsia="Calibri"/>
                <w:b/>
                <w:bCs/>
                <w:color w:val="000000"/>
                <w:sz w:val="20"/>
                <w:szCs w:val="20"/>
              </w:rPr>
            </w:pPr>
            <w:r w:rsidRPr="00974D81">
              <w:rPr>
                <w:rFonts w:eastAsia="Calibri"/>
                <w:b/>
                <w:bCs/>
                <w:color w:val="000000"/>
                <w:sz w:val="20"/>
                <w:szCs w:val="20"/>
              </w:rPr>
              <w:t>Avg. Burden per Response (in hours)</w:t>
            </w:r>
          </w:p>
        </w:tc>
        <w:tc>
          <w:tcPr>
            <w:tcW w:w="1080" w:type="dxa"/>
          </w:tcPr>
          <w:p w:rsidR="002B0D46" w:rsidRPr="00974D81" w:rsidP="0072120A" w14:paraId="07A2798C" w14:textId="77777777">
            <w:pPr>
              <w:jc w:val="center"/>
              <w:rPr>
                <w:rFonts w:eastAsia="Calibri"/>
                <w:b/>
                <w:bCs/>
                <w:color w:val="000000"/>
                <w:sz w:val="20"/>
                <w:szCs w:val="20"/>
              </w:rPr>
            </w:pPr>
            <w:r w:rsidRPr="00974D81">
              <w:rPr>
                <w:rFonts w:eastAsia="Calibri"/>
                <w:b/>
                <w:bCs/>
                <w:color w:val="000000"/>
                <w:sz w:val="20"/>
                <w:szCs w:val="20"/>
              </w:rPr>
              <w:t xml:space="preserve">Total Annual Burden </w:t>
            </w:r>
            <w:r w:rsidRPr="00974D81">
              <w:rPr>
                <w:rFonts w:eastAsia="Calibri"/>
                <w:b/>
                <w:bCs/>
                <w:color w:val="000000"/>
                <w:sz w:val="20"/>
                <w:szCs w:val="20"/>
              </w:rPr>
              <w:br/>
              <w:t>(in hours)</w:t>
            </w:r>
          </w:p>
        </w:tc>
        <w:tc>
          <w:tcPr>
            <w:tcW w:w="1260" w:type="dxa"/>
          </w:tcPr>
          <w:p w:rsidR="002B0D46" w:rsidRPr="00974D81" w:rsidP="0072120A" w14:paraId="7F1DB3BE" w14:textId="4C35DF22">
            <w:pPr>
              <w:jc w:val="center"/>
              <w:rPr>
                <w:rFonts w:eastAsia="Calibri"/>
                <w:b/>
                <w:bCs/>
                <w:color w:val="000000"/>
                <w:sz w:val="20"/>
                <w:szCs w:val="20"/>
              </w:rPr>
            </w:pPr>
            <w:r w:rsidRPr="00974D81">
              <w:rPr>
                <w:rFonts w:eastAsia="Calibri"/>
                <w:b/>
                <w:bCs/>
                <w:color w:val="000000"/>
                <w:sz w:val="20"/>
                <w:szCs w:val="20"/>
              </w:rPr>
              <w:t>Avg. Hourly</w:t>
            </w:r>
            <w:r w:rsidRPr="00974D81" w:rsidR="003D2D73">
              <w:rPr>
                <w:rFonts w:eastAsia="Calibri"/>
                <w:b/>
                <w:bCs/>
                <w:color w:val="000000"/>
                <w:sz w:val="20"/>
                <w:szCs w:val="20"/>
              </w:rPr>
              <w:t xml:space="preserve"> </w:t>
            </w:r>
            <w:r w:rsidRPr="00974D81" w:rsidR="003D2D73">
              <w:rPr>
                <w:rFonts w:eastAsia="Calibri"/>
                <w:b/>
                <w:bCs/>
                <w:color w:val="000000"/>
                <w:sz w:val="20"/>
                <w:szCs w:val="20"/>
              </w:rPr>
              <w:t>Compensa</w:t>
            </w:r>
            <w:r w:rsidRPr="00974D81" w:rsidR="0036509B">
              <w:rPr>
                <w:rFonts w:eastAsia="Calibri"/>
                <w:b/>
                <w:bCs/>
                <w:color w:val="000000"/>
                <w:sz w:val="20"/>
                <w:szCs w:val="20"/>
              </w:rPr>
              <w:t>-</w:t>
            </w:r>
            <w:r w:rsidRPr="00974D81" w:rsidR="003D2D73">
              <w:rPr>
                <w:rFonts w:eastAsia="Calibri"/>
                <w:b/>
                <w:bCs/>
                <w:color w:val="000000"/>
                <w:sz w:val="20"/>
                <w:szCs w:val="20"/>
              </w:rPr>
              <w:t>tion</w:t>
            </w:r>
            <w:r>
              <w:rPr>
                <w:rFonts w:eastAsia="Calibri"/>
                <w:b/>
                <w:bCs/>
                <w:color w:val="000000"/>
                <w:sz w:val="20"/>
                <w:szCs w:val="20"/>
                <w:vertAlign w:val="superscript"/>
              </w:rPr>
              <w:footnoteReference w:id="8"/>
            </w:r>
          </w:p>
        </w:tc>
        <w:tc>
          <w:tcPr>
            <w:tcW w:w="1260" w:type="dxa"/>
          </w:tcPr>
          <w:p w:rsidR="002B0D46" w:rsidRPr="00974D81" w:rsidP="0072120A" w14:paraId="31856F98" w14:textId="77777777">
            <w:pPr>
              <w:jc w:val="center"/>
              <w:rPr>
                <w:rFonts w:eastAsia="Calibri"/>
                <w:b/>
                <w:bCs/>
                <w:color w:val="000000"/>
                <w:sz w:val="20"/>
                <w:szCs w:val="20"/>
              </w:rPr>
            </w:pPr>
            <w:r w:rsidRPr="00974D81">
              <w:rPr>
                <w:rFonts w:eastAsia="Calibri"/>
                <w:b/>
                <w:bCs/>
                <w:color w:val="000000"/>
                <w:sz w:val="20"/>
                <w:szCs w:val="20"/>
              </w:rPr>
              <w:t>Total Annual Respondent Cost</w:t>
            </w:r>
          </w:p>
        </w:tc>
      </w:tr>
      <w:tr w14:paraId="61538F54" w14:textId="77777777" w:rsidTr="0018520C">
        <w:tblPrEx>
          <w:tblW w:w="11340" w:type="dxa"/>
          <w:tblInd w:w="-882" w:type="dxa"/>
          <w:tblLayout w:type="fixed"/>
          <w:tblLook w:val="01E0"/>
        </w:tblPrEx>
        <w:trPr>
          <w:trHeight w:val="2015"/>
        </w:trPr>
        <w:tc>
          <w:tcPr>
            <w:tcW w:w="1417" w:type="dxa"/>
            <w:vAlign w:val="center"/>
          </w:tcPr>
          <w:p w:rsidR="002B0D46" w:rsidRPr="00974D81" w:rsidP="0072120A" w14:paraId="738A188E" w14:textId="77777777">
            <w:pPr>
              <w:rPr>
                <w:rFonts w:eastAsia="Calibri"/>
                <w:bCs/>
                <w:color w:val="000000"/>
                <w:sz w:val="20"/>
                <w:szCs w:val="20"/>
              </w:rPr>
            </w:pPr>
            <w:bookmarkStart w:id="12" w:name="_Hlk160602655"/>
            <w:r w:rsidRPr="00974D81">
              <w:rPr>
                <w:rFonts w:eastAsia="Calibri"/>
                <w:bCs/>
                <w:color w:val="000000"/>
                <w:sz w:val="20"/>
                <w:szCs w:val="20"/>
              </w:rPr>
              <w:t>Private Sector- Business or other for-profit; Not-for-profit organizations</w:t>
            </w:r>
          </w:p>
        </w:tc>
        <w:tc>
          <w:tcPr>
            <w:tcW w:w="1283" w:type="dxa"/>
            <w:vAlign w:val="center"/>
          </w:tcPr>
          <w:p w:rsidR="002B0D46" w:rsidRPr="00974D81" w:rsidP="0072120A" w14:paraId="1CFAE06A" w14:textId="7AAB0603">
            <w:pPr>
              <w:jc w:val="center"/>
              <w:rPr>
                <w:rFonts w:eastAsia="Calibri"/>
                <w:bCs/>
                <w:color w:val="000000"/>
                <w:sz w:val="20"/>
                <w:szCs w:val="20"/>
              </w:rPr>
            </w:pPr>
            <w:r w:rsidRPr="00974D81">
              <w:rPr>
                <w:rFonts w:eastAsia="Calibri"/>
                <w:bCs/>
                <w:color w:val="000000"/>
                <w:sz w:val="20"/>
                <w:szCs w:val="20"/>
              </w:rPr>
              <w:t>Labor Condition Application</w:t>
            </w:r>
            <w:r w:rsidR="0018520C">
              <w:rPr>
                <w:rFonts w:eastAsia="Calibri"/>
                <w:bCs/>
                <w:color w:val="000000"/>
                <w:sz w:val="20"/>
                <w:szCs w:val="20"/>
              </w:rPr>
              <w:t xml:space="preserve"> </w:t>
            </w:r>
            <w:r w:rsidRPr="00974D81">
              <w:rPr>
                <w:rFonts w:eastAsia="Calibri"/>
                <w:bCs/>
                <w:color w:val="000000"/>
                <w:sz w:val="20"/>
                <w:szCs w:val="20"/>
              </w:rPr>
              <w:t>(</w:t>
            </w:r>
            <w:r w:rsidR="0018520C">
              <w:rPr>
                <w:rFonts w:eastAsia="Calibri"/>
                <w:bCs/>
                <w:color w:val="000000"/>
                <w:sz w:val="20"/>
                <w:szCs w:val="20"/>
              </w:rPr>
              <w:t xml:space="preserve">Form </w:t>
            </w:r>
            <w:r w:rsidRPr="00974D81">
              <w:rPr>
                <w:rFonts w:eastAsia="Calibri"/>
                <w:bCs/>
                <w:color w:val="000000"/>
                <w:sz w:val="20"/>
                <w:szCs w:val="20"/>
              </w:rPr>
              <w:t>ETA</w:t>
            </w:r>
            <w:r w:rsidRPr="00974D81" w:rsidR="00E43F28">
              <w:rPr>
                <w:rFonts w:eastAsia="Calibri"/>
                <w:bCs/>
                <w:color w:val="000000"/>
                <w:sz w:val="20"/>
                <w:szCs w:val="20"/>
              </w:rPr>
              <w:t>-</w:t>
            </w:r>
            <w:r w:rsidRPr="00974D81">
              <w:rPr>
                <w:rFonts w:eastAsia="Calibri"/>
                <w:bCs/>
                <w:color w:val="000000"/>
                <w:sz w:val="20"/>
                <w:szCs w:val="20"/>
              </w:rPr>
              <w:t xml:space="preserve"> 9035/9035E)</w:t>
            </w:r>
          </w:p>
        </w:tc>
        <w:tc>
          <w:tcPr>
            <w:tcW w:w="1440" w:type="dxa"/>
            <w:vAlign w:val="center"/>
          </w:tcPr>
          <w:p w:rsidR="002B0D46" w:rsidRPr="00974D81" w:rsidP="0072120A" w14:paraId="027C9614" w14:textId="4197BFB7">
            <w:pPr>
              <w:jc w:val="center"/>
              <w:rPr>
                <w:rFonts w:eastAsia="Calibri"/>
                <w:bCs/>
                <w:color w:val="000000"/>
                <w:sz w:val="20"/>
                <w:szCs w:val="20"/>
              </w:rPr>
            </w:pPr>
            <w:r>
              <w:rPr>
                <w:rFonts w:eastAsia="Calibri"/>
                <w:bCs/>
                <w:color w:val="000000"/>
                <w:sz w:val="20"/>
                <w:szCs w:val="20"/>
              </w:rPr>
              <w:t>53,321</w:t>
            </w:r>
          </w:p>
        </w:tc>
        <w:tc>
          <w:tcPr>
            <w:tcW w:w="1260" w:type="dxa"/>
            <w:vAlign w:val="center"/>
          </w:tcPr>
          <w:p w:rsidR="002B0D46" w:rsidRPr="00974D81" w:rsidP="0072120A" w14:paraId="0DBFE22E" w14:textId="44218D5A">
            <w:pPr>
              <w:jc w:val="center"/>
              <w:rPr>
                <w:rFonts w:eastAsia="Calibri"/>
                <w:bCs/>
                <w:color w:val="000000"/>
                <w:sz w:val="20"/>
                <w:szCs w:val="20"/>
              </w:rPr>
            </w:pPr>
            <w:r>
              <w:rPr>
                <w:rFonts w:eastAsia="Calibri"/>
                <w:bCs/>
                <w:color w:val="000000"/>
                <w:sz w:val="20"/>
                <w:szCs w:val="20"/>
              </w:rPr>
              <w:t>10.31541</w:t>
            </w:r>
          </w:p>
        </w:tc>
        <w:tc>
          <w:tcPr>
            <w:tcW w:w="1170" w:type="dxa"/>
            <w:vAlign w:val="center"/>
          </w:tcPr>
          <w:p w:rsidR="006774FB" w:rsidRPr="00974D81" w:rsidP="0072120A" w14:paraId="486F6334" w14:textId="60EDB1C0">
            <w:pPr>
              <w:jc w:val="center"/>
              <w:rPr>
                <w:rFonts w:eastAsia="Calibri"/>
                <w:bCs/>
                <w:color w:val="000000"/>
                <w:sz w:val="20"/>
                <w:szCs w:val="20"/>
              </w:rPr>
            </w:pPr>
            <w:r>
              <w:rPr>
                <w:rFonts w:eastAsia="Calibri"/>
                <w:bCs/>
                <w:color w:val="000000"/>
                <w:sz w:val="20"/>
                <w:szCs w:val="20"/>
              </w:rPr>
              <w:t>550,028</w:t>
            </w:r>
          </w:p>
        </w:tc>
        <w:tc>
          <w:tcPr>
            <w:tcW w:w="1170" w:type="dxa"/>
            <w:vAlign w:val="center"/>
          </w:tcPr>
          <w:p w:rsidR="002B0D46" w:rsidRPr="00974D81" w:rsidP="0072120A" w14:paraId="426CF47C" w14:textId="0ED01FFF">
            <w:pPr>
              <w:jc w:val="center"/>
              <w:rPr>
                <w:rFonts w:eastAsia="Calibri"/>
                <w:bCs/>
                <w:color w:val="000000"/>
                <w:sz w:val="20"/>
                <w:szCs w:val="20"/>
              </w:rPr>
            </w:pPr>
            <w:r w:rsidRPr="00974D81">
              <w:rPr>
                <w:rFonts w:eastAsia="Calibri"/>
                <w:bCs/>
                <w:color w:val="000000"/>
                <w:sz w:val="20"/>
                <w:szCs w:val="20"/>
              </w:rPr>
              <w:t>1.25</w:t>
            </w:r>
            <w:r>
              <w:rPr>
                <w:rFonts w:eastAsia="Calibri"/>
                <w:bCs/>
                <w:color w:val="000000"/>
                <w:sz w:val="20"/>
                <w:szCs w:val="20"/>
                <w:vertAlign w:val="superscript"/>
              </w:rPr>
              <w:footnoteReference w:id="9"/>
            </w:r>
          </w:p>
        </w:tc>
        <w:tc>
          <w:tcPr>
            <w:tcW w:w="1080" w:type="dxa"/>
            <w:vAlign w:val="center"/>
          </w:tcPr>
          <w:p w:rsidR="00900436" w:rsidRPr="00974D81" w:rsidP="0072120A" w14:paraId="1C79B3A4" w14:textId="1DEE8138">
            <w:pPr>
              <w:jc w:val="center"/>
              <w:rPr>
                <w:rFonts w:eastAsia="Calibri"/>
                <w:bCs/>
                <w:color w:val="000000"/>
                <w:sz w:val="20"/>
                <w:szCs w:val="20"/>
              </w:rPr>
            </w:pPr>
            <w:r>
              <w:rPr>
                <w:rFonts w:eastAsia="Calibri"/>
                <w:bCs/>
                <w:color w:val="000000"/>
                <w:sz w:val="20"/>
                <w:szCs w:val="20"/>
              </w:rPr>
              <w:t>687,535</w:t>
            </w:r>
          </w:p>
        </w:tc>
        <w:tc>
          <w:tcPr>
            <w:tcW w:w="1260" w:type="dxa"/>
            <w:vAlign w:val="center"/>
          </w:tcPr>
          <w:p w:rsidR="002B0D46" w:rsidRPr="00974D81" w:rsidP="0072120A" w14:paraId="4D9521B0" w14:textId="15D8E446">
            <w:pPr>
              <w:jc w:val="center"/>
              <w:rPr>
                <w:rFonts w:eastAsia="Calibri"/>
                <w:bCs/>
                <w:color w:val="000000"/>
                <w:sz w:val="20"/>
                <w:szCs w:val="20"/>
              </w:rPr>
            </w:pPr>
            <w:r>
              <w:rPr>
                <w:rFonts w:eastAsia="Calibri"/>
                <w:bCs/>
                <w:color w:val="000000"/>
                <w:sz w:val="20"/>
                <w:szCs w:val="20"/>
              </w:rPr>
              <w:t>$49.71</w:t>
            </w:r>
          </w:p>
        </w:tc>
        <w:tc>
          <w:tcPr>
            <w:tcW w:w="1260" w:type="dxa"/>
            <w:vAlign w:val="center"/>
          </w:tcPr>
          <w:p w:rsidR="002B0D46" w:rsidRPr="00974D81" w:rsidP="0072120A" w14:paraId="0B4496A3" w14:textId="544E69EE">
            <w:pPr>
              <w:jc w:val="center"/>
              <w:rPr>
                <w:rFonts w:eastAsia="Calibri"/>
                <w:bCs/>
                <w:color w:val="000000"/>
                <w:sz w:val="20"/>
                <w:szCs w:val="20"/>
              </w:rPr>
            </w:pPr>
            <w:r>
              <w:rPr>
                <w:rFonts w:eastAsia="Calibri"/>
                <w:bCs/>
                <w:color w:val="000000"/>
                <w:sz w:val="20"/>
                <w:szCs w:val="20"/>
              </w:rPr>
              <w:t>$34,177,36</w:t>
            </w:r>
            <w:r w:rsidR="00703458">
              <w:rPr>
                <w:rFonts w:eastAsia="Calibri"/>
                <w:bCs/>
                <w:color w:val="000000"/>
                <w:sz w:val="20"/>
                <w:szCs w:val="20"/>
              </w:rPr>
              <w:t>4</w:t>
            </w:r>
          </w:p>
        </w:tc>
      </w:tr>
      <w:bookmarkEnd w:id="12"/>
      <w:tr w14:paraId="66FAE00B" w14:textId="77777777" w:rsidTr="0018520C">
        <w:tblPrEx>
          <w:tblW w:w="11340" w:type="dxa"/>
          <w:tblInd w:w="-882" w:type="dxa"/>
          <w:tblLayout w:type="fixed"/>
          <w:tblLook w:val="01E0"/>
        </w:tblPrEx>
        <w:trPr>
          <w:trHeight w:val="530"/>
        </w:trPr>
        <w:tc>
          <w:tcPr>
            <w:tcW w:w="1417" w:type="dxa"/>
            <w:vAlign w:val="center"/>
          </w:tcPr>
          <w:p w:rsidR="0018520C" w:rsidRPr="0018520C" w:rsidP="0072120A" w14:paraId="72A0FBEF" w14:textId="48434CEC">
            <w:pPr>
              <w:rPr>
                <w:rFonts w:eastAsia="Calibri"/>
                <w:b/>
                <w:color w:val="000000"/>
                <w:sz w:val="20"/>
                <w:szCs w:val="20"/>
              </w:rPr>
            </w:pPr>
            <w:r w:rsidRPr="0018520C">
              <w:rPr>
                <w:rFonts w:eastAsia="Calibri"/>
                <w:b/>
                <w:color w:val="000000"/>
                <w:sz w:val="20"/>
                <w:szCs w:val="20"/>
              </w:rPr>
              <w:t>Unduplicated Totals</w:t>
            </w:r>
          </w:p>
        </w:tc>
        <w:tc>
          <w:tcPr>
            <w:tcW w:w="1283" w:type="dxa"/>
            <w:vAlign w:val="center"/>
          </w:tcPr>
          <w:p w:rsidR="0018520C" w:rsidRPr="00974D81" w:rsidP="0072120A" w14:paraId="24EE03C6" w14:textId="77777777">
            <w:pPr>
              <w:jc w:val="center"/>
              <w:rPr>
                <w:rFonts w:eastAsia="Calibri"/>
                <w:bCs/>
                <w:color w:val="000000"/>
                <w:sz w:val="20"/>
                <w:szCs w:val="20"/>
              </w:rPr>
            </w:pPr>
          </w:p>
        </w:tc>
        <w:tc>
          <w:tcPr>
            <w:tcW w:w="1440" w:type="dxa"/>
            <w:vAlign w:val="center"/>
          </w:tcPr>
          <w:p w:rsidR="0018520C" w:rsidRPr="0018520C" w:rsidP="0072120A" w14:paraId="5A1397D2" w14:textId="60874BA0">
            <w:pPr>
              <w:jc w:val="center"/>
              <w:rPr>
                <w:rFonts w:eastAsia="Calibri"/>
                <w:b/>
                <w:color w:val="000000"/>
                <w:sz w:val="20"/>
                <w:szCs w:val="20"/>
              </w:rPr>
            </w:pPr>
            <w:r w:rsidRPr="0018520C">
              <w:rPr>
                <w:rFonts w:eastAsia="Calibri"/>
                <w:b/>
                <w:color w:val="000000"/>
                <w:sz w:val="20"/>
                <w:szCs w:val="20"/>
              </w:rPr>
              <w:t>53,321</w:t>
            </w:r>
          </w:p>
        </w:tc>
        <w:tc>
          <w:tcPr>
            <w:tcW w:w="1260" w:type="dxa"/>
            <w:vAlign w:val="center"/>
          </w:tcPr>
          <w:p w:rsidR="0018520C" w:rsidRPr="0018520C" w:rsidP="0072120A" w14:paraId="3CB44BC6" w14:textId="416D1596">
            <w:pPr>
              <w:jc w:val="center"/>
              <w:rPr>
                <w:rFonts w:eastAsia="Calibri"/>
                <w:b/>
                <w:color w:val="000000"/>
                <w:sz w:val="20"/>
                <w:szCs w:val="20"/>
              </w:rPr>
            </w:pPr>
            <w:r w:rsidRPr="0018520C">
              <w:rPr>
                <w:rFonts w:eastAsia="Calibri"/>
                <w:b/>
                <w:color w:val="000000"/>
                <w:sz w:val="20"/>
                <w:szCs w:val="20"/>
              </w:rPr>
              <w:t>10.31541</w:t>
            </w:r>
          </w:p>
        </w:tc>
        <w:tc>
          <w:tcPr>
            <w:tcW w:w="1170" w:type="dxa"/>
            <w:vAlign w:val="center"/>
          </w:tcPr>
          <w:p w:rsidR="0018520C" w:rsidRPr="0018520C" w:rsidP="0072120A" w14:paraId="6BCBC7C3" w14:textId="10E1FAE1">
            <w:pPr>
              <w:jc w:val="center"/>
              <w:rPr>
                <w:rFonts w:eastAsia="Calibri"/>
                <w:b/>
                <w:color w:val="000000"/>
                <w:sz w:val="20"/>
                <w:szCs w:val="20"/>
              </w:rPr>
            </w:pPr>
            <w:r w:rsidRPr="0018520C">
              <w:rPr>
                <w:rFonts w:eastAsia="Calibri"/>
                <w:b/>
                <w:color w:val="000000"/>
                <w:sz w:val="20"/>
                <w:szCs w:val="20"/>
              </w:rPr>
              <w:t>550,028</w:t>
            </w:r>
          </w:p>
        </w:tc>
        <w:tc>
          <w:tcPr>
            <w:tcW w:w="1170" w:type="dxa"/>
            <w:vAlign w:val="center"/>
          </w:tcPr>
          <w:p w:rsidR="0018520C" w:rsidRPr="0018520C" w:rsidP="0072120A" w14:paraId="03BB8612" w14:textId="35424EFD">
            <w:pPr>
              <w:jc w:val="center"/>
              <w:rPr>
                <w:rFonts w:eastAsia="Calibri"/>
                <w:b/>
                <w:color w:val="000000"/>
                <w:sz w:val="20"/>
                <w:szCs w:val="20"/>
              </w:rPr>
            </w:pPr>
            <w:r w:rsidRPr="0018520C">
              <w:rPr>
                <w:rFonts w:eastAsia="Calibri"/>
                <w:b/>
                <w:color w:val="000000"/>
                <w:sz w:val="20"/>
                <w:szCs w:val="20"/>
              </w:rPr>
              <w:t>1.25</w:t>
            </w:r>
          </w:p>
        </w:tc>
        <w:tc>
          <w:tcPr>
            <w:tcW w:w="1080" w:type="dxa"/>
            <w:vAlign w:val="center"/>
          </w:tcPr>
          <w:p w:rsidR="0018520C" w:rsidRPr="0018520C" w:rsidP="0072120A" w14:paraId="4C130853" w14:textId="2867125E">
            <w:pPr>
              <w:jc w:val="center"/>
              <w:rPr>
                <w:rFonts w:eastAsia="Calibri"/>
                <w:b/>
                <w:color w:val="000000"/>
                <w:sz w:val="20"/>
                <w:szCs w:val="20"/>
              </w:rPr>
            </w:pPr>
            <w:r w:rsidRPr="0018520C">
              <w:rPr>
                <w:rFonts w:eastAsia="Calibri"/>
                <w:b/>
                <w:color w:val="000000"/>
                <w:sz w:val="20"/>
                <w:szCs w:val="20"/>
              </w:rPr>
              <w:t>687,535</w:t>
            </w:r>
          </w:p>
        </w:tc>
        <w:tc>
          <w:tcPr>
            <w:tcW w:w="1260" w:type="dxa"/>
            <w:vAlign w:val="center"/>
          </w:tcPr>
          <w:p w:rsidR="0018520C" w:rsidRPr="0018520C" w:rsidP="0072120A" w14:paraId="1133434E" w14:textId="15385B32">
            <w:pPr>
              <w:jc w:val="center"/>
              <w:rPr>
                <w:rFonts w:eastAsia="Calibri"/>
                <w:b/>
                <w:color w:val="000000"/>
                <w:sz w:val="20"/>
                <w:szCs w:val="20"/>
              </w:rPr>
            </w:pPr>
            <w:r w:rsidRPr="0018520C">
              <w:rPr>
                <w:rFonts w:eastAsia="Calibri"/>
                <w:b/>
                <w:color w:val="000000"/>
                <w:sz w:val="20"/>
                <w:szCs w:val="20"/>
              </w:rPr>
              <w:t>$49.71</w:t>
            </w:r>
          </w:p>
        </w:tc>
        <w:tc>
          <w:tcPr>
            <w:tcW w:w="1260" w:type="dxa"/>
            <w:vAlign w:val="center"/>
          </w:tcPr>
          <w:p w:rsidR="0018520C" w:rsidRPr="0018520C" w:rsidP="0072120A" w14:paraId="76A9B111" w14:textId="2E0F45BD">
            <w:pPr>
              <w:jc w:val="center"/>
              <w:rPr>
                <w:rFonts w:eastAsia="Calibri"/>
                <w:b/>
                <w:color w:val="000000"/>
                <w:sz w:val="20"/>
                <w:szCs w:val="20"/>
              </w:rPr>
            </w:pPr>
            <w:r w:rsidRPr="0018520C">
              <w:rPr>
                <w:rFonts w:eastAsia="Calibri"/>
                <w:b/>
                <w:color w:val="000000"/>
                <w:sz w:val="20"/>
                <w:szCs w:val="20"/>
              </w:rPr>
              <w:t>$34,177,364</w:t>
            </w:r>
          </w:p>
        </w:tc>
      </w:tr>
      <w:bookmarkEnd w:id="10"/>
    </w:tbl>
    <w:p w:rsidR="00603AE2" w:rsidRPr="00974D81" w:rsidP="00C53DD8" w14:paraId="5DAE787C" w14:textId="77777777">
      <w:pPr>
        <w:widowControl w:val="0"/>
        <w:tabs>
          <w:tab w:val="left" w:pos="400"/>
          <w:tab w:val="right" w:leader="dot" w:pos="9350"/>
        </w:tabs>
        <w:autoSpaceDE w:val="0"/>
        <w:autoSpaceDN w:val="0"/>
        <w:adjustRightInd w:val="0"/>
        <w:outlineLvl w:val="1"/>
        <w:rPr>
          <w:b/>
          <w:i/>
          <w:smallCaps/>
          <w:noProof/>
          <w:color w:val="000000"/>
          <w:sz w:val="26"/>
          <w:szCs w:val="26"/>
        </w:rPr>
      </w:pPr>
    </w:p>
    <w:p w:rsidR="000261BE" w:rsidP="00C53DD8" w14:paraId="383153F9" w14:textId="5667BD8E">
      <w:pPr>
        <w:widowControl w:val="0"/>
        <w:tabs>
          <w:tab w:val="left" w:pos="400"/>
          <w:tab w:val="right" w:leader="dot" w:pos="9350"/>
        </w:tabs>
        <w:autoSpaceDE w:val="0"/>
        <w:autoSpaceDN w:val="0"/>
        <w:adjustRightInd w:val="0"/>
        <w:outlineLvl w:val="1"/>
        <w:rPr>
          <w:b/>
          <w:smallCaps/>
          <w:noProof/>
          <w:color w:val="000000"/>
          <w:sz w:val="26"/>
          <w:szCs w:val="26"/>
        </w:rPr>
      </w:pPr>
      <w:r w:rsidRPr="00974D81">
        <w:rPr>
          <w:b/>
          <w:smallCaps/>
          <w:noProof/>
          <w:color w:val="000000"/>
          <w:sz w:val="26"/>
          <w:szCs w:val="26"/>
        </w:rPr>
        <w:t xml:space="preserve">                                                                         </w:t>
      </w:r>
      <w:r w:rsidRPr="00974D81" w:rsidR="006B62A4">
        <w:rPr>
          <w:b/>
          <w:smallCaps/>
          <w:noProof/>
          <w:color w:val="000000"/>
          <w:sz w:val="26"/>
          <w:szCs w:val="26"/>
        </w:rPr>
        <w:t xml:space="preserve">   </w:t>
      </w:r>
    </w:p>
    <w:p w:rsidR="002758BA" w:rsidP="00C53DD8" w14:paraId="44CDD334"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2758BA" w:rsidP="00C53DD8" w14:paraId="0AB003DB"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72120A" w:rsidP="00C53DD8" w14:paraId="182ADEA4" w14:textId="77777777">
      <w:pPr>
        <w:widowControl w:val="0"/>
        <w:tabs>
          <w:tab w:val="left" w:pos="400"/>
          <w:tab w:val="right" w:leader="dot" w:pos="9350"/>
        </w:tabs>
        <w:autoSpaceDE w:val="0"/>
        <w:autoSpaceDN w:val="0"/>
        <w:adjustRightInd w:val="0"/>
        <w:outlineLvl w:val="1"/>
        <w:rPr>
          <w:b/>
          <w:smallCaps/>
          <w:noProof/>
          <w:color w:val="000000"/>
          <w:sz w:val="26"/>
          <w:szCs w:val="26"/>
        </w:rPr>
      </w:pPr>
    </w:p>
    <w:p w:rsidR="002B0D46" w:rsidRPr="00974D81" w:rsidP="00C53DD8" w14:paraId="576F51BF"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r w:rsidRPr="00974D81">
        <w:rPr>
          <w:b/>
          <w:smallCaps/>
          <w:noProof/>
          <w:color w:val="000000"/>
          <w:sz w:val="26"/>
          <w:szCs w:val="26"/>
        </w:rPr>
        <w:tab/>
        <w:t xml:space="preserve">                                                                         </w:t>
      </w:r>
      <w:r w:rsidRPr="00974D81" w:rsidR="006B62A4">
        <w:rPr>
          <w:b/>
          <w:smallCaps/>
          <w:noProof/>
          <w:color w:val="000000"/>
          <w:sz w:val="26"/>
          <w:szCs w:val="26"/>
        </w:rPr>
        <w:t xml:space="preserve"> </w:t>
      </w:r>
      <w:r w:rsidRPr="00974D81" w:rsidR="006B62A4">
        <w:rPr>
          <w:u w:val="single"/>
        </w:rPr>
        <w:t>Table 2</w:t>
      </w:r>
    </w:p>
    <w:p w:rsidR="00CC4E03" w:rsidRPr="00974D81" w:rsidP="00061C42" w14:paraId="649FE181" w14:textId="77777777">
      <w:pPr>
        <w:widowControl w:val="0"/>
        <w:autoSpaceDE w:val="0"/>
        <w:autoSpaceDN w:val="0"/>
        <w:adjustRightInd w:val="0"/>
        <w:rPr>
          <w:b/>
          <w:color w:val="000000"/>
        </w:rPr>
      </w:pPr>
    </w:p>
    <w:p w:rsidR="00061C42" w:rsidRPr="00974D81" w:rsidP="00061C42" w14:paraId="649AF8E3" w14:textId="77777777">
      <w:pPr>
        <w:widowControl w:val="0"/>
        <w:autoSpaceDE w:val="0"/>
        <w:autoSpaceDN w:val="0"/>
        <w:adjustRightInd w:val="0"/>
        <w:jc w:val="center"/>
        <w:rPr>
          <w:b/>
          <w:color w:val="000000"/>
        </w:rPr>
      </w:pPr>
      <w:r w:rsidRPr="00974D81">
        <w:rPr>
          <w:b/>
          <w:color w:val="000000"/>
        </w:rPr>
        <w:t xml:space="preserve">BURDEN HOURS AND ANNUAL COST </w:t>
      </w:r>
      <w:r w:rsidRPr="00974D81" w:rsidR="00C53DD8">
        <w:rPr>
          <w:b/>
          <w:color w:val="000000"/>
        </w:rPr>
        <w:t>ESTIMATES</w:t>
      </w:r>
      <w:r w:rsidRPr="00974D81">
        <w:rPr>
          <w:b/>
          <w:color w:val="000000"/>
        </w:rPr>
        <w:t xml:space="preserve"> ON RESPONDENTS</w:t>
      </w:r>
      <w:r w:rsidRPr="00974D81" w:rsidR="00C53DD8">
        <w:rPr>
          <w:b/>
          <w:color w:val="000000"/>
        </w:rPr>
        <w:t xml:space="preserve"> </w:t>
      </w:r>
      <w:r w:rsidRPr="00974D81" w:rsidR="002B0D46">
        <w:rPr>
          <w:b/>
          <w:color w:val="000000"/>
        </w:rPr>
        <w:t xml:space="preserve">FOR </w:t>
      </w:r>
    </w:p>
    <w:p w:rsidR="00F519BD" w:rsidRPr="00974D81" w:rsidP="00DD56FE" w14:paraId="284B134E" w14:textId="77777777">
      <w:pPr>
        <w:widowControl w:val="0"/>
        <w:autoSpaceDE w:val="0"/>
        <w:autoSpaceDN w:val="0"/>
        <w:adjustRightInd w:val="0"/>
        <w:jc w:val="center"/>
        <w:rPr>
          <w:b/>
          <w:color w:val="000000"/>
        </w:rPr>
      </w:pPr>
      <w:r w:rsidRPr="00974D81">
        <w:rPr>
          <w:b/>
          <w:color w:val="000000"/>
        </w:rPr>
        <w:t xml:space="preserve">ACTIVITIES </w:t>
      </w:r>
      <w:r w:rsidRPr="00974D81" w:rsidR="00C53DD8">
        <w:rPr>
          <w:b/>
          <w:color w:val="000000"/>
        </w:rPr>
        <w:t>RELATED TO FORM ETA</w:t>
      </w:r>
      <w:r w:rsidRPr="00974D81" w:rsidR="00EB19B1">
        <w:rPr>
          <w:b/>
          <w:color w:val="000000"/>
        </w:rPr>
        <w:t>-</w:t>
      </w:r>
      <w:r w:rsidRPr="00974D81" w:rsidR="00C53DD8">
        <w:rPr>
          <w:b/>
          <w:color w:val="000000"/>
        </w:rPr>
        <w:t>9035</w:t>
      </w:r>
      <w:r w:rsidRPr="00974D81" w:rsidR="00757D25">
        <w:rPr>
          <w:b/>
          <w:color w:val="000000"/>
        </w:rPr>
        <w:t>/9035E</w:t>
      </w:r>
    </w:p>
    <w:p w:rsidR="00F519BD" w:rsidRPr="00974D81" w:rsidP="00C53DD8" w14:paraId="63304DF5" w14:textId="77777777">
      <w:pPr>
        <w:widowControl w:val="0"/>
        <w:autoSpaceDE w:val="0"/>
        <w:autoSpaceDN w:val="0"/>
        <w:adjustRightInd w:val="0"/>
        <w:jc w:val="center"/>
        <w:rPr>
          <w:b/>
          <w:color w:val="000000"/>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530"/>
        <w:gridCol w:w="1350"/>
        <w:gridCol w:w="1260"/>
        <w:gridCol w:w="1170"/>
        <w:gridCol w:w="1080"/>
        <w:gridCol w:w="900"/>
        <w:gridCol w:w="1260"/>
        <w:gridCol w:w="1260"/>
      </w:tblGrid>
      <w:tr w14:paraId="34C84750" w14:textId="77777777" w:rsidTr="0036509B">
        <w:tblPrEx>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2"/>
        </w:trPr>
        <w:tc>
          <w:tcPr>
            <w:tcW w:w="1350" w:type="dxa"/>
          </w:tcPr>
          <w:p w:rsidR="00F519BD" w:rsidRPr="00974D81" w:rsidP="0072120A" w14:paraId="4F2B99CD"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Type of Respondent</w:t>
            </w:r>
          </w:p>
        </w:tc>
        <w:tc>
          <w:tcPr>
            <w:tcW w:w="1530" w:type="dxa"/>
          </w:tcPr>
          <w:p w:rsidR="00F519BD" w:rsidRPr="00974D81" w:rsidP="0072120A" w14:paraId="56B83998"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Information Collection Activity</w:t>
            </w:r>
          </w:p>
        </w:tc>
        <w:tc>
          <w:tcPr>
            <w:tcW w:w="1350" w:type="dxa"/>
          </w:tcPr>
          <w:p w:rsidR="00F519BD" w:rsidRPr="00974D81" w:rsidP="0072120A" w14:paraId="74865A2D"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No. of Respondents</w:t>
            </w:r>
          </w:p>
        </w:tc>
        <w:tc>
          <w:tcPr>
            <w:tcW w:w="1260" w:type="dxa"/>
          </w:tcPr>
          <w:p w:rsidR="00F519BD" w:rsidRPr="00974D81" w:rsidP="0072120A" w14:paraId="613E6802"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No. of Annual Responses per Respondent</w:t>
            </w:r>
          </w:p>
        </w:tc>
        <w:tc>
          <w:tcPr>
            <w:tcW w:w="1170" w:type="dxa"/>
          </w:tcPr>
          <w:p w:rsidR="00F519BD" w:rsidRPr="00974D81" w:rsidP="0072120A" w14:paraId="3228F1B7" w14:textId="77777777">
            <w:pPr>
              <w:widowControl w:val="0"/>
              <w:autoSpaceDE w:val="0"/>
              <w:autoSpaceDN w:val="0"/>
              <w:adjustRightInd w:val="0"/>
              <w:jc w:val="center"/>
              <w:rPr>
                <w:rFonts w:eastAsia="Calibri"/>
                <w:b/>
                <w:bCs/>
                <w:color w:val="000000"/>
                <w:sz w:val="20"/>
                <w:szCs w:val="20"/>
              </w:rPr>
            </w:pPr>
            <w:r w:rsidRPr="00974D81">
              <w:rPr>
                <w:rFonts w:eastAsia="Calibri"/>
                <w:b/>
                <w:bCs/>
                <w:color w:val="000000"/>
                <w:sz w:val="20"/>
                <w:szCs w:val="20"/>
              </w:rPr>
              <w:t>Total Annual Responses</w:t>
            </w:r>
          </w:p>
        </w:tc>
        <w:tc>
          <w:tcPr>
            <w:tcW w:w="1080" w:type="dxa"/>
          </w:tcPr>
          <w:p w:rsidR="00F519BD" w:rsidRPr="00974D81" w:rsidP="0072120A" w14:paraId="67CDBCEA"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Avg. Burden per Response (in hours)</w:t>
            </w:r>
          </w:p>
        </w:tc>
        <w:tc>
          <w:tcPr>
            <w:tcW w:w="900" w:type="dxa"/>
          </w:tcPr>
          <w:p w:rsidR="00F519BD" w:rsidRPr="00974D81" w:rsidP="0072120A" w14:paraId="5AD54921"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 xml:space="preserve">Total Annual Burden </w:t>
            </w:r>
            <w:r w:rsidRPr="00974D81">
              <w:rPr>
                <w:rFonts w:eastAsia="Calibri"/>
                <w:b/>
                <w:bCs/>
                <w:color w:val="000000"/>
                <w:sz w:val="20"/>
                <w:szCs w:val="20"/>
              </w:rPr>
              <w:br/>
              <w:t>(in hours)</w:t>
            </w:r>
          </w:p>
        </w:tc>
        <w:tc>
          <w:tcPr>
            <w:tcW w:w="1260" w:type="dxa"/>
          </w:tcPr>
          <w:p w:rsidR="00F519BD" w:rsidRPr="00974D81" w:rsidP="0072120A" w14:paraId="436354F3" w14:textId="54A7792B">
            <w:pPr>
              <w:widowControl w:val="0"/>
              <w:autoSpaceDE w:val="0"/>
              <w:autoSpaceDN w:val="0"/>
              <w:adjustRightInd w:val="0"/>
              <w:jc w:val="center"/>
              <w:rPr>
                <w:bCs/>
                <w:color w:val="000000"/>
                <w:sz w:val="20"/>
                <w:szCs w:val="20"/>
              </w:rPr>
            </w:pPr>
            <w:r w:rsidRPr="00974D81">
              <w:rPr>
                <w:rFonts w:eastAsia="Calibri"/>
                <w:b/>
                <w:bCs/>
                <w:color w:val="000000"/>
                <w:sz w:val="20"/>
                <w:szCs w:val="20"/>
              </w:rPr>
              <w:t xml:space="preserve">Avg. Hourly </w:t>
            </w:r>
            <w:r w:rsidRPr="00974D81" w:rsidR="005E2F84">
              <w:rPr>
                <w:rFonts w:eastAsia="Calibri"/>
                <w:b/>
                <w:bCs/>
                <w:color w:val="000000"/>
                <w:sz w:val="20"/>
                <w:szCs w:val="20"/>
              </w:rPr>
              <w:t>Compensation</w:t>
            </w:r>
          </w:p>
        </w:tc>
        <w:tc>
          <w:tcPr>
            <w:tcW w:w="1260" w:type="dxa"/>
          </w:tcPr>
          <w:p w:rsidR="00F519BD" w:rsidRPr="00974D81" w:rsidP="0072120A" w14:paraId="54BEBF93"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Total Annual Respondent Cost</w:t>
            </w:r>
          </w:p>
        </w:tc>
      </w:tr>
      <w:tr w14:paraId="1DC5A08E" w14:textId="77777777" w:rsidTr="0018520C">
        <w:tblPrEx>
          <w:tblW w:w="11160" w:type="dxa"/>
          <w:tblInd w:w="-792" w:type="dxa"/>
          <w:tblLayout w:type="fixed"/>
          <w:tblLook w:val="01E0"/>
        </w:tblPrEx>
        <w:trPr>
          <w:trHeight w:val="102"/>
        </w:trPr>
        <w:tc>
          <w:tcPr>
            <w:tcW w:w="1350" w:type="dxa"/>
            <w:vAlign w:val="center"/>
          </w:tcPr>
          <w:p w:rsidR="00F519BD" w:rsidRPr="00BC1D19" w:rsidP="00F519BD" w14:paraId="0264AAE6" w14:textId="77777777">
            <w:pPr>
              <w:widowControl w:val="0"/>
              <w:autoSpaceDE w:val="0"/>
              <w:autoSpaceDN w:val="0"/>
              <w:adjustRightInd w:val="0"/>
              <w:rPr>
                <w:bCs/>
                <w:color w:val="000000"/>
                <w:sz w:val="20"/>
                <w:szCs w:val="20"/>
              </w:rPr>
            </w:pPr>
            <w:r w:rsidRPr="00BC1D19">
              <w:rPr>
                <w:bCs/>
                <w:color w:val="000000"/>
                <w:sz w:val="20"/>
                <w:szCs w:val="20"/>
              </w:rPr>
              <w:t>Private Sector—Business or other for-profit; Not-for-profit organizations</w:t>
            </w:r>
          </w:p>
        </w:tc>
        <w:tc>
          <w:tcPr>
            <w:tcW w:w="1530" w:type="dxa"/>
            <w:vAlign w:val="center"/>
          </w:tcPr>
          <w:p w:rsidR="00F519BD" w:rsidRPr="00BC1D19" w:rsidP="00F519BD" w14:paraId="6AFCDD12" w14:textId="77777777">
            <w:pPr>
              <w:widowControl w:val="0"/>
              <w:autoSpaceDE w:val="0"/>
              <w:autoSpaceDN w:val="0"/>
              <w:adjustRightInd w:val="0"/>
              <w:rPr>
                <w:bCs/>
                <w:color w:val="000000"/>
                <w:sz w:val="20"/>
                <w:szCs w:val="20"/>
              </w:rPr>
            </w:pPr>
            <w:r w:rsidRPr="00BC1D19">
              <w:rPr>
                <w:bCs/>
                <w:color w:val="000000"/>
                <w:sz w:val="20"/>
                <w:szCs w:val="20"/>
              </w:rPr>
              <w:t>Documentation of Corporate Identity*</w:t>
            </w:r>
          </w:p>
        </w:tc>
        <w:tc>
          <w:tcPr>
            <w:tcW w:w="1350" w:type="dxa"/>
            <w:vAlign w:val="center"/>
          </w:tcPr>
          <w:p w:rsidR="00F519BD" w:rsidRPr="00BC1D19" w:rsidP="003737FC" w14:paraId="01B9D922" w14:textId="1255FBE6">
            <w:pPr>
              <w:widowControl w:val="0"/>
              <w:autoSpaceDE w:val="0"/>
              <w:autoSpaceDN w:val="0"/>
              <w:adjustRightInd w:val="0"/>
              <w:jc w:val="center"/>
              <w:rPr>
                <w:bCs/>
                <w:color w:val="000000"/>
                <w:sz w:val="20"/>
                <w:szCs w:val="20"/>
              </w:rPr>
            </w:pPr>
            <w:r w:rsidRPr="00BC1D19">
              <w:rPr>
                <w:bCs/>
                <w:color w:val="000000"/>
                <w:sz w:val="20"/>
                <w:szCs w:val="20"/>
              </w:rPr>
              <w:t>1,000</w:t>
            </w:r>
          </w:p>
        </w:tc>
        <w:tc>
          <w:tcPr>
            <w:tcW w:w="1260" w:type="dxa"/>
            <w:vAlign w:val="center"/>
          </w:tcPr>
          <w:p w:rsidR="00F519BD" w:rsidRPr="00BC1D19" w:rsidP="003737FC" w14:paraId="51CB8C72" w14:textId="77777777">
            <w:pPr>
              <w:widowControl w:val="0"/>
              <w:autoSpaceDE w:val="0"/>
              <w:autoSpaceDN w:val="0"/>
              <w:adjustRightInd w:val="0"/>
              <w:jc w:val="center"/>
              <w:rPr>
                <w:bCs/>
                <w:color w:val="000000"/>
                <w:sz w:val="20"/>
                <w:szCs w:val="20"/>
              </w:rPr>
            </w:pPr>
            <w:r w:rsidRPr="00BC1D19">
              <w:rPr>
                <w:bCs/>
                <w:color w:val="000000"/>
                <w:sz w:val="20"/>
                <w:szCs w:val="20"/>
              </w:rPr>
              <w:t>1</w:t>
            </w:r>
          </w:p>
        </w:tc>
        <w:tc>
          <w:tcPr>
            <w:tcW w:w="1170" w:type="dxa"/>
            <w:vAlign w:val="center"/>
          </w:tcPr>
          <w:p w:rsidR="00F519BD" w:rsidRPr="00BC1D19" w:rsidP="003737FC" w14:paraId="08D7D9DF" w14:textId="5C849B85">
            <w:pPr>
              <w:widowControl w:val="0"/>
              <w:autoSpaceDE w:val="0"/>
              <w:autoSpaceDN w:val="0"/>
              <w:adjustRightInd w:val="0"/>
              <w:jc w:val="center"/>
              <w:rPr>
                <w:bCs/>
                <w:color w:val="000000"/>
                <w:sz w:val="20"/>
                <w:szCs w:val="20"/>
              </w:rPr>
            </w:pPr>
            <w:r w:rsidRPr="00BC1D19">
              <w:rPr>
                <w:bCs/>
                <w:color w:val="000000"/>
                <w:sz w:val="20"/>
                <w:szCs w:val="20"/>
              </w:rPr>
              <w:t>1,000</w:t>
            </w:r>
          </w:p>
        </w:tc>
        <w:tc>
          <w:tcPr>
            <w:tcW w:w="1080" w:type="dxa"/>
            <w:vAlign w:val="center"/>
          </w:tcPr>
          <w:p w:rsidR="00F519BD" w:rsidRPr="00BC1D19" w:rsidP="003737FC" w14:paraId="5BCDEC11" w14:textId="0FD31213">
            <w:pPr>
              <w:widowControl w:val="0"/>
              <w:autoSpaceDE w:val="0"/>
              <w:autoSpaceDN w:val="0"/>
              <w:adjustRightInd w:val="0"/>
              <w:jc w:val="center"/>
              <w:rPr>
                <w:bCs/>
                <w:color w:val="000000"/>
                <w:sz w:val="20"/>
                <w:szCs w:val="20"/>
              </w:rPr>
            </w:pPr>
            <w:r w:rsidRPr="00BC1D19">
              <w:rPr>
                <w:bCs/>
                <w:color w:val="000000"/>
                <w:sz w:val="20"/>
                <w:szCs w:val="20"/>
              </w:rPr>
              <w:t>1</w:t>
            </w:r>
          </w:p>
        </w:tc>
        <w:tc>
          <w:tcPr>
            <w:tcW w:w="900" w:type="dxa"/>
            <w:vAlign w:val="center"/>
          </w:tcPr>
          <w:p w:rsidR="00F519BD" w:rsidRPr="00BC1D19" w:rsidP="003737FC" w14:paraId="05E640E4" w14:textId="20CDBCDC">
            <w:pPr>
              <w:widowControl w:val="0"/>
              <w:autoSpaceDE w:val="0"/>
              <w:autoSpaceDN w:val="0"/>
              <w:adjustRightInd w:val="0"/>
              <w:jc w:val="center"/>
              <w:rPr>
                <w:bCs/>
                <w:color w:val="000000"/>
                <w:sz w:val="20"/>
                <w:szCs w:val="20"/>
              </w:rPr>
            </w:pPr>
            <w:r w:rsidRPr="00BC1D19">
              <w:rPr>
                <w:bCs/>
                <w:color w:val="000000"/>
                <w:sz w:val="20"/>
                <w:szCs w:val="20"/>
              </w:rPr>
              <w:t>1,000</w:t>
            </w:r>
          </w:p>
        </w:tc>
        <w:tc>
          <w:tcPr>
            <w:tcW w:w="1260" w:type="dxa"/>
            <w:vAlign w:val="center"/>
          </w:tcPr>
          <w:p w:rsidR="00F519BD" w:rsidRPr="00BC1D19" w:rsidP="003737FC" w14:paraId="6D540FD7" w14:textId="4A1F0123">
            <w:pPr>
              <w:widowControl w:val="0"/>
              <w:autoSpaceDE w:val="0"/>
              <w:autoSpaceDN w:val="0"/>
              <w:adjustRightInd w:val="0"/>
              <w:jc w:val="center"/>
              <w:rPr>
                <w:bCs/>
                <w:color w:val="000000"/>
                <w:sz w:val="20"/>
                <w:szCs w:val="20"/>
              </w:rPr>
            </w:pPr>
            <w:r w:rsidRPr="00BC1D19">
              <w:rPr>
                <w:rFonts w:eastAsia="Calibri"/>
                <w:bCs/>
                <w:color w:val="000000"/>
                <w:sz w:val="20"/>
                <w:szCs w:val="20"/>
              </w:rPr>
              <w:t xml:space="preserve">$49.71 </w:t>
            </w:r>
          </w:p>
        </w:tc>
        <w:tc>
          <w:tcPr>
            <w:tcW w:w="1260" w:type="dxa"/>
            <w:vAlign w:val="center"/>
          </w:tcPr>
          <w:p w:rsidR="00F519BD" w:rsidRPr="00BC1D19" w:rsidP="003737FC" w14:paraId="542B576C" w14:textId="1D3F46A6">
            <w:pPr>
              <w:widowControl w:val="0"/>
              <w:autoSpaceDE w:val="0"/>
              <w:autoSpaceDN w:val="0"/>
              <w:adjustRightInd w:val="0"/>
              <w:jc w:val="center"/>
              <w:rPr>
                <w:bCs/>
                <w:color w:val="000000"/>
                <w:sz w:val="20"/>
                <w:szCs w:val="20"/>
              </w:rPr>
            </w:pPr>
            <w:r w:rsidRPr="00BC1D19">
              <w:rPr>
                <w:bCs/>
                <w:color w:val="000000"/>
                <w:sz w:val="20"/>
                <w:szCs w:val="20"/>
              </w:rPr>
              <w:t>$49,710</w:t>
            </w:r>
          </w:p>
        </w:tc>
      </w:tr>
      <w:tr w14:paraId="6992B23B" w14:textId="77777777" w:rsidTr="0018520C">
        <w:tblPrEx>
          <w:tblW w:w="11160" w:type="dxa"/>
          <w:tblInd w:w="-792" w:type="dxa"/>
          <w:tblLayout w:type="fixed"/>
          <w:tblLook w:val="01E0"/>
        </w:tblPrEx>
        <w:trPr>
          <w:trHeight w:val="102"/>
        </w:trPr>
        <w:tc>
          <w:tcPr>
            <w:tcW w:w="1350" w:type="dxa"/>
            <w:vAlign w:val="center"/>
          </w:tcPr>
          <w:p w:rsidR="00F519BD" w:rsidRPr="00BC1D19" w:rsidP="00F519BD" w14:paraId="41AD24A7" w14:textId="77777777">
            <w:pPr>
              <w:widowControl w:val="0"/>
              <w:autoSpaceDE w:val="0"/>
              <w:autoSpaceDN w:val="0"/>
              <w:adjustRightInd w:val="0"/>
              <w:rPr>
                <w:bCs/>
                <w:color w:val="000000"/>
                <w:sz w:val="20"/>
                <w:szCs w:val="20"/>
              </w:rPr>
            </w:pPr>
            <w:r w:rsidRPr="00BC1D19">
              <w:rPr>
                <w:bCs/>
                <w:color w:val="000000"/>
                <w:sz w:val="20"/>
                <w:szCs w:val="20"/>
              </w:rPr>
              <w:t>Private Sector—Business or other for-profit; Not-for-profit organizations</w:t>
            </w:r>
          </w:p>
        </w:tc>
        <w:tc>
          <w:tcPr>
            <w:tcW w:w="1530" w:type="dxa"/>
            <w:vAlign w:val="center"/>
          </w:tcPr>
          <w:p w:rsidR="00F519BD" w:rsidRPr="00BC1D19" w:rsidP="00F519BD" w14:paraId="2A63F5EF" w14:textId="1F86115E">
            <w:pPr>
              <w:widowControl w:val="0"/>
              <w:autoSpaceDE w:val="0"/>
              <w:autoSpaceDN w:val="0"/>
              <w:adjustRightInd w:val="0"/>
              <w:rPr>
                <w:bCs/>
                <w:color w:val="000000"/>
                <w:sz w:val="20"/>
                <w:szCs w:val="20"/>
              </w:rPr>
            </w:pPr>
            <w:r w:rsidRPr="00BC1D19">
              <w:rPr>
                <w:bCs/>
                <w:color w:val="000000"/>
                <w:sz w:val="20"/>
                <w:szCs w:val="20"/>
              </w:rPr>
              <w:t>H-1B Employers Only</w:t>
            </w:r>
            <w:r w:rsidRPr="00BC1D19">
              <w:rPr>
                <w:bCs/>
                <w:color w:val="000000"/>
                <w:sz w:val="20"/>
                <w:szCs w:val="20"/>
              </w:rPr>
              <w:t>-  Determination</w:t>
            </w:r>
            <w:r w:rsidRPr="00BC1D19">
              <w:rPr>
                <w:bCs/>
                <w:color w:val="000000"/>
                <w:sz w:val="20"/>
                <w:szCs w:val="20"/>
              </w:rPr>
              <w:t xml:space="preserve"> of H-1B Dependency*</w:t>
            </w:r>
          </w:p>
        </w:tc>
        <w:tc>
          <w:tcPr>
            <w:tcW w:w="1350" w:type="dxa"/>
            <w:vAlign w:val="center"/>
          </w:tcPr>
          <w:p w:rsidR="00F519BD" w:rsidRPr="00BC1D19" w:rsidP="003737FC" w14:paraId="57DE8E71" w14:textId="75550C6D">
            <w:pPr>
              <w:widowControl w:val="0"/>
              <w:autoSpaceDE w:val="0"/>
              <w:autoSpaceDN w:val="0"/>
              <w:adjustRightInd w:val="0"/>
              <w:jc w:val="center"/>
              <w:rPr>
                <w:bCs/>
                <w:color w:val="000000"/>
                <w:sz w:val="20"/>
                <w:szCs w:val="20"/>
              </w:rPr>
            </w:pPr>
            <w:r w:rsidRPr="00BC1D19">
              <w:rPr>
                <w:bCs/>
                <w:color w:val="000000"/>
                <w:sz w:val="20"/>
                <w:szCs w:val="20"/>
              </w:rPr>
              <w:t xml:space="preserve">3,835 </w:t>
            </w:r>
          </w:p>
        </w:tc>
        <w:tc>
          <w:tcPr>
            <w:tcW w:w="1260" w:type="dxa"/>
            <w:vAlign w:val="center"/>
          </w:tcPr>
          <w:p w:rsidR="00F519BD" w:rsidRPr="00BC1D19" w:rsidP="003737FC" w14:paraId="100B5CDF" w14:textId="339800CC">
            <w:pPr>
              <w:widowControl w:val="0"/>
              <w:autoSpaceDE w:val="0"/>
              <w:autoSpaceDN w:val="0"/>
              <w:adjustRightInd w:val="0"/>
              <w:jc w:val="center"/>
              <w:rPr>
                <w:bCs/>
                <w:color w:val="000000"/>
                <w:sz w:val="20"/>
                <w:szCs w:val="20"/>
              </w:rPr>
            </w:pPr>
            <w:r w:rsidRPr="00BC1D19">
              <w:rPr>
                <w:bCs/>
                <w:color w:val="000000"/>
                <w:sz w:val="20"/>
                <w:szCs w:val="20"/>
              </w:rPr>
              <w:t>2</w:t>
            </w:r>
          </w:p>
        </w:tc>
        <w:tc>
          <w:tcPr>
            <w:tcW w:w="1170" w:type="dxa"/>
            <w:vAlign w:val="center"/>
          </w:tcPr>
          <w:p w:rsidR="00F519BD" w:rsidRPr="00BC1D19" w:rsidP="003737FC" w14:paraId="1EF685FE" w14:textId="5ACAA429">
            <w:pPr>
              <w:widowControl w:val="0"/>
              <w:autoSpaceDE w:val="0"/>
              <w:autoSpaceDN w:val="0"/>
              <w:adjustRightInd w:val="0"/>
              <w:jc w:val="center"/>
              <w:rPr>
                <w:bCs/>
                <w:color w:val="000000"/>
                <w:sz w:val="20"/>
                <w:szCs w:val="20"/>
              </w:rPr>
            </w:pPr>
            <w:r w:rsidRPr="00BC1D19">
              <w:rPr>
                <w:bCs/>
                <w:color w:val="000000"/>
                <w:sz w:val="20"/>
                <w:szCs w:val="20"/>
              </w:rPr>
              <w:t>7</w:t>
            </w:r>
            <w:r w:rsidRPr="00BC1D19" w:rsidR="008245C6">
              <w:rPr>
                <w:bCs/>
                <w:color w:val="000000"/>
                <w:sz w:val="20"/>
                <w:szCs w:val="20"/>
              </w:rPr>
              <w:t>,</w:t>
            </w:r>
            <w:r w:rsidRPr="00BC1D19">
              <w:rPr>
                <w:bCs/>
                <w:color w:val="000000"/>
                <w:sz w:val="20"/>
                <w:szCs w:val="20"/>
              </w:rPr>
              <w:t>6</w:t>
            </w:r>
            <w:r w:rsidRPr="00BC1D19" w:rsidR="0081285F">
              <w:rPr>
                <w:bCs/>
                <w:color w:val="000000"/>
                <w:sz w:val="20"/>
                <w:szCs w:val="20"/>
              </w:rPr>
              <w:t>7</w:t>
            </w:r>
            <w:r w:rsidRPr="00BC1D19">
              <w:rPr>
                <w:bCs/>
                <w:color w:val="000000"/>
                <w:sz w:val="20"/>
                <w:szCs w:val="20"/>
              </w:rPr>
              <w:t xml:space="preserve">0 </w:t>
            </w:r>
          </w:p>
        </w:tc>
        <w:tc>
          <w:tcPr>
            <w:tcW w:w="1080" w:type="dxa"/>
            <w:vAlign w:val="center"/>
          </w:tcPr>
          <w:p w:rsidR="00F519BD" w:rsidRPr="00BC1D19" w:rsidP="003737FC" w14:paraId="727F36D7" w14:textId="2662997C">
            <w:pPr>
              <w:widowControl w:val="0"/>
              <w:autoSpaceDE w:val="0"/>
              <w:autoSpaceDN w:val="0"/>
              <w:adjustRightInd w:val="0"/>
              <w:jc w:val="center"/>
              <w:rPr>
                <w:bCs/>
                <w:color w:val="000000"/>
                <w:sz w:val="20"/>
                <w:szCs w:val="20"/>
              </w:rPr>
            </w:pPr>
            <w:r w:rsidRPr="00BC1D19">
              <w:rPr>
                <w:bCs/>
                <w:color w:val="000000"/>
                <w:sz w:val="20"/>
                <w:szCs w:val="20"/>
              </w:rPr>
              <w:t>0.5</w:t>
            </w:r>
          </w:p>
        </w:tc>
        <w:tc>
          <w:tcPr>
            <w:tcW w:w="900" w:type="dxa"/>
            <w:vAlign w:val="center"/>
          </w:tcPr>
          <w:p w:rsidR="00F519BD" w:rsidRPr="00BC1D19" w:rsidP="003737FC" w14:paraId="1567C095" w14:textId="2B08AEC2">
            <w:pPr>
              <w:widowControl w:val="0"/>
              <w:autoSpaceDE w:val="0"/>
              <w:autoSpaceDN w:val="0"/>
              <w:adjustRightInd w:val="0"/>
              <w:jc w:val="center"/>
              <w:rPr>
                <w:bCs/>
                <w:color w:val="000000"/>
                <w:sz w:val="20"/>
                <w:szCs w:val="20"/>
              </w:rPr>
            </w:pPr>
            <w:r w:rsidRPr="00BC1D19">
              <w:rPr>
                <w:bCs/>
                <w:color w:val="000000"/>
                <w:sz w:val="20"/>
                <w:szCs w:val="20"/>
              </w:rPr>
              <w:t>3,8</w:t>
            </w:r>
            <w:r w:rsidRPr="00BC1D19" w:rsidR="00AF1392">
              <w:rPr>
                <w:bCs/>
                <w:color w:val="000000"/>
                <w:sz w:val="20"/>
                <w:szCs w:val="20"/>
              </w:rPr>
              <w:t>3</w:t>
            </w:r>
            <w:r w:rsidRPr="00BC1D19">
              <w:rPr>
                <w:bCs/>
                <w:color w:val="000000"/>
                <w:sz w:val="20"/>
                <w:szCs w:val="20"/>
              </w:rPr>
              <w:t xml:space="preserve">5 </w:t>
            </w:r>
          </w:p>
        </w:tc>
        <w:tc>
          <w:tcPr>
            <w:tcW w:w="1260" w:type="dxa"/>
            <w:vAlign w:val="center"/>
          </w:tcPr>
          <w:p w:rsidR="00F519BD" w:rsidRPr="00BC1D19" w:rsidP="003737FC" w14:paraId="4853CBF3" w14:textId="35074198">
            <w:pPr>
              <w:widowControl w:val="0"/>
              <w:autoSpaceDE w:val="0"/>
              <w:autoSpaceDN w:val="0"/>
              <w:adjustRightInd w:val="0"/>
              <w:jc w:val="center"/>
              <w:rPr>
                <w:bCs/>
                <w:color w:val="000000"/>
                <w:sz w:val="20"/>
                <w:szCs w:val="20"/>
              </w:rPr>
            </w:pPr>
            <w:r w:rsidRPr="00BC1D19">
              <w:rPr>
                <w:rFonts w:eastAsia="Calibri"/>
                <w:bCs/>
                <w:color w:val="000000"/>
                <w:sz w:val="20"/>
                <w:szCs w:val="20"/>
              </w:rPr>
              <w:t xml:space="preserve">$49.71 </w:t>
            </w:r>
          </w:p>
        </w:tc>
        <w:tc>
          <w:tcPr>
            <w:tcW w:w="1260" w:type="dxa"/>
            <w:vAlign w:val="center"/>
          </w:tcPr>
          <w:p w:rsidR="00F519BD" w:rsidRPr="00BC1D19" w:rsidP="003737FC" w14:paraId="51C40F7B" w14:textId="39D86230">
            <w:pPr>
              <w:widowControl w:val="0"/>
              <w:autoSpaceDE w:val="0"/>
              <w:autoSpaceDN w:val="0"/>
              <w:adjustRightInd w:val="0"/>
              <w:jc w:val="center"/>
              <w:rPr>
                <w:bCs/>
                <w:color w:val="000000"/>
                <w:sz w:val="20"/>
                <w:szCs w:val="20"/>
              </w:rPr>
            </w:pPr>
            <w:r w:rsidRPr="00BC1D19">
              <w:rPr>
                <w:bCs/>
                <w:color w:val="000000"/>
                <w:sz w:val="20"/>
                <w:szCs w:val="20"/>
              </w:rPr>
              <w:t>$</w:t>
            </w:r>
            <w:r w:rsidRPr="00BC1D19" w:rsidR="00B97CC8">
              <w:rPr>
                <w:bCs/>
                <w:color w:val="000000"/>
                <w:sz w:val="20"/>
                <w:szCs w:val="20"/>
              </w:rPr>
              <w:t>190,</w:t>
            </w:r>
            <w:r w:rsidRPr="00BC1D19" w:rsidR="00AF1392">
              <w:rPr>
                <w:bCs/>
                <w:color w:val="000000"/>
                <w:sz w:val="20"/>
                <w:szCs w:val="20"/>
              </w:rPr>
              <w:t>638</w:t>
            </w:r>
            <w:r w:rsidRPr="00BC1D19">
              <w:rPr>
                <w:bCs/>
                <w:color w:val="000000"/>
                <w:sz w:val="20"/>
                <w:szCs w:val="20"/>
              </w:rPr>
              <w:t xml:space="preserve"> </w:t>
            </w:r>
          </w:p>
        </w:tc>
      </w:tr>
      <w:tr w14:paraId="45BC1C60" w14:textId="77777777" w:rsidTr="0018520C">
        <w:tblPrEx>
          <w:tblW w:w="11160" w:type="dxa"/>
          <w:tblInd w:w="-792" w:type="dxa"/>
          <w:tblLayout w:type="fixed"/>
          <w:tblLook w:val="01E0"/>
        </w:tblPrEx>
        <w:trPr>
          <w:trHeight w:val="102"/>
        </w:trPr>
        <w:tc>
          <w:tcPr>
            <w:tcW w:w="1350" w:type="dxa"/>
            <w:vAlign w:val="center"/>
          </w:tcPr>
          <w:p w:rsidR="00F519BD" w:rsidRPr="00BC1D19" w:rsidP="00F519BD" w14:paraId="3BCC6563" w14:textId="77777777">
            <w:pPr>
              <w:widowControl w:val="0"/>
              <w:autoSpaceDE w:val="0"/>
              <w:autoSpaceDN w:val="0"/>
              <w:adjustRightInd w:val="0"/>
              <w:rPr>
                <w:bCs/>
                <w:color w:val="000000"/>
                <w:sz w:val="20"/>
                <w:szCs w:val="20"/>
              </w:rPr>
            </w:pPr>
            <w:r w:rsidRPr="00BC1D19">
              <w:rPr>
                <w:bCs/>
                <w:color w:val="000000"/>
                <w:sz w:val="20"/>
                <w:szCs w:val="20"/>
              </w:rPr>
              <w:t>Private Sector—Business or other for-profit; Not-for-profit organizations</w:t>
            </w:r>
          </w:p>
        </w:tc>
        <w:tc>
          <w:tcPr>
            <w:tcW w:w="1530" w:type="dxa"/>
            <w:vAlign w:val="center"/>
          </w:tcPr>
          <w:p w:rsidR="00F519BD" w:rsidRPr="00BC1D19" w:rsidP="00F519BD" w14:paraId="2B5A6CA5" w14:textId="3D3B9C23">
            <w:pPr>
              <w:widowControl w:val="0"/>
              <w:autoSpaceDE w:val="0"/>
              <w:autoSpaceDN w:val="0"/>
              <w:adjustRightInd w:val="0"/>
              <w:rPr>
                <w:bCs/>
                <w:color w:val="000000"/>
                <w:sz w:val="20"/>
                <w:szCs w:val="20"/>
              </w:rPr>
            </w:pPr>
            <w:r w:rsidRPr="00BC1D19">
              <w:rPr>
                <w:bCs/>
                <w:color w:val="000000"/>
                <w:sz w:val="20"/>
                <w:szCs w:val="20"/>
              </w:rPr>
              <w:t>H-1B Employers Only</w:t>
            </w:r>
            <w:r w:rsidRPr="00BC1D19">
              <w:rPr>
                <w:bCs/>
                <w:color w:val="000000"/>
                <w:sz w:val="20"/>
                <w:szCs w:val="20"/>
              </w:rPr>
              <w:t>-  Determination</w:t>
            </w:r>
            <w:r w:rsidRPr="00BC1D19">
              <w:rPr>
                <w:bCs/>
                <w:color w:val="000000"/>
                <w:sz w:val="20"/>
                <w:szCs w:val="20"/>
              </w:rPr>
              <w:t xml:space="preserve"> of H-1B Dependency-Document Retention*</w:t>
            </w:r>
          </w:p>
        </w:tc>
        <w:tc>
          <w:tcPr>
            <w:tcW w:w="1350" w:type="dxa"/>
            <w:vAlign w:val="center"/>
          </w:tcPr>
          <w:p w:rsidR="00F519BD" w:rsidRPr="00BC1D19" w:rsidP="003737FC" w14:paraId="4706BC13" w14:textId="32E1B63E">
            <w:pPr>
              <w:widowControl w:val="0"/>
              <w:autoSpaceDE w:val="0"/>
              <w:autoSpaceDN w:val="0"/>
              <w:adjustRightInd w:val="0"/>
              <w:jc w:val="center"/>
              <w:rPr>
                <w:bCs/>
                <w:color w:val="000000"/>
                <w:sz w:val="20"/>
                <w:szCs w:val="20"/>
              </w:rPr>
            </w:pPr>
            <w:r w:rsidRPr="00BC1D19">
              <w:rPr>
                <w:bCs/>
                <w:color w:val="000000"/>
                <w:sz w:val="20"/>
                <w:szCs w:val="20"/>
              </w:rPr>
              <w:t xml:space="preserve">2,666 </w:t>
            </w:r>
          </w:p>
        </w:tc>
        <w:tc>
          <w:tcPr>
            <w:tcW w:w="1260" w:type="dxa"/>
            <w:vAlign w:val="center"/>
          </w:tcPr>
          <w:p w:rsidR="00F519BD" w:rsidRPr="00BC1D19" w:rsidP="003737FC" w14:paraId="6869FF57" w14:textId="00E10CDB">
            <w:pPr>
              <w:widowControl w:val="0"/>
              <w:autoSpaceDE w:val="0"/>
              <w:autoSpaceDN w:val="0"/>
              <w:adjustRightInd w:val="0"/>
              <w:jc w:val="center"/>
              <w:rPr>
                <w:bCs/>
                <w:color w:val="000000"/>
                <w:sz w:val="20"/>
                <w:szCs w:val="20"/>
              </w:rPr>
            </w:pPr>
            <w:r w:rsidRPr="00BC1D19">
              <w:rPr>
                <w:bCs/>
                <w:color w:val="000000"/>
                <w:sz w:val="20"/>
                <w:szCs w:val="20"/>
              </w:rPr>
              <w:t>1</w:t>
            </w:r>
          </w:p>
        </w:tc>
        <w:tc>
          <w:tcPr>
            <w:tcW w:w="1170" w:type="dxa"/>
            <w:vAlign w:val="center"/>
          </w:tcPr>
          <w:p w:rsidR="00F519BD" w:rsidRPr="00BC1D19" w:rsidP="003737FC" w14:paraId="45758FA9" w14:textId="181945F6">
            <w:pPr>
              <w:widowControl w:val="0"/>
              <w:autoSpaceDE w:val="0"/>
              <w:autoSpaceDN w:val="0"/>
              <w:adjustRightInd w:val="0"/>
              <w:jc w:val="center"/>
              <w:rPr>
                <w:bCs/>
                <w:color w:val="000000"/>
                <w:sz w:val="20"/>
                <w:szCs w:val="20"/>
              </w:rPr>
            </w:pPr>
            <w:r w:rsidRPr="00BC1D19">
              <w:rPr>
                <w:bCs/>
                <w:color w:val="000000"/>
                <w:sz w:val="20"/>
                <w:szCs w:val="20"/>
              </w:rPr>
              <w:t xml:space="preserve">2,666 </w:t>
            </w:r>
          </w:p>
        </w:tc>
        <w:tc>
          <w:tcPr>
            <w:tcW w:w="1080" w:type="dxa"/>
            <w:vAlign w:val="center"/>
          </w:tcPr>
          <w:p w:rsidR="00F519BD" w:rsidRPr="00BC1D19" w:rsidP="003737FC" w14:paraId="4A15252E" w14:textId="3D541270">
            <w:pPr>
              <w:widowControl w:val="0"/>
              <w:autoSpaceDE w:val="0"/>
              <w:autoSpaceDN w:val="0"/>
              <w:adjustRightInd w:val="0"/>
              <w:jc w:val="center"/>
              <w:rPr>
                <w:bCs/>
                <w:color w:val="000000"/>
                <w:sz w:val="20"/>
                <w:szCs w:val="20"/>
              </w:rPr>
            </w:pPr>
            <w:r w:rsidRPr="00BC1D19">
              <w:rPr>
                <w:bCs/>
                <w:color w:val="000000"/>
                <w:sz w:val="20"/>
                <w:szCs w:val="20"/>
              </w:rPr>
              <w:t>0.05</w:t>
            </w:r>
          </w:p>
        </w:tc>
        <w:tc>
          <w:tcPr>
            <w:tcW w:w="900" w:type="dxa"/>
            <w:vAlign w:val="center"/>
          </w:tcPr>
          <w:p w:rsidR="00F519BD" w:rsidRPr="00BC1D19" w:rsidP="003737FC" w14:paraId="284026EF" w14:textId="1C9DB540">
            <w:pPr>
              <w:widowControl w:val="0"/>
              <w:autoSpaceDE w:val="0"/>
              <w:autoSpaceDN w:val="0"/>
              <w:adjustRightInd w:val="0"/>
              <w:jc w:val="center"/>
              <w:rPr>
                <w:bCs/>
                <w:color w:val="000000"/>
                <w:sz w:val="20"/>
                <w:szCs w:val="20"/>
              </w:rPr>
            </w:pPr>
            <w:r w:rsidRPr="00BC1D19">
              <w:rPr>
                <w:bCs/>
                <w:color w:val="000000"/>
                <w:sz w:val="20"/>
                <w:szCs w:val="20"/>
              </w:rPr>
              <w:t>133</w:t>
            </w:r>
          </w:p>
        </w:tc>
        <w:tc>
          <w:tcPr>
            <w:tcW w:w="1260" w:type="dxa"/>
            <w:vAlign w:val="center"/>
          </w:tcPr>
          <w:p w:rsidR="00F519BD" w:rsidRPr="00BC1D19" w:rsidP="003737FC" w14:paraId="402274C4" w14:textId="377A3926">
            <w:pPr>
              <w:widowControl w:val="0"/>
              <w:autoSpaceDE w:val="0"/>
              <w:autoSpaceDN w:val="0"/>
              <w:adjustRightInd w:val="0"/>
              <w:jc w:val="center"/>
              <w:rPr>
                <w:bCs/>
                <w:color w:val="000000"/>
                <w:sz w:val="20"/>
                <w:szCs w:val="20"/>
              </w:rPr>
            </w:pPr>
            <w:r w:rsidRPr="00BC1D19">
              <w:rPr>
                <w:rFonts w:eastAsia="Calibri"/>
                <w:bCs/>
                <w:color w:val="000000"/>
                <w:sz w:val="20"/>
                <w:szCs w:val="20"/>
              </w:rPr>
              <w:t xml:space="preserve">$49.71 </w:t>
            </w:r>
          </w:p>
        </w:tc>
        <w:tc>
          <w:tcPr>
            <w:tcW w:w="1260" w:type="dxa"/>
            <w:vAlign w:val="center"/>
          </w:tcPr>
          <w:p w:rsidR="00F519BD" w:rsidRPr="00BC1D19" w:rsidP="00184C1F" w14:paraId="16834A0A" w14:textId="45EDBE58">
            <w:pPr>
              <w:widowControl w:val="0"/>
              <w:autoSpaceDE w:val="0"/>
              <w:autoSpaceDN w:val="0"/>
              <w:adjustRightInd w:val="0"/>
              <w:jc w:val="center"/>
              <w:rPr>
                <w:bCs/>
                <w:color w:val="000000"/>
                <w:sz w:val="20"/>
                <w:szCs w:val="20"/>
              </w:rPr>
            </w:pPr>
            <w:r w:rsidRPr="00BC1D19">
              <w:rPr>
                <w:bCs/>
                <w:color w:val="000000"/>
                <w:sz w:val="20"/>
                <w:szCs w:val="20"/>
              </w:rPr>
              <w:t>$6611</w:t>
            </w:r>
          </w:p>
        </w:tc>
      </w:tr>
      <w:tr w14:paraId="6C7EE165" w14:textId="77777777" w:rsidTr="0018520C">
        <w:tblPrEx>
          <w:tblW w:w="11160" w:type="dxa"/>
          <w:tblInd w:w="-792" w:type="dxa"/>
          <w:tblLayout w:type="fixed"/>
          <w:tblLook w:val="01E0"/>
        </w:tblPrEx>
        <w:trPr>
          <w:trHeight w:val="102"/>
        </w:trPr>
        <w:tc>
          <w:tcPr>
            <w:tcW w:w="1350" w:type="dxa"/>
            <w:vAlign w:val="center"/>
          </w:tcPr>
          <w:p w:rsidR="00FC60AC" w:rsidRPr="00BC1D19" w:rsidP="00FC60AC" w14:paraId="5C99784C" w14:textId="77777777">
            <w:pPr>
              <w:widowControl w:val="0"/>
              <w:autoSpaceDE w:val="0"/>
              <w:autoSpaceDN w:val="0"/>
              <w:adjustRightInd w:val="0"/>
              <w:rPr>
                <w:bCs/>
                <w:color w:val="000000"/>
                <w:sz w:val="20"/>
                <w:szCs w:val="20"/>
              </w:rPr>
            </w:pPr>
            <w:r w:rsidRPr="00BC1D19">
              <w:rPr>
                <w:bCs/>
                <w:color w:val="000000"/>
                <w:sz w:val="20"/>
                <w:szCs w:val="20"/>
              </w:rPr>
              <w:t>Private Sector—Business or other for-profit; Not-for-profit organizations</w:t>
            </w:r>
          </w:p>
        </w:tc>
        <w:tc>
          <w:tcPr>
            <w:tcW w:w="1530" w:type="dxa"/>
            <w:vAlign w:val="center"/>
          </w:tcPr>
          <w:p w:rsidR="00FC60AC" w:rsidRPr="00BC1D19" w:rsidP="00FC60AC" w14:paraId="06A8EB42" w14:textId="77777777">
            <w:pPr>
              <w:widowControl w:val="0"/>
              <w:autoSpaceDE w:val="0"/>
              <w:autoSpaceDN w:val="0"/>
              <w:adjustRightInd w:val="0"/>
              <w:rPr>
                <w:bCs/>
                <w:color w:val="000000"/>
                <w:sz w:val="20"/>
                <w:szCs w:val="20"/>
              </w:rPr>
            </w:pPr>
            <w:r w:rsidRPr="00BC1D19">
              <w:rPr>
                <w:bCs/>
                <w:color w:val="000000"/>
                <w:sz w:val="20"/>
                <w:szCs w:val="20"/>
              </w:rPr>
              <w:t>List of Exempt H-1B Employees in Public Access File*</w:t>
            </w:r>
          </w:p>
        </w:tc>
        <w:tc>
          <w:tcPr>
            <w:tcW w:w="1350" w:type="dxa"/>
            <w:shd w:val="clear" w:color="auto" w:fill="auto"/>
            <w:vAlign w:val="center"/>
          </w:tcPr>
          <w:p w:rsidR="00FC60AC" w:rsidRPr="00BC1D19" w:rsidP="003737FC" w14:paraId="1955E8D1" w14:textId="4CAC0F35">
            <w:pPr>
              <w:widowControl w:val="0"/>
              <w:autoSpaceDE w:val="0"/>
              <w:autoSpaceDN w:val="0"/>
              <w:adjustRightInd w:val="0"/>
              <w:jc w:val="center"/>
              <w:rPr>
                <w:bCs/>
                <w:color w:val="000000"/>
                <w:sz w:val="20"/>
                <w:szCs w:val="20"/>
              </w:rPr>
            </w:pPr>
            <w:r w:rsidRPr="00BC1D19">
              <w:rPr>
                <w:bCs/>
                <w:color w:val="000000"/>
                <w:sz w:val="20"/>
                <w:szCs w:val="20"/>
              </w:rPr>
              <w:t xml:space="preserve">3,775 </w:t>
            </w:r>
          </w:p>
        </w:tc>
        <w:tc>
          <w:tcPr>
            <w:tcW w:w="1260" w:type="dxa"/>
            <w:shd w:val="clear" w:color="auto" w:fill="auto"/>
            <w:vAlign w:val="center"/>
          </w:tcPr>
          <w:p w:rsidR="00FC60AC" w:rsidRPr="00BC1D19" w:rsidP="003737FC" w14:paraId="0FD1695A" w14:textId="24916AA5">
            <w:pPr>
              <w:widowControl w:val="0"/>
              <w:autoSpaceDE w:val="0"/>
              <w:autoSpaceDN w:val="0"/>
              <w:adjustRightInd w:val="0"/>
              <w:jc w:val="center"/>
              <w:rPr>
                <w:bCs/>
                <w:color w:val="000000"/>
                <w:sz w:val="20"/>
                <w:szCs w:val="20"/>
              </w:rPr>
            </w:pPr>
            <w:r w:rsidRPr="00BC1D19">
              <w:rPr>
                <w:bCs/>
                <w:color w:val="000000"/>
                <w:sz w:val="20"/>
                <w:szCs w:val="20"/>
              </w:rPr>
              <w:t>1</w:t>
            </w:r>
          </w:p>
        </w:tc>
        <w:tc>
          <w:tcPr>
            <w:tcW w:w="1170" w:type="dxa"/>
            <w:shd w:val="clear" w:color="auto" w:fill="auto"/>
            <w:vAlign w:val="center"/>
          </w:tcPr>
          <w:p w:rsidR="00FC60AC" w:rsidRPr="00BC1D19" w:rsidP="003737FC" w14:paraId="6FC369D9" w14:textId="7FD04AE7">
            <w:pPr>
              <w:widowControl w:val="0"/>
              <w:autoSpaceDE w:val="0"/>
              <w:autoSpaceDN w:val="0"/>
              <w:adjustRightInd w:val="0"/>
              <w:jc w:val="center"/>
              <w:rPr>
                <w:bCs/>
                <w:color w:val="000000"/>
                <w:sz w:val="20"/>
                <w:szCs w:val="20"/>
              </w:rPr>
            </w:pPr>
            <w:r w:rsidRPr="00BC1D19">
              <w:rPr>
                <w:bCs/>
                <w:color w:val="000000"/>
                <w:sz w:val="20"/>
                <w:szCs w:val="20"/>
              </w:rPr>
              <w:t xml:space="preserve">3,775 </w:t>
            </w:r>
          </w:p>
        </w:tc>
        <w:tc>
          <w:tcPr>
            <w:tcW w:w="1080" w:type="dxa"/>
            <w:shd w:val="clear" w:color="auto" w:fill="auto"/>
            <w:vAlign w:val="center"/>
          </w:tcPr>
          <w:p w:rsidR="00FC60AC" w:rsidRPr="00BC1D19" w:rsidP="003737FC" w14:paraId="36C0A6F7" w14:textId="63FFAB40">
            <w:pPr>
              <w:widowControl w:val="0"/>
              <w:autoSpaceDE w:val="0"/>
              <w:autoSpaceDN w:val="0"/>
              <w:adjustRightInd w:val="0"/>
              <w:jc w:val="center"/>
              <w:rPr>
                <w:bCs/>
                <w:color w:val="000000"/>
                <w:sz w:val="20"/>
                <w:szCs w:val="20"/>
              </w:rPr>
            </w:pPr>
            <w:r w:rsidRPr="00BC1D19">
              <w:rPr>
                <w:bCs/>
                <w:color w:val="000000"/>
                <w:sz w:val="20"/>
                <w:szCs w:val="20"/>
              </w:rPr>
              <w:t>0.25</w:t>
            </w:r>
          </w:p>
        </w:tc>
        <w:tc>
          <w:tcPr>
            <w:tcW w:w="900" w:type="dxa"/>
            <w:shd w:val="clear" w:color="auto" w:fill="auto"/>
            <w:vAlign w:val="center"/>
          </w:tcPr>
          <w:p w:rsidR="00FC60AC" w:rsidRPr="00BC1D19" w:rsidP="003737FC" w14:paraId="17D21265" w14:textId="74D67A46">
            <w:pPr>
              <w:widowControl w:val="0"/>
              <w:autoSpaceDE w:val="0"/>
              <w:autoSpaceDN w:val="0"/>
              <w:adjustRightInd w:val="0"/>
              <w:jc w:val="center"/>
              <w:rPr>
                <w:bCs/>
                <w:color w:val="000000"/>
                <w:sz w:val="20"/>
                <w:szCs w:val="20"/>
              </w:rPr>
            </w:pPr>
            <w:r w:rsidRPr="00BC1D19">
              <w:rPr>
                <w:bCs/>
                <w:color w:val="000000"/>
                <w:sz w:val="20"/>
                <w:szCs w:val="20"/>
              </w:rPr>
              <w:t xml:space="preserve">944 </w:t>
            </w:r>
          </w:p>
        </w:tc>
        <w:tc>
          <w:tcPr>
            <w:tcW w:w="1260" w:type="dxa"/>
            <w:shd w:val="clear" w:color="auto" w:fill="auto"/>
            <w:vAlign w:val="center"/>
          </w:tcPr>
          <w:p w:rsidR="00FC60AC" w:rsidRPr="00BC1D19" w:rsidP="003737FC" w14:paraId="71187D29" w14:textId="0785A4B1">
            <w:pPr>
              <w:widowControl w:val="0"/>
              <w:autoSpaceDE w:val="0"/>
              <w:autoSpaceDN w:val="0"/>
              <w:adjustRightInd w:val="0"/>
              <w:jc w:val="center"/>
              <w:rPr>
                <w:bCs/>
                <w:color w:val="000000"/>
                <w:sz w:val="20"/>
                <w:szCs w:val="20"/>
              </w:rPr>
            </w:pPr>
            <w:r w:rsidRPr="00BC1D19">
              <w:rPr>
                <w:rFonts w:eastAsia="Calibri"/>
                <w:bCs/>
                <w:color w:val="000000"/>
                <w:sz w:val="20"/>
                <w:szCs w:val="20"/>
              </w:rPr>
              <w:t xml:space="preserve">$49.71 </w:t>
            </w:r>
          </w:p>
        </w:tc>
        <w:tc>
          <w:tcPr>
            <w:tcW w:w="1260" w:type="dxa"/>
            <w:shd w:val="clear" w:color="auto" w:fill="auto"/>
            <w:vAlign w:val="center"/>
          </w:tcPr>
          <w:p w:rsidR="00FC60AC" w:rsidRPr="00BC1D19" w:rsidP="003737FC" w14:paraId="5386913E" w14:textId="38F07C52">
            <w:pPr>
              <w:widowControl w:val="0"/>
              <w:autoSpaceDE w:val="0"/>
              <w:autoSpaceDN w:val="0"/>
              <w:adjustRightInd w:val="0"/>
              <w:jc w:val="center"/>
              <w:rPr>
                <w:bCs/>
                <w:color w:val="000000"/>
                <w:sz w:val="20"/>
                <w:szCs w:val="20"/>
              </w:rPr>
            </w:pPr>
            <w:r w:rsidRPr="00BC1D19">
              <w:rPr>
                <w:bCs/>
                <w:color w:val="000000"/>
                <w:sz w:val="20"/>
                <w:szCs w:val="20"/>
              </w:rPr>
              <w:t>$4</w:t>
            </w:r>
            <w:r w:rsidRPr="00BC1D19" w:rsidR="0092433D">
              <w:rPr>
                <w:bCs/>
                <w:color w:val="000000"/>
                <w:sz w:val="20"/>
                <w:szCs w:val="20"/>
              </w:rPr>
              <w:t>6,926</w:t>
            </w:r>
            <w:r w:rsidRPr="00BC1D19">
              <w:rPr>
                <w:bCs/>
                <w:color w:val="000000"/>
                <w:sz w:val="20"/>
                <w:szCs w:val="20"/>
              </w:rPr>
              <w:t xml:space="preserve"> </w:t>
            </w:r>
          </w:p>
        </w:tc>
      </w:tr>
      <w:tr w14:paraId="63424FD0" w14:textId="77777777" w:rsidTr="0018520C">
        <w:tblPrEx>
          <w:tblW w:w="11160" w:type="dxa"/>
          <w:tblInd w:w="-792" w:type="dxa"/>
          <w:tblLayout w:type="fixed"/>
          <w:tblLook w:val="01E0"/>
        </w:tblPrEx>
        <w:trPr>
          <w:trHeight w:val="102"/>
        </w:trPr>
        <w:tc>
          <w:tcPr>
            <w:tcW w:w="1350" w:type="dxa"/>
            <w:tcBorders>
              <w:top w:val="single" w:sz="4" w:space="0" w:color="auto"/>
              <w:left w:val="single" w:sz="4" w:space="0" w:color="auto"/>
              <w:bottom w:val="single" w:sz="4" w:space="0" w:color="auto"/>
              <w:right w:val="single" w:sz="4" w:space="0" w:color="auto"/>
            </w:tcBorders>
            <w:vAlign w:val="center"/>
          </w:tcPr>
          <w:p w:rsidR="0018520C" w:rsidRPr="00BC1D19" w:rsidP="002311D3" w14:paraId="3CC15E24" w14:textId="77777777">
            <w:pPr>
              <w:widowControl w:val="0"/>
              <w:autoSpaceDE w:val="0"/>
              <w:autoSpaceDN w:val="0"/>
              <w:adjustRightInd w:val="0"/>
              <w:rPr>
                <w:bCs/>
                <w:color w:val="000000"/>
                <w:sz w:val="20"/>
                <w:szCs w:val="20"/>
              </w:rPr>
            </w:pPr>
            <w:r w:rsidRPr="00BC1D19">
              <w:rPr>
                <w:bCs/>
                <w:color w:val="000000"/>
                <w:sz w:val="20"/>
                <w:szCs w:val="20"/>
              </w:rPr>
              <w:t>Private Sector—Business or other for-profit; Not-for-profit organizations</w:t>
            </w:r>
          </w:p>
        </w:tc>
        <w:tc>
          <w:tcPr>
            <w:tcW w:w="1530" w:type="dxa"/>
            <w:tcBorders>
              <w:top w:val="single" w:sz="4" w:space="0" w:color="auto"/>
              <w:left w:val="single" w:sz="4" w:space="0" w:color="auto"/>
              <w:bottom w:val="single" w:sz="4" w:space="0" w:color="auto"/>
              <w:right w:val="single" w:sz="4" w:space="0" w:color="auto"/>
            </w:tcBorders>
            <w:vAlign w:val="center"/>
          </w:tcPr>
          <w:p w:rsidR="0018520C" w:rsidRPr="00BC1D19" w:rsidP="002311D3" w14:paraId="61456511" w14:textId="77777777">
            <w:pPr>
              <w:widowControl w:val="0"/>
              <w:autoSpaceDE w:val="0"/>
              <w:autoSpaceDN w:val="0"/>
              <w:adjustRightInd w:val="0"/>
              <w:rPr>
                <w:bCs/>
                <w:color w:val="000000"/>
                <w:sz w:val="20"/>
                <w:szCs w:val="20"/>
              </w:rPr>
            </w:pPr>
            <w:r w:rsidRPr="0018520C">
              <w:rPr>
                <w:bCs/>
                <w:color w:val="000000"/>
                <w:sz w:val="20"/>
                <w:szCs w:val="20"/>
              </w:rPr>
              <w:t>Appendix A Completion and Documentation: Educational Degree Attainment for Exempt H-1B Nonimmigrants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520C" w:rsidRPr="00BC1D19" w:rsidP="002311D3" w14:paraId="3E431CC9" w14:textId="77777777">
            <w:pPr>
              <w:widowControl w:val="0"/>
              <w:autoSpaceDE w:val="0"/>
              <w:autoSpaceDN w:val="0"/>
              <w:adjustRightInd w:val="0"/>
              <w:jc w:val="center"/>
              <w:rPr>
                <w:bCs/>
                <w:color w:val="000000"/>
                <w:sz w:val="20"/>
                <w:szCs w:val="20"/>
              </w:rPr>
            </w:pPr>
            <w:r w:rsidRPr="00BC1D19">
              <w:rPr>
                <w:bCs/>
                <w:color w:val="000000"/>
                <w:sz w:val="20"/>
                <w:szCs w:val="20"/>
              </w:rPr>
              <w:t xml:space="preserve">153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520C" w:rsidRPr="00BC1D19" w:rsidP="002311D3" w14:paraId="2FB41C2B" w14:textId="77777777">
            <w:pPr>
              <w:widowControl w:val="0"/>
              <w:autoSpaceDE w:val="0"/>
              <w:autoSpaceDN w:val="0"/>
              <w:adjustRightInd w:val="0"/>
              <w:jc w:val="center"/>
              <w:rPr>
                <w:bCs/>
                <w:color w:val="000000"/>
                <w:sz w:val="20"/>
                <w:szCs w:val="20"/>
              </w:rPr>
            </w:pPr>
            <w:r w:rsidRPr="00BC1D19">
              <w:rPr>
                <w:bCs/>
                <w:color w:val="000000"/>
                <w:sz w:val="20"/>
                <w:szCs w:val="20"/>
              </w:rPr>
              <w:t>3.163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8520C" w:rsidRPr="00BC1D19" w:rsidP="002311D3" w14:paraId="2BA96C99" w14:textId="77777777">
            <w:pPr>
              <w:widowControl w:val="0"/>
              <w:autoSpaceDE w:val="0"/>
              <w:autoSpaceDN w:val="0"/>
              <w:adjustRightInd w:val="0"/>
              <w:jc w:val="center"/>
              <w:rPr>
                <w:bCs/>
                <w:color w:val="000000"/>
                <w:sz w:val="20"/>
                <w:szCs w:val="20"/>
              </w:rPr>
            </w:pPr>
            <w:r w:rsidRPr="00BC1D19">
              <w:rPr>
                <w:bCs/>
                <w:color w:val="000000"/>
                <w:sz w:val="20"/>
                <w:szCs w:val="20"/>
              </w:rPr>
              <w:t xml:space="preserve">484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8520C" w:rsidRPr="00BC1D19" w:rsidP="002311D3" w14:paraId="1DB7EE4B" w14:textId="77777777">
            <w:pPr>
              <w:widowControl w:val="0"/>
              <w:autoSpaceDE w:val="0"/>
              <w:autoSpaceDN w:val="0"/>
              <w:adjustRightInd w:val="0"/>
              <w:jc w:val="center"/>
              <w:rPr>
                <w:bCs/>
                <w:color w:val="000000"/>
                <w:sz w:val="20"/>
                <w:szCs w:val="20"/>
              </w:rPr>
            </w:pPr>
            <w:r w:rsidRPr="00BC1D19">
              <w:rPr>
                <w:bCs/>
                <w:color w:val="000000"/>
                <w:sz w:val="20"/>
                <w:szCs w:val="20"/>
              </w:rPr>
              <w:t>0.3333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520C" w:rsidRPr="00BC1D19" w:rsidP="002311D3" w14:paraId="343D7C61" w14:textId="77777777">
            <w:pPr>
              <w:widowControl w:val="0"/>
              <w:autoSpaceDE w:val="0"/>
              <w:autoSpaceDN w:val="0"/>
              <w:adjustRightInd w:val="0"/>
              <w:jc w:val="center"/>
              <w:rPr>
                <w:bCs/>
                <w:color w:val="000000"/>
                <w:sz w:val="20"/>
                <w:szCs w:val="20"/>
              </w:rPr>
            </w:pPr>
            <w:r w:rsidRPr="00BC1D19">
              <w:rPr>
                <w:bCs/>
                <w:color w:val="000000"/>
                <w:sz w:val="20"/>
                <w:szCs w:val="20"/>
              </w:rPr>
              <w:t xml:space="preserve">161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520C" w:rsidRPr="0018520C" w:rsidP="002311D3" w14:paraId="35D95381" w14:textId="77777777">
            <w:pPr>
              <w:widowControl w:val="0"/>
              <w:autoSpaceDE w:val="0"/>
              <w:autoSpaceDN w:val="0"/>
              <w:adjustRightInd w:val="0"/>
              <w:jc w:val="center"/>
              <w:rPr>
                <w:rFonts w:eastAsia="Calibri"/>
                <w:bCs/>
                <w:color w:val="000000"/>
                <w:sz w:val="20"/>
                <w:szCs w:val="20"/>
              </w:rPr>
            </w:pPr>
            <w:r w:rsidRPr="00BC1D19">
              <w:rPr>
                <w:rFonts w:eastAsia="Calibri"/>
                <w:bCs/>
                <w:color w:val="000000"/>
                <w:sz w:val="20"/>
                <w:szCs w:val="20"/>
              </w:rPr>
              <w:t xml:space="preserve">$49.71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520C" w:rsidRPr="00BC1D19" w:rsidP="002311D3" w14:paraId="6D655387" w14:textId="19377EB2">
            <w:pPr>
              <w:widowControl w:val="0"/>
              <w:autoSpaceDE w:val="0"/>
              <w:autoSpaceDN w:val="0"/>
              <w:adjustRightInd w:val="0"/>
              <w:jc w:val="center"/>
              <w:rPr>
                <w:bCs/>
                <w:color w:val="000000"/>
                <w:sz w:val="20"/>
                <w:szCs w:val="20"/>
              </w:rPr>
            </w:pPr>
            <w:r w:rsidRPr="00BC1D19">
              <w:rPr>
                <w:bCs/>
                <w:color w:val="000000"/>
                <w:sz w:val="20"/>
                <w:szCs w:val="20"/>
              </w:rPr>
              <w:t>$8</w:t>
            </w:r>
            <w:r>
              <w:rPr>
                <w:bCs/>
                <w:color w:val="000000"/>
                <w:sz w:val="20"/>
                <w:szCs w:val="20"/>
              </w:rPr>
              <w:t>,</w:t>
            </w:r>
            <w:r w:rsidRPr="00BC1D19">
              <w:rPr>
                <w:bCs/>
                <w:color w:val="000000"/>
                <w:sz w:val="20"/>
                <w:szCs w:val="20"/>
              </w:rPr>
              <w:t xml:space="preserve">003 </w:t>
            </w:r>
          </w:p>
        </w:tc>
      </w:tr>
    </w:tbl>
    <w:p w:rsidR="00E663E1" w:rsidRPr="00974D81" w:rsidP="008E3676" w14:paraId="5A99D2C8"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RPr="00974D81" w:rsidP="008E3676" w14:paraId="5A381C7E"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RPr="00974D81" w:rsidP="008E3676" w14:paraId="35AA05CF"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0261BE" w:rsidRPr="00974D81" w:rsidP="008E3676" w14:paraId="56ADAF96" w14:textId="77777777">
      <w:pPr>
        <w:widowControl w:val="0"/>
        <w:tabs>
          <w:tab w:val="left" w:pos="400"/>
          <w:tab w:val="right" w:leader="dot" w:pos="9350"/>
        </w:tabs>
        <w:autoSpaceDE w:val="0"/>
        <w:autoSpaceDN w:val="0"/>
        <w:adjustRightInd w:val="0"/>
        <w:outlineLvl w:val="1"/>
        <w:rPr>
          <w:b/>
          <w:smallCaps/>
          <w:noProof/>
          <w:color w:val="000000"/>
          <w:sz w:val="26"/>
          <w:szCs w:val="26"/>
          <w:u w:val="single"/>
        </w:rPr>
      </w:pPr>
    </w:p>
    <w:p w:rsidR="008E3676" w:rsidRPr="00974D81" w:rsidP="00625FDB" w14:paraId="551B87ED" w14:textId="3BDAD56E">
      <w:pPr>
        <w:widowControl w:val="0"/>
        <w:tabs>
          <w:tab w:val="left" w:pos="400"/>
          <w:tab w:val="right" w:leader="dot" w:pos="9350"/>
        </w:tabs>
        <w:autoSpaceDE w:val="0"/>
        <w:autoSpaceDN w:val="0"/>
        <w:adjustRightInd w:val="0"/>
        <w:jc w:val="center"/>
        <w:outlineLvl w:val="1"/>
        <w:rPr>
          <w:b/>
          <w:smallCaps/>
          <w:noProof/>
          <w:color w:val="000000"/>
          <w:sz w:val="26"/>
          <w:szCs w:val="26"/>
          <w:u w:val="single"/>
        </w:rPr>
      </w:pPr>
      <w:r w:rsidRPr="00974D81">
        <w:rPr>
          <w:u w:val="single"/>
        </w:rPr>
        <w:t>Table 2 Continued</w:t>
      </w:r>
    </w:p>
    <w:p w:rsidR="00FC60AC" w:rsidRPr="00974D81" w:rsidP="00907B32" w14:paraId="1C3A6EC9" w14:textId="77777777">
      <w:pPr>
        <w:widowControl w:val="0"/>
        <w:autoSpaceDE w:val="0"/>
        <w:autoSpaceDN w:val="0"/>
        <w:adjustRightInd w:val="0"/>
        <w:rPr>
          <w:b/>
          <w:color w:val="000000"/>
        </w:rPr>
      </w:pP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530"/>
        <w:gridCol w:w="1165"/>
        <w:gridCol w:w="1265"/>
        <w:gridCol w:w="1170"/>
        <w:gridCol w:w="1255"/>
        <w:gridCol w:w="995"/>
        <w:gridCol w:w="1170"/>
        <w:gridCol w:w="1260"/>
        <w:gridCol w:w="23"/>
      </w:tblGrid>
      <w:tr w14:paraId="325C23B3" w14:textId="77777777" w:rsidTr="00943D1F">
        <w:tblPrEx>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7"/>
          <w:jc w:val="center"/>
        </w:trPr>
        <w:tc>
          <w:tcPr>
            <w:tcW w:w="1620" w:type="dxa"/>
          </w:tcPr>
          <w:p w:rsidR="00F519BD" w:rsidRPr="00974D81" w:rsidP="0072120A" w14:paraId="08B8C6C7"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Type of Respondent</w:t>
            </w:r>
          </w:p>
        </w:tc>
        <w:tc>
          <w:tcPr>
            <w:tcW w:w="1530" w:type="dxa"/>
          </w:tcPr>
          <w:p w:rsidR="00F519BD" w:rsidRPr="00974D81" w:rsidP="0072120A" w14:paraId="33AE64C9"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Information Collection Activity</w:t>
            </w:r>
          </w:p>
        </w:tc>
        <w:tc>
          <w:tcPr>
            <w:tcW w:w="1165" w:type="dxa"/>
          </w:tcPr>
          <w:p w:rsidR="00F519BD" w:rsidRPr="00974D81" w:rsidP="0072120A" w14:paraId="445D381A"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No. of Respondents</w:t>
            </w:r>
          </w:p>
        </w:tc>
        <w:tc>
          <w:tcPr>
            <w:tcW w:w="1265" w:type="dxa"/>
          </w:tcPr>
          <w:p w:rsidR="00F519BD" w:rsidRPr="00974D81" w:rsidP="0072120A" w14:paraId="473E296B"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No. of Annual Responses per Respondent</w:t>
            </w:r>
          </w:p>
        </w:tc>
        <w:tc>
          <w:tcPr>
            <w:tcW w:w="1170" w:type="dxa"/>
          </w:tcPr>
          <w:p w:rsidR="00F519BD" w:rsidRPr="00974D81" w:rsidP="0072120A" w14:paraId="36C7BDE5" w14:textId="77777777">
            <w:pPr>
              <w:widowControl w:val="0"/>
              <w:autoSpaceDE w:val="0"/>
              <w:autoSpaceDN w:val="0"/>
              <w:adjustRightInd w:val="0"/>
              <w:jc w:val="center"/>
              <w:rPr>
                <w:rFonts w:eastAsia="Calibri"/>
                <w:b/>
                <w:bCs/>
                <w:color w:val="000000"/>
                <w:sz w:val="20"/>
                <w:szCs w:val="20"/>
              </w:rPr>
            </w:pPr>
            <w:r w:rsidRPr="00974D81">
              <w:rPr>
                <w:rFonts w:eastAsia="Calibri"/>
                <w:b/>
                <w:bCs/>
                <w:color w:val="000000"/>
                <w:sz w:val="20"/>
                <w:szCs w:val="20"/>
              </w:rPr>
              <w:t>Total Annual Responses</w:t>
            </w:r>
          </w:p>
        </w:tc>
        <w:tc>
          <w:tcPr>
            <w:tcW w:w="1255" w:type="dxa"/>
          </w:tcPr>
          <w:p w:rsidR="00F519BD" w:rsidRPr="00974D81" w:rsidP="0072120A" w14:paraId="27CCD3BC"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Avg. Burden per Response (in hours)</w:t>
            </w:r>
          </w:p>
        </w:tc>
        <w:tc>
          <w:tcPr>
            <w:tcW w:w="995" w:type="dxa"/>
          </w:tcPr>
          <w:p w:rsidR="00F519BD" w:rsidRPr="00974D81" w:rsidP="0072120A" w14:paraId="77E38918"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 xml:space="preserve">Total Annual Burden </w:t>
            </w:r>
            <w:r w:rsidRPr="00974D81">
              <w:rPr>
                <w:rFonts w:eastAsia="Calibri"/>
                <w:b/>
                <w:bCs/>
                <w:color w:val="000000"/>
                <w:sz w:val="20"/>
                <w:szCs w:val="20"/>
              </w:rPr>
              <w:br/>
              <w:t>(in hours)</w:t>
            </w:r>
          </w:p>
        </w:tc>
        <w:tc>
          <w:tcPr>
            <w:tcW w:w="1170" w:type="dxa"/>
          </w:tcPr>
          <w:p w:rsidR="00F519BD" w:rsidRPr="00974D81" w:rsidP="0072120A" w14:paraId="6F0F4797" w14:textId="37E05331">
            <w:pPr>
              <w:widowControl w:val="0"/>
              <w:autoSpaceDE w:val="0"/>
              <w:autoSpaceDN w:val="0"/>
              <w:adjustRightInd w:val="0"/>
              <w:jc w:val="center"/>
              <w:rPr>
                <w:bCs/>
                <w:color w:val="000000"/>
                <w:sz w:val="20"/>
                <w:szCs w:val="20"/>
              </w:rPr>
            </w:pPr>
            <w:r w:rsidRPr="00974D81">
              <w:rPr>
                <w:rFonts w:eastAsia="Calibri"/>
                <w:b/>
                <w:bCs/>
                <w:color w:val="000000"/>
                <w:sz w:val="20"/>
                <w:szCs w:val="20"/>
              </w:rPr>
              <w:t xml:space="preserve">Avg. Hourly </w:t>
            </w:r>
            <w:r w:rsidRPr="00974D81" w:rsidR="004B42E7">
              <w:rPr>
                <w:rFonts w:eastAsia="Calibri"/>
                <w:b/>
                <w:bCs/>
                <w:color w:val="000000"/>
                <w:sz w:val="20"/>
                <w:szCs w:val="20"/>
              </w:rPr>
              <w:t>Compensation</w:t>
            </w:r>
          </w:p>
        </w:tc>
        <w:tc>
          <w:tcPr>
            <w:tcW w:w="1283" w:type="dxa"/>
            <w:gridSpan w:val="2"/>
          </w:tcPr>
          <w:p w:rsidR="00F519BD" w:rsidRPr="00974D81" w:rsidP="0072120A" w14:paraId="383A5F05"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Total Annual Respondent Cost</w:t>
            </w:r>
          </w:p>
        </w:tc>
      </w:tr>
      <w:tr w14:paraId="4A2DB56F" w14:textId="77777777" w:rsidTr="00943D1F">
        <w:tblPrEx>
          <w:tblW w:w="11453" w:type="dxa"/>
          <w:jc w:val="center"/>
          <w:tblLayout w:type="fixed"/>
          <w:tblLook w:val="01E0"/>
        </w:tblPrEx>
        <w:trPr>
          <w:trHeight w:val="1768"/>
          <w:jc w:val="center"/>
        </w:trPr>
        <w:tc>
          <w:tcPr>
            <w:tcW w:w="1620" w:type="dxa"/>
            <w:vAlign w:val="center"/>
          </w:tcPr>
          <w:p w:rsidR="00F519BD" w:rsidRPr="00BC1D19" w:rsidP="00F519BD" w14:paraId="4C610B9C" w14:textId="77777777">
            <w:pPr>
              <w:widowControl w:val="0"/>
              <w:autoSpaceDE w:val="0"/>
              <w:autoSpaceDN w:val="0"/>
              <w:adjustRightInd w:val="0"/>
              <w:rPr>
                <w:bCs/>
                <w:color w:val="000000"/>
                <w:sz w:val="20"/>
                <w:szCs w:val="20"/>
              </w:rPr>
            </w:pPr>
            <w:r w:rsidRPr="00BC1D19">
              <w:rPr>
                <w:bCs/>
                <w:color w:val="000000"/>
                <w:sz w:val="20"/>
                <w:szCs w:val="20"/>
              </w:rPr>
              <w:t>Private Sector—Business or other for-profit; Not-for-profit organizations</w:t>
            </w:r>
          </w:p>
        </w:tc>
        <w:tc>
          <w:tcPr>
            <w:tcW w:w="1530" w:type="dxa"/>
            <w:vAlign w:val="center"/>
          </w:tcPr>
          <w:p w:rsidR="00F519BD" w:rsidRPr="00BC1D19" w:rsidP="00F519BD" w14:paraId="42073BD5" w14:textId="77777777">
            <w:pPr>
              <w:widowControl w:val="0"/>
              <w:autoSpaceDE w:val="0"/>
              <w:autoSpaceDN w:val="0"/>
              <w:adjustRightInd w:val="0"/>
              <w:rPr>
                <w:bCs/>
                <w:color w:val="000000"/>
                <w:sz w:val="20"/>
                <w:szCs w:val="20"/>
              </w:rPr>
            </w:pPr>
            <w:r w:rsidRPr="00BC1D19">
              <w:rPr>
                <w:bCs/>
                <w:color w:val="000000"/>
                <w:sz w:val="20"/>
                <w:szCs w:val="20"/>
              </w:rPr>
              <w:t>Record of Assurances of Non-displacement of U.S. Workers at Second Employer’s Worksite*</w:t>
            </w:r>
          </w:p>
        </w:tc>
        <w:tc>
          <w:tcPr>
            <w:tcW w:w="1165" w:type="dxa"/>
            <w:vAlign w:val="center"/>
          </w:tcPr>
          <w:p w:rsidR="00F519BD" w:rsidRPr="00BC1D19" w:rsidP="003737FC" w14:paraId="2A8F4441" w14:textId="0140D8D8">
            <w:pPr>
              <w:widowControl w:val="0"/>
              <w:autoSpaceDE w:val="0"/>
              <w:autoSpaceDN w:val="0"/>
              <w:adjustRightInd w:val="0"/>
              <w:jc w:val="center"/>
              <w:rPr>
                <w:bCs/>
                <w:color w:val="000000"/>
                <w:sz w:val="20"/>
                <w:szCs w:val="20"/>
              </w:rPr>
            </w:pPr>
            <w:r w:rsidRPr="00BC1D19">
              <w:rPr>
                <w:bCs/>
                <w:color w:val="000000"/>
                <w:sz w:val="20"/>
                <w:szCs w:val="20"/>
              </w:rPr>
              <w:t xml:space="preserve">154 </w:t>
            </w:r>
          </w:p>
        </w:tc>
        <w:tc>
          <w:tcPr>
            <w:tcW w:w="1265" w:type="dxa"/>
            <w:vAlign w:val="center"/>
          </w:tcPr>
          <w:p w:rsidR="00F519BD" w:rsidRPr="00BC1D19" w:rsidP="003737FC" w14:paraId="553A3E57" w14:textId="2FCB774A">
            <w:pPr>
              <w:widowControl w:val="0"/>
              <w:autoSpaceDE w:val="0"/>
              <w:autoSpaceDN w:val="0"/>
              <w:adjustRightInd w:val="0"/>
              <w:jc w:val="center"/>
              <w:rPr>
                <w:bCs/>
                <w:color w:val="000000"/>
                <w:sz w:val="20"/>
                <w:szCs w:val="20"/>
              </w:rPr>
            </w:pPr>
            <w:r w:rsidRPr="00BC1D19">
              <w:rPr>
                <w:bCs/>
                <w:color w:val="000000"/>
                <w:sz w:val="20"/>
                <w:szCs w:val="20"/>
              </w:rPr>
              <w:t>6.49</w:t>
            </w:r>
            <w:r w:rsidRPr="00BC1D19" w:rsidR="00AF1392">
              <w:rPr>
                <w:bCs/>
                <w:color w:val="000000"/>
                <w:sz w:val="20"/>
                <w:szCs w:val="20"/>
              </w:rPr>
              <w:t>4</w:t>
            </w:r>
            <w:r w:rsidRPr="00BC1D19">
              <w:rPr>
                <w:bCs/>
                <w:color w:val="000000"/>
                <w:sz w:val="20"/>
                <w:szCs w:val="20"/>
              </w:rPr>
              <w:t xml:space="preserve"> </w:t>
            </w:r>
          </w:p>
        </w:tc>
        <w:tc>
          <w:tcPr>
            <w:tcW w:w="1170" w:type="dxa"/>
            <w:vAlign w:val="center"/>
          </w:tcPr>
          <w:p w:rsidR="00F519BD" w:rsidRPr="00BC1D19" w:rsidP="003737FC" w14:paraId="36766972" w14:textId="7EAA948B">
            <w:pPr>
              <w:widowControl w:val="0"/>
              <w:autoSpaceDE w:val="0"/>
              <w:autoSpaceDN w:val="0"/>
              <w:adjustRightInd w:val="0"/>
              <w:jc w:val="center"/>
              <w:rPr>
                <w:bCs/>
                <w:color w:val="000000"/>
                <w:sz w:val="20"/>
                <w:szCs w:val="20"/>
              </w:rPr>
            </w:pPr>
            <w:r w:rsidRPr="00BC1D19">
              <w:rPr>
                <w:bCs/>
                <w:color w:val="000000"/>
                <w:sz w:val="20"/>
                <w:szCs w:val="20"/>
              </w:rPr>
              <w:t>1,000</w:t>
            </w:r>
          </w:p>
        </w:tc>
        <w:tc>
          <w:tcPr>
            <w:tcW w:w="1255" w:type="dxa"/>
            <w:vAlign w:val="center"/>
          </w:tcPr>
          <w:p w:rsidR="00F519BD" w:rsidRPr="00BC1D19" w:rsidP="003737FC" w14:paraId="77B80C15" w14:textId="618677B0">
            <w:pPr>
              <w:widowControl w:val="0"/>
              <w:autoSpaceDE w:val="0"/>
              <w:autoSpaceDN w:val="0"/>
              <w:adjustRightInd w:val="0"/>
              <w:jc w:val="center"/>
              <w:rPr>
                <w:bCs/>
                <w:color w:val="000000"/>
                <w:sz w:val="20"/>
                <w:szCs w:val="20"/>
              </w:rPr>
            </w:pPr>
            <w:r w:rsidRPr="00BC1D19">
              <w:rPr>
                <w:bCs/>
                <w:color w:val="000000"/>
                <w:sz w:val="20"/>
                <w:szCs w:val="20"/>
              </w:rPr>
              <w:t>0.1667</w:t>
            </w:r>
          </w:p>
        </w:tc>
        <w:tc>
          <w:tcPr>
            <w:tcW w:w="995" w:type="dxa"/>
            <w:vAlign w:val="center"/>
          </w:tcPr>
          <w:p w:rsidR="00F519BD" w:rsidRPr="00BC1D19" w:rsidP="003737FC" w14:paraId="6AB48161" w14:textId="3CB4073D">
            <w:pPr>
              <w:widowControl w:val="0"/>
              <w:autoSpaceDE w:val="0"/>
              <w:autoSpaceDN w:val="0"/>
              <w:adjustRightInd w:val="0"/>
              <w:jc w:val="center"/>
              <w:rPr>
                <w:bCs/>
                <w:color w:val="000000"/>
                <w:sz w:val="20"/>
                <w:szCs w:val="20"/>
              </w:rPr>
            </w:pPr>
            <w:r w:rsidRPr="00BC1D19">
              <w:rPr>
                <w:bCs/>
                <w:color w:val="000000"/>
                <w:sz w:val="20"/>
                <w:szCs w:val="20"/>
              </w:rPr>
              <w:t>167</w:t>
            </w:r>
          </w:p>
        </w:tc>
        <w:tc>
          <w:tcPr>
            <w:tcW w:w="1170" w:type="dxa"/>
            <w:vAlign w:val="center"/>
          </w:tcPr>
          <w:p w:rsidR="00F519BD" w:rsidRPr="00BC1D19" w:rsidP="003737FC" w14:paraId="29D45AE7" w14:textId="048C929D">
            <w:pPr>
              <w:widowControl w:val="0"/>
              <w:autoSpaceDE w:val="0"/>
              <w:autoSpaceDN w:val="0"/>
              <w:adjustRightInd w:val="0"/>
              <w:jc w:val="center"/>
              <w:rPr>
                <w:bCs/>
                <w:color w:val="000000"/>
                <w:sz w:val="20"/>
                <w:szCs w:val="20"/>
              </w:rPr>
            </w:pPr>
            <w:r w:rsidRPr="00BC1D19">
              <w:rPr>
                <w:rFonts w:eastAsia="Calibri"/>
                <w:bCs/>
                <w:color w:val="000000"/>
                <w:sz w:val="20"/>
                <w:szCs w:val="20"/>
              </w:rPr>
              <w:t xml:space="preserve">$49.71 </w:t>
            </w:r>
          </w:p>
        </w:tc>
        <w:tc>
          <w:tcPr>
            <w:tcW w:w="1283" w:type="dxa"/>
            <w:gridSpan w:val="2"/>
            <w:vAlign w:val="center"/>
          </w:tcPr>
          <w:p w:rsidR="00F519BD" w:rsidRPr="00BC1D19" w:rsidP="003737FC" w14:paraId="52B022A3" w14:textId="1E074E9B">
            <w:pPr>
              <w:widowControl w:val="0"/>
              <w:autoSpaceDE w:val="0"/>
              <w:autoSpaceDN w:val="0"/>
              <w:adjustRightInd w:val="0"/>
              <w:jc w:val="center"/>
              <w:rPr>
                <w:bCs/>
                <w:color w:val="000000"/>
                <w:sz w:val="20"/>
                <w:szCs w:val="20"/>
              </w:rPr>
            </w:pPr>
            <w:r w:rsidRPr="00BC1D19">
              <w:rPr>
                <w:bCs/>
                <w:color w:val="000000"/>
                <w:sz w:val="20"/>
                <w:szCs w:val="20"/>
              </w:rPr>
              <w:t xml:space="preserve">$8,302 </w:t>
            </w:r>
          </w:p>
        </w:tc>
      </w:tr>
      <w:tr w14:paraId="23CE1970" w14:textId="77777777" w:rsidTr="00943D1F">
        <w:tblPrEx>
          <w:tblW w:w="11453" w:type="dxa"/>
          <w:jc w:val="center"/>
          <w:tblLayout w:type="fixed"/>
          <w:tblLook w:val="01E0"/>
        </w:tblPrEx>
        <w:trPr>
          <w:trHeight w:val="1178"/>
          <w:jc w:val="center"/>
        </w:trPr>
        <w:tc>
          <w:tcPr>
            <w:tcW w:w="1620" w:type="dxa"/>
            <w:tcBorders>
              <w:top w:val="single" w:sz="4" w:space="0" w:color="auto"/>
              <w:left w:val="single" w:sz="4" w:space="0" w:color="auto"/>
              <w:bottom w:val="single" w:sz="4" w:space="0" w:color="auto"/>
              <w:right w:val="single" w:sz="4" w:space="0" w:color="auto"/>
            </w:tcBorders>
            <w:vAlign w:val="center"/>
          </w:tcPr>
          <w:p w:rsidR="00FC60AC" w:rsidRPr="00BC1D19" w:rsidP="00FC60AC" w14:paraId="56964495" w14:textId="77777777">
            <w:pPr>
              <w:widowControl w:val="0"/>
              <w:autoSpaceDE w:val="0"/>
              <w:autoSpaceDN w:val="0"/>
              <w:adjustRightInd w:val="0"/>
              <w:rPr>
                <w:bCs/>
                <w:color w:val="000000"/>
                <w:sz w:val="20"/>
                <w:szCs w:val="20"/>
              </w:rPr>
            </w:pPr>
            <w:r w:rsidRPr="00BC1D19">
              <w:rPr>
                <w:rFonts w:eastAsia="Calibri"/>
                <w:bCs/>
                <w:color w:val="000000"/>
                <w:sz w:val="20"/>
                <w:szCs w:val="20"/>
              </w:rPr>
              <w:t>Private Sector—Business or other for-profit; Not-for-profit organizations</w:t>
            </w:r>
          </w:p>
        </w:tc>
        <w:tc>
          <w:tcPr>
            <w:tcW w:w="1530" w:type="dxa"/>
            <w:tcBorders>
              <w:top w:val="single" w:sz="4" w:space="0" w:color="auto"/>
              <w:left w:val="single" w:sz="4" w:space="0" w:color="auto"/>
              <w:bottom w:val="single" w:sz="4" w:space="0" w:color="auto"/>
              <w:right w:val="single" w:sz="4" w:space="0" w:color="auto"/>
            </w:tcBorders>
            <w:vAlign w:val="center"/>
          </w:tcPr>
          <w:p w:rsidR="00FC60AC" w:rsidRPr="00BC1D19" w:rsidP="00FC60AC" w14:paraId="5DD1D920" w14:textId="77777777">
            <w:pPr>
              <w:widowControl w:val="0"/>
              <w:autoSpaceDE w:val="0"/>
              <w:autoSpaceDN w:val="0"/>
              <w:adjustRightInd w:val="0"/>
              <w:rPr>
                <w:bCs/>
                <w:color w:val="000000"/>
                <w:sz w:val="20"/>
                <w:szCs w:val="20"/>
              </w:rPr>
            </w:pPr>
            <w:r w:rsidRPr="00BC1D19">
              <w:rPr>
                <w:rFonts w:eastAsia="Calibri"/>
                <w:bCs/>
                <w:color w:val="000000"/>
                <w:sz w:val="20"/>
                <w:szCs w:val="20"/>
              </w:rPr>
              <w:t>Offers of Employment to Displaced U.S. Workers*</w:t>
            </w:r>
          </w:p>
        </w:tc>
        <w:tc>
          <w:tcPr>
            <w:tcW w:w="1165" w:type="dxa"/>
            <w:tcBorders>
              <w:top w:val="single" w:sz="4" w:space="0" w:color="auto"/>
              <w:left w:val="single" w:sz="4" w:space="0" w:color="auto"/>
              <w:bottom w:val="single" w:sz="4" w:space="0" w:color="auto"/>
              <w:right w:val="single" w:sz="4" w:space="0" w:color="auto"/>
            </w:tcBorders>
            <w:vAlign w:val="center"/>
          </w:tcPr>
          <w:p w:rsidR="00FC60AC" w:rsidRPr="00BC1D19" w:rsidP="003737FC" w14:paraId="02BD820B" w14:textId="5F2BA77C">
            <w:pPr>
              <w:widowControl w:val="0"/>
              <w:autoSpaceDE w:val="0"/>
              <w:autoSpaceDN w:val="0"/>
              <w:adjustRightInd w:val="0"/>
              <w:jc w:val="center"/>
              <w:rPr>
                <w:bCs/>
                <w:color w:val="000000"/>
                <w:sz w:val="20"/>
                <w:szCs w:val="20"/>
              </w:rPr>
            </w:pPr>
            <w:r w:rsidRPr="00BC1D19">
              <w:rPr>
                <w:rFonts w:eastAsia="Calibri"/>
                <w:bCs/>
                <w:color w:val="000000"/>
                <w:sz w:val="20"/>
                <w:szCs w:val="20"/>
              </w:rPr>
              <w:t>665</w:t>
            </w:r>
          </w:p>
        </w:tc>
        <w:tc>
          <w:tcPr>
            <w:tcW w:w="1265" w:type="dxa"/>
            <w:tcBorders>
              <w:top w:val="single" w:sz="4" w:space="0" w:color="auto"/>
              <w:left w:val="single" w:sz="4" w:space="0" w:color="auto"/>
              <w:bottom w:val="single" w:sz="4" w:space="0" w:color="auto"/>
              <w:right w:val="single" w:sz="4" w:space="0" w:color="auto"/>
            </w:tcBorders>
            <w:vAlign w:val="center"/>
          </w:tcPr>
          <w:p w:rsidR="00FC60AC" w:rsidRPr="00BC1D19" w:rsidP="003737FC" w14:paraId="042ED345" w14:textId="23E60919">
            <w:pPr>
              <w:widowControl w:val="0"/>
              <w:autoSpaceDE w:val="0"/>
              <w:autoSpaceDN w:val="0"/>
              <w:adjustRightInd w:val="0"/>
              <w:jc w:val="center"/>
              <w:rPr>
                <w:bCs/>
                <w:color w:val="000000"/>
                <w:sz w:val="20"/>
                <w:szCs w:val="20"/>
              </w:rPr>
            </w:pPr>
            <w:r w:rsidRPr="00BC1D19">
              <w:rPr>
                <w:rFonts w:eastAsia="Calibri"/>
                <w:bCs/>
                <w:color w:val="000000"/>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rsidR="00FC60AC" w:rsidRPr="00BC1D19" w:rsidP="003737FC" w14:paraId="2F721DA7" w14:textId="266CF291">
            <w:pPr>
              <w:widowControl w:val="0"/>
              <w:autoSpaceDE w:val="0"/>
              <w:autoSpaceDN w:val="0"/>
              <w:adjustRightInd w:val="0"/>
              <w:jc w:val="center"/>
              <w:rPr>
                <w:bCs/>
                <w:color w:val="000000"/>
                <w:sz w:val="20"/>
                <w:szCs w:val="20"/>
              </w:rPr>
            </w:pPr>
            <w:r w:rsidRPr="00BC1D19">
              <w:rPr>
                <w:rFonts w:eastAsia="Calibri"/>
                <w:bCs/>
                <w:color w:val="000000"/>
                <w:sz w:val="20"/>
                <w:szCs w:val="20"/>
              </w:rPr>
              <w:t>3,325</w:t>
            </w:r>
          </w:p>
        </w:tc>
        <w:tc>
          <w:tcPr>
            <w:tcW w:w="1255" w:type="dxa"/>
            <w:tcBorders>
              <w:top w:val="single" w:sz="4" w:space="0" w:color="auto"/>
              <w:left w:val="single" w:sz="4" w:space="0" w:color="auto"/>
              <w:bottom w:val="single" w:sz="4" w:space="0" w:color="auto"/>
              <w:right w:val="single" w:sz="4" w:space="0" w:color="auto"/>
            </w:tcBorders>
            <w:vAlign w:val="center"/>
          </w:tcPr>
          <w:p w:rsidR="00FC60AC" w:rsidRPr="00BC1D19" w:rsidP="003737FC" w14:paraId="1B37E63C" w14:textId="3872FA4F">
            <w:pPr>
              <w:widowControl w:val="0"/>
              <w:autoSpaceDE w:val="0"/>
              <w:autoSpaceDN w:val="0"/>
              <w:adjustRightInd w:val="0"/>
              <w:jc w:val="center"/>
              <w:rPr>
                <w:bCs/>
                <w:color w:val="000000"/>
                <w:sz w:val="20"/>
                <w:szCs w:val="20"/>
              </w:rPr>
            </w:pPr>
            <w:r w:rsidRPr="00BC1D19">
              <w:rPr>
                <w:rFonts w:eastAsia="Calibri"/>
                <w:bCs/>
                <w:color w:val="000000"/>
                <w:sz w:val="20"/>
                <w:szCs w:val="20"/>
              </w:rPr>
              <w:t>0.3333</w:t>
            </w:r>
          </w:p>
        </w:tc>
        <w:tc>
          <w:tcPr>
            <w:tcW w:w="995" w:type="dxa"/>
            <w:tcBorders>
              <w:top w:val="single" w:sz="4" w:space="0" w:color="auto"/>
              <w:left w:val="single" w:sz="4" w:space="0" w:color="auto"/>
              <w:bottom w:val="single" w:sz="4" w:space="0" w:color="auto"/>
              <w:right w:val="single" w:sz="4" w:space="0" w:color="auto"/>
            </w:tcBorders>
            <w:vAlign w:val="center"/>
          </w:tcPr>
          <w:p w:rsidR="00FC60AC" w:rsidRPr="00BC1D19" w:rsidP="003737FC" w14:paraId="5B743C7C" w14:textId="33300C63">
            <w:pPr>
              <w:widowControl w:val="0"/>
              <w:autoSpaceDE w:val="0"/>
              <w:autoSpaceDN w:val="0"/>
              <w:adjustRightInd w:val="0"/>
              <w:jc w:val="center"/>
              <w:rPr>
                <w:bCs/>
                <w:color w:val="000000"/>
                <w:sz w:val="20"/>
                <w:szCs w:val="20"/>
              </w:rPr>
            </w:pPr>
            <w:r w:rsidRPr="00BC1D19">
              <w:rPr>
                <w:rFonts w:eastAsia="Calibri"/>
                <w:bCs/>
                <w:color w:val="000000"/>
                <w:sz w:val="20"/>
                <w:szCs w:val="20"/>
              </w:rPr>
              <w:t>1,108</w:t>
            </w:r>
          </w:p>
        </w:tc>
        <w:tc>
          <w:tcPr>
            <w:tcW w:w="1170" w:type="dxa"/>
            <w:tcBorders>
              <w:top w:val="single" w:sz="4" w:space="0" w:color="auto"/>
              <w:left w:val="single" w:sz="4" w:space="0" w:color="auto"/>
              <w:bottom w:val="single" w:sz="4" w:space="0" w:color="auto"/>
              <w:right w:val="single" w:sz="4" w:space="0" w:color="auto"/>
            </w:tcBorders>
            <w:vAlign w:val="center"/>
          </w:tcPr>
          <w:p w:rsidR="00FC60AC" w:rsidRPr="00BC1D19" w:rsidP="003737FC" w14:paraId="50D7C1AF" w14:textId="54C36890">
            <w:pPr>
              <w:widowControl w:val="0"/>
              <w:autoSpaceDE w:val="0"/>
              <w:autoSpaceDN w:val="0"/>
              <w:adjustRightInd w:val="0"/>
              <w:jc w:val="center"/>
              <w:rPr>
                <w:bCs/>
                <w:color w:val="000000"/>
                <w:sz w:val="20"/>
                <w:szCs w:val="20"/>
              </w:rPr>
            </w:pPr>
            <w:r w:rsidRPr="00BC1D19">
              <w:rPr>
                <w:rFonts w:eastAsia="Calibri"/>
                <w:bCs/>
                <w:color w:val="000000"/>
                <w:sz w:val="20"/>
                <w:szCs w:val="20"/>
              </w:rPr>
              <w:t xml:space="preserve">$49.71 </w:t>
            </w: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FC60AC" w:rsidRPr="00BC1D19" w:rsidP="003737FC" w14:paraId="019DF509" w14:textId="70BB8417">
            <w:pPr>
              <w:widowControl w:val="0"/>
              <w:autoSpaceDE w:val="0"/>
              <w:autoSpaceDN w:val="0"/>
              <w:adjustRightInd w:val="0"/>
              <w:jc w:val="center"/>
              <w:rPr>
                <w:bCs/>
                <w:color w:val="000000"/>
                <w:sz w:val="20"/>
                <w:szCs w:val="20"/>
              </w:rPr>
            </w:pPr>
            <w:r w:rsidRPr="00BC1D19">
              <w:rPr>
                <w:rFonts w:eastAsia="Calibri"/>
                <w:bCs/>
                <w:color w:val="000000"/>
                <w:sz w:val="20"/>
                <w:szCs w:val="20"/>
              </w:rPr>
              <w:t xml:space="preserve">$55,079 </w:t>
            </w:r>
          </w:p>
        </w:tc>
      </w:tr>
      <w:tr w14:paraId="1934D305" w14:textId="77777777" w:rsidTr="00943D1F">
        <w:tblPrEx>
          <w:tblW w:w="11453" w:type="dxa"/>
          <w:jc w:val="center"/>
          <w:tblLayout w:type="fixed"/>
          <w:tblLook w:val="01E0"/>
        </w:tblPrEx>
        <w:trPr>
          <w:gridAfter w:val="1"/>
          <w:wAfter w:w="23" w:type="dxa"/>
          <w:trHeight w:val="102"/>
          <w:jc w:val="center"/>
        </w:trPr>
        <w:tc>
          <w:tcPr>
            <w:tcW w:w="162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350C2E4C" w14:textId="77777777">
            <w:pPr>
              <w:widowControl w:val="0"/>
              <w:autoSpaceDE w:val="0"/>
              <w:autoSpaceDN w:val="0"/>
              <w:adjustRightInd w:val="0"/>
              <w:rPr>
                <w:rFonts w:eastAsia="Calibri"/>
                <w:bCs/>
                <w:color w:val="000000"/>
                <w:sz w:val="20"/>
                <w:szCs w:val="20"/>
              </w:rPr>
            </w:pPr>
            <w:r w:rsidRPr="004B7F96">
              <w:rPr>
                <w:rFonts w:eastAsia="Calibri"/>
                <w:bCs/>
                <w:color w:val="000000"/>
                <w:sz w:val="20"/>
                <w:szCs w:val="20"/>
              </w:rPr>
              <w:t xml:space="preserve">Private Sector—Business or other for-profit; Not-for-profit </w:t>
            </w:r>
            <w:r>
              <w:rPr>
                <w:rFonts w:eastAsia="Calibri"/>
                <w:bCs/>
                <w:color w:val="000000"/>
                <w:sz w:val="20"/>
                <w:szCs w:val="20"/>
              </w:rPr>
              <w:t>organization</w:t>
            </w:r>
          </w:p>
        </w:tc>
        <w:tc>
          <w:tcPr>
            <w:tcW w:w="153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2F58F459" w14:textId="77777777">
            <w:pPr>
              <w:widowControl w:val="0"/>
              <w:autoSpaceDE w:val="0"/>
              <w:autoSpaceDN w:val="0"/>
              <w:adjustRightInd w:val="0"/>
              <w:rPr>
                <w:rFonts w:eastAsia="Calibri"/>
                <w:bCs/>
                <w:color w:val="000000"/>
                <w:sz w:val="20"/>
                <w:szCs w:val="20"/>
              </w:rPr>
            </w:pPr>
            <w:r w:rsidRPr="004B7F96">
              <w:rPr>
                <w:rFonts w:eastAsia="Calibri"/>
                <w:bCs/>
                <w:color w:val="000000"/>
                <w:sz w:val="20"/>
                <w:szCs w:val="20"/>
              </w:rPr>
              <w:t>Documentation of U.S. Worker Recruitment*</w:t>
            </w:r>
          </w:p>
        </w:tc>
        <w:tc>
          <w:tcPr>
            <w:tcW w:w="1165"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29A9BFF3"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665</w:t>
            </w:r>
          </w:p>
        </w:tc>
        <w:tc>
          <w:tcPr>
            <w:tcW w:w="1265"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3CF0FDF1"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5</w:t>
            </w:r>
          </w:p>
        </w:tc>
        <w:tc>
          <w:tcPr>
            <w:tcW w:w="117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3EDFC15C"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3,325</w:t>
            </w:r>
          </w:p>
        </w:tc>
        <w:tc>
          <w:tcPr>
            <w:tcW w:w="1255"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62E9E2D1"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0.3333</w:t>
            </w:r>
          </w:p>
        </w:tc>
        <w:tc>
          <w:tcPr>
            <w:tcW w:w="995"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0E5F6BAE"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1,108</w:t>
            </w:r>
          </w:p>
        </w:tc>
        <w:tc>
          <w:tcPr>
            <w:tcW w:w="117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1FCEE515"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$49.71 </w:t>
            </w:r>
          </w:p>
        </w:tc>
        <w:tc>
          <w:tcPr>
            <w:tcW w:w="126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0575F496"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$55,079 </w:t>
            </w:r>
          </w:p>
        </w:tc>
      </w:tr>
      <w:tr w14:paraId="045986BE" w14:textId="77777777" w:rsidTr="00943D1F">
        <w:tblPrEx>
          <w:tblW w:w="11453" w:type="dxa"/>
          <w:jc w:val="center"/>
          <w:tblLayout w:type="fixed"/>
          <w:tblLook w:val="01E0"/>
        </w:tblPrEx>
        <w:trPr>
          <w:gridAfter w:val="1"/>
          <w:wAfter w:w="23" w:type="dxa"/>
          <w:trHeight w:val="102"/>
          <w:jc w:val="center"/>
        </w:trPr>
        <w:tc>
          <w:tcPr>
            <w:tcW w:w="162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1A9026F5" w14:textId="77777777">
            <w:pPr>
              <w:widowControl w:val="0"/>
              <w:autoSpaceDE w:val="0"/>
              <w:autoSpaceDN w:val="0"/>
              <w:adjustRightInd w:val="0"/>
              <w:rPr>
                <w:rFonts w:eastAsia="Calibri"/>
                <w:bCs/>
                <w:color w:val="000000"/>
                <w:sz w:val="20"/>
                <w:szCs w:val="20"/>
              </w:rPr>
            </w:pPr>
            <w:r w:rsidRPr="004B7F96">
              <w:rPr>
                <w:rFonts w:eastAsia="Calibri"/>
                <w:bCs/>
                <w:color w:val="000000"/>
                <w:sz w:val="20"/>
                <w:szCs w:val="20"/>
              </w:rPr>
              <w:t xml:space="preserve">Private Sector—Business or other for-profit; Not-for-profit </w:t>
            </w:r>
            <w:r>
              <w:rPr>
                <w:rFonts w:eastAsia="Calibri"/>
                <w:bCs/>
                <w:color w:val="000000"/>
                <w:sz w:val="20"/>
                <w:szCs w:val="20"/>
              </w:rPr>
              <w:t>organization</w:t>
            </w:r>
          </w:p>
        </w:tc>
        <w:tc>
          <w:tcPr>
            <w:tcW w:w="153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27334B10" w14:textId="77777777">
            <w:pPr>
              <w:widowControl w:val="0"/>
              <w:autoSpaceDE w:val="0"/>
              <w:autoSpaceDN w:val="0"/>
              <w:adjustRightInd w:val="0"/>
              <w:rPr>
                <w:rFonts w:eastAsia="Calibri"/>
                <w:bCs/>
                <w:color w:val="000000"/>
                <w:sz w:val="20"/>
                <w:szCs w:val="20"/>
              </w:rPr>
            </w:pPr>
            <w:r w:rsidRPr="004B7F96">
              <w:rPr>
                <w:rFonts w:eastAsia="Calibri"/>
                <w:bCs/>
                <w:color w:val="000000"/>
                <w:sz w:val="20"/>
                <w:szCs w:val="20"/>
              </w:rPr>
              <w:t>Documentation of Fringe Benefits*</w:t>
            </w:r>
          </w:p>
        </w:tc>
        <w:tc>
          <w:tcPr>
            <w:tcW w:w="1165"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0DE500BE"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5,332 </w:t>
            </w:r>
          </w:p>
        </w:tc>
        <w:tc>
          <w:tcPr>
            <w:tcW w:w="1265"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2663C157"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7A447C9B"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5,332 </w:t>
            </w:r>
          </w:p>
        </w:tc>
        <w:tc>
          <w:tcPr>
            <w:tcW w:w="1255"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574F2FFE"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1.5</w:t>
            </w:r>
          </w:p>
        </w:tc>
        <w:tc>
          <w:tcPr>
            <w:tcW w:w="995"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2E714DE5"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7,998 </w:t>
            </w:r>
          </w:p>
        </w:tc>
        <w:tc>
          <w:tcPr>
            <w:tcW w:w="117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541753AB"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$49.71 </w:t>
            </w:r>
          </w:p>
        </w:tc>
        <w:tc>
          <w:tcPr>
            <w:tcW w:w="1260" w:type="dxa"/>
            <w:tcBorders>
              <w:top w:val="single" w:sz="4" w:space="0" w:color="auto"/>
              <w:left w:val="single" w:sz="4" w:space="0" w:color="auto"/>
              <w:bottom w:val="single" w:sz="4" w:space="0" w:color="auto"/>
              <w:right w:val="single" w:sz="4" w:space="0" w:color="auto"/>
            </w:tcBorders>
            <w:vAlign w:val="center"/>
          </w:tcPr>
          <w:p w:rsidR="00625FDB" w:rsidRPr="004B7F96" w:rsidP="002311D3" w14:paraId="5831AA27"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$397,581 </w:t>
            </w:r>
          </w:p>
        </w:tc>
      </w:tr>
      <w:tr w14:paraId="08FDC702" w14:textId="77777777" w:rsidTr="00943D1F">
        <w:tblPrEx>
          <w:tblW w:w="11453" w:type="dxa"/>
          <w:jc w:val="center"/>
          <w:tblLayout w:type="fixed"/>
          <w:tblLook w:val="01E0"/>
        </w:tblPrEx>
        <w:trPr>
          <w:gridAfter w:val="1"/>
          <w:wAfter w:w="23" w:type="dxa"/>
          <w:trHeight w:val="102"/>
          <w:jc w:val="center"/>
        </w:trPr>
        <w:tc>
          <w:tcPr>
            <w:tcW w:w="1620"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3F5A9E00" w14:textId="77777777">
            <w:pPr>
              <w:widowControl w:val="0"/>
              <w:autoSpaceDE w:val="0"/>
              <w:autoSpaceDN w:val="0"/>
              <w:adjustRightInd w:val="0"/>
              <w:rPr>
                <w:rFonts w:eastAsia="Calibri"/>
                <w:bCs/>
                <w:color w:val="000000"/>
                <w:sz w:val="20"/>
                <w:szCs w:val="20"/>
              </w:rPr>
            </w:pPr>
            <w:r w:rsidRPr="004B7F96">
              <w:rPr>
                <w:rFonts w:eastAsia="Calibri"/>
                <w:bCs/>
                <w:color w:val="000000"/>
                <w:sz w:val="20"/>
                <w:szCs w:val="20"/>
              </w:rPr>
              <w:t xml:space="preserve">Private Sector—Business or other for-profit; Not-for-profit </w:t>
            </w:r>
            <w:r>
              <w:rPr>
                <w:rFonts w:eastAsia="Calibri"/>
                <w:bCs/>
                <w:color w:val="000000"/>
                <w:sz w:val="20"/>
                <w:szCs w:val="20"/>
              </w:rPr>
              <w:t>organization</w:t>
            </w:r>
          </w:p>
        </w:tc>
        <w:tc>
          <w:tcPr>
            <w:tcW w:w="1530"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126C4DEE" w14:textId="77777777">
            <w:pPr>
              <w:widowControl w:val="0"/>
              <w:autoSpaceDE w:val="0"/>
              <w:autoSpaceDN w:val="0"/>
              <w:adjustRightInd w:val="0"/>
              <w:rPr>
                <w:rFonts w:eastAsia="Calibri"/>
                <w:bCs/>
                <w:color w:val="000000"/>
                <w:sz w:val="20"/>
                <w:szCs w:val="20"/>
              </w:rPr>
            </w:pPr>
            <w:r w:rsidRPr="004B7F96">
              <w:rPr>
                <w:rFonts w:eastAsia="Calibri"/>
                <w:bCs/>
                <w:color w:val="000000"/>
                <w:sz w:val="20"/>
                <w:szCs w:val="20"/>
              </w:rPr>
              <w:t>Documentation of Fringe Benefits for Multinational Employers*</w:t>
            </w:r>
          </w:p>
        </w:tc>
        <w:tc>
          <w:tcPr>
            <w:tcW w:w="1165"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3E87C096"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13,330 </w:t>
            </w:r>
          </w:p>
        </w:tc>
        <w:tc>
          <w:tcPr>
            <w:tcW w:w="1265"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11EBC3E8"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690A9554"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13,330 </w:t>
            </w:r>
          </w:p>
        </w:tc>
        <w:tc>
          <w:tcPr>
            <w:tcW w:w="1255"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73AD24A4"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0.5</w:t>
            </w:r>
          </w:p>
        </w:tc>
        <w:tc>
          <w:tcPr>
            <w:tcW w:w="995"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162DAFD2"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6,665 </w:t>
            </w:r>
          </w:p>
        </w:tc>
        <w:tc>
          <w:tcPr>
            <w:tcW w:w="1170"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0ED07D78"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$49.71 </w:t>
            </w:r>
          </w:p>
        </w:tc>
        <w:tc>
          <w:tcPr>
            <w:tcW w:w="1260" w:type="dxa"/>
            <w:tcBorders>
              <w:top w:val="single" w:sz="4" w:space="0" w:color="auto"/>
              <w:left w:val="single" w:sz="4" w:space="0" w:color="auto"/>
              <w:bottom w:val="single" w:sz="4" w:space="0" w:color="auto"/>
              <w:right w:val="single" w:sz="4" w:space="0" w:color="auto"/>
            </w:tcBorders>
            <w:vAlign w:val="center"/>
          </w:tcPr>
          <w:p w:rsidR="00C73FFB" w:rsidRPr="004B7F96" w:rsidP="002311D3" w14:paraId="3B74C030" w14:textId="77777777">
            <w:pPr>
              <w:widowControl w:val="0"/>
              <w:autoSpaceDE w:val="0"/>
              <w:autoSpaceDN w:val="0"/>
              <w:adjustRightInd w:val="0"/>
              <w:jc w:val="center"/>
              <w:rPr>
                <w:rFonts w:eastAsia="Calibri"/>
                <w:bCs/>
                <w:color w:val="000000"/>
                <w:sz w:val="20"/>
                <w:szCs w:val="20"/>
              </w:rPr>
            </w:pPr>
            <w:r w:rsidRPr="004B7F96">
              <w:rPr>
                <w:rFonts w:eastAsia="Calibri"/>
                <w:bCs/>
                <w:color w:val="000000"/>
                <w:sz w:val="20"/>
                <w:szCs w:val="20"/>
              </w:rPr>
              <w:t xml:space="preserve">$331,317 </w:t>
            </w:r>
          </w:p>
        </w:tc>
      </w:tr>
      <w:tr w14:paraId="615F1A93" w14:textId="77777777" w:rsidTr="00943D1F">
        <w:tblPrEx>
          <w:tblW w:w="11453" w:type="dxa"/>
          <w:jc w:val="center"/>
          <w:tblLayout w:type="fixed"/>
          <w:tblLook w:val="01E0"/>
        </w:tblPrEx>
        <w:trPr>
          <w:gridAfter w:val="1"/>
          <w:wAfter w:w="23" w:type="dxa"/>
          <w:trHeight w:val="102"/>
          <w:jc w:val="center"/>
        </w:trPr>
        <w:tc>
          <w:tcPr>
            <w:tcW w:w="162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611AB8C8" w14:textId="77777777">
            <w:pPr>
              <w:widowControl w:val="0"/>
              <w:autoSpaceDE w:val="0"/>
              <w:autoSpaceDN w:val="0"/>
              <w:adjustRightInd w:val="0"/>
              <w:rPr>
                <w:rFonts w:eastAsia="Calibri"/>
                <w:bCs/>
                <w:color w:val="000000"/>
                <w:sz w:val="20"/>
                <w:szCs w:val="20"/>
              </w:rPr>
            </w:pPr>
            <w:r w:rsidRPr="0018520C">
              <w:rPr>
                <w:rFonts w:eastAsia="Calibri"/>
                <w:bCs/>
                <w:color w:val="000000"/>
                <w:sz w:val="20"/>
                <w:szCs w:val="20"/>
              </w:rPr>
              <w:t>Private Sector—Business or other for-profit; Not-for-profit organization</w:t>
            </w:r>
          </w:p>
        </w:tc>
        <w:tc>
          <w:tcPr>
            <w:tcW w:w="153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592FB582" w14:textId="77777777">
            <w:pPr>
              <w:widowControl w:val="0"/>
              <w:autoSpaceDE w:val="0"/>
              <w:autoSpaceDN w:val="0"/>
              <w:adjustRightInd w:val="0"/>
              <w:rPr>
                <w:rFonts w:eastAsia="Calibri"/>
                <w:bCs/>
                <w:color w:val="000000"/>
                <w:sz w:val="20"/>
                <w:szCs w:val="20"/>
              </w:rPr>
            </w:pPr>
            <w:r w:rsidRPr="0018520C">
              <w:rPr>
                <w:rFonts w:eastAsia="Calibri"/>
                <w:bCs/>
                <w:color w:val="000000"/>
                <w:sz w:val="20"/>
                <w:szCs w:val="20"/>
              </w:rPr>
              <w:t>Wage Recordkeeping requirements Applicable to Employers of H-1B Nonimmigrants</w:t>
            </w:r>
          </w:p>
        </w:tc>
        <w:tc>
          <w:tcPr>
            <w:tcW w:w="1165"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165328CD" w14:textId="77777777">
            <w:pPr>
              <w:widowControl w:val="0"/>
              <w:autoSpaceDE w:val="0"/>
              <w:autoSpaceDN w:val="0"/>
              <w:adjustRightInd w:val="0"/>
              <w:jc w:val="center"/>
              <w:rPr>
                <w:rFonts w:eastAsia="Calibri"/>
                <w:bCs/>
                <w:color w:val="000000"/>
                <w:sz w:val="20"/>
                <w:szCs w:val="20"/>
              </w:rPr>
            </w:pPr>
            <w:r w:rsidRPr="0018520C">
              <w:rPr>
                <w:rFonts w:eastAsia="Calibri"/>
                <w:bCs/>
                <w:color w:val="000000"/>
                <w:sz w:val="20"/>
                <w:szCs w:val="20"/>
              </w:rPr>
              <w:t xml:space="preserve">53,321 </w:t>
            </w:r>
          </w:p>
        </w:tc>
        <w:tc>
          <w:tcPr>
            <w:tcW w:w="1265"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0F50FB85" w14:textId="77777777">
            <w:pPr>
              <w:widowControl w:val="0"/>
              <w:autoSpaceDE w:val="0"/>
              <w:autoSpaceDN w:val="0"/>
              <w:adjustRightInd w:val="0"/>
              <w:jc w:val="center"/>
              <w:rPr>
                <w:rFonts w:eastAsia="Calibri"/>
                <w:bCs/>
                <w:color w:val="000000"/>
                <w:sz w:val="20"/>
                <w:szCs w:val="20"/>
              </w:rPr>
            </w:pPr>
            <w:r w:rsidRPr="0018520C">
              <w:rPr>
                <w:rFonts w:eastAsia="Calibri"/>
                <w:bCs/>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30CDD5E3" w14:textId="77777777">
            <w:pPr>
              <w:widowControl w:val="0"/>
              <w:autoSpaceDE w:val="0"/>
              <w:autoSpaceDN w:val="0"/>
              <w:adjustRightInd w:val="0"/>
              <w:jc w:val="center"/>
              <w:rPr>
                <w:rFonts w:eastAsia="Calibri"/>
                <w:bCs/>
                <w:color w:val="000000"/>
                <w:sz w:val="20"/>
                <w:szCs w:val="20"/>
              </w:rPr>
            </w:pPr>
            <w:r w:rsidRPr="0018520C">
              <w:rPr>
                <w:rFonts w:eastAsia="Calibri"/>
                <w:bCs/>
                <w:color w:val="000000"/>
                <w:sz w:val="20"/>
                <w:szCs w:val="20"/>
              </w:rPr>
              <w:t xml:space="preserve">53,321 </w:t>
            </w:r>
          </w:p>
        </w:tc>
        <w:tc>
          <w:tcPr>
            <w:tcW w:w="1255"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6393449F" w14:textId="77777777">
            <w:pPr>
              <w:widowControl w:val="0"/>
              <w:autoSpaceDE w:val="0"/>
              <w:autoSpaceDN w:val="0"/>
              <w:adjustRightInd w:val="0"/>
              <w:jc w:val="center"/>
              <w:rPr>
                <w:rFonts w:eastAsia="Calibri"/>
                <w:bCs/>
                <w:color w:val="000000"/>
                <w:sz w:val="20"/>
                <w:szCs w:val="20"/>
              </w:rPr>
            </w:pPr>
            <w:r w:rsidRPr="0018520C">
              <w:rPr>
                <w:rFonts w:eastAsia="Calibri"/>
                <w:bCs/>
                <w:color w:val="000000"/>
                <w:sz w:val="20"/>
                <w:szCs w:val="20"/>
              </w:rPr>
              <w:t>2.5</w:t>
            </w:r>
          </w:p>
        </w:tc>
        <w:tc>
          <w:tcPr>
            <w:tcW w:w="995"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23BC7BD4" w14:textId="77777777">
            <w:pPr>
              <w:widowControl w:val="0"/>
              <w:autoSpaceDE w:val="0"/>
              <w:autoSpaceDN w:val="0"/>
              <w:adjustRightInd w:val="0"/>
              <w:jc w:val="center"/>
              <w:rPr>
                <w:rFonts w:eastAsia="Calibri"/>
                <w:bCs/>
                <w:color w:val="000000"/>
                <w:sz w:val="20"/>
                <w:szCs w:val="20"/>
              </w:rPr>
            </w:pPr>
            <w:r w:rsidRPr="0018520C">
              <w:rPr>
                <w:rFonts w:eastAsia="Calibri"/>
                <w:bCs/>
                <w:color w:val="000000"/>
                <w:sz w:val="20"/>
                <w:szCs w:val="20"/>
              </w:rPr>
              <w:t xml:space="preserve">133,303 </w:t>
            </w:r>
          </w:p>
        </w:tc>
        <w:tc>
          <w:tcPr>
            <w:tcW w:w="117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10E7355B" w14:textId="77777777">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$49.71 </w:t>
            </w:r>
          </w:p>
        </w:tc>
        <w:tc>
          <w:tcPr>
            <w:tcW w:w="126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10F6A686" w14:textId="77777777">
            <w:pPr>
              <w:widowControl w:val="0"/>
              <w:autoSpaceDE w:val="0"/>
              <w:autoSpaceDN w:val="0"/>
              <w:adjustRightInd w:val="0"/>
              <w:jc w:val="center"/>
              <w:rPr>
                <w:rFonts w:eastAsia="Calibri"/>
                <w:bCs/>
                <w:color w:val="000000"/>
                <w:sz w:val="20"/>
                <w:szCs w:val="20"/>
              </w:rPr>
            </w:pPr>
            <w:r w:rsidRPr="0018520C">
              <w:rPr>
                <w:rFonts w:eastAsia="Calibri"/>
                <w:bCs/>
                <w:color w:val="000000"/>
                <w:sz w:val="20"/>
                <w:szCs w:val="20"/>
              </w:rPr>
              <w:t xml:space="preserve">$6,626,492 </w:t>
            </w:r>
          </w:p>
        </w:tc>
      </w:tr>
      <w:tr w14:paraId="60A95171" w14:textId="77777777" w:rsidTr="00943D1F">
        <w:tblPrEx>
          <w:tblW w:w="11453" w:type="dxa"/>
          <w:jc w:val="center"/>
          <w:tblLayout w:type="fixed"/>
          <w:tblLook w:val="01E0"/>
        </w:tblPrEx>
        <w:trPr>
          <w:gridAfter w:val="1"/>
          <w:wAfter w:w="23" w:type="dxa"/>
          <w:trHeight w:val="102"/>
          <w:jc w:val="center"/>
        </w:trPr>
        <w:tc>
          <w:tcPr>
            <w:tcW w:w="162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188B6693" w14:textId="77777777">
            <w:pPr>
              <w:widowControl w:val="0"/>
              <w:autoSpaceDE w:val="0"/>
              <w:autoSpaceDN w:val="0"/>
              <w:adjustRightInd w:val="0"/>
              <w:rPr>
                <w:rFonts w:eastAsia="Calibri"/>
                <w:b/>
                <w:color w:val="000000"/>
                <w:sz w:val="20"/>
                <w:szCs w:val="20"/>
              </w:rPr>
            </w:pPr>
            <w:r w:rsidRPr="0018520C">
              <w:rPr>
                <w:rFonts w:eastAsia="Calibri"/>
                <w:b/>
                <w:color w:val="000000"/>
                <w:sz w:val="20"/>
                <w:szCs w:val="20"/>
              </w:rPr>
              <w:t>Unduplicated Totals</w:t>
            </w:r>
          </w:p>
        </w:tc>
        <w:tc>
          <w:tcPr>
            <w:tcW w:w="153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36EAE1D5" w14:textId="77777777">
            <w:pPr>
              <w:widowControl w:val="0"/>
              <w:autoSpaceDE w:val="0"/>
              <w:autoSpaceDN w:val="0"/>
              <w:adjustRightInd w:val="0"/>
              <w:rPr>
                <w:rFonts w:eastAsia="Calibri"/>
                <w:b/>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6BE66658" w14:textId="77777777">
            <w:pPr>
              <w:widowControl w:val="0"/>
              <w:autoSpaceDE w:val="0"/>
              <w:autoSpaceDN w:val="0"/>
              <w:adjustRightInd w:val="0"/>
              <w:jc w:val="center"/>
              <w:rPr>
                <w:rFonts w:eastAsia="Calibri"/>
                <w:b/>
                <w:color w:val="000000"/>
                <w:sz w:val="20"/>
                <w:szCs w:val="20"/>
              </w:rPr>
            </w:pPr>
            <w:r w:rsidRPr="0018520C">
              <w:rPr>
                <w:rFonts w:eastAsia="Calibri"/>
                <w:b/>
                <w:color w:val="000000"/>
                <w:sz w:val="20"/>
                <w:szCs w:val="20"/>
              </w:rPr>
              <w:t>84,896</w:t>
            </w:r>
          </w:p>
        </w:tc>
        <w:tc>
          <w:tcPr>
            <w:tcW w:w="1265"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00F12021" w14:textId="77777777">
            <w:pPr>
              <w:widowControl w:val="0"/>
              <w:autoSpaceDE w:val="0"/>
              <w:autoSpaceDN w:val="0"/>
              <w:adjustRightInd w:val="0"/>
              <w:jc w:val="center"/>
              <w:rPr>
                <w:rFonts w:eastAsia="Calibri"/>
                <w:b/>
                <w:color w:val="000000"/>
                <w:sz w:val="20"/>
                <w:szCs w:val="20"/>
              </w:rPr>
            </w:pPr>
            <w:r w:rsidRPr="0018520C">
              <w:rPr>
                <w:rFonts w:eastAsia="Calibri"/>
                <w:b/>
                <w:color w:val="000000"/>
                <w:sz w:val="20"/>
                <w:szCs w:val="20"/>
              </w:rPr>
              <w:t>Varies</w:t>
            </w:r>
          </w:p>
        </w:tc>
        <w:tc>
          <w:tcPr>
            <w:tcW w:w="117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3D6A43AB" w14:textId="77777777">
            <w:pPr>
              <w:widowControl w:val="0"/>
              <w:autoSpaceDE w:val="0"/>
              <w:autoSpaceDN w:val="0"/>
              <w:adjustRightInd w:val="0"/>
              <w:jc w:val="center"/>
              <w:rPr>
                <w:rFonts w:eastAsia="Calibri"/>
                <w:b/>
                <w:color w:val="000000"/>
                <w:sz w:val="20"/>
                <w:szCs w:val="20"/>
              </w:rPr>
            </w:pPr>
            <w:r w:rsidRPr="0018520C">
              <w:rPr>
                <w:rFonts w:eastAsia="Calibri"/>
                <w:b/>
                <w:color w:val="000000"/>
                <w:sz w:val="20"/>
                <w:szCs w:val="20"/>
              </w:rPr>
              <w:t>95,228</w:t>
            </w:r>
          </w:p>
        </w:tc>
        <w:tc>
          <w:tcPr>
            <w:tcW w:w="1255"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30B2BB02" w14:textId="77777777">
            <w:pPr>
              <w:widowControl w:val="0"/>
              <w:autoSpaceDE w:val="0"/>
              <w:autoSpaceDN w:val="0"/>
              <w:adjustRightInd w:val="0"/>
              <w:jc w:val="center"/>
              <w:rPr>
                <w:rFonts w:eastAsia="Calibri"/>
                <w:b/>
                <w:color w:val="000000"/>
                <w:sz w:val="20"/>
                <w:szCs w:val="20"/>
              </w:rPr>
            </w:pPr>
            <w:r w:rsidRPr="0018520C">
              <w:rPr>
                <w:rFonts w:eastAsia="Calibri"/>
                <w:b/>
                <w:color w:val="000000"/>
                <w:sz w:val="20"/>
                <w:szCs w:val="20"/>
              </w:rPr>
              <w:t>Varies</w:t>
            </w:r>
          </w:p>
        </w:tc>
        <w:tc>
          <w:tcPr>
            <w:tcW w:w="995"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53BD1065" w14:textId="77777777">
            <w:pPr>
              <w:widowControl w:val="0"/>
              <w:autoSpaceDE w:val="0"/>
              <w:autoSpaceDN w:val="0"/>
              <w:adjustRightInd w:val="0"/>
              <w:jc w:val="center"/>
              <w:rPr>
                <w:rFonts w:eastAsia="Calibri"/>
                <w:b/>
                <w:color w:val="000000"/>
                <w:sz w:val="20"/>
                <w:szCs w:val="20"/>
              </w:rPr>
            </w:pPr>
            <w:r w:rsidRPr="0018520C">
              <w:rPr>
                <w:rFonts w:eastAsia="Calibri"/>
                <w:b/>
                <w:color w:val="000000"/>
                <w:sz w:val="20"/>
                <w:szCs w:val="20"/>
              </w:rPr>
              <w:t>156,422</w:t>
            </w:r>
          </w:p>
        </w:tc>
        <w:tc>
          <w:tcPr>
            <w:tcW w:w="117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172AD646" w14:textId="77777777">
            <w:pPr>
              <w:widowControl w:val="0"/>
              <w:autoSpaceDE w:val="0"/>
              <w:autoSpaceDN w:val="0"/>
              <w:adjustRightInd w:val="0"/>
              <w:jc w:val="center"/>
              <w:rPr>
                <w:rFonts w:eastAsia="Calibri"/>
                <w:b/>
                <w:color w:val="000000"/>
                <w:sz w:val="20"/>
                <w:szCs w:val="20"/>
              </w:rPr>
            </w:pPr>
            <w:r w:rsidRPr="0018520C">
              <w:rPr>
                <w:rFonts w:eastAsia="Calibri"/>
                <w:b/>
                <w:color w:val="000000"/>
                <w:sz w:val="20"/>
                <w:szCs w:val="20"/>
              </w:rPr>
              <w:t>$49.71</w:t>
            </w:r>
          </w:p>
        </w:tc>
        <w:tc>
          <w:tcPr>
            <w:tcW w:w="1260" w:type="dxa"/>
            <w:tcBorders>
              <w:top w:val="single" w:sz="4" w:space="0" w:color="auto"/>
              <w:left w:val="single" w:sz="4" w:space="0" w:color="auto"/>
              <w:bottom w:val="single" w:sz="4" w:space="0" w:color="auto"/>
              <w:right w:val="single" w:sz="4" w:space="0" w:color="auto"/>
            </w:tcBorders>
            <w:vAlign w:val="center"/>
          </w:tcPr>
          <w:p w:rsidR="0018520C" w:rsidRPr="0018520C" w:rsidP="002311D3" w14:paraId="616AFE44" w14:textId="77777777">
            <w:pPr>
              <w:widowControl w:val="0"/>
              <w:autoSpaceDE w:val="0"/>
              <w:autoSpaceDN w:val="0"/>
              <w:adjustRightInd w:val="0"/>
              <w:jc w:val="center"/>
              <w:rPr>
                <w:rFonts w:eastAsia="Calibri"/>
                <w:b/>
                <w:color w:val="000000"/>
                <w:sz w:val="20"/>
                <w:szCs w:val="20"/>
              </w:rPr>
            </w:pPr>
            <w:r w:rsidRPr="0018520C">
              <w:rPr>
                <w:rFonts w:eastAsia="Calibri"/>
                <w:b/>
                <w:color w:val="000000"/>
                <w:sz w:val="20"/>
                <w:szCs w:val="20"/>
              </w:rPr>
              <w:t>$7,775,738</w:t>
            </w:r>
          </w:p>
        </w:tc>
      </w:tr>
    </w:tbl>
    <w:p w:rsidR="00830E16" w:rsidRPr="00974D81" w:rsidP="00BF2114" w14:paraId="34B295E3" w14:textId="77777777">
      <w:pPr>
        <w:widowControl w:val="0"/>
        <w:autoSpaceDE w:val="0"/>
        <w:autoSpaceDN w:val="0"/>
        <w:adjustRightInd w:val="0"/>
        <w:rPr>
          <w:b/>
          <w:color w:val="000000"/>
        </w:rPr>
      </w:pPr>
    </w:p>
    <w:p w:rsidR="0018520C" w:rsidP="00C73FFB" w14:paraId="719ABD4C" w14:textId="77777777">
      <w:pPr>
        <w:widowControl w:val="0"/>
        <w:autoSpaceDE w:val="0"/>
        <w:autoSpaceDN w:val="0"/>
        <w:adjustRightInd w:val="0"/>
        <w:jc w:val="center"/>
        <w:rPr>
          <w:color w:val="000000"/>
          <w:u w:val="single"/>
        </w:rPr>
      </w:pPr>
    </w:p>
    <w:p w:rsidR="0018520C" w:rsidP="00C73FFB" w14:paraId="7A641092" w14:textId="77777777">
      <w:pPr>
        <w:widowControl w:val="0"/>
        <w:autoSpaceDE w:val="0"/>
        <w:autoSpaceDN w:val="0"/>
        <w:adjustRightInd w:val="0"/>
        <w:jc w:val="center"/>
        <w:rPr>
          <w:color w:val="000000"/>
          <w:u w:val="single"/>
        </w:rPr>
      </w:pPr>
    </w:p>
    <w:p w:rsidR="0018520C" w:rsidP="00C73FFB" w14:paraId="70538551" w14:textId="77777777">
      <w:pPr>
        <w:widowControl w:val="0"/>
        <w:autoSpaceDE w:val="0"/>
        <w:autoSpaceDN w:val="0"/>
        <w:adjustRightInd w:val="0"/>
        <w:jc w:val="center"/>
        <w:rPr>
          <w:color w:val="000000"/>
          <w:u w:val="single"/>
        </w:rPr>
      </w:pPr>
    </w:p>
    <w:p w:rsidR="0018520C" w:rsidP="00C73FFB" w14:paraId="55829029" w14:textId="77777777">
      <w:pPr>
        <w:widowControl w:val="0"/>
        <w:autoSpaceDE w:val="0"/>
        <w:autoSpaceDN w:val="0"/>
        <w:adjustRightInd w:val="0"/>
        <w:jc w:val="center"/>
        <w:rPr>
          <w:color w:val="000000"/>
          <w:u w:val="single"/>
        </w:rPr>
      </w:pPr>
    </w:p>
    <w:p w:rsidR="0018520C" w:rsidP="00C73FFB" w14:paraId="1B2A82CB" w14:textId="77777777">
      <w:pPr>
        <w:widowControl w:val="0"/>
        <w:autoSpaceDE w:val="0"/>
        <w:autoSpaceDN w:val="0"/>
        <w:adjustRightInd w:val="0"/>
        <w:jc w:val="center"/>
        <w:rPr>
          <w:color w:val="000000"/>
          <w:u w:val="single"/>
        </w:rPr>
      </w:pPr>
    </w:p>
    <w:p w:rsidR="0018520C" w:rsidP="00C73FFB" w14:paraId="114A70CB" w14:textId="77777777">
      <w:pPr>
        <w:widowControl w:val="0"/>
        <w:autoSpaceDE w:val="0"/>
        <w:autoSpaceDN w:val="0"/>
        <w:adjustRightInd w:val="0"/>
        <w:jc w:val="center"/>
        <w:rPr>
          <w:color w:val="000000"/>
          <w:u w:val="single"/>
        </w:rPr>
      </w:pPr>
    </w:p>
    <w:p w:rsidR="00FC60AC" w:rsidRPr="00974D81" w:rsidP="00C73FFB" w14:paraId="603F29C0" w14:textId="109A7A17">
      <w:pPr>
        <w:widowControl w:val="0"/>
        <w:autoSpaceDE w:val="0"/>
        <w:autoSpaceDN w:val="0"/>
        <w:adjustRightInd w:val="0"/>
        <w:jc w:val="center"/>
        <w:rPr>
          <w:color w:val="000000"/>
          <w:u w:val="single"/>
        </w:rPr>
      </w:pPr>
      <w:r w:rsidRPr="00974D81">
        <w:rPr>
          <w:color w:val="000000"/>
          <w:u w:val="single"/>
        </w:rPr>
        <w:t>Table 3</w:t>
      </w:r>
    </w:p>
    <w:p w:rsidR="006B62A4" w:rsidRPr="00974D81" w:rsidP="00C53DD8" w14:paraId="7231869C" w14:textId="77777777">
      <w:pPr>
        <w:widowControl w:val="0"/>
        <w:autoSpaceDE w:val="0"/>
        <w:autoSpaceDN w:val="0"/>
        <w:adjustRightInd w:val="0"/>
        <w:rPr>
          <w:color w:val="000000"/>
          <w:u w:val="single"/>
        </w:rPr>
      </w:pPr>
    </w:p>
    <w:p w:rsidR="00C53DD8" w:rsidRPr="00974D81" w:rsidP="00907B32" w14:paraId="71060308" w14:textId="77777777">
      <w:pPr>
        <w:widowControl w:val="0"/>
        <w:autoSpaceDE w:val="0"/>
        <w:autoSpaceDN w:val="0"/>
        <w:adjustRightInd w:val="0"/>
        <w:jc w:val="center"/>
        <w:rPr>
          <w:b/>
          <w:color w:val="000000"/>
          <w:u w:val="single"/>
        </w:rPr>
      </w:pPr>
      <w:r w:rsidRPr="00974D81">
        <w:rPr>
          <w:b/>
          <w:color w:val="000000"/>
        </w:rPr>
        <w:t>FORM WH-4 BURDEN HOURS AND ANNUA</w:t>
      </w:r>
      <w:r w:rsidRPr="00974D81" w:rsidR="00BF2114">
        <w:rPr>
          <w:b/>
          <w:color w:val="000000"/>
        </w:rPr>
        <w:t xml:space="preserve">L COST TO </w:t>
      </w:r>
      <w:r w:rsidRPr="00974D81" w:rsidR="00BF2114">
        <w:rPr>
          <w:b/>
          <w:color w:val="000000"/>
        </w:rPr>
        <w:t>RESPONDENTS</w:t>
      </w:r>
      <w:r w:rsidRPr="00974D81" w:rsidR="00FC60AC">
        <w:rPr>
          <w:b/>
          <w:color w:val="000000"/>
        </w:rPr>
        <w:t xml:space="preserve"> </w:t>
      </w:r>
      <w:r w:rsidRPr="00974D81" w:rsidR="00BF2114">
        <w:rPr>
          <w:b/>
          <w:color w:val="000000"/>
        </w:rPr>
        <w:t>ESTIMATES</w:t>
      </w:r>
    </w:p>
    <w:p w:rsidR="00537541" w:rsidRPr="00974D81" w:rsidP="00C53DD8" w14:paraId="0EAF4D8F" w14:textId="77777777">
      <w:pPr>
        <w:widowControl w:val="0"/>
        <w:autoSpaceDE w:val="0"/>
        <w:autoSpaceDN w:val="0"/>
        <w:adjustRightInd w:val="0"/>
        <w:rPr>
          <w:b/>
          <w:color w:val="000000"/>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350"/>
        <w:gridCol w:w="1170"/>
        <w:gridCol w:w="1170"/>
        <w:gridCol w:w="1350"/>
        <w:gridCol w:w="1080"/>
        <w:gridCol w:w="1260"/>
        <w:gridCol w:w="1080"/>
      </w:tblGrid>
      <w:tr w14:paraId="3D121237" w14:textId="77777777" w:rsidTr="00070CC5">
        <w:tblPrEx>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2"/>
        </w:trPr>
        <w:tc>
          <w:tcPr>
            <w:tcW w:w="1440" w:type="dxa"/>
          </w:tcPr>
          <w:p w:rsidR="00537541" w:rsidRPr="00974D81" w:rsidP="0072120A" w14:paraId="763F1FF7"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Type of Respondent</w:t>
            </w:r>
          </w:p>
        </w:tc>
        <w:tc>
          <w:tcPr>
            <w:tcW w:w="1350" w:type="dxa"/>
          </w:tcPr>
          <w:p w:rsidR="00537541" w:rsidRPr="00974D81" w:rsidP="0072120A" w14:paraId="6EBA4FB2"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Information Collection Activity</w:t>
            </w:r>
          </w:p>
        </w:tc>
        <w:tc>
          <w:tcPr>
            <w:tcW w:w="1350" w:type="dxa"/>
          </w:tcPr>
          <w:p w:rsidR="00537541" w:rsidRPr="00974D81" w:rsidP="0072120A" w14:paraId="7C90615D"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No. of Respondents</w:t>
            </w:r>
          </w:p>
        </w:tc>
        <w:tc>
          <w:tcPr>
            <w:tcW w:w="1170" w:type="dxa"/>
          </w:tcPr>
          <w:p w:rsidR="00537541" w:rsidRPr="00974D81" w:rsidP="0072120A" w14:paraId="49F416CF"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No. of Annual Responses per Respondent</w:t>
            </w:r>
          </w:p>
        </w:tc>
        <w:tc>
          <w:tcPr>
            <w:tcW w:w="1170" w:type="dxa"/>
          </w:tcPr>
          <w:p w:rsidR="00537541" w:rsidRPr="00974D81" w:rsidP="0072120A" w14:paraId="341BDDF0" w14:textId="77777777">
            <w:pPr>
              <w:widowControl w:val="0"/>
              <w:autoSpaceDE w:val="0"/>
              <w:autoSpaceDN w:val="0"/>
              <w:adjustRightInd w:val="0"/>
              <w:jc w:val="center"/>
              <w:rPr>
                <w:rFonts w:eastAsia="Calibri"/>
                <w:b/>
                <w:bCs/>
                <w:color w:val="000000"/>
                <w:sz w:val="20"/>
                <w:szCs w:val="20"/>
              </w:rPr>
            </w:pPr>
            <w:r w:rsidRPr="00974D81">
              <w:rPr>
                <w:rFonts w:eastAsia="Calibri"/>
                <w:b/>
                <w:bCs/>
                <w:color w:val="000000"/>
                <w:sz w:val="20"/>
                <w:szCs w:val="20"/>
              </w:rPr>
              <w:t>Total Annual Responses</w:t>
            </w:r>
          </w:p>
        </w:tc>
        <w:tc>
          <w:tcPr>
            <w:tcW w:w="1350" w:type="dxa"/>
          </w:tcPr>
          <w:p w:rsidR="00537541" w:rsidRPr="00974D81" w:rsidP="0072120A" w14:paraId="2C1E18C1"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Avg. Burden per Response (in hours)</w:t>
            </w:r>
          </w:p>
        </w:tc>
        <w:tc>
          <w:tcPr>
            <w:tcW w:w="1080" w:type="dxa"/>
          </w:tcPr>
          <w:p w:rsidR="00537541" w:rsidRPr="00974D81" w:rsidP="0072120A" w14:paraId="19A8726A"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 xml:space="preserve">Total Annual Burden </w:t>
            </w:r>
            <w:r w:rsidRPr="00974D81">
              <w:rPr>
                <w:rFonts w:eastAsia="Calibri"/>
                <w:b/>
                <w:bCs/>
                <w:color w:val="000000"/>
                <w:sz w:val="20"/>
                <w:szCs w:val="20"/>
              </w:rPr>
              <w:br/>
              <w:t>(in hours)</w:t>
            </w:r>
          </w:p>
        </w:tc>
        <w:tc>
          <w:tcPr>
            <w:tcW w:w="1260" w:type="dxa"/>
          </w:tcPr>
          <w:p w:rsidR="00537541" w:rsidRPr="00974D81" w:rsidP="0072120A" w14:paraId="6E3A1F3A" w14:textId="33E46035">
            <w:pPr>
              <w:widowControl w:val="0"/>
              <w:autoSpaceDE w:val="0"/>
              <w:autoSpaceDN w:val="0"/>
              <w:adjustRightInd w:val="0"/>
              <w:jc w:val="center"/>
              <w:rPr>
                <w:bCs/>
                <w:color w:val="000000"/>
                <w:sz w:val="20"/>
                <w:szCs w:val="20"/>
              </w:rPr>
            </w:pPr>
            <w:r w:rsidRPr="00974D81">
              <w:rPr>
                <w:rFonts w:eastAsia="Calibri"/>
                <w:b/>
                <w:bCs/>
                <w:color w:val="000000"/>
                <w:sz w:val="20"/>
                <w:szCs w:val="20"/>
              </w:rPr>
              <w:t xml:space="preserve">Avg. Hourly </w:t>
            </w:r>
            <w:r w:rsidRPr="00974D81" w:rsidR="004B42E7">
              <w:rPr>
                <w:rFonts w:eastAsia="Calibri"/>
                <w:b/>
                <w:bCs/>
                <w:color w:val="000000"/>
                <w:sz w:val="20"/>
                <w:szCs w:val="20"/>
              </w:rPr>
              <w:t>Compensation</w:t>
            </w:r>
          </w:p>
        </w:tc>
        <w:tc>
          <w:tcPr>
            <w:tcW w:w="1080" w:type="dxa"/>
          </w:tcPr>
          <w:p w:rsidR="00537541" w:rsidRPr="00974D81" w:rsidP="0072120A" w14:paraId="46CCE24A"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Total Annual Respondent Cost</w:t>
            </w:r>
          </w:p>
        </w:tc>
      </w:tr>
      <w:tr w14:paraId="412DBD54" w14:textId="77777777" w:rsidTr="00070CC5">
        <w:tblPrEx>
          <w:tblW w:w="11250" w:type="dxa"/>
          <w:tblInd w:w="-905" w:type="dxa"/>
          <w:tblLayout w:type="fixed"/>
          <w:tblLook w:val="01E0"/>
        </w:tblPrEx>
        <w:trPr>
          <w:trHeight w:val="102"/>
        </w:trPr>
        <w:tc>
          <w:tcPr>
            <w:tcW w:w="1440" w:type="dxa"/>
            <w:vAlign w:val="center"/>
          </w:tcPr>
          <w:p w:rsidR="00537541" w:rsidRPr="00974D81" w:rsidP="00C9040D" w14:paraId="79519FF1" w14:textId="77777777">
            <w:pPr>
              <w:widowControl w:val="0"/>
              <w:autoSpaceDE w:val="0"/>
              <w:autoSpaceDN w:val="0"/>
              <w:adjustRightInd w:val="0"/>
              <w:rPr>
                <w:bCs/>
                <w:color w:val="000000"/>
                <w:sz w:val="20"/>
                <w:szCs w:val="20"/>
              </w:rPr>
            </w:pPr>
            <w:r w:rsidRPr="00974D81">
              <w:rPr>
                <w:bCs/>
                <w:color w:val="000000"/>
                <w:sz w:val="20"/>
                <w:szCs w:val="20"/>
              </w:rPr>
              <w:t>Individuals or Households</w:t>
            </w:r>
          </w:p>
        </w:tc>
        <w:tc>
          <w:tcPr>
            <w:tcW w:w="1350" w:type="dxa"/>
            <w:vAlign w:val="center"/>
          </w:tcPr>
          <w:p w:rsidR="00537541" w:rsidRPr="00974D81" w:rsidP="00C9040D" w14:paraId="4B71EA32" w14:textId="77777777">
            <w:pPr>
              <w:widowControl w:val="0"/>
              <w:autoSpaceDE w:val="0"/>
              <w:autoSpaceDN w:val="0"/>
              <w:adjustRightInd w:val="0"/>
              <w:rPr>
                <w:bCs/>
                <w:color w:val="000000"/>
                <w:sz w:val="20"/>
                <w:szCs w:val="20"/>
              </w:rPr>
            </w:pPr>
            <w:r w:rsidRPr="00974D81">
              <w:rPr>
                <w:bCs/>
                <w:color w:val="000000"/>
                <w:sz w:val="20"/>
                <w:szCs w:val="20"/>
              </w:rPr>
              <w:t>Information Form Alleging H-1B Violations (WH-</w:t>
            </w:r>
            <w:r w:rsidRPr="00974D81">
              <w:rPr>
                <w:bCs/>
                <w:color w:val="000000"/>
                <w:sz w:val="20"/>
                <w:szCs w:val="20"/>
              </w:rPr>
              <w:t>4)*</w:t>
            </w:r>
            <w:r w:rsidRPr="00974D81">
              <w:rPr>
                <w:bCs/>
                <w:color w:val="000000"/>
                <w:sz w:val="20"/>
                <w:szCs w:val="20"/>
              </w:rPr>
              <w:t>*</w:t>
            </w:r>
          </w:p>
        </w:tc>
        <w:tc>
          <w:tcPr>
            <w:tcW w:w="1350" w:type="dxa"/>
            <w:vAlign w:val="center"/>
          </w:tcPr>
          <w:p w:rsidR="00537541" w:rsidRPr="00E61273" w:rsidP="003737FC" w14:paraId="6C324D90" w14:textId="157A783C">
            <w:pPr>
              <w:widowControl w:val="0"/>
              <w:autoSpaceDE w:val="0"/>
              <w:autoSpaceDN w:val="0"/>
              <w:adjustRightInd w:val="0"/>
              <w:jc w:val="center"/>
              <w:rPr>
                <w:bCs/>
                <w:color w:val="000000"/>
                <w:sz w:val="20"/>
                <w:szCs w:val="20"/>
              </w:rPr>
            </w:pPr>
            <w:r w:rsidRPr="00E61273">
              <w:rPr>
                <w:bCs/>
                <w:color w:val="000000"/>
                <w:sz w:val="20"/>
                <w:szCs w:val="20"/>
              </w:rPr>
              <w:t xml:space="preserve"> 97</w:t>
            </w:r>
          </w:p>
        </w:tc>
        <w:tc>
          <w:tcPr>
            <w:tcW w:w="1170" w:type="dxa"/>
            <w:vAlign w:val="center"/>
          </w:tcPr>
          <w:p w:rsidR="00537541" w:rsidRPr="00E61273" w:rsidP="003737FC" w14:paraId="60D67F80" w14:textId="7BD33E25">
            <w:pPr>
              <w:widowControl w:val="0"/>
              <w:autoSpaceDE w:val="0"/>
              <w:autoSpaceDN w:val="0"/>
              <w:adjustRightInd w:val="0"/>
              <w:jc w:val="center"/>
              <w:rPr>
                <w:bCs/>
                <w:color w:val="000000"/>
                <w:sz w:val="20"/>
                <w:szCs w:val="20"/>
              </w:rPr>
            </w:pPr>
            <w:r w:rsidRPr="00E61273">
              <w:rPr>
                <w:bCs/>
                <w:color w:val="000000"/>
                <w:sz w:val="20"/>
                <w:szCs w:val="20"/>
              </w:rPr>
              <w:t>1</w:t>
            </w:r>
          </w:p>
        </w:tc>
        <w:tc>
          <w:tcPr>
            <w:tcW w:w="1170" w:type="dxa"/>
            <w:vAlign w:val="center"/>
          </w:tcPr>
          <w:p w:rsidR="00537541" w:rsidRPr="00E61273" w:rsidP="003737FC" w14:paraId="1FE64AD0" w14:textId="16634634">
            <w:pPr>
              <w:widowControl w:val="0"/>
              <w:autoSpaceDE w:val="0"/>
              <w:autoSpaceDN w:val="0"/>
              <w:adjustRightInd w:val="0"/>
              <w:jc w:val="center"/>
              <w:rPr>
                <w:bCs/>
                <w:color w:val="000000"/>
                <w:sz w:val="20"/>
                <w:szCs w:val="20"/>
              </w:rPr>
            </w:pPr>
            <w:r w:rsidRPr="00E61273">
              <w:rPr>
                <w:bCs/>
                <w:color w:val="000000"/>
                <w:sz w:val="20"/>
                <w:szCs w:val="20"/>
              </w:rPr>
              <w:t xml:space="preserve"> 97</w:t>
            </w:r>
          </w:p>
        </w:tc>
        <w:tc>
          <w:tcPr>
            <w:tcW w:w="1350" w:type="dxa"/>
            <w:vAlign w:val="center"/>
          </w:tcPr>
          <w:p w:rsidR="00537541" w:rsidRPr="00E61273" w:rsidP="003737FC" w14:paraId="60D0C3F5" w14:textId="2EFAD8D3">
            <w:pPr>
              <w:widowControl w:val="0"/>
              <w:autoSpaceDE w:val="0"/>
              <w:autoSpaceDN w:val="0"/>
              <w:adjustRightInd w:val="0"/>
              <w:jc w:val="center"/>
              <w:rPr>
                <w:bCs/>
                <w:color w:val="000000"/>
                <w:sz w:val="20"/>
                <w:szCs w:val="20"/>
              </w:rPr>
            </w:pPr>
            <w:r w:rsidRPr="00E61273">
              <w:rPr>
                <w:bCs/>
                <w:color w:val="000000"/>
                <w:sz w:val="20"/>
                <w:szCs w:val="20"/>
              </w:rPr>
              <w:t>0.3333</w:t>
            </w:r>
          </w:p>
        </w:tc>
        <w:tc>
          <w:tcPr>
            <w:tcW w:w="1080" w:type="dxa"/>
            <w:vAlign w:val="center"/>
          </w:tcPr>
          <w:p w:rsidR="00537541" w:rsidRPr="00E61273" w:rsidP="003737FC" w14:paraId="43FA8943" w14:textId="7988F967">
            <w:pPr>
              <w:widowControl w:val="0"/>
              <w:autoSpaceDE w:val="0"/>
              <w:autoSpaceDN w:val="0"/>
              <w:adjustRightInd w:val="0"/>
              <w:jc w:val="center"/>
              <w:rPr>
                <w:bCs/>
                <w:color w:val="000000"/>
                <w:sz w:val="20"/>
                <w:szCs w:val="20"/>
              </w:rPr>
            </w:pPr>
            <w:r w:rsidRPr="00E61273">
              <w:rPr>
                <w:bCs/>
                <w:color w:val="000000"/>
                <w:sz w:val="20"/>
                <w:szCs w:val="20"/>
              </w:rPr>
              <w:t>32</w:t>
            </w:r>
          </w:p>
        </w:tc>
        <w:tc>
          <w:tcPr>
            <w:tcW w:w="1260" w:type="dxa"/>
            <w:vAlign w:val="center"/>
          </w:tcPr>
          <w:p w:rsidR="00537541" w:rsidRPr="00E61273" w:rsidP="003737FC" w14:paraId="7D70A175" w14:textId="7CD581A7">
            <w:pPr>
              <w:widowControl w:val="0"/>
              <w:autoSpaceDE w:val="0"/>
              <w:autoSpaceDN w:val="0"/>
              <w:adjustRightInd w:val="0"/>
              <w:jc w:val="center"/>
              <w:rPr>
                <w:bCs/>
                <w:color w:val="000000"/>
                <w:sz w:val="20"/>
                <w:szCs w:val="20"/>
              </w:rPr>
            </w:pPr>
            <w:r w:rsidRPr="00E61273">
              <w:rPr>
                <w:rFonts w:eastAsia="Calibri"/>
                <w:bCs/>
                <w:color w:val="000000"/>
                <w:sz w:val="20"/>
                <w:szCs w:val="20"/>
              </w:rPr>
              <w:t xml:space="preserve">$49.71 </w:t>
            </w:r>
          </w:p>
        </w:tc>
        <w:tc>
          <w:tcPr>
            <w:tcW w:w="1080" w:type="dxa"/>
            <w:vAlign w:val="center"/>
          </w:tcPr>
          <w:p w:rsidR="00537541" w:rsidRPr="00E61273" w:rsidP="003737FC" w14:paraId="64EF08B4" w14:textId="7C497BCB">
            <w:pPr>
              <w:widowControl w:val="0"/>
              <w:autoSpaceDE w:val="0"/>
              <w:autoSpaceDN w:val="0"/>
              <w:adjustRightInd w:val="0"/>
              <w:jc w:val="center"/>
              <w:rPr>
                <w:bCs/>
                <w:color w:val="000000"/>
                <w:sz w:val="20"/>
                <w:szCs w:val="20"/>
              </w:rPr>
            </w:pPr>
            <w:r w:rsidRPr="00E61273">
              <w:rPr>
                <w:bCs/>
                <w:color w:val="000000"/>
                <w:sz w:val="20"/>
                <w:szCs w:val="20"/>
              </w:rPr>
              <w:t xml:space="preserve">$1,591 </w:t>
            </w:r>
          </w:p>
        </w:tc>
      </w:tr>
      <w:tr w14:paraId="12C9C594" w14:textId="77777777" w:rsidTr="00070CC5">
        <w:tblPrEx>
          <w:tblW w:w="11250" w:type="dxa"/>
          <w:tblInd w:w="-905" w:type="dxa"/>
          <w:tblLayout w:type="fixed"/>
          <w:tblLook w:val="01E0"/>
        </w:tblPrEx>
        <w:trPr>
          <w:trHeight w:val="102"/>
        </w:trPr>
        <w:tc>
          <w:tcPr>
            <w:tcW w:w="1440" w:type="dxa"/>
            <w:vAlign w:val="center"/>
          </w:tcPr>
          <w:p w:rsidR="00E61273" w:rsidRPr="00E61273" w:rsidP="002311D3" w14:paraId="75585053" w14:textId="063C73B1">
            <w:pPr>
              <w:widowControl w:val="0"/>
              <w:autoSpaceDE w:val="0"/>
              <w:autoSpaceDN w:val="0"/>
              <w:adjustRightInd w:val="0"/>
              <w:rPr>
                <w:b/>
                <w:color w:val="000000"/>
                <w:sz w:val="20"/>
                <w:szCs w:val="20"/>
              </w:rPr>
            </w:pPr>
            <w:r w:rsidRPr="00E61273">
              <w:rPr>
                <w:b/>
                <w:color w:val="000000"/>
                <w:sz w:val="20"/>
                <w:szCs w:val="20"/>
              </w:rPr>
              <w:t>Unduplicated Totals</w:t>
            </w:r>
          </w:p>
        </w:tc>
        <w:tc>
          <w:tcPr>
            <w:tcW w:w="1350" w:type="dxa"/>
            <w:vAlign w:val="center"/>
          </w:tcPr>
          <w:p w:rsidR="00E61273" w:rsidRPr="00974D81" w:rsidP="002311D3" w14:paraId="580E7650" w14:textId="1A65647D">
            <w:pPr>
              <w:widowControl w:val="0"/>
              <w:autoSpaceDE w:val="0"/>
              <w:autoSpaceDN w:val="0"/>
              <w:adjustRightInd w:val="0"/>
              <w:rPr>
                <w:bCs/>
                <w:color w:val="000000"/>
                <w:sz w:val="20"/>
                <w:szCs w:val="20"/>
              </w:rPr>
            </w:pPr>
          </w:p>
        </w:tc>
        <w:tc>
          <w:tcPr>
            <w:tcW w:w="1350" w:type="dxa"/>
            <w:vAlign w:val="center"/>
          </w:tcPr>
          <w:p w:rsidR="00E61273" w:rsidRPr="000A562C" w:rsidP="002311D3" w14:paraId="3DDDC623" w14:textId="77777777">
            <w:pPr>
              <w:widowControl w:val="0"/>
              <w:autoSpaceDE w:val="0"/>
              <w:autoSpaceDN w:val="0"/>
              <w:adjustRightInd w:val="0"/>
              <w:jc w:val="center"/>
              <w:rPr>
                <w:b/>
                <w:color w:val="000000"/>
                <w:sz w:val="20"/>
                <w:szCs w:val="20"/>
              </w:rPr>
            </w:pPr>
            <w:r w:rsidRPr="000A562C">
              <w:rPr>
                <w:b/>
                <w:color w:val="000000"/>
                <w:sz w:val="20"/>
                <w:szCs w:val="20"/>
              </w:rPr>
              <w:t xml:space="preserve"> 97</w:t>
            </w:r>
          </w:p>
        </w:tc>
        <w:tc>
          <w:tcPr>
            <w:tcW w:w="1170" w:type="dxa"/>
            <w:vAlign w:val="center"/>
          </w:tcPr>
          <w:p w:rsidR="00E61273" w:rsidRPr="000A562C" w:rsidP="002311D3" w14:paraId="0006F5D9" w14:textId="77777777">
            <w:pPr>
              <w:widowControl w:val="0"/>
              <w:autoSpaceDE w:val="0"/>
              <w:autoSpaceDN w:val="0"/>
              <w:adjustRightInd w:val="0"/>
              <w:jc w:val="center"/>
              <w:rPr>
                <w:b/>
                <w:color w:val="000000"/>
                <w:sz w:val="20"/>
                <w:szCs w:val="20"/>
              </w:rPr>
            </w:pPr>
            <w:r w:rsidRPr="000A562C">
              <w:rPr>
                <w:b/>
                <w:color w:val="000000"/>
                <w:sz w:val="20"/>
                <w:szCs w:val="20"/>
              </w:rPr>
              <w:t>1</w:t>
            </w:r>
          </w:p>
        </w:tc>
        <w:tc>
          <w:tcPr>
            <w:tcW w:w="1170" w:type="dxa"/>
            <w:vAlign w:val="center"/>
          </w:tcPr>
          <w:p w:rsidR="00E61273" w:rsidRPr="000A562C" w:rsidP="002311D3" w14:paraId="26124419" w14:textId="77777777">
            <w:pPr>
              <w:widowControl w:val="0"/>
              <w:autoSpaceDE w:val="0"/>
              <w:autoSpaceDN w:val="0"/>
              <w:adjustRightInd w:val="0"/>
              <w:jc w:val="center"/>
              <w:rPr>
                <w:b/>
                <w:color w:val="000000"/>
                <w:sz w:val="20"/>
                <w:szCs w:val="20"/>
              </w:rPr>
            </w:pPr>
            <w:r w:rsidRPr="000A562C">
              <w:rPr>
                <w:b/>
                <w:color w:val="000000"/>
                <w:sz w:val="20"/>
                <w:szCs w:val="20"/>
              </w:rPr>
              <w:t xml:space="preserve"> 97</w:t>
            </w:r>
          </w:p>
        </w:tc>
        <w:tc>
          <w:tcPr>
            <w:tcW w:w="1350" w:type="dxa"/>
            <w:vAlign w:val="center"/>
          </w:tcPr>
          <w:p w:rsidR="00E61273" w:rsidRPr="000A562C" w:rsidP="002311D3" w14:paraId="25CB4AC0" w14:textId="77777777">
            <w:pPr>
              <w:widowControl w:val="0"/>
              <w:autoSpaceDE w:val="0"/>
              <w:autoSpaceDN w:val="0"/>
              <w:adjustRightInd w:val="0"/>
              <w:jc w:val="center"/>
              <w:rPr>
                <w:b/>
                <w:color w:val="000000"/>
                <w:sz w:val="20"/>
                <w:szCs w:val="20"/>
              </w:rPr>
            </w:pPr>
            <w:r w:rsidRPr="000A562C">
              <w:rPr>
                <w:b/>
                <w:color w:val="000000"/>
                <w:sz w:val="20"/>
                <w:szCs w:val="20"/>
              </w:rPr>
              <w:t>0.3333</w:t>
            </w:r>
          </w:p>
        </w:tc>
        <w:tc>
          <w:tcPr>
            <w:tcW w:w="1080" w:type="dxa"/>
            <w:vAlign w:val="center"/>
          </w:tcPr>
          <w:p w:rsidR="00E61273" w:rsidRPr="000A562C" w:rsidP="002311D3" w14:paraId="02FF7CCC" w14:textId="77777777">
            <w:pPr>
              <w:widowControl w:val="0"/>
              <w:autoSpaceDE w:val="0"/>
              <w:autoSpaceDN w:val="0"/>
              <w:adjustRightInd w:val="0"/>
              <w:jc w:val="center"/>
              <w:rPr>
                <w:b/>
                <w:color w:val="000000"/>
                <w:sz w:val="20"/>
                <w:szCs w:val="20"/>
              </w:rPr>
            </w:pPr>
            <w:r w:rsidRPr="000A562C">
              <w:rPr>
                <w:b/>
                <w:color w:val="000000"/>
                <w:sz w:val="20"/>
                <w:szCs w:val="20"/>
              </w:rPr>
              <w:t>32</w:t>
            </w:r>
          </w:p>
        </w:tc>
        <w:tc>
          <w:tcPr>
            <w:tcW w:w="1260" w:type="dxa"/>
            <w:vAlign w:val="center"/>
          </w:tcPr>
          <w:p w:rsidR="00E61273" w:rsidRPr="000A562C" w:rsidP="002311D3" w14:paraId="1E6357CE" w14:textId="77777777">
            <w:pPr>
              <w:widowControl w:val="0"/>
              <w:autoSpaceDE w:val="0"/>
              <w:autoSpaceDN w:val="0"/>
              <w:adjustRightInd w:val="0"/>
              <w:jc w:val="center"/>
              <w:rPr>
                <w:b/>
                <w:color w:val="000000"/>
                <w:sz w:val="20"/>
                <w:szCs w:val="20"/>
              </w:rPr>
            </w:pPr>
            <w:r w:rsidRPr="000A562C">
              <w:rPr>
                <w:rFonts w:eastAsia="Calibri"/>
                <w:b/>
                <w:color w:val="000000"/>
                <w:sz w:val="20"/>
                <w:szCs w:val="20"/>
              </w:rPr>
              <w:t xml:space="preserve">$49.71 </w:t>
            </w:r>
          </w:p>
        </w:tc>
        <w:tc>
          <w:tcPr>
            <w:tcW w:w="1080" w:type="dxa"/>
            <w:vAlign w:val="center"/>
          </w:tcPr>
          <w:p w:rsidR="00E61273" w:rsidRPr="000A562C" w:rsidP="002311D3" w14:paraId="642C4E6E" w14:textId="77777777">
            <w:pPr>
              <w:widowControl w:val="0"/>
              <w:autoSpaceDE w:val="0"/>
              <w:autoSpaceDN w:val="0"/>
              <w:adjustRightInd w:val="0"/>
              <w:jc w:val="center"/>
              <w:rPr>
                <w:b/>
                <w:color w:val="000000"/>
                <w:sz w:val="20"/>
                <w:szCs w:val="20"/>
              </w:rPr>
            </w:pPr>
            <w:r w:rsidRPr="000A562C">
              <w:rPr>
                <w:b/>
                <w:color w:val="000000"/>
                <w:sz w:val="20"/>
                <w:szCs w:val="20"/>
              </w:rPr>
              <w:t xml:space="preserve">$1,591 </w:t>
            </w:r>
          </w:p>
        </w:tc>
      </w:tr>
    </w:tbl>
    <w:p w:rsidR="00625FDB" w:rsidP="00C53DD8" w14:paraId="320D0340" w14:textId="77777777">
      <w:pPr>
        <w:widowControl w:val="0"/>
        <w:autoSpaceDE w:val="0"/>
        <w:autoSpaceDN w:val="0"/>
        <w:adjustRightInd w:val="0"/>
        <w:rPr>
          <w:i/>
          <w:color w:val="000000"/>
          <w:sz w:val="18"/>
          <w:szCs w:val="18"/>
        </w:rPr>
      </w:pPr>
    </w:p>
    <w:p w:rsidR="00C53DD8" w:rsidRPr="00974D81" w:rsidP="00C53DD8" w14:paraId="2DAFB223" w14:textId="11C4480E">
      <w:pPr>
        <w:widowControl w:val="0"/>
        <w:autoSpaceDE w:val="0"/>
        <w:autoSpaceDN w:val="0"/>
        <w:adjustRightInd w:val="0"/>
        <w:rPr>
          <w:i/>
          <w:color w:val="000000"/>
          <w:sz w:val="18"/>
          <w:szCs w:val="18"/>
        </w:rPr>
      </w:pPr>
      <w:r w:rsidRPr="00974D81">
        <w:rPr>
          <w:i/>
          <w:color w:val="000000"/>
          <w:sz w:val="18"/>
          <w:szCs w:val="18"/>
        </w:rPr>
        <w:t>* This type of burden is not incurred by all employers.  This specific burden hours estimate has been added to the total burden hours estimate.  The total burden hours estimate reflects the burden incurred by all employers that file requests for la</w:t>
      </w:r>
      <w:r w:rsidRPr="00974D81" w:rsidR="00A97365">
        <w:rPr>
          <w:i/>
          <w:color w:val="000000"/>
          <w:sz w:val="18"/>
          <w:szCs w:val="18"/>
        </w:rPr>
        <w:t>bor certification applications.</w:t>
      </w:r>
    </w:p>
    <w:p w:rsidR="00C53DD8" w:rsidRPr="00974D81" w:rsidP="00C53DD8" w14:paraId="4851C16E" w14:textId="2512F676">
      <w:pPr>
        <w:widowControl w:val="0"/>
        <w:autoSpaceDE w:val="0"/>
        <w:autoSpaceDN w:val="0"/>
        <w:adjustRightInd w:val="0"/>
        <w:rPr>
          <w:i/>
          <w:color w:val="000000"/>
          <w:sz w:val="18"/>
          <w:szCs w:val="18"/>
        </w:rPr>
      </w:pPr>
      <w:r w:rsidRPr="00974D81">
        <w:rPr>
          <w:i/>
          <w:color w:val="000000"/>
          <w:sz w:val="18"/>
          <w:szCs w:val="18"/>
        </w:rPr>
        <w:t xml:space="preserve">** This burden estimate is not associated with the employers’ filings of labor </w:t>
      </w:r>
      <w:r w:rsidR="005123E6">
        <w:rPr>
          <w:i/>
          <w:color w:val="000000"/>
          <w:sz w:val="18"/>
          <w:szCs w:val="18"/>
        </w:rPr>
        <w:t xml:space="preserve">condition </w:t>
      </w:r>
      <w:r w:rsidRPr="00974D81">
        <w:rPr>
          <w:i/>
          <w:color w:val="000000"/>
          <w:sz w:val="18"/>
          <w:szCs w:val="18"/>
        </w:rPr>
        <w:t>applications.  Aggrieved parties who choose to file complaints incur this type of burden.  This estimate, however, is part of the total burden hours estimat</w:t>
      </w:r>
      <w:r w:rsidRPr="00974D81" w:rsidR="00A97365">
        <w:rPr>
          <w:i/>
          <w:color w:val="000000"/>
          <w:sz w:val="18"/>
          <w:szCs w:val="18"/>
        </w:rPr>
        <w:t>e associated with this program.</w:t>
      </w:r>
    </w:p>
    <w:p w:rsidR="00A625AF" w:rsidRPr="0018520C" w:rsidP="0018520C" w14:paraId="15AEA82C" w14:textId="175013E6">
      <w:pPr>
        <w:pStyle w:val="FootnoteText"/>
        <w:rPr>
          <w:rFonts w:ascii="Times New Roman" w:hAnsi="Times New Roman"/>
          <w:i/>
          <w:iCs/>
        </w:rPr>
      </w:pPr>
      <w:r w:rsidRPr="00566F8C">
        <w:rPr>
          <w:rFonts w:ascii="Times New Roman" w:hAnsi="Times New Roman"/>
          <w:i/>
          <w:color w:val="000000"/>
          <w:sz w:val="18"/>
          <w:szCs w:val="18"/>
        </w:rPr>
        <w:t>~  Each individual employer that files an attestation may have a salary range that could be from several hundred dollars to several hundred thousand dollars for a CEO of a business.</w:t>
      </w:r>
      <w:r w:rsidRPr="00566F8C" w:rsidR="009E48BE">
        <w:rPr>
          <w:rFonts w:ascii="Times New Roman" w:hAnsi="Times New Roman"/>
          <w:sz w:val="18"/>
          <w:szCs w:val="18"/>
        </w:rPr>
        <w:t xml:space="preserve">  </w:t>
      </w:r>
      <w:bookmarkStart w:id="13" w:name="_Hlk160037168"/>
      <w:r w:rsidRPr="00566F8C" w:rsidR="009E48BE">
        <w:rPr>
          <w:rFonts w:ascii="Times New Roman" w:hAnsi="Times New Roman"/>
          <w:i/>
          <w:iCs/>
          <w:sz w:val="18"/>
          <w:szCs w:val="18"/>
        </w:rPr>
        <w:t xml:space="preserve">DOL believes that in most companies, a Human Resources Specialist will perform these activities.  Previous estimates were based on Human Resource Managers performing the activities, however, the Department’s OFLC has reevaluated its ICR figures and determined that the use of “Human Resources Specialist” is a more accurate representation of its application filings. To calculate the full cost to the employer, DOL combines the mean hourly wage of human resource specialists with the benefits and other compensation received by such employees.  The national mean hourly wage for a human resource specialist (SOC code 13-1071) is $35.13.  The average percentage of benefits in total is 41.5 percent.   The total compensation is therefore $49.71 ($35.13 × 1.415) for a Human Resources Specialist.  See </w:t>
      </w:r>
      <w:hyperlink r:id="rId11" w:history="1">
        <w:r w:rsidRPr="00566F8C" w:rsidR="009E48BE">
          <w:rPr>
            <w:rStyle w:val="Hyperlink"/>
            <w:rFonts w:ascii="Times New Roman" w:hAnsi="Times New Roman"/>
            <w:i/>
            <w:iCs/>
            <w:sz w:val="18"/>
            <w:szCs w:val="18"/>
          </w:rPr>
          <w:t>https://www.bls.gov/oes/current/oes131071.htm</w:t>
        </w:r>
      </w:hyperlink>
      <w:r w:rsidRPr="00566F8C" w:rsidR="009E48BE">
        <w:rPr>
          <w:rFonts w:ascii="Times New Roman" w:hAnsi="Times New Roman"/>
          <w:i/>
          <w:iCs/>
          <w:sz w:val="18"/>
          <w:szCs w:val="18"/>
        </w:rPr>
        <w:t xml:space="preserve">.  DOL estimates that a Human Resources Specialist will take time to complete and retain the forms and supporting documentation in the amount of 843,989 hours.  </w:t>
      </w:r>
      <w:r w:rsidRPr="00566F8C" w:rsidR="009E48BE">
        <w:rPr>
          <w:rFonts w:ascii="Times New Roman" w:hAnsi="Times New Roman"/>
          <w:i/>
          <w:iCs/>
          <w:color w:val="000000" w:themeColor="text1"/>
          <w:sz w:val="18"/>
          <w:szCs w:val="18"/>
        </w:rPr>
        <w:t xml:space="preserve">See Employer Costs for Employee Compensation – September 2023, DOL, BLS, available at </w:t>
      </w:r>
      <w:hyperlink r:id="rId12" w:history="1">
        <w:r w:rsidRPr="00566F8C" w:rsidR="009E48BE">
          <w:rPr>
            <w:rStyle w:val="Hyperlink"/>
            <w:rFonts w:ascii="Times New Roman" w:hAnsi="Times New Roman"/>
            <w:i/>
            <w:iCs/>
            <w:sz w:val="18"/>
            <w:szCs w:val="18"/>
          </w:rPr>
          <w:t>https://www.bls.gov/news.release/archives/ecec_12152023.pdf</w:t>
        </w:r>
      </w:hyperlink>
      <w:r w:rsidRPr="00566F8C" w:rsidR="009E48BE">
        <w:rPr>
          <w:rFonts w:ascii="Times New Roman" w:hAnsi="Times New Roman"/>
          <w:i/>
          <w:iCs/>
          <w:color w:val="000000" w:themeColor="text1"/>
          <w:sz w:val="18"/>
          <w:szCs w:val="18"/>
        </w:rPr>
        <w:t xml:space="preserve"> (Dec. 15, 2023).</w:t>
      </w:r>
      <w:bookmarkEnd w:id="13"/>
    </w:p>
    <w:p w:rsidR="00E61273" w:rsidP="00C53DD8" w14:paraId="36E42437"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0A8B7E05"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4F5AAA88"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494CEBCE"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742E3189"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6BD9C368"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60F857C7"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2624AF98"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5085F73F"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1DEF834A"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1218DABB"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7711AAC1"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53DD8" w14:paraId="0A643540"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E61273" w:rsidP="00C319AB" w14:paraId="22CFC8D6"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color w:val="000000"/>
          <w:u w:val="single"/>
        </w:rPr>
      </w:pPr>
    </w:p>
    <w:p w:rsidR="001D5630" w:rsidRPr="00974D81" w:rsidP="00C53DD8" w14:paraId="1DBA6F8F" w14:textId="2950FB92">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r w:rsidRPr="00974D81">
        <w:rPr>
          <w:color w:val="000000"/>
          <w:u w:val="single"/>
        </w:rPr>
        <w:t>Table 4</w:t>
      </w:r>
    </w:p>
    <w:p w:rsidR="006B62A4" w:rsidRPr="00974D81" w:rsidP="00C53DD8" w14:paraId="14568D4E"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u w:val="single"/>
        </w:rPr>
      </w:pPr>
    </w:p>
    <w:p w:rsidR="00C53DD8" w:rsidRPr="00974D81" w:rsidP="00C53DD8" w14:paraId="5777A055"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jc w:val="center"/>
        <w:rPr>
          <w:color w:val="000000"/>
        </w:rPr>
      </w:pPr>
      <w:r w:rsidRPr="00974D81">
        <w:rPr>
          <w:b/>
          <w:color w:val="000000"/>
        </w:rPr>
        <w:t xml:space="preserve">OVERALL </w:t>
      </w:r>
      <w:r w:rsidRPr="00974D81">
        <w:rPr>
          <w:b/>
          <w:color w:val="000000"/>
        </w:rPr>
        <w:t xml:space="preserve">TOTAL BURDEN HOURS AND ANNUAL COST TO </w:t>
      </w:r>
      <w:r w:rsidRPr="00974D81">
        <w:rPr>
          <w:b/>
          <w:color w:val="000000"/>
        </w:rPr>
        <w:t>RESPONDENTS</w:t>
      </w:r>
      <w:r w:rsidRPr="00974D81">
        <w:rPr>
          <w:b/>
          <w:color w:val="000000"/>
        </w:rPr>
        <w:t xml:space="preserve"> ESTIMATES</w:t>
      </w:r>
    </w:p>
    <w:p w:rsidR="00A918E2" w:rsidRPr="00974D81" w:rsidP="00907B32" w14:paraId="234EC328"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color w:val="000000"/>
        </w:rPr>
      </w:pPr>
    </w:p>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350"/>
        <w:gridCol w:w="1327"/>
        <w:gridCol w:w="23"/>
        <w:gridCol w:w="1170"/>
        <w:gridCol w:w="1170"/>
        <w:gridCol w:w="990"/>
        <w:gridCol w:w="1260"/>
        <w:gridCol w:w="1260"/>
      </w:tblGrid>
      <w:tr w14:paraId="5C756F1B" w14:textId="77777777" w:rsidTr="0036509B">
        <w:tblPrEx>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2"/>
        </w:trPr>
        <w:tc>
          <w:tcPr>
            <w:tcW w:w="1440" w:type="dxa"/>
          </w:tcPr>
          <w:p w:rsidR="00A918E2" w:rsidRPr="00974D81" w:rsidP="0072120A" w14:paraId="1FA1AD0D"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Type of Respondent</w:t>
            </w:r>
          </w:p>
        </w:tc>
        <w:tc>
          <w:tcPr>
            <w:tcW w:w="1350" w:type="dxa"/>
          </w:tcPr>
          <w:p w:rsidR="00A918E2" w:rsidRPr="00974D81" w:rsidP="0072120A" w14:paraId="18788532"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Information Collection Activity</w:t>
            </w:r>
          </w:p>
        </w:tc>
        <w:tc>
          <w:tcPr>
            <w:tcW w:w="1350" w:type="dxa"/>
          </w:tcPr>
          <w:p w:rsidR="00A918E2" w:rsidRPr="00974D81" w:rsidP="0072120A" w14:paraId="629A8EDA"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No. of Respondents</w:t>
            </w:r>
          </w:p>
        </w:tc>
        <w:tc>
          <w:tcPr>
            <w:tcW w:w="1350" w:type="dxa"/>
            <w:gridSpan w:val="2"/>
          </w:tcPr>
          <w:p w:rsidR="00A918E2" w:rsidRPr="00974D81" w:rsidP="0072120A" w14:paraId="5E672A2B"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No. of Annual Responses per Respondent</w:t>
            </w:r>
          </w:p>
        </w:tc>
        <w:tc>
          <w:tcPr>
            <w:tcW w:w="1170" w:type="dxa"/>
          </w:tcPr>
          <w:p w:rsidR="00A918E2" w:rsidRPr="00974D81" w:rsidP="0072120A" w14:paraId="36C99FD2" w14:textId="77777777">
            <w:pPr>
              <w:widowControl w:val="0"/>
              <w:autoSpaceDE w:val="0"/>
              <w:autoSpaceDN w:val="0"/>
              <w:adjustRightInd w:val="0"/>
              <w:jc w:val="center"/>
              <w:rPr>
                <w:rFonts w:eastAsia="Calibri"/>
                <w:b/>
                <w:bCs/>
                <w:color w:val="000000"/>
                <w:sz w:val="20"/>
                <w:szCs w:val="20"/>
              </w:rPr>
            </w:pPr>
            <w:r w:rsidRPr="00974D81">
              <w:rPr>
                <w:rFonts w:eastAsia="Calibri"/>
                <w:b/>
                <w:bCs/>
                <w:color w:val="000000"/>
                <w:sz w:val="20"/>
                <w:szCs w:val="20"/>
              </w:rPr>
              <w:t>Total Annual Responses</w:t>
            </w:r>
          </w:p>
        </w:tc>
        <w:tc>
          <w:tcPr>
            <w:tcW w:w="1170" w:type="dxa"/>
          </w:tcPr>
          <w:p w:rsidR="00A918E2" w:rsidRPr="00974D81" w:rsidP="0072120A" w14:paraId="7004F9DA"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Avg. Burden per Response (in hours)</w:t>
            </w:r>
          </w:p>
        </w:tc>
        <w:tc>
          <w:tcPr>
            <w:tcW w:w="990" w:type="dxa"/>
          </w:tcPr>
          <w:p w:rsidR="00A918E2" w:rsidRPr="00974D81" w:rsidP="0072120A" w14:paraId="09F213BD"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 xml:space="preserve">Total Annual Burden </w:t>
            </w:r>
            <w:r w:rsidRPr="00974D81">
              <w:rPr>
                <w:rFonts w:eastAsia="Calibri"/>
                <w:b/>
                <w:bCs/>
                <w:color w:val="000000"/>
                <w:sz w:val="20"/>
                <w:szCs w:val="20"/>
              </w:rPr>
              <w:br/>
              <w:t>(in hours)</w:t>
            </w:r>
          </w:p>
        </w:tc>
        <w:tc>
          <w:tcPr>
            <w:tcW w:w="1260" w:type="dxa"/>
          </w:tcPr>
          <w:p w:rsidR="00A918E2" w:rsidRPr="00974D81" w:rsidP="0072120A" w14:paraId="26EBF0BC" w14:textId="5B4BB030">
            <w:pPr>
              <w:widowControl w:val="0"/>
              <w:autoSpaceDE w:val="0"/>
              <w:autoSpaceDN w:val="0"/>
              <w:adjustRightInd w:val="0"/>
              <w:jc w:val="center"/>
              <w:rPr>
                <w:bCs/>
                <w:color w:val="000000"/>
                <w:sz w:val="20"/>
                <w:szCs w:val="20"/>
              </w:rPr>
            </w:pPr>
            <w:r w:rsidRPr="00974D81">
              <w:rPr>
                <w:rFonts w:eastAsia="Calibri"/>
                <w:b/>
                <w:bCs/>
                <w:color w:val="000000"/>
                <w:sz w:val="20"/>
                <w:szCs w:val="20"/>
              </w:rPr>
              <w:t xml:space="preserve">Avg. Hourly </w:t>
            </w:r>
            <w:r w:rsidRPr="00974D81" w:rsidR="004B42E7">
              <w:rPr>
                <w:rFonts w:eastAsia="Calibri"/>
                <w:b/>
                <w:bCs/>
                <w:color w:val="000000"/>
                <w:sz w:val="20"/>
                <w:szCs w:val="20"/>
              </w:rPr>
              <w:t>Compensation</w:t>
            </w:r>
          </w:p>
        </w:tc>
        <w:tc>
          <w:tcPr>
            <w:tcW w:w="1260" w:type="dxa"/>
          </w:tcPr>
          <w:p w:rsidR="00A918E2" w:rsidRPr="00974D81" w:rsidP="0072120A" w14:paraId="447F232E" w14:textId="77777777">
            <w:pPr>
              <w:widowControl w:val="0"/>
              <w:autoSpaceDE w:val="0"/>
              <w:autoSpaceDN w:val="0"/>
              <w:adjustRightInd w:val="0"/>
              <w:jc w:val="center"/>
              <w:rPr>
                <w:bCs/>
                <w:color w:val="000000"/>
                <w:sz w:val="20"/>
                <w:szCs w:val="20"/>
              </w:rPr>
            </w:pPr>
            <w:r w:rsidRPr="00974D81">
              <w:rPr>
                <w:rFonts w:eastAsia="Calibri"/>
                <w:b/>
                <w:bCs/>
                <w:color w:val="000000"/>
                <w:sz w:val="20"/>
                <w:szCs w:val="20"/>
              </w:rPr>
              <w:t>Total Annual Respondent Cost</w:t>
            </w:r>
          </w:p>
        </w:tc>
      </w:tr>
      <w:tr w14:paraId="32DD7224" w14:textId="77777777" w:rsidTr="00922C89">
        <w:tblPrEx>
          <w:tblW w:w="11340" w:type="dxa"/>
          <w:tblInd w:w="-972" w:type="dxa"/>
          <w:tblLayout w:type="fixed"/>
          <w:tblLook w:val="01E0"/>
        </w:tblPrEx>
        <w:trPr>
          <w:trHeight w:val="102"/>
        </w:trPr>
        <w:tc>
          <w:tcPr>
            <w:tcW w:w="1440" w:type="dxa"/>
            <w:vAlign w:val="center"/>
          </w:tcPr>
          <w:p w:rsidR="00A918E2" w:rsidRPr="00974D81" w:rsidP="00C9040D" w14:paraId="20343F05" w14:textId="77777777">
            <w:pPr>
              <w:widowControl w:val="0"/>
              <w:autoSpaceDE w:val="0"/>
              <w:autoSpaceDN w:val="0"/>
              <w:adjustRightInd w:val="0"/>
              <w:rPr>
                <w:rFonts w:eastAsia="Calibri"/>
                <w:b/>
                <w:bCs/>
                <w:color w:val="000000"/>
                <w:sz w:val="20"/>
                <w:szCs w:val="20"/>
              </w:rPr>
            </w:pPr>
            <w:r w:rsidRPr="00974D81">
              <w:rPr>
                <w:bCs/>
                <w:color w:val="000000"/>
                <w:sz w:val="20"/>
                <w:szCs w:val="20"/>
              </w:rPr>
              <w:t>Private Sector—Business or other for-profit; Not-for-profit organizations</w:t>
            </w:r>
          </w:p>
        </w:tc>
        <w:tc>
          <w:tcPr>
            <w:tcW w:w="1350" w:type="dxa"/>
            <w:vAlign w:val="center"/>
          </w:tcPr>
          <w:p w:rsidR="00A918E2" w:rsidRPr="00974D81" w:rsidP="00C9040D" w14:paraId="0F625EFD" w14:textId="77777777">
            <w:pPr>
              <w:widowControl w:val="0"/>
              <w:autoSpaceDE w:val="0"/>
              <w:autoSpaceDN w:val="0"/>
              <w:adjustRightInd w:val="0"/>
              <w:rPr>
                <w:rFonts w:eastAsia="Calibri"/>
                <w:b/>
                <w:bCs/>
                <w:color w:val="000000"/>
                <w:sz w:val="20"/>
                <w:szCs w:val="20"/>
              </w:rPr>
            </w:pPr>
            <w:r w:rsidRPr="00974D81">
              <w:rPr>
                <w:rFonts w:eastAsia="Calibri"/>
                <w:bCs/>
                <w:color w:val="000000"/>
                <w:sz w:val="20"/>
                <w:szCs w:val="20"/>
              </w:rPr>
              <w:t>Labor Condition Application (ETA 9035/9035E)</w:t>
            </w:r>
          </w:p>
        </w:tc>
        <w:tc>
          <w:tcPr>
            <w:tcW w:w="1350" w:type="dxa"/>
            <w:vAlign w:val="center"/>
          </w:tcPr>
          <w:p w:rsidR="00A918E2" w:rsidRPr="00974D81" w:rsidP="003737FC" w14:paraId="4BE2BDEA" w14:textId="39C5B521">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53,321 </w:t>
            </w:r>
          </w:p>
        </w:tc>
        <w:tc>
          <w:tcPr>
            <w:tcW w:w="1350" w:type="dxa"/>
            <w:gridSpan w:val="2"/>
            <w:vAlign w:val="center"/>
          </w:tcPr>
          <w:p w:rsidR="00A918E2" w:rsidRPr="00974D81" w:rsidP="003737FC" w14:paraId="549CA814" w14:textId="714B6213">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10.3154104 </w:t>
            </w:r>
          </w:p>
        </w:tc>
        <w:tc>
          <w:tcPr>
            <w:tcW w:w="1170" w:type="dxa"/>
            <w:vAlign w:val="center"/>
          </w:tcPr>
          <w:p w:rsidR="00A918E2" w:rsidRPr="00974D81" w:rsidP="003737FC" w14:paraId="18E8DA97" w14:textId="73FE6A69">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550,028 </w:t>
            </w:r>
          </w:p>
        </w:tc>
        <w:tc>
          <w:tcPr>
            <w:tcW w:w="1170" w:type="dxa"/>
            <w:vAlign w:val="center"/>
          </w:tcPr>
          <w:p w:rsidR="00A918E2" w:rsidRPr="00974D81" w:rsidP="003737FC" w14:paraId="381685BC" w14:textId="7D33BCC3">
            <w:pPr>
              <w:widowControl w:val="0"/>
              <w:autoSpaceDE w:val="0"/>
              <w:autoSpaceDN w:val="0"/>
              <w:adjustRightInd w:val="0"/>
              <w:jc w:val="center"/>
              <w:rPr>
                <w:rFonts w:eastAsia="Calibri"/>
                <w:bCs/>
                <w:color w:val="000000"/>
                <w:sz w:val="20"/>
                <w:szCs w:val="20"/>
              </w:rPr>
            </w:pPr>
            <w:r w:rsidRPr="00974D81">
              <w:rPr>
                <w:rFonts w:eastAsia="Calibri"/>
                <w:bCs/>
                <w:color w:val="000000"/>
                <w:sz w:val="20"/>
                <w:szCs w:val="20"/>
              </w:rPr>
              <w:t>1.25</w:t>
            </w:r>
          </w:p>
        </w:tc>
        <w:tc>
          <w:tcPr>
            <w:tcW w:w="990" w:type="dxa"/>
            <w:vAlign w:val="center"/>
          </w:tcPr>
          <w:p w:rsidR="00A918E2" w:rsidRPr="00974D81" w:rsidP="003737FC" w14:paraId="53153D96" w14:textId="02453390">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687,535 </w:t>
            </w:r>
          </w:p>
        </w:tc>
        <w:tc>
          <w:tcPr>
            <w:tcW w:w="1260" w:type="dxa"/>
            <w:vAlign w:val="center"/>
          </w:tcPr>
          <w:p w:rsidR="00A918E2" w:rsidRPr="00974D81" w:rsidP="003737FC" w14:paraId="70E8777C" w14:textId="7708855E">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$49.71 </w:t>
            </w:r>
          </w:p>
        </w:tc>
        <w:tc>
          <w:tcPr>
            <w:tcW w:w="1260" w:type="dxa"/>
            <w:vAlign w:val="center"/>
          </w:tcPr>
          <w:p w:rsidR="00A918E2" w:rsidRPr="00974D81" w:rsidP="003737FC" w14:paraId="213CC1A4" w14:textId="72D7A7B8">
            <w:pPr>
              <w:widowControl w:val="0"/>
              <w:autoSpaceDE w:val="0"/>
              <w:autoSpaceDN w:val="0"/>
              <w:adjustRightInd w:val="0"/>
              <w:jc w:val="center"/>
              <w:rPr>
                <w:rFonts w:eastAsia="Calibri"/>
                <w:bCs/>
                <w:color w:val="000000"/>
                <w:sz w:val="20"/>
                <w:szCs w:val="20"/>
              </w:rPr>
            </w:pPr>
            <w:r>
              <w:rPr>
                <w:rFonts w:eastAsia="Calibri"/>
                <w:bCs/>
                <w:color w:val="000000"/>
                <w:sz w:val="20"/>
                <w:szCs w:val="20"/>
              </w:rPr>
              <w:t>$34,177,365</w:t>
            </w:r>
          </w:p>
        </w:tc>
      </w:tr>
      <w:tr w14:paraId="65208006" w14:textId="77C20F56" w:rsidTr="00922C89">
        <w:tblPrEx>
          <w:tblW w:w="11340" w:type="dxa"/>
          <w:tblInd w:w="-972" w:type="dxa"/>
          <w:tblLayout w:type="fixed"/>
          <w:tblLook w:val="01E0"/>
        </w:tblPrEx>
        <w:trPr>
          <w:trHeight w:val="102"/>
        </w:trPr>
        <w:tc>
          <w:tcPr>
            <w:tcW w:w="1440" w:type="dxa"/>
            <w:vAlign w:val="center"/>
          </w:tcPr>
          <w:p w:rsidR="00A918E2" w:rsidRPr="00974D81" w:rsidP="00C9040D" w14:paraId="7470A671" w14:textId="028E639C">
            <w:pPr>
              <w:widowControl w:val="0"/>
              <w:autoSpaceDE w:val="0"/>
              <w:autoSpaceDN w:val="0"/>
              <w:adjustRightInd w:val="0"/>
              <w:rPr>
                <w:rFonts w:eastAsia="Calibri"/>
                <w:b/>
                <w:bCs/>
                <w:color w:val="000000"/>
                <w:sz w:val="20"/>
                <w:szCs w:val="20"/>
              </w:rPr>
            </w:pPr>
            <w:r w:rsidRPr="00974D81">
              <w:rPr>
                <w:bCs/>
                <w:color w:val="000000"/>
                <w:sz w:val="20"/>
                <w:szCs w:val="20"/>
              </w:rPr>
              <w:t>Private Sector—Business or other for-profit; Not-for-profit organizations</w:t>
            </w:r>
          </w:p>
        </w:tc>
        <w:tc>
          <w:tcPr>
            <w:tcW w:w="1350" w:type="dxa"/>
            <w:vAlign w:val="center"/>
          </w:tcPr>
          <w:p w:rsidR="00A918E2" w:rsidRPr="00974D81" w:rsidP="00C9040D" w14:paraId="20AE3550" w14:textId="2B8FF6FE">
            <w:pPr>
              <w:widowControl w:val="0"/>
              <w:autoSpaceDE w:val="0"/>
              <w:autoSpaceDN w:val="0"/>
              <w:adjustRightInd w:val="0"/>
              <w:rPr>
                <w:rFonts w:eastAsia="Calibri"/>
                <w:bCs/>
                <w:color w:val="000000"/>
                <w:sz w:val="20"/>
                <w:szCs w:val="20"/>
              </w:rPr>
            </w:pPr>
            <w:r w:rsidRPr="00974D81">
              <w:rPr>
                <w:rFonts w:eastAsia="Calibri"/>
                <w:bCs/>
                <w:color w:val="000000"/>
                <w:sz w:val="20"/>
                <w:szCs w:val="20"/>
              </w:rPr>
              <w:t>Related Activities</w:t>
            </w:r>
          </w:p>
        </w:tc>
        <w:tc>
          <w:tcPr>
            <w:tcW w:w="1350" w:type="dxa"/>
            <w:vAlign w:val="center"/>
          </w:tcPr>
          <w:p w:rsidR="00A918E2" w:rsidRPr="00B80076" w:rsidP="003737FC" w14:paraId="56400611" w14:textId="26B0DD47">
            <w:pPr>
              <w:widowControl w:val="0"/>
              <w:autoSpaceDE w:val="0"/>
              <w:autoSpaceDN w:val="0"/>
              <w:adjustRightInd w:val="0"/>
              <w:jc w:val="center"/>
              <w:rPr>
                <w:rFonts w:eastAsia="Calibri"/>
                <w:bCs/>
                <w:color w:val="000000"/>
                <w:sz w:val="20"/>
                <w:szCs w:val="20"/>
              </w:rPr>
            </w:pPr>
            <w:r w:rsidRPr="00B80076">
              <w:rPr>
                <w:rFonts w:eastAsia="Calibri"/>
                <w:bCs/>
                <w:color w:val="000000"/>
                <w:sz w:val="20"/>
                <w:szCs w:val="20"/>
              </w:rPr>
              <w:t>84,896</w:t>
            </w:r>
          </w:p>
        </w:tc>
        <w:tc>
          <w:tcPr>
            <w:tcW w:w="1327" w:type="dxa"/>
            <w:vAlign w:val="center"/>
          </w:tcPr>
          <w:p w:rsidR="00A918E2" w:rsidRPr="00B80076" w:rsidP="003340C4" w14:paraId="7135A95E" w14:textId="71F5BB60">
            <w:pPr>
              <w:widowControl w:val="0"/>
              <w:autoSpaceDE w:val="0"/>
              <w:autoSpaceDN w:val="0"/>
              <w:adjustRightInd w:val="0"/>
              <w:jc w:val="center"/>
              <w:rPr>
                <w:rFonts w:eastAsia="Calibri"/>
                <w:bCs/>
                <w:color w:val="000000"/>
                <w:sz w:val="20"/>
                <w:szCs w:val="20"/>
              </w:rPr>
            </w:pPr>
            <w:r w:rsidRPr="00B80076">
              <w:rPr>
                <w:rFonts w:eastAsia="Calibri"/>
                <w:bCs/>
                <w:color w:val="000000"/>
                <w:sz w:val="20"/>
                <w:szCs w:val="20"/>
              </w:rPr>
              <w:t>Varies</w:t>
            </w:r>
          </w:p>
        </w:tc>
        <w:tc>
          <w:tcPr>
            <w:tcW w:w="1193" w:type="dxa"/>
            <w:gridSpan w:val="2"/>
            <w:vAlign w:val="center"/>
          </w:tcPr>
          <w:p w:rsidR="00A918E2" w:rsidRPr="00B80076" w:rsidP="003737FC" w14:paraId="32AF6A45" w14:textId="4C3A8CDC">
            <w:pPr>
              <w:widowControl w:val="0"/>
              <w:autoSpaceDE w:val="0"/>
              <w:autoSpaceDN w:val="0"/>
              <w:adjustRightInd w:val="0"/>
              <w:jc w:val="center"/>
              <w:rPr>
                <w:rFonts w:eastAsia="Calibri"/>
                <w:bCs/>
                <w:color w:val="000000"/>
                <w:sz w:val="20"/>
                <w:szCs w:val="20"/>
              </w:rPr>
            </w:pPr>
            <w:r w:rsidRPr="00B80076">
              <w:rPr>
                <w:rFonts w:eastAsia="Calibri"/>
                <w:bCs/>
                <w:color w:val="000000"/>
                <w:sz w:val="20"/>
                <w:szCs w:val="20"/>
              </w:rPr>
              <w:t>95,228</w:t>
            </w:r>
          </w:p>
        </w:tc>
        <w:tc>
          <w:tcPr>
            <w:tcW w:w="1170" w:type="dxa"/>
            <w:vAlign w:val="center"/>
          </w:tcPr>
          <w:p w:rsidR="00A918E2" w:rsidRPr="00B80076" w:rsidP="003737FC" w14:paraId="0E8C9AEF" w14:textId="32AAC81B">
            <w:pPr>
              <w:widowControl w:val="0"/>
              <w:autoSpaceDE w:val="0"/>
              <w:autoSpaceDN w:val="0"/>
              <w:adjustRightInd w:val="0"/>
              <w:jc w:val="center"/>
              <w:rPr>
                <w:rFonts w:eastAsia="Calibri"/>
                <w:bCs/>
                <w:color w:val="000000"/>
                <w:sz w:val="20"/>
                <w:szCs w:val="20"/>
              </w:rPr>
            </w:pPr>
            <w:r w:rsidRPr="00B80076">
              <w:rPr>
                <w:rFonts w:eastAsia="Calibri"/>
                <w:bCs/>
                <w:color w:val="000000"/>
                <w:sz w:val="20"/>
                <w:szCs w:val="20"/>
              </w:rPr>
              <w:t>Varies</w:t>
            </w:r>
          </w:p>
        </w:tc>
        <w:tc>
          <w:tcPr>
            <w:tcW w:w="990" w:type="dxa"/>
            <w:vAlign w:val="center"/>
          </w:tcPr>
          <w:p w:rsidR="00A918E2" w:rsidRPr="00B80076" w:rsidP="00596481" w14:paraId="43206956" w14:textId="18D52E9B">
            <w:pPr>
              <w:widowControl w:val="0"/>
              <w:autoSpaceDE w:val="0"/>
              <w:autoSpaceDN w:val="0"/>
              <w:adjustRightInd w:val="0"/>
              <w:jc w:val="center"/>
              <w:rPr>
                <w:rFonts w:eastAsia="Calibri"/>
                <w:bCs/>
                <w:color w:val="000000"/>
                <w:sz w:val="20"/>
                <w:szCs w:val="20"/>
              </w:rPr>
            </w:pPr>
            <w:r w:rsidRPr="00B80076">
              <w:rPr>
                <w:rFonts w:eastAsia="Calibri"/>
                <w:bCs/>
                <w:color w:val="000000"/>
                <w:sz w:val="20"/>
                <w:szCs w:val="20"/>
              </w:rPr>
              <w:t>156,422</w:t>
            </w:r>
          </w:p>
        </w:tc>
        <w:tc>
          <w:tcPr>
            <w:tcW w:w="1260" w:type="dxa"/>
            <w:vAlign w:val="center"/>
          </w:tcPr>
          <w:p w:rsidR="00A918E2" w:rsidRPr="00B80076" w:rsidP="003737FC" w14:paraId="4D75F004" w14:textId="127E494C">
            <w:pPr>
              <w:widowControl w:val="0"/>
              <w:autoSpaceDE w:val="0"/>
              <w:autoSpaceDN w:val="0"/>
              <w:adjustRightInd w:val="0"/>
              <w:jc w:val="center"/>
              <w:rPr>
                <w:rFonts w:eastAsia="Calibri"/>
                <w:bCs/>
                <w:color w:val="000000"/>
                <w:sz w:val="20"/>
                <w:szCs w:val="20"/>
              </w:rPr>
            </w:pPr>
            <w:r w:rsidRPr="00B80076">
              <w:rPr>
                <w:rFonts w:eastAsia="Calibri"/>
                <w:bCs/>
                <w:color w:val="000000"/>
                <w:sz w:val="20"/>
                <w:szCs w:val="20"/>
              </w:rPr>
              <w:t xml:space="preserve">$49.71 </w:t>
            </w:r>
          </w:p>
        </w:tc>
        <w:tc>
          <w:tcPr>
            <w:tcW w:w="1260" w:type="dxa"/>
            <w:vAlign w:val="center"/>
          </w:tcPr>
          <w:p w:rsidR="00A918E2" w:rsidRPr="00974D81" w:rsidP="00864CCB" w14:paraId="4085B93F" w14:textId="3AC91019">
            <w:pPr>
              <w:widowControl w:val="0"/>
              <w:autoSpaceDE w:val="0"/>
              <w:autoSpaceDN w:val="0"/>
              <w:adjustRightInd w:val="0"/>
              <w:jc w:val="center"/>
              <w:rPr>
                <w:rFonts w:eastAsia="Calibri"/>
                <w:bCs/>
                <w:color w:val="000000"/>
                <w:sz w:val="20"/>
                <w:szCs w:val="20"/>
              </w:rPr>
            </w:pPr>
            <w:r>
              <w:rPr>
                <w:rFonts w:eastAsia="Calibri"/>
                <w:bCs/>
                <w:color w:val="000000"/>
                <w:sz w:val="20"/>
                <w:szCs w:val="20"/>
              </w:rPr>
              <w:t>$7,775,738</w:t>
            </w:r>
          </w:p>
        </w:tc>
      </w:tr>
      <w:tr w14:paraId="1972AE8A" w14:textId="77777777" w:rsidTr="00922C89">
        <w:tblPrEx>
          <w:tblW w:w="11340" w:type="dxa"/>
          <w:tblInd w:w="-972" w:type="dxa"/>
          <w:tblLayout w:type="fixed"/>
          <w:tblLook w:val="01E0"/>
        </w:tblPrEx>
        <w:trPr>
          <w:trHeight w:val="102"/>
        </w:trPr>
        <w:tc>
          <w:tcPr>
            <w:tcW w:w="1440" w:type="dxa"/>
            <w:vAlign w:val="center"/>
          </w:tcPr>
          <w:p w:rsidR="00A918E2" w:rsidRPr="00974D81" w:rsidP="00C9040D" w14:paraId="2ADC53BA" w14:textId="77777777">
            <w:pPr>
              <w:widowControl w:val="0"/>
              <w:autoSpaceDE w:val="0"/>
              <w:autoSpaceDN w:val="0"/>
              <w:adjustRightInd w:val="0"/>
              <w:rPr>
                <w:rFonts w:eastAsia="Calibri"/>
                <w:bCs/>
                <w:color w:val="000000"/>
                <w:sz w:val="20"/>
                <w:szCs w:val="20"/>
              </w:rPr>
            </w:pPr>
            <w:r w:rsidRPr="00974D81">
              <w:rPr>
                <w:rFonts w:eastAsia="Calibri"/>
                <w:bCs/>
                <w:color w:val="000000"/>
                <w:sz w:val="20"/>
                <w:szCs w:val="20"/>
              </w:rPr>
              <w:t xml:space="preserve">WH-4 </w:t>
            </w:r>
            <w:r w:rsidRPr="00974D81">
              <w:rPr>
                <w:rFonts w:eastAsia="Calibri"/>
                <w:bCs/>
                <w:color w:val="000000"/>
                <w:sz w:val="20"/>
                <w:szCs w:val="20"/>
              </w:rPr>
              <w:t>Individuals or Households</w:t>
            </w:r>
          </w:p>
        </w:tc>
        <w:tc>
          <w:tcPr>
            <w:tcW w:w="1350" w:type="dxa"/>
            <w:vAlign w:val="center"/>
          </w:tcPr>
          <w:p w:rsidR="00A918E2" w:rsidRPr="00974D81" w:rsidP="00C9040D" w14:paraId="6184CF79" w14:textId="77777777">
            <w:pPr>
              <w:widowControl w:val="0"/>
              <w:autoSpaceDE w:val="0"/>
              <w:autoSpaceDN w:val="0"/>
              <w:adjustRightInd w:val="0"/>
              <w:rPr>
                <w:rFonts w:eastAsia="Calibri"/>
                <w:b/>
                <w:bCs/>
                <w:color w:val="000000"/>
                <w:sz w:val="20"/>
                <w:szCs w:val="20"/>
              </w:rPr>
            </w:pPr>
            <w:r w:rsidRPr="00974D81">
              <w:rPr>
                <w:bCs/>
                <w:color w:val="000000"/>
                <w:sz w:val="20"/>
                <w:szCs w:val="20"/>
              </w:rPr>
              <w:t>Information Form Alleging H-1B Violations</w:t>
            </w:r>
          </w:p>
        </w:tc>
        <w:tc>
          <w:tcPr>
            <w:tcW w:w="1350" w:type="dxa"/>
            <w:vAlign w:val="center"/>
          </w:tcPr>
          <w:p w:rsidR="00A918E2" w:rsidRPr="00974D81" w:rsidP="003737FC" w14:paraId="3F184B0B" w14:textId="28A3FCF9">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97 </w:t>
            </w:r>
          </w:p>
        </w:tc>
        <w:tc>
          <w:tcPr>
            <w:tcW w:w="1327" w:type="dxa"/>
            <w:vAlign w:val="center"/>
          </w:tcPr>
          <w:p w:rsidR="00A918E2" w:rsidRPr="00974D81" w:rsidP="003737FC" w14:paraId="2203C907" w14:textId="7EDD224D">
            <w:pPr>
              <w:widowControl w:val="0"/>
              <w:autoSpaceDE w:val="0"/>
              <w:autoSpaceDN w:val="0"/>
              <w:adjustRightInd w:val="0"/>
              <w:jc w:val="center"/>
              <w:rPr>
                <w:rFonts w:eastAsia="Calibri"/>
                <w:bCs/>
                <w:color w:val="000000"/>
                <w:sz w:val="20"/>
                <w:szCs w:val="20"/>
              </w:rPr>
            </w:pPr>
            <w:r>
              <w:rPr>
                <w:rFonts w:eastAsia="Calibri"/>
                <w:bCs/>
                <w:color w:val="000000"/>
                <w:sz w:val="20"/>
                <w:szCs w:val="20"/>
              </w:rPr>
              <w:t>1</w:t>
            </w:r>
          </w:p>
        </w:tc>
        <w:tc>
          <w:tcPr>
            <w:tcW w:w="1193" w:type="dxa"/>
            <w:gridSpan w:val="2"/>
            <w:vAlign w:val="center"/>
          </w:tcPr>
          <w:p w:rsidR="00A918E2" w:rsidRPr="00974D81" w:rsidP="003737FC" w14:paraId="0643D7D4" w14:textId="6907798F">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97 </w:t>
            </w:r>
          </w:p>
        </w:tc>
        <w:tc>
          <w:tcPr>
            <w:tcW w:w="1170" w:type="dxa"/>
            <w:vAlign w:val="center"/>
          </w:tcPr>
          <w:p w:rsidR="00A918E2" w:rsidRPr="00974D81" w:rsidP="003737FC" w14:paraId="73BBA206" w14:textId="2F16428C">
            <w:pPr>
              <w:widowControl w:val="0"/>
              <w:autoSpaceDE w:val="0"/>
              <w:autoSpaceDN w:val="0"/>
              <w:adjustRightInd w:val="0"/>
              <w:jc w:val="center"/>
              <w:rPr>
                <w:rFonts w:eastAsia="Calibri"/>
                <w:bCs/>
                <w:color w:val="000000"/>
                <w:sz w:val="20"/>
                <w:szCs w:val="20"/>
              </w:rPr>
            </w:pPr>
            <w:r w:rsidRPr="00974D81">
              <w:rPr>
                <w:rFonts w:eastAsia="Calibri"/>
                <w:bCs/>
                <w:color w:val="000000"/>
                <w:sz w:val="20"/>
                <w:szCs w:val="20"/>
              </w:rPr>
              <w:t>0.3333</w:t>
            </w:r>
          </w:p>
        </w:tc>
        <w:tc>
          <w:tcPr>
            <w:tcW w:w="990" w:type="dxa"/>
            <w:vAlign w:val="center"/>
          </w:tcPr>
          <w:p w:rsidR="00A918E2" w:rsidRPr="00974D81" w:rsidP="003737FC" w14:paraId="0043C15C" w14:textId="5ECF5AE8">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32 </w:t>
            </w:r>
          </w:p>
        </w:tc>
        <w:tc>
          <w:tcPr>
            <w:tcW w:w="1260" w:type="dxa"/>
            <w:vAlign w:val="center"/>
          </w:tcPr>
          <w:p w:rsidR="00A918E2" w:rsidRPr="00974D81" w:rsidP="003737FC" w14:paraId="425D9F98" w14:textId="3DB4B186">
            <w:pPr>
              <w:widowControl w:val="0"/>
              <w:autoSpaceDE w:val="0"/>
              <w:autoSpaceDN w:val="0"/>
              <w:adjustRightInd w:val="0"/>
              <w:jc w:val="center"/>
              <w:rPr>
                <w:rFonts w:eastAsia="Calibri"/>
                <w:bCs/>
                <w:color w:val="000000"/>
                <w:sz w:val="20"/>
                <w:szCs w:val="20"/>
              </w:rPr>
            </w:pPr>
            <w:r>
              <w:rPr>
                <w:rFonts w:eastAsia="Calibri"/>
                <w:bCs/>
                <w:color w:val="000000"/>
                <w:sz w:val="20"/>
                <w:szCs w:val="20"/>
              </w:rPr>
              <w:t xml:space="preserve">$49.71 </w:t>
            </w:r>
          </w:p>
        </w:tc>
        <w:tc>
          <w:tcPr>
            <w:tcW w:w="1260" w:type="dxa"/>
            <w:vAlign w:val="center"/>
          </w:tcPr>
          <w:p w:rsidR="00A918E2" w:rsidRPr="00974D81" w:rsidP="003737FC" w14:paraId="1CC05467" w14:textId="2E7896FA">
            <w:pPr>
              <w:widowControl w:val="0"/>
              <w:autoSpaceDE w:val="0"/>
              <w:autoSpaceDN w:val="0"/>
              <w:adjustRightInd w:val="0"/>
              <w:jc w:val="center"/>
              <w:rPr>
                <w:rFonts w:eastAsia="Calibri"/>
                <w:bCs/>
                <w:color w:val="000000"/>
                <w:sz w:val="20"/>
                <w:szCs w:val="20"/>
              </w:rPr>
            </w:pPr>
            <w:r>
              <w:rPr>
                <w:bCs/>
                <w:color w:val="000000"/>
                <w:sz w:val="20"/>
                <w:szCs w:val="20"/>
              </w:rPr>
              <w:t>$1</w:t>
            </w:r>
            <w:r w:rsidR="0018520C">
              <w:rPr>
                <w:bCs/>
                <w:color w:val="000000"/>
                <w:sz w:val="20"/>
                <w:szCs w:val="20"/>
              </w:rPr>
              <w:t>,</w:t>
            </w:r>
            <w:r>
              <w:rPr>
                <w:bCs/>
                <w:color w:val="000000"/>
                <w:sz w:val="20"/>
                <w:szCs w:val="20"/>
              </w:rPr>
              <w:t xml:space="preserve">591 </w:t>
            </w:r>
          </w:p>
        </w:tc>
      </w:tr>
      <w:tr w14:paraId="0405B20B" w14:textId="77777777" w:rsidTr="00922C89">
        <w:tblPrEx>
          <w:tblW w:w="11340" w:type="dxa"/>
          <w:tblInd w:w="-972" w:type="dxa"/>
          <w:tblLayout w:type="fixed"/>
          <w:tblLook w:val="01E0"/>
        </w:tblPrEx>
        <w:trPr>
          <w:trHeight w:val="102"/>
        </w:trPr>
        <w:tc>
          <w:tcPr>
            <w:tcW w:w="1440" w:type="dxa"/>
            <w:vAlign w:val="center"/>
          </w:tcPr>
          <w:p w:rsidR="00A918E2" w:rsidRPr="00974D81" w:rsidP="00C9040D" w14:paraId="5F9EA3AC" w14:textId="77777777">
            <w:pPr>
              <w:widowControl w:val="0"/>
              <w:autoSpaceDE w:val="0"/>
              <w:autoSpaceDN w:val="0"/>
              <w:adjustRightInd w:val="0"/>
              <w:rPr>
                <w:rFonts w:eastAsia="Calibri"/>
                <w:b/>
                <w:bCs/>
                <w:color w:val="000000"/>
                <w:sz w:val="20"/>
                <w:szCs w:val="20"/>
              </w:rPr>
            </w:pPr>
            <w:r w:rsidRPr="00974D81">
              <w:rPr>
                <w:rFonts w:eastAsia="Calibri"/>
                <w:b/>
                <w:bCs/>
                <w:color w:val="000000"/>
                <w:sz w:val="20"/>
                <w:szCs w:val="20"/>
              </w:rPr>
              <w:t>Unduplicated Totals</w:t>
            </w:r>
          </w:p>
        </w:tc>
        <w:tc>
          <w:tcPr>
            <w:tcW w:w="1350" w:type="dxa"/>
            <w:vAlign w:val="center"/>
          </w:tcPr>
          <w:p w:rsidR="00A918E2" w:rsidRPr="00974D81" w:rsidP="00C9040D" w14:paraId="63F9D885" w14:textId="77777777">
            <w:pPr>
              <w:widowControl w:val="0"/>
              <w:autoSpaceDE w:val="0"/>
              <w:autoSpaceDN w:val="0"/>
              <w:adjustRightInd w:val="0"/>
              <w:rPr>
                <w:rFonts w:eastAsia="Calibri"/>
                <w:b/>
                <w:bCs/>
                <w:color w:val="000000"/>
                <w:sz w:val="20"/>
                <w:szCs w:val="20"/>
              </w:rPr>
            </w:pPr>
          </w:p>
        </w:tc>
        <w:tc>
          <w:tcPr>
            <w:tcW w:w="1350" w:type="dxa"/>
            <w:vAlign w:val="center"/>
          </w:tcPr>
          <w:p w:rsidR="00A918E2" w:rsidRPr="00974D81" w:rsidP="0035289A" w14:paraId="02F45AC2" w14:textId="5E621BBC">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138,314</w:t>
            </w:r>
          </w:p>
        </w:tc>
        <w:tc>
          <w:tcPr>
            <w:tcW w:w="1327" w:type="dxa"/>
            <w:vAlign w:val="center"/>
          </w:tcPr>
          <w:p w:rsidR="00A918E2" w:rsidRPr="00974D81" w:rsidP="003737FC" w14:paraId="734A824A" w14:textId="121E55F2">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Varies</w:t>
            </w:r>
          </w:p>
        </w:tc>
        <w:tc>
          <w:tcPr>
            <w:tcW w:w="1193" w:type="dxa"/>
            <w:gridSpan w:val="2"/>
            <w:vAlign w:val="center"/>
          </w:tcPr>
          <w:p w:rsidR="00A918E2" w:rsidRPr="00974D81" w:rsidP="003737FC" w14:paraId="0C754B79" w14:textId="0F8795E5">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645,353</w:t>
            </w:r>
          </w:p>
        </w:tc>
        <w:tc>
          <w:tcPr>
            <w:tcW w:w="1170" w:type="dxa"/>
            <w:vAlign w:val="center"/>
          </w:tcPr>
          <w:p w:rsidR="00A918E2" w:rsidRPr="00974D81" w:rsidP="003737FC" w14:paraId="0ADD0B72" w14:textId="3EE60E41">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Varies</w:t>
            </w:r>
          </w:p>
        </w:tc>
        <w:tc>
          <w:tcPr>
            <w:tcW w:w="990" w:type="dxa"/>
            <w:vAlign w:val="center"/>
          </w:tcPr>
          <w:p w:rsidR="00A918E2" w:rsidRPr="00974D81" w:rsidP="00596481" w14:paraId="5D0CC784" w14:textId="3E22DA89">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843,989</w:t>
            </w:r>
          </w:p>
        </w:tc>
        <w:tc>
          <w:tcPr>
            <w:tcW w:w="1260" w:type="dxa"/>
            <w:vAlign w:val="center"/>
          </w:tcPr>
          <w:p w:rsidR="00A918E2" w:rsidRPr="00974D81" w:rsidP="003737FC" w14:paraId="4E4EE825" w14:textId="0745F404">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$49.71</w:t>
            </w:r>
          </w:p>
        </w:tc>
        <w:tc>
          <w:tcPr>
            <w:tcW w:w="1260" w:type="dxa"/>
            <w:vAlign w:val="center"/>
          </w:tcPr>
          <w:p w:rsidR="00A918E2" w:rsidRPr="00974D81" w:rsidP="00864CCB" w14:paraId="442CC170" w14:textId="2BECEC33">
            <w:pPr>
              <w:widowControl w:val="0"/>
              <w:autoSpaceDE w:val="0"/>
              <w:autoSpaceDN w:val="0"/>
              <w:adjustRightInd w:val="0"/>
              <w:jc w:val="center"/>
              <w:rPr>
                <w:rFonts w:eastAsia="Calibri"/>
                <w:b/>
                <w:bCs/>
                <w:color w:val="000000"/>
                <w:sz w:val="20"/>
                <w:szCs w:val="20"/>
              </w:rPr>
            </w:pPr>
            <w:r>
              <w:rPr>
                <w:rFonts w:eastAsia="Calibri"/>
                <w:b/>
                <w:bCs/>
                <w:color w:val="000000"/>
                <w:sz w:val="20"/>
                <w:szCs w:val="20"/>
              </w:rPr>
              <w:t>$41,954,693</w:t>
            </w:r>
          </w:p>
        </w:tc>
      </w:tr>
    </w:tbl>
    <w:p w:rsidR="00A918E2" w:rsidRPr="00974D81" w:rsidP="00907B32" w14:paraId="698C06FE" w14:textId="77777777">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color w:val="000000"/>
        </w:rPr>
      </w:pPr>
    </w:p>
    <w:p w:rsidR="00A64469" w:rsidRPr="00974D81" w:rsidP="00A64469" w14:paraId="3BF5248D" w14:textId="77777777">
      <w:pPr>
        <w:outlineLvl w:val="1"/>
        <w:rPr>
          <w:i/>
          <w:iCs/>
        </w:rPr>
      </w:pPr>
      <w:bookmarkStart w:id="14" w:name="_Toc486874661"/>
      <w:r w:rsidRPr="00974D81">
        <w:rPr>
          <w:i/>
          <w:iCs/>
        </w:rPr>
        <w:t xml:space="preserve">A.13. </w:t>
      </w:r>
      <w:r w:rsidRPr="00974D81">
        <w:rPr>
          <w:i/>
        </w:rPr>
        <w:t>Provide an estimate for the total annual cost burden to respondents or record keepers resulting from the collection of information.  (Do not include the cost of any hour burden already reflected on the burden worksheet).</w:t>
      </w:r>
      <w:bookmarkEnd w:id="14"/>
    </w:p>
    <w:p w:rsidR="00C53DD8" w:rsidRPr="00974D81" w:rsidP="00E634BB" w14:paraId="46880CBD" w14:textId="77777777">
      <w:pPr>
        <w:widowControl w:val="0"/>
        <w:autoSpaceDE w:val="0"/>
        <w:autoSpaceDN w:val="0"/>
        <w:adjustRightInd w:val="0"/>
        <w:rPr>
          <w:color w:val="000000"/>
        </w:rPr>
      </w:pPr>
    </w:p>
    <w:p w:rsidR="00C53DD8" w:rsidRPr="00974D81" w:rsidP="00E634BB" w14:paraId="6C5D8E7E" w14:textId="77777777">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contextualSpacing/>
        <w:rPr>
          <w:color w:val="000000"/>
        </w:rPr>
      </w:pPr>
      <w:r w:rsidRPr="00974D81">
        <w:rPr>
          <w:i/>
          <w:color w:val="000000"/>
        </w:rPr>
        <w:t>Start-up/capital costs</w:t>
      </w:r>
      <w:r w:rsidRPr="00974D81">
        <w:rPr>
          <w:color w:val="000000"/>
        </w:rPr>
        <w:t>:  There are no start-up costs, as ETA provides a free, web-based data collection and reporting system to collect and maintain participant data.</w:t>
      </w:r>
    </w:p>
    <w:p w:rsidR="00C53DD8" w:rsidRPr="00974D81" w:rsidP="00E634BB" w14:paraId="5C305DD3"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720"/>
        <w:contextualSpacing/>
        <w:rPr>
          <w:color w:val="000000"/>
        </w:rPr>
      </w:pPr>
    </w:p>
    <w:p w:rsidR="00EA78D2" w:rsidRPr="00955CB1" w:rsidP="00E634BB" w14:paraId="468C50C7" w14:textId="793A397E">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contextualSpacing/>
      </w:pPr>
      <w:r w:rsidRPr="00955CB1">
        <w:rPr>
          <w:i/>
          <w:color w:val="000000"/>
        </w:rPr>
        <w:t>Annual costs</w:t>
      </w:r>
      <w:r w:rsidRPr="00955CB1">
        <w:rPr>
          <w:color w:val="000000"/>
        </w:rPr>
        <w:t xml:space="preserve">:  </w:t>
      </w:r>
      <w:r w:rsidRPr="00955CB1" w:rsidR="0091524F">
        <w:rPr>
          <w:color w:val="000000"/>
        </w:rPr>
        <w:t xml:space="preserve">The Department estimates that the cost </w:t>
      </w:r>
      <w:r w:rsidRPr="00955CB1" w:rsidR="007A4B73">
        <w:rPr>
          <w:color w:val="000000"/>
        </w:rPr>
        <w:t xml:space="preserve">associated with the </w:t>
      </w:r>
      <w:r w:rsidRPr="00955CB1" w:rsidR="0091524F">
        <w:rPr>
          <w:color w:val="000000"/>
        </w:rPr>
        <w:t xml:space="preserve">translation </w:t>
      </w:r>
      <w:r w:rsidRPr="00955CB1" w:rsidR="00F66DF7">
        <w:rPr>
          <w:color w:val="000000"/>
        </w:rPr>
        <w:t>of Appendix A</w:t>
      </w:r>
      <w:r w:rsidRPr="00955CB1" w:rsidR="007A4B73">
        <w:rPr>
          <w:color w:val="000000"/>
        </w:rPr>
        <w:t>,</w:t>
      </w:r>
      <w:r w:rsidRPr="00955CB1" w:rsidR="00F66DF7">
        <w:rPr>
          <w:color w:val="000000"/>
        </w:rPr>
        <w:t xml:space="preserve"> educational credential documentation</w:t>
      </w:r>
      <w:r w:rsidRPr="00955CB1" w:rsidR="007A4B73">
        <w:rPr>
          <w:color w:val="000000"/>
        </w:rPr>
        <w:t>,</w:t>
      </w:r>
      <w:r w:rsidRPr="00955CB1" w:rsidR="00F66DF7">
        <w:rPr>
          <w:color w:val="000000"/>
        </w:rPr>
        <w:t xml:space="preserve"> </w:t>
      </w:r>
      <w:r w:rsidRPr="00955CB1" w:rsidR="0091524F">
        <w:rPr>
          <w:color w:val="000000"/>
        </w:rPr>
        <w:t>will vary, based on a range of factors including free access to a translator</w:t>
      </w:r>
      <w:r w:rsidRPr="00955CB1" w:rsidR="00405F77">
        <w:rPr>
          <w:color w:val="000000"/>
        </w:rPr>
        <w:t xml:space="preserve">, free translation tools, </w:t>
      </w:r>
      <w:r w:rsidRPr="00955CB1" w:rsidR="0091524F">
        <w:rPr>
          <w:color w:val="000000"/>
        </w:rPr>
        <w:t>or paid translations which the Department estimates may cost up to $1</w:t>
      </w:r>
      <w:r w:rsidRPr="00955CB1" w:rsidR="00955CB1">
        <w:rPr>
          <w:color w:val="000000"/>
        </w:rPr>
        <w:t>7</w:t>
      </w:r>
      <w:r w:rsidRPr="00955CB1" w:rsidR="0091524F">
        <w:rPr>
          <w:color w:val="000000"/>
        </w:rPr>
        <w:t>0.  Therefore, the average estimated cost is $8</w:t>
      </w:r>
      <w:r w:rsidRPr="00955CB1" w:rsidR="00955CB1">
        <w:rPr>
          <w:color w:val="000000"/>
        </w:rPr>
        <w:t>5</w:t>
      </w:r>
      <w:r w:rsidRPr="00955CB1" w:rsidR="0091524F">
        <w:rPr>
          <w:color w:val="000000"/>
        </w:rPr>
        <w:t xml:space="preserve"> </w:t>
      </w:r>
      <w:r w:rsidRPr="00955CB1" w:rsidR="00405F77">
        <w:rPr>
          <w:color w:val="000000"/>
        </w:rPr>
        <w:t xml:space="preserve">for </w:t>
      </w:r>
      <w:r w:rsidRPr="00955CB1" w:rsidR="0091524F">
        <w:rPr>
          <w:color w:val="000000"/>
        </w:rPr>
        <w:t>translation</w:t>
      </w:r>
      <w:r w:rsidRPr="00955CB1" w:rsidR="00405F77">
        <w:rPr>
          <w:color w:val="000000"/>
        </w:rPr>
        <w:t xml:space="preserve"> and an annual estimated cost of</w:t>
      </w:r>
      <w:r w:rsidRPr="00955CB1" w:rsidR="002455D2">
        <w:rPr>
          <w:color w:val="000000"/>
        </w:rPr>
        <w:t xml:space="preserve"> $</w:t>
      </w:r>
      <w:r w:rsidRPr="00955CB1" w:rsidR="00955CB1">
        <w:rPr>
          <w:color w:val="000000"/>
        </w:rPr>
        <w:t xml:space="preserve">41,140 </w:t>
      </w:r>
      <w:r w:rsidRPr="00955CB1" w:rsidR="00F66DF7">
        <w:rPr>
          <w:color w:val="000000"/>
        </w:rPr>
        <w:t>(</w:t>
      </w:r>
      <w:r w:rsidRPr="00955CB1" w:rsidR="00955CB1">
        <w:rPr>
          <w:color w:val="000000"/>
        </w:rPr>
        <w:t xml:space="preserve">484 </w:t>
      </w:r>
      <w:r w:rsidRPr="00955CB1" w:rsidR="00F66DF7">
        <w:rPr>
          <w:color w:val="000000"/>
        </w:rPr>
        <w:t>Appendix A filings x $8</w:t>
      </w:r>
      <w:r w:rsidRPr="00955CB1" w:rsidR="00955CB1">
        <w:rPr>
          <w:color w:val="000000"/>
        </w:rPr>
        <w:t>5</w:t>
      </w:r>
      <w:r w:rsidR="00534C91">
        <w:rPr>
          <w:color w:val="000000"/>
        </w:rPr>
        <w:t xml:space="preserve"> </w:t>
      </w:r>
      <w:r w:rsidRPr="00955CB1" w:rsidR="00F66DF7">
        <w:rPr>
          <w:color w:val="000000"/>
        </w:rPr>
        <w:t>= $</w:t>
      </w:r>
      <w:r w:rsidRPr="00955CB1" w:rsidR="00955CB1">
        <w:rPr>
          <w:color w:val="000000"/>
        </w:rPr>
        <w:t>41,140</w:t>
      </w:r>
      <w:r w:rsidRPr="00955CB1" w:rsidR="00F66DF7">
        <w:rPr>
          <w:color w:val="000000"/>
        </w:rPr>
        <w:t>)</w:t>
      </w:r>
      <w:r w:rsidRPr="00955CB1" w:rsidR="002455D2">
        <w:rPr>
          <w:color w:val="000000"/>
        </w:rPr>
        <w:t>.</w:t>
      </w:r>
      <w:r w:rsidRPr="00955CB1" w:rsidR="00AE3028">
        <w:t xml:space="preserve">  </w:t>
      </w:r>
    </w:p>
    <w:p w:rsidR="000261BE" w:rsidRPr="00974D81" w:rsidP="00955CB1" w14:paraId="4DBEDC6D"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contextualSpacing/>
        <w:jc w:val="both"/>
      </w:pPr>
    </w:p>
    <w:p w:rsidR="00384450" w:rsidRPr="00974D81" w:rsidP="00A56701" w14:paraId="2E1B17D7"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720"/>
        <w:contextualSpacing/>
        <w:jc w:val="both"/>
      </w:pPr>
    </w:p>
    <w:p w:rsidR="000261BE" w:rsidRPr="00974D81" w:rsidP="00A56701" w14:paraId="606E6F91"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720"/>
        <w:contextualSpacing/>
        <w:jc w:val="both"/>
      </w:pPr>
    </w:p>
    <w:p w:rsidR="00E80153" w:rsidRPr="00974D81" w:rsidP="0020651D" w14:paraId="07BAED10" w14:textId="77777777">
      <w:pPr>
        <w:tabs>
          <w:tab w:val="right" w:pos="360"/>
        </w:tabs>
        <w:autoSpaceDE w:val="0"/>
        <w:autoSpaceDN w:val="0"/>
        <w:adjustRightInd w:val="0"/>
        <w:rPr>
          <w:i/>
        </w:rPr>
      </w:pPr>
      <w:r w:rsidRPr="00974D81">
        <w:rPr>
          <w:i/>
        </w:rPr>
        <w:tab/>
      </w:r>
      <w:r w:rsidRPr="00974D81" w:rsidR="00A64469">
        <w:rPr>
          <w:i/>
        </w:rPr>
        <w:t>A</w:t>
      </w:r>
      <w:r w:rsidRPr="00974D81" w:rsidR="00EA78D2">
        <w:rPr>
          <w:i/>
        </w:rPr>
        <w:t>14.</w:t>
      </w:r>
      <w:r w:rsidRPr="00974D81" w:rsidR="004B774D">
        <w:rPr>
          <w:i/>
        </w:rPr>
        <w:tab/>
      </w:r>
      <w:r w:rsidRPr="00974D81" w:rsidR="00EA78D2">
        <w:rPr>
          <w:i/>
        </w:rPr>
        <w:t xml:space="preserve">Provide estimates of annualized costs to the Federal government. </w:t>
      </w:r>
      <w:r w:rsidRPr="00974D81" w:rsidR="007F12A0">
        <w:rPr>
          <w:i/>
        </w:rPr>
        <w:t xml:space="preserve"> </w:t>
      </w:r>
      <w:r w:rsidRPr="00974D81"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974D81" w:rsidR="007F12A0">
        <w:rPr>
          <w:i/>
        </w:rPr>
        <w:t xml:space="preserve">  </w:t>
      </w:r>
      <w:r w:rsidRPr="00974D81" w:rsidR="00EA78D2">
        <w:rPr>
          <w:i/>
        </w:rPr>
        <w:t>Agencies may also aggregate cost estimates from Items 12, 13, and 14 in a single table.</w:t>
      </w:r>
    </w:p>
    <w:p w:rsidR="00A64469" w:rsidRPr="00974D81" w:rsidP="00BF224F" w14:paraId="29253B0E" w14:textId="77777777">
      <w:pPr>
        <w:tabs>
          <w:tab w:val="right" w:pos="360"/>
        </w:tabs>
        <w:autoSpaceDE w:val="0"/>
        <w:autoSpaceDN w:val="0"/>
        <w:adjustRightInd w:val="0"/>
        <w:ind w:left="540" w:hanging="540"/>
        <w:rPr>
          <w:i/>
        </w:rPr>
      </w:pPr>
    </w:p>
    <w:p w:rsidR="00152A29" w:rsidP="00E71AA6" w14:paraId="0D88AB46" w14:textId="25DBA379">
      <w:bookmarkStart w:id="15" w:name="_Hlk160087956"/>
      <w:r w:rsidRPr="002F0E5A">
        <w:t xml:space="preserve">The Department estimates that the annual costs to administer the </w:t>
      </w:r>
      <w:r>
        <w:t xml:space="preserve">Form ETA-9035/9035E and WH-4 is </w:t>
      </w:r>
      <w:r w:rsidR="00326130">
        <w:t>$</w:t>
      </w:r>
      <w:r w:rsidR="002A0BDF">
        <w:t>1,313,561</w:t>
      </w:r>
      <w:r>
        <w:t xml:space="preserve">.  </w:t>
      </w:r>
      <w:r w:rsidRPr="002F0E5A">
        <w:t>Federal administrative costs include IT systems that support application filing and case processing operations, rent, supplies, equipment, and agency indirect costs, which include support for human resources, financial and administrative oversight, and grants and contracts management.  Based on past obligations and expenditures, the table below provides a detailed breakdown of the annualized costs associated with federal administration of the program by major cost category.</w:t>
      </w:r>
      <w:bookmarkEnd w:id="15"/>
    </w:p>
    <w:p w:rsidR="00176B0B" w:rsidP="00E71AA6" w14:paraId="31FC481F" w14:textId="77777777"/>
    <w:tbl>
      <w:tblPr>
        <w:tblW w:w="10556" w:type="dxa"/>
        <w:jc w:val="center"/>
        <w:tblCellMar>
          <w:left w:w="0" w:type="dxa"/>
          <w:right w:w="0" w:type="dxa"/>
        </w:tblCellMar>
        <w:tblLook w:val="04A0"/>
      </w:tblPr>
      <w:tblGrid>
        <w:gridCol w:w="2340"/>
        <w:gridCol w:w="6390"/>
        <w:gridCol w:w="1826"/>
      </w:tblGrid>
      <w:tr w14:paraId="0112B808" w14:textId="77777777" w:rsidTr="00AC180D">
        <w:tblPrEx>
          <w:tblW w:w="10556" w:type="dxa"/>
          <w:jc w:val="center"/>
          <w:tblCellMar>
            <w:left w:w="0" w:type="dxa"/>
            <w:right w:w="0" w:type="dxa"/>
          </w:tblCellMar>
          <w:tblLook w:val="04A0"/>
        </w:tblPrEx>
        <w:trPr>
          <w:trHeight w:val="457"/>
          <w:jc w:val="center"/>
        </w:trPr>
        <w:tc>
          <w:tcPr>
            <w:tcW w:w="2340" w:type="dxa"/>
            <w:tcBorders>
              <w:top w:val="single" w:sz="8" w:space="0" w:color="auto"/>
              <w:left w:val="single" w:sz="8" w:space="0" w:color="auto"/>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AC180D" w14:paraId="1E601A2D" w14:textId="77777777">
            <w:pPr>
              <w:spacing w:after="160" w:line="252" w:lineRule="auto"/>
              <w:rPr>
                <w:b/>
                <w:bCs/>
                <w:color w:val="000000"/>
                <w:sz w:val="20"/>
                <w:szCs w:val="20"/>
              </w:rPr>
            </w:pPr>
            <w:r>
              <w:rPr>
                <w:b/>
                <w:bCs/>
                <w:color w:val="000000"/>
                <w:sz w:val="20"/>
                <w:szCs w:val="20"/>
              </w:rPr>
              <w:t>Major Cost Category</w:t>
            </w:r>
          </w:p>
        </w:tc>
        <w:tc>
          <w:tcPr>
            <w:tcW w:w="6390" w:type="dxa"/>
            <w:tcBorders>
              <w:top w:val="single" w:sz="8" w:space="0" w:color="auto"/>
              <w:left w:val="nil"/>
              <w:bottom w:val="single" w:sz="8" w:space="0" w:color="000000"/>
              <w:right w:val="single" w:sz="8" w:space="0" w:color="auto"/>
            </w:tcBorders>
            <w:shd w:val="clear" w:color="auto" w:fill="8DB3E2"/>
            <w:noWrap/>
            <w:tcMar>
              <w:top w:w="0" w:type="dxa"/>
              <w:left w:w="108" w:type="dxa"/>
              <w:bottom w:w="0" w:type="dxa"/>
              <w:right w:w="108" w:type="dxa"/>
            </w:tcMar>
            <w:vAlign w:val="center"/>
            <w:hideMark/>
          </w:tcPr>
          <w:p w:rsidR="00AC180D" w14:paraId="67D8E58B" w14:textId="77777777">
            <w:pPr>
              <w:spacing w:after="160" w:line="252" w:lineRule="auto"/>
              <w:rPr>
                <w:b/>
                <w:bCs/>
                <w:color w:val="000000"/>
                <w:sz w:val="20"/>
                <w:szCs w:val="20"/>
              </w:rPr>
            </w:pPr>
            <w:r>
              <w:rPr>
                <w:b/>
                <w:bCs/>
                <w:color w:val="000000"/>
                <w:sz w:val="20"/>
                <w:szCs w:val="20"/>
              </w:rPr>
              <w:t>Cost Activities</w:t>
            </w:r>
          </w:p>
        </w:tc>
        <w:tc>
          <w:tcPr>
            <w:tcW w:w="1826" w:type="dxa"/>
            <w:tcBorders>
              <w:top w:val="single" w:sz="8" w:space="0" w:color="auto"/>
              <w:left w:val="nil"/>
              <w:bottom w:val="nil"/>
              <w:right w:val="single" w:sz="8" w:space="0" w:color="auto"/>
            </w:tcBorders>
            <w:shd w:val="clear" w:color="auto" w:fill="8DB3E2"/>
            <w:noWrap/>
            <w:tcMar>
              <w:top w:w="0" w:type="dxa"/>
              <w:left w:w="108" w:type="dxa"/>
              <w:bottom w:w="0" w:type="dxa"/>
              <w:right w:w="108" w:type="dxa"/>
            </w:tcMar>
            <w:vAlign w:val="center"/>
            <w:hideMark/>
          </w:tcPr>
          <w:p w:rsidR="00AC180D" w14:paraId="06EB045A" w14:textId="77777777">
            <w:pPr>
              <w:spacing w:after="160" w:line="252" w:lineRule="auto"/>
              <w:jc w:val="center"/>
              <w:rPr>
                <w:b/>
                <w:bCs/>
                <w:color w:val="000000"/>
                <w:sz w:val="20"/>
                <w:szCs w:val="20"/>
              </w:rPr>
            </w:pPr>
            <w:r>
              <w:rPr>
                <w:b/>
                <w:bCs/>
                <w:color w:val="000000"/>
                <w:sz w:val="20"/>
                <w:szCs w:val="20"/>
              </w:rPr>
              <w:t xml:space="preserve">Annualized Costs </w:t>
            </w:r>
            <w:r>
              <w:rPr>
                <w:i/>
                <w:iCs/>
                <w:color w:val="000000"/>
                <w:sz w:val="20"/>
                <w:szCs w:val="20"/>
              </w:rPr>
              <w:t>(estimated)</w:t>
            </w:r>
          </w:p>
        </w:tc>
      </w:tr>
      <w:tr w14:paraId="1A50C7C5" w14:textId="77777777" w:rsidTr="00AC180D">
        <w:tblPrEx>
          <w:tblW w:w="10556" w:type="dxa"/>
          <w:jc w:val="center"/>
          <w:tblCellMar>
            <w:left w:w="0" w:type="dxa"/>
            <w:right w:w="0" w:type="dxa"/>
          </w:tblCellMar>
          <w:tblLook w:val="04A0"/>
        </w:tblPrEx>
        <w:trPr>
          <w:trHeight w:val="285"/>
          <w:jc w:val="center"/>
        </w:trPr>
        <w:tc>
          <w:tcPr>
            <w:tcW w:w="2340" w:type="dxa"/>
            <w:tcBorders>
              <w:top w:val="nil"/>
              <w:left w:val="single" w:sz="8" w:space="0" w:color="auto"/>
              <w:bottom w:val="nil"/>
              <w:right w:val="single" w:sz="8" w:space="0" w:color="auto"/>
            </w:tcBorders>
            <w:shd w:val="clear" w:color="auto" w:fill="D9D9D9"/>
            <w:noWrap/>
            <w:tcMar>
              <w:top w:w="0" w:type="dxa"/>
              <w:left w:w="108" w:type="dxa"/>
              <w:bottom w:w="0" w:type="dxa"/>
              <w:right w:w="108" w:type="dxa"/>
            </w:tcMar>
            <w:vAlign w:val="center"/>
            <w:hideMark/>
          </w:tcPr>
          <w:p w:rsidR="00AC180D" w14:paraId="462ABB63" w14:textId="77777777">
            <w:pPr>
              <w:rPr>
                <w:color w:val="000000"/>
                <w:sz w:val="20"/>
                <w:szCs w:val="20"/>
              </w:rPr>
            </w:pPr>
            <w:r>
              <w:rPr>
                <w:color w:val="000000"/>
                <w:sz w:val="20"/>
                <w:szCs w:val="20"/>
              </w:rPr>
              <w:t>Contracts for Services</w:t>
            </w:r>
          </w:p>
        </w:tc>
        <w:tc>
          <w:tcPr>
            <w:tcW w:w="6390" w:type="dxa"/>
            <w:tcBorders>
              <w:top w:val="nil"/>
              <w:left w:val="nil"/>
              <w:bottom w:val="nil"/>
              <w:right w:val="single" w:sz="8" w:space="0" w:color="auto"/>
            </w:tcBorders>
            <w:noWrap/>
            <w:tcMar>
              <w:top w:w="0" w:type="dxa"/>
              <w:left w:w="108" w:type="dxa"/>
              <w:bottom w:w="0" w:type="dxa"/>
              <w:right w:w="108" w:type="dxa"/>
            </w:tcMar>
            <w:vAlign w:val="center"/>
            <w:hideMark/>
          </w:tcPr>
          <w:p w:rsidR="00AC180D" w14:paraId="70638C72"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Case processing and administrative support for operations</w:t>
            </w:r>
          </w:p>
        </w:tc>
        <w:tc>
          <w:tcPr>
            <w:tcW w:w="1826"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180D" w14:paraId="360FE1A8" w14:textId="77777777">
            <w:pPr>
              <w:jc w:val="center"/>
              <w:rPr>
                <w:color w:val="000000"/>
                <w:sz w:val="20"/>
                <w:szCs w:val="20"/>
              </w:rPr>
            </w:pPr>
            <w:r>
              <w:rPr>
                <w:color w:val="000000"/>
                <w:sz w:val="20"/>
                <w:szCs w:val="20"/>
              </w:rPr>
              <w:t xml:space="preserve">$7,867 </w:t>
            </w:r>
          </w:p>
        </w:tc>
      </w:tr>
      <w:tr w14:paraId="471EAFF2" w14:textId="77777777" w:rsidTr="00AC180D">
        <w:tblPrEx>
          <w:tblW w:w="10556" w:type="dxa"/>
          <w:jc w:val="center"/>
          <w:tblCellMar>
            <w:left w:w="0" w:type="dxa"/>
            <w:right w:w="0" w:type="dxa"/>
          </w:tblCellMar>
          <w:tblLook w:val="04A0"/>
        </w:tblPrEx>
        <w:trPr>
          <w:trHeight w:val="50"/>
          <w:jc w:val="center"/>
        </w:trPr>
        <w:tc>
          <w:tcPr>
            <w:tcW w:w="234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C180D" w14:paraId="280C8CF6" w14:textId="77777777">
            <w:pPr>
              <w:rPr>
                <w:i/>
                <w:iCs/>
                <w:color w:val="000000"/>
                <w:sz w:val="20"/>
                <w:szCs w:val="20"/>
              </w:rPr>
            </w:pPr>
            <w:r>
              <w:rPr>
                <w:i/>
                <w:iCs/>
                <w:color w:val="000000"/>
                <w:sz w:val="20"/>
                <w:szCs w:val="20"/>
              </w:rPr>
              <w:t>(not technology related)</w:t>
            </w:r>
          </w:p>
        </w:tc>
        <w:tc>
          <w:tcPr>
            <w:tcW w:w="63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180D" w14:paraId="04887C48"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Mail and other clerical support services</w:t>
            </w:r>
          </w:p>
        </w:tc>
        <w:tc>
          <w:tcPr>
            <w:tcW w:w="0" w:type="auto"/>
            <w:vMerge/>
            <w:tcBorders>
              <w:top w:val="nil"/>
              <w:left w:val="nil"/>
              <w:bottom w:val="single" w:sz="8" w:space="0" w:color="auto"/>
              <w:right w:val="single" w:sz="8" w:space="0" w:color="auto"/>
            </w:tcBorders>
            <w:vAlign w:val="center"/>
            <w:hideMark/>
          </w:tcPr>
          <w:p w:rsidR="00AC180D" w14:paraId="03149181" w14:textId="77777777">
            <w:pPr>
              <w:rPr>
                <w:rFonts w:ascii="Aptos" w:hAnsi="Aptos" w:eastAsiaTheme="minorHAnsi" w:cs="Aptos"/>
                <w:color w:val="000000"/>
                <w:sz w:val="20"/>
                <w:szCs w:val="20"/>
                <w14:ligatures w14:val="standardContextual"/>
              </w:rPr>
            </w:pPr>
          </w:p>
        </w:tc>
      </w:tr>
      <w:tr w14:paraId="31D91789" w14:textId="77777777" w:rsidTr="00AC180D">
        <w:tblPrEx>
          <w:tblW w:w="10556" w:type="dxa"/>
          <w:jc w:val="center"/>
          <w:tblCellMar>
            <w:left w:w="0" w:type="dxa"/>
            <w:right w:w="0" w:type="dxa"/>
          </w:tblCellMar>
          <w:tblLook w:val="04A0"/>
        </w:tblPrEx>
        <w:trPr>
          <w:trHeight w:val="70"/>
          <w:jc w:val="center"/>
        </w:trPr>
        <w:tc>
          <w:tcPr>
            <w:tcW w:w="234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C180D" w14:paraId="7F50A596" w14:textId="77777777">
            <w:pPr>
              <w:rPr>
                <w:color w:val="000000"/>
                <w:sz w:val="20"/>
                <w:szCs w:val="20"/>
              </w:rPr>
            </w:pPr>
            <w:r>
              <w:rPr>
                <w:color w:val="000000"/>
                <w:sz w:val="20"/>
                <w:szCs w:val="20"/>
              </w:rPr>
              <w:t>Information Technology</w:t>
            </w:r>
          </w:p>
        </w:tc>
        <w:tc>
          <w:tcPr>
            <w:tcW w:w="63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180D" w14:paraId="53ED780F"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Application development services &amp; network infrastructure support</w:t>
            </w:r>
          </w:p>
          <w:p w:rsidR="00AC180D" w14:paraId="5823A7FF"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Hardware &amp; software updates</w:t>
            </w:r>
          </w:p>
        </w:tc>
        <w:tc>
          <w:tcPr>
            <w:tcW w:w="1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180D" w14:paraId="6AF0C597" w14:textId="77777777">
            <w:pPr>
              <w:jc w:val="center"/>
              <w:rPr>
                <w:color w:val="000000"/>
                <w:sz w:val="20"/>
                <w:szCs w:val="20"/>
              </w:rPr>
            </w:pPr>
            <w:r>
              <w:rPr>
                <w:color w:val="000000"/>
                <w:sz w:val="20"/>
                <w:szCs w:val="20"/>
              </w:rPr>
              <w:t xml:space="preserve">$1,187,779 </w:t>
            </w:r>
          </w:p>
        </w:tc>
      </w:tr>
      <w:tr w14:paraId="429F8340" w14:textId="77777777" w:rsidTr="00AC180D">
        <w:tblPrEx>
          <w:tblW w:w="10556" w:type="dxa"/>
          <w:jc w:val="center"/>
          <w:tblCellMar>
            <w:left w:w="0" w:type="dxa"/>
            <w:right w:w="0" w:type="dxa"/>
          </w:tblCellMar>
          <w:tblLook w:val="04A0"/>
        </w:tblPrEx>
        <w:trPr>
          <w:trHeight w:val="670"/>
          <w:jc w:val="center"/>
        </w:trPr>
        <w:tc>
          <w:tcPr>
            <w:tcW w:w="234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C180D" w14:paraId="7068A8FA" w14:textId="77777777">
            <w:pPr>
              <w:rPr>
                <w:color w:val="000000"/>
                <w:sz w:val="20"/>
                <w:szCs w:val="20"/>
              </w:rPr>
            </w:pPr>
            <w:r>
              <w:rPr>
                <w:color w:val="000000"/>
                <w:sz w:val="20"/>
                <w:szCs w:val="20"/>
              </w:rPr>
              <w:t>General Services Administration Services &amp; DHS Services</w:t>
            </w:r>
          </w:p>
        </w:tc>
        <w:tc>
          <w:tcPr>
            <w:tcW w:w="63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180D" w14:paraId="7A276039"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Rent payments for office space</w:t>
            </w:r>
          </w:p>
          <w:p w:rsidR="00AC180D" w14:paraId="53A37001"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Security clearance services</w:t>
            </w:r>
          </w:p>
        </w:tc>
        <w:tc>
          <w:tcPr>
            <w:tcW w:w="1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180D" w14:paraId="400CB599" w14:textId="77777777">
            <w:pPr>
              <w:jc w:val="center"/>
              <w:rPr>
                <w:color w:val="000000"/>
                <w:sz w:val="20"/>
                <w:szCs w:val="20"/>
              </w:rPr>
            </w:pPr>
            <w:r>
              <w:rPr>
                <w:color w:val="000000"/>
                <w:sz w:val="20"/>
                <w:szCs w:val="20"/>
              </w:rPr>
              <w:t>$6,417</w:t>
            </w:r>
          </w:p>
        </w:tc>
      </w:tr>
      <w:tr w14:paraId="4E9C1669" w14:textId="77777777" w:rsidTr="00AC180D">
        <w:tblPrEx>
          <w:tblW w:w="10556" w:type="dxa"/>
          <w:jc w:val="center"/>
          <w:tblCellMar>
            <w:left w:w="0" w:type="dxa"/>
            <w:right w:w="0" w:type="dxa"/>
          </w:tblCellMar>
          <w:tblLook w:val="04A0"/>
        </w:tblPrEx>
        <w:trPr>
          <w:trHeight w:val="50"/>
          <w:jc w:val="center"/>
        </w:trPr>
        <w:tc>
          <w:tcPr>
            <w:tcW w:w="234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C180D" w14:paraId="7C7B11D4" w14:textId="77777777">
            <w:pPr>
              <w:rPr>
                <w:color w:val="000000"/>
                <w:sz w:val="20"/>
                <w:szCs w:val="20"/>
              </w:rPr>
            </w:pPr>
            <w:r>
              <w:rPr>
                <w:color w:val="000000"/>
                <w:sz w:val="20"/>
                <w:szCs w:val="20"/>
              </w:rPr>
              <w:t>DOL Working Capital Assessment</w:t>
            </w:r>
          </w:p>
        </w:tc>
        <w:tc>
          <w:tcPr>
            <w:tcW w:w="63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C180D" w14:paraId="1867DB38" w14:textId="73A01474">
            <w:pPr>
              <w:ind w:left="400" w:hanging="180"/>
              <w:rPr>
                <w:color w:val="000000"/>
                <w:sz w:val="20"/>
                <w:szCs w:val="20"/>
              </w:rPr>
            </w:pPr>
            <w:r>
              <w:rPr>
                <w:color w:val="000000"/>
                <w:sz w:val="20"/>
                <w:szCs w:val="20"/>
              </w:rPr>
              <w:t>§</w:t>
            </w:r>
            <w:r>
              <w:rPr>
                <w:color w:val="000000"/>
                <w:sz w:val="14"/>
                <w:szCs w:val="14"/>
              </w:rPr>
              <w:t xml:space="preserve"> </w:t>
            </w:r>
            <w:r>
              <w:rPr>
                <w:color w:val="000000"/>
                <w:sz w:val="20"/>
                <w:szCs w:val="20"/>
              </w:rPr>
              <w:t>Indirect costs associated with ETA and DOL administrative and executive management services</w:t>
            </w:r>
          </w:p>
        </w:tc>
        <w:tc>
          <w:tcPr>
            <w:tcW w:w="18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C180D" w14:paraId="6351A7B8" w14:textId="77777777">
            <w:pPr>
              <w:jc w:val="center"/>
              <w:rPr>
                <w:color w:val="000000"/>
                <w:sz w:val="20"/>
                <w:szCs w:val="20"/>
              </w:rPr>
            </w:pPr>
            <w:r>
              <w:rPr>
                <w:color w:val="000000"/>
                <w:sz w:val="20"/>
                <w:szCs w:val="20"/>
              </w:rPr>
              <w:t xml:space="preserve">$106,661 </w:t>
            </w:r>
          </w:p>
        </w:tc>
      </w:tr>
      <w:tr w14:paraId="7E69F49A" w14:textId="77777777" w:rsidTr="00AC180D">
        <w:tblPrEx>
          <w:tblW w:w="10556" w:type="dxa"/>
          <w:jc w:val="center"/>
          <w:tblCellMar>
            <w:left w:w="0" w:type="dxa"/>
            <w:right w:w="0" w:type="dxa"/>
          </w:tblCellMar>
          <w:tblLook w:val="04A0"/>
        </w:tblPrEx>
        <w:trPr>
          <w:trHeight w:val="580"/>
          <w:jc w:val="center"/>
        </w:trPr>
        <w:tc>
          <w:tcPr>
            <w:tcW w:w="234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C180D" w14:paraId="55148872" w14:textId="77777777">
            <w:pPr>
              <w:rPr>
                <w:color w:val="000000"/>
                <w:sz w:val="20"/>
                <w:szCs w:val="20"/>
              </w:rPr>
            </w:pPr>
            <w:r>
              <w:rPr>
                <w:color w:val="000000"/>
                <w:sz w:val="20"/>
                <w:szCs w:val="20"/>
              </w:rPr>
              <w:t>Supplies &amp; Equipment</w:t>
            </w:r>
          </w:p>
        </w:tc>
        <w:tc>
          <w:tcPr>
            <w:tcW w:w="63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C180D" w14:paraId="0FC35023"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General office supplies</w:t>
            </w:r>
          </w:p>
          <w:p w:rsidR="00AC180D" w14:paraId="52E61692"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Computers, printers, and other office related equipment</w:t>
            </w:r>
          </w:p>
        </w:tc>
        <w:tc>
          <w:tcPr>
            <w:tcW w:w="18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C180D" w14:paraId="5FFCC04B" w14:textId="77777777">
            <w:pPr>
              <w:jc w:val="center"/>
              <w:rPr>
                <w:color w:val="000000"/>
                <w:sz w:val="20"/>
                <w:szCs w:val="20"/>
              </w:rPr>
            </w:pPr>
            <w:r>
              <w:rPr>
                <w:color w:val="000000"/>
                <w:sz w:val="20"/>
                <w:szCs w:val="20"/>
              </w:rPr>
              <w:t>$132</w:t>
            </w:r>
          </w:p>
        </w:tc>
      </w:tr>
      <w:tr w14:paraId="1B92390C" w14:textId="77777777" w:rsidTr="00AC180D">
        <w:tblPrEx>
          <w:tblW w:w="10556" w:type="dxa"/>
          <w:jc w:val="center"/>
          <w:tblCellMar>
            <w:left w:w="0" w:type="dxa"/>
            <w:right w:w="0" w:type="dxa"/>
          </w:tblCellMar>
          <w:tblLook w:val="04A0"/>
        </w:tblPrEx>
        <w:trPr>
          <w:trHeight w:val="295"/>
          <w:jc w:val="center"/>
        </w:trPr>
        <w:tc>
          <w:tcPr>
            <w:tcW w:w="234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C180D" w14:paraId="41D9C5B6" w14:textId="77777777">
            <w:pPr>
              <w:rPr>
                <w:color w:val="000000"/>
                <w:sz w:val="20"/>
                <w:szCs w:val="20"/>
              </w:rPr>
            </w:pPr>
            <w:r>
              <w:rPr>
                <w:color w:val="000000"/>
                <w:sz w:val="20"/>
                <w:szCs w:val="20"/>
              </w:rPr>
              <w:t>Telecommunications</w:t>
            </w:r>
          </w:p>
        </w:tc>
        <w:tc>
          <w:tcPr>
            <w:tcW w:w="63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C180D" w14:paraId="5A82A411"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Telecommunication related charges</w:t>
            </w:r>
          </w:p>
        </w:tc>
        <w:tc>
          <w:tcPr>
            <w:tcW w:w="18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C180D" w14:paraId="60DD0EEB" w14:textId="77777777">
            <w:pPr>
              <w:jc w:val="center"/>
              <w:rPr>
                <w:color w:val="000000"/>
                <w:sz w:val="20"/>
                <w:szCs w:val="20"/>
              </w:rPr>
            </w:pPr>
            <w:r>
              <w:rPr>
                <w:color w:val="000000"/>
                <w:sz w:val="20"/>
                <w:szCs w:val="20"/>
              </w:rPr>
              <w:t xml:space="preserve">$142 </w:t>
            </w:r>
          </w:p>
        </w:tc>
      </w:tr>
      <w:tr w14:paraId="643C1DCE" w14:textId="77777777" w:rsidTr="00AC180D">
        <w:tblPrEx>
          <w:tblW w:w="10556" w:type="dxa"/>
          <w:jc w:val="center"/>
          <w:tblCellMar>
            <w:left w:w="0" w:type="dxa"/>
            <w:right w:w="0" w:type="dxa"/>
          </w:tblCellMar>
          <w:tblLook w:val="04A0"/>
        </w:tblPrEx>
        <w:trPr>
          <w:trHeight w:val="358"/>
          <w:jc w:val="center"/>
        </w:trPr>
        <w:tc>
          <w:tcPr>
            <w:tcW w:w="234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C180D" w14:paraId="53A33582" w14:textId="77777777">
            <w:pPr>
              <w:rPr>
                <w:color w:val="000000"/>
                <w:sz w:val="20"/>
                <w:szCs w:val="20"/>
              </w:rPr>
            </w:pPr>
            <w:r>
              <w:rPr>
                <w:color w:val="000000"/>
                <w:sz w:val="20"/>
                <w:szCs w:val="20"/>
              </w:rPr>
              <w:t>Other Costs</w:t>
            </w:r>
          </w:p>
        </w:tc>
        <w:tc>
          <w:tcPr>
            <w:tcW w:w="63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C180D" w14:paraId="3748A640"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Other Government Agency Services</w:t>
            </w:r>
          </w:p>
          <w:p w:rsidR="00AC180D" w14:paraId="791EBFE9" w14:textId="77777777">
            <w:pPr>
              <w:ind w:firstLine="200"/>
              <w:rPr>
                <w:color w:val="000000"/>
                <w:sz w:val="20"/>
                <w:szCs w:val="20"/>
              </w:rPr>
            </w:pPr>
            <w:r>
              <w:rPr>
                <w:color w:val="000000"/>
                <w:sz w:val="20"/>
                <w:szCs w:val="20"/>
              </w:rPr>
              <w:t>§</w:t>
            </w:r>
            <w:r>
              <w:rPr>
                <w:color w:val="000000"/>
                <w:sz w:val="14"/>
                <w:szCs w:val="14"/>
              </w:rPr>
              <w:t xml:space="preserve"> </w:t>
            </w:r>
            <w:r>
              <w:rPr>
                <w:color w:val="000000"/>
                <w:sz w:val="20"/>
                <w:szCs w:val="20"/>
              </w:rPr>
              <w:t>Training / Printing</w:t>
            </w:r>
          </w:p>
        </w:tc>
        <w:tc>
          <w:tcPr>
            <w:tcW w:w="18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C180D" w14:paraId="2BB5459B" w14:textId="77777777">
            <w:pPr>
              <w:jc w:val="center"/>
              <w:rPr>
                <w:color w:val="000000"/>
                <w:sz w:val="20"/>
                <w:szCs w:val="20"/>
              </w:rPr>
            </w:pPr>
            <w:r>
              <w:rPr>
                <w:color w:val="000000"/>
                <w:sz w:val="20"/>
                <w:szCs w:val="20"/>
              </w:rPr>
              <w:t xml:space="preserve">$1,273 </w:t>
            </w:r>
          </w:p>
        </w:tc>
      </w:tr>
      <w:tr w14:paraId="6B7AF18B" w14:textId="77777777" w:rsidTr="00AC180D">
        <w:tblPrEx>
          <w:tblW w:w="10556" w:type="dxa"/>
          <w:jc w:val="center"/>
          <w:tblCellMar>
            <w:left w:w="0" w:type="dxa"/>
            <w:right w:w="0" w:type="dxa"/>
          </w:tblCellMar>
          <w:tblLook w:val="04A0"/>
        </w:tblPrEx>
        <w:trPr>
          <w:trHeight w:val="295"/>
          <w:jc w:val="center"/>
        </w:trPr>
        <w:tc>
          <w:tcPr>
            <w:tcW w:w="8730" w:type="dxa"/>
            <w:gridSpan w:val="2"/>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AC180D" w14:paraId="71504126" w14:textId="77777777">
            <w:pPr>
              <w:rPr>
                <w:b/>
                <w:bCs/>
                <w:color w:val="000000"/>
                <w:sz w:val="20"/>
                <w:szCs w:val="20"/>
              </w:rPr>
            </w:pPr>
            <w:r>
              <w:rPr>
                <w:b/>
                <w:bCs/>
                <w:color w:val="000000"/>
                <w:sz w:val="20"/>
                <w:szCs w:val="20"/>
              </w:rPr>
              <w:t>TOTAL COSTS - FEDERAL ADMINISTRATION (LCA)</w:t>
            </w:r>
          </w:p>
        </w:tc>
        <w:tc>
          <w:tcPr>
            <w:tcW w:w="1826"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AC180D" w14:paraId="2EE03C6D" w14:textId="77777777">
            <w:pPr>
              <w:jc w:val="center"/>
              <w:rPr>
                <w:b/>
                <w:bCs/>
                <w:color w:val="000000"/>
                <w:sz w:val="20"/>
                <w:szCs w:val="20"/>
              </w:rPr>
            </w:pPr>
            <w:r>
              <w:rPr>
                <w:b/>
                <w:bCs/>
                <w:color w:val="000000"/>
                <w:sz w:val="20"/>
                <w:szCs w:val="20"/>
              </w:rPr>
              <w:t>$1,310,271</w:t>
            </w:r>
          </w:p>
        </w:tc>
      </w:tr>
      <w:tr w14:paraId="307A6B6B" w14:textId="77777777" w:rsidTr="00AC180D">
        <w:tblPrEx>
          <w:tblW w:w="10556" w:type="dxa"/>
          <w:jc w:val="center"/>
          <w:tblCellMar>
            <w:left w:w="0" w:type="dxa"/>
            <w:right w:w="0" w:type="dxa"/>
          </w:tblCellMar>
          <w:tblLook w:val="04A0"/>
        </w:tblPrEx>
        <w:trPr>
          <w:trHeight w:val="1087"/>
          <w:jc w:val="center"/>
        </w:trPr>
        <w:tc>
          <w:tcPr>
            <w:tcW w:w="2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180D" w14:paraId="66915A6E" w14:textId="77777777">
            <w:pPr>
              <w:ind w:left="708"/>
              <w:rPr>
                <w:color w:val="000000"/>
                <w:sz w:val="20"/>
                <w:szCs w:val="20"/>
              </w:rPr>
            </w:pPr>
          </w:p>
          <w:p w:rsidR="00AC180D" w14:paraId="71470E64" w14:textId="77777777">
            <w:pPr>
              <w:rPr>
                <w:b/>
                <w:bCs/>
                <w:color w:val="000000"/>
                <w:sz w:val="20"/>
                <w:szCs w:val="20"/>
              </w:rPr>
            </w:pPr>
            <w:r>
              <w:rPr>
                <w:b/>
                <w:bCs/>
                <w:color w:val="000000"/>
                <w:sz w:val="20"/>
                <w:szCs w:val="20"/>
              </w:rPr>
              <w:t xml:space="preserve">WH-4 </w:t>
            </w:r>
          </w:p>
        </w:tc>
        <w:tc>
          <w:tcPr>
            <w:tcW w:w="6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180D" w:rsidP="00AC180D" w14:paraId="4E0009C3" w14:textId="77777777">
            <w:pPr>
              <w:pStyle w:val="ListParagraph"/>
              <w:numPr>
                <w:ilvl w:val="0"/>
                <w:numId w:val="22"/>
              </w:numPr>
              <w:ind w:left="490" w:hanging="270"/>
              <w:rPr>
                <w:color w:val="000000"/>
                <w:sz w:val="20"/>
                <w:szCs w:val="20"/>
              </w:rPr>
            </w:pPr>
            <w:r>
              <w:rPr>
                <w:color w:val="000000"/>
                <w:sz w:val="20"/>
                <w:szCs w:val="20"/>
              </w:rPr>
              <w:t xml:space="preserve">97 forms </w:t>
            </w:r>
          </w:p>
          <w:p w:rsidR="00AC180D" w:rsidP="00AC180D" w14:paraId="72836C5B" w14:textId="77777777">
            <w:pPr>
              <w:pStyle w:val="ListParagraph"/>
              <w:numPr>
                <w:ilvl w:val="0"/>
                <w:numId w:val="22"/>
              </w:numPr>
              <w:ind w:left="490" w:hanging="270"/>
              <w:rPr>
                <w:color w:val="000000"/>
                <w:sz w:val="20"/>
                <w:szCs w:val="20"/>
              </w:rPr>
            </w:pPr>
            <w:r>
              <w:rPr>
                <w:color w:val="000000"/>
                <w:sz w:val="20"/>
                <w:szCs w:val="20"/>
              </w:rPr>
              <w:t>Printing (97 x $0.05 = $ 4.85)</w:t>
            </w:r>
          </w:p>
          <w:p w:rsidR="00AC180D" w:rsidP="00AC180D" w14:paraId="36E0DC31" w14:textId="77777777">
            <w:pPr>
              <w:pStyle w:val="ListParagraph"/>
              <w:numPr>
                <w:ilvl w:val="0"/>
                <w:numId w:val="22"/>
              </w:numPr>
              <w:ind w:left="490" w:hanging="270"/>
              <w:rPr>
                <w:color w:val="000000"/>
                <w:sz w:val="20"/>
                <w:szCs w:val="20"/>
              </w:rPr>
            </w:pPr>
            <w:r>
              <w:rPr>
                <w:color w:val="000000"/>
                <w:sz w:val="20"/>
                <w:szCs w:val="20"/>
              </w:rPr>
              <w:t>Mailing (approximately 30% of forms mailed to complainants with   postage paid envelopes; Mailing costs are estimated to be $23 [29 forms x ($0.68 + $0.10 per envelope) x 2 directions = $23])</w:t>
            </w:r>
          </w:p>
          <w:p w:rsidR="00AC180D" w:rsidP="00AC180D" w14:paraId="6B6C0476" w14:textId="77777777">
            <w:pPr>
              <w:pStyle w:val="ListParagraph"/>
              <w:numPr>
                <w:ilvl w:val="0"/>
                <w:numId w:val="22"/>
              </w:numPr>
              <w:ind w:left="490" w:hanging="270"/>
              <w:rPr>
                <w:color w:val="000000"/>
                <w:sz w:val="20"/>
                <w:szCs w:val="20"/>
              </w:rPr>
            </w:pPr>
            <w:r>
              <w:rPr>
                <w:color w:val="000000"/>
                <w:sz w:val="20"/>
                <w:szCs w:val="20"/>
              </w:rPr>
              <w:t>Staff processing of forms (estimated at $808)</w:t>
            </w:r>
          </w:p>
          <w:p w:rsidR="00AC180D" w:rsidP="00AC180D" w14:paraId="29F419B5" w14:textId="77777777">
            <w:pPr>
              <w:pStyle w:val="ListParagraph"/>
              <w:numPr>
                <w:ilvl w:val="0"/>
                <w:numId w:val="22"/>
              </w:numPr>
              <w:ind w:left="490" w:hanging="270"/>
              <w:rPr>
                <w:color w:val="000000"/>
                <w:sz w:val="20"/>
                <w:szCs w:val="20"/>
              </w:rPr>
            </w:pPr>
            <w:r>
              <w:rPr>
                <w:color w:val="000000"/>
                <w:sz w:val="20"/>
                <w:szCs w:val="20"/>
              </w:rPr>
              <w:t>Staff completion of the form approximately 70% of the time, each form takes approximately 20 minutes to complete and review (estimated at $ 2,454)</w:t>
            </w:r>
          </w:p>
        </w:tc>
        <w:tc>
          <w:tcPr>
            <w:tcW w:w="18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180D" w14:paraId="148AEB88" w14:textId="77777777">
            <w:pPr>
              <w:jc w:val="center"/>
              <w:rPr>
                <w:sz w:val="20"/>
                <w:szCs w:val="20"/>
              </w:rPr>
            </w:pPr>
            <w:r>
              <w:rPr>
                <w:sz w:val="20"/>
                <w:szCs w:val="20"/>
              </w:rPr>
              <w:t>$3,290</w:t>
            </w:r>
          </w:p>
        </w:tc>
      </w:tr>
      <w:tr w14:paraId="19B0A81B" w14:textId="77777777" w:rsidTr="00AC180D">
        <w:tblPrEx>
          <w:tblW w:w="10556" w:type="dxa"/>
          <w:jc w:val="center"/>
          <w:tblCellMar>
            <w:left w:w="0" w:type="dxa"/>
            <w:right w:w="0" w:type="dxa"/>
          </w:tblCellMar>
          <w:tblLook w:val="04A0"/>
        </w:tblPrEx>
        <w:trPr>
          <w:trHeight w:val="422"/>
          <w:jc w:val="center"/>
        </w:trPr>
        <w:tc>
          <w:tcPr>
            <w:tcW w:w="8730" w:type="dxa"/>
            <w:gridSpan w:val="2"/>
            <w:tcBorders>
              <w:top w:val="nil"/>
              <w:left w:val="single" w:sz="8" w:space="0" w:color="auto"/>
              <w:bottom w:val="single" w:sz="8" w:space="0" w:color="auto"/>
              <w:right w:val="single" w:sz="8" w:space="0" w:color="auto"/>
            </w:tcBorders>
            <w:shd w:val="clear" w:color="auto" w:fill="9CC2E5"/>
            <w:noWrap/>
            <w:tcMar>
              <w:top w:w="0" w:type="dxa"/>
              <w:left w:w="108" w:type="dxa"/>
              <w:bottom w:w="0" w:type="dxa"/>
              <w:right w:w="108" w:type="dxa"/>
            </w:tcMar>
            <w:vAlign w:val="center"/>
            <w:hideMark/>
          </w:tcPr>
          <w:p w:rsidR="00AC180D" w14:paraId="6377A563" w14:textId="77777777">
            <w:pPr>
              <w:rPr>
                <w:color w:val="000000"/>
                <w:sz w:val="20"/>
                <w:szCs w:val="20"/>
              </w:rPr>
            </w:pPr>
            <w:r>
              <w:rPr>
                <w:b/>
                <w:bCs/>
                <w:color w:val="000000"/>
                <w:sz w:val="20"/>
                <w:szCs w:val="20"/>
              </w:rPr>
              <w:t>TOTAL COSTS - FEDERAL ADMINISTRATION (LCA and WH-4)</w:t>
            </w:r>
          </w:p>
        </w:tc>
        <w:tc>
          <w:tcPr>
            <w:tcW w:w="1826" w:type="dxa"/>
            <w:tcBorders>
              <w:top w:val="nil"/>
              <w:left w:val="nil"/>
              <w:bottom w:val="single" w:sz="8" w:space="0" w:color="auto"/>
              <w:right w:val="single" w:sz="8" w:space="0" w:color="auto"/>
            </w:tcBorders>
            <w:shd w:val="clear" w:color="auto" w:fill="9CC2E5"/>
            <w:noWrap/>
            <w:tcMar>
              <w:top w:w="0" w:type="dxa"/>
              <w:left w:w="108" w:type="dxa"/>
              <w:bottom w:w="0" w:type="dxa"/>
              <w:right w:w="108" w:type="dxa"/>
            </w:tcMar>
            <w:vAlign w:val="center"/>
            <w:hideMark/>
          </w:tcPr>
          <w:p w:rsidR="00AC180D" w14:paraId="0010A5AE" w14:textId="77777777">
            <w:pPr>
              <w:jc w:val="center"/>
              <w:rPr>
                <w:b/>
                <w:bCs/>
                <w:color w:val="000000"/>
                <w:sz w:val="20"/>
                <w:szCs w:val="20"/>
              </w:rPr>
            </w:pPr>
            <w:r>
              <w:rPr>
                <w:b/>
                <w:bCs/>
                <w:color w:val="000000"/>
                <w:sz w:val="20"/>
                <w:szCs w:val="20"/>
              </w:rPr>
              <w:t>$1,313,561</w:t>
            </w:r>
          </w:p>
        </w:tc>
      </w:tr>
    </w:tbl>
    <w:p w:rsidR="002364C2" w:rsidP="007F12A0" w14:paraId="43BFBEF9" w14:textId="77777777">
      <w:pPr>
        <w:tabs>
          <w:tab w:val="right" w:pos="360"/>
        </w:tabs>
        <w:autoSpaceDE w:val="0"/>
        <w:autoSpaceDN w:val="0"/>
        <w:adjustRightInd w:val="0"/>
        <w:ind w:left="540" w:hanging="540"/>
        <w:rPr>
          <w:i/>
        </w:rPr>
      </w:pPr>
    </w:p>
    <w:p w:rsidR="002364C2" w:rsidP="007F12A0" w14:paraId="0F3A2B6B" w14:textId="77777777">
      <w:pPr>
        <w:tabs>
          <w:tab w:val="right" w:pos="360"/>
        </w:tabs>
        <w:autoSpaceDE w:val="0"/>
        <w:autoSpaceDN w:val="0"/>
        <w:adjustRightInd w:val="0"/>
        <w:ind w:left="540" w:hanging="540"/>
        <w:rPr>
          <w:i/>
        </w:rPr>
      </w:pPr>
    </w:p>
    <w:p w:rsidR="00EA78D2" w:rsidRPr="00974D81" w:rsidP="007F12A0" w14:paraId="7FB7B360" w14:textId="417DB94A">
      <w:pPr>
        <w:tabs>
          <w:tab w:val="right" w:pos="360"/>
        </w:tabs>
        <w:autoSpaceDE w:val="0"/>
        <w:autoSpaceDN w:val="0"/>
        <w:adjustRightInd w:val="0"/>
        <w:ind w:left="540" w:hanging="540"/>
        <w:rPr>
          <w:i/>
        </w:rPr>
      </w:pPr>
      <w:r w:rsidRPr="00974D81">
        <w:rPr>
          <w:i/>
        </w:rPr>
        <w:t>A</w:t>
      </w:r>
      <w:r w:rsidRPr="00974D81">
        <w:rPr>
          <w:i/>
        </w:rPr>
        <w:t>15.</w:t>
      </w:r>
      <w:r w:rsidRPr="00974D81" w:rsidR="007F12A0">
        <w:rPr>
          <w:i/>
        </w:rPr>
        <w:tab/>
      </w:r>
      <w:r w:rsidRPr="00974D81">
        <w:rPr>
          <w:i/>
        </w:rPr>
        <w:t>Explain the reasons for any program changes or adjustments reported on the burden worksheet.</w:t>
      </w:r>
    </w:p>
    <w:p w:rsidR="00EA78D2" w:rsidP="00EA78D2" w14:paraId="45695685" w14:textId="77777777">
      <w:pPr>
        <w:autoSpaceDE w:val="0"/>
        <w:autoSpaceDN w:val="0"/>
        <w:adjustRightInd w:val="0"/>
      </w:pPr>
    </w:p>
    <w:p w:rsidR="00117F85" w:rsidRPr="00974D81" w:rsidP="00015E08" w14:paraId="244A7CA8" w14:textId="1075D156">
      <w:bookmarkStart w:id="16" w:name="_Hlk160095428"/>
      <w:r w:rsidRPr="00C6003C">
        <w:t>The Department</w:t>
      </w:r>
      <w:r w:rsidR="00015E08">
        <w:t xml:space="preserve"> currently proposes </w:t>
      </w:r>
      <w:r w:rsidRPr="00C6003C">
        <w:t>extensions of Form ETA-9035/9035E, Form ETA</w:t>
      </w:r>
      <w:r w:rsidR="008A6F44">
        <w:t>-</w:t>
      </w:r>
      <w:r w:rsidRPr="00C6003C">
        <w:t>9035/9035E</w:t>
      </w:r>
      <w:r w:rsidR="00C319AB">
        <w:t xml:space="preserve"> -</w:t>
      </w:r>
      <w:r w:rsidRPr="00C6003C">
        <w:t xml:space="preserve"> Appendix A, Form ETA-9035CP, and Form WH-4</w:t>
      </w:r>
      <w:r w:rsidR="00103DF8">
        <w:t xml:space="preserve"> without change.  </w:t>
      </w:r>
      <w:r w:rsidR="00015E08">
        <w:t>While there are not changes to the burden estimates associated with form changes, there are changes to the estimates based on increases in LCA filings</w:t>
      </w:r>
      <w:r w:rsidR="00610607">
        <w:t xml:space="preserve">, </w:t>
      </w:r>
      <w:r w:rsidR="00015E08">
        <w:t>decreases to WH-4 complaint filings</w:t>
      </w:r>
      <w:r w:rsidR="00610607">
        <w:t xml:space="preserve">, and </w:t>
      </w:r>
      <w:r w:rsidR="007F2AA3">
        <w:t xml:space="preserve">significant </w:t>
      </w:r>
      <w:r w:rsidR="00610607">
        <w:t>changes to the calculations because of the now standardized use of the</w:t>
      </w:r>
      <w:r w:rsidR="00566F8C">
        <w:t xml:space="preserve"> hourly compensation rate for the </w:t>
      </w:r>
      <w:r w:rsidR="00610607">
        <w:t>Human Resources Specialist classification, rather than</w:t>
      </w:r>
      <w:r w:rsidR="00566F8C">
        <w:t xml:space="preserve"> the</w:t>
      </w:r>
      <w:r w:rsidR="00610607">
        <w:t xml:space="preserve"> Human Resources Manager</w:t>
      </w:r>
      <w:r w:rsidR="00566F8C">
        <w:t xml:space="preserve"> classification</w:t>
      </w:r>
      <w:r w:rsidR="00015E08">
        <w:t xml:space="preserve">.  </w:t>
      </w:r>
    </w:p>
    <w:p w:rsidR="00117F85" w:rsidP="00D16B3A" w14:paraId="39A8DDB1" w14:textId="77777777">
      <w:pPr>
        <w:pStyle w:val="NoSpacing"/>
        <w:rPr>
          <w:highlight w:val="magenta"/>
        </w:rPr>
      </w:pPr>
    </w:p>
    <w:p w:rsidR="00117F85" w:rsidP="00D16B3A" w14:paraId="68F7A6F9" w14:textId="2D50BF16">
      <w:pPr>
        <w:pStyle w:val="NoSpacing"/>
      </w:pPr>
      <w:r w:rsidRPr="00566F8C">
        <w:t xml:space="preserve">The Department projects that the annual burden for LCA information collections will </w:t>
      </w:r>
      <w:r w:rsidRPr="00566F8C">
        <w:t xml:space="preserve">increase </w:t>
      </w:r>
      <w:r w:rsidRPr="00566F8C">
        <w:t xml:space="preserve">from </w:t>
      </w:r>
      <w:r w:rsidRPr="00566F8C" w:rsidR="00864CCB">
        <w:t>834,</w:t>
      </w:r>
      <w:r w:rsidRPr="00566F8C" w:rsidR="0036172D">
        <w:t>305</w:t>
      </w:r>
      <w:r w:rsidRPr="00566F8C">
        <w:t xml:space="preserve"> to 843,989</w:t>
      </w:r>
      <w:r w:rsidRPr="00566F8C" w:rsidR="00864CCB">
        <w:t xml:space="preserve"> </w:t>
      </w:r>
      <w:r w:rsidRPr="00566F8C" w:rsidR="00C26630">
        <w:t>burden hours</w:t>
      </w:r>
      <w:r w:rsidRPr="00566F8C" w:rsidR="0036172D">
        <w:t xml:space="preserve">.  </w:t>
      </w:r>
      <w:r w:rsidRPr="00566F8C">
        <w:t>The Department makes this projection based on</w:t>
      </w:r>
      <w:r w:rsidRPr="00566F8C">
        <w:t xml:space="preserve"> an increase of LCA </w:t>
      </w:r>
      <w:r w:rsidRPr="00566F8C" w:rsidR="00C26630">
        <w:t xml:space="preserve">filings received </w:t>
      </w:r>
      <w:r w:rsidRPr="00566F8C">
        <w:t xml:space="preserve">in FY 2021, 2022, and 2023, which increased from the previous estimate of 543,085 to the new estimate of 550,028.  </w:t>
      </w:r>
      <w:r w:rsidRPr="00566F8C" w:rsidR="00566F8C">
        <w:t xml:space="preserve">There is a decrease in the projected estimates for the WH-4 complaint form from 218 filings to 97 filings, also based on filings received over the same </w:t>
      </w:r>
      <w:r w:rsidR="00566F8C">
        <w:t xml:space="preserve">fiscal </w:t>
      </w:r>
      <w:r w:rsidRPr="00566F8C" w:rsidR="00566F8C">
        <w:t>year timeframe.</w:t>
      </w:r>
      <w:r w:rsidR="00566F8C">
        <w:t xml:space="preserve"> </w:t>
      </w:r>
      <w:r w:rsidRPr="00566F8C" w:rsidR="00566F8C">
        <w:t xml:space="preserve"> </w:t>
      </w:r>
      <w:r w:rsidRPr="00566F8C">
        <w:t>(</w:t>
      </w:r>
      <w:r w:rsidRPr="007F2AA3">
        <w:rPr>
          <w:i/>
        </w:rPr>
        <w:t>See</w:t>
      </w:r>
      <w:r w:rsidRPr="00566F8C">
        <w:rPr>
          <w:iCs/>
        </w:rPr>
        <w:t xml:space="preserve"> </w:t>
      </w:r>
      <w:r w:rsidR="007F2AA3">
        <w:t xml:space="preserve">Section </w:t>
      </w:r>
      <w:r w:rsidRPr="00566F8C">
        <w:t>A</w:t>
      </w:r>
      <w:r w:rsidR="002F2C0A">
        <w:t>.</w:t>
      </w:r>
      <w:r w:rsidRPr="00566F8C">
        <w:t>12</w:t>
      </w:r>
      <w:r w:rsidR="007F2AA3">
        <w:t xml:space="preserve"> above</w:t>
      </w:r>
      <w:r w:rsidRPr="00566F8C" w:rsidR="004849AB">
        <w:t>.</w:t>
      </w:r>
      <w:r w:rsidRPr="00566F8C">
        <w:t xml:space="preserve">)  </w:t>
      </w:r>
      <w:r w:rsidRPr="00566F8C" w:rsidR="00566F8C">
        <w:t>Factoring in the changes to the projected filings for the LCA and WH-4 forms</w:t>
      </w:r>
      <w:r w:rsidRPr="00566F8C">
        <w:t xml:space="preserve">, there is an increase </w:t>
      </w:r>
      <w:r w:rsidRPr="00566F8C" w:rsidR="00572691">
        <w:t>in the estimated number of burden hours from 834,305</w:t>
      </w:r>
      <w:r w:rsidRPr="00566F8C">
        <w:t xml:space="preserve"> to 843,989.</w:t>
      </w:r>
    </w:p>
    <w:p w:rsidR="007F2AA3" w:rsidRPr="00566F8C" w:rsidP="00D16B3A" w14:paraId="40AB0E2B" w14:textId="77777777">
      <w:pPr>
        <w:pStyle w:val="NoSpacing"/>
      </w:pPr>
    </w:p>
    <w:p w:rsidR="005F6E73" w:rsidP="00403DCE" w14:paraId="4F86BBDB" w14:textId="4BFE7CF2">
      <w:pPr>
        <w:tabs>
          <w:tab w:val="left" w:pos="-1440"/>
        </w:tabs>
        <w:rPr>
          <w:color w:val="000000" w:themeColor="text1"/>
        </w:rPr>
      </w:pPr>
      <w:r w:rsidRPr="007F2AA3">
        <w:rPr>
          <w:rFonts w:cs="Arial"/>
          <w:bCs/>
          <w:color w:val="000000"/>
        </w:rPr>
        <w:t>As mentioned above</w:t>
      </w:r>
      <w:r w:rsidRPr="007F2AA3" w:rsidR="00015E08">
        <w:rPr>
          <w:rFonts w:cs="Arial"/>
          <w:bCs/>
          <w:color w:val="000000"/>
        </w:rPr>
        <w:t xml:space="preserve">, there is a significant decrease in the estimated burden costs </w:t>
      </w:r>
      <w:r w:rsidRPr="007F2AA3">
        <w:rPr>
          <w:rFonts w:cs="Arial"/>
          <w:bCs/>
          <w:color w:val="000000"/>
        </w:rPr>
        <w:t xml:space="preserve">to respondents </w:t>
      </w:r>
      <w:r w:rsidRPr="007F2AA3" w:rsidR="00015E08">
        <w:rPr>
          <w:rFonts w:cs="Arial"/>
          <w:bCs/>
          <w:color w:val="000000"/>
        </w:rPr>
        <w:t xml:space="preserve">resulting from the Department’s change </w:t>
      </w:r>
      <w:r w:rsidRPr="007F2AA3">
        <w:rPr>
          <w:rFonts w:cs="Arial"/>
          <w:bCs/>
          <w:color w:val="000000"/>
        </w:rPr>
        <w:t>of the average hourly compensation rate for the</w:t>
      </w:r>
      <w:r w:rsidRPr="007F2AA3" w:rsidR="00015E08">
        <w:rPr>
          <w:rFonts w:cs="Arial"/>
          <w:bCs/>
          <w:color w:val="000000"/>
        </w:rPr>
        <w:t xml:space="preserve"> burden calculations</w:t>
      </w:r>
      <w:r w:rsidRPr="007F2AA3">
        <w:rPr>
          <w:rFonts w:cs="Arial"/>
          <w:bCs/>
          <w:color w:val="000000"/>
        </w:rPr>
        <w:t>.  T</w:t>
      </w:r>
      <w:r w:rsidRPr="007F2AA3" w:rsidR="00C6003C">
        <w:rPr>
          <w:rFonts w:cs="Arial"/>
          <w:bCs/>
          <w:color w:val="000000"/>
        </w:rPr>
        <w:t xml:space="preserve">he Department’s </w:t>
      </w:r>
      <w:r w:rsidRPr="007F2AA3">
        <w:rPr>
          <w:color w:val="000000" w:themeColor="text1"/>
        </w:rPr>
        <w:t xml:space="preserve">OFLC </w:t>
      </w:r>
      <w:r w:rsidRPr="007F2AA3" w:rsidR="008A74CD">
        <w:rPr>
          <w:color w:val="000000" w:themeColor="text1"/>
        </w:rPr>
        <w:t xml:space="preserve">is standardizing </w:t>
      </w:r>
      <w:r w:rsidRPr="007F2AA3">
        <w:rPr>
          <w:color w:val="000000" w:themeColor="text1"/>
        </w:rPr>
        <w:t>its</w:t>
      </w:r>
      <w:r w:rsidRPr="007F2AA3" w:rsidR="00103DF8">
        <w:rPr>
          <w:color w:val="000000" w:themeColor="text1"/>
        </w:rPr>
        <w:t xml:space="preserve"> information collections</w:t>
      </w:r>
      <w:r w:rsidRPr="007F2AA3">
        <w:rPr>
          <w:color w:val="000000" w:themeColor="text1"/>
        </w:rPr>
        <w:t>, as the job duties required for the burdens identified in the</w:t>
      </w:r>
      <w:r w:rsidRPr="007F2AA3" w:rsidR="00103DF8">
        <w:rPr>
          <w:color w:val="000000" w:themeColor="text1"/>
        </w:rPr>
        <w:t xml:space="preserve"> information collection</w:t>
      </w:r>
      <w:r w:rsidRPr="007F2AA3">
        <w:rPr>
          <w:color w:val="000000" w:themeColor="text1"/>
        </w:rPr>
        <w:t xml:space="preserve"> more appropriately fall under the Standard Occupational Classification (SOC) Code 13-1071, Human Resources Specialist, rather than SOC Code 11-3121, H</w:t>
      </w:r>
      <w:r w:rsidRPr="007F2AA3" w:rsidR="00610607">
        <w:rPr>
          <w:color w:val="000000" w:themeColor="text1"/>
        </w:rPr>
        <w:t>uman Resources</w:t>
      </w:r>
      <w:r w:rsidRPr="007F2AA3">
        <w:rPr>
          <w:color w:val="000000" w:themeColor="text1"/>
        </w:rPr>
        <w:t xml:space="preserve"> Manager.  As the difference in the mean hourly wages between the two occupations is</w:t>
      </w:r>
      <w:r w:rsidRPr="007F2AA3" w:rsidR="008A74CD">
        <w:rPr>
          <w:color w:val="000000" w:themeColor="text1"/>
        </w:rPr>
        <w:t xml:space="preserve"> significant</w:t>
      </w:r>
      <w:r w:rsidRPr="007F2AA3">
        <w:rPr>
          <w:color w:val="000000" w:themeColor="text1"/>
        </w:rPr>
        <w:t xml:space="preserve">, the change in the hourly rate between the two occupations has resulted in a </w:t>
      </w:r>
      <w:r w:rsidRPr="007F2AA3" w:rsidR="008A74CD">
        <w:rPr>
          <w:color w:val="000000" w:themeColor="text1"/>
        </w:rPr>
        <w:t xml:space="preserve">significant </w:t>
      </w:r>
      <w:r w:rsidRPr="007F2AA3">
        <w:rPr>
          <w:color w:val="000000" w:themeColor="text1"/>
        </w:rPr>
        <w:t xml:space="preserve">decrease in total burden costs </w:t>
      </w:r>
      <w:r w:rsidRPr="007F2AA3">
        <w:rPr>
          <w:color w:val="000000" w:themeColor="text1"/>
        </w:rPr>
        <w:t xml:space="preserve">as </w:t>
      </w:r>
      <w:r w:rsidRPr="007F2AA3">
        <w:rPr>
          <w:color w:val="000000" w:themeColor="text1"/>
        </w:rPr>
        <w:t xml:space="preserve">compared to previous years, despite the hourly program burdens increasing over the years, as it is </w:t>
      </w:r>
      <w:r w:rsidRPr="007F2AA3">
        <w:rPr>
          <w:color w:val="000000" w:themeColor="text1"/>
        </w:rPr>
        <w:t xml:space="preserve">affected by </w:t>
      </w:r>
      <w:r w:rsidRPr="007F2AA3">
        <w:rPr>
          <w:color w:val="000000" w:themeColor="text1"/>
        </w:rPr>
        <w:t xml:space="preserve">the volume of program applications.  In addition, ETA is also standardizing the applicable benefits factor that applies for its </w:t>
      </w:r>
      <w:r w:rsidRPr="007F2AA3" w:rsidR="00103DF8">
        <w:rPr>
          <w:color w:val="000000" w:themeColor="text1"/>
        </w:rPr>
        <w:t>information collections</w:t>
      </w:r>
      <w:r w:rsidRPr="007F2AA3">
        <w:rPr>
          <w:color w:val="000000" w:themeColor="text1"/>
        </w:rPr>
        <w:t>.  The benefits factor is determined by dividing the most recent BLS Employer Costs for Employee Compensation (ECEC) by the wages and salary costs for a worker population.  BLS provides three ECEC rates based on the worker population: (1) civilian workers; (2) private sector workers; and (3) state and local (</w:t>
      </w:r>
      <w:r w:rsidRPr="007F2AA3">
        <w:rPr>
          <w:i/>
          <w:iCs/>
          <w:color w:val="000000" w:themeColor="text1"/>
        </w:rPr>
        <w:t>i.e.</w:t>
      </w:r>
      <w:r w:rsidRPr="007F2AA3">
        <w:rPr>
          <w:color w:val="000000" w:themeColor="text1"/>
        </w:rPr>
        <w:t>, certain public sector) workers.  OFLC has determined that the private sector worker ECEC is correct, as the burdens listed in A.12 being performed by H</w:t>
      </w:r>
      <w:r w:rsidRPr="007F2AA3" w:rsidR="00610607">
        <w:rPr>
          <w:color w:val="000000" w:themeColor="text1"/>
        </w:rPr>
        <w:t>uman Resources</w:t>
      </w:r>
      <w:r w:rsidRPr="007F2AA3">
        <w:rPr>
          <w:color w:val="000000" w:themeColor="text1"/>
        </w:rPr>
        <w:t xml:space="preserve"> Specialists are almost exclusively performed by employers in the private sector.  Accordingly, for this PRA package, as explained above, the hourly rate changed from $8</w:t>
      </w:r>
      <w:r w:rsidRPr="007F2AA3">
        <w:rPr>
          <w:color w:val="000000" w:themeColor="text1"/>
        </w:rPr>
        <w:t>4</w:t>
      </w:r>
      <w:r w:rsidRPr="007F2AA3">
        <w:rPr>
          <w:color w:val="000000" w:themeColor="text1"/>
        </w:rPr>
        <w:t>.</w:t>
      </w:r>
      <w:r w:rsidRPr="007F2AA3">
        <w:rPr>
          <w:color w:val="000000" w:themeColor="text1"/>
        </w:rPr>
        <w:t>89</w:t>
      </w:r>
      <w:r w:rsidRPr="007F2AA3">
        <w:rPr>
          <w:color w:val="000000" w:themeColor="text1"/>
        </w:rPr>
        <w:t xml:space="preserve"> in the previous Supporting Statement for H</w:t>
      </w:r>
      <w:r w:rsidRPr="007F2AA3" w:rsidR="00610607">
        <w:rPr>
          <w:color w:val="000000" w:themeColor="text1"/>
        </w:rPr>
        <w:t>uman Resources</w:t>
      </w:r>
      <w:r w:rsidRPr="007F2AA3">
        <w:rPr>
          <w:color w:val="000000" w:themeColor="text1"/>
        </w:rPr>
        <w:t xml:space="preserve"> Directors to the new rate of $49.71 for H</w:t>
      </w:r>
      <w:r w:rsidRPr="007F2AA3" w:rsidR="00610607">
        <w:rPr>
          <w:color w:val="000000" w:themeColor="text1"/>
        </w:rPr>
        <w:t>uman Resources</w:t>
      </w:r>
      <w:r w:rsidRPr="007F2AA3">
        <w:rPr>
          <w:color w:val="000000" w:themeColor="text1"/>
        </w:rPr>
        <w:t xml:space="preserve"> Specialists.  This reduction in the hourly rate of $35.</w:t>
      </w:r>
      <w:r w:rsidRPr="007F2AA3" w:rsidR="00A93A5E">
        <w:rPr>
          <w:color w:val="000000" w:themeColor="text1"/>
        </w:rPr>
        <w:t>18</w:t>
      </w:r>
      <w:r w:rsidRPr="007F2AA3">
        <w:rPr>
          <w:color w:val="000000" w:themeColor="text1"/>
        </w:rPr>
        <w:t xml:space="preserve"> ($8</w:t>
      </w:r>
      <w:r w:rsidRPr="007F2AA3" w:rsidR="00A93A5E">
        <w:rPr>
          <w:color w:val="000000" w:themeColor="text1"/>
        </w:rPr>
        <w:t>4.89</w:t>
      </w:r>
      <w:r w:rsidRPr="007F2AA3">
        <w:rPr>
          <w:color w:val="000000" w:themeColor="text1"/>
        </w:rPr>
        <w:t xml:space="preserve"> - $49.71) per burden hour for human resources activities is responsible for the substantial decrease in total burden costs, which is down $</w:t>
      </w:r>
      <w:r w:rsidRPr="007F2AA3" w:rsidR="00103DF8">
        <w:rPr>
          <w:color w:val="000000" w:themeColor="text1"/>
        </w:rPr>
        <w:t>28,869,457</w:t>
      </w:r>
      <w:r w:rsidRPr="007F2AA3" w:rsidR="008A74CD">
        <w:rPr>
          <w:color w:val="000000" w:themeColor="text1"/>
        </w:rPr>
        <w:t xml:space="preserve"> </w:t>
      </w:r>
      <w:r w:rsidRPr="007F2AA3">
        <w:rPr>
          <w:color w:val="000000" w:themeColor="text1"/>
        </w:rPr>
        <w:t>under this IC</w:t>
      </w:r>
      <w:r w:rsidRPr="007F2AA3" w:rsidR="00103DF8">
        <w:rPr>
          <w:color w:val="000000" w:themeColor="text1"/>
        </w:rPr>
        <w:t>R</w:t>
      </w:r>
      <w:r w:rsidRPr="007F2AA3">
        <w:rPr>
          <w:color w:val="000000" w:themeColor="text1"/>
        </w:rPr>
        <w:t>.</w:t>
      </w:r>
      <w:r w:rsidRPr="00015E08">
        <w:rPr>
          <w:color w:val="000000" w:themeColor="text1"/>
        </w:rPr>
        <w:t xml:space="preserve">  </w:t>
      </w:r>
    </w:p>
    <w:p w:rsidR="00200292" w:rsidRPr="00015E08" w:rsidP="00403DCE" w14:paraId="599BD7E7" w14:textId="77777777">
      <w:pPr>
        <w:tabs>
          <w:tab w:val="left" w:pos="-1440"/>
        </w:tabs>
      </w:pPr>
    </w:p>
    <w:p w:rsidR="005F6E73" w:rsidRPr="00015E08" w:rsidP="0026430A" w14:paraId="48F5B770" w14:textId="77777777">
      <w:pPr>
        <w:autoSpaceDE w:val="0"/>
        <w:autoSpaceDN w:val="0"/>
        <w:adjustRightInd w:val="0"/>
        <w:rPr>
          <w:rFonts w:cs="Arial"/>
          <w:b/>
          <w:color w:val="000000"/>
        </w:rPr>
      </w:pPr>
    </w:p>
    <w:tbl>
      <w:tblPr>
        <w:tblW w:w="9332" w:type="dxa"/>
        <w:jc w:val="center"/>
        <w:tblCellMar>
          <w:left w:w="0" w:type="dxa"/>
          <w:right w:w="0" w:type="dxa"/>
        </w:tblCellMar>
        <w:tblLook w:val="04A0"/>
      </w:tblPr>
      <w:tblGrid>
        <w:gridCol w:w="2551"/>
        <w:gridCol w:w="2061"/>
        <w:gridCol w:w="2124"/>
        <w:gridCol w:w="2596"/>
      </w:tblGrid>
      <w:tr w14:paraId="32911B36" w14:textId="77777777" w:rsidTr="00E84B9C">
        <w:tblPrEx>
          <w:tblW w:w="9332" w:type="dxa"/>
          <w:jc w:val="center"/>
          <w:tblCellMar>
            <w:left w:w="0" w:type="dxa"/>
            <w:right w:w="0" w:type="dxa"/>
          </w:tblCellMar>
          <w:tblLook w:val="04A0"/>
        </w:tblPrEx>
        <w:trPr>
          <w:trHeight w:val="288"/>
          <w:jc w:val="center"/>
        </w:trPr>
        <w:tc>
          <w:tcPr>
            <w:tcW w:w="2551" w:type="dxa"/>
            <w:tcBorders>
              <w:top w:val="single" w:sz="8" w:space="0" w:color="auto"/>
              <w:left w:val="single" w:sz="8"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117F85" w:rsidRPr="00015E08" w:rsidP="002311D3" w14:paraId="46A4D10B" w14:textId="6A424E49">
            <w:pPr>
              <w:jc w:val="center"/>
              <w:rPr>
                <w:b/>
                <w:bCs/>
                <w:i/>
                <w:iCs/>
                <w:lang w:eastAsia="ja-JP"/>
              </w:rPr>
            </w:pPr>
            <w:r w:rsidRPr="00015E08">
              <w:rPr>
                <w:b/>
                <w:bCs/>
                <w:lang w:eastAsia="ja-JP"/>
              </w:rPr>
              <w:t xml:space="preserve">OMB Control Number </w:t>
            </w:r>
            <w:r w:rsidRPr="008D1A87">
              <w:rPr>
                <w:b/>
                <w:bCs/>
                <w:lang w:eastAsia="ja-JP"/>
              </w:rPr>
              <w:t>(1205-</w:t>
            </w:r>
            <w:r w:rsidRPr="008D1A87" w:rsidR="00103DF8">
              <w:rPr>
                <w:b/>
                <w:bCs/>
                <w:lang w:eastAsia="ja-JP"/>
              </w:rPr>
              <w:t>0310</w:t>
            </w:r>
            <w:r w:rsidRPr="008D1A87">
              <w:rPr>
                <w:b/>
                <w:bCs/>
                <w:lang w:eastAsia="ja-JP"/>
              </w:rPr>
              <w:t>)</w:t>
            </w:r>
          </w:p>
        </w:tc>
        <w:tc>
          <w:tcPr>
            <w:tcW w:w="2061"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117F85" w:rsidRPr="00015E08" w:rsidP="002311D3" w14:paraId="3BF47873" w14:textId="77777777">
            <w:pPr>
              <w:jc w:val="center"/>
              <w:rPr>
                <w:b/>
                <w:bCs/>
                <w:lang w:eastAsia="ja-JP"/>
              </w:rPr>
            </w:pPr>
            <w:r w:rsidRPr="00015E08">
              <w:rPr>
                <w:b/>
                <w:bCs/>
                <w:lang w:eastAsia="ja-JP"/>
              </w:rPr>
              <w:t>Previous Estimates</w:t>
            </w:r>
          </w:p>
        </w:tc>
        <w:tc>
          <w:tcPr>
            <w:tcW w:w="2124"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117F85" w:rsidRPr="00015E08" w:rsidP="002311D3" w14:paraId="2CBDAB5F" w14:textId="77777777">
            <w:pPr>
              <w:jc w:val="center"/>
              <w:rPr>
                <w:b/>
                <w:bCs/>
                <w:lang w:eastAsia="ja-JP"/>
              </w:rPr>
            </w:pPr>
            <w:r w:rsidRPr="00015E08">
              <w:rPr>
                <w:b/>
                <w:bCs/>
                <w:lang w:eastAsia="ja-JP"/>
              </w:rPr>
              <w:t>Current Estimates</w:t>
            </w:r>
          </w:p>
        </w:tc>
        <w:tc>
          <w:tcPr>
            <w:tcW w:w="2596" w:type="dxa"/>
            <w:tcBorders>
              <w:top w:val="single" w:sz="8" w:space="0" w:color="auto"/>
              <w:left w:val="nil"/>
              <w:bottom w:val="single" w:sz="8" w:space="0" w:color="auto"/>
              <w:right w:val="single" w:sz="8" w:space="0" w:color="auto"/>
            </w:tcBorders>
            <w:shd w:val="clear" w:color="auto" w:fill="9CC2E5" w:themeFill="accent1" w:themeFillTint="99"/>
            <w:tcMar>
              <w:top w:w="0" w:type="dxa"/>
              <w:left w:w="108" w:type="dxa"/>
              <w:bottom w:w="0" w:type="dxa"/>
              <w:right w:w="108" w:type="dxa"/>
            </w:tcMar>
            <w:vAlign w:val="center"/>
            <w:hideMark/>
          </w:tcPr>
          <w:p w:rsidR="00117F85" w:rsidRPr="00015E08" w:rsidP="002311D3" w14:paraId="03641BF4" w14:textId="77777777">
            <w:pPr>
              <w:jc w:val="center"/>
              <w:rPr>
                <w:b/>
                <w:bCs/>
                <w:lang w:eastAsia="ja-JP"/>
              </w:rPr>
            </w:pPr>
            <w:r w:rsidRPr="00015E08">
              <w:rPr>
                <w:b/>
                <w:bCs/>
                <w:lang w:eastAsia="ja-JP"/>
              </w:rPr>
              <w:t>Change</w:t>
            </w:r>
          </w:p>
        </w:tc>
      </w:tr>
      <w:tr w14:paraId="5F3CE9AC" w14:textId="77777777" w:rsidTr="00E84B9C">
        <w:tblPrEx>
          <w:tblW w:w="9332" w:type="dxa"/>
          <w:jc w:val="center"/>
          <w:tblCellMar>
            <w:left w:w="0" w:type="dxa"/>
            <w:right w:w="0" w:type="dxa"/>
          </w:tblCellMar>
          <w:tblLook w:val="04A0"/>
        </w:tblPrEx>
        <w:trPr>
          <w:trHeight w:val="360"/>
          <w:jc w:val="center"/>
        </w:trPr>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F85" w:rsidRPr="00015E08" w:rsidP="00E84B9C" w14:paraId="03CDA99B" w14:textId="77777777">
            <w:pPr>
              <w:jc w:val="center"/>
              <w:rPr>
                <w:lang w:eastAsia="ja-JP"/>
              </w:rPr>
            </w:pPr>
            <w:r w:rsidRPr="00015E08">
              <w:rPr>
                <w:lang w:eastAsia="ja-JP"/>
              </w:rPr>
              <w:t>Annual Responses</w:t>
            </w:r>
          </w:p>
        </w:tc>
        <w:tc>
          <w:tcPr>
            <w:tcW w:w="20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03F061A0" w14:textId="4BC2DF25">
            <w:pPr>
              <w:jc w:val="center"/>
              <w:rPr>
                <w:lang w:eastAsia="ja-JP"/>
              </w:rPr>
            </w:pPr>
            <w:r w:rsidRPr="00015E08">
              <w:rPr>
                <w:lang w:eastAsia="ja-JP"/>
              </w:rPr>
              <w:t>635,520</w:t>
            </w:r>
          </w:p>
        </w:tc>
        <w:tc>
          <w:tcPr>
            <w:tcW w:w="21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37DDE116" w14:textId="0DF76C68">
            <w:pPr>
              <w:jc w:val="center"/>
              <w:rPr>
                <w:lang w:eastAsia="ja-JP"/>
              </w:rPr>
            </w:pPr>
            <w:r w:rsidRPr="00015E08">
              <w:rPr>
                <w:lang w:eastAsia="ja-JP"/>
              </w:rPr>
              <w:t>645,353</w:t>
            </w:r>
          </w:p>
        </w:tc>
        <w:tc>
          <w:tcPr>
            <w:tcW w:w="259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5610D80A" w14:textId="68067CB7">
            <w:pPr>
              <w:jc w:val="center"/>
              <w:rPr>
                <w:lang w:eastAsia="ja-JP"/>
              </w:rPr>
            </w:pPr>
            <w:r w:rsidRPr="00015E08">
              <w:rPr>
                <w:lang w:eastAsia="ja-JP"/>
              </w:rPr>
              <w:t xml:space="preserve">+ </w:t>
            </w:r>
            <w:r w:rsidRPr="00015E08" w:rsidR="00015E08">
              <w:rPr>
                <w:lang w:eastAsia="ja-JP"/>
              </w:rPr>
              <w:t>9,833</w:t>
            </w:r>
          </w:p>
        </w:tc>
      </w:tr>
      <w:tr w14:paraId="24C328CE" w14:textId="77777777" w:rsidTr="00E84B9C">
        <w:tblPrEx>
          <w:tblW w:w="9332" w:type="dxa"/>
          <w:jc w:val="center"/>
          <w:tblCellMar>
            <w:left w:w="0" w:type="dxa"/>
            <w:right w:w="0" w:type="dxa"/>
          </w:tblCellMar>
          <w:tblLook w:val="04A0"/>
        </w:tblPrEx>
        <w:trPr>
          <w:trHeight w:val="360"/>
          <w:jc w:val="center"/>
        </w:trPr>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F85" w:rsidRPr="00015E08" w:rsidP="00E84B9C" w14:paraId="3EDD56DB" w14:textId="77777777">
            <w:pPr>
              <w:jc w:val="center"/>
              <w:rPr>
                <w:lang w:eastAsia="ja-JP"/>
              </w:rPr>
            </w:pPr>
            <w:r w:rsidRPr="00015E08">
              <w:rPr>
                <w:lang w:eastAsia="ja-JP"/>
              </w:rPr>
              <w:t>Burden Hours</w:t>
            </w:r>
          </w:p>
        </w:tc>
        <w:tc>
          <w:tcPr>
            <w:tcW w:w="20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4C59F490" w14:textId="5BEB5564">
            <w:pPr>
              <w:jc w:val="center"/>
              <w:rPr>
                <w:lang w:eastAsia="ja-JP"/>
              </w:rPr>
            </w:pPr>
            <w:r w:rsidRPr="00015E08">
              <w:rPr>
                <w:lang w:eastAsia="ja-JP"/>
              </w:rPr>
              <w:t>834,305</w:t>
            </w:r>
          </w:p>
        </w:tc>
        <w:tc>
          <w:tcPr>
            <w:tcW w:w="21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32080C75" w14:textId="6E37C028">
            <w:pPr>
              <w:jc w:val="center"/>
              <w:rPr>
                <w:lang w:eastAsia="ja-JP"/>
              </w:rPr>
            </w:pPr>
            <w:r w:rsidRPr="00015E08">
              <w:rPr>
                <w:lang w:eastAsia="ja-JP"/>
              </w:rPr>
              <w:t>843,989</w:t>
            </w:r>
          </w:p>
        </w:tc>
        <w:tc>
          <w:tcPr>
            <w:tcW w:w="259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79D2BDAA" w14:textId="6BD3AEC6">
            <w:pPr>
              <w:jc w:val="center"/>
              <w:rPr>
                <w:lang w:eastAsia="ja-JP"/>
              </w:rPr>
            </w:pPr>
            <w:r w:rsidRPr="00015E08">
              <w:rPr>
                <w:lang w:eastAsia="ja-JP"/>
              </w:rPr>
              <w:t>+</w:t>
            </w:r>
            <w:r w:rsidRPr="00015E08" w:rsidR="00015E08">
              <w:rPr>
                <w:lang w:eastAsia="ja-JP"/>
              </w:rPr>
              <w:t>9,684</w:t>
            </w:r>
          </w:p>
        </w:tc>
      </w:tr>
      <w:tr w14:paraId="02AD34D2" w14:textId="77777777" w:rsidTr="00E84B9C">
        <w:tblPrEx>
          <w:tblW w:w="9332" w:type="dxa"/>
          <w:jc w:val="center"/>
          <w:tblCellMar>
            <w:left w:w="0" w:type="dxa"/>
            <w:right w:w="0" w:type="dxa"/>
          </w:tblCellMar>
          <w:tblLook w:val="04A0"/>
        </w:tblPrEx>
        <w:trPr>
          <w:trHeight w:val="360"/>
          <w:jc w:val="center"/>
        </w:trPr>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7F85" w:rsidRPr="00015E08" w:rsidP="00E84B9C" w14:paraId="6E013F06" w14:textId="2E1C3C4E">
            <w:pPr>
              <w:jc w:val="center"/>
              <w:rPr>
                <w:lang w:eastAsia="ja-JP"/>
              </w:rPr>
            </w:pPr>
            <w:r w:rsidRPr="00015E08">
              <w:rPr>
                <w:lang w:eastAsia="ja-JP"/>
              </w:rPr>
              <w:t>Cost of Time</w:t>
            </w:r>
          </w:p>
        </w:tc>
        <w:tc>
          <w:tcPr>
            <w:tcW w:w="206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40DBC15D" w14:textId="32E4BFAB">
            <w:pPr>
              <w:jc w:val="center"/>
              <w:rPr>
                <w:lang w:eastAsia="ja-JP"/>
              </w:rPr>
            </w:pPr>
            <w:r w:rsidRPr="00015E08">
              <w:rPr>
                <w:lang w:eastAsia="ja-JP"/>
              </w:rPr>
              <w:t>$70,824,150</w:t>
            </w:r>
          </w:p>
        </w:tc>
        <w:tc>
          <w:tcPr>
            <w:tcW w:w="212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4995F41C" w14:textId="0C99BF97">
            <w:pPr>
              <w:jc w:val="center"/>
              <w:rPr>
                <w:lang w:eastAsia="ja-JP"/>
              </w:rPr>
            </w:pPr>
            <w:r w:rsidRPr="00015E08">
              <w:rPr>
                <w:lang w:eastAsia="ja-JP"/>
              </w:rPr>
              <w:t>$41,954,693</w:t>
            </w:r>
          </w:p>
        </w:tc>
        <w:tc>
          <w:tcPr>
            <w:tcW w:w="259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17F85" w:rsidRPr="00015E08" w:rsidP="00E84B9C" w14:paraId="18C2C285" w14:textId="55084159">
            <w:pPr>
              <w:jc w:val="center"/>
              <w:rPr>
                <w:lang w:eastAsia="ja-JP"/>
              </w:rPr>
            </w:pPr>
            <w:r>
              <w:rPr>
                <w:lang w:eastAsia="ja-JP"/>
              </w:rPr>
              <w:t>-</w:t>
            </w:r>
            <w:r w:rsidR="00751B1A">
              <w:rPr>
                <w:lang w:eastAsia="ja-JP"/>
              </w:rPr>
              <w:t xml:space="preserve"> </w:t>
            </w:r>
            <w:r w:rsidRPr="00015E08" w:rsidR="00015E08">
              <w:rPr>
                <w:lang w:eastAsia="ja-JP"/>
              </w:rPr>
              <w:t>$28,869,457</w:t>
            </w:r>
          </w:p>
        </w:tc>
      </w:tr>
      <w:bookmarkEnd w:id="16"/>
    </w:tbl>
    <w:p w:rsidR="005F6E73" w:rsidRPr="00974D81" w:rsidP="0026430A" w14:paraId="4AC74BFB" w14:textId="77777777">
      <w:pPr>
        <w:autoSpaceDE w:val="0"/>
        <w:autoSpaceDN w:val="0"/>
        <w:adjustRightInd w:val="0"/>
        <w:rPr>
          <w:rFonts w:cs="Arial"/>
          <w:b/>
          <w:color w:val="000000"/>
        </w:rPr>
      </w:pPr>
    </w:p>
    <w:p w:rsidR="00EA78D2" w:rsidRPr="00974D81" w:rsidP="0046592A" w14:paraId="533AD443" w14:textId="77777777">
      <w:pPr>
        <w:pStyle w:val="NoSpacing"/>
      </w:pPr>
      <w:r w:rsidRPr="00974D81">
        <w:rPr>
          <w:i/>
        </w:rPr>
        <w:t>A</w:t>
      </w:r>
      <w:r w:rsidRPr="00974D81">
        <w:rPr>
          <w:i/>
        </w:rPr>
        <w:t>16.</w:t>
      </w:r>
      <w:r w:rsidRPr="00974D81" w:rsidR="00030FA0">
        <w:rPr>
          <w:i/>
        </w:rPr>
        <w:tab/>
      </w:r>
      <w:r w:rsidRPr="00974D81">
        <w:rPr>
          <w:i/>
        </w:rPr>
        <w:t>For collections of information whose results will be published, outline plans for tabulation and publication</w:t>
      </w:r>
      <w:r w:rsidRPr="00974D81" w:rsidR="00F25EFF">
        <w:rPr>
          <w:i/>
        </w:rPr>
        <w:t xml:space="preserve">.  </w:t>
      </w:r>
      <w:r w:rsidRPr="00974D81">
        <w:rPr>
          <w:i/>
        </w:rPr>
        <w:t xml:space="preserve">Address any complex analytical techniques that will be used. </w:t>
      </w:r>
      <w:r w:rsidRPr="00974D81" w:rsidR="00216406">
        <w:rPr>
          <w:i/>
        </w:rPr>
        <w:t xml:space="preserve"> </w:t>
      </w:r>
      <w:r w:rsidRPr="00974D81">
        <w:rPr>
          <w:i/>
        </w:rPr>
        <w:t>Provide the time schedule for the entire project, including beginning and ending dates of the collection of information, completion of report, publication dates, and other actions.</w:t>
      </w:r>
    </w:p>
    <w:p w:rsidR="00EA78D2" w:rsidRPr="00974D81" w:rsidP="00EA78D2" w14:paraId="12EDFD3D" w14:textId="77777777">
      <w:pPr>
        <w:autoSpaceDE w:val="0"/>
        <w:autoSpaceDN w:val="0"/>
        <w:adjustRightInd w:val="0"/>
      </w:pPr>
    </w:p>
    <w:p w:rsidR="0067658C" w:rsidRPr="00974D81" w:rsidP="00D16B3A" w14:paraId="4F18BA0B" w14:textId="77777777">
      <w:pPr>
        <w:pStyle w:val="NoSpacing"/>
      </w:pPr>
      <w:bookmarkStart w:id="17" w:name="_Toc199837268"/>
      <w:bookmarkStart w:id="18" w:name="_Toc199840806"/>
      <w:r w:rsidRPr="00974D81">
        <w:t>No collection of information will be published.</w:t>
      </w:r>
      <w:bookmarkEnd w:id="17"/>
      <w:bookmarkEnd w:id="18"/>
    </w:p>
    <w:p w:rsidR="0067658C" w:rsidRPr="00974D81" w:rsidP="0067658C" w14:paraId="02A60A45" w14:textId="77777777">
      <w:pPr>
        <w:autoSpaceDE w:val="0"/>
        <w:autoSpaceDN w:val="0"/>
        <w:adjustRightInd w:val="0"/>
        <w:rPr>
          <w:i/>
        </w:rPr>
      </w:pPr>
    </w:p>
    <w:p w:rsidR="00EA78D2" w:rsidRPr="00974D81" w:rsidP="0020651D" w14:paraId="36E4BD7A" w14:textId="77777777">
      <w:pPr>
        <w:tabs>
          <w:tab w:val="right" w:pos="360"/>
        </w:tabs>
        <w:autoSpaceDE w:val="0"/>
        <w:autoSpaceDN w:val="0"/>
        <w:adjustRightInd w:val="0"/>
        <w:rPr>
          <w:i/>
        </w:rPr>
      </w:pPr>
      <w:r w:rsidRPr="00974D81">
        <w:rPr>
          <w:i/>
        </w:rPr>
        <w:tab/>
      </w:r>
      <w:r w:rsidRPr="00974D81" w:rsidR="003C5A77">
        <w:rPr>
          <w:i/>
        </w:rPr>
        <w:t>A</w:t>
      </w:r>
      <w:r w:rsidRPr="00974D81">
        <w:rPr>
          <w:i/>
        </w:rPr>
        <w:t>17.</w:t>
      </w:r>
      <w:r w:rsidRPr="00974D81">
        <w:rPr>
          <w:i/>
        </w:rPr>
        <w:tab/>
      </w:r>
      <w:r w:rsidRPr="00974D81">
        <w:rPr>
          <w:i/>
        </w:rPr>
        <w:t xml:space="preserve">If seeking approval </w:t>
      </w:r>
      <w:r w:rsidRPr="00974D81" w:rsidR="00F25EFF">
        <w:rPr>
          <w:i/>
        </w:rPr>
        <w:t xml:space="preserve">not </w:t>
      </w:r>
      <w:r w:rsidRPr="00974D81">
        <w:rPr>
          <w:i/>
        </w:rPr>
        <w:t xml:space="preserve">to display the expiration date for OMB approval of the information collection, explain the reasons that display would be inappropriate. </w:t>
      </w:r>
    </w:p>
    <w:p w:rsidR="00EA78D2" w:rsidRPr="00974D81" w:rsidP="00EA78D2" w14:paraId="0045C4F2" w14:textId="77777777">
      <w:pPr>
        <w:autoSpaceDE w:val="0"/>
        <w:autoSpaceDN w:val="0"/>
        <w:adjustRightInd w:val="0"/>
      </w:pPr>
    </w:p>
    <w:p w:rsidR="004A321A" w:rsidRPr="00974D81" w:rsidP="00EA78D2" w14:paraId="0FA1374F" w14:textId="77777777">
      <w:pPr>
        <w:autoSpaceDE w:val="0"/>
        <w:autoSpaceDN w:val="0"/>
        <w:adjustRightInd w:val="0"/>
      </w:pPr>
      <w:r w:rsidRPr="00974D81">
        <w:t xml:space="preserve">The Department will display the expiration date for OMB approval on the form and instructions </w:t>
      </w:r>
      <w:r w:rsidRPr="00974D81" w:rsidR="00D17AC5">
        <w:t xml:space="preserve">and </w:t>
      </w:r>
      <w:r w:rsidRPr="00974D81">
        <w:t xml:space="preserve">opening page of the website for electronic filing.    </w:t>
      </w:r>
    </w:p>
    <w:p w:rsidR="004A321A" w:rsidRPr="00974D81" w:rsidP="00EA78D2" w14:paraId="36D37871" w14:textId="77777777">
      <w:pPr>
        <w:autoSpaceDE w:val="0"/>
        <w:autoSpaceDN w:val="0"/>
        <w:adjustRightInd w:val="0"/>
      </w:pPr>
    </w:p>
    <w:p w:rsidR="003F4C38" w:rsidRPr="00974D81" w:rsidP="0020651D" w14:paraId="69C0455F" w14:textId="77777777">
      <w:pPr>
        <w:tabs>
          <w:tab w:val="right" w:pos="360"/>
        </w:tabs>
        <w:rPr>
          <w:i/>
        </w:rPr>
      </w:pPr>
      <w:r w:rsidRPr="00974D81">
        <w:rPr>
          <w:i/>
        </w:rPr>
        <w:tab/>
      </w:r>
      <w:r w:rsidRPr="00974D81" w:rsidR="003C5A77">
        <w:rPr>
          <w:i/>
        </w:rPr>
        <w:t>A</w:t>
      </w:r>
      <w:r w:rsidRPr="00974D81" w:rsidR="00EA78D2">
        <w:rPr>
          <w:i/>
        </w:rPr>
        <w:t>18.</w:t>
      </w:r>
      <w:r w:rsidRPr="00974D81">
        <w:rPr>
          <w:i/>
        </w:rPr>
        <w:tab/>
      </w:r>
      <w:r w:rsidRPr="00974D81" w:rsidR="00EA78D2">
        <w:rPr>
          <w:i/>
        </w:rPr>
        <w:t>Explain each exception to the topics of the certification statement identified in “Certification for Paperwork Reduction Act Submissions,”</w:t>
      </w:r>
    </w:p>
    <w:p w:rsidR="004204FF" w:rsidRPr="00974D81" w:rsidP="003F4C38" w14:paraId="10323404" w14:textId="77777777">
      <w:pPr>
        <w:tabs>
          <w:tab w:val="right" w:pos="360"/>
        </w:tabs>
        <w:ind w:left="540" w:hanging="540"/>
        <w:rPr>
          <w:i/>
        </w:rPr>
      </w:pPr>
    </w:p>
    <w:p w:rsidR="003F4C38" w:rsidRPr="00974D81" w:rsidP="00DD56FE" w14:paraId="71024382" w14:textId="77777777">
      <w:pPr>
        <w:tabs>
          <w:tab w:val="right" w:pos="360"/>
        </w:tabs>
        <w:ind w:left="540" w:hanging="540"/>
      </w:pPr>
      <w:r w:rsidRPr="00974D81">
        <w:tab/>
        <w:t>The Department is not seeking any exception to the certification requirements.</w:t>
      </w:r>
      <w:r w:rsidRPr="00974D81">
        <w:t xml:space="preserve"> </w:t>
      </w:r>
    </w:p>
    <w:p w:rsidR="003C5A77" w:rsidRPr="00974D81" w:rsidP="003F4C38" w14:paraId="7EE4CC0E" w14:textId="77777777">
      <w:pPr>
        <w:tabs>
          <w:tab w:val="right" w:pos="360"/>
        </w:tabs>
        <w:ind w:left="540" w:hanging="540"/>
        <w:rPr>
          <w:b/>
        </w:rPr>
      </w:pPr>
    </w:p>
    <w:p w:rsidR="003D2DA3" w:rsidRPr="00974D81" w:rsidP="003F4C38" w14:paraId="2A7542C7" w14:textId="77777777">
      <w:pPr>
        <w:tabs>
          <w:tab w:val="right" w:pos="360"/>
        </w:tabs>
        <w:ind w:left="540" w:hanging="540"/>
        <w:rPr>
          <w:b/>
        </w:rPr>
      </w:pPr>
    </w:p>
    <w:p w:rsidR="003F4C38" w:rsidRPr="00974D81" w:rsidP="003F4C38" w14:paraId="6F8F9259" w14:textId="77777777">
      <w:pPr>
        <w:tabs>
          <w:tab w:val="right" w:pos="360"/>
        </w:tabs>
        <w:ind w:left="540" w:hanging="540"/>
        <w:rPr>
          <w:i/>
        </w:rPr>
      </w:pPr>
      <w:r w:rsidRPr="00974D81">
        <w:rPr>
          <w:b/>
        </w:rPr>
        <w:t xml:space="preserve">B. </w:t>
      </w:r>
      <w:r w:rsidRPr="00974D81">
        <w:rPr>
          <w:b/>
        </w:rPr>
        <w:tab/>
      </w:r>
      <w:r w:rsidRPr="00974D81" w:rsidR="00C45047">
        <w:rPr>
          <w:b/>
        </w:rPr>
        <w:t>Collections of Information Employing Statistical Methods</w:t>
      </w:r>
    </w:p>
    <w:p w:rsidR="004A1161" w:rsidRPr="00974D81" w:rsidP="00EA78D2" w14:paraId="71EE5A2A" w14:textId="77777777"/>
    <w:p w:rsidR="004A1161" w:rsidRPr="00943329" w:rsidP="00D16B3A" w14:paraId="6005E495" w14:textId="77777777">
      <w:pPr>
        <w:pStyle w:val="NoSpacing"/>
      </w:pPr>
      <w:r w:rsidRPr="00974D81">
        <w:t>This information collection d</w:t>
      </w:r>
      <w:r w:rsidRPr="00943329">
        <w:t>oes not employ statistical methods.</w:t>
      </w:r>
    </w:p>
    <w:sectPr w:rsidSect="00E54119">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D34" w:rsidRPr="00152A29" w14:paraId="007E997D" w14:textId="1F34D54B">
    <w:pPr>
      <w:pStyle w:val="Footer"/>
      <w:tabs>
        <w:tab w:val="clear" w:pos="4680"/>
        <w:tab w:val="clear" w:pos="9360"/>
      </w:tabs>
      <w:jc w:val="center"/>
      <w:rPr>
        <w:caps/>
        <w:noProof/>
      </w:rPr>
    </w:pPr>
    <w:r w:rsidRPr="00152A29">
      <w:rPr>
        <w:caps/>
      </w:rPr>
      <w:fldChar w:fldCharType="begin"/>
    </w:r>
    <w:r w:rsidRPr="00152A29">
      <w:rPr>
        <w:caps/>
      </w:rPr>
      <w:instrText xml:space="preserve"> PAGE   \* MERGEFORMAT </w:instrText>
    </w:r>
    <w:r w:rsidRPr="00152A29">
      <w:rPr>
        <w:caps/>
      </w:rPr>
      <w:fldChar w:fldCharType="separate"/>
    </w:r>
    <w:r w:rsidR="00B070B0">
      <w:rPr>
        <w:caps/>
        <w:noProof/>
      </w:rPr>
      <w:t>24</w:t>
    </w:r>
    <w:r w:rsidRPr="00152A29">
      <w:rPr>
        <w:caps/>
        <w:noProof/>
      </w:rPr>
      <w:fldChar w:fldCharType="end"/>
    </w:r>
  </w:p>
  <w:p w:rsidR="00F02D34" w14:paraId="13D2EF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7015" w:rsidP="00910252" w14:paraId="2D7C7E3C" w14:textId="77777777">
      <w:r>
        <w:separator/>
      </w:r>
    </w:p>
  </w:footnote>
  <w:footnote w:type="continuationSeparator" w:id="1">
    <w:p w:rsidR="00D67015" w:rsidP="00910252" w14:paraId="4F05E771" w14:textId="77777777">
      <w:r>
        <w:continuationSeparator/>
      </w:r>
    </w:p>
  </w:footnote>
  <w:footnote w:type="continuationNotice" w:id="2">
    <w:p w:rsidR="00D67015" w14:paraId="22033650" w14:textId="77777777"/>
  </w:footnote>
  <w:footnote w:id="3">
    <w:p w:rsidR="00F02D34" w:rsidRPr="00BF224F" w:rsidP="00DA417E" w14:paraId="73AB4C6F" w14:textId="77777777">
      <w:pPr>
        <w:pStyle w:val="FootnoteText"/>
        <w:rPr>
          <w:rFonts w:ascii="Times New Roman" w:hAnsi="Times New Roman"/>
        </w:rPr>
      </w:pPr>
      <w:r w:rsidRPr="00BF224F">
        <w:rPr>
          <w:rStyle w:val="FootnoteReference"/>
          <w:rFonts w:ascii="Times New Roman" w:hAnsi="Times New Roman"/>
          <w:vertAlign w:val="superscript"/>
        </w:rPr>
        <w:footnoteRef/>
      </w:r>
      <w:r w:rsidRPr="00BF224F">
        <w:rPr>
          <w:rFonts w:ascii="Times New Roman" w:hAnsi="Times New Roman"/>
          <w:vertAlign w:val="superscript"/>
        </w:rPr>
        <w:t xml:space="preserve"> </w:t>
      </w:r>
      <w:r w:rsidRPr="00BF224F">
        <w:rPr>
          <w:rFonts w:ascii="Times New Roman" w:hAnsi="Times New Roman"/>
        </w:rPr>
        <w:t xml:space="preserve">The special requirements for willful violators and H-1B dependent employers apply unless those employers are hiring only exempt H-1B nonimmigrants.  Throughout this supporting statement, where we refer to general requirements for willful violators and </w:t>
      </w:r>
      <w:r>
        <w:rPr>
          <w:rFonts w:ascii="Times New Roman" w:hAnsi="Times New Roman"/>
        </w:rPr>
        <w:t xml:space="preserve">H-1B </w:t>
      </w:r>
      <w:r w:rsidRPr="00BF224F">
        <w:rPr>
          <w:rFonts w:ascii="Times New Roman" w:hAnsi="Times New Roman"/>
        </w:rPr>
        <w:t>dependent employers, we refer to those employers who are not hiring only exempt H-1B nonimmigrant</w:t>
      </w:r>
      <w:r>
        <w:rPr>
          <w:rFonts w:ascii="Times New Roman" w:hAnsi="Times New Roman"/>
        </w:rPr>
        <w:t xml:space="preserve"> workers</w:t>
      </w:r>
      <w:r w:rsidRPr="00BF224F">
        <w:rPr>
          <w:rFonts w:ascii="Times New Roman" w:hAnsi="Times New Roman"/>
        </w:rPr>
        <w:t xml:space="preserve"> and claiming that exemption on the LCA.</w:t>
      </w:r>
    </w:p>
  </w:footnote>
  <w:footnote w:id="4">
    <w:p w:rsidR="00F02D34" w:rsidRPr="00F44511" w:rsidP="001174C4" w14:paraId="0DA02893" w14:textId="20409B61">
      <w:pPr>
        <w:pStyle w:val="FootnoteText"/>
        <w:rPr>
          <w:rFonts w:ascii="Times New Roman" w:hAnsi="Times New Roman"/>
          <w:sz w:val="18"/>
          <w:szCs w:val="18"/>
        </w:rPr>
      </w:pPr>
      <w:r w:rsidRPr="00780FC9">
        <w:rPr>
          <w:rStyle w:val="FootnoteReference"/>
          <w:rFonts w:ascii="Times New Roman" w:hAnsi="Times New Roman"/>
          <w:vertAlign w:val="superscript"/>
        </w:rPr>
        <w:footnoteRef/>
      </w:r>
      <w:r w:rsidRPr="00780FC9">
        <w:rPr>
          <w:rFonts w:ascii="Times New Roman" w:hAnsi="Times New Roman"/>
          <w:vertAlign w:val="superscript"/>
        </w:rPr>
        <w:t xml:space="preserve"> </w:t>
      </w:r>
      <w:r w:rsidRPr="00F44511">
        <w:rPr>
          <w:rFonts w:ascii="Times New Roman" w:hAnsi="Times New Roman"/>
          <w:sz w:val="18"/>
          <w:szCs w:val="18"/>
        </w:rPr>
        <w:t xml:space="preserve">DOL LCA estimates are based on data </w:t>
      </w:r>
      <w:r w:rsidR="005232F7">
        <w:rPr>
          <w:rFonts w:ascii="Times New Roman" w:hAnsi="Times New Roman"/>
          <w:sz w:val="18"/>
          <w:szCs w:val="18"/>
        </w:rPr>
        <w:t xml:space="preserve">from </w:t>
      </w:r>
      <w:r w:rsidRPr="00F44511">
        <w:rPr>
          <w:rFonts w:ascii="Times New Roman" w:hAnsi="Times New Roman"/>
          <w:sz w:val="18"/>
          <w:szCs w:val="18"/>
        </w:rPr>
        <w:t>fiscal year</w:t>
      </w:r>
      <w:r w:rsidR="005232F7">
        <w:rPr>
          <w:rFonts w:ascii="Times New Roman" w:hAnsi="Times New Roman"/>
          <w:sz w:val="18"/>
          <w:szCs w:val="18"/>
        </w:rPr>
        <w:t>s</w:t>
      </w:r>
      <w:r w:rsidRPr="00F44511">
        <w:rPr>
          <w:rFonts w:ascii="Times New Roman" w:hAnsi="Times New Roman"/>
          <w:sz w:val="18"/>
          <w:szCs w:val="18"/>
        </w:rPr>
        <w:t xml:space="preserve"> (FY</w:t>
      </w:r>
      <w:r w:rsidR="005232F7">
        <w:rPr>
          <w:rFonts w:ascii="Times New Roman" w:hAnsi="Times New Roman"/>
          <w:sz w:val="18"/>
          <w:szCs w:val="18"/>
        </w:rPr>
        <w:t>s</w:t>
      </w:r>
      <w:r w:rsidRPr="00F44511">
        <w:rPr>
          <w:rFonts w:ascii="Times New Roman" w:hAnsi="Times New Roman"/>
          <w:sz w:val="18"/>
          <w:szCs w:val="18"/>
        </w:rPr>
        <w:t xml:space="preserve">) </w:t>
      </w:r>
      <w:r w:rsidR="005232F7">
        <w:rPr>
          <w:rFonts w:ascii="Times New Roman" w:hAnsi="Times New Roman"/>
          <w:sz w:val="18"/>
          <w:szCs w:val="18"/>
        </w:rPr>
        <w:t>2021, 2022, and 2023.</w:t>
      </w:r>
      <w:r w:rsidR="00CB69C8">
        <w:rPr>
          <w:rFonts w:ascii="Times New Roman" w:hAnsi="Times New Roman"/>
          <w:sz w:val="18"/>
          <w:szCs w:val="18"/>
        </w:rPr>
        <w:t xml:space="preserve">  </w:t>
      </w:r>
      <w:bookmarkStart w:id="6" w:name="_Hlk160026145"/>
      <w:r w:rsidR="00CB69C8">
        <w:rPr>
          <w:rFonts w:ascii="Times New Roman" w:hAnsi="Times New Roman"/>
          <w:sz w:val="18"/>
          <w:szCs w:val="18"/>
        </w:rPr>
        <w:t xml:space="preserve">Data is rounded to the nearest whole number in most instances.  Where necessary to show mathematical expressions, additional decimal places are provided.  </w:t>
      </w:r>
      <w:bookmarkEnd w:id="6"/>
    </w:p>
  </w:footnote>
  <w:footnote w:id="5">
    <w:p w:rsidR="00F02D34" w:rsidRPr="00651FB5" w:rsidP="001174C4" w14:paraId="544158C2" w14:textId="3E7456A9">
      <w:pPr>
        <w:pStyle w:val="FootnoteText"/>
        <w:rPr>
          <w:rFonts w:ascii="Times New Roman" w:hAnsi="Times New Roman"/>
        </w:rPr>
      </w:pPr>
      <w:r w:rsidRPr="00F44511">
        <w:rPr>
          <w:rStyle w:val="FootnoteReference"/>
          <w:sz w:val="18"/>
          <w:szCs w:val="18"/>
          <w:vertAlign w:val="superscript"/>
        </w:rPr>
        <w:footnoteRef/>
      </w:r>
      <w:r w:rsidRPr="00F44511">
        <w:rPr>
          <w:sz w:val="18"/>
          <w:szCs w:val="18"/>
          <w:vertAlign w:val="superscript"/>
        </w:rPr>
        <w:t xml:space="preserve"> </w:t>
      </w:r>
      <w:bookmarkStart w:id="9" w:name="_Hlk160095703"/>
      <w:r w:rsidR="00FF6EA1">
        <w:rPr>
          <w:rFonts w:ascii="Times New Roman" w:hAnsi="Times New Roman"/>
          <w:sz w:val="18"/>
          <w:szCs w:val="18"/>
        </w:rPr>
        <w:t>Some numbers in this section are displayed with two decimal places for mathematical purposes.</w:t>
      </w:r>
      <w:bookmarkEnd w:id="9"/>
      <w:r w:rsidR="00EB540F">
        <w:rPr>
          <w:rFonts w:ascii="Times New Roman" w:hAnsi="Times New Roman"/>
          <w:sz w:val="18"/>
          <w:szCs w:val="18"/>
        </w:rPr>
        <w:t xml:space="preserve">  </w:t>
      </w:r>
      <w:r w:rsidR="00FF6EA1">
        <w:rPr>
          <w:rFonts w:ascii="Times New Roman" w:hAnsi="Times New Roman"/>
          <w:sz w:val="18"/>
          <w:szCs w:val="18"/>
        </w:rPr>
        <w:t>ETA</w:t>
      </w:r>
      <w:r w:rsidRPr="00F44511">
        <w:rPr>
          <w:rFonts w:ascii="Times New Roman" w:hAnsi="Times New Roman"/>
          <w:sz w:val="18"/>
          <w:szCs w:val="18"/>
        </w:rPr>
        <w:t xml:space="preserve"> estimates that the completion and submission of an LCA takes 45 minutes for most employers with an additional 20 minutes estimated for H-1B dependent employers or willful violator employers claiming degree-based exemptions; complying with recordkeeping requirements of creating a </w:t>
      </w:r>
      <w:r w:rsidR="00D91346">
        <w:rPr>
          <w:rFonts w:ascii="Times New Roman" w:hAnsi="Times New Roman"/>
          <w:sz w:val="18"/>
          <w:szCs w:val="18"/>
        </w:rPr>
        <w:t>public access</w:t>
      </w:r>
      <w:r w:rsidRPr="00F44511">
        <w:rPr>
          <w:rFonts w:ascii="Times New Roman" w:hAnsi="Times New Roman"/>
          <w:sz w:val="18"/>
          <w:szCs w:val="18"/>
        </w:rPr>
        <w:t xml:space="preserve"> file takes five minutes; and posting the LCA in a conspicuous place and providing a copy to each nonimmigrant worker takes five minutes, for a total of 75 minutes</w:t>
      </w:r>
      <w:r w:rsidRPr="00CC18C4">
        <w:rPr>
          <w:rFonts w:ascii="Times New Roman" w:hAnsi="Times New Roman"/>
          <w:sz w:val="18"/>
          <w:szCs w:val="18"/>
        </w:rPr>
        <w:t xml:space="preserve"> per application</w:t>
      </w:r>
      <w:r w:rsidRPr="00651FB5">
        <w:rPr>
          <w:rFonts w:ascii="Times New Roman" w:hAnsi="Times New Roman"/>
        </w:rPr>
        <w:t>.</w:t>
      </w:r>
    </w:p>
  </w:footnote>
  <w:footnote w:id="6">
    <w:p w:rsidR="00F02D34" w:rsidRPr="00F8217B" w:rsidP="00C27CF9" w14:paraId="69F6DDA5" w14:textId="5B8F54F8">
      <w:pPr>
        <w:pStyle w:val="FootnoteText"/>
        <w:rPr>
          <w:rFonts w:ascii="Times New Roman" w:hAnsi="Times New Roman"/>
          <w:sz w:val="18"/>
          <w:szCs w:val="18"/>
        </w:rPr>
      </w:pPr>
      <w:r w:rsidRPr="001223E0">
        <w:rPr>
          <w:rStyle w:val="FootnoteReference"/>
          <w:rFonts w:ascii="Times New Roman" w:hAnsi="Times New Roman"/>
          <w:vertAlign w:val="superscript"/>
        </w:rPr>
        <w:footnoteRef/>
      </w:r>
      <w:r w:rsidRPr="001223E0">
        <w:rPr>
          <w:rFonts w:ascii="Times New Roman" w:hAnsi="Times New Roman"/>
        </w:rPr>
        <w:t xml:space="preserve"> </w:t>
      </w:r>
      <w:r w:rsidRPr="00F8217B">
        <w:rPr>
          <w:rFonts w:ascii="Times New Roman" w:hAnsi="Times New Roman"/>
          <w:sz w:val="18"/>
          <w:szCs w:val="18"/>
        </w:rPr>
        <w:t>The special requirements for willful violators and H-1B dependent employers apply unless those employers are hiring only exempt H-1B nonimmigrants.  Throughout this supporting statement, where we refer to general requirements for willful violators and dependent employers, we refer to those employers who are not hiring only exempt H-1B nonimmigrants and claiming that exemption on the LCA.</w:t>
      </w:r>
    </w:p>
  </w:footnote>
  <w:footnote w:id="7">
    <w:p w:rsidR="00F02D34" w:rsidRPr="006B51AD" w14:paraId="3EA1F49C" w14:textId="6915D669">
      <w:pPr>
        <w:pStyle w:val="FootnoteText"/>
        <w:rPr>
          <w:rFonts w:ascii="Times New Roman" w:hAnsi="Times New Roman"/>
          <w:sz w:val="18"/>
          <w:szCs w:val="18"/>
        </w:rPr>
      </w:pPr>
      <w:r w:rsidRPr="00DF21BC">
        <w:rPr>
          <w:rStyle w:val="FootnoteReference"/>
          <w:rFonts w:ascii="Times New Roman" w:hAnsi="Times New Roman"/>
          <w:sz w:val="18"/>
          <w:szCs w:val="18"/>
          <w:vertAlign w:val="superscript"/>
        </w:rPr>
        <w:footnoteRef/>
      </w:r>
      <w:r w:rsidRPr="00DF21BC">
        <w:rPr>
          <w:rFonts w:ascii="Times New Roman" w:hAnsi="Times New Roman"/>
          <w:sz w:val="18"/>
          <w:szCs w:val="18"/>
          <w:vertAlign w:val="superscript"/>
        </w:rPr>
        <w:t xml:space="preserve"> </w:t>
      </w:r>
      <w:r w:rsidRPr="006B51AD">
        <w:rPr>
          <w:rFonts w:ascii="Times New Roman" w:hAnsi="Times New Roman"/>
          <w:sz w:val="18"/>
          <w:szCs w:val="18"/>
        </w:rPr>
        <w:t xml:space="preserve">DOL LCA estimates are based on data </w:t>
      </w:r>
      <w:r w:rsidR="00C543FC">
        <w:rPr>
          <w:rFonts w:ascii="Times New Roman" w:hAnsi="Times New Roman"/>
          <w:sz w:val="18"/>
          <w:szCs w:val="18"/>
        </w:rPr>
        <w:t xml:space="preserve">from </w:t>
      </w:r>
      <w:r w:rsidR="00176B0B">
        <w:rPr>
          <w:rFonts w:ascii="Times New Roman" w:hAnsi="Times New Roman"/>
          <w:sz w:val="18"/>
          <w:szCs w:val="18"/>
        </w:rPr>
        <w:t>FYs</w:t>
      </w:r>
      <w:r w:rsidR="00C543FC">
        <w:rPr>
          <w:rFonts w:ascii="Times New Roman" w:hAnsi="Times New Roman"/>
          <w:sz w:val="18"/>
          <w:szCs w:val="18"/>
        </w:rPr>
        <w:t xml:space="preserve"> 2021, 2022,</w:t>
      </w:r>
      <w:r w:rsidR="00DE671F">
        <w:rPr>
          <w:rFonts w:ascii="Times New Roman" w:hAnsi="Times New Roman"/>
          <w:sz w:val="18"/>
          <w:szCs w:val="18"/>
        </w:rPr>
        <w:t xml:space="preserve"> </w:t>
      </w:r>
      <w:r w:rsidR="00C543FC">
        <w:rPr>
          <w:rFonts w:ascii="Times New Roman" w:hAnsi="Times New Roman"/>
          <w:sz w:val="18"/>
          <w:szCs w:val="18"/>
        </w:rPr>
        <w:t>and 2023</w:t>
      </w:r>
      <w:r w:rsidRPr="006B51AD">
        <w:rPr>
          <w:rFonts w:ascii="Times New Roman" w:hAnsi="Times New Roman"/>
          <w:sz w:val="18"/>
          <w:szCs w:val="18"/>
        </w:rPr>
        <w:t xml:space="preserve">.  </w:t>
      </w:r>
      <w:r w:rsidR="002C07DC">
        <w:rPr>
          <w:rFonts w:ascii="Times New Roman" w:hAnsi="Times New Roman"/>
          <w:sz w:val="18"/>
          <w:szCs w:val="18"/>
        </w:rPr>
        <w:t xml:space="preserve">Where necessary for mathematical expressions, additional decimal places are added.  </w:t>
      </w:r>
    </w:p>
  </w:footnote>
  <w:footnote w:id="8">
    <w:p w:rsidR="00F02D34" w:rsidRPr="00BC1D19" w:rsidP="00C53DD8" w14:paraId="6631CD33" w14:textId="5D922C4E">
      <w:pPr>
        <w:pStyle w:val="FootnoteText"/>
        <w:rPr>
          <w:rFonts w:ascii="Times New Roman" w:hAnsi="Times New Roman"/>
        </w:rPr>
      </w:pPr>
      <w:r w:rsidRPr="00566F8C">
        <w:rPr>
          <w:rStyle w:val="FootnoteReference"/>
          <w:rFonts w:ascii="Times New Roman" w:hAnsi="Times New Roman"/>
          <w:sz w:val="18"/>
          <w:szCs w:val="18"/>
          <w:vertAlign w:val="superscript"/>
        </w:rPr>
        <w:footnoteRef/>
      </w:r>
      <w:r w:rsidRPr="00566F8C">
        <w:rPr>
          <w:rFonts w:ascii="Times New Roman" w:hAnsi="Times New Roman"/>
          <w:sz w:val="18"/>
          <w:szCs w:val="18"/>
          <w:vertAlign w:val="superscript"/>
        </w:rPr>
        <w:t xml:space="preserve"> </w:t>
      </w:r>
      <w:bookmarkStart w:id="11" w:name="_Hlk160033420"/>
      <w:r w:rsidRPr="00566F8C" w:rsidR="006C10BD">
        <w:rPr>
          <w:rFonts w:ascii="Times New Roman" w:hAnsi="Times New Roman"/>
          <w:sz w:val="18"/>
          <w:szCs w:val="18"/>
        </w:rPr>
        <w:t xml:space="preserve">DOL </w:t>
      </w:r>
      <w:r w:rsidRPr="00566F8C" w:rsidR="00A923D9">
        <w:rPr>
          <w:rFonts w:ascii="Times New Roman" w:hAnsi="Times New Roman"/>
          <w:sz w:val="18"/>
          <w:szCs w:val="18"/>
        </w:rPr>
        <w:t xml:space="preserve">believes that in most companies, a Human Resources Specialist will perform these activities.  Previous estimates were based on Human Resource Managers performing the activities, however, the Department’s OFLC has reevaluated its ICR figures and determined that </w:t>
      </w:r>
      <w:r w:rsidRPr="00566F8C" w:rsidR="006C10BD">
        <w:rPr>
          <w:rFonts w:ascii="Times New Roman" w:hAnsi="Times New Roman"/>
          <w:sz w:val="18"/>
          <w:szCs w:val="18"/>
        </w:rPr>
        <w:t>the use of “</w:t>
      </w:r>
      <w:r w:rsidRPr="00566F8C" w:rsidR="00A923D9">
        <w:rPr>
          <w:rFonts w:ascii="Times New Roman" w:hAnsi="Times New Roman"/>
          <w:sz w:val="18"/>
          <w:szCs w:val="18"/>
        </w:rPr>
        <w:t>Human Resources Specialist</w:t>
      </w:r>
      <w:r w:rsidRPr="00566F8C" w:rsidR="006C10BD">
        <w:rPr>
          <w:rFonts w:ascii="Times New Roman" w:hAnsi="Times New Roman"/>
          <w:sz w:val="18"/>
          <w:szCs w:val="18"/>
        </w:rPr>
        <w:t>”</w:t>
      </w:r>
      <w:r w:rsidRPr="00566F8C" w:rsidR="00A923D9">
        <w:rPr>
          <w:rFonts w:ascii="Times New Roman" w:hAnsi="Times New Roman"/>
          <w:sz w:val="18"/>
          <w:szCs w:val="18"/>
        </w:rPr>
        <w:t xml:space="preserve"> is a more accurate representation of its application filings. To calculate the full cost to the employer, </w:t>
      </w:r>
      <w:r w:rsidRPr="00566F8C" w:rsidR="006C10BD">
        <w:rPr>
          <w:rFonts w:ascii="Times New Roman" w:hAnsi="Times New Roman"/>
          <w:sz w:val="18"/>
          <w:szCs w:val="18"/>
        </w:rPr>
        <w:t xml:space="preserve">DOL </w:t>
      </w:r>
      <w:r w:rsidRPr="00566F8C" w:rsidR="00A923D9">
        <w:rPr>
          <w:rFonts w:ascii="Times New Roman" w:hAnsi="Times New Roman"/>
          <w:sz w:val="18"/>
          <w:szCs w:val="18"/>
        </w:rPr>
        <w:t xml:space="preserve">combines the mean hourly wage of human resource specialists with the benefits and other compensation received by such employees.  The national mean hourly wage for a human resource specialist (SOC code 13-1071) is $35.13.  The average percentage of benefits in total is 41.5 percent.   The total compensation is therefore $49.71 ($35.13 × 1.415) for a Human Resources Specialist.  </w:t>
      </w:r>
      <w:r w:rsidRPr="00566F8C" w:rsidR="00A923D9">
        <w:rPr>
          <w:rFonts w:ascii="Times New Roman" w:hAnsi="Times New Roman"/>
          <w:i/>
          <w:iCs/>
          <w:sz w:val="18"/>
          <w:szCs w:val="18"/>
        </w:rPr>
        <w:t xml:space="preserve">See </w:t>
      </w:r>
      <w:hyperlink r:id="rId1" w:history="1">
        <w:r w:rsidRPr="00566F8C" w:rsidR="00A923D9">
          <w:rPr>
            <w:rStyle w:val="Hyperlink"/>
            <w:rFonts w:ascii="Times New Roman" w:hAnsi="Times New Roman"/>
            <w:iCs/>
            <w:sz w:val="18"/>
            <w:szCs w:val="18"/>
          </w:rPr>
          <w:t>https://www.bls.gov/oes/current/oes131071.htm</w:t>
        </w:r>
      </w:hyperlink>
      <w:r w:rsidRPr="00566F8C" w:rsidR="00A923D9">
        <w:rPr>
          <w:rFonts w:ascii="Times New Roman" w:hAnsi="Times New Roman"/>
          <w:iCs/>
          <w:sz w:val="18"/>
          <w:szCs w:val="18"/>
        </w:rPr>
        <w:t xml:space="preserve">.  </w:t>
      </w:r>
      <w:r w:rsidRPr="00566F8C" w:rsidR="006C10BD">
        <w:rPr>
          <w:rFonts w:ascii="Times New Roman" w:hAnsi="Times New Roman"/>
          <w:sz w:val="18"/>
          <w:szCs w:val="18"/>
        </w:rPr>
        <w:t xml:space="preserve">DOL </w:t>
      </w:r>
      <w:r w:rsidRPr="00566F8C" w:rsidR="00A923D9">
        <w:rPr>
          <w:rFonts w:ascii="Times New Roman" w:hAnsi="Times New Roman"/>
          <w:sz w:val="18"/>
          <w:szCs w:val="18"/>
        </w:rPr>
        <w:t xml:space="preserve">estimates that a Human Resources Specialist will take time to complete and retain the forms and supporting documentation in the amount of </w:t>
      </w:r>
      <w:r w:rsidRPr="00566F8C" w:rsidR="008C1983">
        <w:rPr>
          <w:rFonts w:ascii="Times New Roman" w:hAnsi="Times New Roman"/>
          <w:sz w:val="18"/>
          <w:szCs w:val="18"/>
        </w:rPr>
        <w:t>843,989</w:t>
      </w:r>
      <w:r w:rsidRPr="00566F8C" w:rsidR="00A923D9">
        <w:rPr>
          <w:rFonts w:ascii="Times New Roman" w:hAnsi="Times New Roman"/>
          <w:sz w:val="18"/>
          <w:szCs w:val="18"/>
        </w:rPr>
        <w:t xml:space="preserve">        hours.  </w:t>
      </w:r>
      <w:r w:rsidRPr="00566F8C" w:rsidR="00A923D9">
        <w:rPr>
          <w:rFonts w:ascii="Times New Roman" w:hAnsi="Times New Roman"/>
          <w:i/>
          <w:iCs/>
          <w:color w:val="000000" w:themeColor="text1"/>
          <w:sz w:val="18"/>
          <w:szCs w:val="18"/>
        </w:rPr>
        <w:t>See Employer Costs for Employee Compensation – September 2023</w:t>
      </w:r>
      <w:r w:rsidRPr="00566F8C" w:rsidR="00A923D9">
        <w:rPr>
          <w:rFonts w:ascii="Times New Roman" w:hAnsi="Times New Roman"/>
          <w:color w:val="000000" w:themeColor="text1"/>
          <w:sz w:val="18"/>
          <w:szCs w:val="18"/>
        </w:rPr>
        <w:t xml:space="preserve">, DOL, BLS, </w:t>
      </w:r>
      <w:r w:rsidRPr="00566F8C" w:rsidR="00A923D9">
        <w:rPr>
          <w:rFonts w:ascii="Times New Roman" w:hAnsi="Times New Roman"/>
          <w:i/>
          <w:iCs/>
          <w:color w:val="000000" w:themeColor="text1"/>
          <w:sz w:val="18"/>
          <w:szCs w:val="18"/>
        </w:rPr>
        <w:t>available at</w:t>
      </w:r>
      <w:r w:rsidRPr="00134394" w:rsidR="00A923D9">
        <w:rPr>
          <w:rFonts w:ascii="Times New Roman" w:hAnsi="Times New Roman"/>
          <w:i/>
          <w:iCs/>
          <w:color w:val="000000" w:themeColor="text1"/>
          <w:sz w:val="18"/>
          <w:szCs w:val="18"/>
        </w:rPr>
        <w:t xml:space="preserve"> </w:t>
      </w:r>
      <w:hyperlink r:id="rId2" w:history="1">
        <w:r w:rsidRPr="00134394" w:rsidR="00A923D9">
          <w:rPr>
            <w:rStyle w:val="Hyperlink"/>
            <w:rFonts w:ascii="Times New Roman" w:hAnsi="Times New Roman"/>
            <w:sz w:val="18"/>
            <w:szCs w:val="18"/>
          </w:rPr>
          <w:t>https://www.bls.gov/news.release/archives/ecec_12152023.pdf</w:t>
        </w:r>
      </w:hyperlink>
      <w:r w:rsidRPr="00134394" w:rsidR="00A923D9">
        <w:rPr>
          <w:rFonts w:ascii="Times New Roman" w:hAnsi="Times New Roman"/>
          <w:color w:val="000000" w:themeColor="text1"/>
          <w:sz w:val="18"/>
          <w:szCs w:val="18"/>
        </w:rPr>
        <w:t xml:space="preserve"> (Dec. 15, 2023).</w:t>
      </w:r>
    </w:p>
    <w:bookmarkEnd w:id="11"/>
  </w:footnote>
  <w:footnote w:id="9">
    <w:p w:rsidR="00F02D34" w:rsidRPr="006B51AD" w:rsidP="00C53DD8" w14:paraId="1F9A1723" w14:textId="061DF0D6">
      <w:pPr>
        <w:pBdr>
          <w:top w:val="single" w:sz="6" w:space="0" w:color="FFFFFF"/>
          <w:left w:val="single" w:sz="6" w:space="0" w:color="FFFFFF"/>
          <w:bottom w:val="single" w:sz="6" w:space="0" w:color="FFFFFF"/>
          <w:right w:val="single" w:sz="6" w:space="0" w:color="FFFFFF"/>
        </w:pBdr>
        <w:rPr>
          <w:sz w:val="18"/>
          <w:szCs w:val="18"/>
        </w:rPr>
      </w:pPr>
      <w:r w:rsidRPr="006B51AD">
        <w:rPr>
          <w:rStyle w:val="FootnoteReference"/>
          <w:sz w:val="18"/>
          <w:szCs w:val="18"/>
          <w:vertAlign w:val="superscript"/>
        </w:rPr>
        <w:footnoteRef/>
      </w:r>
      <w:r w:rsidRPr="006B51AD">
        <w:rPr>
          <w:sz w:val="18"/>
          <w:szCs w:val="18"/>
          <w:vertAlign w:val="superscript"/>
        </w:rPr>
        <w:t xml:space="preserve"> </w:t>
      </w:r>
      <w:r w:rsidRPr="006B51AD">
        <w:rPr>
          <w:sz w:val="18"/>
          <w:szCs w:val="18"/>
        </w:rPr>
        <w:t xml:space="preserve">DOL estimates that the completion and submission of an LCA takes 45 minutes for most employers with an additional 20 minutes estimated for H-1B dependent employers or willful violator employers claiming degree-based exemptions; complying with recordkeeping requirements of creating a </w:t>
      </w:r>
      <w:r w:rsidR="00D91346">
        <w:rPr>
          <w:sz w:val="18"/>
          <w:szCs w:val="18"/>
        </w:rPr>
        <w:t>public access</w:t>
      </w:r>
      <w:r w:rsidRPr="006B51AD">
        <w:rPr>
          <w:sz w:val="18"/>
          <w:szCs w:val="18"/>
        </w:rPr>
        <w:t xml:space="preserve"> file takes five minutes; and posting the LCA in a conspicuous place and providing a copy to each nonimmigrant worker takes </w:t>
      </w:r>
      <w:r>
        <w:rPr>
          <w:sz w:val="18"/>
          <w:szCs w:val="18"/>
        </w:rPr>
        <w:t>five minutes; for a total of 75</w:t>
      </w:r>
      <w:r w:rsidRPr="006B51AD">
        <w:rPr>
          <w:sz w:val="18"/>
          <w:szCs w:val="18"/>
        </w:rPr>
        <w:t xml:space="preserve"> minutes per application. </w:t>
      </w:r>
      <w:r>
        <w:rPr>
          <w:sz w:val="18"/>
          <w:szCs w:val="18"/>
        </w:rPr>
        <w:t xml:space="preserve"> </w:t>
      </w:r>
      <w:r w:rsidRPr="006B51AD">
        <w:rPr>
          <w:sz w:val="18"/>
          <w:szCs w:val="18"/>
        </w:rPr>
        <w:t xml:space="preserve">The estimate for Appendix A is separate from the LCA estimate of 75 minutes per application and is estimated as an additional 20 minutes for most employers who will need to complete the appendix.  See the table for the additional burden hours and annual cost to respondents. </w:t>
      </w:r>
    </w:p>
    <w:p w:rsidR="00F02D34" w:rsidRPr="006B51AD" w:rsidP="00C53DD8" w14:paraId="75766BFC" w14:textId="77777777">
      <w:pPr>
        <w:pStyle w:val="FootnoteText"/>
        <w:rPr>
          <w:rFonts w:ascii="Times New Roman" w:hAnsi="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D34" w:rsidP="00DA417E" w14:paraId="02FD0E9A" w14:textId="77777777">
    <w:pPr>
      <w:pStyle w:val="Header"/>
      <w:jc w:val="both"/>
      <w:rPr>
        <w:bCs/>
        <w:sz w:val="20"/>
        <w:szCs w:val="20"/>
      </w:rPr>
    </w:pPr>
    <w:r w:rsidRPr="009B0BD3">
      <w:rPr>
        <w:bCs/>
        <w:sz w:val="20"/>
        <w:szCs w:val="20"/>
      </w:rPr>
      <w:t>L</w:t>
    </w:r>
    <w:r>
      <w:rPr>
        <w:bCs/>
        <w:sz w:val="20"/>
        <w:szCs w:val="20"/>
      </w:rPr>
      <w:t>abor Condition Application for H</w:t>
    </w:r>
    <w:r w:rsidRPr="009B0BD3">
      <w:rPr>
        <w:bCs/>
        <w:sz w:val="20"/>
        <w:szCs w:val="20"/>
      </w:rPr>
      <w:t xml:space="preserve">-1B, H-1B1, and E-3 </w:t>
    </w:r>
    <w:r>
      <w:rPr>
        <w:bCs/>
        <w:sz w:val="20"/>
        <w:szCs w:val="20"/>
      </w:rPr>
      <w:t xml:space="preserve">Nonimmigrants and </w:t>
    </w:r>
  </w:p>
  <w:p w:rsidR="00F02D34" w:rsidRPr="009B0BD3" w:rsidP="00DA417E" w14:paraId="4125EDE8" w14:textId="77777777">
    <w:pPr>
      <w:pStyle w:val="Header"/>
      <w:jc w:val="both"/>
      <w:rPr>
        <w:bCs/>
        <w:sz w:val="20"/>
        <w:szCs w:val="20"/>
      </w:rPr>
    </w:pPr>
    <w:r w:rsidRPr="009B0BD3">
      <w:rPr>
        <w:bCs/>
        <w:sz w:val="20"/>
        <w:szCs w:val="20"/>
      </w:rPr>
      <w:t>N</w:t>
    </w:r>
    <w:r>
      <w:rPr>
        <w:bCs/>
        <w:sz w:val="20"/>
        <w:szCs w:val="20"/>
      </w:rPr>
      <w:t xml:space="preserve">onimmigrant Worker Information Form </w:t>
    </w:r>
  </w:p>
  <w:p w:rsidR="00F02D34" w:rsidP="00D45FEA" w14:paraId="6724AD74" w14:textId="77777777">
    <w:pPr>
      <w:pStyle w:val="Header"/>
      <w:tabs>
        <w:tab w:val="clear" w:pos="4680"/>
      </w:tabs>
      <w:jc w:val="both"/>
      <w:rPr>
        <w:sz w:val="20"/>
        <w:szCs w:val="20"/>
      </w:rPr>
    </w:pPr>
    <w:r>
      <w:rPr>
        <w:sz w:val="20"/>
        <w:szCs w:val="20"/>
      </w:rPr>
      <w:t>OMB Control No. 1205-0310</w:t>
    </w:r>
  </w:p>
  <w:p w:rsidR="004716A5" w:rsidP="00D45FEA" w14:paraId="6461C206" w14:textId="4FB42928">
    <w:pPr>
      <w:pStyle w:val="Header"/>
      <w:tabs>
        <w:tab w:val="clear" w:pos="4680"/>
      </w:tabs>
      <w:jc w:val="both"/>
      <w:rPr>
        <w:sz w:val="20"/>
        <w:szCs w:val="20"/>
      </w:rPr>
    </w:pPr>
    <w:r>
      <w:rPr>
        <w:sz w:val="20"/>
        <w:szCs w:val="20"/>
      </w:rPr>
      <w:t xml:space="preserve">Expiration </w:t>
    </w:r>
    <w:r w:rsidR="0052194A">
      <w:rPr>
        <w:sz w:val="20"/>
        <w:szCs w:val="20"/>
      </w:rPr>
      <w:t>Date</w:t>
    </w:r>
    <w:r>
      <w:rPr>
        <w:sz w:val="20"/>
        <w:szCs w:val="20"/>
      </w:rPr>
      <w:t>: 12/31/2024</w:t>
    </w:r>
  </w:p>
  <w:p w:rsidR="00F02D34" w:rsidP="00D45FEA" w14:paraId="051F39A0"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75BE2"/>
    <w:multiLevelType w:val="hybridMultilevel"/>
    <w:tmpl w:val="BA70ED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CFE7A11"/>
    <w:multiLevelType w:val="hybridMultilevel"/>
    <w:tmpl w:val="F9A024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CE48F8"/>
    <w:multiLevelType w:val="hybridMultilevel"/>
    <w:tmpl w:val="14263958"/>
    <w:lvl w:ilvl="0">
      <w:start w:val="1"/>
      <w:numFmt w:val="bullet"/>
      <w:lvlText w:val=""/>
      <w:lvlJc w:val="left"/>
      <w:pPr>
        <w:ind w:left="940" w:hanging="360"/>
      </w:pPr>
      <w:rPr>
        <w:rFonts w:ascii="Wingdings" w:hAnsi="Wingdings"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3">
    <w:nsid w:val="340B5605"/>
    <w:multiLevelType w:val="hybridMultilevel"/>
    <w:tmpl w:val="A106F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F532F6"/>
    <w:multiLevelType w:val="hybridMultilevel"/>
    <w:tmpl w:val="FCF28566"/>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CB12348"/>
    <w:multiLevelType w:val="hybridMultilevel"/>
    <w:tmpl w:val="759099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491908"/>
    <w:multiLevelType w:val="hybridMultilevel"/>
    <w:tmpl w:val="CD5241D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A050A4"/>
    <w:multiLevelType w:val="hybridMultilevel"/>
    <w:tmpl w:val="6360ED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1EA5621"/>
    <w:multiLevelType w:val="hybridMultilevel"/>
    <w:tmpl w:val="D21635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EE623A"/>
    <w:multiLevelType w:val="hybridMultilevel"/>
    <w:tmpl w:val="236C6894"/>
    <w:lvl w:ilvl="0">
      <w:start w:val="1"/>
      <w:numFmt w:val="bullet"/>
      <w:lvlText w:val=""/>
      <w:lvlJc w:val="left"/>
      <w:pPr>
        <w:ind w:left="4230" w:hanging="360"/>
      </w:pPr>
      <w:rPr>
        <w:rFonts w:ascii="Wingdings" w:hAnsi="Wingdings"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10">
    <w:nsid w:val="546270EF"/>
    <w:multiLevelType w:val="hybridMultilevel"/>
    <w:tmpl w:val="A61E5CC4"/>
    <w:lvl w:ilvl="0">
      <w:start w:val="1"/>
      <w:numFmt w:val="bullet"/>
      <w:lvlText w:val=""/>
      <w:lvlJc w:val="left"/>
      <w:pPr>
        <w:ind w:left="940" w:hanging="360"/>
      </w:pPr>
      <w:rPr>
        <w:rFonts w:ascii="Wingdings" w:hAnsi="Wingdings"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11">
    <w:nsid w:val="5BCE416C"/>
    <w:multiLevelType w:val="hybridMultilevel"/>
    <w:tmpl w:val="2A9279F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364931"/>
    <w:multiLevelType w:val="hybridMultilevel"/>
    <w:tmpl w:val="214A7EB6"/>
    <w:lvl w:ilvl="0">
      <w:start w:val="1"/>
      <w:numFmt w:val="bullet"/>
      <w:lvlText w:val=""/>
      <w:lvlJc w:val="left"/>
      <w:pPr>
        <w:ind w:left="940" w:hanging="360"/>
      </w:pPr>
      <w:rPr>
        <w:rFonts w:ascii="Wingdings" w:hAnsi="Wingdings"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13">
    <w:nsid w:val="5E732E22"/>
    <w:multiLevelType w:val="hybridMultilevel"/>
    <w:tmpl w:val="D9F049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A451D7"/>
    <w:multiLevelType w:val="hybridMultilevel"/>
    <w:tmpl w:val="CC3C9734"/>
    <w:lvl w:ilvl="0">
      <w:start w:val="1"/>
      <w:numFmt w:val="bullet"/>
      <w:lvlText w:val=""/>
      <w:lvlJc w:val="left"/>
      <w:pPr>
        <w:ind w:left="940" w:hanging="360"/>
      </w:pPr>
      <w:rPr>
        <w:rFonts w:ascii="Wingdings" w:hAnsi="Wingdings"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15">
    <w:nsid w:val="62511B3D"/>
    <w:multiLevelType w:val="hybridMultilevel"/>
    <w:tmpl w:val="CD48F2A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B1590F"/>
    <w:multiLevelType w:val="hybridMultilevel"/>
    <w:tmpl w:val="B88A0A06"/>
    <w:lvl w:ilvl="0">
      <w:start w:val="1"/>
      <w:numFmt w:val="bullet"/>
      <w:lvlText w:val=""/>
      <w:lvlJc w:val="left"/>
      <w:pPr>
        <w:ind w:left="940" w:hanging="360"/>
      </w:pPr>
      <w:rPr>
        <w:rFonts w:ascii="Wingdings" w:hAnsi="Wingdings"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17">
    <w:nsid w:val="7223763E"/>
    <w:multiLevelType w:val="hybridMultilevel"/>
    <w:tmpl w:val="0D8C25AA"/>
    <w:lvl w:ilvl="0">
      <w:start w:val="1"/>
      <w:numFmt w:val="bullet"/>
      <w:lvlText w:val=""/>
      <w:lvlJc w:val="left"/>
      <w:pPr>
        <w:ind w:left="940" w:hanging="360"/>
      </w:pPr>
      <w:rPr>
        <w:rFonts w:ascii="Wingdings" w:hAnsi="Wingdings"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18">
    <w:nsid w:val="72A32CE4"/>
    <w:multiLevelType w:val="hybridMultilevel"/>
    <w:tmpl w:val="B176A2EE"/>
    <w:lvl w:ilvl="0">
      <w:start w:val="1"/>
      <w:numFmt w:val="bullet"/>
      <w:lvlText w:val=""/>
      <w:lvlJc w:val="left"/>
      <w:pPr>
        <w:ind w:left="8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8753253">
    <w:abstractNumId w:val="19"/>
  </w:num>
  <w:num w:numId="2" w16cid:durableId="2143572985">
    <w:abstractNumId w:val="3"/>
  </w:num>
  <w:num w:numId="3" w16cid:durableId="752288093">
    <w:abstractNumId w:val="13"/>
  </w:num>
  <w:num w:numId="4" w16cid:durableId="671031442">
    <w:abstractNumId w:val="13"/>
  </w:num>
  <w:num w:numId="5" w16cid:durableId="1501431440">
    <w:abstractNumId w:val="4"/>
  </w:num>
  <w:num w:numId="6" w16cid:durableId="62996726">
    <w:abstractNumId w:val="5"/>
  </w:num>
  <w:num w:numId="7" w16cid:durableId="773552446">
    <w:abstractNumId w:val="17"/>
  </w:num>
  <w:num w:numId="8" w16cid:durableId="193736407">
    <w:abstractNumId w:val="14"/>
  </w:num>
  <w:num w:numId="9" w16cid:durableId="69162123">
    <w:abstractNumId w:val="10"/>
  </w:num>
  <w:num w:numId="10" w16cid:durableId="2057191858">
    <w:abstractNumId w:val="12"/>
  </w:num>
  <w:num w:numId="11" w16cid:durableId="1887377316">
    <w:abstractNumId w:val="16"/>
  </w:num>
  <w:num w:numId="12" w16cid:durableId="916790297">
    <w:abstractNumId w:val="2"/>
  </w:num>
  <w:num w:numId="13" w16cid:durableId="1364745417">
    <w:abstractNumId w:val="9"/>
  </w:num>
  <w:num w:numId="14" w16cid:durableId="633368403">
    <w:abstractNumId w:val="8"/>
  </w:num>
  <w:num w:numId="15" w16cid:durableId="1908607937">
    <w:abstractNumId w:val="6"/>
  </w:num>
  <w:num w:numId="16" w16cid:durableId="2082865603">
    <w:abstractNumId w:val="15"/>
  </w:num>
  <w:num w:numId="17" w16cid:durableId="1444809073">
    <w:abstractNumId w:val="18"/>
  </w:num>
  <w:num w:numId="18" w16cid:durableId="1511333855">
    <w:abstractNumId w:val="0"/>
  </w:num>
  <w:num w:numId="19" w16cid:durableId="1608196991">
    <w:abstractNumId w:val="1"/>
  </w:num>
  <w:num w:numId="20" w16cid:durableId="2117172324">
    <w:abstractNumId w:val="7"/>
  </w:num>
  <w:num w:numId="21" w16cid:durableId="193200576">
    <w:abstractNumId w:val="11"/>
  </w:num>
  <w:num w:numId="22" w16cid:durableId="18838630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260E"/>
    <w:rsid w:val="000068FB"/>
    <w:rsid w:val="00010145"/>
    <w:rsid w:val="00015E08"/>
    <w:rsid w:val="000202E6"/>
    <w:rsid w:val="0002079A"/>
    <w:rsid w:val="00022FD3"/>
    <w:rsid w:val="00023C14"/>
    <w:rsid w:val="0002419C"/>
    <w:rsid w:val="00024811"/>
    <w:rsid w:val="00025129"/>
    <w:rsid w:val="000261BE"/>
    <w:rsid w:val="00030FA0"/>
    <w:rsid w:val="00032928"/>
    <w:rsid w:val="00033D27"/>
    <w:rsid w:val="000429C7"/>
    <w:rsid w:val="00043E23"/>
    <w:rsid w:val="00047159"/>
    <w:rsid w:val="00051671"/>
    <w:rsid w:val="00055796"/>
    <w:rsid w:val="00061587"/>
    <w:rsid w:val="00061B90"/>
    <w:rsid w:val="00061C42"/>
    <w:rsid w:val="00063B4D"/>
    <w:rsid w:val="00066438"/>
    <w:rsid w:val="00070B11"/>
    <w:rsid w:val="00070CC5"/>
    <w:rsid w:val="00072B88"/>
    <w:rsid w:val="00073E85"/>
    <w:rsid w:val="00074413"/>
    <w:rsid w:val="0007743A"/>
    <w:rsid w:val="0007757B"/>
    <w:rsid w:val="000814FD"/>
    <w:rsid w:val="00081D2E"/>
    <w:rsid w:val="000825CC"/>
    <w:rsid w:val="00082800"/>
    <w:rsid w:val="000842A8"/>
    <w:rsid w:val="00090F57"/>
    <w:rsid w:val="000916C9"/>
    <w:rsid w:val="00091EDA"/>
    <w:rsid w:val="00092493"/>
    <w:rsid w:val="00095B14"/>
    <w:rsid w:val="00096AE6"/>
    <w:rsid w:val="000A188A"/>
    <w:rsid w:val="000A562C"/>
    <w:rsid w:val="000B1F83"/>
    <w:rsid w:val="000B63F0"/>
    <w:rsid w:val="000B6EBE"/>
    <w:rsid w:val="000C0ADE"/>
    <w:rsid w:val="000C3D28"/>
    <w:rsid w:val="000C4F12"/>
    <w:rsid w:val="000C53BF"/>
    <w:rsid w:val="000D1134"/>
    <w:rsid w:val="000D4A7C"/>
    <w:rsid w:val="000D74E5"/>
    <w:rsid w:val="000E3F45"/>
    <w:rsid w:val="000E7BB3"/>
    <w:rsid w:val="000F0106"/>
    <w:rsid w:val="000F5FEB"/>
    <w:rsid w:val="000F6847"/>
    <w:rsid w:val="000F7567"/>
    <w:rsid w:val="001008A3"/>
    <w:rsid w:val="001014B4"/>
    <w:rsid w:val="00101C11"/>
    <w:rsid w:val="00103AA2"/>
    <w:rsid w:val="00103AF1"/>
    <w:rsid w:val="00103DF8"/>
    <w:rsid w:val="00104A98"/>
    <w:rsid w:val="00110F46"/>
    <w:rsid w:val="00114567"/>
    <w:rsid w:val="001162F0"/>
    <w:rsid w:val="001174C4"/>
    <w:rsid w:val="00117F85"/>
    <w:rsid w:val="001215AE"/>
    <w:rsid w:val="001223E0"/>
    <w:rsid w:val="001232B4"/>
    <w:rsid w:val="00125ADE"/>
    <w:rsid w:val="0012625C"/>
    <w:rsid w:val="00126EEA"/>
    <w:rsid w:val="001330ED"/>
    <w:rsid w:val="001335ED"/>
    <w:rsid w:val="00133E32"/>
    <w:rsid w:val="001340DD"/>
    <w:rsid w:val="00134394"/>
    <w:rsid w:val="00134DAB"/>
    <w:rsid w:val="0015132E"/>
    <w:rsid w:val="001520D9"/>
    <w:rsid w:val="001526DC"/>
    <w:rsid w:val="00152A29"/>
    <w:rsid w:val="001536CC"/>
    <w:rsid w:val="00155294"/>
    <w:rsid w:val="00155AC5"/>
    <w:rsid w:val="001576ED"/>
    <w:rsid w:val="00167981"/>
    <w:rsid w:val="00176B0B"/>
    <w:rsid w:val="0018186E"/>
    <w:rsid w:val="00184C1F"/>
    <w:rsid w:val="0018520C"/>
    <w:rsid w:val="00185383"/>
    <w:rsid w:val="001877EE"/>
    <w:rsid w:val="00187E7B"/>
    <w:rsid w:val="001943FF"/>
    <w:rsid w:val="00194DE1"/>
    <w:rsid w:val="00197F41"/>
    <w:rsid w:val="001A7B43"/>
    <w:rsid w:val="001B4944"/>
    <w:rsid w:val="001B5B96"/>
    <w:rsid w:val="001B7330"/>
    <w:rsid w:val="001B7BD4"/>
    <w:rsid w:val="001C050B"/>
    <w:rsid w:val="001C3337"/>
    <w:rsid w:val="001C33BA"/>
    <w:rsid w:val="001C440D"/>
    <w:rsid w:val="001C6014"/>
    <w:rsid w:val="001C795C"/>
    <w:rsid w:val="001D0802"/>
    <w:rsid w:val="001D0879"/>
    <w:rsid w:val="001D45B3"/>
    <w:rsid w:val="001D4C10"/>
    <w:rsid w:val="001D5630"/>
    <w:rsid w:val="001D6706"/>
    <w:rsid w:val="001D691C"/>
    <w:rsid w:val="001E0236"/>
    <w:rsid w:val="001E0EA6"/>
    <w:rsid w:val="001E115E"/>
    <w:rsid w:val="001E3280"/>
    <w:rsid w:val="001E3FDE"/>
    <w:rsid w:val="001E437B"/>
    <w:rsid w:val="001E4D4C"/>
    <w:rsid w:val="001E721D"/>
    <w:rsid w:val="001F0330"/>
    <w:rsid w:val="001F1A2A"/>
    <w:rsid w:val="001F27BF"/>
    <w:rsid w:val="001F28F2"/>
    <w:rsid w:val="001F5A32"/>
    <w:rsid w:val="00200292"/>
    <w:rsid w:val="00200F1A"/>
    <w:rsid w:val="00201FF0"/>
    <w:rsid w:val="0020651D"/>
    <w:rsid w:val="0021383D"/>
    <w:rsid w:val="00216406"/>
    <w:rsid w:val="00217061"/>
    <w:rsid w:val="002221A7"/>
    <w:rsid w:val="00224429"/>
    <w:rsid w:val="002311D3"/>
    <w:rsid w:val="00231E0D"/>
    <w:rsid w:val="002364C2"/>
    <w:rsid w:val="002410A7"/>
    <w:rsid w:val="00241E84"/>
    <w:rsid w:val="002437CE"/>
    <w:rsid w:val="002455D2"/>
    <w:rsid w:val="00247992"/>
    <w:rsid w:val="00253C20"/>
    <w:rsid w:val="00254116"/>
    <w:rsid w:val="00262F32"/>
    <w:rsid w:val="00263001"/>
    <w:rsid w:val="0026324F"/>
    <w:rsid w:val="00263ADB"/>
    <w:rsid w:val="0026430A"/>
    <w:rsid w:val="00264EC5"/>
    <w:rsid w:val="002659E0"/>
    <w:rsid w:val="00265B27"/>
    <w:rsid w:val="00271EF4"/>
    <w:rsid w:val="002732BE"/>
    <w:rsid w:val="002758BA"/>
    <w:rsid w:val="00276347"/>
    <w:rsid w:val="00276DA3"/>
    <w:rsid w:val="002776FD"/>
    <w:rsid w:val="0028612C"/>
    <w:rsid w:val="00286FE7"/>
    <w:rsid w:val="0029171B"/>
    <w:rsid w:val="00293055"/>
    <w:rsid w:val="00293482"/>
    <w:rsid w:val="00294152"/>
    <w:rsid w:val="0029478C"/>
    <w:rsid w:val="002951D1"/>
    <w:rsid w:val="002A0BDF"/>
    <w:rsid w:val="002A13EE"/>
    <w:rsid w:val="002A2462"/>
    <w:rsid w:val="002A6CEF"/>
    <w:rsid w:val="002B0D46"/>
    <w:rsid w:val="002B14CE"/>
    <w:rsid w:val="002B3CB6"/>
    <w:rsid w:val="002B7620"/>
    <w:rsid w:val="002B7B66"/>
    <w:rsid w:val="002C01B4"/>
    <w:rsid w:val="002C07DC"/>
    <w:rsid w:val="002D037D"/>
    <w:rsid w:val="002D5189"/>
    <w:rsid w:val="002D5EF3"/>
    <w:rsid w:val="002E0754"/>
    <w:rsid w:val="002E2BE7"/>
    <w:rsid w:val="002E4B41"/>
    <w:rsid w:val="002E629C"/>
    <w:rsid w:val="002E69DB"/>
    <w:rsid w:val="002E7D86"/>
    <w:rsid w:val="002F0E5A"/>
    <w:rsid w:val="002F2C0A"/>
    <w:rsid w:val="002F6383"/>
    <w:rsid w:val="002F7B05"/>
    <w:rsid w:val="0030295F"/>
    <w:rsid w:val="003205A3"/>
    <w:rsid w:val="003221E6"/>
    <w:rsid w:val="00322F87"/>
    <w:rsid w:val="00323558"/>
    <w:rsid w:val="00325303"/>
    <w:rsid w:val="00326130"/>
    <w:rsid w:val="00330589"/>
    <w:rsid w:val="00331D6D"/>
    <w:rsid w:val="0033225D"/>
    <w:rsid w:val="003340C4"/>
    <w:rsid w:val="00335A9A"/>
    <w:rsid w:val="00336644"/>
    <w:rsid w:val="003400B7"/>
    <w:rsid w:val="00346F45"/>
    <w:rsid w:val="003519AC"/>
    <w:rsid w:val="0035270E"/>
    <w:rsid w:val="0035289A"/>
    <w:rsid w:val="00352A50"/>
    <w:rsid w:val="00353C6E"/>
    <w:rsid w:val="00357B4C"/>
    <w:rsid w:val="00360647"/>
    <w:rsid w:val="0036172D"/>
    <w:rsid w:val="00362CC2"/>
    <w:rsid w:val="00362D7D"/>
    <w:rsid w:val="0036509B"/>
    <w:rsid w:val="003669DA"/>
    <w:rsid w:val="00367E8B"/>
    <w:rsid w:val="003737FC"/>
    <w:rsid w:val="00373B02"/>
    <w:rsid w:val="003743B6"/>
    <w:rsid w:val="0037541C"/>
    <w:rsid w:val="00376F09"/>
    <w:rsid w:val="0038052D"/>
    <w:rsid w:val="0038136F"/>
    <w:rsid w:val="00384450"/>
    <w:rsid w:val="00385E77"/>
    <w:rsid w:val="00394942"/>
    <w:rsid w:val="00397347"/>
    <w:rsid w:val="003973BE"/>
    <w:rsid w:val="003A6DE5"/>
    <w:rsid w:val="003B11EE"/>
    <w:rsid w:val="003B17BC"/>
    <w:rsid w:val="003B5420"/>
    <w:rsid w:val="003C4EA2"/>
    <w:rsid w:val="003C5A77"/>
    <w:rsid w:val="003D2911"/>
    <w:rsid w:val="003D2D73"/>
    <w:rsid w:val="003D2DA3"/>
    <w:rsid w:val="003D313B"/>
    <w:rsid w:val="003D3C42"/>
    <w:rsid w:val="003D7084"/>
    <w:rsid w:val="003E2DFB"/>
    <w:rsid w:val="003E5670"/>
    <w:rsid w:val="003E5882"/>
    <w:rsid w:val="003E67BE"/>
    <w:rsid w:val="003E6B82"/>
    <w:rsid w:val="003F2AFC"/>
    <w:rsid w:val="003F4865"/>
    <w:rsid w:val="003F4C38"/>
    <w:rsid w:val="003F7042"/>
    <w:rsid w:val="004016A5"/>
    <w:rsid w:val="00403DCE"/>
    <w:rsid w:val="00403EC2"/>
    <w:rsid w:val="00403EF9"/>
    <w:rsid w:val="00405F77"/>
    <w:rsid w:val="0040704D"/>
    <w:rsid w:val="00407630"/>
    <w:rsid w:val="00412342"/>
    <w:rsid w:val="00412A7F"/>
    <w:rsid w:val="00412C7B"/>
    <w:rsid w:val="004136B5"/>
    <w:rsid w:val="004204FF"/>
    <w:rsid w:val="004220AB"/>
    <w:rsid w:val="00423EC2"/>
    <w:rsid w:val="00430732"/>
    <w:rsid w:val="0043494C"/>
    <w:rsid w:val="0043634B"/>
    <w:rsid w:val="004368E3"/>
    <w:rsid w:val="0043711D"/>
    <w:rsid w:val="00437307"/>
    <w:rsid w:val="0044017D"/>
    <w:rsid w:val="004421AC"/>
    <w:rsid w:val="00444E4C"/>
    <w:rsid w:val="00447ECB"/>
    <w:rsid w:val="0045240E"/>
    <w:rsid w:val="004542DB"/>
    <w:rsid w:val="0045454E"/>
    <w:rsid w:val="0045664B"/>
    <w:rsid w:val="00457887"/>
    <w:rsid w:val="00457A06"/>
    <w:rsid w:val="00463539"/>
    <w:rsid w:val="0046489C"/>
    <w:rsid w:val="0046592A"/>
    <w:rsid w:val="00466C62"/>
    <w:rsid w:val="0047043D"/>
    <w:rsid w:val="0047066F"/>
    <w:rsid w:val="004713B4"/>
    <w:rsid w:val="004716A5"/>
    <w:rsid w:val="0047413B"/>
    <w:rsid w:val="004761FC"/>
    <w:rsid w:val="00477E38"/>
    <w:rsid w:val="004814DF"/>
    <w:rsid w:val="0048279E"/>
    <w:rsid w:val="00483A0A"/>
    <w:rsid w:val="0048418D"/>
    <w:rsid w:val="004849AB"/>
    <w:rsid w:val="00487A35"/>
    <w:rsid w:val="00491E39"/>
    <w:rsid w:val="004921BB"/>
    <w:rsid w:val="0049344A"/>
    <w:rsid w:val="004955A7"/>
    <w:rsid w:val="00495D25"/>
    <w:rsid w:val="00497885"/>
    <w:rsid w:val="004A0EA1"/>
    <w:rsid w:val="004A1161"/>
    <w:rsid w:val="004A321A"/>
    <w:rsid w:val="004A3774"/>
    <w:rsid w:val="004A77B5"/>
    <w:rsid w:val="004B42E7"/>
    <w:rsid w:val="004B774D"/>
    <w:rsid w:val="004B7A71"/>
    <w:rsid w:val="004B7F96"/>
    <w:rsid w:val="004C42B5"/>
    <w:rsid w:val="004C541C"/>
    <w:rsid w:val="004C7F0F"/>
    <w:rsid w:val="004D084E"/>
    <w:rsid w:val="004D2FFB"/>
    <w:rsid w:val="004D37B4"/>
    <w:rsid w:val="004D645F"/>
    <w:rsid w:val="004E0AB8"/>
    <w:rsid w:val="004E2869"/>
    <w:rsid w:val="004E3884"/>
    <w:rsid w:val="004E3C16"/>
    <w:rsid w:val="004E5348"/>
    <w:rsid w:val="004E5A82"/>
    <w:rsid w:val="004E6C36"/>
    <w:rsid w:val="004E7F4D"/>
    <w:rsid w:val="004F05C0"/>
    <w:rsid w:val="004F2095"/>
    <w:rsid w:val="004F2C3B"/>
    <w:rsid w:val="00501A9A"/>
    <w:rsid w:val="00502C1C"/>
    <w:rsid w:val="00507C59"/>
    <w:rsid w:val="005123E6"/>
    <w:rsid w:val="005138C2"/>
    <w:rsid w:val="0051775F"/>
    <w:rsid w:val="0052076B"/>
    <w:rsid w:val="00520A0A"/>
    <w:rsid w:val="005210AD"/>
    <w:rsid w:val="005210D6"/>
    <w:rsid w:val="0052127E"/>
    <w:rsid w:val="0052176B"/>
    <w:rsid w:val="0052194A"/>
    <w:rsid w:val="005223B2"/>
    <w:rsid w:val="005232F7"/>
    <w:rsid w:val="00525055"/>
    <w:rsid w:val="00526092"/>
    <w:rsid w:val="00527B03"/>
    <w:rsid w:val="00530CC6"/>
    <w:rsid w:val="00531461"/>
    <w:rsid w:val="005319B3"/>
    <w:rsid w:val="005338A5"/>
    <w:rsid w:val="00534C91"/>
    <w:rsid w:val="00536178"/>
    <w:rsid w:val="00536D92"/>
    <w:rsid w:val="00536DA8"/>
    <w:rsid w:val="00537541"/>
    <w:rsid w:val="005418B4"/>
    <w:rsid w:val="00542622"/>
    <w:rsid w:val="005434FC"/>
    <w:rsid w:val="00543EF3"/>
    <w:rsid w:val="00544FF4"/>
    <w:rsid w:val="00545E25"/>
    <w:rsid w:val="00545FE7"/>
    <w:rsid w:val="00546E39"/>
    <w:rsid w:val="00547926"/>
    <w:rsid w:val="00553187"/>
    <w:rsid w:val="00554421"/>
    <w:rsid w:val="00554706"/>
    <w:rsid w:val="00554DD7"/>
    <w:rsid w:val="00555D58"/>
    <w:rsid w:val="005573A1"/>
    <w:rsid w:val="00560B8A"/>
    <w:rsid w:val="00561FCF"/>
    <w:rsid w:val="00565E05"/>
    <w:rsid w:val="00566F8C"/>
    <w:rsid w:val="0057063B"/>
    <w:rsid w:val="00570FFF"/>
    <w:rsid w:val="00572691"/>
    <w:rsid w:val="00573DBE"/>
    <w:rsid w:val="005749F8"/>
    <w:rsid w:val="00577275"/>
    <w:rsid w:val="00577B4D"/>
    <w:rsid w:val="005844E7"/>
    <w:rsid w:val="0058705E"/>
    <w:rsid w:val="005906B4"/>
    <w:rsid w:val="00590E40"/>
    <w:rsid w:val="00591843"/>
    <w:rsid w:val="00592175"/>
    <w:rsid w:val="005923A9"/>
    <w:rsid w:val="00593618"/>
    <w:rsid w:val="00596481"/>
    <w:rsid w:val="005A15EA"/>
    <w:rsid w:val="005B2907"/>
    <w:rsid w:val="005B594A"/>
    <w:rsid w:val="005B5ACD"/>
    <w:rsid w:val="005B6BD1"/>
    <w:rsid w:val="005C00AB"/>
    <w:rsid w:val="005C0C4F"/>
    <w:rsid w:val="005C565F"/>
    <w:rsid w:val="005C677C"/>
    <w:rsid w:val="005D1E82"/>
    <w:rsid w:val="005D27EE"/>
    <w:rsid w:val="005D2F3C"/>
    <w:rsid w:val="005E1145"/>
    <w:rsid w:val="005E296C"/>
    <w:rsid w:val="005E2E60"/>
    <w:rsid w:val="005E2F84"/>
    <w:rsid w:val="005E6189"/>
    <w:rsid w:val="005F6E73"/>
    <w:rsid w:val="00602222"/>
    <w:rsid w:val="00603AE2"/>
    <w:rsid w:val="00604509"/>
    <w:rsid w:val="00604835"/>
    <w:rsid w:val="00604A6C"/>
    <w:rsid w:val="00604C34"/>
    <w:rsid w:val="00610607"/>
    <w:rsid w:val="00615B7C"/>
    <w:rsid w:val="00615CE1"/>
    <w:rsid w:val="0062442E"/>
    <w:rsid w:val="00625FDB"/>
    <w:rsid w:val="006305C5"/>
    <w:rsid w:val="006312CD"/>
    <w:rsid w:val="006337D8"/>
    <w:rsid w:val="00636281"/>
    <w:rsid w:val="006370BD"/>
    <w:rsid w:val="00640FBE"/>
    <w:rsid w:val="006416E8"/>
    <w:rsid w:val="00642C77"/>
    <w:rsid w:val="00644A74"/>
    <w:rsid w:val="00651FB5"/>
    <w:rsid w:val="0065336C"/>
    <w:rsid w:val="00653968"/>
    <w:rsid w:val="00660C27"/>
    <w:rsid w:val="0066182C"/>
    <w:rsid w:val="00662395"/>
    <w:rsid w:val="00662FA9"/>
    <w:rsid w:val="00666953"/>
    <w:rsid w:val="00666F15"/>
    <w:rsid w:val="00672CE4"/>
    <w:rsid w:val="00673EBD"/>
    <w:rsid w:val="0067446A"/>
    <w:rsid w:val="0067658C"/>
    <w:rsid w:val="00676B55"/>
    <w:rsid w:val="006774FB"/>
    <w:rsid w:val="006830CD"/>
    <w:rsid w:val="0068440F"/>
    <w:rsid w:val="00685832"/>
    <w:rsid w:val="00685F48"/>
    <w:rsid w:val="0069030C"/>
    <w:rsid w:val="006906C7"/>
    <w:rsid w:val="0069256F"/>
    <w:rsid w:val="00692E28"/>
    <w:rsid w:val="006937C8"/>
    <w:rsid w:val="006A2C1B"/>
    <w:rsid w:val="006A310F"/>
    <w:rsid w:val="006A33D4"/>
    <w:rsid w:val="006A4FB3"/>
    <w:rsid w:val="006A6A5A"/>
    <w:rsid w:val="006A7B40"/>
    <w:rsid w:val="006B1061"/>
    <w:rsid w:val="006B1C14"/>
    <w:rsid w:val="006B1D11"/>
    <w:rsid w:val="006B51AD"/>
    <w:rsid w:val="006B62A4"/>
    <w:rsid w:val="006B7FED"/>
    <w:rsid w:val="006C10BD"/>
    <w:rsid w:val="006C133A"/>
    <w:rsid w:val="006C2A6F"/>
    <w:rsid w:val="006C4145"/>
    <w:rsid w:val="006C6C9F"/>
    <w:rsid w:val="006D4583"/>
    <w:rsid w:val="006D5313"/>
    <w:rsid w:val="006E198A"/>
    <w:rsid w:val="006E394A"/>
    <w:rsid w:val="006E5577"/>
    <w:rsid w:val="006E5991"/>
    <w:rsid w:val="006E62FE"/>
    <w:rsid w:val="006F2693"/>
    <w:rsid w:val="006F50BC"/>
    <w:rsid w:val="006F525F"/>
    <w:rsid w:val="00700272"/>
    <w:rsid w:val="00702EF3"/>
    <w:rsid w:val="00703458"/>
    <w:rsid w:val="007047DC"/>
    <w:rsid w:val="00706823"/>
    <w:rsid w:val="0070745B"/>
    <w:rsid w:val="007131E9"/>
    <w:rsid w:val="00713EE9"/>
    <w:rsid w:val="007152FE"/>
    <w:rsid w:val="00717824"/>
    <w:rsid w:val="00720363"/>
    <w:rsid w:val="0072120A"/>
    <w:rsid w:val="00721DA2"/>
    <w:rsid w:val="007225BD"/>
    <w:rsid w:val="00723771"/>
    <w:rsid w:val="007272AB"/>
    <w:rsid w:val="0073645F"/>
    <w:rsid w:val="00740426"/>
    <w:rsid w:val="00742231"/>
    <w:rsid w:val="00742615"/>
    <w:rsid w:val="00744DA1"/>
    <w:rsid w:val="007466D3"/>
    <w:rsid w:val="00747D44"/>
    <w:rsid w:val="00751B1A"/>
    <w:rsid w:val="00751B24"/>
    <w:rsid w:val="00756650"/>
    <w:rsid w:val="00757D25"/>
    <w:rsid w:val="0076005D"/>
    <w:rsid w:val="007612EA"/>
    <w:rsid w:val="0076140F"/>
    <w:rsid w:val="0076455A"/>
    <w:rsid w:val="00766868"/>
    <w:rsid w:val="0076762E"/>
    <w:rsid w:val="0077066D"/>
    <w:rsid w:val="007803ED"/>
    <w:rsid w:val="00780FC9"/>
    <w:rsid w:val="00786106"/>
    <w:rsid w:val="00786E62"/>
    <w:rsid w:val="00787A9E"/>
    <w:rsid w:val="00791FCC"/>
    <w:rsid w:val="0079389A"/>
    <w:rsid w:val="00796918"/>
    <w:rsid w:val="007972CA"/>
    <w:rsid w:val="007A3F67"/>
    <w:rsid w:val="007A4B73"/>
    <w:rsid w:val="007B266F"/>
    <w:rsid w:val="007B6959"/>
    <w:rsid w:val="007B7959"/>
    <w:rsid w:val="007C2845"/>
    <w:rsid w:val="007C323D"/>
    <w:rsid w:val="007C60CA"/>
    <w:rsid w:val="007C68BE"/>
    <w:rsid w:val="007D0472"/>
    <w:rsid w:val="007D1ACA"/>
    <w:rsid w:val="007D1D53"/>
    <w:rsid w:val="007D362B"/>
    <w:rsid w:val="007D4EED"/>
    <w:rsid w:val="007D4F77"/>
    <w:rsid w:val="007D658F"/>
    <w:rsid w:val="007D6C99"/>
    <w:rsid w:val="007E1441"/>
    <w:rsid w:val="007E2CA3"/>
    <w:rsid w:val="007E4D60"/>
    <w:rsid w:val="007E722C"/>
    <w:rsid w:val="007F0656"/>
    <w:rsid w:val="007F12A0"/>
    <w:rsid w:val="007F12FE"/>
    <w:rsid w:val="007F2AA3"/>
    <w:rsid w:val="007F653C"/>
    <w:rsid w:val="00802F03"/>
    <w:rsid w:val="0080494C"/>
    <w:rsid w:val="008069D1"/>
    <w:rsid w:val="00807826"/>
    <w:rsid w:val="008100E5"/>
    <w:rsid w:val="0081099D"/>
    <w:rsid w:val="0081285F"/>
    <w:rsid w:val="0081633A"/>
    <w:rsid w:val="00821C8C"/>
    <w:rsid w:val="008245C6"/>
    <w:rsid w:val="0082618E"/>
    <w:rsid w:val="008305D6"/>
    <w:rsid w:val="00830E16"/>
    <w:rsid w:val="0083106E"/>
    <w:rsid w:val="0083226B"/>
    <w:rsid w:val="008333C8"/>
    <w:rsid w:val="00836C53"/>
    <w:rsid w:val="00840789"/>
    <w:rsid w:val="00846664"/>
    <w:rsid w:val="00853109"/>
    <w:rsid w:val="00853CD1"/>
    <w:rsid w:val="0085484D"/>
    <w:rsid w:val="008562A2"/>
    <w:rsid w:val="00861F0B"/>
    <w:rsid w:val="00864CCB"/>
    <w:rsid w:val="00864EA5"/>
    <w:rsid w:val="008737EF"/>
    <w:rsid w:val="00874FAF"/>
    <w:rsid w:val="00885A00"/>
    <w:rsid w:val="0088616E"/>
    <w:rsid w:val="00890EBD"/>
    <w:rsid w:val="00893582"/>
    <w:rsid w:val="00893E1D"/>
    <w:rsid w:val="00894AB6"/>
    <w:rsid w:val="00894C81"/>
    <w:rsid w:val="008969F4"/>
    <w:rsid w:val="008A07F2"/>
    <w:rsid w:val="008A4BB5"/>
    <w:rsid w:val="008A6EFA"/>
    <w:rsid w:val="008A6F44"/>
    <w:rsid w:val="008A74CD"/>
    <w:rsid w:val="008B6307"/>
    <w:rsid w:val="008C1983"/>
    <w:rsid w:val="008C3F99"/>
    <w:rsid w:val="008C63AF"/>
    <w:rsid w:val="008C645F"/>
    <w:rsid w:val="008C6845"/>
    <w:rsid w:val="008D1A87"/>
    <w:rsid w:val="008D1C71"/>
    <w:rsid w:val="008D20E0"/>
    <w:rsid w:val="008D27D3"/>
    <w:rsid w:val="008D6862"/>
    <w:rsid w:val="008E2410"/>
    <w:rsid w:val="008E3676"/>
    <w:rsid w:val="008E416D"/>
    <w:rsid w:val="008E7581"/>
    <w:rsid w:val="008F105B"/>
    <w:rsid w:val="008F2A74"/>
    <w:rsid w:val="008F3442"/>
    <w:rsid w:val="008F4BF8"/>
    <w:rsid w:val="008F4D44"/>
    <w:rsid w:val="008F6095"/>
    <w:rsid w:val="009002E0"/>
    <w:rsid w:val="00900436"/>
    <w:rsid w:val="009014CF"/>
    <w:rsid w:val="00901C57"/>
    <w:rsid w:val="009045E3"/>
    <w:rsid w:val="00904938"/>
    <w:rsid w:val="00907B32"/>
    <w:rsid w:val="00907EDD"/>
    <w:rsid w:val="009100C0"/>
    <w:rsid w:val="00910252"/>
    <w:rsid w:val="00911A60"/>
    <w:rsid w:val="00912522"/>
    <w:rsid w:val="009139A2"/>
    <w:rsid w:val="00913DDE"/>
    <w:rsid w:val="0091524F"/>
    <w:rsid w:val="0091611C"/>
    <w:rsid w:val="009167FA"/>
    <w:rsid w:val="00921AE1"/>
    <w:rsid w:val="00922C89"/>
    <w:rsid w:val="0092433D"/>
    <w:rsid w:val="00926D19"/>
    <w:rsid w:val="0092723C"/>
    <w:rsid w:val="00930109"/>
    <w:rsid w:val="0093094A"/>
    <w:rsid w:val="009312D3"/>
    <w:rsid w:val="00931BA5"/>
    <w:rsid w:val="009320E5"/>
    <w:rsid w:val="009364C8"/>
    <w:rsid w:val="00942676"/>
    <w:rsid w:val="00943329"/>
    <w:rsid w:val="00943D1F"/>
    <w:rsid w:val="00945E2E"/>
    <w:rsid w:val="009460EF"/>
    <w:rsid w:val="00946490"/>
    <w:rsid w:val="009533BB"/>
    <w:rsid w:val="00953421"/>
    <w:rsid w:val="009539B2"/>
    <w:rsid w:val="00955CB1"/>
    <w:rsid w:val="009606AD"/>
    <w:rsid w:val="00961088"/>
    <w:rsid w:val="009618DB"/>
    <w:rsid w:val="00964730"/>
    <w:rsid w:val="00965A04"/>
    <w:rsid w:val="00966DF1"/>
    <w:rsid w:val="00967F8D"/>
    <w:rsid w:val="00973CD5"/>
    <w:rsid w:val="00974D81"/>
    <w:rsid w:val="00976618"/>
    <w:rsid w:val="00980007"/>
    <w:rsid w:val="009802CB"/>
    <w:rsid w:val="009917EF"/>
    <w:rsid w:val="00992BD4"/>
    <w:rsid w:val="00994B40"/>
    <w:rsid w:val="0099557D"/>
    <w:rsid w:val="00996590"/>
    <w:rsid w:val="00997BA5"/>
    <w:rsid w:val="009A1F49"/>
    <w:rsid w:val="009A2EF8"/>
    <w:rsid w:val="009A34E3"/>
    <w:rsid w:val="009A5C03"/>
    <w:rsid w:val="009A6050"/>
    <w:rsid w:val="009A6465"/>
    <w:rsid w:val="009B0BD3"/>
    <w:rsid w:val="009B66F9"/>
    <w:rsid w:val="009B6A3A"/>
    <w:rsid w:val="009C2037"/>
    <w:rsid w:val="009C3BB4"/>
    <w:rsid w:val="009C4C6B"/>
    <w:rsid w:val="009C787F"/>
    <w:rsid w:val="009D00D2"/>
    <w:rsid w:val="009D0192"/>
    <w:rsid w:val="009D1CF3"/>
    <w:rsid w:val="009D1F19"/>
    <w:rsid w:val="009D2A30"/>
    <w:rsid w:val="009D3399"/>
    <w:rsid w:val="009D4B3B"/>
    <w:rsid w:val="009D69E2"/>
    <w:rsid w:val="009E358B"/>
    <w:rsid w:val="009E48BE"/>
    <w:rsid w:val="009E7A9D"/>
    <w:rsid w:val="009F0231"/>
    <w:rsid w:val="009F0FBD"/>
    <w:rsid w:val="009F1E44"/>
    <w:rsid w:val="009F1EDE"/>
    <w:rsid w:val="009F3AA5"/>
    <w:rsid w:val="009F4668"/>
    <w:rsid w:val="009F739C"/>
    <w:rsid w:val="009F7B5A"/>
    <w:rsid w:val="00A01429"/>
    <w:rsid w:val="00A02436"/>
    <w:rsid w:val="00A0692E"/>
    <w:rsid w:val="00A11203"/>
    <w:rsid w:val="00A12D0D"/>
    <w:rsid w:val="00A133F8"/>
    <w:rsid w:val="00A14146"/>
    <w:rsid w:val="00A14337"/>
    <w:rsid w:val="00A147F5"/>
    <w:rsid w:val="00A14A3B"/>
    <w:rsid w:val="00A16407"/>
    <w:rsid w:val="00A167AE"/>
    <w:rsid w:val="00A171C6"/>
    <w:rsid w:val="00A20BC1"/>
    <w:rsid w:val="00A20F2D"/>
    <w:rsid w:val="00A245C4"/>
    <w:rsid w:val="00A25075"/>
    <w:rsid w:val="00A27E4E"/>
    <w:rsid w:val="00A30BAE"/>
    <w:rsid w:val="00A343E0"/>
    <w:rsid w:val="00A35326"/>
    <w:rsid w:val="00A357F3"/>
    <w:rsid w:val="00A431B5"/>
    <w:rsid w:val="00A44C7E"/>
    <w:rsid w:val="00A476D4"/>
    <w:rsid w:val="00A52B50"/>
    <w:rsid w:val="00A56701"/>
    <w:rsid w:val="00A57D72"/>
    <w:rsid w:val="00A625AF"/>
    <w:rsid w:val="00A64469"/>
    <w:rsid w:val="00A65D5B"/>
    <w:rsid w:val="00A7051A"/>
    <w:rsid w:val="00A705A4"/>
    <w:rsid w:val="00A72A97"/>
    <w:rsid w:val="00A755F4"/>
    <w:rsid w:val="00A764E4"/>
    <w:rsid w:val="00A80FD7"/>
    <w:rsid w:val="00A82725"/>
    <w:rsid w:val="00A85909"/>
    <w:rsid w:val="00A85FD3"/>
    <w:rsid w:val="00A878BD"/>
    <w:rsid w:val="00A9020E"/>
    <w:rsid w:val="00A90BCC"/>
    <w:rsid w:val="00A918E2"/>
    <w:rsid w:val="00A923D9"/>
    <w:rsid w:val="00A93A5E"/>
    <w:rsid w:val="00A93C55"/>
    <w:rsid w:val="00A93E81"/>
    <w:rsid w:val="00A94A8E"/>
    <w:rsid w:val="00A9520C"/>
    <w:rsid w:val="00A97365"/>
    <w:rsid w:val="00AA5FDA"/>
    <w:rsid w:val="00AA6189"/>
    <w:rsid w:val="00AA6F3B"/>
    <w:rsid w:val="00AA7C5C"/>
    <w:rsid w:val="00AB1D4D"/>
    <w:rsid w:val="00AB2297"/>
    <w:rsid w:val="00AB23CE"/>
    <w:rsid w:val="00AB378C"/>
    <w:rsid w:val="00AB5184"/>
    <w:rsid w:val="00AB59E9"/>
    <w:rsid w:val="00AC15B8"/>
    <w:rsid w:val="00AC180D"/>
    <w:rsid w:val="00AC18D2"/>
    <w:rsid w:val="00AC4A1D"/>
    <w:rsid w:val="00AC4A99"/>
    <w:rsid w:val="00AD389E"/>
    <w:rsid w:val="00AD5B7D"/>
    <w:rsid w:val="00AD5FCE"/>
    <w:rsid w:val="00AD7093"/>
    <w:rsid w:val="00AE051B"/>
    <w:rsid w:val="00AE211C"/>
    <w:rsid w:val="00AE3028"/>
    <w:rsid w:val="00AE4AF0"/>
    <w:rsid w:val="00AF0A36"/>
    <w:rsid w:val="00AF1392"/>
    <w:rsid w:val="00AF26E7"/>
    <w:rsid w:val="00AF2CE8"/>
    <w:rsid w:val="00AF6795"/>
    <w:rsid w:val="00B02EA9"/>
    <w:rsid w:val="00B03C4F"/>
    <w:rsid w:val="00B05344"/>
    <w:rsid w:val="00B070B0"/>
    <w:rsid w:val="00B0795B"/>
    <w:rsid w:val="00B10C97"/>
    <w:rsid w:val="00B10FB9"/>
    <w:rsid w:val="00B10FD7"/>
    <w:rsid w:val="00B116E1"/>
    <w:rsid w:val="00B11C4A"/>
    <w:rsid w:val="00B216B3"/>
    <w:rsid w:val="00B217E9"/>
    <w:rsid w:val="00B31F2D"/>
    <w:rsid w:val="00B35E81"/>
    <w:rsid w:val="00B40FD5"/>
    <w:rsid w:val="00B4595D"/>
    <w:rsid w:val="00B538CA"/>
    <w:rsid w:val="00B554D8"/>
    <w:rsid w:val="00B56571"/>
    <w:rsid w:val="00B61AA7"/>
    <w:rsid w:val="00B64D5B"/>
    <w:rsid w:val="00B65095"/>
    <w:rsid w:val="00B65E2B"/>
    <w:rsid w:val="00B72DA9"/>
    <w:rsid w:val="00B77E2D"/>
    <w:rsid w:val="00B77F25"/>
    <w:rsid w:val="00B80076"/>
    <w:rsid w:val="00B81296"/>
    <w:rsid w:val="00B82BD4"/>
    <w:rsid w:val="00B864A8"/>
    <w:rsid w:val="00B868A2"/>
    <w:rsid w:val="00B86DD3"/>
    <w:rsid w:val="00B963ED"/>
    <w:rsid w:val="00B97C59"/>
    <w:rsid w:val="00B97CC8"/>
    <w:rsid w:val="00BA1E28"/>
    <w:rsid w:val="00BA6054"/>
    <w:rsid w:val="00BA6848"/>
    <w:rsid w:val="00BB49B7"/>
    <w:rsid w:val="00BB50FB"/>
    <w:rsid w:val="00BB5C31"/>
    <w:rsid w:val="00BB6146"/>
    <w:rsid w:val="00BB6A2D"/>
    <w:rsid w:val="00BC0BDF"/>
    <w:rsid w:val="00BC1D19"/>
    <w:rsid w:val="00BC3971"/>
    <w:rsid w:val="00BC522D"/>
    <w:rsid w:val="00BC72A4"/>
    <w:rsid w:val="00BD06D0"/>
    <w:rsid w:val="00BD0F59"/>
    <w:rsid w:val="00BD1585"/>
    <w:rsid w:val="00BD495F"/>
    <w:rsid w:val="00BD4E10"/>
    <w:rsid w:val="00BD61A5"/>
    <w:rsid w:val="00BE38F5"/>
    <w:rsid w:val="00BE52F4"/>
    <w:rsid w:val="00BE62F4"/>
    <w:rsid w:val="00BF2114"/>
    <w:rsid w:val="00BF224F"/>
    <w:rsid w:val="00C022DA"/>
    <w:rsid w:val="00C0357D"/>
    <w:rsid w:val="00C05211"/>
    <w:rsid w:val="00C14429"/>
    <w:rsid w:val="00C15A5B"/>
    <w:rsid w:val="00C22671"/>
    <w:rsid w:val="00C239F6"/>
    <w:rsid w:val="00C244B3"/>
    <w:rsid w:val="00C26630"/>
    <w:rsid w:val="00C27CF9"/>
    <w:rsid w:val="00C30A42"/>
    <w:rsid w:val="00C319AB"/>
    <w:rsid w:val="00C3226B"/>
    <w:rsid w:val="00C3373C"/>
    <w:rsid w:val="00C41EA2"/>
    <w:rsid w:val="00C43187"/>
    <w:rsid w:val="00C434EF"/>
    <w:rsid w:val="00C45047"/>
    <w:rsid w:val="00C47F4D"/>
    <w:rsid w:val="00C5095A"/>
    <w:rsid w:val="00C52BA5"/>
    <w:rsid w:val="00C53DD8"/>
    <w:rsid w:val="00C543FC"/>
    <w:rsid w:val="00C55911"/>
    <w:rsid w:val="00C55BF2"/>
    <w:rsid w:val="00C56209"/>
    <w:rsid w:val="00C56CFD"/>
    <w:rsid w:val="00C6003C"/>
    <w:rsid w:val="00C64F96"/>
    <w:rsid w:val="00C658D4"/>
    <w:rsid w:val="00C664AA"/>
    <w:rsid w:val="00C67F40"/>
    <w:rsid w:val="00C7090B"/>
    <w:rsid w:val="00C71DBE"/>
    <w:rsid w:val="00C727E6"/>
    <w:rsid w:val="00C73FFB"/>
    <w:rsid w:val="00C7666D"/>
    <w:rsid w:val="00C8231D"/>
    <w:rsid w:val="00C86656"/>
    <w:rsid w:val="00C86FA4"/>
    <w:rsid w:val="00C9040D"/>
    <w:rsid w:val="00C906B7"/>
    <w:rsid w:val="00C9155D"/>
    <w:rsid w:val="00C9628A"/>
    <w:rsid w:val="00CA02AA"/>
    <w:rsid w:val="00CA0DC8"/>
    <w:rsid w:val="00CA2241"/>
    <w:rsid w:val="00CA517A"/>
    <w:rsid w:val="00CB1130"/>
    <w:rsid w:val="00CB1318"/>
    <w:rsid w:val="00CB3BB3"/>
    <w:rsid w:val="00CB5BD9"/>
    <w:rsid w:val="00CB69C8"/>
    <w:rsid w:val="00CC18C4"/>
    <w:rsid w:val="00CC1A3B"/>
    <w:rsid w:val="00CC1EC1"/>
    <w:rsid w:val="00CC27B1"/>
    <w:rsid w:val="00CC30CD"/>
    <w:rsid w:val="00CC41DF"/>
    <w:rsid w:val="00CC4E03"/>
    <w:rsid w:val="00CC5A93"/>
    <w:rsid w:val="00CD254A"/>
    <w:rsid w:val="00CD4B50"/>
    <w:rsid w:val="00CE0622"/>
    <w:rsid w:val="00CE0A23"/>
    <w:rsid w:val="00CE0D7E"/>
    <w:rsid w:val="00CE3ABA"/>
    <w:rsid w:val="00CE443E"/>
    <w:rsid w:val="00CE5325"/>
    <w:rsid w:val="00CE6BC8"/>
    <w:rsid w:val="00CF0669"/>
    <w:rsid w:val="00CF106D"/>
    <w:rsid w:val="00CF204B"/>
    <w:rsid w:val="00CF219E"/>
    <w:rsid w:val="00CF23C5"/>
    <w:rsid w:val="00CF2B3F"/>
    <w:rsid w:val="00CF3114"/>
    <w:rsid w:val="00CF3215"/>
    <w:rsid w:val="00CF64A5"/>
    <w:rsid w:val="00CF6EBA"/>
    <w:rsid w:val="00D00E8F"/>
    <w:rsid w:val="00D05269"/>
    <w:rsid w:val="00D054FD"/>
    <w:rsid w:val="00D0617F"/>
    <w:rsid w:val="00D07C7E"/>
    <w:rsid w:val="00D07DFE"/>
    <w:rsid w:val="00D1012D"/>
    <w:rsid w:val="00D1306D"/>
    <w:rsid w:val="00D1571A"/>
    <w:rsid w:val="00D16315"/>
    <w:rsid w:val="00D168EC"/>
    <w:rsid w:val="00D16B3A"/>
    <w:rsid w:val="00D17AC5"/>
    <w:rsid w:val="00D24DD3"/>
    <w:rsid w:val="00D25D31"/>
    <w:rsid w:val="00D30A68"/>
    <w:rsid w:val="00D3545C"/>
    <w:rsid w:val="00D359AE"/>
    <w:rsid w:val="00D36A50"/>
    <w:rsid w:val="00D37D24"/>
    <w:rsid w:val="00D4025E"/>
    <w:rsid w:val="00D402F5"/>
    <w:rsid w:val="00D41A35"/>
    <w:rsid w:val="00D43F58"/>
    <w:rsid w:val="00D44537"/>
    <w:rsid w:val="00D447E1"/>
    <w:rsid w:val="00D45512"/>
    <w:rsid w:val="00D45FEA"/>
    <w:rsid w:val="00D46A8C"/>
    <w:rsid w:val="00D4756E"/>
    <w:rsid w:val="00D53D5D"/>
    <w:rsid w:val="00D565D9"/>
    <w:rsid w:val="00D6032B"/>
    <w:rsid w:val="00D61935"/>
    <w:rsid w:val="00D6482C"/>
    <w:rsid w:val="00D64FF0"/>
    <w:rsid w:val="00D67015"/>
    <w:rsid w:val="00D67183"/>
    <w:rsid w:val="00D71231"/>
    <w:rsid w:val="00D71AA3"/>
    <w:rsid w:val="00D7266C"/>
    <w:rsid w:val="00D72FC4"/>
    <w:rsid w:val="00D74B21"/>
    <w:rsid w:val="00D7648C"/>
    <w:rsid w:val="00D8136D"/>
    <w:rsid w:val="00D82517"/>
    <w:rsid w:val="00D82F46"/>
    <w:rsid w:val="00D83597"/>
    <w:rsid w:val="00D860FA"/>
    <w:rsid w:val="00D87376"/>
    <w:rsid w:val="00D91346"/>
    <w:rsid w:val="00D91ADF"/>
    <w:rsid w:val="00D920C7"/>
    <w:rsid w:val="00D947BD"/>
    <w:rsid w:val="00DA1745"/>
    <w:rsid w:val="00DA23FC"/>
    <w:rsid w:val="00DA2507"/>
    <w:rsid w:val="00DA4134"/>
    <w:rsid w:val="00DA417E"/>
    <w:rsid w:val="00DA55EC"/>
    <w:rsid w:val="00DA564A"/>
    <w:rsid w:val="00DB13DF"/>
    <w:rsid w:val="00DB36A1"/>
    <w:rsid w:val="00DB58FD"/>
    <w:rsid w:val="00DC0120"/>
    <w:rsid w:val="00DC5B18"/>
    <w:rsid w:val="00DD2E12"/>
    <w:rsid w:val="00DD4BDC"/>
    <w:rsid w:val="00DD56FE"/>
    <w:rsid w:val="00DD7713"/>
    <w:rsid w:val="00DD784D"/>
    <w:rsid w:val="00DE1536"/>
    <w:rsid w:val="00DE2A9F"/>
    <w:rsid w:val="00DE437E"/>
    <w:rsid w:val="00DE5CE7"/>
    <w:rsid w:val="00DE671F"/>
    <w:rsid w:val="00DF21BC"/>
    <w:rsid w:val="00DF2823"/>
    <w:rsid w:val="00DF5137"/>
    <w:rsid w:val="00DF73F4"/>
    <w:rsid w:val="00DF7767"/>
    <w:rsid w:val="00E04C63"/>
    <w:rsid w:val="00E053A1"/>
    <w:rsid w:val="00E113E9"/>
    <w:rsid w:val="00E12151"/>
    <w:rsid w:val="00E1225F"/>
    <w:rsid w:val="00E23E69"/>
    <w:rsid w:val="00E24C3C"/>
    <w:rsid w:val="00E31BC6"/>
    <w:rsid w:val="00E32BA8"/>
    <w:rsid w:val="00E3641D"/>
    <w:rsid w:val="00E369DC"/>
    <w:rsid w:val="00E43F28"/>
    <w:rsid w:val="00E464E0"/>
    <w:rsid w:val="00E54119"/>
    <w:rsid w:val="00E57A60"/>
    <w:rsid w:val="00E61273"/>
    <w:rsid w:val="00E634BB"/>
    <w:rsid w:val="00E646D9"/>
    <w:rsid w:val="00E657D1"/>
    <w:rsid w:val="00E660E6"/>
    <w:rsid w:val="00E663E1"/>
    <w:rsid w:val="00E66DAE"/>
    <w:rsid w:val="00E71AA6"/>
    <w:rsid w:val="00E7481C"/>
    <w:rsid w:val="00E75EFF"/>
    <w:rsid w:val="00E75FE4"/>
    <w:rsid w:val="00E7696F"/>
    <w:rsid w:val="00E80153"/>
    <w:rsid w:val="00E84B9C"/>
    <w:rsid w:val="00E878FA"/>
    <w:rsid w:val="00E942FF"/>
    <w:rsid w:val="00EA3309"/>
    <w:rsid w:val="00EA4A5E"/>
    <w:rsid w:val="00EA78D2"/>
    <w:rsid w:val="00EB19B1"/>
    <w:rsid w:val="00EB321B"/>
    <w:rsid w:val="00EB47AA"/>
    <w:rsid w:val="00EB4F23"/>
    <w:rsid w:val="00EB5314"/>
    <w:rsid w:val="00EB540F"/>
    <w:rsid w:val="00EB69E7"/>
    <w:rsid w:val="00EB7F8E"/>
    <w:rsid w:val="00EC0A46"/>
    <w:rsid w:val="00EC38CD"/>
    <w:rsid w:val="00EC3C1C"/>
    <w:rsid w:val="00EC4643"/>
    <w:rsid w:val="00EC6689"/>
    <w:rsid w:val="00ED2FF4"/>
    <w:rsid w:val="00ED4E29"/>
    <w:rsid w:val="00ED7560"/>
    <w:rsid w:val="00EE0D8F"/>
    <w:rsid w:val="00EE351F"/>
    <w:rsid w:val="00EE4CF6"/>
    <w:rsid w:val="00EE6247"/>
    <w:rsid w:val="00EF115E"/>
    <w:rsid w:val="00EF1C73"/>
    <w:rsid w:val="00EF1D7A"/>
    <w:rsid w:val="00EF6D26"/>
    <w:rsid w:val="00F02D34"/>
    <w:rsid w:val="00F055D5"/>
    <w:rsid w:val="00F05A8E"/>
    <w:rsid w:val="00F06DA5"/>
    <w:rsid w:val="00F0742E"/>
    <w:rsid w:val="00F1008D"/>
    <w:rsid w:val="00F10CD8"/>
    <w:rsid w:val="00F11757"/>
    <w:rsid w:val="00F139AF"/>
    <w:rsid w:val="00F15073"/>
    <w:rsid w:val="00F152B0"/>
    <w:rsid w:val="00F15EC4"/>
    <w:rsid w:val="00F16191"/>
    <w:rsid w:val="00F239EE"/>
    <w:rsid w:val="00F25EFF"/>
    <w:rsid w:val="00F30B2E"/>
    <w:rsid w:val="00F3192E"/>
    <w:rsid w:val="00F33F56"/>
    <w:rsid w:val="00F34187"/>
    <w:rsid w:val="00F4100B"/>
    <w:rsid w:val="00F41120"/>
    <w:rsid w:val="00F44511"/>
    <w:rsid w:val="00F44D0F"/>
    <w:rsid w:val="00F47B7C"/>
    <w:rsid w:val="00F5061C"/>
    <w:rsid w:val="00F511C1"/>
    <w:rsid w:val="00F519BD"/>
    <w:rsid w:val="00F52816"/>
    <w:rsid w:val="00F52F68"/>
    <w:rsid w:val="00F53D49"/>
    <w:rsid w:val="00F54779"/>
    <w:rsid w:val="00F55603"/>
    <w:rsid w:val="00F55B15"/>
    <w:rsid w:val="00F5613E"/>
    <w:rsid w:val="00F566D6"/>
    <w:rsid w:val="00F57C60"/>
    <w:rsid w:val="00F626F5"/>
    <w:rsid w:val="00F65D19"/>
    <w:rsid w:val="00F66DF7"/>
    <w:rsid w:val="00F67C82"/>
    <w:rsid w:val="00F73F49"/>
    <w:rsid w:val="00F80959"/>
    <w:rsid w:val="00F81830"/>
    <w:rsid w:val="00F8217B"/>
    <w:rsid w:val="00F8245E"/>
    <w:rsid w:val="00F82A6D"/>
    <w:rsid w:val="00F8352B"/>
    <w:rsid w:val="00F84C35"/>
    <w:rsid w:val="00F852FD"/>
    <w:rsid w:val="00F85998"/>
    <w:rsid w:val="00FA06DA"/>
    <w:rsid w:val="00FB0A50"/>
    <w:rsid w:val="00FB0DCD"/>
    <w:rsid w:val="00FB3339"/>
    <w:rsid w:val="00FB5326"/>
    <w:rsid w:val="00FB796C"/>
    <w:rsid w:val="00FC07EC"/>
    <w:rsid w:val="00FC28D9"/>
    <w:rsid w:val="00FC3541"/>
    <w:rsid w:val="00FC382E"/>
    <w:rsid w:val="00FC49D4"/>
    <w:rsid w:val="00FC4E02"/>
    <w:rsid w:val="00FC51D7"/>
    <w:rsid w:val="00FC568D"/>
    <w:rsid w:val="00FC60AC"/>
    <w:rsid w:val="00FC6117"/>
    <w:rsid w:val="00FD1900"/>
    <w:rsid w:val="00FE69D9"/>
    <w:rsid w:val="00FF6C6F"/>
    <w:rsid w:val="00FF6EA1"/>
    <w:rsid w:val="00FF703A"/>
    <w:rsid w:val="00FF743C"/>
    <w:rsid w:val="00FF7F34"/>
    <w:rsid w:val="428EE5C3"/>
    <w:rsid w:val="468EE73A"/>
    <w:rsid w:val="6786E05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8783BA"/>
  <w15:docId w15:val="{4D0F05AB-F76D-45C4-B9A8-A0C2FDBB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417E"/>
    <w:rPr>
      <w:rFonts w:ascii="Tahoma" w:hAnsi="Tahoma" w:cs="Tahoma"/>
      <w:sz w:val="16"/>
      <w:szCs w:val="16"/>
    </w:rPr>
  </w:style>
  <w:style w:type="character" w:customStyle="1" w:styleId="BalloonTextChar">
    <w:name w:val="Balloon Text Char"/>
    <w:link w:val="BalloonText"/>
    <w:uiPriority w:val="99"/>
    <w:semiHidden/>
    <w:rsid w:val="00DA417E"/>
    <w:rPr>
      <w:rFonts w:ascii="Tahoma" w:eastAsia="Times New Roman" w:hAnsi="Tahoma" w:cs="Tahoma"/>
      <w:sz w:val="16"/>
      <w:szCs w:val="16"/>
    </w:rPr>
  </w:style>
  <w:style w:type="character" w:styleId="FootnoteReference">
    <w:name w:val="footnote reference"/>
    <w:aliases w:val="*Footnote Reference,Number"/>
    <w:uiPriority w:val="99"/>
    <w:qFormat/>
    <w:rsid w:val="00DA417E"/>
    <w:rPr>
      <w:rFonts w:cs="Times New Roman"/>
    </w:rPr>
  </w:style>
  <w:style w:type="paragraph" w:styleId="FootnoteText">
    <w:name w:val="footnote text"/>
    <w:aliases w:val="*Footnote Text"/>
    <w:basedOn w:val="Normal"/>
    <w:link w:val="FootnoteTextChar"/>
    <w:uiPriority w:val="99"/>
    <w:qFormat/>
    <w:rsid w:val="00DA417E"/>
    <w:pPr>
      <w:widowControl w:val="0"/>
      <w:autoSpaceDE w:val="0"/>
      <w:autoSpaceDN w:val="0"/>
      <w:adjustRightInd w:val="0"/>
    </w:pPr>
    <w:rPr>
      <w:rFonts w:ascii="Arial" w:hAnsi="Arial"/>
      <w:sz w:val="20"/>
      <w:szCs w:val="20"/>
    </w:rPr>
  </w:style>
  <w:style w:type="character" w:customStyle="1" w:styleId="FootnoteTextChar">
    <w:name w:val="Footnote Text Char"/>
    <w:aliases w:val="*Footnote Text Char"/>
    <w:link w:val="FootnoteText"/>
    <w:uiPriority w:val="99"/>
    <w:rsid w:val="00DA417E"/>
    <w:rPr>
      <w:rFonts w:ascii="Arial" w:eastAsia="Times New Roman" w:hAnsi="Arial" w:cs="Times New Roman"/>
      <w:sz w:val="20"/>
      <w:szCs w:val="20"/>
    </w:rPr>
  </w:style>
  <w:style w:type="character" w:styleId="Hyperlink">
    <w:name w:val="Hyperlink"/>
    <w:uiPriority w:val="99"/>
    <w:unhideWhenUsed/>
    <w:rsid w:val="00836C53"/>
    <w:rPr>
      <w:color w:val="0000FF"/>
      <w:u w:val="single"/>
    </w:rPr>
  </w:style>
  <w:style w:type="character" w:styleId="CommentReference">
    <w:name w:val="annotation reference"/>
    <w:semiHidden/>
    <w:unhideWhenUsed/>
    <w:rsid w:val="00C53DD8"/>
    <w:rPr>
      <w:sz w:val="16"/>
      <w:szCs w:val="16"/>
    </w:rPr>
  </w:style>
  <w:style w:type="paragraph" w:styleId="CommentText">
    <w:name w:val="annotation text"/>
    <w:basedOn w:val="Normal"/>
    <w:link w:val="CommentTextChar"/>
    <w:unhideWhenUsed/>
    <w:rsid w:val="00C53DD8"/>
    <w:rPr>
      <w:sz w:val="20"/>
      <w:szCs w:val="20"/>
    </w:rPr>
  </w:style>
  <w:style w:type="character" w:customStyle="1" w:styleId="CommentTextChar">
    <w:name w:val="Comment Text Char"/>
    <w:link w:val="CommentText"/>
    <w:rsid w:val="00C53D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3DD8"/>
    <w:rPr>
      <w:b/>
      <w:bCs/>
    </w:rPr>
  </w:style>
  <w:style w:type="character" w:customStyle="1" w:styleId="CommentSubjectChar">
    <w:name w:val="Comment Subject Char"/>
    <w:link w:val="CommentSubject"/>
    <w:uiPriority w:val="99"/>
    <w:semiHidden/>
    <w:rsid w:val="00C53DD8"/>
    <w:rPr>
      <w:rFonts w:ascii="Times New Roman" w:eastAsia="Times New Roman" w:hAnsi="Times New Roman" w:cs="Times New Roman"/>
      <w:b/>
      <w:bCs/>
      <w:sz w:val="20"/>
      <w:szCs w:val="20"/>
    </w:rPr>
  </w:style>
  <w:style w:type="paragraph" w:styleId="Revision">
    <w:name w:val="Revision"/>
    <w:hidden/>
    <w:uiPriority w:val="99"/>
    <w:semiHidden/>
    <w:rsid w:val="00C53DD8"/>
    <w:rPr>
      <w:rFonts w:ascii="Times New Roman" w:eastAsia="Times New Roman" w:hAnsi="Times New Roman"/>
      <w:sz w:val="24"/>
      <w:szCs w:val="24"/>
    </w:rPr>
  </w:style>
  <w:style w:type="paragraph" w:styleId="NoSpacing">
    <w:name w:val="No Spacing"/>
    <w:uiPriority w:val="1"/>
    <w:qFormat/>
    <w:rsid w:val="007B6959"/>
    <w:rPr>
      <w:rFonts w:ascii="Times New Roman" w:eastAsia="Times New Roman" w:hAnsi="Times New Roman"/>
      <w:sz w:val="24"/>
      <w:szCs w:val="24"/>
    </w:rPr>
  </w:style>
  <w:style w:type="character" w:styleId="FollowedHyperlink">
    <w:name w:val="FollowedHyperlink"/>
    <w:uiPriority w:val="99"/>
    <w:semiHidden/>
    <w:unhideWhenUsed/>
    <w:rsid w:val="009A34E3"/>
    <w:rPr>
      <w:color w:val="954F72"/>
      <w:u w:val="single"/>
    </w:rPr>
  </w:style>
  <w:style w:type="character" w:styleId="UnresolvedMention">
    <w:name w:val="Unresolved Mention"/>
    <w:basedOn w:val="DefaultParagraphFont"/>
    <w:uiPriority w:val="99"/>
    <w:semiHidden/>
    <w:unhideWhenUsed/>
    <w:rsid w:val="00DB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lag.dol.gov/" TargetMode="External" /><Relationship Id="rId11" Type="http://schemas.openxmlformats.org/officeDocument/2006/relationships/hyperlink" Target="https://www.bls.gov/oes/current/oes131071.htm" TargetMode="External" /><Relationship Id="rId12" Type="http://schemas.openxmlformats.org/officeDocument/2006/relationships/hyperlink" Target="https://www.bls.gov/news.release/archives/ecec_12152023.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1071.htm" TargetMode="External" /><Relationship Id="rId2" Type="http://schemas.openxmlformats.org/officeDocument/2006/relationships/hyperlink" Target="https://www.bls.gov/news.release/archives/ecec_1215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Miranda-Valido, Liana M - ETA</DisplayName>
        <AccountId>184</AccountId>
        <AccountType/>
      </UserInfo>
    </SharedWithUsers>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8D8B55-132C-4D2F-AD0F-B7B3CD1A628E}">
  <ds:schemaRefs>
    <ds:schemaRef ds:uri="http://schemas.microsoft.com/sharepoint/v3/contenttype/forms"/>
  </ds:schemaRefs>
</ds:datastoreItem>
</file>

<file path=customXml/itemProps2.xml><?xml version="1.0" encoding="utf-8"?>
<ds:datastoreItem xmlns:ds="http://schemas.openxmlformats.org/officeDocument/2006/customXml" ds:itemID="{EC05C602-719D-4ECE-8ED3-D994F488F4B6}">
  <ds:schemaRefs>
    <ds:schemaRef ds:uri="http://schemas.openxmlformats.org/officeDocument/2006/bibliography"/>
  </ds:schemaRefs>
</ds:datastoreItem>
</file>

<file path=customXml/itemProps3.xml><?xml version="1.0" encoding="utf-8"?>
<ds:datastoreItem xmlns:ds="http://schemas.openxmlformats.org/officeDocument/2006/customXml" ds:itemID="{28CF8CE4-D87E-4D2E-BB78-86352C2E1D7B}">
  <ds:schemaRefs>
    <ds:schemaRef ds:uri="http://schemas.microsoft.com/office/infopath/2007/PartnerControls"/>
    <ds:schemaRef ds:uri="http://schemas.microsoft.com/office/2006/documentManagement/types"/>
    <ds:schemaRef ds:uri="http://purl.org/dc/dcmitype/"/>
    <ds:schemaRef ds:uri="450d0d34-09c2-4bdd-b044-c24d776efcbe"/>
    <ds:schemaRef ds:uri="91254abe-0e49-403c-81f6-e14d5e1cd67c"/>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DC113B4-2C9F-4665-9A84-0D7B97D8A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04BAF-0487-48E7-841A-879CC6EE4E2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8582</Words>
  <Characters>48919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Gibson, Patrice A - ETA</cp:lastModifiedBy>
  <cp:revision>2</cp:revision>
  <cp:lastPrinted>2018-05-16T12:34:00Z</cp:lastPrinted>
  <dcterms:created xsi:type="dcterms:W3CDTF">2024-08-06T17:14:00Z</dcterms:created>
  <dcterms:modified xsi:type="dcterms:W3CDTF">2024-08-06T17:14:00Z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display_urn:schemas-microsoft-com:office:office#SharedWithUsers">
    <vt:lpwstr>Miranda-Valido, Liana M - ETA</vt:lpwstr>
  </property>
  <property fmtid="{D5CDD505-2E9C-101B-9397-08002B2CF9AE}" pid="4" name="MediaServiceImageTags">
    <vt:lpwstr/>
  </property>
  <property fmtid="{D5CDD505-2E9C-101B-9397-08002B2CF9AE}" pid="5" name="SharedWithUsers">
    <vt:lpwstr>184;#Miranda-Valido, Liana M - ETA</vt:lpwstr>
  </property>
</Properties>
</file>