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51C6" w:rsidRPr="00D80934" w:rsidP="00B61C2A" w14:paraId="12512DA8" w14:textId="639DB8DC">
      <w:pPr>
        <w:spacing w:after="360"/>
        <w:jc w:val="center"/>
        <w:rPr>
          <w:b/>
          <w:i/>
          <w:sz w:val="32"/>
        </w:rPr>
      </w:pPr>
      <w:r w:rsidRPr="00D80934">
        <w:rPr>
          <w:b/>
          <w:sz w:val="32"/>
        </w:rPr>
        <w:t xml:space="preserve">SUPPORTING STATEMENT FOR </w:t>
      </w:r>
      <w:r w:rsidRPr="00D80934">
        <w:rPr>
          <w:b/>
          <w:sz w:val="32"/>
        </w:rPr>
        <w:br/>
        <w:t>PAPERWORK REDUCTION ACT SUBMISSION</w:t>
      </w:r>
      <w:r w:rsidRPr="00D80934">
        <w:rPr>
          <w:b/>
          <w:sz w:val="32"/>
        </w:rPr>
        <w:br/>
      </w:r>
      <w:r w:rsidRPr="00D80934">
        <w:rPr>
          <w:b/>
          <w:sz w:val="32"/>
        </w:rPr>
        <w:br/>
      </w:r>
      <w:r w:rsidRPr="00B61C2A" w:rsidR="00B61C2A">
        <w:rPr>
          <w:b/>
          <w:i/>
          <w:sz w:val="32"/>
        </w:rPr>
        <w:t>Pre-Employment Medical and Driver Medical Evaluation Forms</w:t>
      </w:r>
      <w:r w:rsidRPr="00D80934">
        <w:rPr>
          <w:b/>
          <w:sz w:val="32"/>
        </w:rPr>
        <w:br/>
        <w:t>OMB Number 1405</w:t>
      </w:r>
      <w:r w:rsidRPr="00D80934" w:rsidR="003438CC">
        <w:rPr>
          <w:b/>
          <w:sz w:val="32"/>
        </w:rPr>
        <w:t>-XXXX</w:t>
      </w:r>
      <w:r w:rsidRPr="00D80934">
        <w:rPr>
          <w:b/>
          <w:i/>
          <w:sz w:val="32"/>
        </w:rPr>
        <w:br/>
      </w:r>
      <w:r w:rsidR="006E7E02">
        <w:rPr>
          <w:b/>
          <w:i/>
          <w:sz w:val="32"/>
        </w:rPr>
        <w:t>DS-6571, DS-6572, DS-6573, DS-6574, DS-6575, DS-6576, DS-6577</w:t>
      </w:r>
    </w:p>
    <w:p w:rsidR="001551C6" w:rsidRPr="00D80934" w:rsidP="001551C6" w14:paraId="7A573F0D" w14:textId="77777777">
      <w:pPr>
        <w:pStyle w:val="Heading1"/>
      </w:pPr>
    </w:p>
    <w:p w:rsidR="001551C6" w:rsidRPr="00D80934" w:rsidP="001551C6" w14:paraId="001AC78B" w14:textId="77777777">
      <w:pPr>
        <w:pStyle w:val="Heading1"/>
      </w:pPr>
      <w:r w:rsidRPr="00D80934">
        <w:t>A.</w:t>
      </w:r>
      <w:r w:rsidRPr="00D80934">
        <w:tab/>
        <w:t>JUSTIFICATION</w:t>
      </w:r>
    </w:p>
    <w:p w:rsidR="00460A6D" w:rsidRPr="00D80934" w:rsidP="00481EAE" w14:paraId="59DC8D87" w14:textId="4C95893C">
      <w:pPr>
        <w:numPr>
          <w:ilvl w:val="0"/>
          <w:numId w:val="1"/>
        </w:numPr>
      </w:pPr>
      <w:r>
        <w:t xml:space="preserve">  </w:t>
      </w:r>
      <w:r w:rsidRPr="00D80934" w:rsidR="002735FB">
        <w:t>This collection is necessary for the U.S. Department of State’s</w:t>
      </w:r>
      <w:r w:rsidRPr="00D80934" w:rsidR="0035147E">
        <w:t xml:space="preserve"> (D</w:t>
      </w:r>
      <w:r w:rsidRPr="00D80934" w:rsidR="00D80934">
        <w:t>O</w:t>
      </w:r>
      <w:r w:rsidRPr="00D80934" w:rsidR="0035147E">
        <w:t>S)</w:t>
      </w:r>
      <w:r w:rsidRPr="00D80934" w:rsidR="002735FB">
        <w:t xml:space="preserve"> Bureau of Medical Services (MED) to evaluate medical eligibility for employment</w:t>
      </w:r>
      <w:r w:rsidRPr="00D80934" w:rsidR="00374E62">
        <w:t xml:space="preserve"> </w:t>
      </w:r>
      <w:r w:rsidR="0051654B">
        <w:t>and</w:t>
      </w:r>
      <w:r w:rsidRPr="00D80934" w:rsidR="002735FB">
        <w:t xml:space="preserve"> operating a government owned vehicle</w:t>
      </w:r>
      <w:r w:rsidRPr="00D80934" w:rsidR="00BD346D">
        <w:t xml:space="preserve"> (GOV)</w:t>
      </w:r>
      <w:r w:rsidR="00B47BD0">
        <w:t xml:space="preserve"> overseas</w:t>
      </w:r>
      <w:r w:rsidRPr="00D80934" w:rsidR="002735FB">
        <w:t xml:space="preserve">, and for gathering supplemental pertinent medical information </w:t>
      </w:r>
      <w:r w:rsidRPr="00D80934" w:rsidR="00635836">
        <w:t>regarding</w:t>
      </w:r>
      <w:r w:rsidRPr="00D80934" w:rsidR="002735FB">
        <w:t xml:space="preserve"> identified conditions that could pose a safety risk to employees and others. This collection </w:t>
      </w:r>
      <w:r w:rsidRPr="00D80934" w:rsidR="00BD346D">
        <w:t>consists of</w:t>
      </w:r>
      <w:r w:rsidRPr="00D80934" w:rsidR="00014565">
        <w:t xml:space="preserve"> seven forms</w:t>
      </w:r>
      <w:r w:rsidRPr="00D80934" w:rsidR="002735FB">
        <w:t>, the pre-employment evaluation for locally employed staff (LES)</w:t>
      </w:r>
      <w:r w:rsidRPr="00D80934" w:rsidR="00014565">
        <w:t xml:space="preserve"> (DS-6571)</w:t>
      </w:r>
      <w:r w:rsidRPr="00D80934" w:rsidR="002735FB">
        <w:t>,</w:t>
      </w:r>
      <w:r w:rsidRPr="00D80934" w:rsidR="00751952">
        <w:t xml:space="preserve"> a tuberculosis (TB) risk assessment</w:t>
      </w:r>
      <w:r w:rsidRPr="00D80934" w:rsidR="00014565">
        <w:t xml:space="preserve"> (DS-6573)</w:t>
      </w:r>
      <w:r w:rsidRPr="00D80934" w:rsidR="00751952">
        <w:t>,</w:t>
      </w:r>
      <w:r w:rsidRPr="00D80934" w:rsidR="002735FB">
        <w:t xml:space="preserve"> </w:t>
      </w:r>
      <w:r w:rsidR="00450240">
        <w:t xml:space="preserve">a driver medical evaluation (DME) for US Direct Hires (USDH) (DS-6576), </w:t>
      </w:r>
      <w:r w:rsidRPr="00D80934" w:rsidR="002735FB">
        <w:t>a DME</w:t>
      </w:r>
      <w:r w:rsidR="00450240">
        <w:t xml:space="preserve"> for LES</w:t>
      </w:r>
      <w:r w:rsidRPr="00D80934" w:rsidR="00014565">
        <w:t xml:space="preserve"> (DS-6572)</w:t>
      </w:r>
      <w:r w:rsidRPr="00D80934" w:rsidR="002735FB">
        <w:t>, and supplemental health questionnaires</w:t>
      </w:r>
      <w:r w:rsidRPr="00D80934" w:rsidR="00014565">
        <w:t xml:space="preserve">. </w:t>
      </w:r>
      <w:r w:rsidRPr="00D80934" w:rsidR="00BD346D">
        <w:t>The supplemental health questionnaires are utilized</w:t>
      </w:r>
      <w:r w:rsidRPr="00D80934" w:rsidR="002735FB">
        <w:t xml:space="preserve"> for vision related</w:t>
      </w:r>
      <w:r w:rsidRPr="00D80934" w:rsidR="00014565">
        <w:t xml:space="preserve"> (DS-6577)</w:t>
      </w:r>
      <w:r w:rsidRPr="00D80934" w:rsidR="002735FB">
        <w:t>, seizure</w:t>
      </w:r>
      <w:r w:rsidRPr="00D80934" w:rsidR="002952A5">
        <w:t xml:space="preserve"> related</w:t>
      </w:r>
      <w:r w:rsidRPr="00D80934" w:rsidR="00014565">
        <w:t xml:space="preserve"> (DS-6574)</w:t>
      </w:r>
      <w:r w:rsidRPr="00D80934" w:rsidR="002735FB">
        <w:t xml:space="preserve">, and diabetes </w:t>
      </w:r>
      <w:r w:rsidRPr="00D80934" w:rsidR="002952A5">
        <w:t xml:space="preserve">related </w:t>
      </w:r>
      <w:r w:rsidRPr="00D80934" w:rsidR="002735FB">
        <w:t>diagnoses</w:t>
      </w:r>
      <w:r w:rsidRPr="00D80934" w:rsidR="00014565">
        <w:t xml:space="preserve"> (DS-6575)</w:t>
      </w:r>
      <w:r w:rsidRPr="00D80934" w:rsidR="002735FB">
        <w:t>. These questionnaires</w:t>
      </w:r>
      <w:r w:rsidRPr="00D80934" w:rsidR="00BD346D">
        <w:t xml:space="preserve"> and concurrent </w:t>
      </w:r>
      <w:r w:rsidRPr="00D80934" w:rsidR="002952A5">
        <w:t>medical</w:t>
      </w:r>
      <w:r w:rsidRPr="00D80934" w:rsidR="00BD346D">
        <w:t xml:space="preserve"> evaluations</w:t>
      </w:r>
      <w:r w:rsidRPr="00D80934" w:rsidR="002735FB">
        <w:t xml:space="preserve"> are </w:t>
      </w:r>
      <w:r w:rsidRPr="00D80934" w:rsidR="00BD346D">
        <w:t>require</w:t>
      </w:r>
      <w:r w:rsidRPr="00D80934" w:rsidR="0046285D">
        <w:t>d</w:t>
      </w:r>
      <w:r w:rsidRPr="00D80934" w:rsidR="002735FB">
        <w:t xml:space="preserve"> to mak</w:t>
      </w:r>
      <w:r w:rsidRPr="00D80934" w:rsidR="0046285D">
        <w:t>e</w:t>
      </w:r>
      <w:r w:rsidRPr="00D80934" w:rsidR="002735FB">
        <w:t xml:space="preserve"> informed </w:t>
      </w:r>
      <w:r w:rsidRPr="00D80934" w:rsidR="0046285D">
        <w:t>assessments</w:t>
      </w:r>
      <w:r w:rsidRPr="00D80934" w:rsidR="002735FB">
        <w:t xml:space="preserve"> on ability to complete required</w:t>
      </w:r>
      <w:r w:rsidRPr="00D80934" w:rsidR="00BD4C8C">
        <w:t xml:space="preserve"> employment-related</w:t>
      </w:r>
      <w:r w:rsidRPr="00D80934" w:rsidR="002735FB">
        <w:t xml:space="preserve"> tasks</w:t>
      </w:r>
      <w:r w:rsidRPr="00D80934" w:rsidR="00751952">
        <w:t xml:space="preserve">; </w:t>
      </w:r>
      <w:r w:rsidRPr="00D80934" w:rsidR="002735FB">
        <w:t xml:space="preserve">implementation </w:t>
      </w:r>
      <w:r w:rsidRPr="00D80934" w:rsidR="00C71023">
        <w:t xml:space="preserve">of this collection is pursuant to 5 CFR </w:t>
      </w:r>
      <w:r w:rsidRPr="00D80934" w:rsidR="00E82791">
        <w:t>§</w:t>
      </w:r>
      <w:r w:rsidR="00E82791">
        <w:t xml:space="preserve"> </w:t>
      </w:r>
      <w:r w:rsidRPr="00D80934" w:rsidR="00C71023">
        <w:t>930.108</w:t>
      </w:r>
      <w:r w:rsidR="00E82791">
        <w:t xml:space="preserve">, </w:t>
      </w:r>
      <w:r w:rsidRPr="00D80934" w:rsidR="00E82791">
        <w:t>§</w:t>
      </w:r>
      <w:r w:rsidR="00E82791">
        <w:t xml:space="preserve"> 339.301,</w:t>
      </w:r>
      <w:r w:rsidRPr="00D80934" w:rsidR="00C71023">
        <w:t xml:space="preserve"> and the Foreign Service Act of 1980, as amended</w:t>
      </w:r>
      <w:r w:rsidRPr="00D80934" w:rsidR="00B102D2">
        <w:t>,</w:t>
      </w:r>
      <w:r w:rsidRPr="00D80934" w:rsidR="00C71023">
        <w:t xml:space="preserve"> 22 U.S.C. §§ 4084, 3901, and 3984. </w:t>
      </w:r>
      <w:r w:rsidRPr="00D80934" w:rsidR="0046285D">
        <w:rPr>
          <w:szCs w:val="24"/>
        </w:rPr>
        <w:t>Th</w:t>
      </w:r>
      <w:r w:rsidR="00B61C2A">
        <w:rPr>
          <w:szCs w:val="24"/>
        </w:rPr>
        <w:t xml:space="preserve">is </w:t>
      </w:r>
      <w:r w:rsidRPr="00D80934" w:rsidR="0046285D">
        <w:rPr>
          <w:szCs w:val="24"/>
        </w:rPr>
        <w:t xml:space="preserve">collection </w:t>
      </w:r>
      <w:r w:rsidRPr="00D80934" w:rsidR="00D73FC5">
        <w:rPr>
          <w:szCs w:val="24"/>
        </w:rPr>
        <w:t>i</w:t>
      </w:r>
      <w:r w:rsidRPr="00D80934" w:rsidR="0046285D">
        <w:rPr>
          <w:szCs w:val="24"/>
        </w:rPr>
        <w:t xml:space="preserve">s designed to capture the minimum required information to assess medical eligibility and to comply with </w:t>
      </w:r>
      <w:r w:rsidR="00B61C2A">
        <w:rPr>
          <w:szCs w:val="24"/>
        </w:rPr>
        <w:t>these statutes</w:t>
      </w:r>
      <w:r w:rsidRPr="00D80934" w:rsidR="0046285D">
        <w:rPr>
          <w:szCs w:val="24"/>
        </w:rPr>
        <w:t xml:space="preserve">. </w:t>
      </w:r>
    </w:p>
    <w:p w:rsidR="00951CD2" w:rsidRPr="00D80934" w:rsidP="00D80934" w14:paraId="74C4C931" w14:textId="2A314B26">
      <w:pPr>
        <w:pStyle w:val="ListParagraph"/>
        <w:numPr>
          <w:ilvl w:val="0"/>
          <w:numId w:val="1"/>
        </w:numPr>
      </w:pPr>
      <w:r>
        <w:t xml:space="preserve">  </w:t>
      </w:r>
      <w:r w:rsidRPr="00D80934" w:rsidR="00045227">
        <w:t xml:space="preserve">The information </w:t>
      </w:r>
      <w:r w:rsidRPr="00D80934" w:rsidR="00E600B1">
        <w:t>collected</w:t>
      </w:r>
      <w:r w:rsidRPr="00D80934" w:rsidR="00045227">
        <w:t xml:space="preserve"> in the forms is</w:t>
      </w:r>
      <w:r w:rsidRPr="00D80934" w:rsidR="00422705">
        <w:t xml:space="preserve"> utilized </w:t>
      </w:r>
      <w:r w:rsidRPr="00D80934" w:rsidR="006C61E7">
        <w:rPr>
          <w:szCs w:val="24"/>
        </w:rPr>
        <w:t>to determine if a candidate/employee</w:t>
      </w:r>
      <w:r w:rsidRPr="00D80934" w:rsidR="00C71023">
        <w:rPr>
          <w:szCs w:val="24"/>
        </w:rPr>
        <w:t xml:space="preserve"> is medically eligible for employment and</w:t>
      </w:r>
      <w:r w:rsidRPr="00D80934" w:rsidR="00B658AC">
        <w:rPr>
          <w:szCs w:val="24"/>
        </w:rPr>
        <w:t>/or</w:t>
      </w:r>
      <w:r w:rsidRPr="00D80934" w:rsidR="00C71023">
        <w:rPr>
          <w:szCs w:val="24"/>
        </w:rPr>
        <w:t xml:space="preserve"> to obtain the </w:t>
      </w:r>
      <w:r w:rsidRPr="00D80934" w:rsidR="006C61E7">
        <w:rPr>
          <w:szCs w:val="24"/>
        </w:rPr>
        <w:t>driver certificate</w:t>
      </w:r>
      <w:r w:rsidRPr="00D80934" w:rsidR="00C71023">
        <w:rPr>
          <w:szCs w:val="24"/>
        </w:rPr>
        <w:t xml:space="preserve"> required to</w:t>
      </w:r>
      <w:r w:rsidRPr="00D80934" w:rsidR="006C61E7">
        <w:rPr>
          <w:szCs w:val="24"/>
        </w:rPr>
        <w:t xml:space="preserve"> </w:t>
      </w:r>
      <w:r w:rsidRPr="00D80934" w:rsidR="00C71023">
        <w:rPr>
          <w:szCs w:val="24"/>
        </w:rPr>
        <w:t>operate a</w:t>
      </w:r>
      <w:r w:rsidRPr="00D80934" w:rsidR="006C61E7">
        <w:rPr>
          <w:szCs w:val="24"/>
        </w:rPr>
        <w:t xml:space="preserve"> GOV</w:t>
      </w:r>
      <w:r w:rsidRPr="00D80934" w:rsidR="00D73FC5">
        <w:rPr>
          <w:szCs w:val="24"/>
        </w:rPr>
        <w:t xml:space="preserve"> overseas</w:t>
      </w:r>
      <w:r w:rsidRPr="00D80934" w:rsidR="00E600B1">
        <w:rPr>
          <w:szCs w:val="24"/>
        </w:rPr>
        <w:t xml:space="preserve">. </w:t>
      </w:r>
      <w:r w:rsidRPr="00D80934" w:rsidR="00D73FC5">
        <w:rPr>
          <w:szCs w:val="24"/>
        </w:rPr>
        <w:t>If a medical condition is identified during the evaluation, local Health Unit</w:t>
      </w:r>
      <w:r w:rsidRPr="00D80934" w:rsidR="0039756D">
        <w:rPr>
          <w:szCs w:val="24"/>
        </w:rPr>
        <w:t xml:space="preserve"> (HU)</w:t>
      </w:r>
      <w:r w:rsidRPr="00D80934" w:rsidR="00142249">
        <w:rPr>
          <w:szCs w:val="24"/>
        </w:rPr>
        <w:t xml:space="preserve"> health care</w:t>
      </w:r>
      <w:r w:rsidRPr="00D80934" w:rsidR="00D73FC5">
        <w:rPr>
          <w:szCs w:val="24"/>
        </w:rPr>
        <w:t xml:space="preserve"> providers will advise the individual to follow-up with the appropriate specialty care. </w:t>
      </w:r>
    </w:p>
    <w:p w:rsidR="00D80934" w:rsidRPr="00D80934" w:rsidP="00D80934" w14:paraId="1B70871B" w14:textId="77777777">
      <w:pPr>
        <w:pStyle w:val="ListParagraph"/>
        <w:ind w:left="360"/>
      </w:pPr>
    </w:p>
    <w:p w:rsidR="00E40AA5" w:rsidRPr="005D1C7B" w:rsidP="00DE4111" w14:paraId="12BCB23F" w14:textId="1D782689">
      <w:pPr>
        <w:pStyle w:val="ListParagraph"/>
        <w:numPr>
          <w:ilvl w:val="0"/>
          <w:numId w:val="1"/>
        </w:numPr>
        <w:rPr>
          <w:iCs/>
          <w:szCs w:val="24"/>
        </w:rPr>
      </w:pPr>
      <w:r>
        <w:rPr>
          <w:iCs/>
          <w:szCs w:val="24"/>
        </w:rPr>
        <w:t xml:space="preserve">  </w:t>
      </w:r>
      <w:r w:rsidRPr="005D1C7B">
        <w:rPr>
          <w:iCs/>
          <w:szCs w:val="24"/>
        </w:rPr>
        <w:t xml:space="preserve">This collection of forms is not currently available for electronic completion. However, MED is actively pursuing the capability to electronically submit these forms and is moving away from the current practice of maintaining paper records. </w:t>
      </w:r>
      <w:r w:rsidRPr="005D1C7B" w:rsidR="006610CE">
        <w:rPr>
          <w:iCs/>
          <w:szCs w:val="24"/>
        </w:rPr>
        <w:t xml:space="preserve">The collection </w:t>
      </w:r>
      <w:r w:rsidRPr="005D1C7B" w:rsidR="007C67BB">
        <w:rPr>
          <w:iCs/>
          <w:szCs w:val="24"/>
        </w:rPr>
        <w:t>will be</w:t>
      </w:r>
      <w:r w:rsidRPr="005D1C7B" w:rsidR="006610CE">
        <w:rPr>
          <w:iCs/>
          <w:szCs w:val="24"/>
        </w:rPr>
        <w:t xml:space="preserve"> downloaded from the MED SharePoint site</w:t>
      </w:r>
      <w:r w:rsidRPr="005D1C7B" w:rsidR="001D4439">
        <w:rPr>
          <w:iCs/>
          <w:szCs w:val="24"/>
        </w:rPr>
        <w:t xml:space="preserve"> by MED staff</w:t>
      </w:r>
      <w:r w:rsidRPr="005D1C7B" w:rsidR="006610CE">
        <w:rPr>
          <w:iCs/>
          <w:szCs w:val="24"/>
        </w:rPr>
        <w:t xml:space="preserve">, </w:t>
      </w:r>
      <w:r w:rsidRPr="005D1C7B" w:rsidR="00DD4C7C">
        <w:rPr>
          <w:iCs/>
          <w:szCs w:val="24"/>
        </w:rPr>
        <w:t xml:space="preserve">given to the individual </w:t>
      </w:r>
      <w:r w:rsidRPr="005D1C7B" w:rsidR="00C7278C">
        <w:rPr>
          <w:iCs/>
          <w:szCs w:val="24"/>
        </w:rPr>
        <w:t>via email</w:t>
      </w:r>
      <w:r w:rsidRPr="005D1C7B" w:rsidR="006610CE">
        <w:rPr>
          <w:iCs/>
          <w:szCs w:val="24"/>
        </w:rPr>
        <w:t>,</w:t>
      </w:r>
      <w:r w:rsidRPr="005D1C7B" w:rsidR="00C7278C">
        <w:rPr>
          <w:iCs/>
          <w:szCs w:val="24"/>
        </w:rPr>
        <w:t xml:space="preserve"> printed,</w:t>
      </w:r>
      <w:r w:rsidRPr="005D1C7B" w:rsidR="006610CE">
        <w:rPr>
          <w:iCs/>
          <w:szCs w:val="24"/>
        </w:rPr>
        <w:t xml:space="preserve"> </w:t>
      </w:r>
      <w:r w:rsidRPr="005D1C7B" w:rsidR="00DB2E44">
        <w:rPr>
          <w:iCs/>
          <w:szCs w:val="24"/>
        </w:rPr>
        <w:t>filled out by the local provider</w:t>
      </w:r>
      <w:r w:rsidRPr="005D1C7B" w:rsidR="006610CE">
        <w:rPr>
          <w:iCs/>
          <w:szCs w:val="24"/>
        </w:rPr>
        <w:t xml:space="preserve">, and </w:t>
      </w:r>
      <w:r w:rsidRPr="005D1C7B" w:rsidR="00374E62">
        <w:rPr>
          <w:iCs/>
          <w:szCs w:val="24"/>
        </w:rPr>
        <w:t xml:space="preserve">is </w:t>
      </w:r>
      <w:r w:rsidRPr="005D1C7B" w:rsidR="006610CE">
        <w:rPr>
          <w:iCs/>
          <w:szCs w:val="24"/>
        </w:rPr>
        <w:t>locally stored</w:t>
      </w:r>
      <w:r w:rsidRPr="005D1C7B" w:rsidR="005D1C7B">
        <w:rPr>
          <w:iCs/>
          <w:szCs w:val="24"/>
        </w:rPr>
        <w:t xml:space="preserve"> at the HU</w:t>
      </w:r>
      <w:r w:rsidRPr="005D1C7B" w:rsidR="006610CE">
        <w:rPr>
          <w:iCs/>
          <w:szCs w:val="24"/>
        </w:rPr>
        <w:t xml:space="preserve">. </w:t>
      </w:r>
    </w:p>
    <w:p w:rsidR="00556CBE" w:rsidRPr="00D80934" w:rsidP="001679DE" w14:paraId="54859416" w14:textId="666BBEFA">
      <w:pPr>
        <w:numPr>
          <w:ilvl w:val="0"/>
          <w:numId w:val="1"/>
        </w:numPr>
      </w:pPr>
      <w:r>
        <w:t xml:space="preserve">  </w:t>
      </w:r>
      <w:r w:rsidRPr="00D80934">
        <w:t>The information collected is generally not duplicated across collection</w:t>
      </w:r>
      <w:r w:rsidRPr="00D80934" w:rsidR="00E94775">
        <w:t>s</w:t>
      </w:r>
      <w:r w:rsidRPr="00D80934">
        <w:t xml:space="preserve">, </w:t>
      </w:r>
      <w:r w:rsidRPr="00D80934" w:rsidR="00E40AA5">
        <w:t>apart from</w:t>
      </w:r>
      <w:r w:rsidRPr="00D80934">
        <w:t xml:space="preserve"> demographic information, including basic identification and contact information. The medical information that is collected on the forms can routinely change</w:t>
      </w:r>
      <w:r w:rsidRPr="00D80934" w:rsidR="00D94DA3">
        <w:t xml:space="preserve"> from one </w:t>
      </w:r>
      <w:r w:rsidRPr="00D80934" w:rsidR="00E40AA5">
        <w:t>evaluation</w:t>
      </w:r>
      <w:r w:rsidRPr="00D80934" w:rsidR="00D94DA3">
        <w:t xml:space="preserve"> to the next, as can post, address, type of employment, and other information.</w:t>
      </w:r>
    </w:p>
    <w:p w:rsidR="00D80934" w:rsidP="00D80934" w14:paraId="2F675B93" w14:textId="2C41AA16">
      <w:pPr>
        <w:numPr>
          <w:ilvl w:val="0"/>
          <w:numId w:val="1"/>
        </w:numPr>
      </w:pPr>
      <w:r>
        <w:t xml:space="preserve">  </w:t>
      </w:r>
      <w:r w:rsidRPr="00D80934" w:rsidR="0094002A">
        <w:t xml:space="preserve">This collection </w:t>
      </w:r>
      <w:r w:rsidRPr="00D80934" w:rsidR="00A01B5F">
        <w:t>could</w:t>
      </w:r>
      <w:r w:rsidRPr="00D80934" w:rsidR="0094002A">
        <w:t xml:space="preserve"> impact small businesses or other small entities. </w:t>
      </w:r>
      <w:r w:rsidRPr="00D80934" w:rsidR="00A01B5F">
        <w:t>I</w:t>
      </w:r>
      <w:r w:rsidRPr="00D80934" w:rsidR="00953227">
        <w:t xml:space="preserve">f the </w:t>
      </w:r>
      <w:r w:rsidRPr="00D80934" w:rsidR="00B260C7">
        <w:t xml:space="preserve">prospective or current </w:t>
      </w:r>
      <w:r w:rsidRPr="00D80934" w:rsidR="00953227">
        <w:t>employee undergoing</w:t>
      </w:r>
      <w:r w:rsidRPr="00D80934" w:rsidR="00374E62">
        <w:t xml:space="preserve"> medical evalua</w:t>
      </w:r>
      <w:r w:rsidRPr="00D80934" w:rsidR="00900137">
        <w:t>t</w:t>
      </w:r>
      <w:r w:rsidRPr="00D80934" w:rsidR="00374E62">
        <w:t>ion</w:t>
      </w:r>
      <w:r w:rsidRPr="00D80934" w:rsidR="00953227">
        <w:t xml:space="preserve"> requires additional medical services, the </w:t>
      </w:r>
      <w:r w:rsidRPr="00D80934" w:rsidR="00953227">
        <w:t>H</w:t>
      </w:r>
      <w:r w:rsidRPr="00D80934" w:rsidR="0039756D">
        <w:t>U</w:t>
      </w:r>
      <w:r w:rsidRPr="00D80934" w:rsidR="00953227">
        <w:t xml:space="preserve"> provide</w:t>
      </w:r>
      <w:r w:rsidRPr="00D80934" w:rsidR="00C03113">
        <w:t>r overseeing the</w:t>
      </w:r>
      <w:r w:rsidRPr="00D80934" w:rsidR="00D51B0E">
        <w:t xml:space="preserve"> evaluation</w:t>
      </w:r>
      <w:r w:rsidRPr="00D80934" w:rsidR="00C03113">
        <w:t xml:space="preserve"> can refer the candidate/employee out to a medical specialist for more information. Alternatively, </w:t>
      </w:r>
      <w:r w:rsidRPr="00D80934" w:rsidR="00D51B0E">
        <w:t>at some locations</w:t>
      </w:r>
      <w:r w:rsidRPr="00D80934" w:rsidR="00C03113">
        <w:t xml:space="preserve">, the </w:t>
      </w:r>
      <w:r w:rsidRPr="00D80934" w:rsidR="00D51B0E">
        <w:t>evaluations</w:t>
      </w:r>
      <w:r w:rsidRPr="00D80934" w:rsidR="00557DF2">
        <w:t xml:space="preserve"> and/or supplemental evaluations</w:t>
      </w:r>
      <w:r w:rsidRPr="00D80934" w:rsidR="00C03113">
        <w:t xml:space="preserve"> can be </w:t>
      </w:r>
      <w:r w:rsidRPr="00D80934" w:rsidR="00AC6B9E">
        <w:t>performed by local provider</w:t>
      </w:r>
      <w:r w:rsidRPr="00D80934" w:rsidR="00557DF2">
        <w:t>s</w:t>
      </w:r>
      <w:r w:rsidRPr="00D80934" w:rsidR="00AC6B9E">
        <w:t>.</w:t>
      </w:r>
    </w:p>
    <w:p w:rsidR="00635836" w:rsidRPr="00D80934" w:rsidP="00CF1705" w14:paraId="37CED18E" w14:textId="063F85AA">
      <w:pPr>
        <w:numPr>
          <w:ilvl w:val="0"/>
          <w:numId w:val="1"/>
        </w:numPr>
      </w:pPr>
      <w:r>
        <w:t xml:space="preserve">  </w:t>
      </w:r>
      <w:r w:rsidRPr="00D80934" w:rsidR="004946FC">
        <w:t>Per Title 5 of the United States Code, t</w:t>
      </w:r>
      <w:r w:rsidRPr="00D80934">
        <w:t xml:space="preserve">he Department is required to </w:t>
      </w:r>
      <w:r w:rsidRPr="00D80934" w:rsidR="00086DF2">
        <w:t>“</w:t>
      </w:r>
      <w:r w:rsidRPr="00D80934">
        <w:t>ensure that employees who operate Government-owned or leased vehicles are medically able to do so without undue risk to themselves or others</w:t>
      </w:r>
      <w:r w:rsidRPr="00D80934" w:rsidR="00086DF2">
        <w:t>”</w:t>
      </w:r>
      <w:r w:rsidRPr="00D80934" w:rsidR="002235FB">
        <w:t xml:space="preserve">; violation of this regulation could result in </w:t>
      </w:r>
      <w:r w:rsidR="00ED198E">
        <w:t>unsafe driving conditions for employees and civilians overseas</w:t>
      </w:r>
      <w:r w:rsidRPr="00D80934" w:rsidR="002235FB">
        <w:t xml:space="preserve">. </w:t>
      </w:r>
      <w:r w:rsidRPr="00D80934" w:rsidR="00E828CA">
        <w:t>DS</w:t>
      </w:r>
      <w:r w:rsidRPr="00D80934" w:rsidR="004C34C9">
        <w:t>-6570 and supplemental forms</w:t>
      </w:r>
      <w:r w:rsidRPr="00D80934" w:rsidR="002235FB">
        <w:t xml:space="preserve"> is intended to comply with 5 CFR</w:t>
      </w:r>
      <w:r w:rsidR="00E82791">
        <w:t xml:space="preserve"> </w:t>
      </w:r>
      <w:r w:rsidRPr="00D80934" w:rsidR="00E82791">
        <w:t>§</w:t>
      </w:r>
      <w:r w:rsidRPr="00D80934" w:rsidR="002235FB">
        <w:t xml:space="preserve"> 930.108. </w:t>
      </w:r>
    </w:p>
    <w:p w:rsidR="007345AC" w:rsidRPr="00D80934" w:rsidP="00374E62" w14:paraId="61147FD9" w14:textId="2DB3E7B3">
      <w:pPr>
        <w:pStyle w:val="ListParagraph"/>
        <w:numPr>
          <w:ilvl w:val="0"/>
          <w:numId w:val="1"/>
        </w:numPr>
      </w:pPr>
      <w:r>
        <w:t xml:space="preserve">  </w:t>
      </w:r>
      <w:r w:rsidRPr="00D80934">
        <w:t xml:space="preserve">There are no </w:t>
      </w:r>
      <w:r w:rsidRPr="00D80934" w:rsidR="003438CC">
        <w:t xml:space="preserve">special collection </w:t>
      </w:r>
      <w:r w:rsidRPr="00D80934">
        <w:t>circumstances</w:t>
      </w:r>
      <w:r w:rsidRPr="00D80934" w:rsidR="003438CC">
        <w:t>.</w:t>
      </w:r>
    </w:p>
    <w:p w:rsidR="001551C6" w:rsidRPr="00D80934" w:rsidP="00374E62" w14:paraId="1B7968E5" w14:textId="7A3A45C9">
      <w:pPr>
        <w:numPr>
          <w:ilvl w:val="0"/>
          <w:numId w:val="1"/>
        </w:numPr>
        <w:rPr>
          <w:i/>
          <w:sz w:val="28"/>
          <w:szCs w:val="28"/>
        </w:rPr>
      </w:pPr>
      <w:r>
        <w:rPr>
          <w:szCs w:val="24"/>
        </w:rPr>
        <w:t xml:space="preserve"> </w:t>
      </w:r>
      <w:r w:rsidR="002E34C2">
        <w:rPr>
          <w:szCs w:val="24"/>
        </w:rPr>
        <w:t>On May 23, 2024, t</w:t>
      </w:r>
      <w:r w:rsidRPr="00D80934">
        <w:rPr>
          <w:szCs w:val="24"/>
        </w:rPr>
        <w:t>he Department publish</w:t>
      </w:r>
      <w:r w:rsidR="002E34C2">
        <w:rPr>
          <w:szCs w:val="24"/>
        </w:rPr>
        <w:t>ed</w:t>
      </w:r>
      <w:r w:rsidRPr="00D80934">
        <w:rPr>
          <w:szCs w:val="24"/>
        </w:rPr>
        <w:t xml:space="preserve"> a notice in the Federal Register soliciting public comments for a period of 60 days</w:t>
      </w:r>
      <w:r w:rsidRPr="00D80934" w:rsidR="007F1763">
        <w:rPr>
          <w:szCs w:val="24"/>
        </w:rPr>
        <w:t>.</w:t>
      </w:r>
      <w:r w:rsidR="002E34C2">
        <w:rPr>
          <w:szCs w:val="24"/>
        </w:rPr>
        <w:t xml:space="preserve">  </w:t>
      </w:r>
      <w:r w:rsidR="002E34C2">
        <w:t xml:space="preserve">89 FR 45726. There were no public comments. </w:t>
      </w:r>
    </w:p>
    <w:p w:rsidR="00D80934" w:rsidP="00D80934" w14:paraId="0EEAD7E4" w14:textId="4886EA3C">
      <w:pPr>
        <w:numPr>
          <w:ilvl w:val="0"/>
          <w:numId w:val="1"/>
        </w:numPr>
        <w:rPr>
          <w:i/>
          <w:sz w:val="28"/>
          <w:szCs w:val="28"/>
        </w:rPr>
      </w:pPr>
      <w:r>
        <w:t xml:space="preserve">  </w:t>
      </w:r>
      <w:r w:rsidRPr="00D80934" w:rsidR="00B12DBD">
        <w:t>The Department does not make any payment</w:t>
      </w:r>
      <w:r w:rsidRPr="00D80934" w:rsidR="003438CC">
        <w:t>s or give gifts</w:t>
      </w:r>
      <w:r w:rsidRPr="00D80934" w:rsidR="00B12DBD">
        <w:t xml:space="preserve"> to the respondent.</w:t>
      </w:r>
    </w:p>
    <w:p w:rsidR="00C84E86" w:rsidRPr="00D80934" w:rsidP="00D80934" w14:paraId="3A455AA7" w14:textId="5490FE29">
      <w:pPr>
        <w:numPr>
          <w:ilvl w:val="0"/>
          <w:numId w:val="1"/>
        </w:numPr>
        <w:rPr>
          <w:i/>
          <w:sz w:val="28"/>
          <w:szCs w:val="28"/>
        </w:rPr>
      </w:pPr>
      <w:r>
        <w:t xml:space="preserve">  </w:t>
      </w:r>
      <w:r w:rsidRPr="00D80934">
        <w:t xml:space="preserve">Medical records and other medical information associated with </w:t>
      </w:r>
      <w:r w:rsidRPr="00D80934" w:rsidR="00E40AA5">
        <w:t>employees and prospective employees</w:t>
      </w:r>
      <w:r w:rsidRPr="00D80934">
        <w:t xml:space="preserve"> are governed under the </w:t>
      </w:r>
      <w:bookmarkStart w:id="0" w:name="_Hlk150169567"/>
      <w:r w:rsidRPr="00D80934">
        <w:t>Privacy Act of 1974, 5 U.S.C. § 552a</w:t>
      </w:r>
      <w:bookmarkEnd w:id="0"/>
      <w:r w:rsidRPr="00D80934">
        <w:t xml:space="preserve">. </w:t>
      </w:r>
      <w:r w:rsidRPr="00D80934" w:rsidR="00BF4F67">
        <w:t xml:space="preserve"> </w:t>
      </w:r>
    </w:p>
    <w:p w:rsidR="003438CC" w:rsidRPr="00D80934" w:rsidP="004728E6" w14:paraId="300AF3A4" w14:textId="35D03597">
      <w:pPr>
        <w:numPr>
          <w:ilvl w:val="0"/>
          <w:numId w:val="1"/>
        </w:numPr>
      </w:pPr>
      <w:r>
        <w:t xml:space="preserve">  </w:t>
      </w:r>
      <w:r w:rsidRPr="00D80934">
        <w:t>Th</w:t>
      </w:r>
      <w:r w:rsidRPr="00D80934" w:rsidR="00635836">
        <w:t>e collection</w:t>
      </w:r>
      <w:r w:rsidRPr="00D80934">
        <w:t xml:space="preserve"> include</w:t>
      </w:r>
      <w:r w:rsidRPr="00D80934" w:rsidR="00635836">
        <w:t>s</w:t>
      </w:r>
      <w:r w:rsidRPr="00D80934">
        <w:t xml:space="preserve"> questions about current and past medical conditions that </w:t>
      </w:r>
      <w:r w:rsidRPr="00D80934" w:rsidR="00E40AA5">
        <w:t>can be considered</w:t>
      </w:r>
      <w:r w:rsidRPr="00D80934">
        <w:t xml:space="preserve"> sensitive in nature, specifically </w:t>
      </w:r>
      <w:r w:rsidRPr="00D80934" w:rsidR="00E40AA5">
        <w:t>regarding, but not limited to,</w:t>
      </w:r>
      <w:r w:rsidRPr="00D80934">
        <w:t xml:space="preserve"> mental </w:t>
      </w:r>
      <w:r w:rsidRPr="00D80934" w:rsidR="00E40AA5">
        <w:t>health,</w:t>
      </w:r>
      <w:r w:rsidRPr="00D80934">
        <w:t xml:space="preserve"> medication usage</w:t>
      </w:r>
      <w:r w:rsidRPr="00D80934" w:rsidR="00E40AA5">
        <w:t>,</w:t>
      </w:r>
      <w:r w:rsidRPr="00D80934" w:rsidR="00557DF2">
        <w:t xml:space="preserve"> </w:t>
      </w:r>
      <w:r w:rsidRPr="00D80934" w:rsidR="00E40AA5">
        <w:t xml:space="preserve">and existence of immunocompromising diagnoses. All information collected is protected under the Privacy Act and the Genetic Information Nondiscrimination Act (GINA), which protects individuals against discrimination based on their genetic information in health coverage and employment. </w:t>
      </w:r>
      <w:bookmarkStart w:id="1" w:name="_Hlk162265694"/>
    </w:p>
    <w:p w:rsidR="006F15CD" w:rsidRPr="004409DA" w:rsidP="006F15CD" w14:paraId="32F19557" w14:textId="457D5FDC">
      <w:pPr>
        <w:pStyle w:val="ListParagraph"/>
        <w:numPr>
          <w:ilvl w:val="0"/>
          <w:numId w:val="1"/>
        </w:numPr>
        <w:rPr>
          <w:i/>
          <w:sz w:val="28"/>
          <w:szCs w:val="28"/>
        </w:rPr>
      </w:pPr>
      <w:bookmarkStart w:id="2" w:name="_Hlk150946702"/>
      <w:r>
        <w:rPr>
          <w:szCs w:val="24"/>
        </w:rPr>
        <w:t xml:space="preserve">  </w:t>
      </w:r>
      <w:r>
        <w:rPr>
          <w:szCs w:val="24"/>
        </w:rPr>
        <w:t xml:space="preserve">The respondents in this collection are all </w:t>
      </w:r>
      <w:r w:rsidR="00450240">
        <w:rPr>
          <w:szCs w:val="24"/>
        </w:rPr>
        <w:t>medical providers</w:t>
      </w:r>
      <w:r>
        <w:rPr>
          <w:szCs w:val="24"/>
        </w:rPr>
        <w:t>, who will be evaluating either U.S. Direct Hire (USDH) or Locally Employed Staff (LES).  The estimated completion time for the DS- forms is as follows:</w:t>
      </w:r>
    </w:p>
    <w:p w:rsidR="006F15CD" w:rsidP="006F15CD" w14:paraId="1EC92A35" w14:textId="77777777">
      <w:pPr>
        <w:pStyle w:val="ListParagraph"/>
        <w:ind w:left="360"/>
        <w:rPr>
          <w:szCs w:val="24"/>
        </w:rPr>
      </w:pPr>
    </w:p>
    <w:p w:rsidR="006F15CD" w:rsidRPr="006F15CD" w:rsidP="006F15CD" w14:paraId="150CD7A0" w14:textId="0144CC9A">
      <w:pPr>
        <w:pStyle w:val="ListParagraph"/>
        <w:ind w:left="360"/>
        <w:rPr>
          <w:szCs w:val="24"/>
        </w:rPr>
      </w:pPr>
      <w:r w:rsidRPr="006F15CD">
        <w:rPr>
          <w:szCs w:val="24"/>
        </w:rPr>
        <w:t xml:space="preserve">6571 </w:t>
      </w:r>
      <w:r w:rsidR="00396575">
        <w:rPr>
          <w:szCs w:val="24"/>
        </w:rPr>
        <w:t>(Med Eval for LES</w:t>
      </w:r>
      <w:r w:rsidR="00E40EAC">
        <w:rPr>
          <w:szCs w:val="24"/>
        </w:rPr>
        <w:t xml:space="preserve"> non-drivers</w:t>
      </w:r>
      <w:r w:rsidR="00396575">
        <w:rPr>
          <w:szCs w:val="24"/>
        </w:rPr>
        <w:t xml:space="preserve">) </w:t>
      </w:r>
      <w:r w:rsidR="00396575">
        <w:rPr>
          <w:szCs w:val="24"/>
        </w:rPr>
        <w:tab/>
      </w:r>
      <w:r w:rsidRPr="006F15CD">
        <w:rPr>
          <w:szCs w:val="24"/>
        </w:rPr>
        <w:t>– 60 min</w:t>
      </w:r>
    </w:p>
    <w:p w:rsidR="006F15CD" w:rsidRPr="006F15CD" w:rsidP="006F15CD" w14:paraId="28B8E17B" w14:textId="5BC8E2EA">
      <w:pPr>
        <w:pStyle w:val="ListParagraph"/>
        <w:ind w:left="360"/>
        <w:rPr>
          <w:szCs w:val="24"/>
        </w:rPr>
      </w:pPr>
      <w:r w:rsidRPr="006F15CD">
        <w:rPr>
          <w:szCs w:val="24"/>
        </w:rPr>
        <w:t xml:space="preserve">6572 </w:t>
      </w:r>
      <w:r w:rsidR="00396575">
        <w:rPr>
          <w:szCs w:val="24"/>
        </w:rPr>
        <w:t>(Driver Medical Eval</w:t>
      </w:r>
      <w:r w:rsidR="00E40EAC">
        <w:rPr>
          <w:szCs w:val="24"/>
        </w:rPr>
        <w:t xml:space="preserve"> for LES</w:t>
      </w:r>
      <w:r w:rsidR="00396575">
        <w:rPr>
          <w:szCs w:val="24"/>
        </w:rPr>
        <w:t xml:space="preserve">) </w:t>
      </w:r>
      <w:r w:rsidR="00396575">
        <w:rPr>
          <w:szCs w:val="24"/>
        </w:rPr>
        <w:tab/>
      </w:r>
      <w:r w:rsidRPr="006F15CD">
        <w:rPr>
          <w:szCs w:val="24"/>
        </w:rPr>
        <w:t>– 60 min</w:t>
      </w:r>
    </w:p>
    <w:p w:rsidR="006F15CD" w:rsidRPr="006F15CD" w:rsidP="006F15CD" w14:paraId="57AEE2AE" w14:textId="2C344C19">
      <w:pPr>
        <w:pStyle w:val="ListParagraph"/>
        <w:ind w:left="360"/>
        <w:rPr>
          <w:szCs w:val="24"/>
        </w:rPr>
      </w:pPr>
      <w:r w:rsidRPr="006F15CD">
        <w:rPr>
          <w:szCs w:val="24"/>
        </w:rPr>
        <w:t xml:space="preserve">6573 </w:t>
      </w:r>
      <w:r w:rsidR="00396575">
        <w:rPr>
          <w:szCs w:val="24"/>
        </w:rPr>
        <w:t>(TB Risk Assessment)</w:t>
      </w:r>
      <w:r w:rsidR="00396575">
        <w:rPr>
          <w:szCs w:val="24"/>
        </w:rPr>
        <w:tab/>
      </w:r>
      <w:r w:rsidR="00E40EAC">
        <w:rPr>
          <w:szCs w:val="24"/>
        </w:rPr>
        <w:tab/>
      </w:r>
      <w:r w:rsidRPr="006F15CD">
        <w:rPr>
          <w:szCs w:val="24"/>
        </w:rPr>
        <w:t>– 60 min</w:t>
      </w:r>
    </w:p>
    <w:p w:rsidR="006F15CD" w:rsidRPr="006F15CD" w:rsidP="006F15CD" w14:paraId="6B3B137C" w14:textId="125DE725">
      <w:pPr>
        <w:pStyle w:val="ListParagraph"/>
        <w:ind w:left="360"/>
        <w:rPr>
          <w:szCs w:val="24"/>
        </w:rPr>
      </w:pPr>
      <w:r w:rsidRPr="006F15CD">
        <w:rPr>
          <w:szCs w:val="24"/>
        </w:rPr>
        <w:t xml:space="preserve">6574 </w:t>
      </w:r>
      <w:r w:rsidR="00396575">
        <w:rPr>
          <w:szCs w:val="24"/>
        </w:rPr>
        <w:t>(Seizure/Epilepsy)</w:t>
      </w:r>
      <w:r w:rsidR="00396575">
        <w:rPr>
          <w:szCs w:val="24"/>
        </w:rPr>
        <w:tab/>
      </w:r>
      <w:r w:rsidR="00396575">
        <w:rPr>
          <w:szCs w:val="24"/>
        </w:rPr>
        <w:tab/>
      </w:r>
      <w:r w:rsidR="00E40EAC">
        <w:rPr>
          <w:szCs w:val="24"/>
        </w:rPr>
        <w:tab/>
      </w:r>
      <w:r w:rsidRPr="006F15CD">
        <w:rPr>
          <w:szCs w:val="24"/>
        </w:rPr>
        <w:t>– 15 min</w:t>
      </w:r>
    </w:p>
    <w:p w:rsidR="006F15CD" w:rsidRPr="006F15CD" w:rsidP="006F15CD" w14:paraId="546779ED" w14:textId="5C0839EC">
      <w:pPr>
        <w:pStyle w:val="ListParagraph"/>
        <w:ind w:left="360"/>
        <w:rPr>
          <w:szCs w:val="24"/>
        </w:rPr>
      </w:pPr>
      <w:r w:rsidRPr="006F15CD">
        <w:rPr>
          <w:szCs w:val="24"/>
        </w:rPr>
        <w:t xml:space="preserve">6575 </w:t>
      </w:r>
      <w:r w:rsidR="00396575">
        <w:rPr>
          <w:szCs w:val="24"/>
        </w:rPr>
        <w:t>(Diabetes)</w:t>
      </w:r>
      <w:r w:rsidR="00396575">
        <w:rPr>
          <w:szCs w:val="24"/>
        </w:rPr>
        <w:tab/>
      </w:r>
      <w:r w:rsidR="00396575">
        <w:rPr>
          <w:szCs w:val="24"/>
        </w:rPr>
        <w:tab/>
      </w:r>
      <w:r w:rsidR="00396575">
        <w:rPr>
          <w:szCs w:val="24"/>
        </w:rPr>
        <w:tab/>
      </w:r>
      <w:r w:rsidR="00E40EAC">
        <w:rPr>
          <w:szCs w:val="24"/>
        </w:rPr>
        <w:tab/>
      </w:r>
      <w:r w:rsidRPr="006F15CD">
        <w:rPr>
          <w:szCs w:val="24"/>
        </w:rPr>
        <w:t>– 60 min</w:t>
      </w:r>
    </w:p>
    <w:p w:rsidR="006F15CD" w:rsidRPr="006F15CD" w:rsidP="006F15CD" w14:paraId="20BD58EF" w14:textId="03FE7223">
      <w:pPr>
        <w:pStyle w:val="ListParagraph"/>
        <w:ind w:left="360"/>
        <w:rPr>
          <w:szCs w:val="24"/>
        </w:rPr>
      </w:pPr>
      <w:r w:rsidRPr="006F15CD">
        <w:rPr>
          <w:szCs w:val="24"/>
        </w:rPr>
        <w:t xml:space="preserve">6576 </w:t>
      </w:r>
      <w:r w:rsidR="00396575">
        <w:rPr>
          <w:szCs w:val="24"/>
        </w:rPr>
        <w:t>(USDH Driver)</w:t>
      </w:r>
      <w:r w:rsidR="00396575">
        <w:rPr>
          <w:szCs w:val="24"/>
        </w:rPr>
        <w:tab/>
      </w:r>
      <w:r w:rsidR="00396575">
        <w:rPr>
          <w:szCs w:val="24"/>
        </w:rPr>
        <w:tab/>
      </w:r>
      <w:r w:rsidR="00E40EAC">
        <w:rPr>
          <w:szCs w:val="24"/>
        </w:rPr>
        <w:tab/>
      </w:r>
      <w:r w:rsidRPr="006F15CD">
        <w:rPr>
          <w:szCs w:val="24"/>
        </w:rPr>
        <w:t xml:space="preserve">– 60 min </w:t>
      </w:r>
    </w:p>
    <w:p w:rsidR="006F15CD" w:rsidP="006F15CD" w14:paraId="7BA44AE1" w14:textId="5BF8875F">
      <w:pPr>
        <w:pStyle w:val="ListParagraph"/>
        <w:ind w:left="360"/>
        <w:rPr>
          <w:szCs w:val="24"/>
        </w:rPr>
      </w:pPr>
      <w:r w:rsidRPr="006F15CD">
        <w:rPr>
          <w:szCs w:val="24"/>
        </w:rPr>
        <w:t xml:space="preserve">6577 </w:t>
      </w:r>
      <w:r w:rsidR="00396575">
        <w:rPr>
          <w:szCs w:val="24"/>
        </w:rPr>
        <w:t>(Vision Assessment)</w:t>
      </w:r>
      <w:r w:rsidR="00396575">
        <w:rPr>
          <w:szCs w:val="24"/>
        </w:rPr>
        <w:tab/>
      </w:r>
      <w:r w:rsidR="00E40EAC">
        <w:rPr>
          <w:szCs w:val="24"/>
        </w:rPr>
        <w:tab/>
      </w:r>
      <w:r w:rsidRPr="006F15CD">
        <w:rPr>
          <w:szCs w:val="24"/>
        </w:rPr>
        <w:t>– 30 min</w:t>
      </w:r>
    </w:p>
    <w:p w:rsidR="006F15CD" w:rsidP="006F15CD" w14:paraId="5A37CBEC" w14:textId="77777777">
      <w:pPr>
        <w:pStyle w:val="ListParagraph"/>
        <w:ind w:left="360"/>
        <w:rPr>
          <w:szCs w:val="24"/>
        </w:rPr>
      </w:pPr>
    </w:p>
    <w:p w:rsidR="006F15CD" w:rsidP="006F15CD" w14:paraId="75A683CC" w14:textId="50245091">
      <w:pPr>
        <w:pStyle w:val="ListParagraph"/>
        <w:ind w:left="360"/>
        <w:rPr>
          <w:szCs w:val="24"/>
        </w:rPr>
      </w:pPr>
      <w:r>
        <w:rPr>
          <w:szCs w:val="24"/>
        </w:rPr>
        <w:t>N</w:t>
      </w:r>
      <w:r>
        <w:rPr>
          <w:szCs w:val="24"/>
        </w:rPr>
        <w:t xml:space="preserve">ot all respondents will fill out all seven forms. </w:t>
      </w:r>
      <w:r w:rsidR="00716B24">
        <w:rPr>
          <w:szCs w:val="24"/>
        </w:rPr>
        <w:t xml:space="preserve">It is anticipated that the </w:t>
      </w:r>
      <w:r>
        <w:rPr>
          <w:szCs w:val="24"/>
        </w:rPr>
        <w:t xml:space="preserve">breakdown </w:t>
      </w:r>
      <w:r w:rsidR="00716B24">
        <w:rPr>
          <w:szCs w:val="24"/>
        </w:rPr>
        <w:t>will be</w:t>
      </w:r>
      <w:r>
        <w:rPr>
          <w:szCs w:val="24"/>
        </w:rPr>
        <w:t xml:space="preserve"> as follow</w:t>
      </w:r>
      <w:r w:rsidR="00396575">
        <w:rPr>
          <w:szCs w:val="24"/>
        </w:rPr>
        <w:t xml:space="preserve"> (</w:t>
      </w:r>
      <w:r w:rsidR="00396575">
        <w:rPr>
          <w:i/>
          <w:iCs/>
          <w:szCs w:val="24"/>
        </w:rPr>
        <w:t>italics means as needed</w:t>
      </w:r>
      <w:r w:rsidR="00396575">
        <w:rPr>
          <w:szCs w:val="24"/>
        </w:rPr>
        <w:t>)</w:t>
      </w:r>
      <w:r>
        <w:rPr>
          <w:szCs w:val="24"/>
        </w:rPr>
        <w:t>:</w:t>
      </w:r>
    </w:p>
    <w:p w:rsidR="006F15CD" w:rsidP="006F15CD" w14:paraId="64EF3E14" w14:textId="49E19BB5">
      <w:pPr>
        <w:pStyle w:val="ListParagraph"/>
        <w:ind w:left="360"/>
        <w:rPr>
          <w:szCs w:val="24"/>
        </w:rPr>
      </w:pPr>
    </w:p>
    <w:tbl>
      <w:tblPr>
        <w:tblStyle w:val="TableGrid"/>
        <w:tblW w:w="0" w:type="auto"/>
        <w:tblInd w:w="360" w:type="dxa"/>
        <w:tblLook w:val="04A0"/>
      </w:tblPr>
      <w:tblGrid>
        <w:gridCol w:w="1811"/>
        <w:gridCol w:w="1804"/>
        <w:gridCol w:w="1870"/>
        <w:gridCol w:w="900"/>
        <w:gridCol w:w="923"/>
      </w:tblGrid>
      <w:tr w14:paraId="52FDFA82" w14:textId="6EF75A20" w:rsidTr="00FA2926">
        <w:tblPrEx>
          <w:tblW w:w="0" w:type="auto"/>
          <w:tblInd w:w="360" w:type="dxa"/>
          <w:tblLook w:val="04A0"/>
        </w:tblPrEx>
        <w:tc>
          <w:tcPr>
            <w:tcW w:w="1811" w:type="dxa"/>
          </w:tcPr>
          <w:p w:rsidR="00FA2926" w:rsidP="006F15CD" w14:paraId="168FB40B" w14:textId="50EF190C">
            <w:pPr>
              <w:pStyle w:val="ListParagraph"/>
              <w:ind w:left="0"/>
              <w:rPr>
                <w:szCs w:val="24"/>
              </w:rPr>
            </w:pPr>
            <w:r>
              <w:rPr>
                <w:szCs w:val="24"/>
              </w:rPr>
              <w:t>Category</w:t>
            </w:r>
          </w:p>
        </w:tc>
        <w:tc>
          <w:tcPr>
            <w:tcW w:w="1804" w:type="dxa"/>
          </w:tcPr>
          <w:p w:rsidR="00FA2926" w:rsidP="006F15CD" w14:paraId="21FABA07" w14:textId="7AF42DF7">
            <w:pPr>
              <w:pStyle w:val="ListParagraph"/>
              <w:ind w:left="0"/>
              <w:rPr>
                <w:szCs w:val="24"/>
              </w:rPr>
            </w:pPr>
            <w:r w:rsidRPr="00AD7E02">
              <w:rPr>
                <w:szCs w:val="24"/>
              </w:rPr>
              <w:t>Number of evals per year</w:t>
            </w:r>
          </w:p>
        </w:tc>
        <w:tc>
          <w:tcPr>
            <w:tcW w:w="1870" w:type="dxa"/>
          </w:tcPr>
          <w:p w:rsidR="00FA2926" w:rsidP="006F15CD" w14:paraId="2ABF6294" w14:textId="1FCDE7DA">
            <w:pPr>
              <w:pStyle w:val="ListParagraph"/>
              <w:ind w:left="0"/>
              <w:rPr>
                <w:szCs w:val="24"/>
              </w:rPr>
            </w:pPr>
            <w:r>
              <w:rPr>
                <w:szCs w:val="24"/>
              </w:rPr>
              <w:t>Forms</w:t>
            </w:r>
          </w:p>
        </w:tc>
        <w:tc>
          <w:tcPr>
            <w:tcW w:w="900" w:type="dxa"/>
            <w:shd w:val="clear" w:color="auto" w:fill="auto"/>
          </w:tcPr>
          <w:p w:rsidR="00FA2926" w:rsidP="006F15CD" w14:paraId="231E0DA3" w14:textId="20B4C1A5">
            <w:pPr>
              <w:pStyle w:val="ListParagraph"/>
              <w:ind w:left="0"/>
              <w:rPr>
                <w:szCs w:val="24"/>
              </w:rPr>
            </w:pPr>
            <w:r>
              <w:rPr>
                <w:szCs w:val="24"/>
              </w:rPr>
              <w:t>Time*</w:t>
            </w:r>
          </w:p>
        </w:tc>
        <w:tc>
          <w:tcPr>
            <w:tcW w:w="825" w:type="dxa"/>
            <w:shd w:val="clear" w:color="auto" w:fill="auto"/>
          </w:tcPr>
          <w:p w:rsidR="00FA2926" w:rsidP="00675EEC" w14:paraId="3EA12E8D" w14:textId="4E3F49A0">
            <w:pPr>
              <w:pStyle w:val="ListParagraph"/>
              <w:ind w:left="0"/>
              <w:rPr>
                <w:szCs w:val="24"/>
              </w:rPr>
            </w:pPr>
            <w:r>
              <w:rPr>
                <w:szCs w:val="24"/>
              </w:rPr>
              <w:t>Burden</w:t>
            </w:r>
          </w:p>
          <w:p w:rsidR="00FA2926" w:rsidP="00675EEC" w14:paraId="2A7D7B48" w14:textId="27C155F8">
            <w:pPr>
              <w:pStyle w:val="ListParagraph"/>
              <w:ind w:left="0"/>
              <w:rPr>
                <w:szCs w:val="24"/>
              </w:rPr>
            </w:pPr>
            <w:r>
              <w:rPr>
                <w:szCs w:val="24"/>
              </w:rPr>
              <w:t>Hours</w:t>
            </w:r>
          </w:p>
        </w:tc>
      </w:tr>
      <w:tr w14:paraId="33859848" w14:textId="601C419A" w:rsidTr="00FA2926">
        <w:tblPrEx>
          <w:tblW w:w="0" w:type="auto"/>
          <w:tblInd w:w="360" w:type="dxa"/>
          <w:tblLook w:val="04A0"/>
        </w:tblPrEx>
        <w:tc>
          <w:tcPr>
            <w:tcW w:w="1811" w:type="dxa"/>
          </w:tcPr>
          <w:p w:rsidR="00FA2926" w:rsidRPr="004409DA" w:rsidP="006F15CD" w14:paraId="74803453" w14:textId="71F0ECD9">
            <w:pPr>
              <w:pStyle w:val="ListParagraph"/>
              <w:ind w:left="0"/>
              <w:rPr>
                <w:sz w:val="20"/>
              </w:rPr>
            </w:pPr>
            <w:r w:rsidRPr="004409DA">
              <w:rPr>
                <w:sz w:val="20"/>
              </w:rPr>
              <w:t>USDH</w:t>
            </w:r>
            <w:r>
              <w:rPr>
                <w:sz w:val="20"/>
              </w:rPr>
              <w:t xml:space="preserve"> Driver</w:t>
            </w:r>
          </w:p>
        </w:tc>
        <w:tc>
          <w:tcPr>
            <w:tcW w:w="1804" w:type="dxa"/>
          </w:tcPr>
          <w:p w:rsidR="00FA2926" w:rsidRPr="004409DA" w:rsidP="006F15CD" w14:paraId="756451F4" w14:textId="5611892C">
            <w:pPr>
              <w:pStyle w:val="ListParagraph"/>
              <w:ind w:left="0"/>
              <w:rPr>
                <w:sz w:val="20"/>
              </w:rPr>
            </w:pPr>
            <w:r>
              <w:rPr>
                <w:sz w:val="20"/>
              </w:rPr>
              <w:t>5800</w:t>
            </w:r>
          </w:p>
        </w:tc>
        <w:tc>
          <w:tcPr>
            <w:tcW w:w="1870" w:type="dxa"/>
          </w:tcPr>
          <w:p w:rsidR="00FA2926" w:rsidP="006F15CD" w14:paraId="3E70BC3B" w14:textId="77777777">
            <w:pPr>
              <w:pStyle w:val="ListParagraph"/>
              <w:ind w:left="0"/>
              <w:rPr>
                <w:sz w:val="20"/>
              </w:rPr>
            </w:pPr>
            <w:r w:rsidRPr="004409DA">
              <w:rPr>
                <w:sz w:val="20"/>
              </w:rPr>
              <w:t xml:space="preserve">6576 </w:t>
            </w:r>
          </w:p>
          <w:p w:rsidR="00FA2926" w:rsidRPr="004409DA" w:rsidP="006F15CD" w14:paraId="24A8FCF2" w14:textId="469ADF2E">
            <w:pPr>
              <w:pStyle w:val="ListParagraph"/>
              <w:ind w:left="0"/>
              <w:rPr>
                <w:sz w:val="20"/>
              </w:rPr>
            </w:pPr>
            <w:r w:rsidRPr="004409DA">
              <w:rPr>
                <w:sz w:val="20"/>
              </w:rPr>
              <w:t>(</w:t>
            </w:r>
            <w:r w:rsidRPr="004409DA">
              <w:rPr>
                <w:i/>
                <w:iCs/>
                <w:sz w:val="20"/>
              </w:rPr>
              <w:t>6574, 6575, 6577</w:t>
            </w:r>
            <w:r w:rsidRPr="004409DA">
              <w:rPr>
                <w:sz w:val="20"/>
              </w:rPr>
              <w:t>)</w:t>
            </w:r>
          </w:p>
        </w:tc>
        <w:tc>
          <w:tcPr>
            <w:tcW w:w="900" w:type="dxa"/>
            <w:shd w:val="clear" w:color="auto" w:fill="auto"/>
          </w:tcPr>
          <w:p w:rsidR="00FA2926" w:rsidRPr="004409DA" w:rsidP="006F15CD" w14:paraId="52CA3CA6" w14:textId="4B50FC2E">
            <w:pPr>
              <w:pStyle w:val="ListParagraph"/>
              <w:ind w:left="0"/>
              <w:rPr>
                <w:sz w:val="20"/>
              </w:rPr>
            </w:pPr>
            <w:r>
              <w:rPr>
                <w:sz w:val="20"/>
              </w:rPr>
              <w:t>165</w:t>
            </w:r>
          </w:p>
        </w:tc>
        <w:tc>
          <w:tcPr>
            <w:tcW w:w="825" w:type="dxa"/>
            <w:shd w:val="clear" w:color="auto" w:fill="auto"/>
          </w:tcPr>
          <w:p w:rsidR="00FA2926" w:rsidRPr="00675EEC" w:rsidP="00675EEC" w14:paraId="212FEABC" w14:textId="11B8C1D8">
            <w:pPr>
              <w:pStyle w:val="ListParagraph"/>
              <w:ind w:left="0"/>
              <w:rPr>
                <w:sz w:val="20"/>
              </w:rPr>
            </w:pPr>
            <w:r>
              <w:rPr>
                <w:sz w:val="20"/>
              </w:rPr>
              <w:t>15950</w:t>
            </w:r>
          </w:p>
        </w:tc>
      </w:tr>
      <w:tr w14:paraId="789A7D67" w14:textId="142443FF" w:rsidTr="00FA2926">
        <w:tblPrEx>
          <w:tblW w:w="0" w:type="auto"/>
          <w:tblInd w:w="360" w:type="dxa"/>
          <w:tblLook w:val="04A0"/>
        </w:tblPrEx>
        <w:tc>
          <w:tcPr>
            <w:tcW w:w="1811" w:type="dxa"/>
          </w:tcPr>
          <w:p w:rsidR="00FA2926" w:rsidRPr="004409DA" w:rsidP="006F15CD" w14:paraId="272FC2D2" w14:textId="6721EF74">
            <w:pPr>
              <w:pStyle w:val="ListParagraph"/>
              <w:ind w:left="0"/>
              <w:rPr>
                <w:sz w:val="20"/>
              </w:rPr>
            </w:pPr>
            <w:r>
              <w:rPr>
                <w:sz w:val="20"/>
              </w:rPr>
              <w:t>LES driver</w:t>
            </w:r>
          </w:p>
        </w:tc>
        <w:tc>
          <w:tcPr>
            <w:tcW w:w="1804" w:type="dxa"/>
          </w:tcPr>
          <w:p w:rsidR="00FA2926" w:rsidRPr="004409DA" w:rsidP="006F15CD" w14:paraId="6E51C2C2" w14:textId="75D3489F">
            <w:pPr>
              <w:pStyle w:val="ListParagraph"/>
              <w:ind w:left="0"/>
              <w:rPr>
                <w:sz w:val="20"/>
              </w:rPr>
            </w:pPr>
            <w:r>
              <w:rPr>
                <w:sz w:val="20"/>
              </w:rPr>
              <w:t>2400</w:t>
            </w:r>
          </w:p>
        </w:tc>
        <w:tc>
          <w:tcPr>
            <w:tcW w:w="1870" w:type="dxa"/>
          </w:tcPr>
          <w:p w:rsidR="00FA2926" w:rsidP="006F15CD" w14:paraId="73926E43" w14:textId="77777777">
            <w:pPr>
              <w:pStyle w:val="ListParagraph"/>
              <w:ind w:left="0"/>
              <w:rPr>
                <w:sz w:val="20"/>
              </w:rPr>
            </w:pPr>
            <w:r>
              <w:rPr>
                <w:sz w:val="20"/>
              </w:rPr>
              <w:t xml:space="preserve">6572 &amp; 6573 </w:t>
            </w:r>
          </w:p>
          <w:p w:rsidR="00FA2926" w:rsidRPr="004409DA" w:rsidP="006F15CD" w14:paraId="51A98FD3" w14:textId="210FBB55">
            <w:pPr>
              <w:pStyle w:val="ListParagraph"/>
              <w:ind w:left="0"/>
              <w:rPr>
                <w:sz w:val="20"/>
              </w:rPr>
            </w:pPr>
            <w:r>
              <w:rPr>
                <w:sz w:val="20"/>
              </w:rPr>
              <w:t>(</w:t>
            </w:r>
            <w:r>
              <w:rPr>
                <w:i/>
                <w:iCs/>
                <w:sz w:val="20"/>
              </w:rPr>
              <w:t>6574, 6575, 6577</w:t>
            </w:r>
            <w:r>
              <w:rPr>
                <w:sz w:val="20"/>
              </w:rPr>
              <w:t>)</w:t>
            </w:r>
          </w:p>
        </w:tc>
        <w:tc>
          <w:tcPr>
            <w:tcW w:w="900" w:type="dxa"/>
            <w:shd w:val="clear" w:color="auto" w:fill="auto"/>
          </w:tcPr>
          <w:p w:rsidR="00FA2926" w:rsidRPr="004409DA" w:rsidP="006F15CD" w14:paraId="1432B6C6" w14:textId="6639D460">
            <w:pPr>
              <w:pStyle w:val="ListParagraph"/>
              <w:ind w:left="0"/>
              <w:rPr>
                <w:sz w:val="20"/>
              </w:rPr>
            </w:pPr>
            <w:r>
              <w:rPr>
                <w:sz w:val="20"/>
              </w:rPr>
              <w:t>225</w:t>
            </w:r>
          </w:p>
        </w:tc>
        <w:tc>
          <w:tcPr>
            <w:tcW w:w="825" w:type="dxa"/>
            <w:shd w:val="clear" w:color="auto" w:fill="auto"/>
          </w:tcPr>
          <w:p w:rsidR="00FA2926" w:rsidRPr="00675EEC" w:rsidP="00675EEC" w14:paraId="15D2A0C2" w14:textId="4E289AD4">
            <w:pPr>
              <w:pStyle w:val="ListParagraph"/>
              <w:ind w:left="0"/>
              <w:rPr>
                <w:sz w:val="20"/>
              </w:rPr>
            </w:pPr>
            <w:r>
              <w:rPr>
                <w:sz w:val="20"/>
              </w:rPr>
              <w:t>9000</w:t>
            </w:r>
          </w:p>
        </w:tc>
      </w:tr>
      <w:tr w14:paraId="0D177625" w14:textId="3DA510A6" w:rsidTr="00FA2926">
        <w:tblPrEx>
          <w:tblW w:w="0" w:type="auto"/>
          <w:tblInd w:w="360" w:type="dxa"/>
          <w:tblLook w:val="04A0"/>
        </w:tblPrEx>
        <w:tc>
          <w:tcPr>
            <w:tcW w:w="1811" w:type="dxa"/>
          </w:tcPr>
          <w:p w:rsidR="00FA2926" w:rsidRPr="004409DA" w:rsidP="006F15CD" w14:paraId="59C9D074" w14:textId="545EDF66">
            <w:pPr>
              <w:pStyle w:val="ListParagraph"/>
              <w:ind w:left="0"/>
              <w:rPr>
                <w:sz w:val="20"/>
              </w:rPr>
            </w:pPr>
            <w:r>
              <w:rPr>
                <w:sz w:val="20"/>
              </w:rPr>
              <w:t>LES (</w:t>
            </w:r>
            <w:r>
              <w:rPr>
                <w:sz w:val="20"/>
              </w:rPr>
              <w:t>non driver</w:t>
            </w:r>
            <w:r>
              <w:rPr>
                <w:sz w:val="20"/>
              </w:rPr>
              <w:t>)</w:t>
            </w:r>
          </w:p>
        </w:tc>
        <w:tc>
          <w:tcPr>
            <w:tcW w:w="1804" w:type="dxa"/>
          </w:tcPr>
          <w:p w:rsidR="00FA2926" w:rsidRPr="004409DA" w:rsidP="006F15CD" w14:paraId="2E4ECBAE" w14:textId="3A6808EC">
            <w:pPr>
              <w:pStyle w:val="ListParagraph"/>
              <w:ind w:left="0"/>
              <w:rPr>
                <w:sz w:val="20"/>
              </w:rPr>
            </w:pPr>
            <w:r>
              <w:rPr>
                <w:sz w:val="20"/>
              </w:rPr>
              <w:t>4800</w:t>
            </w:r>
          </w:p>
        </w:tc>
        <w:tc>
          <w:tcPr>
            <w:tcW w:w="1870" w:type="dxa"/>
          </w:tcPr>
          <w:p w:rsidR="00FA2926" w:rsidRPr="004409DA" w:rsidP="006F15CD" w14:paraId="1FE8AE60" w14:textId="21D0F9D9">
            <w:pPr>
              <w:pStyle w:val="ListParagraph"/>
              <w:ind w:left="0"/>
              <w:rPr>
                <w:sz w:val="20"/>
              </w:rPr>
            </w:pPr>
            <w:r>
              <w:rPr>
                <w:sz w:val="20"/>
              </w:rPr>
              <w:t>6571 &amp; 6573</w:t>
            </w:r>
          </w:p>
        </w:tc>
        <w:tc>
          <w:tcPr>
            <w:tcW w:w="900" w:type="dxa"/>
            <w:shd w:val="clear" w:color="auto" w:fill="auto"/>
          </w:tcPr>
          <w:p w:rsidR="00FA2926" w:rsidRPr="004409DA" w:rsidP="006F15CD" w14:paraId="23C30EB2" w14:textId="57AF1121">
            <w:pPr>
              <w:pStyle w:val="ListParagraph"/>
              <w:ind w:left="0"/>
              <w:rPr>
                <w:sz w:val="20"/>
              </w:rPr>
            </w:pPr>
            <w:r>
              <w:rPr>
                <w:sz w:val="20"/>
              </w:rPr>
              <w:t>120</w:t>
            </w:r>
          </w:p>
        </w:tc>
        <w:tc>
          <w:tcPr>
            <w:tcW w:w="825" w:type="dxa"/>
            <w:shd w:val="clear" w:color="auto" w:fill="auto"/>
          </w:tcPr>
          <w:p w:rsidR="00FA2926" w:rsidRPr="00675EEC" w:rsidP="00675EEC" w14:paraId="02B82BE1" w14:textId="6504F096">
            <w:pPr>
              <w:pStyle w:val="ListParagraph"/>
              <w:ind w:left="0"/>
              <w:rPr>
                <w:sz w:val="20"/>
              </w:rPr>
            </w:pPr>
            <w:r>
              <w:rPr>
                <w:sz w:val="20"/>
              </w:rPr>
              <w:t>9600</w:t>
            </w:r>
          </w:p>
        </w:tc>
      </w:tr>
    </w:tbl>
    <w:p w:rsidR="003F195D" w:rsidP="003F195D" w14:paraId="72CF6A70" w14:textId="0D7AE1D3">
      <w:pPr>
        <w:rPr>
          <w:sz w:val="22"/>
        </w:rPr>
      </w:pPr>
      <w:r>
        <w:tab/>
        <w:t>*</w:t>
      </w:r>
      <w:r>
        <w:t>assumes</w:t>
      </w:r>
      <w:r>
        <w:t xml:space="preserve"> all </w:t>
      </w:r>
      <w:r w:rsidR="00716B24">
        <w:t xml:space="preserve">of the listed </w:t>
      </w:r>
      <w:r>
        <w:t>forms were used</w:t>
      </w:r>
      <w:r w:rsidR="00716B24">
        <w:t>, including italics.</w:t>
      </w:r>
    </w:p>
    <w:p w:rsidR="006F15CD" w:rsidRPr="004409DA" w:rsidP="006F15CD" w14:paraId="4FD63782" w14:textId="77777777">
      <w:pPr>
        <w:rPr>
          <w:sz w:val="20"/>
        </w:rPr>
      </w:pPr>
    </w:p>
    <w:p w:rsidR="006F15CD" w:rsidP="006F15CD" w14:paraId="0EDEB364" w14:textId="03C3296A">
      <w:pPr>
        <w:rPr>
          <w:szCs w:val="24"/>
        </w:rPr>
      </w:pPr>
      <w:r>
        <w:rPr>
          <w:szCs w:val="24"/>
        </w:rPr>
        <w:tab/>
        <w:t xml:space="preserve">Total respondents:  </w:t>
      </w:r>
      <w:r w:rsidR="00CF29AD">
        <w:rPr>
          <w:szCs w:val="24"/>
        </w:rPr>
        <w:t>13</w:t>
      </w:r>
      <w:r w:rsidR="00716B24">
        <w:rPr>
          <w:szCs w:val="24"/>
        </w:rPr>
        <w:t>,</w:t>
      </w:r>
      <w:r w:rsidR="00CF29AD">
        <w:rPr>
          <w:szCs w:val="24"/>
        </w:rPr>
        <w:t>000</w:t>
      </w:r>
    </w:p>
    <w:p w:rsidR="00835A97" w:rsidP="006F15CD" w14:paraId="6C17D3F0" w14:textId="361182C4">
      <w:pPr>
        <w:rPr>
          <w:szCs w:val="24"/>
        </w:rPr>
      </w:pPr>
      <w:r>
        <w:rPr>
          <w:szCs w:val="24"/>
        </w:rPr>
        <w:tab/>
        <w:t>Total time:</w:t>
      </w:r>
      <w:r w:rsidR="00CF29AD">
        <w:rPr>
          <w:szCs w:val="24"/>
        </w:rPr>
        <w:t xml:space="preserve">  </w:t>
      </w:r>
      <w:r w:rsidR="00FA2926">
        <w:rPr>
          <w:szCs w:val="24"/>
        </w:rPr>
        <w:t>34,550 hours</w:t>
      </w:r>
    </w:p>
    <w:p w:rsidR="00835A97" w:rsidP="006F15CD" w14:paraId="1DEC6F0D" w14:textId="77777777">
      <w:pPr>
        <w:rPr>
          <w:szCs w:val="24"/>
        </w:rPr>
      </w:pPr>
    </w:p>
    <w:p w:rsidR="00CF29AD" w:rsidRPr="00CF29AD" w:rsidP="004409DA" w14:paraId="147DDB65" w14:textId="41F47047">
      <w:pPr>
        <w:rPr>
          <w:i/>
          <w:sz w:val="28"/>
          <w:szCs w:val="28"/>
        </w:rPr>
      </w:pPr>
      <w:r>
        <w:rPr>
          <w:szCs w:val="24"/>
        </w:rPr>
        <w:t xml:space="preserve">The </w:t>
      </w:r>
      <w:r w:rsidR="00F27374">
        <w:rPr>
          <w:szCs w:val="24"/>
        </w:rPr>
        <w:t>median wage for a medical professional is $119.54.  The weighted hourly wage (x 1.2) is $143.45.  The time cost burden is $143.45 x 34,500 = $4,956,128.</w:t>
      </w:r>
      <w:r>
        <w:rPr>
          <w:rStyle w:val="FootnoteReference"/>
          <w:szCs w:val="24"/>
        </w:rPr>
        <w:footnoteReference w:id="2"/>
      </w:r>
      <w:r w:rsidR="004409DA">
        <w:rPr>
          <w:szCs w:val="24"/>
        </w:rPr>
        <w:t xml:space="preserve">  Again, this is a high estimate to cover this entire collection. Each medical professional will fill out a subset of the forms.</w:t>
      </w:r>
    </w:p>
    <w:bookmarkEnd w:id="1"/>
    <w:bookmarkEnd w:id="2"/>
    <w:p w:rsidR="00CF29AD" w:rsidRPr="00D80934" w:rsidP="000F021F" w14:paraId="1329771A" w14:textId="38FACF03">
      <w:pPr>
        <w:pStyle w:val="ListParagraph"/>
        <w:numPr>
          <w:ilvl w:val="0"/>
          <w:numId w:val="1"/>
        </w:numPr>
        <w:rPr>
          <w:rStyle w:val="normaltextrun"/>
        </w:rPr>
      </w:pPr>
      <w:r>
        <w:t xml:space="preserve">  </w:t>
      </w:r>
      <w:r w:rsidRPr="00D80934" w:rsidR="00064678">
        <w:t xml:space="preserve">There are no </w:t>
      </w:r>
      <w:r w:rsidRPr="00D80934" w:rsidR="00CC35DA">
        <w:t xml:space="preserve">direct </w:t>
      </w:r>
      <w:r w:rsidRPr="00D80934" w:rsidR="00DE4111">
        <w:t xml:space="preserve">monetary </w:t>
      </w:r>
      <w:r w:rsidRPr="00D80934" w:rsidR="00064678">
        <w:t xml:space="preserve">costs to respondents. </w:t>
      </w:r>
    </w:p>
    <w:p w:rsidR="00142249" w:rsidRPr="00D80934" w:rsidP="00CF29AD" w14:paraId="4ACB0983" w14:textId="77777777">
      <w:pPr>
        <w:pStyle w:val="ListParagraph"/>
        <w:ind w:left="360"/>
      </w:pPr>
    </w:p>
    <w:p w:rsidR="000E0631" w:rsidRPr="00D80934" w:rsidP="00DA705A" w14:paraId="5153AB7E" w14:textId="6D8738A8">
      <w:pPr>
        <w:pStyle w:val="ListParagraph"/>
        <w:numPr>
          <w:ilvl w:val="0"/>
          <w:numId w:val="1"/>
        </w:numPr>
        <w:rPr>
          <w:rStyle w:val="normaltextrun"/>
          <w:iCs/>
          <w:szCs w:val="24"/>
        </w:rPr>
      </w:pPr>
      <w:r>
        <w:rPr>
          <w:iCs/>
          <w:szCs w:val="24"/>
        </w:rPr>
        <w:t xml:space="preserve">  </w:t>
      </w:r>
      <w:r w:rsidRPr="00D80934" w:rsidR="00E75EF5">
        <w:rPr>
          <w:iCs/>
          <w:szCs w:val="24"/>
        </w:rPr>
        <w:t xml:space="preserve">Costs incurred by the Federal </w:t>
      </w:r>
      <w:r w:rsidR="001C0DE3">
        <w:rPr>
          <w:iCs/>
          <w:szCs w:val="24"/>
        </w:rPr>
        <w:t>g</w:t>
      </w:r>
      <w:r w:rsidRPr="00D80934" w:rsidR="00E75EF5">
        <w:rPr>
          <w:iCs/>
          <w:szCs w:val="24"/>
        </w:rPr>
        <w:t xml:space="preserve">overnment to complete this collection </w:t>
      </w:r>
      <w:r w:rsidRPr="00D80934" w:rsidR="0035147E">
        <w:rPr>
          <w:iCs/>
          <w:szCs w:val="24"/>
        </w:rPr>
        <w:t>are related to DoS employee labor</w:t>
      </w:r>
      <w:r w:rsidR="00F27374">
        <w:rPr>
          <w:iCs/>
          <w:szCs w:val="24"/>
        </w:rPr>
        <w:t xml:space="preserve"> to review the seven potential forms</w:t>
      </w:r>
      <w:r w:rsidR="007137C3">
        <w:rPr>
          <w:iCs/>
          <w:szCs w:val="24"/>
        </w:rPr>
        <w:t xml:space="preserve"> from 13,000 respondents</w:t>
      </w:r>
      <w:r w:rsidRPr="00D80934" w:rsidR="0035147E">
        <w:rPr>
          <w:iCs/>
          <w:szCs w:val="24"/>
        </w:rPr>
        <w:t xml:space="preserve">. </w:t>
      </w:r>
      <w:r w:rsidRPr="00D80934" w:rsidR="00797D2B">
        <w:rPr>
          <w:rStyle w:val="normaltextrun"/>
        </w:rPr>
        <w:t xml:space="preserve">The total average cost per </w:t>
      </w:r>
      <w:r w:rsidRPr="00D80934" w:rsidR="0024383C">
        <w:rPr>
          <w:rStyle w:val="normaltextrun"/>
        </w:rPr>
        <w:t>office support staff</w:t>
      </w:r>
      <w:r w:rsidRPr="00D80934" w:rsidR="00797D2B">
        <w:rPr>
          <w:rStyle w:val="normaltextrun"/>
        </w:rPr>
        <w:t xml:space="preserve"> employed by DoS, factoring wage, benefits, and overhead, is $</w:t>
      </w:r>
      <w:r w:rsidRPr="00D80934" w:rsidR="0024383C">
        <w:rPr>
          <w:rStyle w:val="normaltextrun"/>
        </w:rPr>
        <w:t>84.13</w:t>
      </w:r>
      <w:r w:rsidRPr="00D80934" w:rsidR="00797D2B">
        <w:rPr>
          <w:rStyle w:val="normaltextrun"/>
        </w:rPr>
        <w:t xml:space="preserve"> per hour.</w:t>
      </w:r>
      <w:r w:rsidRPr="00D80934" w:rsidR="00797D2B">
        <w:rPr>
          <w:rStyle w:val="eop"/>
        </w:rPr>
        <w:t> </w:t>
      </w:r>
      <w:r w:rsidR="007137C3">
        <w:rPr>
          <w:rStyle w:val="eop"/>
        </w:rPr>
        <w:t xml:space="preserve">Each form review will require 15 minutes of </w:t>
      </w:r>
      <w:bookmarkStart w:id="3" w:name="_Hlk151449858"/>
      <w:r w:rsidRPr="00D80934" w:rsidR="0024383C">
        <w:rPr>
          <w:rStyle w:val="normaltextrun"/>
        </w:rPr>
        <w:t>office support staff time</w:t>
      </w:r>
      <w:r w:rsidR="007137C3">
        <w:rPr>
          <w:rStyle w:val="normaltextrun"/>
        </w:rPr>
        <w:t>. The high-end estimate of cost to the Federal government is 13,000 x $84.13 x ¼ = $273,423</w:t>
      </w:r>
      <w:bookmarkEnd w:id="3"/>
      <w:r w:rsidRPr="00D80934" w:rsidR="005D29B9">
        <w:rPr>
          <w:rStyle w:val="normaltextrun"/>
        </w:rPr>
        <w:t xml:space="preserve">. </w:t>
      </w:r>
      <w:r w:rsidR="007137C3">
        <w:rPr>
          <w:rStyle w:val="normaltextrun"/>
        </w:rPr>
        <w:t xml:space="preserve"> This is a high estimate because not all forms will be used by a particular respondent. </w:t>
      </w:r>
    </w:p>
    <w:p w:rsidR="00791487" w:rsidRPr="00D80934" w:rsidP="00791487" w14:paraId="524C8296" w14:textId="77777777">
      <w:pPr>
        <w:pStyle w:val="ListParagraph"/>
        <w:ind w:left="360"/>
        <w:rPr>
          <w:iCs/>
          <w:szCs w:val="24"/>
        </w:rPr>
      </w:pPr>
    </w:p>
    <w:p w:rsidR="001551C6" w:rsidRPr="00D80934" w:rsidP="00374E62" w14:paraId="462A65CC" w14:textId="3D402729">
      <w:pPr>
        <w:pStyle w:val="ListParagraph"/>
        <w:numPr>
          <w:ilvl w:val="0"/>
          <w:numId w:val="1"/>
        </w:numPr>
        <w:rPr>
          <w:i/>
          <w:sz w:val="28"/>
          <w:szCs w:val="28"/>
        </w:rPr>
      </w:pPr>
      <w:r>
        <w:t xml:space="preserve">  </w:t>
      </w:r>
      <w:r w:rsidRPr="00D80934" w:rsidR="00D51B0E">
        <w:t xml:space="preserve">This is a new collection and has not been previously submitted. </w:t>
      </w:r>
    </w:p>
    <w:p w:rsidR="007B1AEB" w:rsidRPr="00D80934" w:rsidP="007B1AEB" w14:paraId="0ACFFC8D" w14:textId="77777777">
      <w:pPr>
        <w:pStyle w:val="ListParagraph"/>
        <w:ind w:left="360"/>
        <w:rPr>
          <w:i/>
          <w:sz w:val="28"/>
          <w:szCs w:val="28"/>
        </w:rPr>
      </w:pPr>
    </w:p>
    <w:p w:rsidR="00892A6A" w:rsidRPr="00D80934" w:rsidP="00374E62" w14:paraId="5BA0D20C" w14:textId="5173D161">
      <w:pPr>
        <w:pStyle w:val="ListParagraph"/>
        <w:numPr>
          <w:ilvl w:val="0"/>
          <w:numId w:val="1"/>
        </w:numPr>
        <w:rPr>
          <w:i/>
          <w:sz w:val="28"/>
          <w:szCs w:val="28"/>
        </w:rPr>
      </w:pPr>
      <w:r>
        <w:rPr>
          <w:szCs w:val="24"/>
        </w:rPr>
        <w:t xml:space="preserve">  </w:t>
      </w:r>
      <w:r w:rsidRPr="00D80934">
        <w:rPr>
          <w:szCs w:val="24"/>
        </w:rPr>
        <w:t>The Department will not publish the results of this collection.</w:t>
      </w:r>
    </w:p>
    <w:p w:rsidR="00374E62" w:rsidRPr="00D80934" w:rsidP="00374E62" w14:paraId="48316DE2" w14:textId="77777777">
      <w:pPr>
        <w:pStyle w:val="ListParagraph"/>
        <w:ind w:left="360"/>
        <w:rPr>
          <w:i/>
          <w:sz w:val="28"/>
          <w:szCs w:val="28"/>
        </w:rPr>
      </w:pPr>
    </w:p>
    <w:p w:rsidR="00374E62" w:rsidRPr="00D80934" w:rsidP="00374E62" w14:paraId="6B024F0E" w14:textId="6B1E87D9">
      <w:pPr>
        <w:pStyle w:val="ListParagraph"/>
        <w:numPr>
          <w:ilvl w:val="0"/>
          <w:numId w:val="1"/>
        </w:numPr>
        <w:rPr>
          <w:i/>
          <w:sz w:val="28"/>
          <w:szCs w:val="28"/>
        </w:rPr>
      </w:pPr>
      <w:r>
        <w:t xml:space="preserve">  </w:t>
      </w:r>
      <w:r w:rsidRPr="00D80934" w:rsidR="00DF3A05">
        <w:t>The Department will display the OMB expiration date.</w:t>
      </w:r>
    </w:p>
    <w:p w:rsidR="00374E62" w:rsidRPr="00D80934" w:rsidP="00374E62" w14:paraId="5B558DFA" w14:textId="77777777">
      <w:pPr>
        <w:pStyle w:val="ListParagraph"/>
        <w:ind w:left="360"/>
        <w:rPr>
          <w:i/>
          <w:sz w:val="28"/>
          <w:szCs w:val="28"/>
        </w:rPr>
      </w:pPr>
    </w:p>
    <w:p w:rsidR="001551C6" w:rsidRPr="00D80934" w:rsidP="00374E62" w14:paraId="419141E6" w14:textId="15133368">
      <w:pPr>
        <w:pStyle w:val="ListParagraph"/>
        <w:numPr>
          <w:ilvl w:val="0"/>
          <w:numId w:val="1"/>
        </w:numPr>
        <w:rPr>
          <w:i/>
          <w:sz w:val="28"/>
          <w:szCs w:val="28"/>
        </w:rPr>
      </w:pPr>
      <w:r>
        <w:t xml:space="preserve">  </w:t>
      </w:r>
      <w:r w:rsidRPr="00D80934" w:rsidR="00D51B0E">
        <w:t xml:space="preserve">The department is not seeking exceptions to the certification statement. </w:t>
      </w:r>
    </w:p>
    <w:p w:rsidR="00D51B0E" w:rsidRPr="00D80934" w:rsidP="00D51B0E" w14:paraId="78F618AE" w14:textId="77777777"/>
    <w:p w:rsidR="001551C6" w:rsidRPr="00D80934" w:rsidP="001551C6" w14:paraId="7C99F56F" w14:textId="77777777">
      <w:pPr>
        <w:pStyle w:val="Heading1"/>
      </w:pPr>
      <w:r w:rsidRPr="00D80934">
        <w:t>B.</w:t>
      </w:r>
      <w:r w:rsidRPr="00D80934">
        <w:tab/>
        <w:t>COLLECTION OF INFORMATION EMPLOYING STATISTICAL METHODS</w:t>
      </w:r>
    </w:p>
    <w:p w:rsidR="00374E62" w:rsidRPr="00D80934" w:rsidP="001551C6" w14:paraId="224BD3DD" w14:textId="77777777"/>
    <w:p w:rsidR="001551C6" w:rsidRPr="00D80934" w:rsidP="00374E62" w14:paraId="39699E35" w14:textId="6CF5E542">
      <w:pPr>
        <w:rPr>
          <w:i/>
        </w:rPr>
      </w:pPr>
      <w:r w:rsidRPr="00D80934">
        <w:rPr>
          <w:i/>
          <w:iCs/>
        </w:rPr>
        <w:t>1.</w:t>
      </w:r>
      <w:r w:rsidRPr="00D80934">
        <w:t xml:space="preserve"> </w:t>
      </w:r>
      <w:r w:rsidR="008042F7">
        <w:t xml:space="preserve">  </w:t>
      </w:r>
      <w:r w:rsidRPr="00D80934">
        <w:t>This collection does not employ statistical methods.</w:t>
      </w:r>
    </w:p>
    <w:p w:rsidR="00C32EFD" w14:paraId="23437FF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34AE" w:rsidP="007C49EA" w14:paraId="22E926F7" w14:textId="77777777">
      <w:pPr>
        <w:spacing w:after="0"/>
      </w:pPr>
      <w:r>
        <w:separator/>
      </w:r>
    </w:p>
  </w:footnote>
  <w:footnote w:type="continuationSeparator" w:id="1">
    <w:p w:rsidR="007434AE" w:rsidP="007C49EA" w14:paraId="46B4F703" w14:textId="77777777">
      <w:pPr>
        <w:spacing w:after="0"/>
      </w:pPr>
      <w:r>
        <w:continuationSeparator/>
      </w:r>
    </w:p>
  </w:footnote>
  <w:footnote w:id="2">
    <w:p w:rsidR="00F27374" w14:paraId="06E581B3" w14:textId="5F7E8943">
      <w:pPr>
        <w:pStyle w:val="FootnoteText"/>
      </w:pPr>
      <w:r>
        <w:rPr>
          <w:rStyle w:val="FootnoteReference"/>
        </w:rPr>
        <w:footnoteRef/>
      </w:r>
      <w:r>
        <w:t xml:space="preserve"> </w:t>
      </w:r>
      <w:r w:rsidRPr="00F27374">
        <w:t>https://www.bls.gov/oes/current/oes291229.htm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F6E0F"/>
    <w:multiLevelType w:val="hybridMultilevel"/>
    <w:tmpl w:val="E32EF75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
    <w:nsid w:val="03214ADA"/>
    <w:multiLevelType w:val="singleLevel"/>
    <w:tmpl w:val="0ED0BE34"/>
    <w:lvl w:ilvl="0">
      <w:start w:val="1"/>
      <w:numFmt w:val="decimal"/>
      <w:lvlText w:val="%1."/>
      <w:lvlJc w:val="left"/>
      <w:pPr>
        <w:tabs>
          <w:tab w:val="num" w:pos="360"/>
        </w:tabs>
        <w:ind w:left="360" w:hanging="360"/>
      </w:pPr>
      <w:rPr>
        <w:i/>
        <w:iCs w:val="0"/>
        <w:color w:val="auto"/>
        <w:sz w:val="28"/>
        <w:szCs w:val="28"/>
      </w:rPr>
    </w:lvl>
  </w:abstractNum>
  <w:abstractNum w:abstractNumId="2">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2886D10"/>
    <w:multiLevelType w:val="multilevel"/>
    <w:tmpl w:val="A8E290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42084D"/>
    <w:multiLevelType w:val="hybridMultilevel"/>
    <w:tmpl w:val="387A33CE"/>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2930018"/>
    <w:multiLevelType w:val="hybridMultilevel"/>
    <w:tmpl w:val="6E1C915C"/>
    <w:lvl w:ilvl="0">
      <w:start w:val="1"/>
      <w:numFmt w:val="decimal"/>
      <w:lvlText w:val="%1."/>
      <w:lvlJc w:val="left"/>
      <w:pPr>
        <w:ind w:left="720" w:hanging="360"/>
      </w:pPr>
      <w:rPr>
        <w:rFonts w:hint="default"/>
        <w:i w:val="0"/>
        <w:color w:val="1F497D"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69148455">
    <w:abstractNumId w:val="1"/>
  </w:num>
  <w:num w:numId="2" w16cid:durableId="1496607570">
    <w:abstractNumId w:val="7"/>
  </w:num>
  <w:num w:numId="3" w16cid:durableId="1102802109">
    <w:abstractNumId w:val="8"/>
  </w:num>
  <w:num w:numId="4" w16cid:durableId="623002551">
    <w:abstractNumId w:val="6"/>
  </w:num>
  <w:num w:numId="5" w16cid:durableId="1282497222">
    <w:abstractNumId w:val="2"/>
  </w:num>
  <w:num w:numId="6" w16cid:durableId="954169501">
    <w:abstractNumId w:val="9"/>
  </w:num>
  <w:num w:numId="7" w16cid:durableId="491220759">
    <w:abstractNumId w:val="0"/>
  </w:num>
  <w:num w:numId="8" w16cid:durableId="63917396">
    <w:abstractNumId w:val="4"/>
  </w:num>
  <w:num w:numId="9" w16cid:durableId="115369117">
    <w:abstractNumId w:val="5"/>
  </w:num>
  <w:num w:numId="10" w16cid:durableId="2123720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14565"/>
    <w:rsid w:val="00045227"/>
    <w:rsid w:val="00064678"/>
    <w:rsid w:val="00086DF2"/>
    <w:rsid w:val="000D3343"/>
    <w:rsid w:val="000D47DC"/>
    <w:rsid w:val="000D77F1"/>
    <w:rsid w:val="000E0631"/>
    <w:rsid w:val="000F021F"/>
    <w:rsid w:val="000F2688"/>
    <w:rsid w:val="000F3D30"/>
    <w:rsid w:val="00100D44"/>
    <w:rsid w:val="00130CEA"/>
    <w:rsid w:val="00142249"/>
    <w:rsid w:val="001551C6"/>
    <w:rsid w:val="00156883"/>
    <w:rsid w:val="001677A5"/>
    <w:rsid w:val="001679DE"/>
    <w:rsid w:val="00176C8D"/>
    <w:rsid w:val="001C0DE3"/>
    <w:rsid w:val="001D4439"/>
    <w:rsid w:val="001E3F7F"/>
    <w:rsid w:val="002235FB"/>
    <w:rsid w:val="0024383C"/>
    <w:rsid w:val="002735FB"/>
    <w:rsid w:val="00274CA7"/>
    <w:rsid w:val="00285B7B"/>
    <w:rsid w:val="002952A5"/>
    <w:rsid w:val="002B637C"/>
    <w:rsid w:val="002C7815"/>
    <w:rsid w:val="002E34C2"/>
    <w:rsid w:val="002E5A8C"/>
    <w:rsid w:val="002E62A9"/>
    <w:rsid w:val="0033691C"/>
    <w:rsid w:val="003438CC"/>
    <w:rsid w:val="0035147E"/>
    <w:rsid w:val="00374E62"/>
    <w:rsid w:val="00382658"/>
    <w:rsid w:val="00396575"/>
    <w:rsid w:val="0039756D"/>
    <w:rsid w:val="003F195D"/>
    <w:rsid w:val="00400219"/>
    <w:rsid w:val="004060AA"/>
    <w:rsid w:val="00422705"/>
    <w:rsid w:val="00425AC5"/>
    <w:rsid w:val="00432AAE"/>
    <w:rsid w:val="004409DA"/>
    <w:rsid w:val="00441EEA"/>
    <w:rsid w:val="004460C8"/>
    <w:rsid w:val="00450240"/>
    <w:rsid w:val="00460A6D"/>
    <w:rsid w:val="0046285D"/>
    <w:rsid w:val="0046757E"/>
    <w:rsid w:val="004728E6"/>
    <w:rsid w:val="004738AE"/>
    <w:rsid w:val="00481EAE"/>
    <w:rsid w:val="004946FC"/>
    <w:rsid w:val="004B32C9"/>
    <w:rsid w:val="004B4BF0"/>
    <w:rsid w:val="004C34C9"/>
    <w:rsid w:val="0051654B"/>
    <w:rsid w:val="0052269A"/>
    <w:rsid w:val="00556CBE"/>
    <w:rsid w:val="00557DF2"/>
    <w:rsid w:val="00564B42"/>
    <w:rsid w:val="005945DA"/>
    <w:rsid w:val="005D08C4"/>
    <w:rsid w:val="005D1C7B"/>
    <w:rsid w:val="005D29B9"/>
    <w:rsid w:val="005F2FC7"/>
    <w:rsid w:val="00615FBE"/>
    <w:rsid w:val="00635836"/>
    <w:rsid w:val="006370BF"/>
    <w:rsid w:val="00637EFC"/>
    <w:rsid w:val="006610CE"/>
    <w:rsid w:val="00671C9A"/>
    <w:rsid w:val="00675EEC"/>
    <w:rsid w:val="00692E3C"/>
    <w:rsid w:val="006B0FF8"/>
    <w:rsid w:val="006B3118"/>
    <w:rsid w:val="006C5EBB"/>
    <w:rsid w:val="006C61E7"/>
    <w:rsid w:val="006C7994"/>
    <w:rsid w:val="006E3A78"/>
    <w:rsid w:val="006E7E02"/>
    <w:rsid w:val="006F15CD"/>
    <w:rsid w:val="007137C3"/>
    <w:rsid w:val="00715F42"/>
    <w:rsid w:val="00716B24"/>
    <w:rsid w:val="007345AC"/>
    <w:rsid w:val="0073647D"/>
    <w:rsid w:val="00736C92"/>
    <w:rsid w:val="00740E6A"/>
    <w:rsid w:val="007434AE"/>
    <w:rsid w:val="00751952"/>
    <w:rsid w:val="00771ABC"/>
    <w:rsid w:val="00783A4E"/>
    <w:rsid w:val="00791487"/>
    <w:rsid w:val="00792C28"/>
    <w:rsid w:val="00797D2B"/>
    <w:rsid w:val="007A5333"/>
    <w:rsid w:val="007B1AEB"/>
    <w:rsid w:val="007B33FE"/>
    <w:rsid w:val="007C49EA"/>
    <w:rsid w:val="007C67BB"/>
    <w:rsid w:val="007D0419"/>
    <w:rsid w:val="007F1763"/>
    <w:rsid w:val="008042F7"/>
    <w:rsid w:val="00807E3E"/>
    <w:rsid w:val="0082466C"/>
    <w:rsid w:val="00835A97"/>
    <w:rsid w:val="00840A73"/>
    <w:rsid w:val="00841820"/>
    <w:rsid w:val="008748BD"/>
    <w:rsid w:val="00892A6A"/>
    <w:rsid w:val="00900137"/>
    <w:rsid w:val="00912E96"/>
    <w:rsid w:val="00931F8B"/>
    <w:rsid w:val="00934FF1"/>
    <w:rsid w:val="0094002A"/>
    <w:rsid w:val="00951CD2"/>
    <w:rsid w:val="00953227"/>
    <w:rsid w:val="00960B32"/>
    <w:rsid w:val="00A01B5F"/>
    <w:rsid w:val="00A17F29"/>
    <w:rsid w:val="00A268F5"/>
    <w:rsid w:val="00AA5691"/>
    <w:rsid w:val="00AB6285"/>
    <w:rsid w:val="00AB7C88"/>
    <w:rsid w:val="00AC4E92"/>
    <w:rsid w:val="00AC6B9E"/>
    <w:rsid w:val="00AD08DB"/>
    <w:rsid w:val="00AD7752"/>
    <w:rsid w:val="00AD7E02"/>
    <w:rsid w:val="00AE428E"/>
    <w:rsid w:val="00B102D2"/>
    <w:rsid w:val="00B12DBD"/>
    <w:rsid w:val="00B17BC3"/>
    <w:rsid w:val="00B260C7"/>
    <w:rsid w:val="00B47BD0"/>
    <w:rsid w:val="00B52100"/>
    <w:rsid w:val="00B564E4"/>
    <w:rsid w:val="00B61C2A"/>
    <w:rsid w:val="00B64F4B"/>
    <w:rsid w:val="00B658AC"/>
    <w:rsid w:val="00B715ED"/>
    <w:rsid w:val="00BD346D"/>
    <w:rsid w:val="00BD4C8C"/>
    <w:rsid w:val="00BF4F67"/>
    <w:rsid w:val="00C03113"/>
    <w:rsid w:val="00C1035C"/>
    <w:rsid w:val="00C32EFD"/>
    <w:rsid w:val="00C365A3"/>
    <w:rsid w:val="00C71023"/>
    <w:rsid w:val="00C7278C"/>
    <w:rsid w:val="00C84E86"/>
    <w:rsid w:val="00CB5BE0"/>
    <w:rsid w:val="00CC27E0"/>
    <w:rsid w:val="00CC35DA"/>
    <w:rsid w:val="00CF1705"/>
    <w:rsid w:val="00CF29AD"/>
    <w:rsid w:val="00D25C4F"/>
    <w:rsid w:val="00D42DB2"/>
    <w:rsid w:val="00D42EC9"/>
    <w:rsid w:val="00D51B0E"/>
    <w:rsid w:val="00D63864"/>
    <w:rsid w:val="00D73FC5"/>
    <w:rsid w:val="00D76E3E"/>
    <w:rsid w:val="00D80934"/>
    <w:rsid w:val="00D94DA3"/>
    <w:rsid w:val="00DA705A"/>
    <w:rsid w:val="00DB0D50"/>
    <w:rsid w:val="00DB2E44"/>
    <w:rsid w:val="00DB7693"/>
    <w:rsid w:val="00DC4902"/>
    <w:rsid w:val="00DD4C7C"/>
    <w:rsid w:val="00DD6AAC"/>
    <w:rsid w:val="00DE4111"/>
    <w:rsid w:val="00DF2383"/>
    <w:rsid w:val="00DF3A05"/>
    <w:rsid w:val="00E40AA5"/>
    <w:rsid w:val="00E40EAC"/>
    <w:rsid w:val="00E5502C"/>
    <w:rsid w:val="00E600B1"/>
    <w:rsid w:val="00E64171"/>
    <w:rsid w:val="00E67264"/>
    <w:rsid w:val="00E75EF5"/>
    <w:rsid w:val="00E82791"/>
    <w:rsid w:val="00E828CA"/>
    <w:rsid w:val="00E94775"/>
    <w:rsid w:val="00EA7CE6"/>
    <w:rsid w:val="00ED198E"/>
    <w:rsid w:val="00ED7212"/>
    <w:rsid w:val="00EF0FDA"/>
    <w:rsid w:val="00EF2898"/>
    <w:rsid w:val="00F27374"/>
    <w:rsid w:val="00F4041A"/>
    <w:rsid w:val="00F409B1"/>
    <w:rsid w:val="00F631E1"/>
    <w:rsid w:val="00F85157"/>
    <w:rsid w:val="00FA2926"/>
    <w:rsid w:val="00FA67CB"/>
    <w:rsid w:val="00FB54EC"/>
    <w:rsid w:val="00FD3B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9CC61B"/>
  <w15:docId w15:val="{A715AE17-33BB-465B-B986-C8C38D0A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CommentReference">
    <w:name w:val="annotation reference"/>
    <w:basedOn w:val="DefaultParagraphFont"/>
    <w:uiPriority w:val="99"/>
    <w:semiHidden/>
    <w:unhideWhenUsed/>
    <w:rsid w:val="00934FF1"/>
    <w:rPr>
      <w:sz w:val="16"/>
      <w:szCs w:val="16"/>
    </w:rPr>
  </w:style>
  <w:style w:type="paragraph" w:styleId="CommentText">
    <w:name w:val="annotation text"/>
    <w:basedOn w:val="Normal"/>
    <w:link w:val="CommentTextChar"/>
    <w:uiPriority w:val="99"/>
    <w:unhideWhenUsed/>
    <w:rsid w:val="00934FF1"/>
    <w:rPr>
      <w:sz w:val="20"/>
    </w:rPr>
  </w:style>
  <w:style w:type="character" w:customStyle="1" w:styleId="CommentTextChar">
    <w:name w:val="Comment Text Char"/>
    <w:basedOn w:val="DefaultParagraphFont"/>
    <w:link w:val="CommentText"/>
    <w:uiPriority w:val="99"/>
    <w:rsid w:val="00934F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4FF1"/>
    <w:rPr>
      <w:b/>
      <w:bCs/>
    </w:rPr>
  </w:style>
  <w:style w:type="character" w:customStyle="1" w:styleId="CommentSubjectChar">
    <w:name w:val="Comment Subject Char"/>
    <w:basedOn w:val="CommentTextChar"/>
    <w:link w:val="CommentSubject"/>
    <w:uiPriority w:val="99"/>
    <w:semiHidden/>
    <w:rsid w:val="00934FF1"/>
    <w:rPr>
      <w:rFonts w:ascii="Times New Roman" w:eastAsia="Times New Roman" w:hAnsi="Times New Roman" w:cs="Times New Roman"/>
      <w:b/>
      <w:bCs/>
      <w:sz w:val="20"/>
      <w:szCs w:val="20"/>
    </w:rPr>
  </w:style>
  <w:style w:type="paragraph" w:customStyle="1" w:styleId="paragraph">
    <w:name w:val="paragraph"/>
    <w:basedOn w:val="Normal"/>
    <w:rsid w:val="000E0631"/>
    <w:pPr>
      <w:spacing w:before="100" w:beforeAutospacing="1" w:after="100" w:afterAutospacing="1"/>
    </w:pPr>
    <w:rPr>
      <w:szCs w:val="24"/>
    </w:rPr>
  </w:style>
  <w:style w:type="character" w:customStyle="1" w:styleId="normaltextrun">
    <w:name w:val="normaltextrun"/>
    <w:basedOn w:val="DefaultParagraphFont"/>
    <w:rsid w:val="000E0631"/>
  </w:style>
  <w:style w:type="character" w:customStyle="1" w:styleId="superscript">
    <w:name w:val="superscript"/>
    <w:basedOn w:val="DefaultParagraphFont"/>
    <w:rsid w:val="000E0631"/>
  </w:style>
  <w:style w:type="character" w:customStyle="1" w:styleId="eop">
    <w:name w:val="eop"/>
    <w:basedOn w:val="DefaultParagraphFont"/>
    <w:rsid w:val="000E0631"/>
  </w:style>
  <w:style w:type="paragraph" w:styleId="FootnoteText">
    <w:name w:val="footnote text"/>
    <w:basedOn w:val="Normal"/>
    <w:link w:val="FootnoteTextChar"/>
    <w:uiPriority w:val="99"/>
    <w:semiHidden/>
    <w:unhideWhenUsed/>
    <w:rsid w:val="000E0631"/>
    <w:pPr>
      <w:spacing w:after="0"/>
    </w:pPr>
    <w:rPr>
      <w:sz w:val="20"/>
    </w:rPr>
  </w:style>
  <w:style w:type="character" w:customStyle="1" w:styleId="FootnoteTextChar">
    <w:name w:val="Footnote Text Char"/>
    <w:basedOn w:val="DefaultParagraphFont"/>
    <w:link w:val="FootnoteText"/>
    <w:uiPriority w:val="99"/>
    <w:semiHidden/>
    <w:rsid w:val="000E063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E0631"/>
    <w:rPr>
      <w:vertAlign w:val="superscript"/>
    </w:rPr>
  </w:style>
  <w:style w:type="character" w:styleId="Hyperlink">
    <w:name w:val="Hyperlink"/>
    <w:basedOn w:val="DefaultParagraphFont"/>
    <w:uiPriority w:val="99"/>
    <w:unhideWhenUsed/>
    <w:rsid w:val="000E0631"/>
    <w:rPr>
      <w:color w:val="0000FF" w:themeColor="hyperlink"/>
      <w:u w:val="single"/>
    </w:rPr>
  </w:style>
  <w:style w:type="character" w:styleId="UnresolvedMention">
    <w:name w:val="Unresolved Mention"/>
    <w:basedOn w:val="DefaultParagraphFont"/>
    <w:uiPriority w:val="99"/>
    <w:semiHidden/>
    <w:unhideWhenUsed/>
    <w:rsid w:val="000E0631"/>
    <w:rPr>
      <w:color w:val="605E5C"/>
      <w:shd w:val="clear" w:color="auto" w:fill="E1DFDD"/>
    </w:rPr>
  </w:style>
  <w:style w:type="character" w:styleId="FollowedHyperlink">
    <w:name w:val="FollowedHyperlink"/>
    <w:basedOn w:val="DefaultParagraphFont"/>
    <w:uiPriority w:val="99"/>
    <w:semiHidden/>
    <w:unhideWhenUsed/>
    <w:rsid w:val="00CB5BE0"/>
    <w:rPr>
      <w:color w:val="800080" w:themeColor="followedHyperlink"/>
      <w:u w:val="single"/>
    </w:rPr>
  </w:style>
  <w:style w:type="paragraph" w:styleId="Revision">
    <w:name w:val="Revision"/>
    <w:hidden/>
    <w:uiPriority w:val="99"/>
    <w:semiHidden/>
    <w:rsid w:val="00B61C2A"/>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6F1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C9911792007847BF9CFD581E780D97" ma:contentTypeVersion="5" ma:contentTypeDescription="Create a new document." ma:contentTypeScope="" ma:versionID="8af3ea3515494b9bdc136a29106c484b">
  <xsd:schema xmlns:xsd="http://www.w3.org/2001/XMLSchema" xmlns:xs="http://www.w3.org/2001/XMLSchema" xmlns:p="http://schemas.microsoft.com/office/2006/metadata/properties" xmlns:ns2="076abf83-628a-4f0d-ab24-5b7d5ab5144f" xmlns:ns3="c896b10c-c7fb-4222-8956-d1aabd93fb86" targetNamespace="http://schemas.microsoft.com/office/2006/metadata/properties" ma:root="true" ma:fieldsID="6acbb8c5d7999537bf7a079f8263543e" ns2:_="" ns3:_="">
    <xsd:import namespace="076abf83-628a-4f0d-ab24-5b7d5ab5144f"/>
    <xsd:import namespace="c896b10c-c7fb-4222-8956-d1aabd93fb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abf83-628a-4f0d-ab24-5b7d5ab51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6b10c-c7fb-4222-8956-d1aabd93fb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A63FC7-70C5-4896-90E2-938A177C333F}">
  <ds:schemaRefs>
    <ds:schemaRef ds:uri="http://schemas.openxmlformats.org/officeDocument/2006/bibliography"/>
  </ds:schemaRefs>
</ds:datastoreItem>
</file>

<file path=customXml/itemProps2.xml><?xml version="1.0" encoding="utf-8"?>
<ds:datastoreItem xmlns:ds="http://schemas.openxmlformats.org/officeDocument/2006/customXml" ds:itemID="{AF230BCA-B972-44C6-BCA7-C58CFE377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abf83-628a-4f0d-ab24-5b7d5ab5144f"/>
    <ds:schemaRef ds:uri="c896b10c-c7fb-4222-8956-d1aabd93f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12F90C-DCE4-4EC7-A838-882B8FB4D0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Browne, Shea E</cp:lastModifiedBy>
  <cp:revision>4</cp:revision>
  <cp:lastPrinted>2024-04-29T12:55:00Z</cp:lastPrinted>
  <dcterms:created xsi:type="dcterms:W3CDTF">2024-07-19T13:24:00Z</dcterms:created>
  <dcterms:modified xsi:type="dcterms:W3CDTF">2024-07-24T17:32:00Z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0x0101002BC9911792007847BF9CFD581E780D97</vt:lpwstr>
  </property>
  <property fmtid="{D5CDD505-2E9C-101B-9397-08002B2CF9AE}" pid="3" name="MSIP_Label_1665d9ee-429a-4d5f-97cc-cfb56e044a6e_ActionId">
    <vt:lpwstr>93f4f7bd-3162-4384-a576-eec304a5f92d</vt:lpwstr>
  </property>
  <property fmtid="{D5CDD505-2E9C-101B-9397-08002B2CF9AE}" pid="4" name="MSIP_Label_1665d9ee-429a-4d5f-97cc-cfb56e044a6e_Application">
    <vt:lpwstr>Microsoft Azure Information Protection</vt:lpwstr>
  </property>
  <property fmtid="{D5CDD505-2E9C-101B-9397-08002B2CF9AE}" pid="5" name="MSIP_Label_1665d9ee-429a-4d5f-97cc-cfb56e044a6e_Enabled">
    <vt:lpwstr>True</vt:lpwstr>
  </property>
  <property fmtid="{D5CDD505-2E9C-101B-9397-08002B2CF9AE}" pid="6" name="MSIP_Label_1665d9ee-429a-4d5f-97cc-cfb56e044a6e_Extended_MSFT_Method">
    <vt:lpwstr>Manual</vt:lpwstr>
  </property>
  <property fmtid="{D5CDD505-2E9C-101B-9397-08002B2CF9AE}" pid="7" name="MSIP_Label_1665d9ee-429a-4d5f-97cc-cfb56e044a6e_Name">
    <vt:lpwstr>Unclassified</vt:lpwstr>
  </property>
  <property fmtid="{D5CDD505-2E9C-101B-9397-08002B2CF9AE}" pid="8" name="MSIP_Label_1665d9ee-429a-4d5f-97cc-cfb56e044a6e_Owner">
    <vt:lpwstr>WatkinsPK@state.gov</vt:lpwstr>
  </property>
  <property fmtid="{D5CDD505-2E9C-101B-9397-08002B2CF9AE}" pid="9" name="MSIP_Label_1665d9ee-429a-4d5f-97cc-cfb56e044a6e_SetDate">
    <vt:lpwstr>2020-07-06T14:14:30.1684889Z</vt:lpwstr>
  </property>
  <property fmtid="{D5CDD505-2E9C-101B-9397-08002B2CF9AE}" pid="10" name="MSIP_Label_1665d9ee-429a-4d5f-97cc-cfb56e044a6e_SiteId">
    <vt:lpwstr>66cf5074-5afe-48d1-a691-a12b2121f44b</vt:lpwstr>
  </property>
  <property fmtid="{D5CDD505-2E9C-101B-9397-08002B2CF9AE}" pid="11" name="Sensitivity">
    <vt:lpwstr>Unclassified</vt:lpwstr>
  </property>
</Properties>
</file>