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4805" w:rsidRPr="00F77894" w:rsidP="3ECF1372" w14:paraId="016A9E41" w14:textId="77777777">
      <w:pPr>
        <w:jc w:val="center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 xml:space="preserve">SUPPORTING STATEMENT FOR </w:t>
      </w:r>
    </w:p>
    <w:p w:rsidR="00B14805" w:rsidRPr="00F77894" w:rsidP="3ECF1372" w14:paraId="7245E7A5" w14:textId="77777777">
      <w:pPr>
        <w:jc w:val="center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>PAPERWORK REDUCTION ACT SUBMISSION</w:t>
      </w:r>
    </w:p>
    <w:p w:rsidR="00B14805" w:rsidRPr="00F77894" w:rsidP="3ECF1372" w14:paraId="7ED4A272" w14:textId="77777777">
      <w:pPr>
        <w:jc w:val="center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>OMB No. 1405-0147</w:t>
      </w:r>
    </w:p>
    <w:p w:rsidR="00045A3B" w:rsidRPr="00F77894" w:rsidP="3ECF1372" w14:paraId="3E68DE62" w14:textId="77777777">
      <w:pPr>
        <w:jc w:val="center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>Recording, Reporting and Data Collection Requirements – Student and Exchange Visitor Information System (SEVIS)</w:t>
      </w:r>
    </w:p>
    <w:p w:rsidR="00B14805" w:rsidRPr="00F77894" w:rsidP="3ECF1372" w14:paraId="58282FE4" w14:textId="0FAE1E11">
      <w:pPr>
        <w:jc w:val="center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>Form</w:t>
      </w:r>
      <w:r w:rsidRPr="3ECF1372" w:rsidR="00F75B9E">
        <w:rPr>
          <w:b/>
          <w:bCs/>
          <w:color w:val="000000" w:themeColor="text1"/>
        </w:rPr>
        <w:t>s DS-3036, DS</w:t>
      </w:r>
      <w:r w:rsidRPr="3ECF1372" w:rsidR="00B138DC">
        <w:rPr>
          <w:b/>
          <w:bCs/>
          <w:color w:val="000000" w:themeColor="text1"/>
        </w:rPr>
        <w:t>-</w:t>
      </w:r>
      <w:r w:rsidRPr="3ECF1372" w:rsidR="00F75B9E">
        <w:rPr>
          <w:b/>
          <w:bCs/>
          <w:color w:val="000000" w:themeColor="text1"/>
        </w:rPr>
        <w:t>3037, and</w:t>
      </w:r>
      <w:r w:rsidRPr="3ECF1372">
        <w:rPr>
          <w:b/>
          <w:bCs/>
          <w:color w:val="000000" w:themeColor="text1"/>
        </w:rPr>
        <w:t xml:space="preserve"> </w:t>
      </w:r>
      <w:r w:rsidRPr="3ECF1372">
        <w:rPr>
          <w:b/>
          <w:bCs/>
          <w:color w:val="000000" w:themeColor="text1"/>
        </w:rPr>
        <w:t>DS-7000</w:t>
      </w:r>
    </w:p>
    <w:p w:rsidR="00F33C1A" w:rsidRPr="00F77894" w:rsidP="3ECF1372" w14:paraId="18C212F3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685DB4F0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A.</w:t>
      </w:r>
      <w:r w:rsidRPr="3ECF1372">
        <w:rPr>
          <w:b/>
          <w:bCs/>
          <w:color w:val="000000" w:themeColor="text1"/>
        </w:rPr>
        <w:t xml:space="preserve"> JUSTIFICATION</w:t>
      </w:r>
    </w:p>
    <w:p w:rsidR="00F33C1A" w:rsidRPr="00F77894" w:rsidP="3ECF1372" w14:paraId="6DF35205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2A9E8D2B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1.  The Bureau of Educational and Cultural Affairs </w:t>
      </w:r>
      <w:r w:rsidRPr="3ECF1372" w:rsidR="003140DD">
        <w:rPr>
          <w:color w:val="000000" w:themeColor="text1"/>
        </w:rPr>
        <w:t xml:space="preserve">(ECA) </w:t>
      </w:r>
      <w:r w:rsidRPr="3ECF1372">
        <w:rPr>
          <w:color w:val="000000" w:themeColor="text1"/>
        </w:rPr>
        <w:t>of the</w:t>
      </w:r>
      <w:r w:rsidRPr="3ECF1372" w:rsidR="00C57AB5">
        <w:rPr>
          <w:color w:val="000000" w:themeColor="text1"/>
        </w:rPr>
        <w:t xml:space="preserve"> U.S.</w:t>
      </w:r>
      <w:r w:rsidRPr="3ECF1372">
        <w:rPr>
          <w:color w:val="000000" w:themeColor="text1"/>
        </w:rPr>
        <w:t xml:space="preserve"> Department of </w:t>
      </w:r>
      <w:r w:rsidRPr="3ECF1372" w:rsidR="00696BEC">
        <w:rPr>
          <w:color w:val="000000" w:themeColor="text1"/>
        </w:rPr>
        <w:t>State administers</w:t>
      </w:r>
      <w:r w:rsidRPr="3ECF1372">
        <w:rPr>
          <w:color w:val="000000" w:themeColor="text1"/>
        </w:rPr>
        <w:t xml:space="preserve"> the Exchange Visitor Program (J-Visa) under the provisions of the Mutual Educational and Cultural Exchange Act</w:t>
      </w:r>
      <w:r w:rsidRPr="3ECF1372" w:rsidR="00321994">
        <w:rPr>
          <w:color w:val="000000" w:themeColor="text1"/>
        </w:rPr>
        <w:t xml:space="preserve"> of 1961 (MECEA)</w:t>
      </w:r>
      <w:r w:rsidRPr="3ECF1372">
        <w:rPr>
          <w:color w:val="000000" w:themeColor="text1"/>
        </w:rPr>
        <w:t xml:space="preserve">, </w:t>
      </w:r>
      <w:r w:rsidRPr="3ECF1372" w:rsidR="00EA5993">
        <w:rPr>
          <w:color w:val="000000" w:themeColor="text1"/>
        </w:rPr>
        <w:t xml:space="preserve">also known as the Fulbright-Hays Act, </w:t>
      </w:r>
      <w:r w:rsidRPr="3ECF1372">
        <w:rPr>
          <w:color w:val="000000" w:themeColor="text1"/>
        </w:rPr>
        <w:t>as amended</w:t>
      </w:r>
      <w:r w:rsidRPr="3ECF1372" w:rsidR="00321994">
        <w:rPr>
          <w:color w:val="000000" w:themeColor="text1"/>
        </w:rPr>
        <w:t xml:space="preserve"> (Public Law 87-256.  22 U.S.C. 2451, </w:t>
      </w:r>
      <w:r w:rsidRPr="3ECF1372" w:rsidR="00321994">
        <w:rPr>
          <w:i/>
          <w:iCs/>
          <w:color w:val="000000" w:themeColor="text1"/>
        </w:rPr>
        <w:t xml:space="preserve">et </w:t>
      </w:r>
      <w:r w:rsidRPr="3ECF1372" w:rsidR="001B0D61">
        <w:rPr>
          <w:i/>
          <w:iCs/>
          <w:color w:val="000000" w:themeColor="text1"/>
        </w:rPr>
        <w:t>seq.</w:t>
      </w:r>
      <w:r w:rsidRPr="3ECF1372" w:rsidR="00321994">
        <w:rPr>
          <w:color w:val="000000" w:themeColor="text1"/>
        </w:rPr>
        <w:t>)</w:t>
      </w:r>
      <w:r w:rsidRPr="3ECF1372">
        <w:rPr>
          <w:color w:val="000000" w:themeColor="text1"/>
        </w:rPr>
        <w:t xml:space="preserve">.  This program enables U.S. Government agencies and public and private organizations to conduct a variety of educational and cultural exchange activities. </w:t>
      </w:r>
    </w:p>
    <w:p w:rsidR="00F33C1A" w:rsidRPr="00F77894" w:rsidP="3ECF1372" w14:paraId="1F9A6E22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AA2B71" w:rsidRPr="00F77894" w:rsidP="3ECF1372" w14:paraId="027FDB15" w14:textId="419AFDE8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This collection of </w:t>
      </w:r>
      <w:r w:rsidRPr="3ECF1372" w:rsidR="0062475B">
        <w:rPr>
          <w:color w:val="000000" w:themeColor="text1"/>
        </w:rPr>
        <w:t>information</w:t>
      </w:r>
      <w:r w:rsidRPr="3ECF1372">
        <w:rPr>
          <w:color w:val="000000" w:themeColor="text1"/>
        </w:rPr>
        <w:t xml:space="preserve"> required under 22 CFR Part 62 utilizes the Student and Exchange Visitor Information System (SEVIS) (DS-7000)</w:t>
      </w:r>
      <w:r w:rsidRPr="3ECF1372" w:rsidR="00E217DD">
        <w:rPr>
          <w:color w:val="000000" w:themeColor="text1"/>
        </w:rPr>
        <w:t xml:space="preserve"> as well as</w:t>
      </w:r>
      <w:r w:rsidRPr="3ECF1372">
        <w:rPr>
          <w:color w:val="000000" w:themeColor="text1"/>
        </w:rPr>
        <w:t xml:space="preserve"> two </w:t>
      </w:r>
      <w:r w:rsidRPr="3ECF1372" w:rsidR="00E217DD">
        <w:rPr>
          <w:color w:val="000000" w:themeColor="text1"/>
        </w:rPr>
        <w:t xml:space="preserve">other </w:t>
      </w:r>
      <w:r w:rsidRPr="3ECF1372">
        <w:rPr>
          <w:color w:val="000000" w:themeColor="text1"/>
        </w:rPr>
        <w:t>forms: DS-3036 - Exchange Visitor Program Application and DS-3037 - Update of Information on Exchange Visitor Program Sponsor.</w:t>
      </w:r>
    </w:p>
    <w:p w:rsidR="00AA2B71" w:rsidRPr="00F77894" w:rsidP="3ECF1372" w14:paraId="7E04681A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A73E18" w:rsidRPr="00F77894" w:rsidP="3ECF1372" w14:paraId="0A1AA57D" w14:textId="322FFB7E">
      <w:pPr>
        <w:autoSpaceDE w:val="0"/>
        <w:autoSpaceDN w:val="0"/>
        <w:adjustRightInd w:val="0"/>
        <w:rPr>
          <w:color w:val="000000" w:themeColor="text1"/>
        </w:rPr>
      </w:pPr>
      <w:r w:rsidRPr="6C55B0EC">
        <w:rPr>
          <w:color w:val="000000" w:themeColor="text1"/>
        </w:rPr>
        <w:t xml:space="preserve">The Exchange Visitor Program Application and the Update of Information on Exchange Visitor Program Sponsor provide a </w:t>
      </w:r>
      <w:r w:rsidRPr="6C55B0EC" w:rsidR="009720FC">
        <w:rPr>
          <w:color w:val="000000" w:themeColor="text1"/>
        </w:rPr>
        <w:t>format f</w:t>
      </w:r>
      <w:r w:rsidRPr="6C55B0EC">
        <w:rPr>
          <w:color w:val="000000" w:themeColor="text1"/>
        </w:rPr>
        <w:t>or interested organizations to apply for designation by the Department of State to become a sponsor</w:t>
      </w:r>
      <w:r w:rsidRPr="6C55B0EC" w:rsidR="003140DD">
        <w:rPr>
          <w:color w:val="000000" w:themeColor="text1"/>
        </w:rPr>
        <w:t>,</w:t>
      </w:r>
      <w:r w:rsidRPr="6C55B0EC">
        <w:rPr>
          <w:color w:val="000000" w:themeColor="text1"/>
        </w:rPr>
        <w:t xml:space="preserve"> for designated sponsors to keep the Department abreast of changes in their program</w:t>
      </w:r>
      <w:r w:rsidRPr="6C55B0EC" w:rsidR="003140DD">
        <w:rPr>
          <w:color w:val="000000" w:themeColor="text1"/>
        </w:rPr>
        <w:t>,</w:t>
      </w:r>
      <w:r w:rsidRPr="6C55B0EC">
        <w:rPr>
          <w:color w:val="000000" w:themeColor="text1"/>
        </w:rPr>
        <w:t xml:space="preserve"> and to request DS-2019 </w:t>
      </w:r>
      <w:r w:rsidRPr="6C55B0EC" w:rsidR="00AA2B71">
        <w:rPr>
          <w:color w:val="000000" w:themeColor="text1"/>
        </w:rPr>
        <w:t>f</w:t>
      </w:r>
      <w:r w:rsidRPr="6C55B0EC">
        <w:rPr>
          <w:color w:val="000000" w:themeColor="text1"/>
        </w:rPr>
        <w:t xml:space="preserve">orms and </w:t>
      </w:r>
      <w:r w:rsidRPr="6C55B0EC" w:rsidR="003F147C">
        <w:rPr>
          <w:color w:val="000000" w:themeColor="text1"/>
        </w:rPr>
        <w:t>brochures</w:t>
      </w:r>
      <w:r w:rsidRPr="6C55B0EC">
        <w:rPr>
          <w:color w:val="000000" w:themeColor="text1"/>
        </w:rPr>
        <w:t xml:space="preserve">. </w:t>
      </w:r>
      <w:r w:rsidRPr="6C55B0EC" w:rsidR="0070554C">
        <w:rPr>
          <w:color w:val="000000" w:themeColor="text1"/>
        </w:rPr>
        <w:t xml:space="preserve"> T</w:t>
      </w:r>
      <w:r w:rsidRPr="6C55B0EC">
        <w:rPr>
          <w:color w:val="000000" w:themeColor="text1"/>
        </w:rPr>
        <w:t>hes</w:t>
      </w:r>
      <w:r w:rsidRPr="6C55B0EC" w:rsidR="003140DD">
        <w:rPr>
          <w:color w:val="000000" w:themeColor="text1"/>
        </w:rPr>
        <w:t>e</w:t>
      </w:r>
      <w:r w:rsidRPr="6C55B0EC">
        <w:rPr>
          <w:color w:val="000000" w:themeColor="text1"/>
        </w:rPr>
        <w:t xml:space="preserve"> forms </w:t>
      </w:r>
      <w:r w:rsidRPr="6C55B0EC" w:rsidR="00F97BF6">
        <w:rPr>
          <w:color w:val="000000" w:themeColor="text1"/>
        </w:rPr>
        <w:t xml:space="preserve">and logs and the </w:t>
      </w:r>
      <w:r w:rsidRPr="6C55B0EC">
        <w:rPr>
          <w:color w:val="000000" w:themeColor="text1"/>
        </w:rPr>
        <w:t>information they provide</w:t>
      </w:r>
      <w:r w:rsidRPr="6C55B0EC" w:rsidR="009720FC">
        <w:rPr>
          <w:color w:val="000000" w:themeColor="text1"/>
        </w:rPr>
        <w:t xml:space="preserve"> </w:t>
      </w:r>
      <w:r w:rsidRPr="6C55B0EC" w:rsidR="3133E34D">
        <w:rPr>
          <w:color w:val="000000" w:themeColor="text1"/>
        </w:rPr>
        <w:t xml:space="preserve">are </w:t>
      </w:r>
      <w:r w:rsidRPr="6C55B0EC" w:rsidR="009720FC">
        <w:rPr>
          <w:color w:val="000000" w:themeColor="text1"/>
        </w:rPr>
        <w:t>for</w:t>
      </w:r>
      <w:r w:rsidRPr="6C55B0EC" w:rsidR="0070554C">
        <w:rPr>
          <w:color w:val="000000" w:themeColor="text1"/>
        </w:rPr>
        <w:t xml:space="preserve"> </w:t>
      </w:r>
      <w:r w:rsidRPr="6C55B0EC" w:rsidR="1461C941">
        <w:rPr>
          <w:color w:val="000000" w:themeColor="text1"/>
        </w:rPr>
        <w:t xml:space="preserve">the </w:t>
      </w:r>
      <w:r w:rsidRPr="6C55B0EC" w:rsidR="0070554C">
        <w:rPr>
          <w:color w:val="000000" w:themeColor="text1"/>
        </w:rPr>
        <w:t xml:space="preserve">accuracy of administration of the </w:t>
      </w:r>
      <w:r w:rsidRPr="6C55B0EC">
        <w:rPr>
          <w:color w:val="000000" w:themeColor="text1"/>
        </w:rPr>
        <w:t>Exchange Visitor Program</w:t>
      </w:r>
      <w:r w:rsidRPr="6C55B0EC" w:rsidR="0070554C">
        <w:rPr>
          <w:color w:val="000000" w:themeColor="text1"/>
        </w:rPr>
        <w:t>.</w:t>
      </w:r>
      <w:r w:rsidRPr="6C55B0EC" w:rsidR="00E217DD">
        <w:rPr>
          <w:color w:val="000000" w:themeColor="text1"/>
        </w:rPr>
        <w:t xml:space="preserve"> </w:t>
      </w:r>
      <w:r w:rsidRPr="6C55B0EC" w:rsidR="0565F67B">
        <w:rPr>
          <w:color w:val="000000" w:themeColor="text1"/>
        </w:rPr>
        <w:t xml:space="preserve"> </w:t>
      </w:r>
      <w:r w:rsidRPr="6C55B0EC" w:rsidR="00E217DD">
        <w:rPr>
          <w:color w:val="000000" w:themeColor="text1"/>
        </w:rPr>
        <w:t xml:space="preserve">ECA </w:t>
      </w:r>
      <w:r w:rsidRPr="6C55B0EC" w:rsidR="254EA201">
        <w:rPr>
          <w:color w:val="000000" w:themeColor="text1"/>
        </w:rPr>
        <w:t>is</w:t>
      </w:r>
      <w:r w:rsidRPr="6C55B0EC" w:rsidR="00E217DD">
        <w:rPr>
          <w:color w:val="000000" w:themeColor="text1"/>
        </w:rPr>
        <w:t xml:space="preserve"> not requesting any changes to these collections.  </w:t>
      </w:r>
    </w:p>
    <w:p w:rsidR="00A73E18" w:rsidRPr="00F77894" w:rsidP="3ECF1372" w14:paraId="3B4B5027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534EB44B" w14:textId="1C09F66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Requested </w:t>
      </w:r>
      <w:r w:rsidRPr="3ECF1372" w:rsidR="00E217DD">
        <w:rPr>
          <w:color w:val="000000" w:themeColor="text1"/>
        </w:rPr>
        <w:t>changes</w:t>
      </w:r>
      <w:r w:rsidRPr="3ECF1372" w:rsidR="57ABA674">
        <w:rPr>
          <w:color w:val="000000" w:themeColor="text1"/>
        </w:rPr>
        <w:t>, except for an address change for our office,</w:t>
      </w:r>
      <w:r w:rsidRPr="3ECF1372" w:rsidR="00E217DD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 xml:space="preserve">are </w:t>
      </w:r>
      <w:r w:rsidRPr="3ECF1372" w:rsidR="00E217DD">
        <w:rPr>
          <w:color w:val="000000" w:themeColor="text1"/>
        </w:rPr>
        <w:t xml:space="preserve">to Form DS-7000, which is a list summarizing Paperwork Reduction Act hour burdens on respondents that are noted in various provisions of 22 CFR 62.  </w:t>
      </w:r>
    </w:p>
    <w:p w:rsidR="00F33C1A" w:rsidRPr="00F77894" w:rsidP="3ECF1372" w14:paraId="0D679012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97BF6" w:rsidRPr="00F77894" w:rsidP="3ECF1372" w14:paraId="590EA874" w14:textId="51CF48E8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2.  </w:t>
      </w:r>
      <w:r w:rsidRPr="3ECF1372">
        <w:rPr>
          <w:color w:val="000000" w:themeColor="text1"/>
        </w:rPr>
        <w:t xml:space="preserve">The DS-7000 is a catalogue of the information/data collections that occur as part of </w:t>
      </w:r>
      <w:r w:rsidRPr="3ECF1372" w:rsidR="00E217DD">
        <w:rPr>
          <w:color w:val="000000" w:themeColor="text1"/>
        </w:rPr>
        <w:t>22 CFR 62</w:t>
      </w:r>
      <w:r w:rsidRPr="3ECF1372">
        <w:rPr>
          <w:color w:val="000000" w:themeColor="text1"/>
        </w:rPr>
        <w:t xml:space="preserve"> Subparts A and B and their related numbers of responses and hour/cost burden accounting per applicable provision.  </w:t>
      </w:r>
    </w:p>
    <w:p w:rsidR="00F97BF6" w:rsidRPr="00F77894" w:rsidP="3ECF1372" w14:paraId="22614089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07F58BCF" w14:textId="4A2586FF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The Exchange Visitor Program Application (DS-3036) is used by United States Government agencies and public and private organizations to apply to the Department of State to become designated to administer an exchange </w:t>
      </w:r>
      <w:r w:rsidRPr="3ECF1372" w:rsidR="00AA2B71">
        <w:rPr>
          <w:color w:val="000000" w:themeColor="text1"/>
        </w:rPr>
        <w:t xml:space="preserve">visitor </w:t>
      </w:r>
      <w:r w:rsidRPr="3ECF1372">
        <w:rPr>
          <w:color w:val="000000" w:themeColor="text1"/>
        </w:rPr>
        <w:t xml:space="preserve">program.  Approximately </w:t>
      </w:r>
      <w:r w:rsidRPr="3ECF1372" w:rsidR="00696BEC">
        <w:rPr>
          <w:color w:val="000000" w:themeColor="text1"/>
        </w:rPr>
        <w:t>60</w:t>
      </w:r>
      <w:r w:rsidRPr="3ECF1372">
        <w:rPr>
          <w:color w:val="000000" w:themeColor="text1"/>
        </w:rPr>
        <w:t xml:space="preserve"> applications are received each year.  The information provided is used to determine whether the interested organization meets the requirements to receive designation as a </w:t>
      </w:r>
      <w:r w:rsidRPr="3ECF1372" w:rsidR="00AA2B71">
        <w:rPr>
          <w:color w:val="000000" w:themeColor="text1"/>
        </w:rPr>
        <w:t>S</w:t>
      </w:r>
      <w:r w:rsidRPr="3ECF1372">
        <w:rPr>
          <w:color w:val="000000" w:themeColor="text1"/>
        </w:rPr>
        <w:t>ponsor and, if approved, to create a database entry for tracking purposes</w:t>
      </w:r>
      <w:r w:rsidRPr="3ECF1372" w:rsidR="00A73E18">
        <w:rPr>
          <w:color w:val="000000" w:themeColor="text1"/>
        </w:rPr>
        <w:t xml:space="preserve">,  </w:t>
      </w:r>
      <w:r w:rsidRPr="3ECF1372">
        <w:rPr>
          <w:color w:val="000000" w:themeColor="text1"/>
        </w:rPr>
        <w:t>The Update of Information on Exchange Visitor Program</w:t>
      </w:r>
      <w:r w:rsidRPr="3ECF1372" w:rsidR="00AA2B71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Sponsor (DS-3037)</w:t>
      </w:r>
      <w:r w:rsidRPr="3ECF1372" w:rsidR="00B359CB">
        <w:rPr>
          <w:color w:val="000000" w:themeColor="text1"/>
        </w:rPr>
        <w:t xml:space="preserve"> is used by the approximately 1</w:t>
      </w:r>
      <w:r w:rsidRPr="3ECF1372" w:rsidR="00E217DD">
        <w:rPr>
          <w:color w:val="000000" w:themeColor="text1"/>
        </w:rPr>
        <w:t>,</w:t>
      </w:r>
      <w:r w:rsidRPr="3ECF1372" w:rsidR="00B359CB">
        <w:rPr>
          <w:color w:val="000000" w:themeColor="text1"/>
        </w:rPr>
        <w:t>4</w:t>
      </w:r>
      <w:r w:rsidRPr="3ECF1372" w:rsidR="00270C2A">
        <w:rPr>
          <w:color w:val="000000" w:themeColor="text1"/>
        </w:rPr>
        <w:t>50</w:t>
      </w:r>
      <w:r w:rsidRPr="3ECF1372">
        <w:rPr>
          <w:color w:val="000000" w:themeColor="text1"/>
        </w:rPr>
        <w:t xml:space="preserve"> designated sponsors to notify the Department of changes in the </w:t>
      </w:r>
      <w:r w:rsidRPr="3ECF1372">
        <w:rPr>
          <w:color w:val="000000" w:themeColor="text1"/>
        </w:rPr>
        <w:t>address, telephone numbers, fax numbers, etc</w:t>
      </w:r>
      <w:r w:rsidRPr="3ECF1372" w:rsidR="00C57AB5">
        <w:rPr>
          <w:color w:val="000000" w:themeColor="text1"/>
        </w:rPr>
        <w:t>.,</w:t>
      </w:r>
      <w:r w:rsidRPr="3ECF1372">
        <w:rPr>
          <w:color w:val="000000" w:themeColor="text1"/>
        </w:rPr>
        <w:t xml:space="preserve"> of the organization,</w:t>
      </w:r>
      <w:r w:rsidRPr="3ECF1372" w:rsidR="00B359CB">
        <w:rPr>
          <w:color w:val="000000" w:themeColor="text1"/>
        </w:rPr>
        <w:t xml:space="preserve"> and </w:t>
      </w:r>
      <w:r w:rsidRPr="3ECF1372">
        <w:rPr>
          <w:color w:val="000000" w:themeColor="text1"/>
        </w:rPr>
        <w:t xml:space="preserve">to request a change </w:t>
      </w:r>
      <w:r w:rsidRPr="3ECF1372" w:rsidR="00AA2B71">
        <w:rPr>
          <w:color w:val="000000" w:themeColor="text1"/>
        </w:rPr>
        <w:t>of</w:t>
      </w:r>
      <w:r w:rsidRPr="3ECF1372">
        <w:rPr>
          <w:color w:val="000000" w:themeColor="text1"/>
        </w:rPr>
        <w:t xml:space="preserve"> the Responsible </w:t>
      </w:r>
      <w:r w:rsidRPr="3ECF1372" w:rsidR="00AA2B71">
        <w:rPr>
          <w:color w:val="000000" w:themeColor="text1"/>
        </w:rPr>
        <w:t xml:space="preserve">Officer </w:t>
      </w:r>
      <w:r w:rsidRPr="3ECF1372">
        <w:rPr>
          <w:color w:val="000000" w:themeColor="text1"/>
        </w:rPr>
        <w:t>or Alternate Responsible Officer</w:t>
      </w:r>
      <w:r w:rsidRPr="3ECF1372" w:rsidR="00AA2B71">
        <w:rPr>
          <w:color w:val="000000" w:themeColor="text1"/>
        </w:rPr>
        <w:t>s</w:t>
      </w:r>
      <w:r w:rsidRPr="3ECF1372">
        <w:rPr>
          <w:color w:val="000000" w:themeColor="text1"/>
        </w:rPr>
        <w:t xml:space="preserve">. </w:t>
      </w:r>
    </w:p>
    <w:p w:rsidR="00F33C1A" w:rsidRPr="00F77894" w:rsidP="3ECF1372" w14:paraId="720134FA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520609" w:rsidRPr="00F77894" w:rsidP="3ECF1372" w14:paraId="06B17993" w14:textId="0EAA8A52">
      <w:pPr>
        <w:autoSpaceDE w:val="0"/>
        <w:autoSpaceDN w:val="0"/>
        <w:adjustRightInd w:val="0"/>
        <w:rPr>
          <w:color w:val="000000" w:themeColor="text1"/>
        </w:rPr>
      </w:pPr>
      <w:r w:rsidRPr="2BE9F2DA">
        <w:rPr>
          <w:color w:val="000000" w:themeColor="text1"/>
        </w:rPr>
        <w:t xml:space="preserve">3.  </w:t>
      </w:r>
      <w:bookmarkStart w:id="0" w:name="_Hlk173261406"/>
      <w:r w:rsidRPr="2BE9F2DA" w:rsidR="00F97BF6">
        <w:rPr>
          <w:color w:val="000000" w:themeColor="text1"/>
        </w:rPr>
        <w:t>The data collections listed on Form DS-7000 are handled partly electronically and part</w:t>
      </w:r>
      <w:r w:rsidRPr="2BE9F2DA" w:rsidR="7386E9DE">
        <w:rPr>
          <w:color w:val="000000" w:themeColor="text1"/>
        </w:rPr>
        <w:t>l</w:t>
      </w:r>
      <w:r w:rsidRPr="2BE9F2DA" w:rsidR="00F97BF6">
        <w:rPr>
          <w:color w:val="000000" w:themeColor="text1"/>
        </w:rPr>
        <w:t xml:space="preserve">y in paper format.  </w:t>
      </w:r>
      <w:bookmarkEnd w:id="0"/>
      <w:r w:rsidRPr="2BE9F2DA" w:rsidR="00715A33">
        <w:rPr>
          <w:color w:val="000000" w:themeColor="text1"/>
        </w:rPr>
        <w:t xml:space="preserve">The </w:t>
      </w:r>
      <w:r w:rsidRPr="2BE9F2DA">
        <w:rPr>
          <w:color w:val="000000" w:themeColor="text1"/>
        </w:rPr>
        <w:t>Department</w:t>
      </w:r>
      <w:r w:rsidRPr="2BE9F2DA" w:rsidR="00715A33">
        <w:rPr>
          <w:color w:val="000000" w:themeColor="text1"/>
        </w:rPr>
        <w:t xml:space="preserve"> </w:t>
      </w:r>
      <w:r w:rsidRPr="2BE9F2DA" w:rsidR="00CC16D7">
        <w:rPr>
          <w:color w:val="000000" w:themeColor="text1"/>
        </w:rPr>
        <w:t xml:space="preserve">has </w:t>
      </w:r>
      <w:r w:rsidRPr="2BE9F2DA" w:rsidR="00715A33">
        <w:rPr>
          <w:color w:val="000000" w:themeColor="text1"/>
        </w:rPr>
        <w:t>incorporated Form</w:t>
      </w:r>
      <w:r w:rsidRPr="2BE9F2DA" w:rsidR="001B0D61">
        <w:rPr>
          <w:color w:val="000000" w:themeColor="text1"/>
        </w:rPr>
        <w:t>s</w:t>
      </w:r>
      <w:r w:rsidRPr="2BE9F2DA" w:rsidR="00715A33">
        <w:rPr>
          <w:color w:val="000000" w:themeColor="text1"/>
        </w:rPr>
        <w:t xml:space="preserve"> DS-3036 and DS-3037 electronically into the Student and Exchange Visitor Information System (SEVIS).  </w:t>
      </w:r>
      <w:r w:rsidRPr="2BE9F2DA" w:rsidR="6033D1D3">
        <w:rPr>
          <w:color w:val="000000" w:themeColor="text1"/>
        </w:rPr>
        <w:t>T</w:t>
      </w:r>
      <w:r w:rsidRPr="2BE9F2DA" w:rsidR="00715A33">
        <w:rPr>
          <w:color w:val="000000" w:themeColor="text1"/>
        </w:rPr>
        <w:t xml:space="preserve">he </w:t>
      </w:r>
      <w:r w:rsidRPr="2BE9F2DA" w:rsidR="5EFB2BB8">
        <w:rPr>
          <w:color w:val="000000" w:themeColor="text1"/>
        </w:rPr>
        <w:t>Bureau of Educational and Cultural Affairs</w:t>
      </w:r>
      <w:r w:rsidRPr="2BE9F2DA" w:rsidR="73F51C5F">
        <w:rPr>
          <w:color w:val="000000" w:themeColor="text1"/>
        </w:rPr>
        <w:t xml:space="preserve"> </w:t>
      </w:r>
      <w:r w:rsidRPr="2BE9F2DA" w:rsidR="1F00F850">
        <w:rPr>
          <w:color w:val="000000" w:themeColor="text1"/>
        </w:rPr>
        <w:t xml:space="preserve">administers SEVIS </w:t>
      </w:r>
      <w:r w:rsidRPr="2BE9F2DA" w:rsidR="73F51C5F">
        <w:rPr>
          <w:color w:val="000000" w:themeColor="text1"/>
        </w:rPr>
        <w:t xml:space="preserve">for the J-visa program </w:t>
      </w:r>
      <w:r w:rsidRPr="2BE9F2DA" w:rsidR="596A982B">
        <w:rPr>
          <w:color w:val="000000" w:themeColor="text1"/>
        </w:rPr>
        <w:t xml:space="preserve">and the </w:t>
      </w:r>
      <w:r w:rsidRPr="2BE9F2DA" w:rsidR="00715A33">
        <w:rPr>
          <w:color w:val="000000" w:themeColor="text1"/>
        </w:rPr>
        <w:t xml:space="preserve">Department of Homeland Security </w:t>
      </w:r>
      <w:r w:rsidRPr="2BE9F2DA" w:rsidR="593B4B44">
        <w:rPr>
          <w:color w:val="000000" w:themeColor="text1"/>
        </w:rPr>
        <w:t xml:space="preserve">generally </w:t>
      </w:r>
      <w:r w:rsidRPr="2BE9F2DA">
        <w:rPr>
          <w:color w:val="000000" w:themeColor="text1"/>
        </w:rPr>
        <w:t>to meet the legislative mandate established by Subtitle D, Section 641 of the Illegal Immigra</w:t>
      </w:r>
      <w:r w:rsidRPr="2BE9F2DA" w:rsidR="00EA5993">
        <w:rPr>
          <w:color w:val="000000" w:themeColor="text1"/>
        </w:rPr>
        <w:t>tio</w:t>
      </w:r>
      <w:r w:rsidRPr="2BE9F2DA">
        <w:rPr>
          <w:color w:val="000000" w:themeColor="text1"/>
        </w:rPr>
        <w:t xml:space="preserve">n Reform and Immigrant Responsibility </w:t>
      </w:r>
      <w:r w:rsidRPr="2BE9F2DA">
        <w:rPr>
          <w:color w:val="000000" w:themeColor="text1"/>
        </w:rPr>
        <w:t>At</w:t>
      </w:r>
      <w:r w:rsidRPr="2BE9F2DA">
        <w:rPr>
          <w:color w:val="000000" w:themeColor="text1"/>
        </w:rPr>
        <w:t xml:space="preserve"> of 19</w:t>
      </w:r>
      <w:r w:rsidRPr="2BE9F2DA" w:rsidR="00B17938">
        <w:rPr>
          <w:color w:val="000000" w:themeColor="text1"/>
        </w:rPr>
        <w:t>9</w:t>
      </w:r>
      <w:r w:rsidRPr="2BE9F2DA">
        <w:rPr>
          <w:color w:val="000000" w:themeColor="text1"/>
        </w:rPr>
        <w:t>6 (P.L. 104-208).</w:t>
      </w:r>
      <w:r w:rsidRPr="2BE9F2DA" w:rsidR="32C1CDDC">
        <w:rPr>
          <w:color w:val="000000" w:themeColor="text1"/>
        </w:rPr>
        <w:t xml:space="preserve"> </w:t>
      </w:r>
      <w:r w:rsidRPr="2BE9F2DA">
        <w:rPr>
          <w:color w:val="000000" w:themeColor="text1"/>
        </w:rPr>
        <w:t xml:space="preserve"> </w:t>
      </w:r>
      <w:bookmarkStart w:id="1" w:name="_Hlk173261494"/>
      <w:r w:rsidRPr="2BE9F2DA" w:rsidR="2D39B097">
        <w:rPr>
          <w:color w:val="000000" w:themeColor="text1"/>
        </w:rPr>
        <w:t xml:space="preserve">The </w:t>
      </w:r>
      <w:r w:rsidRPr="2BE9F2DA" w:rsidR="24C77D7F">
        <w:rPr>
          <w:color w:val="000000" w:themeColor="text1"/>
        </w:rPr>
        <w:t xml:space="preserve">two </w:t>
      </w:r>
      <w:r w:rsidRPr="2BE9F2DA" w:rsidR="2D39B097">
        <w:rPr>
          <w:color w:val="000000" w:themeColor="text1"/>
        </w:rPr>
        <w:t xml:space="preserve">forms in the collection </w:t>
      </w:r>
      <w:r w:rsidRPr="2BE9F2DA" w:rsidR="5B9223BC">
        <w:rPr>
          <w:color w:val="000000" w:themeColor="text1"/>
        </w:rPr>
        <w:t xml:space="preserve">(DS-3036 and DS-3037) </w:t>
      </w:r>
      <w:r w:rsidRPr="2BE9F2DA" w:rsidR="2D39B097">
        <w:rPr>
          <w:color w:val="000000" w:themeColor="text1"/>
        </w:rPr>
        <w:t xml:space="preserve">are not public-facing.  </w:t>
      </w:r>
      <w:r w:rsidRPr="2BE9F2DA" w:rsidR="38356974">
        <w:rPr>
          <w:color w:val="000000" w:themeColor="text1"/>
        </w:rPr>
        <w:t>S</w:t>
      </w:r>
      <w:r w:rsidRPr="2BE9F2DA" w:rsidR="2D39B097">
        <w:rPr>
          <w:color w:val="000000" w:themeColor="text1"/>
        </w:rPr>
        <w:t>ponsor</w:t>
      </w:r>
      <w:r w:rsidRPr="2BE9F2DA" w:rsidR="25941184">
        <w:rPr>
          <w:color w:val="000000" w:themeColor="text1"/>
        </w:rPr>
        <w:t xml:space="preserve"> applicants (U.S</w:t>
      </w:r>
      <w:r w:rsidRPr="2BE9F2DA" w:rsidR="1C774583">
        <w:rPr>
          <w:color w:val="000000" w:themeColor="text1"/>
        </w:rPr>
        <w:t>.</w:t>
      </w:r>
      <w:r w:rsidRPr="2BE9F2DA" w:rsidR="25941184">
        <w:rPr>
          <w:color w:val="000000" w:themeColor="text1"/>
        </w:rPr>
        <w:t>-based organizations)</w:t>
      </w:r>
      <w:r w:rsidRPr="2BE9F2DA" w:rsidR="31671322">
        <w:rPr>
          <w:color w:val="000000" w:themeColor="text1"/>
        </w:rPr>
        <w:t xml:space="preserve"> are directed to the Exchange Visitor Program (</w:t>
      </w:r>
      <w:r w:rsidRPr="2BE9F2DA" w:rsidR="31671322">
        <w:rPr>
          <w:color w:val="000000" w:themeColor="text1"/>
        </w:rPr>
        <w:t>BridgeUSA</w:t>
      </w:r>
      <w:r w:rsidRPr="2BE9F2DA" w:rsidR="31671322">
        <w:rPr>
          <w:color w:val="000000" w:themeColor="text1"/>
        </w:rPr>
        <w:t xml:space="preserve">) website </w:t>
      </w:r>
      <w:r w:rsidRPr="2BE9F2DA" w:rsidR="04708B15">
        <w:rPr>
          <w:color w:val="000000" w:themeColor="text1"/>
        </w:rPr>
        <w:t>at</w:t>
      </w:r>
      <w:r w:rsidRPr="2BE9F2DA" w:rsidR="472A0C9D">
        <w:rPr>
          <w:color w:val="000000" w:themeColor="text1"/>
        </w:rPr>
        <w:t xml:space="preserve"> </w:t>
      </w:r>
      <w:hyperlink r:id="rId5" w:history="1">
        <w:r w:rsidRPr="2BE9F2DA" w:rsidR="6746DF49">
          <w:rPr>
            <w:color w:val="000000" w:themeColor="text1"/>
          </w:rPr>
          <w:t xml:space="preserve">https://j1visa.state.gov/  </w:t>
        </w:r>
      </w:hyperlink>
      <w:r w:rsidRPr="2BE9F2DA" w:rsidR="7AFD2416">
        <w:rPr>
          <w:color w:val="000000" w:themeColor="text1"/>
        </w:rPr>
        <w:t xml:space="preserve">under the Sponsor section </w:t>
      </w:r>
      <w:r w:rsidRPr="2BE9F2DA" w:rsidR="015C8A1D">
        <w:rPr>
          <w:color w:val="000000" w:themeColor="text1"/>
        </w:rPr>
        <w:t>(specifically to</w:t>
      </w:r>
      <w:r w:rsidRPr="2BE9F2DA" w:rsidR="04708B15">
        <w:rPr>
          <w:color w:val="000000" w:themeColor="text1"/>
        </w:rPr>
        <w:t xml:space="preserve"> </w:t>
      </w:r>
      <w:hyperlink r:id="rId6">
        <w:r w:rsidRPr="2BE9F2DA" w:rsidR="1F2D7B20">
          <w:rPr>
            <w:rStyle w:val="Hyperlink"/>
            <w:color w:val="000000" w:themeColor="text1"/>
          </w:rPr>
          <w:t>https://j1visa.state.gov/sponsors/become-a-sponsor/</w:t>
        </w:r>
      </w:hyperlink>
      <w:r w:rsidRPr="2BE9F2DA" w:rsidR="50BCD1A6">
        <w:rPr>
          <w:color w:val="000000" w:themeColor="text1"/>
        </w:rPr>
        <w:t>).</w:t>
      </w:r>
      <w:r w:rsidRPr="2BE9F2DA" w:rsidR="1F2D7B20">
        <w:rPr>
          <w:color w:val="000000" w:themeColor="text1"/>
        </w:rPr>
        <w:t xml:space="preserve"> </w:t>
      </w:r>
      <w:r w:rsidRPr="2BE9F2DA" w:rsidR="04B0F20A">
        <w:rPr>
          <w:color w:val="000000" w:themeColor="text1"/>
        </w:rPr>
        <w:t>C</w:t>
      </w:r>
      <w:r w:rsidRPr="2BE9F2DA" w:rsidR="6438F6B5">
        <w:rPr>
          <w:color w:val="000000" w:themeColor="text1"/>
        </w:rPr>
        <w:t xml:space="preserve">urrent sponsors </w:t>
      </w:r>
      <w:r w:rsidRPr="2BE9F2DA" w:rsidR="0812B2C2">
        <w:rPr>
          <w:color w:val="000000" w:themeColor="text1"/>
        </w:rPr>
        <w:t xml:space="preserve">are directed to </w:t>
      </w:r>
      <w:r w:rsidRPr="2BE9F2DA" w:rsidR="057BB38E">
        <w:rPr>
          <w:color w:val="000000" w:themeColor="text1"/>
        </w:rPr>
        <w:t xml:space="preserve">the </w:t>
      </w:r>
      <w:r w:rsidRPr="2BE9F2DA" w:rsidR="16BB4808">
        <w:rPr>
          <w:rStyle w:val="Hyperlink"/>
          <w:color w:val="000000" w:themeColor="text1"/>
        </w:rPr>
        <w:t>j</w:t>
      </w:r>
      <w:r w:rsidRPr="2BE9F2DA" w:rsidR="057BB38E">
        <w:rPr>
          <w:rStyle w:val="Hyperlink"/>
          <w:color w:val="000000" w:themeColor="text1"/>
        </w:rPr>
        <w:t>1visa website at</w:t>
      </w:r>
      <w:r w:rsidRPr="2BE9F2DA" w:rsidR="300F443F">
        <w:rPr>
          <w:rStyle w:val="Hyperlink"/>
          <w:color w:val="000000" w:themeColor="text1"/>
        </w:rPr>
        <w:t xml:space="preserve"> </w:t>
      </w:r>
      <w:r w:rsidRPr="2BE9F2DA" w:rsidR="6438F6B5">
        <w:rPr>
          <w:rStyle w:val="Hyperlink"/>
          <w:color w:val="000000" w:themeColor="text1"/>
        </w:rPr>
        <w:t>https://j1visa.state.gov/sponsors/current</w:t>
      </w:r>
      <w:r w:rsidRPr="2BE9F2DA" w:rsidR="6438F6B5">
        <w:rPr>
          <w:color w:val="000000" w:themeColor="text1"/>
        </w:rPr>
        <w:t xml:space="preserve">/ </w:t>
      </w:r>
      <w:r w:rsidRPr="2BE9F2DA" w:rsidR="04708B15">
        <w:rPr>
          <w:color w:val="000000" w:themeColor="text1"/>
        </w:rPr>
        <w:t xml:space="preserve">to learn about </w:t>
      </w:r>
      <w:r w:rsidRPr="2BE9F2DA" w:rsidR="21378D29">
        <w:rPr>
          <w:color w:val="000000" w:themeColor="text1"/>
        </w:rPr>
        <w:t xml:space="preserve">or be reminded of </w:t>
      </w:r>
      <w:r w:rsidRPr="2BE9F2DA" w:rsidR="04708B15">
        <w:rPr>
          <w:color w:val="000000" w:themeColor="text1"/>
        </w:rPr>
        <w:t>J-Visa pro</w:t>
      </w:r>
      <w:r w:rsidRPr="2BE9F2DA" w:rsidR="0716BC12">
        <w:rPr>
          <w:color w:val="000000" w:themeColor="text1"/>
        </w:rPr>
        <w:t xml:space="preserve">gram </w:t>
      </w:r>
      <w:r w:rsidRPr="2BE9F2DA" w:rsidR="50D709D2">
        <w:rPr>
          <w:color w:val="000000" w:themeColor="text1"/>
        </w:rPr>
        <w:t>pro</w:t>
      </w:r>
      <w:r w:rsidRPr="2BE9F2DA" w:rsidR="04708B15">
        <w:rPr>
          <w:color w:val="000000" w:themeColor="text1"/>
        </w:rPr>
        <w:t>cesses</w:t>
      </w:r>
      <w:r w:rsidRPr="2BE9F2DA" w:rsidR="29363931">
        <w:rPr>
          <w:color w:val="000000" w:themeColor="text1"/>
        </w:rPr>
        <w:t xml:space="preserve"> and requirements</w:t>
      </w:r>
      <w:r w:rsidRPr="2BE9F2DA" w:rsidR="091F147B">
        <w:rPr>
          <w:color w:val="000000" w:themeColor="text1"/>
        </w:rPr>
        <w:t xml:space="preserve">.  </w:t>
      </w:r>
      <w:r w:rsidRPr="2BE9F2DA" w:rsidR="7EF5E6C0">
        <w:rPr>
          <w:color w:val="000000" w:themeColor="text1"/>
        </w:rPr>
        <w:t xml:space="preserve">Our office then grants sponsor applicants or current sponsors </w:t>
      </w:r>
      <w:r w:rsidRPr="2BE9F2DA" w:rsidR="2EB0DD85">
        <w:rPr>
          <w:color w:val="000000" w:themeColor="text1"/>
        </w:rPr>
        <w:t xml:space="preserve">appropriate </w:t>
      </w:r>
      <w:r w:rsidRPr="2BE9F2DA" w:rsidR="04708B15">
        <w:rPr>
          <w:color w:val="000000" w:themeColor="text1"/>
        </w:rPr>
        <w:t>acc</w:t>
      </w:r>
      <w:r w:rsidRPr="2BE9F2DA" w:rsidR="32E74E03">
        <w:rPr>
          <w:color w:val="000000" w:themeColor="text1"/>
        </w:rPr>
        <w:t>e</w:t>
      </w:r>
      <w:r w:rsidRPr="2BE9F2DA" w:rsidR="04708B15">
        <w:rPr>
          <w:color w:val="000000" w:themeColor="text1"/>
        </w:rPr>
        <w:t xml:space="preserve">ss </w:t>
      </w:r>
      <w:r w:rsidRPr="2BE9F2DA" w:rsidR="0FB851D5">
        <w:rPr>
          <w:color w:val="000000" w:themeColor="text1"/>
        </w:rPr>
        <w:t>to Forms 3036 or DS-3037</w:t>
      </w:r>
      <w:r w:rsidRPr="2BE9F2DA" w:rsidR="2081B636">
        <w:rPr>
          <w:color w:val="000000" w:themeColor="text1"/>
        </w:rPr>
        <w:t xml:space="preserve">.  </w:t>
      </w:r>
      <w:bookmarkEnd w:id="1"/>
    </w:p>
    <w:p w:rsidR="00520609" w:rsidRPr="00F77894" w:rsidP="3ECF1372" w14:paraId="6837B67F" w14:textId="782B5115">
      <w:pPr>
        <w:autoSpaceDE w:val="0"/>
        <w:autoSpaceDN w:val="0"/>
        <w:adjustRightInd w:val="0"/>
        <w:rPr>
          <w:color w:val="000000" w:themeColor="text1"/>
        </w:rPr>
      </w:pPr>
    </w:p>
    <w:p w:rsidR="00520609" w:rsidRPr="00F77894" w:rsidP="3ECF1372" w14:paraId="335A3E2D" w14:textId="626CF3FE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In </w:t>
      </w:r>
      <w:r w:rsidRPr="3ECF1372" w:rsidR="34596714">
        <w:rPr>
          <w:color w:val="000000" w:themeColor="text1"/>
        </w:rPr>
        <w:t xml:space="preserve">April </w:t>
      </w:r>
      <w:r w:rsidRPr="3ECF1372">
        <w:rPr>
          <w:color w:val="000000" w:themeColor="text1"/>
        </w:rPr>
        <w:t>2024, the Department instituted an electronic Form DS-2019 for exchange visitors that sponsors may use in lieu of paper forms.  This regulatory change is reflected in the entries for 22 CFR 62</w:t>
      </w:r>
      <w:r w:rsidRPr="3ECF1372" w:rsidR="7F4F8796">
        <w:rPr>
          <w:color w:val="000000" w:themeColor="text1"/>
        </w:rPr>
        <w:t>.</w:t>
      </w:r>
      <w:r w:rsidRPr="3ECF1372">
        <w:rPr>
          <w:color w:val="000000" w:themeColor="text1"/>
        </w:rPr>
        <w:t xml:space="preserve">12 on both the </w:t>
      </w:r>
      <w:r w:rsidRPr="3ECF1372" w:rsidR="253BBDC3">
        <w:rPr>
          <w:color w:val="000000" w:themeColor="text1"/>
        </w:rPr>
        <w:t xml:space="preserve">DS-7000 </w:t>
      </w:r>
      <w:r w:rsidRPr="3ECF1372">
        <w:rPr>
          <w:color w:val="000000" w:themeColor="text1"/>
        </w:rPr>
        <w:t>SEVIS and non-SEVIS spreadsheets.</w:t>
      </w:r>
    </w:p>
    <w:p w:rsidR="004B3927" w:rsidRPr="00F77894" w:rsidP="3ECF1372" w14:paraId="281018CB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0C93F26D" w14:textId="615756D3">
      <w:pPr>
        <w:autoSpaceDE w:val="0"/>
        <w:autoSpaceDN w:val="0"/>
        <w:adjustRightInd w:val="0"/>
        <w:rPr>
          <w:color w:val="000000" w:themeColor="text1"/>
        </w:rPr>
      </w:pPr>
      <w:r w:rsidRPr="606495B6">
        <w:rPr>
          <w:color w:val="000000" w:themeColor="text1"/>
        </w:rPr>
        <w:t xml:space="preserve">4.  </w:t>
      </w:r>
      <w:r w:rsidRPr="606495B6" w:rsidR="002F73B1">
        <w:rPr>
          <w:color w:val="000000" w:themeColor="text1"/>
        </w:rPr>
        <w:t xml:space="preserve">This collection is not duplicative of any other collection. </w:t>
      </w:r>
    </w:p>
    <w:p w:rsidR="002F73B1" w:rsidRPr="00F77894" w:rsidP="3ECF1372" w14:paraId="22C7E870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6A2CC3F0" w14:textId="35C5D0D5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5.  </w:t>
      </w:r>
      <w:r w:rsidRPr="3ECF1372" w:rsidR="6AEAF4D5">
        <w:rPr>
          <w:color w:val="000000" w:themeColor="text1"/>
        </w:rPr>
        <w:t xml:space="preserve">Small businesses are affected by the information collection requirements in Part 62, but they do </w:t>
      </w:r>
      <w:r w:rsidRPr="3ECF1372">
        <w:rPr>
          <w:color w:val="000000" w:themeColor="text1"/>
        </w:rPr>
        <w:t xml:space="preserve">not have </w:t>
      </w:r>
      <w:r w:rsidRPr="3ECF1372" w:rsidR="00B17938">
        <w:rPr>
          <w:color w:val="000000" w:themeColor="text1"/>
        </w:rPr>
        <w:t xml:space="preserve">a </w:t>
      </w:r>
      <w:r w:rsidRPr="3ECF1372">
        <w:rPr>
          <w:color w:val="000000" w:themeColor="text1"/>
        </w:rPr>
        <w:t xml:space="preserve">significant economic impact on </w:t>
      </w:r>
      <w:r w:rsidRPr="3ECF1372" w:rsidR="00171349">
        <w:rPr>
          <w:color w:val="000000" w:themeColor="text1"/>
        </w:rPr>
        <w:t>small</w:t>
      </w:r>
      <w:r w:rsidRPr="3ECF1372" w:rsidR="00321994">
        <w:rPr>
          <w:color w:val="000000" w:themeColor="text1"/>
        </w:rPr>
        <w:t xml:space="preserve"> business entities</w:t>
      </w:r>
      <w:r w:rsidRPr="3ECF1372" w:rsidR="00171349">
        <w:rPr>
          <w:color w:val="000000" w:themeColor="text1"/>
        </w:rPr>
        <w:t>.</w:t>
      </w:r>
    </w:p>
    <w:p w:rsidR="00F33C1A" w:rsidRPr="00F77894" w:rsidP="3ECF1372" w14:paraId="5265B151" w14:textId="77777777">
      <w:pPr>
        <w:autoSpaceDE w:val="0"/>
        <w:autoSpaceDN w:val="0"/>
        <w:adjustRightInd w:val="0"/>
        <w:ind w:left="360"/>
        <w:rPr>
          <w:color w:val="000000" w:themeColor="text1"/>
        </w:rPr>
      </w:pPr>
    </w:p>
    <w:p w:rsidR="00F33C1A" w:rsidRPr="00F77894" w:rsidP="3ECF1372" w14:paraId="2250562E" w14:textId="5AA7D44B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6.  </w:t>
      </w:r>
      <w:r w:rsidRPr="3ECF1372" w:rsidR="009720FC">
        <w:rPr>
          <w:color w:val="000000" w:themeColor="text1"/>
        </w:rPr>
        <w:t>The</w:t>
      </w:r>
      <w:r w:rsidRPr="3ECF1372">
        <w:rPr>
          <w:color w:val="000000" w:themeColor="text1"/>
        </w:rPr>
        <w:t xml:space="preserve"> information</w:t>
      </w:r>
      <w:r w:rsidRPr="3ECF1372" w:rsidR="009720FC">
        <w:rPr>
          <w:color w:val="000000" w:themeColor="text1"/>
        </w:rPr>
        <w:t xml:space="preserve"> collection</w:t>
      </w:r>
      <w:r w:rsidRPr="3ECF1372">
        <w:rPr>
          <w:color w:val="000000" w:themeColor="text1"/>
        </w:rPr>
        <w:t xml:space="preserve"> is </w:t>
      </w:r>
      <w:r w:rsidRPr="3ECF1372" w:rsidR="009720FC">
        <w:rPr>
          <w:color w:val="000000" w:themeColor="text1"/>
        </w:rPr>
        <w:t>used by the</w:t>
      </w:r>
      <w:r w:rsidRPr="3ECF1372">
        <w:rPr>
          <w:color w:val="000000" w:themeColor="text1"/>
        </w:rPr>
        <w:t xml:space="preserve"> Department </w:t>
      </w:r>
      <w:r w:rsidRPr="3ECF1372" w:rsidR="009720FC">
        <w:rPr>
          <w:color w:val="000000" w:themeColor="text1"/>
        </w:rPr>
        <w:t>to</w:t>
      </w:r>
      <w:r w:rsidRPr="3ECF1372" w:rsidR="0070554C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administer the Exchange Visitor Program</w:t>
      </w:r>
      <w:r w:rsidRPr="3ECF1372" w:rsidR="0070554C">
        <w:rPr>
          <w:color w:val="000000" w:themeColor="text1"/>
        </w:rPr>
        <w:t>, such as</w:t>
      </w:r>
      <w:r w:rsidRPr="3ECF1372">
        <w:rPr>
          <w:color w:val="000000" w:themeColor="text1"/>
        </w:rPr>
        <w:t xml:space="preserve"> </w:t>
      </w:r>
      <w:r w:rsidRPr="3ECF1372" w:rsidR="00EF51A0">
        <w:rPr>
          <w:color w:val="000000" w:themeColor="text1"/>
        </w:rPr>
        <w:t>track</w:t>
      </w:r>
      <w:r w:rsidRPr="3ECF1372" w:rsidR="0070554C">
        <w:rPr>
          <w:color w:val="000000" w:themeColor="text1"/>
        </w:rPr>
        <w:t>ing</w:t>
      </w:r>
      <w:r w:rsidRPr="3ECF1372" w:rsidR="00EF51A0">
        <w:rPr>
          <w:color w:val="000000" w:themeColor="text1"/>
        </w:rPr>
        <w:t xml:space="preserve"> respondent </w:t>
      </w:r>
      <w:r w:rsidRPr="3ECF1372" w:rsidR="009720FC">
        <w:rPr>
          <w:color w:val="000000" w:themeColor="text1"/>
        </w:rPr>
        <w:t xml:space="preserve">and response </w:t>
      </w:r>
      <w:r w:rsidRPr="3ECF1372" w:rsidR="00EF51A0">
        <w:rPr>
          <w:color w:val="000000" w:themeColor="text1"/>
        </w:rPr>
        <w:t>numbers, costs, and hour burdens associated with 22 CFR 62</w:t>
      </w:r>
      <w:r w:rsidRPr="3ECF1372" w:rsidR="00CC16D7">
        <w:rPr>
          <w:color w:val="000000" w:themeColor="text1"/>
        </w:rPr>
        <w:t>.</w:t>
      </w:r>
      <w:r w:rsidRPr="3ECF1372" w:rsidR="009720FC">
        <w:rPr>
          <w:color w:val="000000" w:themeColor="text1"/>
        </w:rPr>
        <w:t xml:space="preserve">  The </w:t>
      </w:r>
      <w:r w:rsidRPr="3ECF1372" w:rsidR="00EF51A0">
        <w:rPr>
          <w:color w:val="000000" w:themeColor="text1"/>
        </w:rPr>
        <w:t>DS-3036 and DS 3037</w:t>
      </w:r>
      <w:r w:rsidRPr="3ECF1372" w:rsidR="0070554C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provide the Department with information to maintain the Exchange Visitor Program database on existing designated sponsors.</w:t>
      </w:r>
    </w:p>
    <w:p w:rsidR="00F33C1A" w:rsidRPr="00F77894" w:rsidP="3ECF1372" w14:paraId="7F06EFCF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4A568B" w:rsidRPr="00F77894" w:rsidP="3ECF1372" w14:paraId="482AD4E1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7.  There are no special circumstances</w:t>
      </w:r>
      <w:r w:rsidRPr="3ECF1372" w:rsidR="00171349">
        <w:rPr>
          <w:color w:val="000000" w:themeColor="text1"/>
        </w:rPr>
        <w:t xml:space="preserve"> for this collection</w:t>
      </w:r>
      <w:r w:rsidRPr="3ECF1372">
        <w:rPr>
          <w:color w:val="000000" w:themeColor="text1"/>
        </w:rPr>
        <w:t xml:space="preserve">.  </w:t>
      </w:r>
    </w:p>
    <w:p w:rsidR="004A568B" w:rsidRPr="00F77894" w:rsidP="3ECF1372" w14:paraId="2E359F2B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321994" w:rsidRPr="00F77894" w:rsidP="3ECF1372" w14:paraId="5A280FE2" w14:textId="22263077">
      <w:pPr>
        <w:autoSpaceDE w:val="0"/>
        <w:autoSpaceDN w:val="0"/>
        <w:adjustRightInd w:val="0"/>
        <w:rPr>
          <w:color w:val="000000" w:themeColor="text1"/>
        </w:rPr>
      </w:pPr>
      <w:r w:rsidRPr="606495B6">
        <w:rPr>
          <w:color w:val="000000" w:themeColor="text1"/>
        </w:rPr>
        <w:t>8.</w:t>
      </w:r>
      <w:r w:rsidRPr="606495B6" w:rsidR="004C1794">
        <w:rPr>
          <w:color w:val="000000" w:themeColor="text1"/>
        </w:rPr>
        <w:t xml:space="preserve"> </w:t>
      </w:r>
      <w:r w:rsidRPr="606495B6">
        <w:rPr>
          <w:color w:val="000000" w:themeColor="text1"/>
        </w:rPr>
        <w:t xml:space="preserve"> </w:t>
      </w:r>
      <w:r w:rsidRPr="606495B6" w:rsidR="30B31340">
        <w:rPr>
          <w:color w:val="000000" w:themeColor="text1"/>
        </w:rPr>
        <w:t xml:space="preserve">On May 14, 2024, </w:t>
      </w:r>
      <w:r w:rsidRPr="606495B6" w:rsidR="7049AEEA">
        <w:rPr>
          <w:color w:val="000000" w:themeColor="text1"/>
        </w:rPr>
        <w:t>t</w:t>
      </w:r>
      <w:r w:rsidRPr="606495B6" w:rsidR="00DF62D3">
        <w:rPr>
          <w:color w:val="000000" w:themeColor="text1"/>
        </w:rPr>
        <w:t xml:space="preserve">he Department </w:t>
      </w:r>
      <w:r w:rsidRPr="606495B6" w:rsidR="00D972F7">
        <w:rPr>
          <w:color w:val="000000" w:themeColor="text1"/>
        </w:rPr>
        <w:t>publish</w:t>
      </w:r>
      <w:r w:rsidRPr="606495B6" w:rsidR="0060699F">
        <w:rPr>
          <w:color w:val="000000" w:themeColor="text1"/>
        </w:rPr>
        <w:t>ed</w:t>
      </w:r>
      <w:r w:rsidRPr="606495B6" w:rsidR="00D972F7">
        <w:rPr>
          <w:color w:val="000000" w:themeColor="text1"/>
        </w:rPr>
        <w:t xml:space="preserve"> a </w:t>
      </w:r>
      <w:r w:rsidRPr="606495B6" w:rsidR="004A568B">
        <w:rPr>
          <w:color w:val="000000" w:themeColor="text1"/>
        </w:rPr>
        <w:t>6</w:t>
      </w:r>
      <w:r w:rsidRPr="606495B6" w:rsidR="003B4736">
        <w:rPr>
          <w:color w:val="000000" w:themeColor="text1"/>
        </w:rPr>
        <w:t>0</w:t>
      </w:r>
      <w:r w:rsidRPr="606495B6" w:rsidR="00171349">
        <w:rPr>
          <w:color w:val="000000" w:themeColor="text1"/>
        </w:rPr>
        <w:t xml:space="preserve">-day notice in the </w:t>
      </w:r>
      <w:r w:rsidRPr="606495B6" w:rsidR="00171349">
        <w:rPr>
          <w:i/>
          <w:iCs/>
          <w:color w:val="000000" w:themeColor="text1"/>
        </w:rPr>
        <w:t>Federal Register</w:t>
      </w:r>
      <w:r w:rsidRPr="606495B6" w:rsidR="00D972F7">
        <w:rPr>
          <w:i/>
          <w:iCs/>
          <w:color w:val="000000" w:themeColor="text1"/>
        </w:rPr>
        <w:t xml:space="preserve"> </w:t>
      </w:r>
      <w:r w:rsidRPr="606495B6" w:rsidR="00D972F7">
        <w:rPr>
          <w:color w:val="000000" w:themeColor="text1"/>
        </w:rPr>
        <w:t xml:space="preserve">in order </w:t>
      </w:r>
      <w:r w:rsidRPr="606495B6" w:rsidR="00171349">
        <w:rPr>
          <w:color w:val="000000" w:themeColor="text1"/>
        </w:rPr>
        <w:t>to</w:t>
      </w:r>
      <w:r w:rsidRPr="606495B6" w:rsidR="00171349">
        <w:rPr>
          <w:color w:val="000000" w:themeColor="text1"/>
        </w:rPr>
        <w:t xml:space="preserve"> solicit public comments</w:t>
      </w:r>
      <w:r w:rsidRPr="606495B6" w:rsidR="00D972F7">
        <w:rPr>
          <w:color w:val="000000" w:themeColor="text1"/>
        </w:rPr>
        <w:t>.</w:t>
      </w:r>
      <w:r w:rsidRPr="606495B6">
        <w:rPr>
          <w:color w:val="000000" w:themeColor="text1"/>
        </w:rPr>
        <w:t xml:space="preserve"> </w:t>
      </w:r>
      <w:r w:rsidRPr="606495B6" w:rsidR="0060699F">
        <w:rPr>
          <w:color w:val="000000" w:themeColor="text1"/>
        </w:rPr>
        <w:t xml:space="preserve"> No comments were received.</w:t>
      </w:r>
    </w:p>
    <w:p w:rsidR="0012065B" w:rsidRPr="00F77894" w:rsidP="3ECF1372" w14:paraId="4DF63415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7938E171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9.  Respondents are not provided with any gifts or payments.</w:t>
      </w:r>
    </w:p>
    <w:p w:rsidR="00F33C1A" w:rsidRPr="00F77894" w:rsidP="3ECF1372" w14:paraId="162DA7C3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7089931E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10.  </w:t>
      </w:r>
      <w:r w:rsidRPr="3ECF1372" w:rsidR="00E70BCE">
        <w:rPr>
          <w:color w:val="000000" w:themeColor="text1"/>
        </w:rPr>
        <w:t xml:space="preserve">No promises of confidentiality </w:t>
      </w:r>
      <w:r w:rsidRPr="3ECF1372" w:rsidR="00960416">
        <w:rPr>
          <w:color w:val="000000" w:themeColor="text1"/>
        </w:rPr>
        <w:t xml:space="preserve">are </w:t>
      </w:r>
      <w:r w:rsidRPr="3ECF1372" w:rsidR="00E70BCE">
        <w:rPr>
          <w:color w:val="000000" w:themeColor="text1"/>
        </w:rPr>
        <w:t>made.</w:t>
      </w:r>
    </w:p>
    <w:p w:rsidR="00F33C1A" w:rsidRPr="00F77894" w:rsidP="3ECF1372" w14:paraId="68DDD756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4C1794" w:rsidRPr="00F77894" w:rsidP="3ECF1372" w14:paraId="219AFEBF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11.  There are no questions of a sensitive nature included in the data required</w:t>
      </w:r>
      <w:r w:rsidRPr="3ECF1372" w:rsidR="00321994">
        <w:rPr>
          <w:color w:val="000000" w:themeColor="text1"/>
        </w:rPr>
        <w:t>.</w:t>
      </w:r>
      <w:r w:rsidRPr="3ECF1372">
        <w:rPr>
          <w:color w:val="000000" w:themeColor="text1"/>
        </w:rPr>
        <w:t xml:space="preserve"> </w:t>
      </w:r>
    </w:p>
    <w:p w:rsidR="00F33C1A" w:rsidRPr="00F77894" w:rsidP="3ECF1372" w14:paraId="522BAC91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CF40FE" w:rsidRPr="00F77894" w:rsidP="3ECF1372" w14:paraId="3E01453F" w14:textId="7DC707CF">
      <w:pPr>
        <w:rPr>
          <w:color w:val="000000" w:themeColor="text1"/>
        </w:rPr>
      </w:pPr>
      <w:r w:rsidRPr="2BE9F2DA">
        <w:rPr>
          <w:color w:val="000000" w:themeColor="text1"/>
        </w:rPr>
        <w:t xml:space="preserve">12.  </w:t>
      </w:r>
      <w:r w:rsidRPr="2BE9F2DA" w:rsidR="002F73B1">
        <w:rPr>
          <w:color w:val="000000" w:themeColor="text1"/>
        </w:rPr>
        <w:t xml:space="preserve">Form DS-7000 </w:t>
      </w:r>
      <w:r w:rsidRPr="2BE9F2DA" w:rsidR="009720FC">
        <w:rPr>
          <w:color w:val="000000" w:themeColor="text1"/>
        </w:rPr>
        <w:t>lists the</w:t>
      </w:r>
      <w:r w:rsidRPr="2BE9F2DA" w:rsidR="002F73B1">
        <w:rPr>
          <w:color w:val="000000" w:themeColor="text1"/>
        </w:rPr>
        <w:t xml:space="preserve"> Department’s record keeping, reporting, and data collection information </w:t>
      </w:r>
      <w:r w:rsidRPr="2BE9F2DA" w:rsidR="009720FC">
        <w:rPr>
          <w:color w:val="000000" w:themeColor="text1"/>
        </w:rPr>
        <w:t xml:space="preserve">as </w:t>
      </w:r>
      <w:r w:rsidRPr="2BE9F2DA" w:rsidR="002F73B1">
        <w:rPr>
          <w:color w:val="000000" w:themeColor="text1"/>
        </w:rPr>
        <w:t>required under 22 CFR Part 62 and the many functions performed by program sponsors (either through SEVIS or non-SEVIS-related).  The attached spreadsheet (Attachment 1) contains a detailed burden accounting of data collection and reporting activities conducted through SEVIS</w:t>
      </w:r>
      <w:r w:rsidRPr="2BE9F2DA" w:rsidR="009720FC">
        <w:rPr>
          <w:color w:val="000000" w:themeColor="text1"/>
        </w:rPr>
        <w:t>.</w:t>
      </w:r>
      <w:r w:rsidRPr="2BE9F2DA" w:rsidR="0198FB36">
        <w:rPr>
          <w:color w:val="000000" w:themeColor="text1"/>
        </w:rPr>
        <w:t xml:space="preserve"> </w:t>
      </w:r>
      <w:r w:rsidRPr="2BE9F2DA" w:rsidR="009720FC">
        <w:rPr>
          <w:color w:val="000000" w:themeColor="text1"/>
        </w:rPr>
        <w:t xml:space="preserve"> </w:t>
      </w:r>
      <w:r w:rsidRPr="2BE9F2DA" w:rsidR="00A35EC3">
        <w:rPr>
          <w:color w:val="000000" w:themeColor="text1"/>
        </w:rPr>
        <w:t xml:space="preserve">Total cost burden is </w:t>
      </w:r>
      <w:r w:rsidRPr="2BE9F2DA" w:rsidR="00CC16D7">
        <w:rPr>
          <w:color w:val="000000" w:themeColor="text1"/>
        </w:rPr>
        <w:t>$2,881,980</w:t>
      </w:r>
      <w:r w:rsidRPr="2BE9F2DA" w:rsidR="00A35EC3">
        <w:rPr>
          <w:color w:val="000000" w:themeColor="text1"/>
        </w:rPr>
        <w:t>.</w:t>
      </w:r>
      <w:r w:rsidRPr="2BE9F2DA" w:rsidR="2A99EC1D">
        <w:rPr>
          <w:color w:val="000000" w:themeColor="text1"/>
        </w:rPr>
        <w:t xml:space="preserve"> </w:t>
      </w:r>
      <w:r w:rsidRPr="2BE9F2DA" w:rsidR="00B803D1">
        <w:rPr>
          <w:color w:val="000000" w:themeColor="text1"/>
        </w:rPr>
        <w:t xml:space="preserve"> </w:t>
      </w:r>
      <w:r w:rsidRPr="2BE9F2DA" w:rsidR="002F73B1">
        <w:rPr>
          <w:color w:val="000000" w:themeColor="text1"/>
        </w:rPr>
        <w:t xml:space="preserve">Please see the attached spreadsheet (Attachment 2) for </w:t>
      </w:r>
      <w:r w:rsidRPr="2BE9F2DA" w:rsidR="00ED40C7">
        <w:rPr>
          <w:color w:val="000000" w:themeColor="text1"/>
        </w:rPr>
        <w:t xml:space="preserve">all current </w:t>
      </w:r>
      <w:r w:rsidRPr="2BE9F2DA" w:rsidR="0851226B">
        <w:rPr>
          <w:color w:val="000000" w:themeColor="text1"/>
        </w:rPr>
        <w:t>n</w:t>
      </w:r>
      <w:r w:rsidRPr="2BE9F2DA" w:rsidR="002F73B1">
        <w:rPr>
          <w:color w:val="000000" w:themeColor="text1"/>
        </w:rPr>
        <w:t>on-SEVIS record keeping and data collection activities</w:t>
      </w:r>
      <w:r w:rsidRPr="2BE9F2DA" w:rsidR="00997964">
        <w:rPr>
          <w:color w:val="000000" w:themeColor="text1"/>
        </w:rPr>
        <w:t xml:space="preserve"> (cost burden estimated at </w:t>
      </w:r>
      <w:r w:rsidRPr="2BE9F2DA" w:rsidR="00F75D46">
        <w:rPr>
          <w:color w:val="000000" w:themeColor="text1"/>
        </w:rPr>
        <w:t>$22,351,043</w:t>
      </w:r>
      <w:r w:rsidRPr="2BE9F2DA" w:rsidR="00A35EC3">
        <w:rPr>
          <w:color w:val="000000" w:themeColor="text1"/>
        </w:rPr>
        <w:t>.</w:t>
      </w:r>
      <w:r w:rsidRPr="2BE9F2DA" w:rsidR="002F73B1">
        <w:rPr>
          <w:color w:val="000000" w:themeColor="text1"/>
        </w:rPr>
        <w:t xml:space="preserve"> </w:t>
      </w:r>
    </w:p>
    <w:p w:rsidR="00CF40FE" w:rsidRPr="00F77894" w:rsidP="3ECF1372" w14:paraId="51CA482B" w14:textId="77777777">
      <w:pPr>
        <w:rPr>
          <w:color w:val="000000" w:themeColor="text1"/>
        </w:rPr>
      </w:pPr>
    </w:p>
    <w:p w:rsidR="007D386F" w:rsidRPr="00F77894" w:rsidP="3ECF1372" w14:paraId="583F81FF" w14:textId="77F896E3">
      <w:pPr>
        <w:rPr>
          <w:color w:val="000000" w:themeColor="text1"/>
        </w:rPr>
      </w:pPr>
      <w:r w:rsidRPr="3ECF1372">
        <w:rPr>
          <w:color w:val="000000" w:themeColor="text1"/>
        </w:rPr>
        <w:t xml:space="preserve">The number of responses </w:t>
      </w:r>
      <w:r w:rsidRPr="3ECF1372" w:rsidR="00734474">
        <w:rPr>
          <w:color w:val="000000" w:themeColor="text1"/>
        </w:rPr>
        <w:t>to</w:t>
      </w:r>
      <w:r w:rsidRPr="3ECF1372">
        <w:rPr>
          <w:color w:val="000000" w:themeColor="text1"/>
        </w:rPr>
        <w:t xml:space="preserve"> the Form </w:t>
      </w:r>
      <w:r w:rsidRPr="3ECF1372" w:rsidR="0000043B">
        <w:rPr>
          <w:color w:val="000000" w:themeColor="text1"/>
        </w:rPr>
        <w:t>DS-</w:t>
      </w:r>
      <w:r w:rsidRPr="3ECF1372">
        <w:rPr>
          <w:color w:val="000000" w:themeColor="text1"/>
        </w:rPr>
        <w:t>3036</w:t>
      </w:r>
      <w:r w:rsidRPr="3ECF1372" w:rsidR="009720FC">
        <w:rPr>
          <w:color w:val="000000" w:themeColor="text1"/>
        </w:rPr>
        <w:t xml:space="preserve"> </w:t>
      </w:r>
      <w:r w:rsidRPr="3ECF1372" w:rsidR="00CF40FE">
        <w:rPr>
          <w:color w:val="000000" w:themeColor="text1"/>
        </w:rPr>
        <w:t>is</w:t>
      </w:r>
      <w:r w:rsidRPr="3ECF1372">
        <w:rPr>
          <w:color w:val="000000" w:themeColor="text1"/>
        </w:rPr>
        <w:t xml:space="preserve"> approximately </w:t>
      </w:r>
      <w:r w:rsidRPr="3ECF1372" w:rsidR="00EC1875">
        <w:rPr>
          <w:color w:val="000000" w:themeColor="text1"/>
        </w:rPr>
        <w:t>60</w:t>
      </w:r>
      <w:r w:rsidRPr="3ECF1372">
        <w:rPr>
          <w:color w:val="000000" w:themeColor="text1"/>
        </w:rPr>
        <w:t xml:space="preserve"> </w:t>
      </w:r>
      <w:r w:rsidRPr="3ECF1372" w:rsidR="00EC1875">
        <w:rPr>
          <w:color w:val="000000" w:themeColor="text1"/>
        </w:rPr>
        <w:t xml:space="preserve">applications </w:t>
      </w:r>
      <w:r w:rsidRPr="3ECF1372">
        <w:rPr>
          <w:color w:val="000000" w:themeColor="text1"/>
        </w:rPr>
        <w:t xml:space="preserve">annually.  The respondents complete the form if they wish to be considered for designation as an Exchange Visitor Program sponsor.  This form takes approximately </w:t>
      </w:r>
      <w:r w:rsidRPr="3ECF1372" w:rsidR="00C478DA">
        <w:rPr>
          <w:color w:val="000000" w:themeColor="text1"/>
        </w:rPr>
        <w:t xml:space="preserve">1 </w:t>
      </w:r>
      <w:r w:rsidRPr="3ECF1372">
        <w:rPr>
          <w:color w:val="000000" w:themeColor="text1"/>
        </w:rPr>
        <w:t>hour to complete</w:t>
      </w:r>
      <w:r w:rsidRPr="3ECF1372" w:rsidR="000B4001">
        <w:rPr>
          <w:color w:val="000000" w:themeColor="text1"/>
        </w:rPr>
        <w:t xml:space="preserve"> and an additional 7 hours to gather supporting application documentation</w:t>
      </w:r>
      <w:r w:rsidRPr="3ECF1372">
        <w:rPr>
          <w:color w:val="000000" w:themeColor="text1"/>
        </w:rPr>
        <w:t xml:space="preserve">.  </w:t>
      </w:r>
      <w:r w:rsidRPr="3ECF1372" w:rsidR="00321994">
        <w:rPr>
          <w:color w:val="000000" w:themeColor="text1"/>
        </w:rPr>
        <w:t xml:space="preserve">The annual burden for this form is estimated to be </w:t>
      </w:r>
      <w:r w:rsidRPr="3ECF1372" w:rsidR="00EC1875">
        <w:rPr>
          <w:color w:val="000000" w:themeColor="text1"/>
        </w:rPr>
        <w:t>480</w:t>
      </w:r>
      <w:r w:rsidRPr="3ECF1372" w:rsidR="00321994">
        <w:rPr>
          <w:color w:val="000000" w:themeColor="text1"/>
        </w:rPr>
        <w:t xml:space="preserve"> hours.</w:t>
      </w:r>
      <w:r w:rsidRPr="3ECF1372">
        <w:rPr>
          <w:color w:val="000000" w:themeColor="text1"/>
        </w:rPr>
        <w:t xml:space="preserve">  The average</w:t>
      </w:r>
      <w:r w:rsidRPr="3ECF1372" w:rsidR="00F33C1F">
        <w:rPr>
          <w:color w:val="000000" w:themeColor="text1"/>
        </w:rPr>
        <w:t xml:space="preserve"> sum</w:t>
      </w:r>
      <w:r w:rsidRPr="3ECF1372">
        <w:rPr>
          <w:color w:val="000000" w:themeColor="text1"/>
        </w:rPr>
        <w:t xml:space="preserve"> </w:t>
      </w:r>
      <w:r w:rsidRPr="3ECF1372" w:rsidR="00F9755A">
        <w:rPr>
          <w:color w:val="000000" w:themeColor="text1"/>
        </w:rPr>
        <w:t xml:space="preserve">for </w:t>
      </w:r>
      <w:r w:rsidRPr="3ECF1372">
        <w:rPr>
          <w:color w:val="000000" w:themeColor="text1"/>
        </w:rPr>
        <w:t xml:space="preserve">hourly </w:t>
      </w:r>
      <w:r w:rsidRPr="3ECF1372" w:rsidR="009720FC">
        <w:rPr>
          <w:color w:val="000000" w:themeColor="text1"/>
        </w:rPr>
        <w:t>weighted non-profit</w:t>
      </w:r>
      <w:r w:rsidRPr="3ECF1372">
        <w:rPr>
          <w:color w:val="000000" w:themeColor="text1"/>
        </w:rPr>
        <w:t xml:space="preserve"> earnings </w:t>
      </w:r>
      <w:r w:rsidRPr="3ECF1372" w:rsidR="00F33C1F">
        <w:rPr>
          <w:color w:val="000000" w:themeColor="text1"/>
        </w:rPr>
        <w:t>is</w:t>
      </w:r>
      <w:r w:rsidRPr="3ECF1372" w:rsidR="009C5381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$</w:t>
      </w:r>
      <w:r w:rsidRPr="3ECF1372" w:rsidR="009720FC">
        <w:rPr>
          <w:color w:val="000000" w:themeColor="text1"/>
        </w:rPr>
        <w:t>22.50</w:t>
      </w:r>
      <w:r w:rsidRPr="3ECF1372" w:rsidR="00F9755A">
        <w:rPr>
          <w:color w:val="000000" w:themeColor="text1"/>
        </w:rPr>
        <w:t>, therefore a total wage cost of $15,120.00 ($22.50 x</w:t>
      </w:r>
      <w:r w:rsidRPr="3ECF1372" w:rsidR="00734474">
        <w:rPr>
          <w:color w:val="000000" w:themeColor="text1"/>
        </w:rPr>
        <w:t xml:space="preserve"> the</w:t>
      </w:r>
      <w:r w:rsidRPr="3ECF1372" w:rsidR="00F9755A">
        <w:rPr>
          <w:color w:val="000000" w:themeColor="text1"/>
        </w:rPr>
        <w:t xml:space="preserve"> 1.4 </w:t>
      </w:r>
      <w:r w:rsidRPr="3ECF1372" w:rsidR="00734474">
        <w:rPr>
          <w:color w:val="000000" w:themeColor="text1"/>
        </w:rPr>
        <w:t xml:space="preserve">multiplier based on FTE wage scales </w:t>
      </w:r>
      <w:r w:rsidRPr="3ECF1372" w:rsidR="00F9755A">
        <w:rPr>
          <w:color w:val="000000" w:themeColor="text1"/>
        </w:rPr>
        <w:t>x 480 hours).</w:t>
      </w:r>
    </w:p>
    <w:p w:rsidR="007D386F" w:rsidRPr="00F77894" w:rsidP="3ECF1372" w14:paraId="176AEE74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CD38DB" w:rsidRPr="00F77894" w:rsidP="3ECF1372" w14:paraId="7C4A914F" w14:textId="3F556D0A">
      <w:pPr>
        <w:autoSpaceDE w:val="0"/>
        <w:autoSpaceDN w:val="0"/>
        <w:adjustRightInd w:val="0"/>
        <w:rPr>
          <w:color w:val="000000" w:themeColor="text1"/>
        </w:rPr>
      </w:pPr>
      <w:r w:rsidRPr="2BE9F2DA">
        <w:rPr>
          <w:color w:val="000000" w:themeColor="text1"/>
        </w:rPr>
        <w:t xml:space="preserve">Designated sponsors use </w:t>
      </w:r>
      <w:r w:rsidRPr="2BE9F2DA" w:rsidR="00F33C1A">
        <w:rPr>
          <w:color w:val="000000" w:themeColor="text1"/>
        </w:rPr>
        <w:t xml:space="preserve">Form </w:t>
      </w:r>
      <w:r w:rsidRPr="2BE9F2DA" w:rsidR="0000043B">
        <w:rPr>
          <w:color w:val="000000" w:themeColor="text1"/>
        </w:rPr>
        <w:t>DS-</w:t>
      </w:r>
      <w:r w:rsidRPr="2BE9F2DA" w:rsidR="00F33C1A">
        <w:rPr>
          <w:color w:val="000000" w:themeColor="text1"/>
        </w:rPr>
        <w:t>3037 to notify the Department of any changes in contact information for the sponsor</w:t>
      </w:r>
      <w:r w:rsidRPr="2BE9F2DA" w:rsidR="00355F39">
        <w:rPr>
          <w:color w:val="000000" w:themeColor="text1"/>
        </w:rPr>
        <w:t>, to request brochures,</w:t>
      </w:r>
      <w:r w:rsidRPr="2BE9F2DA" w:rsidR="0000043B">
        <w:rPr>
          <w:color w:val="000000" w:themeColor="text1"/>
        </w:rPr>
        <w:t xml:space="preserve"> and t</w:t>
      </w:r>
      <w:r w:rsidRPr="2BE9F2DA" w:rsidR="00F33C1A">
        <w:rPr>
          <w:color w:val="000000" w:themeColor="text1"/>
        </w:rPr>
        <w:t>o request a change in Responsible or Alternate Responsible officers</w:t>
      </w:r>
      <w:r w:rsidRPr="2BE9F2DA" w:rsidR="0000043B">
        <w:rPr>
          <w:color w:val="000000" w:themeColor="text1"/>
        </w:rPr>
        <w:t xml:space="preserve"> on their exchange program</w:t>
      </w:r>
      <w:r w:rsidRPr="2BE9F2DA" w:rsidR="00F33C1A">
        <w:rPr>
          <w:color w:val="000000" w:themeColor="text1"/>
        </w:rPr>
        <w:t>.</w:t>
      </w:r>
      <w:r w:rsidRPr="2BE9F2DA" w:rsidR="304BB4BD">
        <w:rPr>
          <w:color w:val="000000" w:themeColor="text1"/>
        </w:rPr>
        <w:t xml:space="preserve"> </w:t>
      </w:r>
      <w:r w:rsidRPr="2BE9F2DA" w:rsidR="00F33C1A">
        <w:rPr>
          <w:color w:val="000000" w:themeColor="text1"/>
        </w:rPr>
        <w:t xml:space="preserve"> This form takes approximately </w:t>
      </w:r>
      <w:r w:rsidRPr="2BE9F2DA" w:rsidR="00AD011F">
        <w:rPr>
          <w:color w:val="000000" w:themeColor="text1"/>
        </w:rPr>
        <w:t>2</w:t>
      </w:r>
      <w:r w:rsidRPr="2BE9F2DA" w:rsidR="00F33C1A">
        <w:rPr>
          <w:color w:val="000000" w:themeColor="text1"/>
        </w:rPr>
        <w:t xml:space="preserve">0 minutes to complete.  It is estimated that approximately </w:t>
      </w:r>
      <w:r w:rsidRPr="2BE9F2DA" w:rsidR="00321994">
        <w:rPr>
          <w:color w:val="000000" w:themeColor="text1"/>
        </w:rPr>
        <w:t>1</w:t>
      </w:r>
      <w:r w:rsidRPr="2BE9F2DA" w:rsidR="00EA5993">
        <w:rPr>
          <w:color w:val="000000" w:themeColor="text1"/>
        </w:rPr>
        <w:t>,</w:t>
      </w:r>
      <w:r w:rsidRPr="2BE9F2DA" w:rsidR="00321994">
        <w:rPr>
          <w:color w:val="000000" w:themeColor="text1"/>
        </w:rPr>
        <w:t>4</w:t>
      </w:r>
      <w:r w:rsidRPr="2BE9F2DA" w:rsidR="007B4732">
        <w:rPr>
          <w:color w:val="000000" w:themeColor="text1"/>
        </w:rPr>
        <w:t>50</w:t>
      </w:r>
      <w:r w:rsidRPr="2BE9F2DA" w:rsidR="00321994">
        <w:rPr>
          <w:color w:val="000000" w:themeColor="text1"/>
        </w:rPr>
        <w:t xml:space="preserve"> respondents will submit </w:t>
      </w:r>
      <w:r w:rsidRPr="2BE9F2DA" w:rsidR="00EC1875">
        <w:rPr>
          <w:color w:val="000000" w:themeColor="text1"/>
        </w:rPr>
        <w:t xml:space="preserve">a minimum of two </w:t>
      </w:r>
      <w:r w:rsidRPr="2BE9F2DA" w:rsidR="00321994">
        <w:rPr>
          <w:color w:val="000000" w:themeColor="text1"/>
        </w:rPr>
        <w:t xml:space="preserve">requests annually for a total </w:t>
      </w:r>
      <w:r w:rsidRPr="2BE9F2DA" w:rsidR="00B540EF">
        <w:rPr>
          <w:color w:val="000000" w:themeColor="text1"/>
        </w:rPr>
        <w:t>2,</w:t>
      </w:r>
      <w:r w:rsidRPr="2BE9F2DA" w:rsidR="00E9373B">
        <w:rPr>
          <w:color w:val="000000" w:themeColor="text1"/>
        </w:rPr>
        <w:t>9</w:t>
      </w:r>
      <w:r w:rsidRPr="2BE9F2DA" w:rsidR="00BE2A6B">
        <w:rPr>
          <w:color w:val="000000" w:themeColor="text1"/>
        </w:rPr>
        <w:t>0</w:t>
      </w:r>
      <w:r w:rsidRPr="2BE9F2DA" w:rsidR="00B540EF">
        <w:rPr>
          <w:color w:val="000000" w:themeColor="text1"/>
        </w:rPr>
        <w:t>0</w:t>
      </w:r>
      <w:r w:rsidRPr="2BE9F2DA" w:rsidR="004D2A21">
        <w:rPr>
          <w:color w:val="000000" w:themeColor="text1"/>
        </w:rPr>
        <w:t xml:space="preserve"> </w:t>
      </w:r>
      <w:r w:rsidRPr="2BE9F2DA" w:rsidR="00321994">
        <w:rPr>
          <w:color w:val="000000" w:themeColor="text1"/>
        </w:rPr>
        <w:t>submissions</w:t>
      </w:r>
      <w:r w:rsidRPr="2BE9F2DA" w:rsidR="00CF40FE">
        <w:rPr>
          <w:color w:val="000000" w:themeColor="text1"/>
        </w:rPr>
        <w:t xml:space="preserve"> (responses)</w:t>
      </w:r>
      <w:r w:rsidRPr="2BE9F2DA" w:rsidR="00321994">
        <w:rPr>
          <w:color w:val="000000" w:themeColor="text1"/>
        </w:rPr>
        <w:t>.</w:t>
      </w:r>
      <w:r w:rsidRPr="2BE9F2DA" w:rsidR="00F33C1A">
        <w:rPr>
          <w:color w:val="000000" w:themeColor="text1"/>
        </w:rPr>
        <w:t xml:space="preserve"> </w:t>
      </w:r>
      <w:r w:rsidRPr="2BE9F2DA" w:rsidR="004D2A21">
        <w:rPr>
          <w:color w:val="000000" w:themeColor="text1"/>
        </w:rPr>
        <w:t xml:space="preserve">The annual burden for this form is approximately </w:t>
      </w:r>
      <w:r w:rsidRPr="2BE9F2DA" w:rsidR="00B540EF">
        <w:rPr>
          <w:color w:val="000000" w:themeColor="text1"/>
        </w:rPr>
        <w:t>943</w:t>
      </w:r>
      <w:r w:rsidRPr="2BE9F2DA" w:rsidR="004D2A21">
        <w:rPr>
          <w:color w:val="000000" w:themeColor="text1"/>
        </w:rPr>
        <w:t xml:space="preserve"> hours</w:t>
      </w:r>
      <w:r w:rsidRPr="2BE9F2DA" w:rsidR="00D9386D">
        <w:rPr>
          <w:color w:val="000000" w:themeColor="text1"/>
        </w:rPr>
        <w:t xml:space="preserve">.  The average mean for hourly civilian </w:t>
      </w:r>
      <w:r w:rsidRPr="2BE9F2DA" w:rsidR="00D446C8">
        <w:rPr>
          <w:color w:val="000000" w:themeColor="text1"/>
        </w:rPr>
        <w:t xml:space="preserve">non-profit </w:t>
      </w:r>
      <w:r w:rsidRPr="2BE9F2DA" w:rsidR="00D9386D">
        <w:rPr>
          <w:color w:val="000000" w:themeColor="text1"/>
        </w:rPr>
        <w:t xml:space="preserve">earnings </w:t>
      </w:r>
      <w:r w:rsidRPr="2BE9F2DA" w:rsidR="00AD011F">
        <w:rPr>
          <w:color w:val="000000" w:themeColor="text1"/>
        </w:rPr>
        <w:t>is</w:t>
      </w:r>
      <w:r w:rsidRPr="2BE9F2DA" w:rsidR="00D9386D">
        <w:rPr>
          <w:color w:val="000000" w:themeColor="text1"/>
        </w:rPr>
        <w:t xml:space="preserve"> $22.50, therefore a total wage cost of $29,704.50 ($22.50 x 1.4 x 943 hours).  The total cost burden for this </w:t>
      </w:r>
      <w:r w:rsidRPr="2BE9F2DA" w:rsidR="00147A29">
        <w:rPr>
          <w:color w:val="000000" w:themeColor="text1"/>
        </w:rPr>
        <w:t xml:space="preserve">part of the overall </w:t>
      </w:r>
      <w:r w:rsidRPr="2BE9F2DA" w:rsidR="00D9386D">
        <w:rPr>
          <w:color w:val="000000" w:themeColor="text1"/>
        </w:rPr>
        <w:t>collection is $15,120 (Form DS-3036) + 20,704.50 (Form DS-3037) = $</w:t>
      </w:r>
      <w:r w:rsidRPr="2BE9F2DA" w:rsidR="00147A29">
        <w:rPr>
          <w:color w:val="000000" w:themeColor="text1"/>
        </w:rPr>
        <w:t xml:space="preserve">35,825 </w:t>
      </w:r>
      <w:r w:rsidRPr="2BE9F2DA" w:rsidR="00D9386D">
        <w:rPr>
          <w:color w:val="000000" w:themeColor="text1"/>
        </w:rPr>
        <w:t>(rounded).</w:t>
      </w:r>
    </w:p>
    <w:p w:rsidR="00CD38DB" w:rsidRPr="00F77894" w:rsidP="3ECF1372" w14:paraId="53B5743E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CD38DB" w:rsidRPr="00F77894" w:rsidP="3ECF1372" w14:paraId="733941C4" w14:textId="1A553BE2">
      <w:pPr>
        <w:autoSpaceDE w:val="0"/>
        <w:autoSpaceDN w:val="0"/>
        <w:adjustRightInd w:val="0"/>
        <w:rPr>
          <w:color w:val="000000" w:themeColor="text1"/>
        </w:rPr>
      </w:pPr>
      <w:r w:rsidRPr="2BE9F2DA">
        <w:rPr>
          <w:color w:val="000000" w:themeColor="text1"/>
        </w:rPr>
        <w:t xml:space="preserve">Form DS-7000, the SEVIS Electronic Application, includes </w:t>
      </w:r>
      <w:r w:rsidRPr="2BE9F2DA" w:rsidR="003E0FC4">
        <w:rPr>
          <w:color w:val="000000" w:themeColor="text1"/>
        </w:rPr>
        <w:t xml:space="preserve">the </w:t>
      </w:r>
      <w:r w:rsidRPr="2BE9F2DA" w:rsidR="001E48CA">
        <w:rPr>
          <w:color w:val="000000" w:themeColor="text1"/>
        </w:rPr>
        <w:t>Department</w:t>
      </w:r>
      <w:r w:rsidRPr="2BE9F2DA" w:rsidR="00355F39">
        <w:rPr>
          <w:color w:val="000000" w:themeColor="text1"/>
        </w:rPr>
        <w:t>’</w:t>
      </w:r>
      <w:r w:rsidRPr="2BE9F2DA" w:rsidR="001E48CA">
        <w:rPr>
          <w:color w:val="000000" w:themeColor="text1"/>
        </w:rPr>
        <w:t>s</w:t>
      </w:r>
      <w:r w:rsidRPr="2BE9F2DA">
        <w:rPr>
          <w:color w:val="000000" w:themeColor="text1"/>
        </w:rPr>
        <w:t xml:space="preserve"> record keeping, reporting and data collection information required under 22 CFR Part 62 and the many functions performed through SEVIS by program sponsors.</w:t>
      </w:r>
      <w:r w:rsidRPr="2BE9F2DA" w:rsidR="22EEC1D3">
        <w:rPr>
          <w:color w:val="000000" w:themeColor="text1"/>
        </w:rPr>
        <w:t xml:space="preserve"> </w:t>
      </w:r>
      <w:r w:rsidRPr="2BE9F2DA">
        <w:rPr>
          <w:color w:val="000000" w:themeColor="text1"/>
        </w:rPr>
        <w:t xml:space="preserve"> A detailed breakdown of the respondents, number of responses, and burden figures are attached in table format.  Please see </w:t>
      </w:r>
      <w:r w:rsidRPr="2BE9F2DA" w:rsidR="0012065B">
        <w:rPr>
          <w:color w:val="000000" w:themeColor="text1"/>
        </w:rPr>
        <w:t>the attached spreadsheet (</w:t>
      </w:r>
      <w:r w:rsidRPr="2BE9F2DA">
        <w:rPr>
          <w:color w:val="000000" w:themeColor="text1"/>
        </w:rPr>
        <w:t>Attachment 1</w:t>
      </w:r>
      <w:r w:rsidRPr="2BE9F2DA" w:rsidR="0012065B">
        <w:rPr>
          <w:color w:val="000000" w:themeColor="text1"/>
        </w:rPr>
        <w:t>)</w:t>
      </w:r>
      <w:r w:rsidRPr="2BE9F2DA">
        <w:rPr>
          <w:color w:val="000000" w:themeColor="text1"/>
        </w:rPr>
        <w:t xml:space="preserve"> for a detailed burden accounting of data collection and reporting activities conducted through SEVIS.  Please see </w:t>
      </w:r>
      <w:r w:rsidRPr="2BE9F2DA" w:rsidR="0012065B">
        <w:rPr>
          <w:color w:val="000000" w:themeColor="text1"/>
        </w:rPr>
        <w:t>the attached spreadsheet (</w:t>
      </w:r>
      <w:r w:rsidRPr="2BE9F2DA">
        <w:rPr>
          <w:color w:val="000000" w:themeColor="text1"/>
        </w:rPr>
        <w:t>Attachment 2</w:t>
      </w:r>
      <w:r w:rsidRPr="2BE9F2DA" w:rsidR="0012065B">
        <w:rPr>
          <w:color w:val="000000" w:themeColor="text1"/>
        </w:rPr>
        <w:t>)</w:t>
      </w:r>
      <w:r w:rsidRPr="2BE9F2DA">
        <w:rPr>
          <w:color w:val="000000" w:themeColor="text1"/>
        </w:rPr>
        <w:t xml:space="preserve"> for Non-SEVIS recordkeeping and data collection activities.  </w:t>
      </w:r>
    </w:p>
    <w:p w:rsidR="00A966E7" w:rsidRPr="00F77894" w:rsidP="2BE9F2DA" w14:paraId="7E69A0A9" w14:textId="5F6F9409">
      <w:pPr>
        <w:autoSpaceDE w:val="0"/>
        <w:autoSpaceDN w:val="0"/>
        <w:adjustRightInd w:val="0"/>
        <w:rPr>
          <w:color w:val="000000" w:themeColor="text1"/>
        </w:rPr>
      </w:pPr>
      <w:r w:rsidRPr="2BE9F2DA">
        <w:rPr>
          <w:color w:val="000000" w:themeColor="text1"/>
        </w:rPr>
        <w:t xml:space="preserve">Respondents for this collection include designated program sponsors, applicants/potential sponsors, host families, exchange visitors, and </w:t>
      </w:r>
      <w:r w:rsidRPr="2BE9F2DA" w:rsidR="00CF40FE">
        <w:rPr>
          <w:color w:val="000000" w:themeColor="text1"/>
        </w:rPr>
        <w:t xml:space="preserve">schools and universities, yielding an estimated total </w:t>
      </w:r>
      <w:r w:rsidRPr="2BE9F2DA" w:rsidR="00BE2A6B">
        <w:rPr>
          <w:color w:val="000000" w:themeColor="text1"/>
        </w:rPr>
        <w:t xml:space="preserve">of </w:t>
      </w:r>
      <w:r w:rsidRPr="2BE9F2DA" w:rsidR="00914907">
        <w:rPr>
          <w:color w:val="000000" w:themeColor="text1"/>
        </w:rPr>
        <w:t>413,950</w:t>
      </w:r>
      <w:r w:rsidRPr="2BE9F2DA" w:rsidR="00CF40FE">
        <w:rPr>
          <w:color w:val="000000" w:themeColor="text1"/>
        </w:rPr>
        <w:t xml:space="preserve"> </w:t>
      </w:r>
      <w:r w:rsidRPr="2BE9F2DA" w:rsidR="009C5381">
        <w:rPr>
          <w:color w:val="000000" w:themeColor="text1"/>
        </w:rPr>
        <w:t>responde</w:t>
      </w:r>
      <w:r w:rsidRPr="2BE9F2DA" w:rsidR="00997964">
        <w:rPr>
          <w:color w:val="000000" w:themeColor="text1"/>
        </w:rPr>
        <w:t>rs</w:t>
      </w:r>
      <w:r w:rsidRPr="2BE9F2DA" w:rsidR="009C5381">
        <w:rPr>
          <w:color w:val="000000" w:themeColor="text1"/>
        </w:rPr>
        <w:t xml:space="preserve"> </w:t>
      </w:r>
      <w:r w:rsidRPr="2BE9F2DA" w:rsidR="00CF40FE">
        <w:rPr>
          <w:color w:val="000000" w:themeColor="text1"/>
        </w:rPr>
        <w:t>per year</w:t>
      </w:r>
      <w:r w:rsidRPr="2BE9F2DA" w:rsidR="00BE2A6B">
        <w:rPr>
          <w:color w:val="000000" w:themeColor="text1"/>
        </w:rPr>
        <w:t>,</w:t>
      </w:r>
      <w:r w:rsidRPr="2BE9F2DA">
        <w:rPr>
          <w:color w:val="000000" w:themeColor="text1"/>
        </w:rPr>
        <w:t xml:space="preserve"> as follows:</w:t>
      </w:r>
    </w:p>
    <w:p w:rsidR="00A966E7" w:rsidRPr="00F77894" w:rsidP="3ECF1372" w14:paraId="35457B64" w14:textId="77777777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Style w:val="TableGrid"/>
        <w:tblW w:w="0" w:type="auto"/>
        <w:tblInd w:w="1426" w:type="dxa"/>
        <w:tblLook w:val="04E0"/>
      </w:tblPr>
      <w:tblGrid>
        <w:gridCol w:w="3272"/>
        <w:gridCol w:w="2663"/>
      </w:tblGrid>
      <w:tr w14:paraId="5B3A0491" w14:textId="77777777" w:rsidTr="3ECF1372">
        <w:tblPrEx>
          <w:tblW w:w="0" w:type="auto"/>
          <w:tblInd w:w="1426" w:type="dxa"/>
          <w:tblLook w:val="04E0"/>
        </w:tblPrEx>
        <w:tc>
          <w:tcPr>
            <w:tcW w:w="3272" w:type="dxa"/>
          </w:tcPr>
          <w:p w:rsidR="00A966E7" w:rsidRPr="00F77894" w:rsidP="3ECF1372" w14:paraId="459B78E1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eastAsia="Times New Roman"/>
                <w:i/>
                <w:iCs/>
                <w:color w:val="000000" w:themeColor="text1"/>
              </w:rPr>
            </w:pPr>
            <w:r w:rsidRPr="3ECF1372">
              <w:rPr>
                <w:rFonts w:eastAsia="Times New Roman"/>
                <w:i/>
                <w:iCs/>
                <w:color w:val="000000" w:themeColor="text1"/>
              </w:rPr>
              <w:t>Respondent</w:t>
            </w:r>
          </w:p>
        </w:tc>
        <w:tc>
          <w:tcPr>
            <w:tcW w:w="2663" w:type="dxa"/>
          </w:tcPr>
          <w:p w:rsidR="00A966E7" w:rsidRPr="00F77894" w:rsidP="3ECF1372" w14:paraId="78792980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eastAsia="Times New Roman"/>
                <w:i/>
                <w:iCs/>
                <w:color w:val="000000" w:themeColor="text1"/>
              </w:rPr>
            </w:pPr>
            <w:r w:rsidRPr="3ECF1372">
              <w:rPr>
                <w:rFonts w:eastAsia="Times New Roman"/>
                <w:i/>
                <w:iCs/>
                <w:color w:val="000000" w:themeColor="text1"/>
              </w:rPr>
              <w:t>Estimate</w:t>
            </w:r>
          </w:p>
        </w:tc>
      </w:tr>
      <w:tr w14:paraId="7F1F5F0B" w14:textId="77777777" w:rsidTr="3ECF1372">
        <w:tblPrEx>
          <w:tblW w:w="0" w:type="auto"/>
          <w:tblInd w:w="1426" w:type="dxa"/>
          <w:tblLook w:val="04E0"/>
        </w:tblPrEx>
        <w:tc>
          <w:tcPr>
            <w:tcW w:w="3272" w:type="dxa"/>
          </w:tcPr>
          <w:p w:rsidR="00A966E7" w:rsidRPr="00F77894" w:rsidP="3ECF1372" w14:paraId="5BCE0C43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 xml:space="preserve">Exchange visitor </w:t>
            </w:r>
          </w:p>
        </w:tc>
        <w:tc>
          <w:tcPr>
            <w:tcW w:w="2663" w:type="dxa"/>
          </w:tcPr>
          <w:p w:rsidR="00A966E7" w:rsidRPr="00F77894" w:rsidP="3ECF1372" w14:paraId="0AB93B2A" w14:textId="4F56775A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>275,000</w:t>
            </w:r>
          </w:p>
        </w:tc>
      </w:tr>
      <w:tr w14:paraId="1B119859" w14:textId="77777777" w:rsidTr="3ECF1372">
        <w:tblPrEx>
          <w:tblW w:w="0" w:type="auto"/>
          <w:tblInd w:w="1426" w:type="dxa"/>
          <w:tblLook w:val="04E0"/>
        </w:tblPrEx>
        <w:tc>
          <w:tcPr>
            <w:tcW w:w="3272" w:type="dxa"/>
          </w:tcPr>
          <w:p w:rsidR="00A966E7" w:rsidRPr="00F77894" w:rsidP="3ECF1372" w14:paraId="718E3050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 xml:space="preserve">Sponsor   </w:t>
            </w:r>
          </w:p>
        </w:tc>
        <w:tc>
          <w:tcPr>
            <w:tcW w:w="2663" w:type="dxa"/>
          </w:tcPr>
          <w:p w:rsidR="00A966E7" w:rsidRPr="00F77894" w:rsidP="3ECF1372" w14:paraId="76E06F0F" w14:textId="165AF782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 xml:space="preserve">    </w:t>
            </w:r>
            <w:r w:rsidRPr="3ECF1372" w:rsidR="00147A29">
              <w:rPr>
                <w:rFonts w:eastAsia="Times New Roman"/>
                <w:color w:val="000000" w:themeColor="text1"/>
              </w:rPr>
              <w:t>1,450</w:t>
            </w:r>
          </w:p>
        </w:tc>
      </w:tr>
      <w:tr w14:paraId="34AACA2A" w14:textId="77777777" w:rsidTr="3ECF1372">
        <w:tblPrEx>
          <w:tblW w:w="0" w:type="auto"/>
          <w:tblInd w:w="1426" w:type="dxa"/>
          <w:tblLook w:val="04E0"/>
        </w:tblPrEx>
        <w:tc>
          <w:tcPr>
            <w:tcW w:w="3272" w:type="dxa"/>
          </w:tcPr>
          <w:p w:rsidR="00A966E7" w:rsidRPr="00F77894" w:rsidP="3ECF1372" w14:paraId="0D0E5897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>Host entities</w:t>
            </w:r>
          </w:p>
        </w:tc>
        <w:tc>
          <w:tcPr>
            <w:tcW w:w="2663" w:type="dxa"/>
          </w:tcPr>
          <w:p w:rsidR="009720FC" w:rsidRPr="00F77894" w:rsidP="3ECF1372" w14:paraId="7A694C8E" w14:textId="37EE2BEB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>137,500</w:t>
            </w:r>
          </w:p>
        </w:tc>
      </w:tr>
      <w:tr w14:paraId="1D4AC318" w14:textId="77777777" w:rsidTr="3ECF1372">
        <w:tblPrEx>
          <w:tblW w:w="0" w:type="auto"/>
          <w:tblInd w:w="1426" w:type="dxa"/>
          <w:tblLook w:val="04E0"/>
        </w:tblPrEx>
        <w:tc>
          <w:tcPr>
            <w:tcW w:w="3272" w:type="dxa"/>
          </w:tcPr>
          <w:p w:rsidR="00A966E7" w:rsidRPr="00F77894" w:rsidP="3ECF1372" w14:paraId="171A7A5D" w14:textId="77777777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3ECF1372">
              <w:rPr>
                <w:rFonts w:eastAsia="Times New Roman"/>
                <w:b/>
                <w:bCs/>
                <w:color w:val="000000" w:themeColor="text1"/>
              </w:rPr>
              <w:t>Total</w:t>
            </w:r>
          </w:p>
        </w:tc>
        <w:tc>
          <w:tcPr>
            <w:tcW w:w="2663" w:type="dxa"/>
          </w:tcPr>
          <w:p w:rsidR="00A966E7" w:rsidRPr="00F77894" w:rsidP="3ECF1372" w14:paraId="6DD4F1BD" w14:textId="551CEE76">
            <w:pPr>
              <w:pStyle w:val="ListParagraph"/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/>
                <w:color w:val="000000" w:themeColor="text1"/>
              </w:rPr>
            </w:pPr>
            <w:r w:rsidRPr="3ECF1372">
              <w:rPr>
                <w:rFonts w:eastAsia="Times New Roman"/>
                <w:color w:val="000000" w:themeColor="text1"/>
              </w:rPr>
              <w:t xml:space="preserve">              </w:t>
            </w:r>
            <w:r w:rsidRPr="3ECF1372" w:rsidR="004D4057">
              <w:rPr>
                <w:rFonts w:eastAsia="Times New Roman"/>
                <w:color w:val="000000" w:themeColor="text1"/>
              </w:rPr>
              <w:t>413,9</w:t>
            </w:r>
            <w:r w:rsidRPr="3ECF1372" w:rsidR="00E36FBA">
              <w:rPr>
                <w:rFonts w:eastAsia="Times New Roman"/>
                <w:color w:val="000000" w:themeColor="text1"/>
              </w:rPr>
              <w:t>50</w:t>
            </w:r>
          </w:p>
        </w:tc>
      </w:tr>
    </w:tbl>
    <w:p w:rsidR="00A966E7" w:rsidRPr="00F77894" w:rsidP="3ECF1372" w14:paraId="582B24B1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CF40FE" w:rsidRPr="00F77894" w:rsidP="3ECF1372" w14:paraId="5EB03FA1" w14:textId="3A4D7A1E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The annual number of resp</w:t>
      </w:r>
      <w:r w:rsidRPr="3ECF1372" w:rsidR="008F35D6">
        <w:rPr>
          <w:color w:val="000000" w:themeColor="text1"/>
        </w:rPr>
        <w:t>onses</w:t>
      </w:r>
      <w:r w:rsidRPr="3ECF1372" w:rsidR="001A2BD8">
        <w:rPr>
          <w:color w:val="000000" w:themeColor="text1"/>
        </w:rPr>
        <w:t xml:space="preserve"> for </w:t>
      </w:r>
      <w:r w:rsidRPr="3ECF1372" w:rsidR="004A6228">
        <w:rPr>
          <w:color w:val="000000" w:themeColor="text1"/>
        </w:rPr>
        <w:t>the items listed in the</w:t>
      </w:r>
      <w:r w:rsidRPr="3ECF1372">
        <w:rPr>
          <w:color w:val="000000" w:themeColor="text1"/>
        </w:rPr>
        <w:t xml:space="preserve"> </w:t>
      </w:r>
      <w:r w:rsidRPr="3ECF1372" w:rsidR="001A2BD8">
        <w:rPr>
          <w:color w:val="000000" w:themeColor="text1"/>
        </w:rPr>
        <w:t>DS-7000</w:t>
      </w:r>
      <w:r w:rsidRPr="3ECF1372" w:rsidR="008F35D6">
        <w:rPr>
          <w:color w:val="000000" w:themeColor="text1"/>
        </w:rPr>
        <w:t xml:space="preserve"> </w:t>
      </w:r>
      <w:r w:rsidRPr="3ECF1372" w:rsidR="004A6228">
        <w:rPr>
          <w:color w:val="000000" w:themeColor="text1"/>
        </w:rPr>
        <w:t>are</w:t>
      </w:r>
      <w:r w:rsidRPr="3ECF1372" w:rsidR="008F35D6">
        <w:rPr>
          <w:color w:val="000000" w:themeColor="text1"/>
        </w:rPr>
        <w:t xml:space="preserve"> approximately</w:t>
      </w:r>
      <w:r w:rsidRPr="3ECF1372" w:rsidR="00A66A45">
        <w:rPr>
          <w:color w:val="000000" w:themeColor="text1"/>
        </w:rPr>
        <w:t xml:space="preserve"> </w:t>
      </w:r>
      <w:bookmarkStart w:id="2" w:name="_Hlk147789583"/>
      <w:r w:rsidRPr="3ECF1372" w:rsidR="00A66A45">
        <w:rPr>
          <w:color w:val="000000" w:themeColor="text1"/>
        </w:rPr>
        <w:t xml:space="preserve">1,998,564 </w:t>
      </w:r>
      <w:bookmarkEnd w:id="2"/>
      <w:r w:rsidRPr="3ECF1372" w:rsidR="004F08C4">
        <w:rPr>
          <w:color w:val="000000" w:themeColor="text1"/>
        </w:rPr>
        <w:t>(</w:t>
      </w:r>
      <w:bookmarkStart w:id="3" w:name="_Hlk147789687"/>
      <w:r w:rsidRPr="3ECF1372" w:rsidR="009C1E3A">
        <w:rPr>
          <w:color w:val="000000" w:themeColor="text1"/>
        </w:rPr>
        <w:t xml:space="preserve">20,976 </w:t>
      </w:r>
      <w:bookmarkEnd w:id="3"/>
      <w:r w:rsidRPr="3ECF1372" w:rsidR="009C1E3A">
        <w:rPr>
          <w:color w:val="000000" w:themeColor="text1"/>
        </w:rPr>
        <w:t xml:space="preserve">for the </w:t>
      </w:r>
      <w:r w:rsidRPr="3ECF1372">
        <w:rPr>
          <w:color w:val="000000" w:themeColor="text1"/>
        </w:rPr>
        <w:t xml:space="preserve">SEVIS and </w:t>
      </w:r>
      <w:bookmarkStart w:id="4" w:name="_Hlk147789773"/>
      <w:r w:rsidRPr="3ECF1372" w:rsidR="009C1E3A">
        <w:rPr>
          <w:color w:val="000000" w:themeColor="text1"/>
        </w:rPr>
        <w:t>1,977,588</w:t>
      </w:r>
      <w:r w:rsidRPr="3ECF1372">
        <w:rPr>
          <w:color w:val="000000" w:themeColor="text1"/>
        </w:rPr>
        <w:t xml:space="preserve"> </w:t>
      </w:r>
      <w:bookmarkEnd w:id="4"/>
      <w:r w:rsidRPr="3ECF1372">
        <w:rPr>
          <w:color w:val="000000" w:themeColor="text1"/>
        </w:rPr>
        <w:t>for the non-SEVIS method of gathering responses)</w:t>
      </w:r>
      <w:r w:rsidRPr="3ECF1372" w:rsidR="00144328">
        <w:rPr>
          <w:color w:val="000000" w:themeColor="text1"/>
        </w:rPr>
        <w:t>.</w:t>
      </w:r>
      <w:r w:rsidRPr="3ECF1372" w:rsidR="00F971EC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The total aggregate annual hour bur</w:t>
      </w:r>
      <w:r w:rsidRPr="3ECF1372" w:rsidR="008F35D6">
        <w:rPr>
          <w:color w:val="000000" w:themeColor="text1"/>
        </w:rPr>
        <w:t xml:space="preserve">den </w:t>
      </w:r>
      <w:r w:rsidRPr="3ECF1372" w:rsidR="007C4AC3">
        <w:rPr>
          <w:color w:val="000000" w:themeColor="text1"/>
        </w:rPr>
        <w:t>for DS</w:t>
      </w:r>
      <w:r w:rsidRPr="3ECF1372" w:rsidR="001A2BD8">
        <w:rPr>
          <w:color w:val="000000" w:themeColor="text1"/>
        </w:rPr>
        <w:t>-</w:t>
      </w:r>
      <w:r w:rsidRPr="3ECF1372" w:rsidR="007C4AC3">
        <w:rPr>
          <w:color w:val="000000" w:themeColor="text1"/>
        </w:rPr>
        <w:t xml:space="preserve">7000 </w:t>
      </w:r>
      <w:r w:rsidRPr="3ECF1372" w:rsidR="008F35D6">
        <w:rPr>
          <w:color w:val="000000" w:themeColor="text1"/>
        </w:rPr>
        <w:t xml:space="preserve">is estimated to be </w:t>
      </w:r>
      <w:r w:rsidRPr="3ECF1372" w:rsidR="004F08C4">
        <w:rPr>
          <w:color w:val="000000" w:themeColor="text1"/>
        </w:rPr>
        <w:t>1,</w:t>
      </w:r>
      <w:r w:rsidRPr="3ECF1372" w:rsidR="009C449A">
        <w:rPr>
          <w:color w:val="000000" w:themeColor="text1"/>
        </w:rPr>
        <w:t>986,863</w:t>
      </w:r>
      <w:r w:rsidRPr="3ECF1372" w:rsidR="00226959">
        <w:rPr>
          <w:color w:val="000000" w:themeColor="text1"/>
        </w:rPr>
        <w:t>,</w:t>
      </w:r>
      <w:r w:rsidRPr="3ECF1372" w:rsidR="0033428C">
        <w:rPr>
          <w:color w:val="000000" w:themeColor="text1"/>
        </w:rPr>
        <w:t xml:space="preserve"> (</w:t>
      </w:r>
      <w:r w:rsidRPr="3ECF1372" w:rsidR="009C1E3A">
        <w:rPr>
          <w:color w:val="000000" w:themeColor="text1"/>
        </w:rPr>
        <w:t>9,27</w:t>
      </w:r>
      <w:r w:rsidRPr="3ECF1372" w:rsidR="009C449A">
        <w:rPr>
          <w:color w:val="000000" w:themeColor="text1"/>
        </w:rPr>
        <w:t>5</w:t>
      </w:r>
      <w:r w:rsidRPr="3ECF1372" w:rsidR="009C1E3A">
        <w:rPr>
          <w:color w:val="000000" w:themeColor="text1"/>
        </w:rPr>
        <w:t xml:space="preserve"> </w:t>
      </w:r>
      <w:r w:rsidRPr="3ECF1372" w:rsidR="0033428C">
        <w:rPr>
          <w:color w:val="000000" w:themeColor="text1"/>
        </w:rPr>
        <w:t xml:space="preserve">hours for the SEVIS and </w:t>
      </w:r>
      <w:r w:rsidRPr="3ECF1372" w:rsidR="00BA3ECD">
        <w:rPr>
          <w:color w:val="000000" w:themeColor="text1"/>
        </w:rPr>
        <w:t>1,</w:t>
      </w:r>
      <w:r w:rsidRPr="3ECF1372" w:rsidR="009B75CB">
        <w:rPr>
          <w:color w:val="000000" w:themeColor="text1"/>
        </w:rPr>
        <w:t>977</w:t>
      </w:r>
      <w:r w:rsidRPr="3ECF1372" w:rsidR="002B4919">
        <w:rPr>
          <w:color w:val="000000" w:themeColor="text1"/>
        </w:rPr>
        <w:t>,</w:t>
      </w:r>
      <w:r w:rsidRPr="3ECF1372" w:rsidR="009B75CB">
        <w:rPr>
          <w:color w:val="000000" w:themeColor="text1"/>
        </w:rPr>
        <w:t>588</w:t>
      </w:r>
      <w:r w:rsidRPr="3ECF1372" w:rsidR="009C1E3A">
        <w:rPr>
          <w:color w:val="000000" w:themeColor="text1"/>
        </w:rPr>
        <w:t xml:space="preserve"> </w:t>
      </w:r>
      <w:r w:rsidRPr="3ECF1372" w:rsidR="0033428C">
        <w:rPr>
          <w:color w:val="000000" w:themeColor="text1"/>
        </w:rPr>
        <w:t>for the non-SEVIS method of computing hour burden).</w:t>
      </w:r>
    </w:p>
    <w:p w:rsidR="00CF40FE" w:rsidRPr="00F77894" w:rsidP="3ECF1372" w14:paraId="2A85FBE6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203817" w:rsidRPr="00F77894" w:rsidP="3ECF1372" w14:paraId="711D7C6B" w14:textId="6E4B43EE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b/>
          <w:bCs/>
          <w:color w:val="000000" w:themeColor="text1"/>
        </w:rPr>
        <w:t>T</w:t>
      </w:r>
      <w:r w:rsidRPr="3ECF1372" w:rsidR="000736E6">
        <w:rPr>
          <w:b/>
          <w:bCs/>
          <w:color w:val="000000" w:themeColor="text1"/>
        </w:rPr>
        <w:t>a</w:t>
      </w:r>
      <w:r w:rsidRPr="3ECF1372">
        <w:rPr>
          <w:b/>
          <w:bCs/>
          <w:color w:val="000000" w:themeColor="text1"/>
        </w:rPr>
        <w:t xml:space="preserve">ble </w:t>
      </w:r>
      <w:r w:rsidRPr="3ECF1372" w:rsidR="000736E6">
        <w:rPr>
          <w:b/>
          <w:bCs/>
          <w:color w:val="000000" w:themeColor="text1"/>
        </w:rPr>
        <w:t>1</w:t>
      </w:r>
      <w:r w:rsidRPr="3ECF1372" w:rsidR="000736E6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below</w:t>
      </w:r>
      <w:r w:rsidRPr="3ECF1372" w:rsidR="00AB0271">
        <w:rPr>
          <w:color w:val="000000" w:themeColor="text1"/>
        </w:rPr>
        <w:t xml:space="preserve"> </w:t>
      </w:r>
      <w:r w:rsidRPr="3ECF1372" w:rsidR="00CF40FE">
        <w:rPr>
          <w:color w:val="000000" w:themeColor="text1"/>
        </w:rPr>
        <w:t xml:space="preserve">summarizes both DS-7000 spreadsheets (Attachments </w:t>
      </w:r>
      <w:r w:rsidRPr="3ECF1372" w:rsidR="00982B25">
        <w:rPr>
          <w:color w:val="000000" w:themeColor="text1"/>
        </w:rPr>
        <w:t>1</w:t>
      </w:r>
      <w:r w:rsidRPr="3ECF1372" w:rsidR="00CF40FE">
        <w:rPr>
          <w:color w:val="000000" w:themeColor="text1"/>
        </w:rPr>
        <w:t xml:space="preserve"> and 2)</w:t>
      </w:r>
      <w:r w:rsidRPr="3ECF1372" w:rsidR="000F1DC4">
        <w:rPr>
          <w:color w:val="000000" w:themeColor="text1"/>
        </w:rPr>
        <w:t xml:space="preserve"> </w:t>
      </w:r>
      <w:r w:rsidRPr="3ECF1372" w:rsidR="00CF40FE">
        <w:rPr>
          <w:color w:val="000000" w:themeColor="text1"/>
        </w:rPr>
        <w:t>shows the aggregate burden figures for all requirements under 22 CFR Part 62 for DS-7000</w:t>
      </w:r>
      <w:r w:rsidRPr="3ECF1372" w:rsidR="009B75CB">
        <w:rPr>
          <w:color w:val="000000" w:themeColor="text1"/>
        </w:rPr>
        <w:t>, The t</w:t>
      </w:r>
      <w:r w:rsidRPr="3ECF1372" w:rsidR="006B4193">
        <w:rPr>
          <w:color w:val="000000" w:themeColor="text1"/>
        </w:rPr>
        <w:t>otal annual cost to respon</w:t>
      </w:r>
      <w:r w:rsidRPr="3ECF1372" w:rsidR="00CF40FE">
        <w:rPr>
          <w:color w:val="000000" w:themeColor="text1"/>
        </w:rPr>
        <w:t xml:space="preserve">dents </w:t>
      </w:r>
      <w:r w:rsidRPr="3ECF1372" w:rsidR="009B75CB">
        <w:rPr>
          <w:color w:val="000000" w:themeColor="text1"/>
        </w:rPr>
        <w:t>i</w:t>
      </w:r>
      <w:r w:rsidRPr="3ECF1372" w:rsidR="00CF40FE">
        <w:rPr>
          <w:color w:val="000000" w:themeColor="text1"/>
        </w:rPr>
        <w:t>s estimated to be</w:t>
      </w:r>
      <w:r w:rsidRPr="3ECF1372" w:rsidR="0033428C">
        <w:rPr>
          <w:color w:val="000000" w:themeColor="text1"/>
        </w:rPr>
        <w:t xml:space="preserve"> </w:t>
      </w:r>
      <w:r w:rsidRPr="3ECF1372" w:rsidR="009B75CB">
        <w:rPr>
          <w:color w:val="000000" w:themeColor="text1"/>
        </w:rPr>
        <w:t>$25,233,023</w:t>
      </w:r>
      <w:r w:rsidRPr="3ECF1372" w:rsidR="009B78B1">
        <w:rPr>
          <w:color w:val="000000" w:themeColor="text1"/>
        </w:rPr>
        <w:t>,</w:t>
      </w:r>
      <w:r w:rsidRPr="3ECF1372" w:rsidR="00CF40FE">
        <w:rPr>
          <w:color w:val="000000" w:themeColor="text1"/>
        </w:rPr>
        <w:t xml:space="preserve"> which is based on an hourly cost bur</w:t>
      </w:r>
      <w:r w:rsidRPr="3ECF1372" w:rsidR="009B75CB">
        <w:rPr>
          <w:color w:val="000000" w:themeColor="text1"/>
        </w:rPr>
        <w:t>den</w:t>
      </w:r>
      <w:r w:rsidRPr="3ECF1372" w:rsidR="00AA5920">
        <w:rPr>
          <w:color w:val="000000" w:themeColor="text1"/>
        </w:rPr>
        <w:t>.</w:t>
      </w:r>
      <w:r w:rsidRPr="3ECF1372" w:rsidR="00CF40FE">
        <w:rPr>
          <w:color w:val="000000" w:themeColor="text1"/>
        </w:rPr>
        <w:t xml:space="preserve">  </w:t>
      </w:r>
    </w:p>
    <w:p w:rsidR="00174A94" w:rsidRPr="00F77894" w:rsidP="3ECF1372" w14:paraId="6BBE5CA2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0736E6" w:rsidRPr="00F77894" w:rsidP="3ECF1372" w14:paraId="5D90010B" w14:textId="77777777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 xml:space="preserve">Table 1: </w:t>
      </w:r>
    </w:p>
    <w:p w:rsidR="009951CF" w:rsidRPr="00F77894" w:rsidP="3ECF1372" w14:paraId="7884EAB2" w14:textId="77777777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530"/>
        <w:gridCol w:w="1506"/>
        <w:gridCol w:w="1923"/>
        <w:gridCol w:w="2349"/>
      </w:tblGrid>
      <w:tr w14:paraId="200B0CF6" w14:textId="77777777" w:rsidTr="3ECF137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548" w:type="dxa"/>
          </w:tcPr>
          <w:p w:rsidR="00CD38DB" w:rsidRPr="00F77894" w:rsidP="3ECF1372" w14:paraId="1E2C977E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 xml:space="preserve">Component  </w:t>
            </w:r>
          </w:p>
        </w:tc>
        <w:tc>
          <w:tcPr>
            <w:tcW w:w="1530" w:type="dxa"/>
          </w:tcPr>
          <w:p w:rsidR="00CD38DB" w:rsidRPr="00F77894" w:rsidP="3ECF1372" w14:paraId="2FBC74BF" w14:textId="77777777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3ECF1372">
              <w:rPr>
                <w:color w:val="000000" w:themeColor="text1"/>
                <w:sz w:val="22"/>
                <w:szCs w:val="22"/>
              </w:rPr>
              <w:t>Respondents</w:t>
            </w:r>
          </w:p>
        </w:tc>
        <w:tc>
          <w:tcPr>
            <w:tcW w:w="1506" w:type="dxa"/>
          </w:tcPr>
          <w:p w:rsidR="00CD38DB" w:rsidRPr="00F77894" w:rsidP="3ECF1372" w14:paraId="6BD79129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Responses</w:t>
            </w:r>
          </w:p>
        </w:tc>
        <w:tc>
          <w:tcPr>
            <w:tcW w:w="1923" w:type="dxa"/>
          </w:tcPr>
          <w:p w:rsidR="00CD38DB" w:rsidRPr="00F77894" w:rsidP="3ECF1372" w14:paraId="47E8C090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Annual hour</w:t>
            </w:r>
            <w:r w:rsidRPr="3ECF1372" w:rsidR="00511AA6">
              <w:rPr>
                <w:b/>
                <w:bCs/>
                <w:color w:val="000000" w:themeColor="text1"/>
              </w:rPr>
              <w:t xml:space="preserve"> burden</w:t>
            </w:r>
            <w:r w:rsidRPr="3ECF1372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349" w:type="dxa"/>
          </w:tcPr>
          <w:p w:rsidR="00CD38DB" w:rsidRPr="00F77894" w:rsidP="3ECF1372" w14:paraId="47303917" w14:textId="77777777">
            <w:pPr>
              <w:pStyle w:val="Heading2"/>
              <w:jc w:val="center"/>
              <w:rPr>
                <w:color w:val="000000" w:themeColor="text1"/>
                <w:szCs w:val="24"/>
              </w:rPr>
            </w:pPr>
            <w:r w:rsidRPr="3ECF1372">
              <w:rPr>
                <w:color w:val="000000" w:themeColor="text1"/>
                <w:szCs w:val="24"/>
              </w:rPr>
              <w:t>Annual Cost burden</w:t>
            </w:r>
          </w:p>
        </w:tc>
      </w:tr>
      <w:tr w14:paraId="30929E61" w14:textId="77777777" w:rsidTr="3ECF1372">
        <w:tblPrEx>
          <w:tblW w:w="0" w:type="auto"/>
          <w:tblLayout w:type="fixed"/>
          <w:tblLook w:val="0000"/>
        </w:tblPrEx>
        <w:tc>
          <w:tcPr>
            <w:tcW w:w="1548" w:type="dxa"/>
          </w:tcPr>
          <w:p w:rsidR="00CD38DB" w:rsidRPr="00F77894" w:rsidP="3ECF1372" w14:paraId="62FCF888" w14:textId="77777777">
            <w:pPr>
              <w:pStyle w:val="Heading2"/>
              <w:rPr>
                <w:b w:val="0"/>
                <w:bCs w:val="0"/>
                <w:color w:val="000000" w:themeColor="text1"/>
                <w:szCs w:val="24"/>
              </w:rPr>
            </w:pPr>
            <w:r w:rsidRPr="3ECF1372">
              <w:rPr>
                <w:b w:val="0"/>
                <w:bCs w:val="0"/>
                <w:color w:val="000000" w:themeColor="text1"/>
                <w:szCs w:val="24"/>
              </w:rPr>
              <w:t>SEVIS</w:t>
            </w:r>
          </w:p>
        </w:tc>
        <w:tc>
          <w:tcPr>
            <w:tcW w:w="1530" w:type="dxa"/>
          </w:tcPr>
          <w:p w:rsidR="00CD38DB" w:rsidRPr="00F77894" w:rsidP="3ECF1372" w14:paraId="1DD757F8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200</w:t>
            </w:r>
          </w:p>
        </w:tc>
        <w:tc>
          <w:tcPr>
            <w:tcW w:w="1506" w:type="dxa"/>
          </w:tcPr>
          <w:p w:rsidR="00CD38DB" w:rsidRPr="00F77894" w:rsidP="3ECF1372" w14:paraId="69568169" w14:textId="614CF8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20,976</w:t>
            </w:r>
          </w:p>
        </w:tc>
        <w:tc>
          <w:tcPr>
            <w:tcW w:w="1923" w:type="dxa"/>
          </w:tcPr>
          <w:p w:rsidR="00CD38DB" w:rsidRPr="00F77894" w:rsidP="3ECF1372" w14:paraId="36AF7B74" w14:textId="00AEF5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   9,276</w:t>
            </w:r>
          </w:p>
        </w:tc>
        <w:tc>
          <w:tcPr>
            <w:tcW w:w="2349" w:type="dxa"/>
          </w:tcPr>
          <w:p w:rsidR="00355C6F" w:rsidRPr="00F77894" w:rsidP="3ECF1372" w14:paraId="051FD09C" w14:textId="1D9C98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</w:t>
            </w:r>
            <w:r w:rsidRPr="3ECF1372" w:rsidR="00CD38DB">
              <w:rPr>
                <w:color w:val="000000" w:themeColor="text1"/>
              </w:rPr>
              <w:t>$</w:t>
            </w:r>
            <w:r w:rsidRPr="3ECF1372">
              <w:rPr>
                <w:color w:val="000000" w:themeColor="text1"/>
              </w:rPr>
              <w:t>2</w:t>
            </w:r>
            <w:r w:rsidRPr="3ECF1372">
              <w:rPr>
                <w:color w:val="000000" w:themeColor="text1"/>
              </w:rPr>
              <w:t>,881,980</w:t>
            </w:r>
          </w:p>
        </w:tc>
      </w:tr>
      <w:tr w14:paraId="1A09E3E2" w14:textId="77777777" w:rsidTr="3ECF1372">
        <w:tblPrEx>
          <w:tblW w:w="0" w:type="auto"/>
          <w:tblLayout w:type="fixed"/>
          <w:tblLook w:val="0000"/>
        </w:tblPrEx>
        <w:tc>
          <w:tcPr>
            <w:tcW w:w="1548" w:type="dxa"/>
          </w:tcPr>
          <w:p w:rsidR="00CD38DB" w:rsidRPr="00F77894" w:rsidP="3ECF1372" w14:paraId="03D2C170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Non-SEVIS</w:t>
            </w:r>
          </w:p>
        </w:tc>
        <w:tc>
          <w:tcPr>
            <w:tcW w:w="1530" w:type="dxa"/>
          </w:tcPr>
          <w:p w:rsidR="00CD38DB" w:rsidRPr="00F77894" w:rsidP="3ECF1372" w14:paraId="4753A321" w14:textId="689A61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</w:t>
            </w:r>
            <w:r w:rsidRPr="3ECF1372" w:rsidR="00AA5854">
              <w:rPr>
                <w:color w:val="000000" w:themeColor="text1"/>
              </w:rPr>
              <w:t>85,200</w:t>
            </w:r>
          </w:p>
        </w:tc>
        <w:tc>
          <w:tcPr>
            <w:tcW w:w="1506" w:type="dxa"/>
          </w:tcPr>
          <w:p w:rsidR="00CD38DB" w:rsidRPr="00F77894" w:rsidP="3ECF1372" w14:paraId="6EA600BA" w14:textId="5A4266B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1,977,588</w:t>
            </w:r>
          </w:p>
        </w:tc>
        <w:tc>
          <w:tcPr>
            <w:tcW w:w="1923" w:type="dxa"/>
          </w:tcPr>
          <w:p w:rsidR="00CD38DB" w:rsidRPr="00F77894" w:rsidP="3ECF1372" w14:paraId="7176D44E" w14:textId="406B35D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1,799,714</w:t>
            </w:r>
          </w:p>
        </w:tc>
        <w:tc>
          <w:tcPr>
            <w:tcW w:w="2349" w:type="dxa"/>
          </w:tcPr>
          <w:p w:rsidR="00CD38DB" w:rsidRPr="00F77894" w:rsidP="3ECF1372" w14:paraId="76BBB489" w14:textId="40707C3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$</w:t>
            </w:r>
            <w:r w:rsidRPr="3ECF1372" w:rsidR="004D4057">
              <w:rPr>
                <w:color w:val="000000" w:themeColor="text1"/>
              </w:rPr>
              <w:t>22,351,043</w:t>
            </w:r>
          </w:p>
        </w:tc>
      </w:tr>
      <w:tr w14:paraId="283F6201" w14:textId="77777777" w:rsidTr="3ECF1372">
        <w:tblPrEx>
          <w:tblW w:w="0" w:type="auto"/>
          <w:tblLayout w:type="fixed"/>
          <w:tblLook w:val="0000"/>
        </w:tblPrEx>
        <w:tc>
          <w:tcPr>
            <w:tcW w:w="1548" w:type="dxa"/>
          </w:tcPr>
          <w:p w:rsidR="00CD38DB" w:rsidRPr="00F77894" w:rsidP="3ECF1372" w14:paraId="08780F2D" w14:textId="7777777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Totals:</w:t>
            </w:r>
          </w:p>
        </w:tc>
        <w:tc>
          <w:tcPr>
            <w:tcW w:w="1530" w:type="dxa"/>
          </w:tcPr>
          <w:p w:rsidR="00CD38DB" w:rsidRPr="00F77894" w:rsidP="3ECF1372" w14:paraId="00EADC10" w14:textId="0EE60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</w:t>
            </w:r>
            <w:r w:rsidRPr="3ECF1372" w:rsidR="004A6228">
              <w:rPr>
                <w:color w:val="000000" w:themeColor="text1"/>
              </w:rPr>
              <w:t>85</w:t>
            </w:r>
            <w:r w:rsidRPr="3ECF1372" w:rsidR="00C74925">
              <w:rPr>
                <w:color w:val="000000" w:themeColor="text1"/>
              </w:rPr>
              <w:t>,</w:t>
            </w:r>
            <w:r w:rsidRPr="3ECF1372" w:rsidR="00AA5854">
              <w:rPr>
                <w:color w:val="000000" w:themeColor="text1"/>
              </w:rPr>
              <w:t>4</w:t>
            </w:r>
            <w:r w:rsidRPr="3ECF1372" w:rsidR="00C74925">
              <w:rPr>
                <w:color w:val="000000" w:themeColor="text1"/>
              </w:rPr>
              <w:t>00</w:t>
            </w:r>
            <w:r w:rsidRPr="3ECF1372" w:rsidR="009B78B1">
              <w:rPr>
                <w:color w:val="000000" w:themeColor="text1"/>
              </w:rPr>
              <w:t>*</w:t>
            </w:r>
          </w:p>
        </w:tc>
        <w:tc>
          <w:tcPr>
            <w:tcW w:w="1506" w:type="dxa"/>
          </w:tcPr>
          <w:p w:rsidR="004D4057" w:rsidRPr="00F77894" w:rsidP="3ECF1372" w14:paraId="4D08F374" w14:textId="441929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1,998,564</w:t>
            </w:r>
          </w:p>
        </w:tc>
        <w:tc>
          <w:tcPr>
            <w:tcW w:w="1923" w:type="dxa"/>
          </w:tcPr>
          <w:p w:rsidR="004D4057" w:rsidRPr="00F77894" w:rsidP="3ECF1372" w14:paraId="6B709855" w14:textId="144D2A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1,808,990</w:t>
            </w:r>
          </w:p>
        </w:tc>
        <w:tc>
          <w:tcPr>
            <w:tcW w:w="2349" w:type="dxa"/>
          </w:tcPr>
          <w:p w:rsidR="00CD38DB" w:rsidRPr="00F77894" w:rsidP="3ECF1372" w14:paraId="5990EF76" w14:textId="6F549B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bookmarkStart w:id="5" w:name="_Hlk147791612"/>
            <w:r w:rsidRPr="3ECF1372">
              <w:rPr>
                <w:color w:val="000000" w:themeColor="text1"/>
              </w:rPr>
              <w:t>$</w:t>
            </w:r>
            <w:r w:rsidRPr="3ECF1372" w:rsidR="004D4057">
              <w:rPr>
                <w:color w:val="000000" w:themeColor="text1"/>
              </w:rPr>
              <w:t>25,233,023</w:t>
            </w:r>
            <w:bookmarkEnd w:id="5"/>
          </w:p>
        </w:tc>
      </w:tr>
    </w:tbl>
    <w:p w:rsidR="00CD38DB" w:rsidRPr="00F77894" w:rsidP="3ECF1372" w14:paraId="229F7591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(* There is an overlap of respondents for SEVIS and Non-SEVIS component.)</w:t>
      </w:r>
    </w:p>
    <w:p w:rsidR="00CD38DB" w:rsidRPr="00F77894" w:rsidP="3ECF1372" w14:paraId="5A6DEDCD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637596" w:rsidRPr="00F77894" w:rsidP="3ECF1372" w14:paraId="4648BF2B" w14:textId="7131010C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b/>
          <w:bCs/>
          <w:color w:val="000000" w:themeColor="text1"/>
        </w:rPr>
        <w:t>Table 2:</w:t>
      </w:r>
      <w:r w:rsidRPr="3ECF1372" w:rsidR="00920C9B">
        <w:rPr>
          <w:b/>
          <w:bCs/>
          <w:color w:val="000000" w:themeColor="text1"/>
        </w:rPr>
        <w:t xml:space="preserve">  </w:t>
      </w:r>
      <w:r w:rsidRPr="3ECF1372">
        <w:rPr>
          <w:color w:val="000000" w:themeColor="text1"/>
        </w:rPr>
        <w:t>Table 2 below summarizes respondents, responses, hour</w:t>
      </w:r>
      <w:r w:rsidRPr="3ECF1372" w:rsidR="008309D9">
        <w:rPr>
          <w:color w:val="000000" w:themeColor="text1"/>
        </w:rPr>
        <w:t xml:space="preserve"> burden</w:t>
      </w:r>
      <w:r w:rsidRPr="3ECF1372">
        <w:rPr>
          <w:color w:val="000000" w:themeColor="text1"/>
        </w:rPr>
        <w:t xml:space="preserve">, and </w:t>
      </w:r>
      <w:r w:rsidRPr="3ECF1372" w:rsidR="008309D9">
        <w:rPr>
          <w:color w:val="000000" w:themeColor="text1"/>
        </w:rPr>
        <w:t>cost</w:t>
      </w:r>
      <w:r w:rsidRPr="3ECF1372">
        <w:rPr>
          <w:color w:val="000000" w:themeColor="text1"/>
        </w:rPr>
        <w:t xml:space="preserve"> burden for the DS-7000, the DS-3036 and the DS-3037. </w:t>
      </w:r>
    </w:p>
    <w:p w:rsidR="00637596" w:rsidRPr="00F77894" w:rsidP="3ECF1372" w14:paraId="6FDAAB76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0736E6" w:rsidRPr="00F77894" w:rsidP="3ECF1372" w14:paraId="32F0BBB7" w14:textId="3CB995E8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3ECF1372">
        <w:rPr>
          <w:color w:val="000000" w:themeColor="text1"/>
        </w:rPr>
        <w:t xml:space="preserve">The estimate of annual burden for the Exchange Visitor Program </w:t>
      </w:r>
      <w:r w:rsidRPr="3ECF1372" w:rsidR="00D17278">
        <w:rPr>
          <w:color w:val="000000" w:themeColor="text1"/>
        </w:rPr>
        <w:t xml:space="preserve">with all rows added </w:t>
      </w:r>
      <w:r w:rsidRPr="3ECF1372">
        <w:rPr>
          <w:color w:val="000000" w:themeColor="text1"/>
        </w:rPr>
        <w:t xml:space="preserve">is as follows:  </w:t>
      </w:r>
    </w:p>
    <w:p w:rsidR="000736E6" w:rsidRPr="00F77894" w:rsidP="3ECF1372" w14:paraId="585E1A0B" w14:textId="77777777">
      <w:pPr>
        <w:autoSpaceDE w:val="0"/>
        <w:autoSpaceDN w:val="0"/>
        <w:adjustRightInd w:val="0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5"/>
        <w:gridCol w:w="1514"/>
        <w:gridCol w:w="1314"/>
        <w:gridCol w:w="1951"/>
        <w:gridCol w:w="2106"/>
      </w:tblGrid>
      <w:tr w14:paraId="6271A507" w14:textId="77777777" w:rsidTr="3ECF137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1772" w:type="dxa"/>
          </w:tcPr>
          <w:p w:rsidR="00511AA6" w:rsidRPr="00F77894" w:rsidP="3ECF1372" w14:paraId="2D1A0B89" w14:textId="77777777">
            <w:pPr>
              <w:pStyle w:val="Heading2"/>
              <w:rPr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1523" w:type="dxa"/>
          </w:tcPr>
          <w:p w:rsidR="00511AA6" w:rsidRPr="00F77894" w:rsidP="3ECF1372" w14:paraId="5B39640E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DS-7000</w:t>
            </w:r>
          </w:p>
        </w:tc>
        <w:tc>
          <w:tcPr>
            <w:tcW w:w="1343" w:type="dxa"/>
          </w:tcPr>
          <w:p w:rsidR="00511AA6" w:rsidRPr="00F77894" w:rsidP="3ECF1372" w14:paraId="43C04C65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DS-3036</w:t>
            </w:r>
          </w:p>
        </w:tc>
        <w:tc>
          <w:tcPr>
            <w:tcW w:w="2038" w:type="dxa"/>
          </w:tcPr>
          <w:p w:rsidR="00511AA6" w:rsidRPr="00F77894" w:rsidP="3ECF1372" w14:paraId="433F9A54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DS-3037</w:t>
            </w:r>
          </w:p>
        </w:tc>
        <w:tc>
          <w:tcPr>
            <w:tcW w:w="2180" w:type="dxa"/>
          </w:tcPr>
          <w:p w:rsidR="00511AA6" w:rsidRPr="00F77894" w:rsidP="3ECF1372" w14:paraId="7A1067F9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3ECF1372">
              <w:rPr>
                <w:b/>
                <w:bCs/>
                <w:color w:val="000000" w:themeColor="text1"/>
              </w:rPr>
              <w:t>Total</w:t>
            </w:r>
          </w:p>
        </w:tc>
      </w:tr>
      <w:tr w14:paraId="72204002" w14:textId="77777777" w:rsidTr="3ECF1372">
        <w:tblPrEx>
          <w:tblW w:w="0" w:type="auto"/>
          <w:tblLook w:val="0000"/>
        </w:tblPrEx>
        <w:tc>
          <w:tcPr>
            <w:tcW w:w="1772" w:type="dxa"/>
          </w:tcPr>
          <w:p w:rsidR="00511AA6" w:rsidRPr="00F77894" w:rsidP="3ECF1372" w14:paraId="3CD4FB33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Respondents</w:t>
            </w:r>
          </w:p>
        </w:tc>
        <w:tc>
          <w:tcPr>
            <w:tcW w:w="1523" w:type="dxa"/>
          </w:tcPr>
          <w:p w:rsidR="00511AA6" w:rsidRPr="00F77894" w:rsidP="3ECF1372" w14:paraId="51B59E74" w14:textId="1FF1D5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</w:t>
            </w:r>
            <w:r w:rsidRPr="3ECF1372">
              <w:rPr>
                <w:color w:val="000000" w:themeColor="text1"/>
              </w:rPr>
              <w:t>1</w:t>
            </w:r>
            <w:r w:rsidRPr="3ECF1372" w:rsidR="00AA5854">
              <w:rPr>
                <w:color w:val="000000" w:themeColor="text1"/>
              </w:rPr>
              <w:t>85</w:t>
            </w:r>
            <w:r w:rsidRPr="3ECF1372" w:rsidR="00646B07">
              <w:rPr>
                <w:color w:val="000000" w:themeColor="text1"/>
              </w:rPr>
              <w:t>,</w:t>
            </w:r>
            <w:r w:rsidRPr="3ECF1372" w:rsidR="00AA5854">
              <w:rPr>
                <w:color w:val="000000" w:themeColor="text1"/>
              </w:rPr>
              <w:t>4</w:t>
            </w:r>
            <w:r w:rsidRPr="3ECF1372" w:rsidR="00646B07">
              <w:rPr>
                <w:color w:val="000000" w:themeColor="text1"/>
              </w:rPr>
              <w:t>00</w:t>
            </w:r>
          </w:p>
        </w:tc>
        <w:tc>
          <w:tcPr>
            <w:tcW w:w="1343" w:type="dxa"/>
          </w:tcPr>
          <w:p w:rsidR="00511AA6" w:rsidRPr="00F77894" w:rsidP="3ECF1372" w14:paraId="3F8CBA8E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60</w:t>
            </w:r>
          </w:p>
        </w:tc>
        <w:tc>
          <w:tcPr>
            <w:tcW w:w="2038" w:type="dxa"/>
          </w:tcPr>
          <w:p w:rsidR="00511AA6" w:rsidRPr="00F77894" w:rsidP="3ECF1372" w14:paraId="14DDC171" w14:textId="434DB0B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</w:t>
            </w:r>
            <w:r w:rsidRPr="3ECF1372">
              <w:rPr>
                <w:color w:val="000000" w:themeColor="text1"/>
              </w:rPr>
              <w:t>1,4</w:t>
            </w:r>
            <w:r w:rsidRPr="3ECF1372" w:rsidR="00B97621">
              <w:rPr>
                <w:color w:val="000000" w:themeColor="text1"/>
              </w:rPr>
              <w:t>5</w:t>
            </w:r>
            <w:r w:rsidRPr="3ECF1372" w:rsidR="00355C6F">
              <w:rPr>
                <w:color w:val="000000" w:themeColor="text1"/>
              </w:rPr>
              <w:t>0</w:t>
            </w:r>
          </w:p>
        </w:tc>
        <w:tc>
          <w:tcPr>
            <w:tcW w:w="2180" w:type="dxa"/>
          </w:tcPr>
          <w:p w:rsidR="00511AA6" w:rsidRPr="00F77894" w:rsidP="3ECF1372" w14:paraId="1A52B617" w14:textId="4FA81BB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1</w:t>
            </w:r>
            <w:r w:rsidRPr="3ECF1372" w:rsidR="00AA5854">
              <w:rPr>
                <w:color w:val="000000" w:themeColor="text1"/>
              </w:rPr>
              <w:t>86,910</w:t>
            </w:r>
          </w:p>
        </w:tc>
      </w:tr>
      <w:tr w14:paraId="033E5E8C" w14:textId="77777777" w:rsidTr="3ECF1372">
        <w:tblPrEx>
          <w:tblW w:w="0" w:type="auto"/>
          <w:tblLook w:val="0000"/>
        </w:tblPrEx>
        <w:tc>
          <w:tcPr>
            <w:tcW w:w="1772" w:type="dxa"/>
          </w:tcPr>
          <w:p w:rsidR="00511AA6" w:rsidRPr="00F77894" w:rsidP="3ECF1372" w14:paraId="5A447AA5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Responses</w:t>
            </w:r>
          </w:p>
        </w:tc>
        <w:tc>
          <w:tcPr>
            <w:tcW w:w="1523" w:type="dxa"/>
          </w:tcPr>
          <w:p w:rsidR="00511AA6" w:rsidRPr="00F77894" w:rsidP="3ECF1372" w14:paraId="1021F7C4" w14:textId="5998695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1,998,564</w:t>
            </w:r>
          </w:p>
        </w:tc>
        <w:tc>
          <w:tcPr>
            <w:tcW w:w="1343" w:type="dxa"/>
          </w:tcPr>
          <w:p w:rsidR="00511AA6" w:rsidRPr="00F77894" w:rsidP="3ECF1372" w14:paraId="022ADC4B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60</w:t>
            </w:r>
          </w:p>
        </w:tc>
        <w:tc>
          <w:tcPr>
            <w:tcW w:w="2038" w:type="dxa"/>
          </w:tcPr>
          <w:p w:rsidR="00511AA6" w:rsidRPr="00F77894" w:rsidP="3ECF1372" w14:paraId="4151E4AA" w14:textId="64C06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</w:t>
            </w:r>
            <w:r w:rsidRPr="3ECF1372">
              <w:rPr>
                <w:color w:val="000000" w:themeColor="text1"/>
              </w:rPr>
              <w:t>2,</w:t>
            </w:r>
            <w:r w:rsidRPr="3ECF1372" w:rsidR="00B97621">
              <w:rPr>
                <w:color w:val="000000" w:themeColor="text1"/>
              </w:rPr>
              <w:t>900</w:t>
            </w:r>
          </w:p>
        </w:tc>
        <w:tc>
          <w:tcPr>
            <w:tcW w:w="2180" w:type="dxa"/>
          </w:tcPr>
          <w:p w:rsidR="00511AA6" w:rsidRPr="00F77894" w:rsidP="3ECF1372" w14:paraId="7DBE292B" w14:textId="77F63E1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2</w:t>
            </w:r>
            <w:r w:rsidRPr="3ECF1372" w:rsidR="00C233EF">
              <w:rPr>
                <w:color w:val="000000" w:themeColor="text1"/>
              </w:rPr>
              <w:t>,001,</w:t>
            </w:r>
            <w:r w:rsidRPr="3ECF1372" w:rsidR="00B97621">
              <w:rPr>
                <w:color w:val="000000" w:themeColor="text1"/>
              </w:rPr>
              <w:t>524</w:t>
            </w:r>
          </w:p>
        </w:tc>
      </w:tr>
      <w:tr w14:paraId="2B1BCA19" w14:textId="77777777" w:rsidTr="3ECF1372">
        <w:tblPrEx>
          <w:tblW w:w="0" w:type="auto"/>
          <w:tblLook w:val="0000"/>
        </w:tblPrEx>
        <w:tc>
          <w:tcPr>
            <w:tcW w:w="1772" w:type="dxa"/>
          </w:tcPr>
          <w:p w:rsidR="00511AA6" w:rsidRPr="00F77894" w:rsidP="3ECF1372" w14:paraId="0ABDC128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Hour</w:t>
            </w:r>
            <w:r w:rsidRPr="3ECF1372" w:rsidR="00637596">
              <w:rPr>
                <w:color w:val="000000" w:themeColor="text1"/>
              </w:rPr>
              <w:t xml:space="preserve"> burden</w:t>
            </w:r>
          </w:p>
        </w:tc>
        <w:tc>
          <w:tcPr>
            <w:tcW w:w="1523" w:type="dxa"/>
          </w:tcPr>
          <w:p w:rsidR="00511AA6" w:rsidRPr="00F77894" w:rsidP="3ECF1372" w14:paraId="2CA7DA06" w14:textId="492FCCC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1,</w:t>
            </w:r>
            <w:r w:rsidRPr="3ECF1372" w:rsidR="00AA5854">
              <w:rPr>
                <w:color w:val="000000" w:themeColor="text1"/>
              </w:rPr>
              <w:t>986</w:t>
            </w:r>
            <w:r w:rsidRPr="3ECF1372">
              <w:rPr>
                <w:color w:val="000000" w:themeColor="text1"/>
              </w:rPr>
              <w:t>,</w:t>
            </w:r>
            <w:r w:rsidRPr="3ECF1372" w:rsidR="00AA5854">
              <w:rPr>
                <w:color w:val="000000" w:themeColor="text1"/>
              </w:rPr>
              <w:t>8</w:t>
            </w:r>
            <w:r w:rsidRPr="3ECF1372" w:rsidR="00997964">
              <w:rPr>
                <w:color w:val="000000" w:themeColor="text1"/>
              </w:rPr>
              <w:t>63</w:t>
            </w:r>
          </w:p>
        </w:tc>
        <w:tc>
          <w:tcPr>
            <w:tcW w:w="1343" w:type="dxa"/>
          </w:tcPr>
          <w:p w:rsidR="00511AA6" w:rsidRPr="00F77894" w:rsidP="3ECF1372" w14:paraId="3E63F562" w14:textId="53B1665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</w:t>
            </w:r>
            <w:r w:rsidRPr="3ECF1372" w:rsidR="00601A75">
              <w:rPr>
                <w:color w:val="000000" w:themeColor="text1"/>
              </w:rPr>
              <w:t xml:space="preserve">  </w:t>
            </w:r>
            <w:r w:rsidRPr="3ECF1372">
              <w:rPr>
                <w:color w:val="000000" w:themeColor="text1"/>
              </w:rPr>
              <w:t>480</w:t>
            </w:r>
          </w:p>
        </w:tc>
        <w:tc>
          <w:tcPr>
            <w:tcW w:w="2038" w:type="dxa"/>
          </w:tcPr>
          <w:p w:rsidR="00511AA6" w:rsidRPr="00F77894" w:rsidP="3ECF1372" w14:paraId="1BC979B2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943</w:t>
            </w:r>
          </w:p>
        </w:tc>
        <w:tc>
          <w:tcPr>
            <w:tcW w:w="2180" w:type="dxa"/>
          </w:tcPr>
          <w:p w:rsidR="00997964" w:rsidRPr="00F77894" w:rsidP="3ECF1372" w14:paraId="1B4E6F98" w14:textId="62B9631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    </w:t>
            </w:r>
            <w:r w:rsidRPr="3ECF1372" w:rsidR="003D77DB">
              <w:rPr>
                <w:color w:val="000000" w:themeColor="text1"/>
              </w:rPr>
              <w:t xml:space="preserve"> </w:t>
            </w:r>
            <w:r w:rsidRPr="3ECF1372" w:rsidR="00C233EF">
              <w:rPr>
                <w:color w:val="000000" w:themeColor="text1"/>
              </w:rPr>
              <w:t>1,</w:t>
            </w:r>
            <w:r w:rsidRPr="3ECF1372">
              <w:rPr>
                <w:color w:val="000000" w:themeColor="text1"/>
              </w:rPr>
              <w:t>988,286</w:t>
            </w:r>
          </w:p>
        </w:tc>
      </w:tr>
      <w:tr w14:paraId="1A40B738" w14:textId="77777777" w:rsidTr="3ECF1372">
        <w:tblPrEx>
          <w:tblW w:w="0" w:type="auto"/>
          <w:tblLook w:val="0000"/>
        </w:tblPrEx>
        <w:tc>
          <w:tcPr>
            <w:tcW w:w="1772" w:type="dxa"/>
          </w:tcPr>
          <w:p w:rsidR="00511AA6" w:rsidRPr="00F77894" w:rsidP="3ECF1372" w14:paraId="6424FD8B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Cost</w:t>
            </w:r>
            <w:r w:rsidRPr="3ECF1372">
              <w:rPr>
                <w:color w:val="000000" w:themeColor="text1"/>
              </w:rPr>
              <w:t xml:space="preserve"> burden</w:t>
            </w:r>
          </w:p>
        </w:tc>
        <w:tc>
          <w:tcPr>
            <w:tcW w:w="1523" w:type="dxa"/>
          </w:tcPr>
          <w:p w:rsidR="00511AA6" w:rsidRPr="00F77894" w:rsidP="3ECF1372" w14:paraId="7A1F9CE0" w14:textId="42FFEFF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$</w:t>
            </w:r>
            <w:r w:rsidRPr="3ECF1372" w:rsidR="0027077E">
              <w:rPr>
                <w:color w:val="000000" w:themeColor="text1"/>
              </w:rPr>
              <w:t>25,233,023</w:t>
            </w:r>
          </w:p>
        </w:tc>
        <w:tc>
          <w:tcPr>
            <w:tcW w:w="1343" w:type="dxa"/>
          </w:tcPr>
          <w:p w:rsidR="00511AA6" w:rsidRPr="00F77894" w:rsidP="3ECF1372" w14:paraId="29D24658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$15,120</w:t>
            </w:r>
          </w:p>
        </w:tc>
        <w:tc>
          <w:tcPr>
            <w:tcW w:w="2038" w:type="dxa"/>
          </w:tcPr>
          <w:p w:rsidR="00641487" w:rsidRPr="00F77894" w:rsidP="3ECF1372" w14:paraId="02E1794F" w14:textId="48A468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>$20,705</w:t>
            </w:r>
          </w:p>
        </w:tc>
        <w:tc>
          <w:tcPr>
            <w:tcW w:w="2180" w:type="dxa"/>
          </w:tcPr>
          <w:p w:rsidR="00511AA6" w:rsidRPr="00F77894" w:rsidP="3ECF1372" w14:paraId="1EF78F49" w14:textId="3271E1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3ECF1372">
              <w:rPr>
                <w:color w:val="000000" w:themeColor="text1"/>
              </w:rPr>
              <w:t xml:space="preserve">     </w:t>
            </w:r>
            <w:r w:rsidRPr="3ECF1372" w:rsidR="003D77DB">
              <w:rPr>
                <w:color w:val="000000" w:themeColor="text1"/>
              </w:rPr>
              <w:t xml:space="preserve">   </w:t>
            </w:r>
            <w:r w:rsidRPr="3ECF1372" w:rsidR="00641487">
              <w:rPr>
                <w:color w:val="000000" w:themeColor="text1"/>
              </w:rPr>
              <w:t>25,268,848</w:t>
            </w:r>
          </w:p>
        </w:tc>
      </w:tr>
    </w:tbl>
    <w:p w:rsidR="00511AA6" w:rsidRPr="00F77894" w:rsidP="3ECF1372" w14:paraId="3FC1A5B4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E06809" w:rsidRPr="00F77894" w:rsidP="3ECF1372" w14:paraId="5D142EF8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E5A93" w:rsidRPr="00F77894" w:rsidP="3ECF1372" w14:paraId="6A5AD428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14.  The cost incurred by the De</w:t>
      </w:r>
      <w:r w:rsidRPr="3ECF1372" w:rsidR="00757D33">
        <w:rPr>
          <w:color w:val="000000" w:themeColor="text1"/>
        </w:rPr>
        <w:t xml:space="preserve">partment is </w:t>
      </w:r>
      <w:r w:rsidRPr="3ECF1372">
        <w:rPr>
          <w:color w:val="000000" w:themeColor="text1"/>
        </w:rPr>
        <w:t xml:space="preserve">the time of staff necessary to review and analyze requests and in maintaining information </w:t>
      </w:r>
      <w:r w:rsidRPr="3ECF1372" w:rsidR="00757D33">
        <w:rPr>
          <w:color w:val="000000" w:themeColor="text1"/>
        </w:rPr>
        <w:t>in office files</w:t>
      </w:r>
      <w:r w:rsidRPr="3ECF1372">
        <w:rPr>
          <w:color w:val="000000" w:themeColor="text1"/>
        </w:rPr>
        <w:t>.</w:t>
      </w:r>
    </w:p>
    <w:p w:rsidR="00FE5A93" w:rsidRPr="00F77894" w:rsidP="3ECF1372" w14:paraId="3989EA3C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C16690" w:rsidRPr="00F77894" w:rsidP="3ECF1372" w14:paraId="7AEBC241" w14:textId="3F98AC06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The estimated cost to the Federal Go</w:t>
      </w:r>
      <w:r w:rsidRPr="3ECF1372" w:rsidR="002A5147">
        <w:rPr>
          <w:color w:val="000000" w:themeColor="text1"/>
        </w:rPr>
        <w:t>vernment is approximately $</w:t>
      </w:r>
      <w:r w:rsidRPr="3ECF1372" w:rsidR="002B6471">
        <w:rPr>
          <w:color w:val="000000" w:themeColor="text1"/>
        </w:rPr>
        <w:t>288,</w:t>
      </w:r>
      <w:r w:rsidRPr="3ECF1372" w:rsidR="00154FB9">
        <w:rPr>
          <w:color w:val="000000" w:themeColor="text1"/>
        </w:rPr>
        <w:t>645</w:t>
      </w:r>
      <w:r w:rsidRPr="3ECF1372" w:rsidR="002B6471">
        <w:rPr>
          <w:color w:val="000000" w:themeColor="text1"/>
        </w:rPr>
        <w:t>.0</w:t>
      </w:r>
      <w:r w:rsidRPr="3ECF1372" w:rsidR="002A5147">
        <w:rPr>
          <w:color w:val="000000" w:themeColor="text1"/>
        </w:rPr>
        <w:t>0</w:t>
      </w:r>
      <w:r w:rsidRPr="3ECF1372">
        <w:rPr>
          <w:color w:val="000000" w:themeColor="text1"/>
        </w:rPr>
        <w:t>.  This estimate is based on the number of responses (</w:t>
      </w:r>
      <w:r w:rsidRPr="3ECF1372" w:rsidR="00C0305E">
        <w:rPr>
          <w:color w:val="000000" w:themeColor="text1"/>
        </w:rPr>
        <w:t xml:space="preserve">DS-3036 – </w:t>
      </w:r>
      <w:r w:rsidRPr="3ECF1372" w:rsidR="00C6092F">
        <w:rPr>
          <w:color w:val="000000" w:themeColor="text1"/>
        </w:rPr>
        <w:t>60</w:t>
      </w:r>
      <w:r w:rsidRPr="3ECF1372" w:rsidR="00C0305E">
        <w:rPr>
          <w:color w:val="000000" w:themeColor="text1"/>
        </w:rPr>
        <w:t>; DS-3</w:t>
      </w:r>
      <w:r w:rsidRPr="3ECF1372" w:rsidR="00C6092F">
        <w:rPr>
          <w:color w:val="000000" w:themeColor="text1"/>
        </w:rPr>
        <w:t>037</w:t>
      </w:r>
      <w:r w:rsidRPr="3ECF1372" w:rsidR="00C0305E">
        <w:rPr>
          <w:color w:val="000000" w:themeColor="text1"/>
        </w:rPr>
        <w:t xml:space="preserve"> </w:t>
      </w:r>
      <w:r w:rsidRPr="3ECF1372" w:rsidR="001072BA">
        <w:rPr>
          <w:color w:val="000000" w:themeColor="text1"/>
        </w:rPr>
        <w:t>–</w:t>
      </w:r>
      <w:r w:rsidRPr="3ECF1372" w:rsidR="00C0305E">
        <w:rPr>
          <w:color w:val="000000" w:themeColor="text1"/>
        </w:rPr>
        <w:t xml:space="preserve"> </w:t>
      </w:r>
      <w:r w:rsidRPr="3ECF1372" w:rsidR="001072BA">
        <w:rPr>
          <w:color w:val="000000" w:themeColor="text1"/>
        </w:rPr>
        <w:t>2,830</w:t>
      </w:r>
      <w:r w:rsidRPr="3ECF1372">
        <w:rPr>
          <w:color w:val="000000" w:themeColor="text1"/>
        </w:rPr>
        <w:t>),</w:t>
      </w:r>
      <w:r w:rsidRPr="3ECF1372" w:rsidR="00C0305E">
        <w:rPr>
          <w:color w:val="000000" w:themeColor="text1"/>
        </w:rPr>
        <w:t xml:space="preserve"> </w:t>
      </w:r>
      <w:r w:rsidRPr="3ECF1372">
        <w:rPr>
          <w:color w:val="000000" w:themeColor="text1"/>
        </w:rPr>
        <w:t>the average hourly processing time (</w:t>
      </w:r>
      <w:r w:rsidRPr="3ECF1372" w:rsidR="00C0305E">
        <w:rPr>
          <w:color w:val="000000" w:themeColor="text1"/>
        </w:rPr>
        <w:t>DS-3036 - 4</w:t>
      </w:r>
      <w:r w:rsidRPr="3ECF1372">
        <w:rPr>
          <w:color w:val="000000" w:themeColor="text1"/>
        </w:rPr>
        <w:t xml:space="preserve"> hours</w:t>
      </w:r>
      <w:r w:rsidRPr="3ECF1372" w:rsidR="00C0305E">
        <w:rPr>
          <w:color w:val="000000" w:themeColor="text1"/>
        </w:rPr>
        <w:t xml:space="preserve">; DS-3037 – </w:t>
      </w:r>
      <w:r w:rsidRPr="3ECF1372" w:rsidR="004F065C">
        <w:rPr>
          <w:color w:val="000000" w:themeColor="text1"/>
        </w:rPr>
        <w:t>2</w:t>
      </w:r>
      <w:r w:rsidRPr="3ECF1372" w:rsidR="00C0305E">
        <w:rPr>
          <w:color w:val="000000" w:themeColor="text1"/>
        </w:rPr>
        <w:t>0 min.</w:t>
      </w:r>
      <w:r w:rsidRPr="3ECF1372">
        <w:rPr>
          <w:color w:val="000000" w:themeColor="text1"/>
        </w:rPr>
        <w:t xml:space="preserve">), </w:t>
      </w:r>
      <w:r w:rsidRPr="3ECF1372" w:rsidR="00C0305E">
        <w:rPr>
          <w:color w:val="000000" w:themeColor="text1"/>
        </w:rPr>
        <w:t xml:space="preserve">and </w:t>
      </w:r>
      <w:r w:rsidRPr="3ECF1372">
        <w:rPr>
          <w:color w:val="000000" w:themeColor="text1"/>
        </w:rPr>
        <w:t>the average hourly salary (</w:t>
      </w:r>
      <w:r w:rsidRPr="3ECF1372" w:rsidR="0002745F">
        <w:rPr>
          <w:color w:val="000000" w:themeColor="text1"/>
        </w:rPr>
        <w:t xml:space="preserve">DS-3036 - </w:t>
      </w:r>
      <w:r w:rsidRPr="3ECF1372">
        <w:rPr>
          <w:color w:val="000000" w:themeColor="text1"/>
        </w:rPr>
        <w:t>GS-1</w:t>
      </w:r>
      <w:r w:rsidRPr="3ECF1372" w:rsidR="00C0305E">
        <w:rPr>
          <w:color w:val="000000" w:themeColor="text1"/>
        </w:rPr>
        <w:t>3</w:t>
      </w:r>
      <w:r w:rsidRPr="3ECF1372">
        <w:rPr>
          <w:color w:val="000000" w:themeColor="text1"/>
        </w:rPr>
        <w:t>/</w:t>
      </w:r>
      <w:r w:rsidRPr="3ECF1372" w:rsidR="004F065C">
        <w:rPr>
          <w:color w:val="000000" w:themeColor="text1"/>
        </w:rPr>
        <w:t>5</w:t>
      </w:r>
      <w:r w:rsidRPr="3ECF1372">
        <w:rPr>
          <w:color w:val="000000" w:themeColor="text1"/>
        </w:rPr>
        <w:t xml:space="preserve"> $</w:t>
      </w:r>
      <w:r w:rsidRPr="3ECF1372" w:rsidR="00C0305E">
        <w:rPr>
          <w:color w:val="000000" w:themeColor="text1"/>
        </w:rPr>
        <w:t>4</w:t>
      </w:r>
      <w:r w:rsidRPr="3ECF1372" w:rsidR="004F065C">
        <w:rPr>
          <w:color w:val="000000" w:themeColor="text1"/>
        </w:rPr>
        <w:t>4</w:t>
      </w:r>
      <w:r w:rsidRPr="3ECF1372">
        <w:rPr>
          <w:color w:val="000000" w:themeColor="text1"/>
        </w:rPr>
        <w:t>.</w:t>
      </w:r>
      <w:r w:rsidRPr="3ECF1372" w:rsidR="00C0305E">
        <w:rPr>
          <w:color w:val="000000" w:themeColor="text1"/>
        </w:rPr>
        <w:t>00</w:t>
      </w:r>
      <w:r w:rsidRPr="3ECF1372" w:rsidR="00350998">
        <w:rPr>
          <w:color w:val="000000" w:themeColor="text1"/>
        </w:rPr>
        <w:t xml:space="preserve"> x 1.4 = $61.60</w:t>
      </w:r>
      <w:r w:rsidRPr="3ECF1372" w:rsidR="0002745F">
        <w:rPr>
          <w:color w:val="000000" w:themeColor="text1"/>
        </w:rPr>
        <w:t>; DS-3037 – GS-9 $25.00 x 1.4 = $35.00</w:t>
      </w:r>
      <w:r w:rsidRPr="3ECF1372">
        <w:rPr>
          <w:color w:val="000000" w:themeColor="text1"/>
        </w:rPr>
        <w:t>)</w:t>
      </w:r>
      <w:r w:rsidRPr="3ECF1372" w:rsidR="00C0305E">
        <w:rPr>
          <w:color w:val="000000" w:themeColor="text1"/>
        </w:rPr>
        <w:t>.</w:t>
      </w:r>
      <w:r w:rsidRPr="3ECF1372">
        <w:rPr>
          <w:color w:val="000000" w:themeColor="text1"/>
        </w:rPr>
        <w:t xml:space="preserve">  </w:t>
      </w:r>
      <w:r w:rsidRPr="3ECF1372" w:rsidR="00731C1F">
        <w:rPr>
          <w:color w:val="000000" w:themeColor="text1"/>
        </w:rPr>
        <w:t>The wage cost for Form DS-3036 is $14,784.00 (</w:t>
      </w:r>
      <w:r w:rsidRPr="3ECF1372" w:rsidR="00E50633">
        <w:rPr>
          <w:color w:val="000000" w:themeColor="text1"/>
        </w:rPr>
        <w:t xml:space="preserve">60 </w:t>
      </w:r>
      <w:r w:rsidRPr="3ECF1372">
        <w:rPr>
          <w:color w:val="000000" w:themeColor="text1"/>
        </w:rPr>
        <w:t xml:space="preserve">respondent times </w:t>
      </w:r>
      <w:r w:rsidRPr="3ECF1372" w:rsidR="00C0305E">
        <w:rPr>
          <w:color w:val="000000" w:themeColor="text1"/>
        </w:rPr>
        <w:t>4</w:t>
      </w:r>
      <w:r w:rsidRPr="3ECF1372">
        <w:rPr>
          <w:color w:val="000000" w:themeColor="text1"/>
        </w:rPr>
        <w:t xml:space="preserve"> hours equals </w:t>
      </w:r>
      <w:r w:rsidRPr="3ECF1372" w:rsidR="00E50633">
        <w:rPr>
          <w:color w:val="000000" w:themeColor="text1"/>
        </w:rPr>
        <w:t>240</w:t>
      </w:r>
      <w:r w:rsidRPr="3ECF1372">
        <w:rPr>
          <w:color w:val="000000" w:themeColor="text1"/>
        </w:rPr>
        <w:t>, times $</w:t>
      </w:r>
      <w:r w:rsidRPr="3ECF1372" w:rsidR="00350998">
        <w:rPr>
          <w:color w:val="000000" w:themeColor="text1"/>
        </w:rPr>
        <w:t>61.60</w:t>
      </w:r>
      <w:r w:rsidRPr="3ECF1372" w:rsidR="00731C1F">
        <w:rPr>
          <w:color w:val="000000" w:themeColor="text1"/>
        </w:rPr>
        <w:t>)</w:t>
      </w:r>
      <w:r w:rsidRPr="3ECF1372">
        <w:rPr>
          <w:color w:val="000000" w:themeColor="text1"/>
        </w:rPr>
        <w:t>.</w:t>
      </w:r>
      <w:r w:rsidRPr="3ECF1372" w:rsidR="00EF2A2B">
        <w:rPr>
          <w:color w:val="000000" w:themeColor="text1"/>
        </w:rPr>
        <w:t xml:space="preserve">  There is an application fee of $3,982.00 for an organization to complete and file an application for designation as an Exchange Visitor Program sponsor (DS-3036)</w:t>
      </w:r>
      <w:r w:rsidRPr="3ECF1372" w:rsidR="00350998">
        <w:rPr>
          <w:color w:val="000000" w:themeColor="text1"/>
        </w:rPr>
        <w:t xml:space="preserve"> which results in a total cost of $238,920.00 ($3,982.00 x 60 respondents)</w:t>
      </w:r>
      <w:r w:rsidRPr="3ECF1372" w:rsidR="00EF2A2B">
        <w:rPr>
          <w:color w:val="000000" w:themeColor="text1"/>
        </w:rPr>
        <w:t xml:space="preserve">.  </w:t>
      </w:r>
      <w:r w:rsidRPr="3ECF1372" w:rsidR="002B6471">
        <w:rPr>
          <w:color w:val="000000" w:themeColor="text1"/>
        </w:rPr>
        <w:t>The printing costs</w:t>
      </w:r>
      <w:r w:rsidRPr="3ECF1372" w:rsidR="00E7559A">
        <w:rPr>
          <w:color w:val="000000" w:themeColor="text1"/>
        </w:rPr>
        <w:t xml:space="preserve"> for paper formats </w:t>
      </w:r>
      <w:r w:rsidRPr="3ECF1372" w:rsidR="002B6471">
        <w:rPr>
          <w:color w:val="000000" w:themeColor="text1"/>
        </w:rPr>
        <w:t>are $1,200.00 (60 responses x $20).  The total cost for Form DS-3036 is $</w:t>
      </w:r>
      <w:r w:rsidRPr="3ECF1372" w:rsidR="0016273C">
        <w:rPr>
          <w:color w:val="000000" w:themeColor="text1"/>
        </w:rPr>
        <w:t>254,904</w:t>
      </w:r>
      <w:r w:rsidRPr="3ECF1372" w:rsidR="002B6471">
        <w:rPr>
          <w:color w:val="000000" w:themeColor="text1"/>
        </w:rPr>
        <w:t xml:space="preserve">.00 ($14,784 wages + </w:t>
      </w:r>
      <w:r w:rsidRPr="3ECF1372" w:rsidR="0016273C">
        <w:rPr>
          <w:color w:val="000000" w:themeColor="text1"/>
        </w:rPr>
        <w:t>$238,920 +</w:t>
      </w:r>
      <w:r w:rsidRPr="3ECF1372" w:rsidR="002B6471">
        <w:rPr>
          <w:color w:val="000000" w:themeColor="text1"/>
        </w:rPr>
        <w:t xml:space="preserve">$1,200 </w:t>
      </w:r>
      <w:r w:rsidRPr="3ECF1372" w:rsidR="009539F9">
        <w:rPr>
          <w:color w:val="000000" w:themeColor="text1"/>
        </w:rPr>
        <w:t>other</w:t>
      </w:r>
      <w:r w:rsidRPr="3ECF1372" w:rsidR="002B6471">
        <w:rPr>
          <w:color w:val="000000" w:themeColor="text1"/>
        </w:rPr>
        <w:t xml:space="preserve"> </w:t>
      </w:r>
      <w:r w:rsidRPr="3ECF1372" w:rsidR="003A1164">
        <w:rPr>
          <w:color w:val="000000" w:themeColor="text1"/>
        </w:rPr>
        <w:t xml:space="preserve">misc. </w:t>
      </w:r>
      <w:r w:rsidRPr="3ECF1372" w:rsidR="002B6471">
        <w:rPr>
          <w:color w:val="000000" w:themeColor="text1"/>
        </w:rPr>
        <w:t xml:space="preserve">costs).  </w:t>
      </w:r>
      <w:r w:rsidRPr="3ECF1372" w:rsidR="00EF2A2B">
        <w:rPr>
          <w:color w:val="000000" w:themeColor="text1"/>
        </w:rPr>
        <w:t xml:space="preserve"> </w:t>
      </w:r>
      <w:r w:rsidRPr="3ECF1372" w:rsidR="002B6471">
        <w:rPr>
          <w:color w:val="000000" w:themeColor="text1"/>
        </w:rPr>
        <w:t>The wage cost for Form DS-3037 is $3</w:t>
      </w:r>
      <w:r w:rsidRPr="3ECF1372" w:rsidR="00A3215C">
        <w:rPr>
          <w:color w:val="000000" w:themeColor="text1"/>
        </w:rPr>
        <w:t>3</w:t>
      </w:r>
      <w:r w:rsidRPr="3ECF1372" w:rsidR="002B6471">
        <w:rPr>
          <w:color w:val="000000" w:themeColor="text1"/>
        </w:rPr>
        <w:t>,</w:t>
      </w:r>
      <w:r w:rsidRPr="3ECF1372" w:rsidR="00DB4651">
        <w:rPr>
          <w:color w:val="000000" w:themeColor="text1"/>
        </w:rPr>
        <w:t>8</w:t>
      </w:r>
      <w:r w:rsidRPr="3ECF1372" w:rsidR="00482FAD">
        <w:rPr>
          <w:color w:val="000000" w:themeColor="text1"/>
        </w:rPr>
        <w:t>10</w:t>
      </w:r>
      <w:r w:rsidRPr="3ECF1372" w:rsidR="006F05C9">
        <w:rPr>
          <w:color w:val="000000" w:themeColor="text1"/>
        </w:rPr>
        <w:t xml:space="preserve"> </w:t>
      </w:r>
      <w:r w:rsidRPr="3ECF1372" w:rsidR="002B6471">
        <w:rPr>
          <w:color w:val="000000" w:themeColor="text1"/>
        </w:rPr>
        <w:t>(14</w:t>
      </w:r>
      <w:r w:rsidRPr="3ECF1372" w:rsidR="003A1164">
        <w:rPr>
          <w:color w:val="000000" w:themeColor="text1"/>
        </w:rPr>
        <w:t>50</w:t>
      </w:r>
      <w:r w:rsidRPr="3ECF1372" w:rsidR="002B6471">
        <w:rPr>
          <w:color w:val="000000" w:themeColor="text1"/>
        </w:rPr>
        <w:t xml:space="preserve"> responses x </w:t>
      </w:r>
      <w:r w:rsidRPr="3ECF1372" w:rsidR="00AD011F">
        <w:rPr>
          <w:color w:val="000000" w:themeColor="text1"/>
        </w:rPr>
        <w:t xml:space="preserve">twice </w:t>
      </w:r>
      <w:r w:rsidRPr="3ECF1372" w:rsidR="002B6471">
        <w:rPr>
          <w:color w:val="000000" w:themeColor="text1"/>
        </w:rPr>
        <w:t>20 minutes equals 9</w:t>
      </w:r>
      <w:r w:rsidRPr="3ECF1372" w:rsidR="00712A3B">
        <w:rPr>
          <w:color w:val="000000" w:themeColor="text1"/>
        </w:rPr>
        <w:t>66</w:t>
      </w:r>
      <w:r w:rsidRPr="3ECF1372" w:rsidR="002B6471">
        <w:rPr>
          <w:color w:val="000000" w:themeColor="text1"/>
        </w:rPr>
        <w:t xml:space="preserve"> x $35.00 = $</w:t>
      </w:r>
      <w:r w:rsidRPr="3ECF1372" w:rsidR="00A3215C">
        <w:rPr>
          <w:color w:val="000000" w:themeColor="text1"/>
        </w:rPr>
        <w:t>3</w:t>
      </w:r>
      <w:r w:rsidRPr="3ECF1372" w:rsidR="002B6471">
        <w:rPr>
          <w:color w:val="000000" w:themeColor="text1"/>
        </w:rPr>
        <w:t>3,</w:t>
      </w:r>
      <w:r w:rsidRPr="3ECF1372" w:rsidR="00DB4651">
        <w:rPr>
          <w:color w:val="000000" w:themeColor="text1"/>
        </w:rPr>
        <w:t>810</w:t>
      </w:r>
      <w:r w:rsidRPr="3ECF1372" w:rsidR="002B6471">
        <w:rPr>
          <w:color w:val="000000" w:themeColor="text1"/>
        </w:rPr>
        <w:t>).  The total cost for Form DS-3037 is $33,</w:t>
      </w:r>
      <w:r w:rsidRPr="3ECF1372" w:rsidR="00A3215C">
        <w:rPr>
          <w:color w:val="000000" w:themeColor="text1"/>
        </w:rPr>
        <w:t>741</w:t>
      </w:r>
      <w:r w:rsidRPr="3ECF1372" w:rsidR="002B6471">
        <w:rPr>
          <w:color w:val="000000" w:themeColor="text1"/>
        </w:rPr>
        <w:t xml:space="preserve"> </w:t>
      </w:r>
      <w:r w:rsidRPr="3ECF1372" w:rsidR="00687F11">
        <w:rPr>
          <w:color w:val="000000" w:themeColor="text1"/>
        </w:rPr>
        <w:t>for</w:t>
      </w:r>
      <w:r w:rsidRPr="3ECF1372" w:rsidR="002B6471">
        <w:rPr>
          <w:color w:val="000000" w:themeColor="text1"/>
        </w:rPr>
        <w:t xml:space="preserve"> wages + The total </w:t>
      </w:r>
      <w:r w:rsidRPr="3ECF1372">
        <w:rPr>
          <w:color w:val="000000" w:themeColor="text1"/>
        </w:rPr>
        <w:t xml:space="preserve">wage </w:t>
      </w:r>
      <w:r w:rsidRPr="3ECF1372" w:rsidR="002B6471">
        <w:rPr>
          <w:color w:val="000000" w:themeColor="text1"/>
        </w:rPr>
        <w:t xml:space="preserve">cost to the government </w:t>
      </w:r>
      <w:r w:rsidRPr="3ECF1372" w:rsidR="000E701F">
        <w:rPr>
          <w:color w:val="000000" w:themeColor="text1"/>
        </w:rPr>
        <w:t>for the</w:t>
      </w:r>
      <w:r w:rsidRPr="3ECF1372" w:rsidR="00EF1477">
        <w:rPr>
          <w:color w:val="000000" w:themeColor="text1"/>
        </w:rPr>
        <w:t xml:space="preserve"> collection</w:t>
      </w:r>
      <w:r w:rsidRPr="3ECF1372" w:rsidR="000E701F">
        <w:rPr>
          <w:color w:val="000000" w:themeColor="text1"/>
        </w:rPr>
        <w:t xml:space="preserve"> </w:t>
      </w:r>
      <w:r w:rsidRPr="3ECF1372" w:rsidR="002B6471">
        <w:rPr>
          <w:color w:val="000000" w:themeColor="text1"/>
        </w:rPr>
        <w:t>is $288,</w:t>
      </w:r>
      <w:r w:rsidRPr="3ECF1372" w:rsidR="00A3215C">
        <w:rPr>
          <w:color w:val="000000" w:themeColor="text1"/>
        </w:rPr>
        <w:t>645</w:t>
      </w:r>
      <w:r w:rsidRPr="3ECF1372" w:rsidR="002B6471">
        <w:rPr>
          <w:color w:val="000000" w:themeColor="text1"/>
        </w:rPr>
        <w:t xml:space="preserve"> (</w:t>
      </w:r>
      <w:r w:rsidRPr="3ECF1372" w:rsidR="0016273C">
        <w:rPr>
          <w:color w:val="000000" w:themeColor="text1"/>
        </w:rPr>
        <w:t>$254,904 DS-3036 + $33,</w:t>
      </w:r>
      <w:r w:rsidRPr="3ECF1372" w:rsidR="00A3215C">
        <w:rPr>
          <w:color w:val="000000" w:themeColor="text1"/>
        </w:rPr>
        <w:t>741</w:t>
      </w:r>
      <w:r w:rsidRPr="3ECF1372" w:rsidR="0016273C">
        <w:rPr>
          <w:color w:val="000000" w:themeColor="text1"/>
        </w:rPr>
        <w:t xml:space="preserve"> DS-3037)</w:t>
      </w:r>
      <w:r w:rsidRPr="3ECF1372">
        <w:rPr>
          <w:color w:val="000000" w:themeColor="text1"/>
        </w:rPr>
        <w:t>.</w:t>
      </w:r>
      <w:r w:rsidRPr="3ECF1372" w:rsidR="00FE5A93">
        <w:rPr>
          <w:color w:val="000000" w:themeColor="text1"/>
        </w:rPr>
        <w:t xml:space="preserve">  </w:t>
      </w:r>
    </w:p>
    <w:p w:rsidR="00C16690" w:rsidRPr="00F77894" w:rsidP="3ECF1372" w14:paraId="41883C3D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677094" w:rsidRPr="00F77894" w:rsidP="3ECF1372" w14:paraId="227BB71F" w14:textId="2F87A899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15.  </w:t>
      </w:r>
      <w:r w:rsidRPr="3ECF1372">
        <w:rPr>
          <w:color w:val="000000" w:themeColor="text1"/>
        </w:rPr>
        <w:t>The number of respon</w:t>
      </w:r>
      <w:r w:rsidRPr="3ECF1372" w:rsidR="00AF4C74">
        <w:rPr>
          <w:color w:val="000000" w:themeColor="text1"/>
        </w:rPr>
        <w:t>dents</w:t>
      </w:r>
      <w:r w:rsidRPr="3ECF1372">
        <w:rPr>
          <w:color w:val="000000" w:themeColor="text1"/>
        </w:rPr>
        <w:t xml:space="preserve"> under </w:t>
      </w:r>
      <w:r w:rsidRPr="3ECF1372" w:rsidR="00F97BF6">
        <w:rPr>
          <w:color w:val="000000" w:themeColor="text1"/>
        </w:rPr>
        <w:t xml:space="preserve">Form </w:t>
      </w:r>
      <w:r w:rsidRPr="3ECF1372" w:rsidR="00AF4C74">
        <w:rPr>
          <w:color w:val="000000" w:themeColor="text1"/>
        </w:rPr>
        <w:t xml:space="preserve">DS-7000 </w:t>
      </w:r>
      <w:r w:rsidRPr="3ECF1372" w:rsidR="00BE4263">
        <w:rPr>
          <w:color w:val="000000" w:themeColor="text1"/>
        </w:rPr>
        <w:t>is</w:t>
      </w:r>
      <w:r w:rsidRPr="3ECF1372" w:rsidR="00646B07">
        <w:rPr>
          <w:color w:val="000000" w:themeColor="text1"/>
        </w:rPr>
        <w:t xml:space="preserve"> 1</w:t>
      </w:r>
      <w:r w:rsidRPr="3ECF1372" w:rsidR="00641487">
        <w:rPr>
          <w:color w:val="000000" w:themeColor="text1"/>
        </w:rPr>
        <w:t>85</w:t>
      </w:r>
      <w:r w:rsidRPr="3ECF1372" w:rsidR="00646B07">
        <w:rPr>
          <w:color w:val="000000" w:themeColor="text1"/>
        </w:rPr>
        <w:t>,</w:t>
      </w:r>
      <w:r w:rsidRPr="3ECF1372" w:rsidR="00641487">
        <w:rPr>
          <w:color w:val="000000" w:themeColor="text1"/>
        </w:rPr>
        <w:t>4</w:t>
      </w:r>
      <w:r w:rsidRPr="3ECF1372" w:rsidR="00646B07">
        <w:rPr>
          <w:color w:val="000000" w:themeColor="text1"/>
        </w:rPr>
        <w:t>00.</w:t>
      </w:r>
      <w:r w:rsidRPr="3ECF1372" w:rsidR="00BE4263">
        <w:rPr>
          <w:color w:val="000000" w:themeColor="text1"/>
        </w:rPr>
        <w:t xml:space="preserve"> </w:t>
      </w:r>
      <w:r w:rsidRPr="3ECF1372" w:rsidR="00AF4C74">
        <w:rPr>
          <w:color w:val="000000" w:themeColor="text1"/>
        </w:rPr>
        <w:t xml:space="preserve">The number of responses </w:t>
      </w:r>
      <w:r w:rsidRPr="3ECF1372" w:rsidR="00905696">
        <w:rPr>
          <w:color w:val="000000" w:themeColor="text1"/>
        </w:rPr>
        <w:t xml:space="preserve">for the DS-7000 </w:t>
      </w:r>
      <w:r w:rsidRPr="3ECF1372" w:rsidR="00AF4C74">
        <w:rPr>
          <w:color w:val="000000" w:themeColor="text1"/>
        </w:rPr>
        <w:t xml:space="preserve">has increased </w:t>
      </w:r>
      <w:r w:rsidRPr="3ECF1372" w:rsidR="00641487">
        <w:rPr>
          <w:color w:val="000000" w:themeColor="text1"/>
        </w:rPr>
        <w:t xml:space="preserve">by 48,799, </w:t>
      </w:r>
      <w:r w:rsidRPr="3ECF1372" w:rsidR="00AF4C74">
        <w:rPr>
          <w:color w:val="000000" w:themeColor="text1"/>
        </w:rPr>
        <w:t xml:space="preserve">from </w:t>
      </w:r>
      <w:r w:rsidRPr="3ECF1372" w:rsidR="00EB4CA3">
        <w:rPr>
          <w:color w:val="000000" w:themeColor="text1"/>
        </w:rPr>
        <w:t>1,949,765</w:t>
      </w:r>
      <w:r w:rsidRPr="3ECF1372" w:rsidR="000D0A49">
        <w:rPr>
          <w:color w:val="000000" w:themeColor="text1"/>
        </w:rPr>
        <w:t xml:space="preserve"> </w:t>
      </w:r>
      <w:r w:rsidRPr="3ECF1372" w:rsidR="00E7559A">
        <w:rPr>
          <w:color w:val="000000" w:themeColor="text1"/>
        </w:rPr>
        <w:t>to 1,998,564</w:t>
      </w:r>
      <w:r w:rsidRPr="3ECF1372" w:rsidR="00641487">
        <w:rPr>
          <w:color w:val="000000" w:themeColor="text1"/>
        </w:rPr>
        <w:t>,</w:t>
      </w:r>
      <w:r w:rsidRPr="3ECF1372" w:rsidR="00E7559A">
        <w:rPr>
          <w:color w:val="000000" w:themeColor="text1"/>
        </w:rPr>
        <w:t xml:space="preserve"> </w:t>
      </w:r>
      <w:r w:rsidRPr="3ECF1372" w:rsidR="00905696">
        <w:rPr>
          <w:color w:val="000000" w:themeColor="text1"/>
        </w:rPr>
        <w:t>due to</w:t>
      </w:r>
      <w:r w:rsidRPr="3ECF1372" w:rsidR="2FCD663E">
        <w:rPr>
          <w:color w:val="000000" w:themeColor="text1"/>
        </w:rPr>
        <w:t xml:space="preserve"> changes in Part 62 resulting in</w:t>
      </w:r>
      <w:r w:rsidRPr="3ECF1372" w:rsidR="00905696">
        <w:rPr>
          <w:color w:val="000000" w:themeColor="text1"/>
        </w:rPr>
        <w:t xml:space="preserve"> the addition of provisions for sponsors to provide more transparent program information at the time of recruitment, to account for exchange visitors’ providing information to sponsors to prove their eligibility,</w:t>
      </w:r>
      <w:r w:rsidRPr="3ECF1372" w:rsidR="00E7559A">
        <w:rPr>
          <w:color w:val="000000" w:themeColor="text1"/>
        </w:rPr>
        <w:t xml:space="preserve"> and</w:t>
      </w:r>
      <w:r w:rsidRPr="3ECF1372" w:rsidR="00905696">
        <w:rPr>
          <w:color w:val="000000" w:themeColor="text1"/>
        </w:rPr>
        <w:t xml:space="preserve"> </w:t>
      </w:r>
      <w:r w:rsidRPr="3ECF1372" w:rsidR="00E7559A">
        <w:rPr>
          <w:color w:val="000000" w:themeColor="text1"/>
        </w:rPr>
        <w:t xml:space="preserve">summaries of </w:t>
      </w:r>
      <w:r w:rsidRPr="3ECF1372" w:rsidR="00905696">
        <w:rPr>
          <w:color w:val="000000" w:themeColor="text1"/>
        </w:rPr>
        <w:t>the host placement</w:t>
      </w:r>
      <w:r w:rsidRPr="3ECF1372" w:rsidR="00E7559A">
        <w:rPr>
          <w:color w:val="000000" w:themeColor="text1"/>
        </w:rPr>
        <w:t>s</w:t>
      </w:r>
      <w:r w:rsidRPr="3ECF1372" w:rsidR="00905696">
        <w:rPr>
          <w:color w:val="000000" w:themeColor="text1"/>
        </w:rPr>
        <w:t xml:space="preserve"> and housing provided by the placement</w:t>
      </w:r>
      <w:r w:rsidRPr="3ECF1372" w:rsidR="00E7559A">
        <w:rPr>
          <w:color w:val="000000" w:themeColor="text1"/>
        </w:rPr>
        <w:t>,</w:t>
      </w:r>
      <w:r w:rsidRPr="3ECF1372" w:rsidR="00905696">
        <w:rPr>
          <w:color w:val="000000" w:themeColor="text1"/>
        </w:rPr>
        <w:t xml:space="preserve"> and requiring sponsors (and/or their host entities) </w:t>
      </w:r>
      <w:r w:rsidRPr="3ECF1372" w:rsidR="00174A94">
        <w:rPr>
          <w:color w:val="000000" w:themeColor="text1"/>
        </w:rPr>
        <w:t xml:space="preserve">in some Subpart B categories </w:t>
      </w:r>
      <w:r w:rsidRPr="3ECF1372" w:rsidR="00905696">
        <w:rPr>
          <w:color w:val="000000" w:themeColor="text1"/>
        </w:rPr>
        <w:t>to provide cultural activities for exchange visitors</w:t>
      </w:r>
      <w:r w:rsidRPr="3ECF1372" w:rsidR="00F74EA8">
        <w:rPr>
          <w:color w:val="000000" w:themeColor="text1"/>
        </w:rPr>
        <w:t xml:space="preserve">. </w:t>
      </w:r>
    </w:p>
    <w:p w:rsidR="00045A3B" w:rsidRPr="00F77894" w:rsidP="3ECF1372" w14:paraId="7F2CD442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75D7EA6C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1</w:t>
      </w:r>
      <w:r w:rsidRPr="3ECF1372">
        <w:rPr>
          <w:color w:val="000000" w:themeColor="text1"/>
        </w:rPr>
        <w:t xml:space="preserve">6.  The Department </w:t>
      </w:r>
      <w:r w:rsidRPr="3ECF1372" w:rsidR="007F2D9A">
        <w:rPr>
          <w:color w:val="000000" w:themeColor="text1"/>
        </w:rPr>
        <w:t xml:space="preserve">will </w:t>
      </w:r>
      <w:r w:rsidRPr="3ECF1372">
        <w:rPr>
          <w:color w:val="000000" w:themeColor="text1"/>
        </w:rPr>
        <w:t xml:space="preserve">not publish the </w:t>
      </w:r>
      <w:r w:rsidRPr="3ECF1372" w:rsidR="007F2D9A">
        <w:rPr>
          <w:color w:val="000000" w:themeColor="text1"/>
        </w:rPr>
        <w:t xml:space="preserve">collected </w:t>
      </w:r>
      <w:r w:rsidRPr="3ECF1372">
        <w:rPr>
          <w:color w:val="000000" w:themeColor="text1"/>
        </w:rPr>
        <w:t xml:space="preserve">information. </w:t>
      </w:r>
    </w:p>
    <w:p w:rsidR="00F33C1A" w:rsidRPr="00F77894" w:rsidP="3ECF1372" w14:paraId="77493A93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4F5917A8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 xml:space="preserve">17.  The Department </w:t>
      </w:r>
      <w:r w:rsidRPr="3ECF1372" w:rsidR="007F2D9A">
        <w:rPr>
          <w:color w:val="000000" w:themeColor="text1"/>
        </w:rPr>
        <w:t xml:space="preserve">will </w:t>
      </w:r>
      <w:r w:rsidRPr="3ECF1372">
        <w:rPr>
          <w:color w:val="000000" w:themeColor="text1"/>
        </w:rPr>
        <w:t>display the OMB expiration date.</w:t>
      </w:r>
    </w:p>
    <w:p w:rsidR="00F33C1A" w:rsidRPr="00F77894" w:rsidP="3ECF1372" w14:paraId="27ED646B" w14:textId="77777777">
      <w:pPr>
        <w:autoSpaceDE w:val="0"/>
        <w:autoSpaceDN w:val="0"/>
        <w:adjustRightInd w:val="0"/>
        <w:ind w:left="360"/>
        <w:rPr>
          <w:color w:val="000000" w:themeColor="text1"/>
        </w:rPr>
      </w:pPr>
    </w:p>
    <w:p w:rsidR="00F33C1A" w:rsidRPr="00F77894" w:rsidP="3ECF1372" w14:paraId="59323549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18.  The Department is not requesting any exceptions to the certification.</w:t>
      </w:r>
    </w:p>
    <w:p w:rsidR="00F33C1A" w:rsidRPr="00F77894" w:rsidP="3ECF1372" w14:paraId="7633183E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213603DA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303E8974" w14:textId="77777777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 w:themeColor="text1"/>
        </w:rPr>
      </w:pPr>
      <w:r w:rsidRPr="3ECF1372">
        <w:rPr>
          <w:b/>
          <w:bCs/>
          <w:color w:val="000000" w:themeColor="text1"/>
        </w:rPr>
        <w:t>COLLECTIONS OF INFORMATION EMPLOYING STATISTICAL METHODS.</w:t>
      </w:r>
    </w:p>
    <w:p w:rsidR="00F33C1A" w:rsidRPr="00F77894" w:rsidP="3ECF1372" w14:paraId="6A2BF703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33B0200F" w14:textId="77777777">
      <w:pPr>
        <w:autoSpaceDE w:val="0"/>
        <w:autoSpaceDN w:val="0"/>
        <w:adjustRightInd w:val="0"/>
        <w:rPr>
          <w:color w:val="000000" w:themeColor="text1"/>
        </w:rPr>
      </w:pPr>
      <w:r w:rsidRPr="3ECF1372">
        <w:rPr>
          <w:color w:val="000000" w:themeColor="text1"/>
        </w:rPr>
        <w:t>This collection does not employ statistical methods.</w:t>
      </w:r>
    </w:p>
    <w:p w:rsidR="00F33C1A" w:rsidRPr="00F77894" w:rsidP="3ECF1372" w14:paraId="06CA9D7E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2608AD89" w14:textId="77777777">
      <w:pPr>
        <w:autoSpaceDE w:val="0"/>
        <w:autoSpaceDN w:val="0"/>
        <w:adjustRightInd w:val="0"/>
        <w:rPr>
          <w:color w:val="000000" w:themeColor="text1"/>
        </w:rPr>
      </w:pPr>
    </w:p>
    <w:p w:rsidR="00F33C1A" w:rsidRPr="00F77894" w:rsidP="3ECF1372" w14:paraId="35F6348A" w14:textId="77777777">
      <w:pPr>
        <w:autoSpaceDE w:val="0"/>
        <w:autoSpaceDN w:val="0"/>
        <w:adjustRightInd w:val="0"/>
        <w:rPr>
          <w:color w:val="000000" w:themeColor="text1"/>
        </w:rPr>
      </w:pPr>
    </w:p>
    <w:sectPr w:rsidSect="00334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4A94" w14:paraId="63BA94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4A94" w14:paraId="23B1C76E" w14:textId="208484BD">
    <w:pPr>
      <w:pStyle w:val="Footer"/>
    </w:pPr>
  </w:p>
  <w:p w:rsidR="00174A94" w14:paraId="2E19D0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4A94" w14:paraId="174C00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BD8" w:rsidP="003D66A9" w14:paraId="01A6E5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2BD8" w14:paraId="7AAEDC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2BD8" w:rsidP="003D66A9" w14:paraId="09B613E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962">
      <w:rPr>
        <w:rStyle w:val="PageNumber"/>
        <w:noProof/>
      </w:rPr>
      <w:t>4</w:t>
    </w:r>
    <w:r>
      <w:rPr>
        <w:rStyle w:val="PageNumber"/>
      </w:rPr>
      <w:fldChar w:fldCharType="end"/>
    </w:r>
  </w:p>
  <w:p w:rsidR="001A2BD8" w14:paraId="292765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4A94" w14:paraId="29ED97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3554D4"/>
    <w:multiLevelType w:val="hybridMultilevel"/>
    <w:tmpl w:val="15D29B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C35DC"/>
    <w:multiLevelType w:val="hybridMultilevel"/>
    <w:tmpl w:val="4DB4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B2684"/>
    <w:multiLevelType w:val="hybridMultilevel"/>
    <w:tmpl w:val="B4F83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75B0A"/>
    <w:multiLevelType w:val="hybridMultilevel"/>
    <w:tmpl w:val="867CC7DC"/>
    <w:lvl w:ilvl="0">
      <w:start w:val="1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E7083"/>
    <w:multiLevelType w:val="hybridMultilevel"/>
    <w:tmpl w:val="DC64A98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5004C"/>
    <w:multiLevelType w:val="hybridMultilevel"/>
    <w:tmpl w:val="BC3CF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279C3"/>
    <w:multiLevelType w:val="hybridMultilevel"/>
    <w:tmpl w:val="F82C709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424FCF"/>
    <w:multiLevelType w:val="hybridMultilevel"/>
    <w:tmpl w:val="44B43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120D6"/>
    <w:multiLevelType w:val="hybridMultilevel"/>
    <w:tmpl w:val="83061A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5A3B1F"/>
    <w:multiLevelType w:val="singleLevel"/>
    <w:tmpl w:val="881ABB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3A434AF"/>
    <w:multiLevelType w:val="hybridMultilevel"/>
    <w:tmpl w:val="4DF0644E"/>
    <w:lvl w:ilvl="0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8063C"/>
    <w:multiLevelType w:val="hybridMultilevel"/>
    <w:tmpl w:val="70D4CEA6"/>
    <w:lvl w:ilvl="0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332759">
    <w:abstractNumId w:val="7"/>
  </w:num>
  <w:num w:numId="2" w16cid:durableId="1213422682">
    <w:abstractNumId w:val="5"/>
  </w:num>
  <w:num w:numId="3" w16cid:durableId="1485312755">
    <w:abstractNumId w:val="4"/>
  </w:num>
  <w:num w:numId="4" w16cid:durableId="1776973223">
    <w:abstractNumId w:val="9"/>
  </w:num>
  <w:num w:numId="5" w16cid:durableId="1567760159">
    <w:abstractNumId w:val="12"/>
  </w:num>
  <w:num w:numId="6" w16cid:durableId="1837455310">
    <w:abstractNumId w:val="1"/>
  </w:num>
  <w:num w:numId="7" w16cid:durableId="599145456">
    <w:abstractNumId w:val="8"/>
  </w:num>
  <w:num w:numId="8" w16cid:durableId="637685248">
    <w:abstractNumId w:val="11"/>
  </w:num>
  <w:num w:numId="9" w16cid:durableId="1454447552">
    <w:abstractNumId w:val="2"/>
  </w:num>
  <w:num w:numId="10" w16cid:durableId="68768815">
    <w:abstractNumId w:val="6"/>
  </w:num>
  <w:num w:numId="11" w16cid:durableId="1905792874">
    <w:abstractNumId w:val="0"/>
  </w:num>
  <w:num w:numId="12" w16cid:durableId="585765190">
    <w:abstractNumId w:val="10"/>
  </w:num>
  <w:num w:numId="13" w16cid:durableId="135295689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B"/>
    <w:rsid w:val="0000043B"/>
    <w:rsid w:val="00006D85"/>
    <w:rsid w:val="0002745F"/>
    <w:rsid w:val="00034C60"/>
    <w:rsid w:val="000449FA"/>
    <w:rsid w:val="0004508A"/>
    <w:rsid w:val="00045A3B"/>
    <w:rsid w:val="00057C51"/>
    <w:rsid w:val="00063D79"/>
    <w:rsid w:val="00066BF6"/>
    <w:rsid w:val="000736E6"/>
    <w:rsid w:val="00076A7D"/>
    <w:rsid w:val="00076F38"/>
    <w:rsid w:val="000774FE"/>
    <w:rsid w:val="00084F8E"/>
    <w:rsid w:val="0008563A"/>
    <w:rsid w:val="000A3198"/>
    <w:rsid w:val="000B4001"/>
    <w:rsid w:val="000D0A49"/>
    <w:rsid w:val="000D5AC0"/>
    <w:rsid w:val="000E3336"/>
    <w:rsid w:val="000E701F"/>
    <w:rsid w:val="000F1DC4"/>
    <w:rsid w:val="000F34D2"/>
    <w:rsid w:val="000F6824"/>
    <w:rsid w:val="00105E4D"/>
    <w:rsid w:val="001072BA"/>
    <w:rsid w:val="0010742F"/>
    <w:rsid w:val="00107E37"/>
    <w:rsid w:val="0012065B"/>
    <w:rsid w:val="001352F5"/>
    <w:rsid w:val="00142500"/>
    <w:rsid w:val="00144328"/>
    <w:rsid w:val="00147A29"/>
    <w:rsid w:val="00150145"/>
    <w:rsid w:val="0015144D"/>
    <w:rsid w:val="00151F86"/>
    <w:rsid w:val="00154FB9"/>
    <w:rsid w:val="00155126"/>
    <w:rsid w:val="0016273C"/>
    <w:rsid w:val="00167854"/>
    <w:rsid w:val="00171349"/>
    <w:rsid w:val="001731C0"/>
    <w:rsid w:val="00174A94"/>
    <w:rsid w:val="00183B34"/>
    <w:rsid w:val="001844C3"/>
    <w:rsid w:val="00185A6A"/>
    <w:rsid w:val="00192C40"/>
    <w:rsid w:val="001A2BD8"/>
    <w:rsid w:val="001A2E2C"/>
    <w:rsid w:val="001A54F9"/>
    <w:rsid w:val="001B0D61"/>
    <w:rsid w:val="001B450A"/>
    <w:rsid w:val="001B5190"/>
    <w:rsid w:val="001B5297"/>
    <w:rsid w:val="001C32F5"/>
    <w:rsid w:val="001C6F9A"/>
    <w:rsid w:val="001D6056"/>
    <w:rsid w:val="001D72B2"/>
    <w:rsid w:val="001D771E"/>
    <w:rsid w:val="001E48CA"/>
    <w:rsid w:val="001F0A9D"/>
    <w:rsid w:val="002033E1"/>
    <w:rsid w:val="00203817"/>
    <w:rsid w:val="00216BD8"/>
    <w:rsid w:val="00223E8A"/>
    <w:rsid w:val="00224E39"/>
    <w:rsid w:val="00226959"/>
    <w:rsid w:val="00237470"/>
    <w:rsid w:val="00241B8E"/>
    <w:rsid w:val="002505E0"/>
    <w:rsid w:val="00266FB6"/>
    <w:rsid w:val="0027077E"/>
    <w:rsid w:val="00270C2A"/>
    <w:rsid w:val="00276D72"/>
    <w:rsid w:val="00284226"/>
    <w:rsid w:val="00293438"/>
    <w:rsid w:val="002A06DE"/>
    <w:rsid w:val="002A1068"/>
    <w:rsid w:val="002A5147"/>
    <w:rsid w:val="002B4919"/>
    <w:rsid w:val="002B6471"/>
    <w:rsid w:val="002C322C"/>
    <w:rsid w:val="002C39F6"/>
    <w:rsid w:val="002C4A39"/>
    <w:rsid w:val="002D43AF"/>
    <w:rsid w:val="002E3A1C"/>
    <w:rsid w:val="002E7659"/>
    <w:rsid w:val="002F73B1"/>
    <w:rsid w:val="003123E6"/>
    <w:rsid w:val="00312D06"/>
    <w:rsid w:val="003140DD"/>
    <w:rsid w:val="00321994"/>
    <w:rsid w:val="00331030"/>
    <w:rsid w:val="0033428C"/>
    <w:rsid w:val="00334D1A"/>
    <w:rsid w:val="00337757"/>
    <w:rsid w:val="00345D21"/>
    <w:rsid w:val="003478F7"/>
    <w:rsid w:val="00350998"/>
    <w:rsid w:val="00355C6F"/>
    <w:rsid w:val="00355F39"/>
    <w:rsid w:val="00364764"/>
    <w:rsid w:val="003839AD"/>
    <w:rsid w:val="00383D27"/>
    <w:rsid w:val="00386E09"/>
    <w:rsid w:val="0039123F"/>
    <w:rsid w:val="00393379"/>
    <w:rsid w:val="003A0962"/>
    <w:rsid w:val="003A1164"/>
    <w:rsid w:val="003A7C8B"/>
    <w:rsid w:val="003B2B08"/>
    <w:rsid w:val="003B303A"/>
    <w:rsid w:val="003B4736"/>
    <w:rsid w:val="003C3A00"/>
    <w:rsid w:val="003C5E8C"/>
    <w:rsid w:val="003D5454"/>
    <w:rsid w:val="003D66A9"/>
    <w:rsid w:val="003D77DB"/>
    <w:rsid w:val="003E0FC4"/>
    <w:rsid w:val="003F147C"/>
    <w:rsid w:val="003F399F"/>
    <w:rsid w:val="003F47D6"/>
    <w:rsid w:val="003F6FF0"/>
    <w:rsid w:val="00422595"/>
    <w:rsid w:val="00423534"/>
    <w:rsid w:val="00423E4B"/>
    <w:rsid w:val="00425BFE"/>
    <w:rsid w:val="00425FB2"/>
    <w:rsid w:val="00432505"/>
    <w:rsid w:val="004438FC"/>
    <w:rsid w:val="00477EF8"/>
    <w:rsid w:val="00482FAD"/>
    <w:rsid w:val="00494246"/>
    <w:rsid w:val="004A3E0B"/>
    <w:rsid w:val="004A5042"/>
    <w:rsid w:val="004A568B"/>
    <w:rsid w:val="004A6228"/>
    <w:rsid w:val="004B00A9"/>
    <w:rsid w:val="004B3927"/>
    <w:rsid w:val="004B7C12"/>
    <w:rsid w:val="004C1794"/>
    <w:rsid w:val="004C527E"/>
    <w:rsid w:val="004D2A21"/>
    <w:rsid w:val="004D3DD6"/>
    <w:rsid w:val="004D4057"/>
    <w:rsid w:val="004F065C"/>
    <w:rsid w:val="004F08C4"/>
    <w:rsid w:val="004F32E5"/>
    <w:rsid w:val="004F726D"/>
    <w:rsid w:val="00511AA6"/>
    <w:rsid w:val="00520609"/>
    <w:rsid w:val="005323B9"/>
    <w:rsid w:val="00537308"/>
    <w:rsid w:val="00553EC7"/>
    <w:rsid w:val="00557BEB"/>
    <w:rsid w:val="0056367A"/>
    <w:rsid w:val="00573B20"/>
    <w:rsid w:val="00583EA8"/>
    <w:rsid w:val="00593288"/>
    <w:rsid w:val="00597EEC"/>
    <w:rsid w:val="005A1DF3"/>
    <w:rsid w:val="005A72E0"/>
    <w:rsid w:val="005B58FF"/>
    <w:rsid w:val="005C6EC6"/>
    <w:rsid w:val="005C7B38"/>
    <w:rsid w:val="005D1701"/>
    <w:rsid w:val="005E34DA"/>
    <w:rsid w:val="005F167D"/>
    <w:rsid w:val="00601A75"/>
    <w:rsid w:val="00602AF6"/>
    <w:rsid w:val="0060699F"/>
    <w:rsid w:val="00610021"/>
    <w:rsid w:val="00614884"/>
    <w:rsid w:val="0062475B"/>
    <w:rsid w:val="00631829"/>
    <w:rsid w:val="00632D06"/>
    <w:rsid w:val="00632EE3"/>
    <w:rsid w:val="00637596"/>
    <w:rsid w:val="00641487"/>
    <w:rsid w:val="00646B07"/>
    <w:rsid w:val="006604D2"/>
    <w:rsid w:val="00665222"/>
    <w:rsid w:val="00677094"/>
    <w:rsid w:val="00686724"/>
    <w:rsid w:val="00687F11"/>
    <w:rsid w:val="00692159"/>
    <w:rsid w:val="00696BEC"/>
    <w:rsid w:val="006B023F"/>
    <w:rsid w:val="006B2B20"/>
    <w:rsid w:val="006B4193"/>
    <w:rsid w:val="006C01F1"/>
    <w:rsid w:val="006C3874"/>
    <w:rsid w:val="006D3B0C"/>
    <w:rsid w:val="006E1FD4"/>
    <w:rsid w:val="006E7C4D"/>
    <w:rsid w:val="006F05C9"/>
    <w:rsid w:val="0070554C"/>
    <w:rsid w:val="00712A3B"/>
    <w:rsid w:val="00715A33"/>
    <w:rsid w:val="00724511"/>
    <w:rsid w:val="00725B6D"/>
    <w:rsid w:val="00731C1F"/>
    <w:rsid w:val="007324F3"/>
    <w:rsid w:val="00734474"/>
    <w:rsid w:val="007537A8"/>
    <w:rsid w:val="007574C5"/>
    <w:rsid w:val="00757D33"/>
    <w:rsid w:val="00763CC4"/>
    <w:rsid w:val="00765044"/>
    <w:rsid w:val="00773378"/>
    <w:rsid w:val="00797025"/>
    <w:rsid w:val="0079736A"/>
    <w:rsid w:val="007A27F5"/>
    <w:rsid w:val="007A6B59"/>
    <w:rsid w:val="007B4732"/>
    <w:rsid w:val="007B61E4"/>
    <w:rsid w:val="007C1165"/>
    <w:rsid w:val="007C1C20"/>
    <w:rsid w:val="007C391F"/>
    <w:rsid w:val="007C495B"/>
    <w:rsid w:val="007C4AC3"/>
    <w:rsid w:val="007D1A5D"/>
    <w:rsid w:val="007D386F"/>
    <w:rsid w:val="007E0C0F"/>
    <w:rsid w:val="007E509B"/>
    <w:rsid w:val="007F28BD"/>
    <w:rsid w:val="007F2D9A"/>
    <w:rsid w:val="007F3FA5"/>
    <w:rsid w:val="00803D8C"/>
    <w:rsid w:val="0081167B"/>
    <w:rsid w:val="008125CA"/>
    <w:rsid w:val="0082045F"/>
    <w:rsid w:val="008309D9"/>
    <w:rsid w:val="00832BA5"/>
    <w:rsid w:val="00845894"/>
    <w:rsid w:val="00856E69"/>
    <w:rsid w:val="008624A0"/>
    <w:rsid w:val="00862B14"/>
    <w:rsid w:val="008637A8"/>
    <w:rsid w:val="00866D75"/>
    <w:rsid w:val="00867552"/>
    <w:rsid w:val="00874ECE"/>
    <w:rsid w:val="00897119"/>
    <w:rsid w:val="008C44AB"/>
    <w:rsid w:val="008C4568"/>
    <w:rsid w:val="008D2BB3"/>
    <w:rsid w:val="008E34E5"/>
    <w:rsid w:val="008F35D6"/>
    <w:rsid w:val="008F79E6"/>
    <w:rsid w:val="00905696"/>
    <w:rsid w:val="009143C4"/>
    <w:rsid w:val="00914907"/>
    <w:rsid w:val="009150BD"/>
    <w:rsid w:val="00920C9B"/>
    <w:rsid w:val="0092288F"/>
    <w:rsid w:val="00924B2F"/>
    <w:rsid w:val="00924DE6"/>
    <w:rsid w:val="00930181"/>
    <w:rsid w:val="00932F87"/>
    <w:rsid w:val="009412FD"/>
    <w:rsid w:val="009438B1"/>
    <w:rsid w:val="009539F9"/>
    <w:rsid w:val="00955B03"/>
    <w:rsid w:val="00960416"/>
    <w:rsid w:val="00965EDC"/>
    <w:rsid w:val="00970650"/>
    <w:rsid w:val="009720FC"/>
    <w:rsid w:val="00975CC1"/>
    <w:rsid w:val="00980F01"/>
    <w:rsid w:val="00982B25"/>
    <w:rsid w:val="009866EB"/>
    <w:rsid w:val="009951CF"/>
    <w:rsid w:val="00997964"/>
    <w:rsid w:val="009A2C00"/>
    <w:rsid w:val="009B3CEF"/>
    <w:rsid w:val="009B4741"/>
    <w:rsid w:val="009B75CB"/>
    <w:rsid w:val="009B78B1"/>
    <w:rsid w:val="009C1E3A"/>
    <w:rsid w:val="009C449A"/>
    <w:rsid w:val="009C5381"/>
    <w:rsid w:val="009D62BA"/>
    <w:rsid w:val="009D7127"/>
    <w:rsid w:val="009E38F9"/>
    <w:rsid w:val="009F0C95"/>
    <w:rsid w:val="00A0069B"/>
    <w:rsid w:val="00A032C7"/>
    <w:rsid w:val="00A1319A"/>
    <w:rsid w:val="00A260F6"/>
    <w:rsid w:val="00A277DA"/>
    <w:rsid w:val="00A3215C"/>
    <w:rsid w:val="00A3233E"/>
    <w:rsid w:val="00A35EC3"/>
    <w:rsid w:val="00A42C5B"/>
    <w:rsid w:val="00A43538"/>
    <w:rsid w:val="00A4716E"/>
    <w:rsid w:val="00A520F9"/>
    <w:rsid w:val="00A65EDB"/>
    <w:rsid w:val="00A66702"/>
    <w:rsid w:val="00A66A45"/>
    <w:rsid w:val="00A67530"/>
    <w:rsid w:val="00A73E18"/>
    <w:rsid w:val="00A75F74"/>
    <w:rsid w:val="00A81E9E"/>
    <w:rsid w:val="00A84621"/>
    <w:rsid w:val="00A853B4"/>
    <w:rsid w:val="00A966E7"/>
    <w:rsid w:val="00AA2B71"/>
    <w:rsid w:val="00AA5854"/>
    <w:rsid w:val="00AA5920"/>
    <w:rsid w:val="00AB0271"/>
    <w:rsid w:val="00AB0D2C"/>
    <w:rsid w:val="00AB48B6"/>
    <w:rsid w:val="00AB5CFC"/>
    <w:rsid w:val="00AC3003"/>
    <w:rsid w:val="00AD011F"/>
    <w:rsid w:val="00AF4A1A"/>
    <w:rsid w:val="00AF4C74"/>
    <w:rsid w:val="00AF6680"/>
    <w:rsid w:val="00B001CD"/>
    <w:rsid w:val="00B01EF4"/>
    <w:rsid w:val="00B138DC"/>
    <w:rsid w:val="00B14805"/>
    <w:rsid w:val="00B17938"/>
    <w:rsid w:val="00B359CB"/>
    <w:rsid w:val="00B540EF"/>
    <w:rsid w:val="00B715D1"/>
    <w:rsid w:val="00B758EE"/>
    <w:rsid w:val="00B803D1"/>
    <w:rsid w:val="00B97621"/>
    <w:rsid w:val="00B97ED4"/>
    <w:rsid w:val="00BA2D36"/>
    <w:rsid w:val="00BA3ECD"/>
    <w:rsid w:val="00BA4644"/>
    <w:rsid w:val="00BA5F10"/>
    <w:rsid w:val="00BA715E"/>
    <w:rsid w:val="00BB7C1B"/>
    <w:rsid w:val="00BC07B9"/>
    <w:rsid w:val="00BD10D7"/>
    <w:rsid w:val="00BE2A6B"/>
    <w:rsid w:val="00BE4263"/>
    <w:rsid w:val="00BE5079"/>
    <w:rsid w:val="00BF1BA6"/>
    <w:rsid w:val="00BF4331"/>
    <w:rsid w:val="00C025E6"/>
    <w:rsid w:val="00C0305E"/>
    <w:rsid w:val="00C1602C"/>
    <w:rsid w:val="00C16690"/>
    <w:rsid w:val="00C170F9"/>
    <w:rsid w:val="00C233EF"/>
    <w:rsid w:val="00C26C0A"/>
    <w:rsid w:val="00C276BE"/>
    <w:rsid w:val="00C2796F"/>
    <w:rsid w:val="00C4392F"/>
    <w:rsid w:val="00C478DA"/>
    <w:rsid w:val="00C57AB5"/>
    <w:rsid w:val="00C6092F"/>
    <w:rsid w:val="00C74925"/>
    <w:rsid w:val="00C768A7"/>
    <w:rsid w:val="00C76AA1"/>
    <w:rsid w:val="00C96982"/>
    <w:rsid w:val="00C9793F"/>
    <w:rsid w:val="00CA1C7F"/>
    <w:rsid w:val="00CB2719"/>
    <w:rsid w:val="00CB7FCC"/>
    <w:rsid w:val="00CC16D7"/>
    <w:rsid w:val="00CC1CF0"/>
    <w:rsid w:val="00CC3386"/>
    <w:rsid w:val="00CC54EE"/>
    <w:rsid w:val="00CD0534"/>
    <w:rsid w:val="00CD38DB"/>
    <w:rsid w:val="00CD5869"/>
    <w:rsid w:val="00CE69BC"/>
    <w:rsid w:val="00CE782F"/>
    <w:rsid w:val="00CF40FE"/>
    <w:rsid w:val="00CF4553"/>
    <w:rsid w:val="00D070B5"/>
    <w:rsid w:val="00D10EE1"/>
    <w:rsid w:val="00D17278"/>
    <w:rsid w:val="00D25DD8"/>
    <w:rsid w:val="00D35972"/>
    <w:rsid w:val="00D446C8"/>
    <w:rsid w:val="00D50023"/>
    <w:rsid w:val="00D63CF9"/>
    <w:rsid w:val="00D658B7"/>
    <w:rsid w:val="00D766EC"/>
    <w:rsid w:val="00D9386D"/>
    <w:rsid w:val="00D972F7"/>
    <w:rsid w:val="00DA2FFB"/>
    <w:rsid w:val="00DA42F7"/>
    <w:rsid w:val="00DB4651"/>
    <w:rsid w:val="00DF62D3"/>
    <w:rsid w:val="00DF7BB4"/>
    <w:rsid w:val="00E06809"/>
    <w:rsid w:val="00E217DD"/>
    <w:rsid w:val="00E25649"/>
    <w:rsid w:val="00E30A54"/>
    <w:rsid w:val="00E36FBA"/>
    <w:rsid w:val="00E50118"/>
    <w:rsid w:val="00E50547"/>
    <w:rsid w:val="00E50633"/>
    <w:rsid w:val="00E56C17"/>
    <w:rsid w:val="00E602BB"/>
    <w:rsid w:val="00E67432"/>
    <w:rsid w:val="00E6794F"/>
    <w:rsid w:val="00E70BCE"/>
    <w:rsid w:val="00E7559A"/>
    <w:rsid w:val="00E80CCA"/>
    <w:rsid w:val="00E9373B"/>
    <w:rsid w:val="00E95DAE"/>
    <w:rsid w:val="00EA5993"/>
    <w:rsid w:val="00EB4CA3"/>
    <w:rsid w:val="00EC1875"/>
    <w:rsid w:val="00ED0ACA"/>
    <w:rsid w:val="00ED40C7"/>
    <w:rsid w:val="00EEBC4E"/>
    <w:rsid w:val="00EF1477"/>
    <w:rsid w:val="00EF2A2B"/>
    <w:rsid w:val="00EF51A0"/>
    <w:rsid w:val="00EF52EF"/>
    <w:rsid w:val="00EF6CE1"/>
    <w:rsid w:val="00F23FC8"/>
    <w:rsid w:val="00F33C1A"/>
    <w:rsid w:val="00F33C1F"/>
    <w:rsid w:val="00F561E5"/>
    <w:rsid w:val="00F74EA8"/>
    <w:rsid w:val="00F75B9E"/>
    <w:rsid w:val="00F75D46"/>
    <w:rsid w:val="00F77894"/>
    <w:rsid w:val="00F8550F"/>
    <w:rsid w:val="00F923F5"/>
    <w:rsid w:val="00F94BF4"/>
    <w:rsid w:val="00F971EC"/>
    <w:rsid w:val="00F9755A"/>
    <w:rsid w:val="00F97BF6"/>
    <w:rsid w:val="00FA714C"/>
    <w:rsid w:val="00FB6120"/>
    <w:rsid w:val="00FB73AA"/>
    <w:rsid w:val="00FB7679"/>
    <w:rsid w:val="00FD3882"/>
    <w:rsid w:val="00FE5A93"/>
    <w:rsid w:val="00FE6284"/>
    <w:rsid w:val="00FF2654"/>
    <w:rsid w:val="00FF57B8"/>
    <w:rsid w:val="015C8A1D"/>
    <w:rsid w:val="0198FB36"/>
    <w:rsid w:val="04708B15"/>
    <w:rsid w:val="04B0F20A"/>
    <w:rsid w:val="0565F67B"/>
    <w:rsid w:val="057BB38E"/>
    <w:rsid w:val="0716BC12"/>
    <w:rsid w:val="080B6611"/>
    <w:rsid w:val="0812B2C2"/>
    <w:rsid w:val="0851226B"/>
    <w:rsid w:val="091F147B"/>
    <w:rsid w:val="0D714B19"/>
    <w:rsid w:val="0EEBBDD0"/>
    <w:rsid w:val="0FB851D5"/>
    <w:rsid w:val="13B41A58"/>
    <w:rsid w:val="14466AE9"/>
    <w:rsid w:val="1461C941"/>
    <w:rsid w:val="14FDF313"/>
    <w:rsid w:val="15C024FD"/>
    <w:rsid w:val="15C71664"/>
    <w:rsid w:val="16A2DFEA"/>
    <w:rsid w:val="16BB4808"/>
    <w:rsid w:val="185D29B0"/>
    <w:rsid w:val="1B03AEB4"/>
    <w:rsid w:val="1B6D3497"/>
    <w:rsid w:val="1B865CF4"/>
    <w:rsid w:val="1C774583"/>
    <w:rsid w:val="1D3A789F"/>
    <w:rsid w:val="1F00F850"/>
    <w:rsid w:val="1F2D7B20"/>
    <w:rsid w:val="1F958CA3"/>
    <w:rsid w:val="2081B636"/>
    <w:rsid w:val="20861F30"/>
    <w:rsid w:val="20C6FD2B"/>
    <w:rsid w:val="2115CEDA"/>
    <w:rsid w:val="21378D29"/>
    <w:rsid w:val="22A306B7"/>
    <w:rsid w:val="22D666A7"/>
    <w:rsid w:val="22EEC1D3"/>
    <w:rsid w:val="23CD7A1F"/>
    <w:rsid w:val="24C77D7F"/>
    <w:rsid w:val="253BBDC3"/>
    <w:rsid w:val="254EA201"/>
    <w:rsid w:val="25941184"/>
    <w:rsid w:val="261A10C6"/>
    <w:rsid w:val="26685601"/>
    <w:rsid w:val="29363931"/>
    <w:rsid w:val="29A4BC20"/>
    <w:rsid w:val="2A6DDF71"/>
    <w:rsid w:val="2A99EC1D"/>
    <w:rsid w:val="2ADB4AF3"/>
    <w:rsid w:val="2BE9F2DA"/>
    <w:rsid w:val="2CE45E78"/>
    <w:rsid w:val="2CEA6F82"/>
    <w:rsid w:val="2D39B097"/>
    <w:rsid w:val="2D45CC13"/>
    <w:rsid w:val="2EB0DD85"/>
    <w:rsid w:val="2FCD663E"/>
    <w:rsid w:val="300F443F"/>
    <w:rsid w:val="303E56EE"/>
    <w:rsid w:val="304BB4BD"/>
    <w:rsid w:val="3076186F"/>
    <w:rsid w:val="30B31340"/>
    <w:rsid w:val="3133E34D"/>
    <w:rsid w:val="31671322"/>
    <w:rsid w:val="32C1CDDC"/>
    <w:rsid w:val="32E74E03"/>
    <w:rsid w:val="34596714"/>
    <w:rsid w:val="3496CCA7"/>
    <w:rsid w:val="361DFD9A"/>
    <w:rsid w:val="36833F28"/>
    <w:rsid w:val="38356974"/>
    <w:rsid w:val="38A7D671"/>
    <w:rsid w:val="3930598B"/>
    <w:rsid w:val="3CBA8BD2"/>
    <w:rsid w:val="3ECF1372"/>
    <w:rsid w:val="40320EF4"/>
    <w:rsid w:val="41CDDF55"/>
    <w:rsid w:val="42CCE607"/>
    <w:rsid w:val="43953797"/>
    <w:rsid w:val="472A0C9D"/>
    <w:rsid w:val="4755310B"/>
    <w:rsid w:val="485041FD"/>
    <w:rsid w:val="486EB1E2"/>
    <w:rsid w:val="491C6D9E"/>
    <w:rsid w:val="4C28A22E"/>
    <w:rsid w:val="4D1029B9"/>
    <w:rsid w:val="4E1DEC8B"/>
    <w:rsid w:val="4E2DF872"/>
    <w:rsid w:val="4E4720CF"/>
    <w:rsid w:val="4EF107BA"/>
    <w:rsid w:val="4F86FCF3"/>
    <w:rsid w:val="4FC9C8D3"/>
    <w:rsid w:val="50BCD1A6"/>
    <w:rsid w:val="50D709D2"/>
    <w:rsid w:val="514F96D5"/>
    <w:rsid w:val="51659934"/>
    <w:rsid w:val="517EC191"/>
    <w:rsid w:val="565232B4"/>
    <w:rsid w:val="57ABA674"/>
    <w:rsid w:val="57F200E1"/>
    <w:rsid w:val="57F9CA58"/>
    <w:rsid w:val="582A3733"/>
    <w:rsid w:val="593B4B44"/>
    <w:rsid w:val="596A982B"/>
    <w:rsid w:val="59C06851"/>
    <w:rsid w:val="5AA52EA2"/>
    <w:rsid w:val="5B9223BC"/>
    <w:rsid w:val="5BB58507"/>
    <w:rsid w:val="5BF850E7"/>
    <w:rsid w:val="5D942148"/>
    <w:rsid w:val="5E01505C"/>
    <w:rsid w:val="5EFB2BB8"/>
    <w:rsid w:val="6033D1D3"/>
    <w:rsid w:val="606495B6"/>
    <w:rsid w:val="6138F11E"/>
    <w:rsid w:val="61E36704"/>
    <w:rsid w:val="637F3765"/>
    <w:rsid w:val="6438F6B5"/>
    <w:rsid w:val="65F72002"/>
    <w:rsid w:val="660C6241"/>
    <w:rsid w:val="6746DF49"/>
    <w:rsid w:val="691ACCBB"/>
    <w:rsid w:val="6AEAF4D5"/>
    <w:rsid w:val="6BD7F509"/>
    <w:rsid w:val="6C166237"/>
    <w:rsid w:val="6C55B0EC"/>
    <w:rsid w:val="6D73C56A"/>
    <w:rsid w:val="6DB23298"/>
    <w:rsid w:val="6F564D0F"/>
    <w:rsid w:val="6F91CAF8"/>
    <w:rsid w:val="7049AEEA"/>
    <w:rsid w:val="713DDA11"/>
    <w:rsid w:val="7386E9DE"/>
    <w:rsid w:val="739D48B5"/>
    <w:rsid w:val="73AE2000"/>
    <w:rsid w:val="73F51C5F"/>
    <w:rsid w:val="7565A86B"/>
    <w:rsid w:val="7872D80D"/>
    <w:rsid w:val="79BF6EB4"/>
    <w:rsid w:val="7A7F7AC9"/>
    <w:rsid w:val="7AFD2416"/>
    <w:rsid w:val="7C3A77FD"/>
    <w:rsid w:val="7D00BC9C"/>
    <w:rsid w:val="7D9DF32E"/>
    <w:rsid w:val="7E3D513E"/>
    <w:rsid w:val="7EA29350"/>
    <w:rsid w:val="7EA2F0F8"/>
    <w:rsid w:val="7ED03DAC"/>
    <w:rsid w:val="7EF5E6C0"/>
    <w:rsid w:val="7F39C38F"/>
    <w:rsid w:val="7F4F879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2C6D69"/>
  <w15:docId w15:val="{CFB8CE44-3290-4D3A-BD8F-E64DFDD8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C60"/>
    <w:rPr>
      <w:sz w:val="24"/>
      <w:szCs w:val="24"/>
    </w:rPr>
  </w:style>
  <w:style w:type="paragraph" w:styleId="Heading1">
    <w:name w:val="heading 1"/>
    <w:basedOn w:val="Normal"/>
    <w:next w:val="Normal"/>
    <w:qFormat/>
    <w:rsid w:val="00CD38DB"/>
    <w:pPr>
      <w:keepNext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rsid w:val="00CD38DB"/>
    <w:pPr>
      <w:keepNext/>
      <w:autoSpaceDE w:val="0"/>
      <w:autoSpaceDN w:val="0"/>
      <w:adjustRightInd w:val="0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C6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034C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69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982"/>
  </w:style>
  <w:style w:type="paragraph" w:customStyle="1" w:styleId="FRNotice1">
    <w:name w:val="FR Notice 1"/>
    <w:basedOn w:val="BlockText"/>
    <w:rsid w:val="00171349"/>
    <w:pPr>
      <w:spacing w:after="0" w:line="360" w:lineRule="auto"/>
      <w:ind w:left="0" w:right="0"/>
    </w:pPr>
    <w:rPr>
      <w:szCs w:val="20"/>
    </w:rPr>
  </w:style>
  <w:style w:type="paragraph" w:styleId="BlockText">
    <w:name w:val="Block Text"/>
    <w:basedOn w:val="Normal"/>
    <w:rsid w:val="00171349"/>
    <w:pPr>
      <w:spacing w:after="120"/>
      <w:ind w:left="1440" w:right="1440"/>
    </w:pPr>
  </w:style>
  <w:style w:type="character" w:styleId="CommentReference">
    <w:name w:val="annotation reference"/>
    <w:basedOn w:val="DefaultParagraphFont"/>
    <w:uiPriority w:val="99"/>
    <w:rsid w:val="00A1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3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19A"/>
  </w:style>
  <w:style w:type="paragraph" w:styleId="CommentSubject">
    <w:name w:val="annotation subject"/>
    <w:basedOn w:val="CommentText"/>
    <w:next w:val="CommentText"/>
    <w:link w:val="CommentSubjectChar"/>
    <w:rsid w:val="00A1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19A"/>
    <w:rPr>
      <w:b/>
      <w:bCs/>
    </w:rPr>
  </w:style>
  <w:style w:type="paragraph" w:styleId="Revision">
    <w:name w:val="Revision"/>
    <w:hidden/>
    <w:uiPriority w:val="99"/>
    <w:semiHidden/>
    <w:rsid w:val="00C478DA"/>
    <w:rPr>
      <w:sz w:val="24"/>
      <w:szCs w:val="24"/>
    </w:rPr>
  </w:style>
  <w:style w:type="paragraph" w:customStyle="1" w:styleId="FRNotice2">
    <w:name w:val="FR Notice 2"/>
    <w:basedOn w:val="Normal"/>
    <w:uiPriority w:val="99"/>
    <w:rsid w:val="004B3927"/>
    <w:pPr>
      <w:spacing w:line="360" w:lineRule="auto"/>
      <w:ind w:firstLine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4A568B"/>
    <w:pPr>
      <w:ind w:left="720"/>
    </w:pPr>
    <w:rPr>
      <w:rFonts w:eastAsiaTheme="minorHAnsi"/>
    </w:rPr>
  </w:style>
  <w:style w:type="paragraph" w:customStyle="1" w:styleId="RuleNotice1">
    <w:name w:val="Rule Notice 1"/>
    <w:basedOn w:val="BlockText"/>
    <w:rsid w:val="00980F01"/>
    <w:pPr>
      <w:suppressAutoHyphens/>
      <w:spacing w:after="0" w:line="360" w:lineRule="auto"/>
      <w:ind w:left="0" w:right="0"/>
    </w:pPr>
    <w:rPr>
      <w:rFonts w:cs="Calibri"/>
      <w:szCs w:val="20"/>
      <w:lang w:eastAsia="ar-SA"/>
    </w:rPr>
  </w:style>
  <w:style w:type="table" w:styleId="TableGrid">
    <w:name w:val="Table Grid"/>
    <w:basedOn w:val="TableNormal"/>
    <w:uiPriority w:val="59"/>
    <w:rsid w:val="00FE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5A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A9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3F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1visa.state.gov/" TargetMode="External" /><Relationship Id="rId6" Type="http://schemas.openxmlformats.org/officeDocument/2006/relationships/hyperlink" Target="https://j1visa.state.gov/sponsors/become-a-sponsor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55037-7810-401C-AFC4-FDEEFCDB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10139</Characters>
  <Application>Microsoft Office Word</Application>
  <DocSecurity>0</DocSecurity>
  <Lines>84</Lines>
  <Paragraphs>23</Paragraphs>
  <ScaleCrop>false</ScaleCrop>
  <Company>U. S. Department of State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Lorraine Flora</dc:creator>
  <cp:lastModifiedBy>Nupp, Jennifer</cp:lastModifiedBy>
  <cp:revision>2</cp:revision>
  <cp:lastPrinted>2016-12-08T22:14:00Z</cp:lastPrinted>
  <dcterms:created xsi:type="dcterms:W3CDTF">2024-08-12T13:43:00Z</dcterms:created>
  <dcterms:modified xsi:type="dcterms:W3CDTF">2024-08-12T13:43:00Z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c23941ff-64f3-4995-92e3-807cdc6ab353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2023-10-06T16:53:09Z</vt:lpwstr>
  </property>
  <property fmtid="{D5CDD505-2E9C-101B-9397-08002B2CF9AE}" pid="8" name="MSIP_Label_1665d9ee-429a-4d5f-97cc-cfb56e044a6e_SiteId">
    <vt:lpwstr>66cf5074-5afe-48d1-a691-a12b2121f44b</vt:lpwstr>
  </property>
</Properties>
</file>