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3252" w:rsidRPr="00AA6051" w:rsidP="009829C3" w14:paraId="659ABA22" w14:textId="77777777">
      <w:pPr>
        <w:pStyle w:val="PlainText"/>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Supp</w:t>
      </w:r>
      <w:r w:rsidRPr="00AA6051" w:rsidR="00C538B7">
        <w:rPr>
          <w:rFonts w:ascii="Times New Roman" w:eastAsia="MS Mincho" w:hAnsi="Times New Roman" w:cs="Times New Roman"/>
          <w:sz w:val="24"/>
          <w:u w:val="single"/>
        </w:rPr>
        <w:t xml:space="preserve">orting </w:t>
      </w:r>
      <w:r w:rsidRPr="00AA6051">
        <w:rPr>
          <w:rFonts w:ascii="Times New Roman" w:eastAsia="MS Mincho" w:hAnsi="Times New Roman" w:cs="Times New Roman"/>
          <w:sz w:val="24"/>
          <w:u w:val="single"/>
        </w:rPr>
        <w:t>Statement</w:t>
      </w:r>
    </w:p>
    <w:p w:rsidR="00F22B68" w:rsidRPr="00AA6051" w:rsidP="009829C3" w14:paraId="7BE38995" w14:textId="77777777">
      <w:pPr>
        <w:pStyle w:val="PlainText"/>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OMB Control Number 1506-0046</w:t>
      </w:r>
    </w:p>
    <w:p w:rsidR="00F22B68" w:rsidRPr="00AA6051" w:rsidP="009829C3" w14:paraId="63221429" w14:textId="77777777">
      <w:pPr>
        <w:pStyle w:val="PlainText"/>
        <w:jc w:val="center"/>
        <w:rPr>
          <w:rFonts w:ascii="Times New Roman" w:eastAsia="MS Mincho" w:hAnsi="Times New Roman" w:cs="Times New Roman"/>
          <w:sz w:val="24"/>
          <w:u w:val="single"/>
        </w:rPr>
      </w:pPr>
    </w:p>
    <w:p w:rsidR="00F22B68" w:rsidRPr="00AA6051" w:rsidP="009829C3" w14:paraId="2D6C4CA0" w14:textId="294C469F">
      <w:pPr>
        <w:pStyle w:val="PlainText"/>
        <w:rPr>
          <w:rFonts w:ascii="Times New Roman" w:eastAsia="MS Mincho" w:hAnsi="Times New Roman" w:cs="Times New Roman"/>
          <w:sz w:val="24"/>
          <w:szCs w:val="24"/>
          <w:u w:val="single"/>
        </w:rPr>
      </w:pPr>
      <w:r w:rsidRPr="00AA6051">
        <w:rPr>
          <w:rFonts w:ascii="Times New Roman" w:hAnsi="Times New Roman" w:cs="Times New Roman"/>
          <w:sz w:val="24"/>
          <w:szCs w:val="24"/>
          <w:u w:val="single"/>
        </w:rPr>
        <w:t>Due Diligence Programs for Correspondent Accounts for Foreign Financial Institutions and for Private Banking Accounts.</w:t>
      </w:r>
    </w:p>
    <w:p w:rsidR="00643252" w:rsidRPr="00AA6051" w:rsidP="009829C3" w14:paraId="2EC466E6" w14:textId="77777777">
      <w:pPr>
        <w:pStyle w:val="PlainText"/>
        <w:rPr>
          <w:rFonts w:ascii="Times New Roman" w:eastAsia="MS Mincho" w:hAnsi="Times New Roman" w:cs="Times New Roman"/>
          <w:sz w:val="24"/>
        </w:rPr>
      </w:pPr>
    </w:p>
    <w:p w:rsidR="00643252" w:rsidRPr="00AA6051" w:rsidP="009829C3" w14:paraId="3FAC580D" w14:textId="77777777">
      <w:pPr>
        <w:pStyle w:val="PlainText"/>
        <w:rPr>
          <w:rFonts w:ascii="Times New Roman" w:eastAsia="MS Mincho" w:hAnsi="Times New Roman" w:cs="Times New Roman"/>
          <w:sz w:val="24"/>
        </w:rPr>
      </w:pPr>
      <w:r w:rsidRPr="00AA6051">
        <w:rPr>
          <w:rFonts w:ascii="Times New Roman" w:eastAsia="MS Mincho" w:hAnsi="Times New Roman"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eastAsia="MS Mincho" w:hAnsi="Times New Roman" w:cs="Times New Roman"/>
          <w:sz w:val="24"/>
        </w:rPr>
        <w:tab/>
      </w:r>
    </w:p>
    <w:p w:rsidR="00F22B68" w:rsidRPr="00AA6051" w:rsidP="009829C3" w14:paraId="51BAC409" w14:textId="77777777">
      <w:pPr>
        <w:pStyle w:val="PlainText"/>
        <w:rPr>
          <w:rFonts w:ascii="Times New Roman" w:eastAsia="MS Mincho" w:hAnsi="Times New Roman" w:cs="Times New Roman"/>
          <w:sz w:val="24"/>
        </w:rPr>
      </w:pPr>
    </w:p>
    <w:p w:rsidR="005667C4" w:rsidP="005667C4" w14:paraId="68403D75" w14:textId="77777777">
      <w:pPr>
        <w:pStyle w:val="BodyTextIndent"/>
        <w:spacing w:after="0"/>
        <w:ind w:left="0" w:firstLine="36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t>Anti-Money Laundering Act of 2020 (</w:t>
      </w:r>
      <w:r w:rsidRPr="00CD4AE1">
        <w:t>AML Act</w:t>
      </w:r>
      <w:r>
        <w:t>)</w:t>
      </w:r>
      <w:r w:rsidRPr="00CD4AE1">
        <w:t>.</w:t>
      </w:r>
      <w:r>
        <w:rPr>
          <w:rStyle w:val="FootnoteReference"/>
        </w:rPr>
        <w:footnoteReference w:id="3"/>
      </w:r>
      <w:r w:rsidRPr="00CD4AE1">
        <w:t xml:space="preserve">  The BSA is codified at 12 U.S.C. 1829b</w:t>
      </w:r>
      <w:r>
        <w:t xml:space="preserve">, </w:t>
      </w:r>
      <w:r w:rsidRPr="00CD4AE1">
        <w:t>1951</w:t>
      </w:r>
      <w:r>
        <w:t>–</w:t>
      </w:r>
      <w:r w:rsidRPr="00CD4AE1">
        <w:t>1960 and 31 U.S.C. 5311</w:t>
      </w:r>
      <w:r>
        <w:t>–</w:t>
      </w:r>
      <w:r w:rsidRPr="00CD4AE1">
        <w:t>5314</w:t>
      </w:r>
      <w:r>
        <w:t xml:space="preserve">, </w:t>
      </w:r>
      <w:r w:rsidRPr="00CD4AE1">
        <w:t>5316</w:t>
      </w:r>
      <w:r>
        <w:t>–</w:t>
      </w:r>
      <w:r w:rsidRPr="00CD4AE1">
        <w:t xml:space="preserve">5336, </w:t>
      </w:r>
      <w:r>
        <w:t>including</w:t>
      </w:r>
      <w:r w:rsidRPr="00CD4AE1">
        <w:t xml:space="preserve"> notes thereto, with implementing regulations at 31 CFR </w:t>
      </w:r>
      <w:r>
        <w:t>c</w:t>
      </w:r>
      <w:r w:rsidRPr="00CD4AE1">
        <w:t xml:space="preserve">hapter X.   </w:t>
      </w:r>
    </w:p>
    <w:p w:rsidR="005667C4" w:rsidP="005667C4" w14:paraId="385E610F" w14:textId="77777777">
      <w:pPr>
        <w:pStyle w:val="BodyTextIndent"/>
        <w:spacing w:after="0"/>
        <w:ind w:left="0"/>
      </w:pPr>
    </w:p>
    <w:p w:rsidR="005667C4" w:rsidRPr="00CD4AE1" w:rsidP="005667C4" w14:paraId="0382A50C" w14:textId="6595A16B">
      <w:pPr>
        <w:pStyle w:val="BodyTextIndent"/>
        <w:spacing w:after="0"/>
        <w:ind w:left="0" w:firstLine="360"/>
      </w:pPr>
      <w:r w:rsidRPr="00CD4AE1">
        <w:t>The BSA authorizes the Secretary of the Treasury (Secretary)</w:t>
      </w:r>
      <w:r>
        <w:t xml:space="preserve"> to</w:t>
      </w:r>
      <w:r w:rsidRPr="00CD4AE1">
        <w:t xml:space="preserve">, </w:t>
      </w:r>
      <w:r w:rsidRPr="006D40EA">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5A7DEE" w:rsidRPr="00AA6051" w:rsidP="009829C3" w14:paraId="581A4CB3" w14:textId="77777777">
      <w:pPr>
        <w:pStyle w:val="PlainText"/>
        <w:ind w:firstLine="720"/>
        <w:rPr>
          <w:rFonts w:ascii="Times New Roman" w:hAnsi="Times New Roman" w:cs="Times New Roman"/>
          <w:sz w:val="24"/>
          <w:szCs w:val="24"/>
        </w:rPr>
      </w:pPr>
    </w:p>
    <w:p w:rsidR="00C01500" w:rsidRPr="00FA7EFC" w:rsidP="00D319AA" w14:paraId="4DB1DD38" w14:textId="1F4647AE">
      <w:pPr>
        <w:shd w:val="clear" w:color="auto" w:fill="FFFFFF"/>
        <w:ind w:firstLine="720"/>
        <w:rPr>
          <w:rFonts w:eastAsia="MS Mincho"/>
          <w:bCs/>
        </w:rPr>
      </w:pPr>
      <w:r w:rsidRPr="006B7DD0">
        <w:t>Section 312 of the USA PATRIOT Act added</w:t>
      </w:r>
      <w:r w:rsidRPr="00FB0753">
        <w:t xml:space="preserve"> subsection (i) to 31 U.S.C. 5318 of the BSA. </w:t>
      </w:r>
      <w:r>
        <w:t xml:space="preserve"> </w:t>
      </w:r>
      <w:r w:rsidRPr="006B7DD0">
        <w:t>Section 312 mandate</w:t>
      </w:r>
      <w:r w:rsidRPr="00FB0753">
        <w:t xml:space="preserve">s that </w:t>
      </w:r>
      <w:r w:rsidRPr="00C4287C">
        <w:rPr>
          <w:shd w:val="clear" w:color="auto" w:fill="FFFFFF"/>
        </w:rPr>
        <w:t>each</w:t>
      </w:r>
      <w:r>
        <w:rPr>
          <w:shd w:val="clear" w:color="auto" w:fill="FFFFFF"/>
        </w:rPr>
        <w:t xml:space="preserve"> </w:t>
      </w:r>
      <w:hyperlink r:id="rId9" w:history="1">
        <w:r w:rsidRPr="00C4287C">
          <w:rPr>
            <w:shd w:val="clear" w:color="auto" w:fill="FFFFFF"/>
          </w:rPr>
          <w:t>financial institution</w:t>
        </w:r>
      </w:hyperlink>
      <w:r>
        <w:rPr>
          <w:shd w:val="clear" w:color="auto" w:fill="FFFFFF"/>
        </w:rPr>
        <w:t xml:space="preserve"> </w:t>
      </w:r>
      <w:r w:rsidRPr="00C4287C">
        <w:rPr>
          <w:shd w:val="clear" w:color="auto" w:fill="FFFFFF"/>
        </w:rPr>
        <w:t xml:space="preserve">that establishes, maintains, administers, or manages </w:t>
      </w:r>
      <w:r w:rsidRPr="00640FAF">
        <w:rPr>
          <w:shd w:val="clear" w:color="auto" w:fill="FFFFFF"/>
        </w:rPr>
        <w:t xml:space="preserve">a private banking account </w:t>
      </w:r>
      <w:r>
        <w:rPr>
          <w:shd w:val="clear" w:color="auto" w:fill="FFFFFF"/>
        </w:rPr>
        <w:t xml:space="preserve">or </w:t>
      </w:r>
      <w:r w:rsidRPr="00C4287C">
        <w:rPr>
          <w:shd w:val="clear" w:color="auto" w:fill="FFFFFF"/>
        </w:rPr>
        <w:t>a</w:t>
      </w:r>
      <w:hyperlink r:id="rId10" w:history="1">
        <w:r>
          <w:rPr>
            <w:shd w:val="clear" w:color="auto" w:fill="FFFFFF"/>
          </w:rPr>
          <w:t xml:space="preserve"> </w:t>
        </w:r>
        <w:r w:rsidRPr="00C4287C">
          <w:rPr>
            <w:shd w:val="clear" w:color="auto" w:fill="FFFFFF"/>
          </w:rPr>
          <w:t>correspondent account</w:t>
        </w:r>
      </w:hyperlink>
      <w:r>
        <w:rPr>
          <w:shd w:val="clear" w:color="auto" w:fill="FFFFFF"/>
        </w:rPr>
        <w:t xml:space="preserve"> </w:t>
      </w:r>
      <w:r w:rsidRPr="00C4287C">
        <w:rPr>
          <w:shd w:val="clear" w:color="auto" w:fill="FFFFFF"/>
        </w:rPr>
        <w:t>in the</w:t>
      </w:r>
      <w:hyperlink r:id="rId11" w:history="1">
        <w:r>
          <w:rPr>
            <w:shd w:val="clear" w:color="auto" w:fill="FFFFFF"/>
          </w:rPr>
          <w:t xml:space="preserve"> </w:t>
        </w:r>
        <w:r w:rsidRPr="00C4287C">
          <w:rPr>
            <w:shd w:val="clear" w:color="auto" w:fill="FFFFFF"/>
          </w:rPr>
          <w:t>United States</w:t>
        </w:r>
      </w:hyperlink>
      <w:r>
        <w:rPr>
          <w:shd w:val="clear" w:color="auto" w:fill="FFFFFF"/>
        </w:rPr>
        <w:t xml:space="preserve"> </w:t>
      </w:r>
      <w:r w:rsidRPr="00C4287C">
        <w:rPr>
          <w:shd w:val="clear" w:color="auto" w:fill="FFFFFF"/>
        </w:rPr>
        <w:t>for non-</w:t>
      </w:r>
      <w:r>
        <w:rPr>
          <w:shd w:val="clear" w:color="auto" w:fill="FFFFFF"/>
        </w:rPr>
        <w:t>U.S.</w:t>
      </w:r>
      <w:r w:rsidRPr="00C4287C">
        <w:rPr>
          <w:shd w:val="clear" w:color="auto" w:fill="FFFFFF"/>
        </w:rPr>
        <w:t xml:space="preserve"> persons</w:t>
      </w:r>
      <w:r w:rsidRPr="00640FAF">
        <w:rPr>
          <w:shd w:val="clear" w:color="auto" w:fill="FFFFFF"/>
        </w:rPr>
        <w:t xml:space="preserve"> establish appropriate, specific, and, where necessary, enhanced</w:t>
      </w:r>
      <w:r>
        <w:rPr>
          <w:shd w:val="clear" w:color="auto" w:fill="FFFFFF"/>
        </w:rPr>
        <w:t>,</w:t>
      </w:r>
      <w:r w:rsidRPr="00640FAF">
        <w:rPr>
          <w:shd w:val="clear" w:color="auto" w:fill="FFFFFF"/>
        </w:rPr>
        <w:t xml:space="preserve"> due diligence policies, procedures, and controls that are reasonably designed to detect and report instances of money laundering through those accounts. </w:t>
      </w:r>
      <w:r>
        <w:rPr>
          <w:shd w:val="clear" w:color="auto" w:fill="FFFFFF"/>
        </w:rPr>
        <w:t xml:space="preserve"> </w:t>
      </w:r>
      <w:r w:rsidRPr="00640FAF">
        <w:rPr>
          <w:shd w:val="clear" w:color="auto" w:fill="FFFFFF"/>
        </w:rPr>
        <w:t>The regulations implementing the due diligence requirements for maintaining foreign correspondent accounts</w:t>
      </w:r>
      <w:r>
        <w:rPr>
          <w:rFonts w:eastAsia="MS Mincho"/>
          <w:bCs/>
        </w:rPr>
        <w:t xml:space="preserve"> and private banking accounts </w:t>
      </w:r>
      <w:r w:rsidRPr="009B38E0">
        <w:rPr>
          <w:rFonts w:eastAsia="MS Mincho"/>
          <w:bCs/>
        </w:rPr>
        <w:t>are found at 31 CFR 1010.</w:t>
      </w:r>
      <w:r>
        <w:rPr>
          <w:rFonts w:eastAsia="MS Mincho"/>
          <w:bCs/>
        </w:rPr>
        <w:t>610 and 31 CFR 1010.620, respectively, and apply to covered financial institutions</w:t>
      </w:r>
      <w:r w:rsidR="00E40E20">
        <w:rPr>
          <w:rFonts w:eastAsia="MS Mincho"/>
          <w:bCs/>
        </w:rPr>
        <w:t>,</w:t>
      </w:r>
      <w:r>
        <w:rPr>
          <w:rFonts w:eastAsia="MS Mincho"/>
          <w:bCs/>
        </w:rPr>
        <w:t xml:space="preserve"> defined as certain </w:t>
      </w:r>
      <w:r w:rsidRPr="009B38E0">
        <w:t>banks, brokers or dealers in securities, futures commission merchants, in</w:t>
      </w:r>
      <w:r w:rsidRPr="009B38E0">
        <w:rPr>
          <w:rFonts w:eastAsia="MS Mincho"/>
        </w:rPr>
        <w:t xml:space="preserve">troducing </w:t>
      </w:r>
      <w:r w:rsidRPr="00FA7EFC">
        <w:rPr>
          <w:rFonts w:eastAsia="MS Mincho"/>
        </w:rPr>
        <w:t>brokers in commodities, and mutual funds.</w:t>
      </w:r>
      <w:r>
        <w:rPr>
          <w:rStyle w:val="FootnoteReference"/>
          <w:rFonts w:eastAsia="MS Mincho"/>
          <w:bCs/>
        </w:rPr>
        <w:footnoteReference w:id="6"/>
      </w:r>
      <w:r w:rsidRPr="00FA7EFC">
        <w:rPr>
          <w:rFonts w:eastAsia="MS Mincho"/>
          <w:bCs/>
        </w:rPr>
        <w:t xml:space="preserve">  </w:t>
      </w:r>
    </w:p>
    <w:p w:rsidR="00C70EA9" w:rsidRPr="00FA7EFC" w:rsidP="00D319AA" w14:paraId="2A7ED4AE" w14:textId="77777777">
      <w:pPr>
        <w:shd w:val="clear" w:color="auto" w:fill="FFFFFF"/>
        <w:ind w:firstLine="720"/>
        <w:rPr>
          <w:rFonts w:eastAsia="MS Mincho"/>
          <w:bCs/>
        </w:rPr>
      </w:pPr>
    </w:p>
    <w:p w:rsidR="00643252" w:rsidRPr="00FA7EFC" w:rsidP="007A18DC" w14:paraId="5EB1D9F8" w14:textId="77777777">
      <w:pPr>
        <w:keepNext/>
        <w:keepLines/>
        <w:rPr>
          <w:bCs/>
        </w:rPr>
      </w:pPr>
      <w:bookmarkStart w:id="3" w:name="_Hlk175052085"/>
      <w:r w:rsidRPr="00FA7EFC">
        <w:rPr>
          <w:bCs/>
        </w:rPr>
        <w:t xml:space="preserve">2. </w:t>
      </w:r>
      <w:r w:rsidRPr="00FA7EFC">
        <w:rPr>
          <w:bCs/>
          <w:u w:val="single"/>
        </w:rPr>
        <w:t>M</w:t>
      </w:r>
      <w:r w:rsidRPr="00FA7EFC" w:rsidR="00E667ED">
        <w:rPr>
          <w:bCs/>
          <w:u w:val="single"/>
        </w:rPr>
        <w:t>ethod of collection and use of d</w:t>
      </w:r>
      <w:r w:rsidRPr="00FA7EFC">
        <w:rPr>
          <w:bCs/>
          <w:u w:val="single"/>
        </w:rPr>
        <w:t>ata.</w:t>
      </w:r>
      <w:r w:rsidRPr="00FA7EFC">
        <w:rPr>
          <w:bCs/>
        </w:rPr>
        <w:t xml:space="preserve"> </w:t>
      </w:r>
    </w:p>
    <w:bookmarkEnd w:id="3"/>
    <w:p w:rsidR="009829C3" w:rsidRPr="00FA7EFC" w:rsidP="007A18DC" w14:paraId="6803F93A" w14:textId="77777777">
      <w:pPr>
        <w:keepNext/>
        <w:keepLines/>
        <w:rPr>
          <w:bCs/>
        </w:rPr>
      </w:pPr>
    </w:p>
    <w:p w:rsidR="0043400F" w:rsidRPr="00FA7EFC" w:rsidP="007A18DC" w14:paraId="36F0191B" w14:textId="7351157B">
      <w:pPr>
        <w:pStyle w:val="BodyTextIndent"/>
        <w:keepNext/>
        <w:keepLines/>
        <w:spacing w:after="0"/>
        <w:ind w:left="0" w:firstLine="720"/>
      </w:pPr>
      <w:r w:rsidRPr="00FA7EFC">
        <w:rPr>
          <w:bCs/>
        </w:rPr>
        <w:t>The collection of info</w:t>
      </w:r>
      <w:r w:rsidRPr="00FA7EFC" w:rsidR="00C70EA9">
        <w:rPr>
          <w:bCs/>
        </w:rPr>
        <w:t>rmation is not reported to the F</w:t>
      </w:r>
      <w:r w:rsidRPr="00FA7EFC">
        <w:rPr>
          <w:bCs/>
        </w:rPr>
        <w:t>ederal government.  Inst</w:t>
      </w:r>
      <w:r w:rsidRPr="00FA7EFC">
        <w:t xml:space="preserve">ead, </w:t>
      </w:r>
      <w:r w:rsidRPr="00FA7EFC" w:rsidR="00081EE2">
        <w:t xml:space="preserve">covered </w:t>
      </w:r>
      <w:r w:rsidRPr="00FA7EFC">
        <w:t xml:space="preserve">financial institutions </w:t>
      </w:r>
      <w:r w:rsidRPr="00FA7EFC" w:rsidR="00544A40">
        <w:t>are</w:t>
      </w:r>
      <w:r w:rsidRPr="00FA7EFC">
        <w:t xml:space="preserve"> required to </w:t>
      </w:r>
      <w:r w:rsidRPr="00FA7EFC" w:rsidR="00C70EA9">
        <w:t>document and maintain records reflecting the due dili</w:t>
      </w:r>
      <w:r w:rsidRPr="00FA7EFC" w:rsidR="00081EE2">
        <w:t xml:space="preserve">gence they conducted on </w:t>
      </w:r>
      <w:r w:rsidRPr="00FA7EFC" w:rsidR="00C70EA9">
        <w:t>correspondent accounts</w:t>
      </w:r>
      <w:r w:rsidRPr="00FA7EFC" w:rsidR="00081EE2">
        <w:t xml:space="preserve"> for foreign financial institutions</w:t>
      </w:r>
      <w:r w:rsidRPr="00FA7EFC" w:rsidR="00C70EA9">
        <w:t xml:space="preserve"> and private bank</w:t>
      </w:r>
      <w:r w:rsidRPr="00FA7EFC" w:rsidR="00DB1137">
        <w:t>ing</w:t>
      </w:r>
      <w:r w:rsidRPr="00FA7EFC" w:rsidR="00C70EA9">
        <w:t xml:space="preserve"> accounts they maintain</w:t>
      </w:r>
      <w:r w:rsidRPr="00FA7EFC">
        <w:t xml:space="preserve">.  </w:t>
      </w:r>
      <w:r w:rsidRPr="00FA7EFC" w:rsidR="00870C85">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FA7EFC" w:rsidR="00870C85">
        <w:t xml:space="preserve">  Compliance with these requirements will be reviewed by Federal agencies during BSA examinations.</w:t>
      </w:r>
    </w:p>
    <w:p w:rsidR="009829C3" w:rsidRPr="00FA7EFC" w:rsidP="00D319AA" w14:paraId="05DF9A68" w14:textId="7876FF1F">
      <w:pPr>
        <w:ind w:firstLine="720"/>
      </w:pPr>
    </w:p>
    <w:p w:rsidR="00643252" w:rsidRPr="00FA7EFC" w:rsidP="00D319AA" w14:paraId="6E3337A8" w14:textId="77777777">
      <w:r w:rsidRPr="00FA7EFC">
        <w:t xml:space="preserve">3. </w:t>
      </w:r>
      <w:r w:rsidRPr="00FA7EFC" w:rsidR="00E667ED">
        <w:rPr>
          <w:u w:val="single"/>
        </w:rPr>
        <w:t>Use of i</w:t>
      </w:r>
      <w:r w:rsidRPr="00FA7EFC">
        <w:rPr>
          <w:u w:val="single"/>
        </w:rPr>
        <w:t xml:space="preserve">mproved </w:t>
      </w:r>
      <w:r w:rsidRPr="00FA7EFC" w:rsidR="00E667ED">
        <w:rPr>
          <w:u w:val="single"/>
        </w:rPr>
        <w:t>information technology to reduce b</w:t>
      </w:r>
      <w:r w:rsidRPr="00FA7EFC">
        <w:rPr>
          <w:u w:val="single"/>
        </w:rPr>
        <w:t>urden.</w:t>
      </w:r>
      <w:r w:rsidRPr="00FA7EFC">
        <w:t xml:space="preserve"> </w:t>
      </w:r>
    </w:p>
    <w:p w:rsidR="009829C3" w:rsidRPr="00FA7EFC" w:rsidP="00D319AA" w14:paraId="3DEB2ADB" w14:textId="77777777"/>
    <w:p w:rsidR="00643252" w:rsidRPr="00FA7EFC" w:rsidP="00D319AA" w14:paraId="01D7F319" w14:textId="77777777">
      <w:pPr>
        <w:ind w:firstLine="720"/>
      </w:pPr>
      <w:r w:rsidRPr="00FA7EFC">
        <w:t xml:space="preserve">Financial institutions </w:t>
      </w:r>
      <w:r w:rsidRPr="00FA7EFC" w:rsidR="00414797">
        <w:t xml:space="preserve">are permitted to automate their systems to meet their requirements.  There is no specific government mandate to do so.  </w:t>
      </w:r>
    </w:p>
    <w:p w:rsidR="009829C3" w:rsidRPr="00FA7EFC" w:rsidP="00D319AA" w14:paraId="5495A9E6" w14:textId="77777777">
      <w:pPr>
        <w:ind w:firstLine="720"/>
      </w:pPr>
    </w:p>
    <w:p w:rsidR="00643252" w:rsidRPr="00FA7EFC" w:rsidP="00D319AA" w14:paraId="0CA3AFA8" w14:textId="77777777">
      <w:pPr>
        <w:rPr>
          <w:u w:val="single"/>
        </w:rPr>
      </w:pPr>
      <w:r w:rsidRPr="00FA7EFC">
        <w:t xml:space="preserve">4. </w:t>
      </w:r>
      <w:r w:rsidRPr="00FA7EFC" w:rsidR="00E667ED">
        <w:rPr>
          <w:u w:val="single"/>
        </w:rPr>
        <w:t>Efforts to identify d</w:t>
      </w:r>
      <w:r w:rsidRPr="00FA7EFC">
        <w:rPr>
          <w:u w:val="single"/>
        </w:rPr>
        <w:t>uplication</w:t>
      </w:r>
      <w:r w:rsidRPr="00FA7EFC" w:rsidR="003E69DC">
        <w:rPr>
          <w:u w:val="single"/>
        </w:rPr>
        <w:t>.</w:t>
      </w:r>
      <w:r w:rsidRPr="00FA7EFC">
        <w:rPr>
          <w:u w:val="single"/>
        </w:rPr>
        <w:t xml:space="preserve"> </w:t>
      </w:r>
    </w:p>
    <w:p w:rsidR="009829C3" w:rsidRPr="00FA7EFC" w:rsidP="00D319AA" w14:paraId="7E967501" w14:textId="77777777">
      <w:pPr>
        <w:rPr>
          <w:u w:val="single"/>
        </w:rPr>
      </w:pPr>
    </w:p>
    <w:p w:rsidR="00C4238E" w:rsidRPr="00FA7EFC" w:rsidP="00D319AA" w14:paraId="6D13914F" w14:textId="08F53825">
      <w:pPr>
        <w:ind w:firstLine="720"/>
      </w:pPr>
      <w:r w:rsidRPr="00FA7EFC">
        <w:t>There is no similar information available</w:t>
      </w:r>
      <w:r w:rsidR="00B62A2D">
        <w:t xml:space="preserve"> and</w:t>
      </w:r>
      <w:r w:rsidRPr="00FA7EFC" w:rsidR="00B62A2D">
        <w:t xml:space="preserve"> </w:t>
      </w:r>
      <w:r w:rsidRPr="00FA7EFC">
        <w:t>thus</w:t>
      </w:r>
      <w:r w:rsidR="00B62A2D">
        <w:t>,</w:t>
      </w:r>
      <w:r w:rsidRPr="00FA7EFC">
        <w:t xml:space="preserve"> there is no duplication.</w:t>
      </w:r>
    </w:p>
    <w:p w:rsidR="009829C3" w:rsidRPr="00FA7EFC" w:rsidP="00D319AA" w14:paraId="22BA7DE9" w14:textId="77777777">
      <w:pPr>
        <w:ind w:firstLine="720"/>
      </w:pPr>
    </w:p>
    <w:p w:rsidR="00643252" w:rsidRPr="00FA7EFC" w:rsidP="00D319AA" w14:paraId="677D1102" w14:textId="77777777">
      <w:pPr>
        <w:rPr>
          <w:u w:val="single"/>
        </w:rPr>
      </w:pPr>
      <w:r w:rsidRPr="00FA7EFC">
        <w:t xml:space="preserve">5. </w:t>
      </w:r>
      <w:r w:rsidRPr="00FA7EFC" w:rsidR="00E667ED">
        <w:rPr>
          <w:u w:val="single"/>
        </w:rPr>
        <w:t>Methods to minimize burden on small businesses or other small e</w:t>
      </w:r>
      <w:r w:rsidRPr="00FA7EFC">
        <w:rPr>
          <w:u w:val="single"/>
        </w:rPr>
        <w:t>ntities</w:t>
      </w:r>
      <w:r w:rsidRPr="00FA7EFC" w:rsidR="003E69DC">
        <w:rPr>
          <w:u w:val="single"/>
        </w:rPr>
        <w:t>.</w:t>
      </w:r>
    </w:p>
    <w:p w:rsidR="009829C3" w:rsidRPr="00FA7EFC" w:rsidP="00D319AA" w14:paraId="440270DD" w14:textId="77777777">
      <w:pPr>
        <w:ind w:firstLine="720"/>
      </w:pPr>
    </w:p>
    <w:p w:rsidR="00643252" w:rsidRPr="00FA7EFC" w:rsidP="00D319AA" w14:paraId="2CB0A0C8" w14:textId="5CDE8CBD">
      <w:pPr>
        <w:ind w:firstLine="720"/>
      </w:pPr>
      <w:r w:rsidRPr="00FA7EFC">
        <w:t xml:space="preserve">All financial institutions </w:t>
      </w:r>
      <w:r w:rsidRPr="00FA7EFC" w:rsidR="00E06083">
        <w:t xml:space="preserve">that maintain </w:t>
      </w:r>
      <w:r w:rsidRPr="00FA7EFC" w:rsidR="004C2D27">
        <w:t>correspondent accounts</w:t>
      </w:r>
      <w:r w:rsidRPr="00FA7EFC" w:rsidR="00E06083">
        <w:t xml:space="preserve"> for foreign financial institutions</w:t>
      </w:r>
      <w:r w:rsidRPr="00FA7EFC" w:rsidR="004C2D27">
        <w:t xml:space="preserve"> or private banking accounts </w:t>
      </w:r>
      <w:r w:rsidRPr="00FA7EFC" w:rsidR="0030221B">
        <w:t xml:space="preserve">for non-US persons </w:t>
      </w:r>
      <w:r w:rsidRPr="00FA7EFC">
        <w:t>are required</w:t>
      </w:r>
      <w:r w:rsidRPr="00FA7EFC" w:rsidR="004C2D27">
        <w:t xml:space="preserve"> to conduct </w:t>
      </w:r>
      <w:r w:rsidRPr="00FA7EFC" w:rsidR="00181256">
        <w:t xml:space="preserve">due diligence on </w:t>
      </w:r>
      <w:r w:rsidRPr="00FA7EFC" w:rsidR="00104F2C">
        <w:t xml:space="preserve">such </w:t>
      </w:r>
      <w:r w:rsidRPr="00FA7EFC" w:rsidR="00181256">
        <w:t xml:space="preserve">accounts </w:t>
      </w:r>
      <w:r w:rsidRPr="00FA7EFC" w:rsidR="004C2D27">
        <w:t xml:space="preserve">and document </w:t>
      </w:r>
      <w:r w:rsidRPr="00FA7EFC" w:rsidR="00181256">
        <w:t xml:space="preserve">such </w:t>
      </w:r>
      <w:r w:rsidRPr="00FA7EFC" w:rsidR="004C2D27">
        <w:t>due diligence</w:t>
      </w:r>
      <w:r w:rsidRPr="00FA7EFC" w:rsidR="002E72EC">
        <w:t>.</w:t>
      </w:r>
      <w:r w:rsidRPr="00FA7EFC" w:rsidR="004C2D27">
        <w:t xml:space="preserve"> </w:t>
      </w:r>
      <w:r w:rsidRPr="00FA7EFC" w:rsidR="00481716">
        <w:t xml:space="preserve"> </w:t>
      </w:r>
      <w:r w:rsidRPr="00FA7EFC" w:rsidR="004C2D27">
        <w:t>Financial institutions are permitted to use the method most suitable to their assessment of risk as it relates to the due diligence requirements.</w:t>
      </w:r>
    </w:p>
    <w:p w:rsidR="009829C3" w:rsidRPr="00FA7EFC" w:rsidP="00D319AA" w14:paraId="0F14F1F9" w14:textId="77777777">
      <w:pPr>
        <w:ind w:firstLine="720"/>
      </w:pPr>
    </w:p>
    <w:p w:rsidR="00643252" w:rsidRPr="00FA7EFC" w:rsidP="00D319AA" w14:paraId="3193A4B7" w14:textId="77777777">
      <w:r w:rsidRPr="00FA7EFC">
        <w:t xml:space="preserve">6. </w:t>
      </w:r>
      <w:r w:rsidRPr="00FA7EFC" w:rsidR="00E667ED">
        <w:rPr>
          <w:u w:val="single"/>
        </w:rPr>
        <w:t>Consequences to the Federal g</w:t>
      </w:r>
      <w:r w:rsidRPr="00FA7EFC">
        <w:rPr>
          <w:u w:val="single"/>
        </w:rPr>
        <w:t>o</w:t>
      </w:r>
      <w:r w:rsidRPr="00FA7EFC" w:rsidR="00E667ED">
        <w:rPr>
          <w:u w:val="single"/>
        </w:rPr>
        <w:t>vernment of not collecting the i</w:t>
      </w:r>
      <w:r w:rsidRPr="00FA7EFC">
        <w:rPr>
          <w:u w:val="single"/>
        </w:rPr>
        <w:t>nformation.</w:t>
      </w:r>
      <w:r w:rsidRPr="00FA7EFC">
        <w:t xml:space="preserve"> </w:t>
      </w:r>
    </w:p>
    <w:p w:rsidR="009829C3" w:rsidRPr="00FA7EFC" w:rsidP="00D319AA" w14:paraId="0822D05C" w14:textId="77777777">
      <w:pPr>
        <w:ind w:firstLine="720"/>
      </w:pPr>
    </w:p>
    <w:p w:rsidR="00643252" w:rsidRPr="00FA7EFC" w:rsidP="00D319AA" w14:paraId="3A9FFEA9" w14:textId="26159934">
      <w:pPr>
        <w:ind w:firstLine="720"/>
      </w:pPr>
      <w:r>
        <w:t xml:space="preserve">Without access to the information in question, the Federal government would be unable to fully evaluate the compliance of covered financial institutions with relevant U.S. law.  </w:t>
      </w:r>
      <w:r w:rsidRPr="00FA7EFC" w:rsidR="00414797">
        <w:t>The Federal government requires reporting of this information only upon request</w:t>
      </w:r>
      <w:r w:rsidRPr="00FA7EFC" w:rsidR="00006BA9">
        <w:t xml:space="preserve"> of appropriate law enforcement agencies and supervisory agencies</w:t>
      </w:r>
      <w:r w:rsidRPr="00FA7EFC" w:rsidR="00414797">
        <w:t xml:space="preserve">.  </w:t>
      </w:r>
    </w:p>
    <w:p w:rsidR="009829C3" w:rsidRPr="00FA7EFC" w:rsidP="00D319AA" w14:paraId="26F97DCD" w14:textId="77777777">
      <w:pPr>
        <w:ind w:firstLine="720"/>
      </w:pPr>
    </w:p>
    <w:p w:rsidR="00643252" w:rsidRPr="00FA7EFC" w:rsidP="00D319AA" w14:paraId="4C5BE43C" w14:textId="77777777">
      <w:pPr>
        <w:rPr>
          <w:u w:val="single"/>
        </w:rPr>
      </w:pPr>
      <w:r w:rsidRPr="00FA7EFC">
        <w:t xml:space="preserve">7. </w:t>
      </w:r>
      <w:r w:rsidRPr="00FA7EFC" w:rsidR="00E667ED">
        <w:rPr>
          <w:u w:val="single"/>
        </w:rPr>
        <w:t>Special circumstances requiring data collection inconsistent with g</w:t>
      </w:r>
      <w:r w:rsidRPr="00FA7EFC">
        <w:rPr>
          <w:u w:val="single"/>
        </w:rPr>
        <w:t>uidelines.</w:t>
      </w:r>
    </w:p>
    <w:p w:rsidR="00643252" w:rsidRPr="00FA7EFC" w:rsidP="00D319AA" w14:paraId="7C4FA590" w14:textId="77777777">
      <w:pPr>
        <w:widowControl w:val="0"/>
        <w:autoSpaceDE w:val="0"/>
        <w:autoSpaceDN w:val="0"/>
        <w:adjustRightInd w:val="0"/>
        <w:ind w:firstLine="710"/>
      </w:pPr>
    </w:p>
    <w:p w:rsidR="00104F2C" w:rsidRPr="00FA7EFC" w:rsidP="00D319AA" w14:paraId="168F885D" w14:textId="4D76341E">
      <w:pPr>
        <w:ind w:firstLine="720"/>
      </w:pPr>
      <w:r w:rsidRPr="00FA7EFC">
        <w:t xml:space="preserve">Under 31 CFR 1010.430(d), </w:t>
      </w:r>
      <w:r w:rsidRPr="00FA7EFC">
        <w:rPr>
          <w:lang w:val="en"/>
        </w:rPr>
        <w:t xml:space="preserve">all records that are required to be retained by 31 CFR Chapter X must be retained for a period of five years. </w:t>
      </w:r>
      <w:r w:rsidRPr="00FA7EFC" w:rsidR="00C40F01">
        <w:rPr>
          <w:lang w:val="en"/>
        </w:rPr>
        <w:t xml:space="preserve"> </w:t>
      </w:r>
      <w:r w:rsidRPr="00FA7EFC">
        <w:rPr>
          <w:lang w:val="en"/>
        </w:rPr>
        <w:t>These</w:t>
      </w:r>
      <w:r w:rsidRPr="00FA7EFC" w:rsidR="00BF4B59">
        <w:rPr>
          <w:lang w:val="en"/>
        </w:rPr>
        <w:t xml:space="preserve"> </w:t>
      </w:r>
      <w:r w:rsidRPr="00FA7EFC">
        <w:t xml:space="preserve">due diligence </w:t>
      </w:r>
      <w:r w:rsidRPr="00FA7EFC">
        <w:rPr>
          <w:lang w:val="en"/>
        </w:rPr>
        <w:t xml:space="preserve">program </w:t>
      </w:r>
      <w:r w:rsidRPr="00FA7EFC">
        <w:t>records must be kept for five years to verify compliance with the requirement to maintain such a program</w:t>
      </w:r>
      <w:r w:rsidRPr="00FA7EFC" w:rsidR="00BC0DF1">
        <w:t>,</w:t>
      </w:r>
      <w:r w:rsidRPr="00FA7EFC">
        <w:t xml:space="preserve"> as</w:t>
      </w:r>
      <w:r w:rsidRPr="00FA7EFC" w:rsidR="00BC0DF1">
        <w:t xml:space="preserve"> such records</w:t>
      </w:r>
      <w:r w:rsidRPr="00FA7EFC">
        <w:t xml:space="preserve"> may relate to civil penalty actions that are subject to statutes of limitation longer than three years.</w:t>
      </w:r>
    </w:p>
    <w:p w:rsidR="00D52D6F" w:rsidRPr="00FA7EFC" w:rsidP="00D319AA" w14:paraId="12096D3C" w14:textId="5CEECF43"/>
    <w:p w:rsidR="00643252" w:rsidRPr="00D319AA" w:rsidP="00D319AA" w14:paraId="0EB048C7" w14:textId="05AD28CC">
      <w:r w:rsidRPr="00D319AA">
        <w:t xml:space="preserve">8. </w:t>
      </w:r>
      <w:r w:rsidRPr="00D319AA">
        <w:rPr>
          <w:u w:val="single"/>
        </w:rPr>
        <w:t>Consultation w</w:t>
      </w:r>
      <w:r w:rsidRPr="00D319AA" w:rsidR="00E667ED">
        <w:rPr>
          <w:u w:val="single"/>
        </w:rPr>
        <w:t>ith individuals outside of the a</w:t>
      </w:r>
      <w:r w:rsidRPr="00D319AA">
        <w:rPr>
          <w:u w:val="single"/>
        </w:rPr>
        <w:t>g</w:t>
      </w:r>
      <w:r w:rsidRPr="00D319AA" w:rsidR="00E667ED">
        <w:rPr>
          <w:u w:val="single"/>
        </w:rPr>
        <w:t>ency on availability of data</w:t>
      </w:r>
      <w:r w:rsidR="00041587">
        <w:rPr>
          <w:u w:val="single"/>
        </w:rPr>
        <w:t>,</w:t>
      </w:r>
      <w:r w:rsidRPr="00D319AA" w:rsidR="00E667ED">
        <w:rPr>
          <w:u w:val="single"/>
        </w:rPr>
        <w:t xml:space="preserve"> f</w:t>
      </w:r>
      <w:r w:rsidRPr="00D319AA">
        <w:rPr>
          <w:u w:val="single"/>
        </w:rPr>
        <w:t>requ</w:t>
      </w:r>
      <w:r w:rsidRPr="00D319AA" w:rsidR="00E667ED">
        <w:rPr>
          <w:u w:val="single"/>
        </w:rPr>
        <w:t>ency of collection, clarity of i</w:t>
      </w:r>
      <w:r w:rsidRPr="00D319AA">
        <w:rPr>
          <w:u w:val="single"/>
        </w:rPr>
        <w:t>n</w:t>
      </w:r>
      <w:r w:rsidRPr="00D319AA" w:rsidR="00E667ED">
        <w:rPr>
          <w:u w:val="single"/>
        </w:rPr>
        <w:t>structions and forms, and data e</w:t>
      </w:r>
      <w:r w:rsidRPr="00D319AA">
        <w:rPr>
          <w:u w:val="single"/>
        </w:rPr>
        <w:t>lements.</w:t>
      </w:r>
      <w:r w:rsidRPr="00D319AA">
        <w:t xml:space="preserve"> </w:t>
      </w:r>
    </w:p>
    <w:p w:rsidR="00643252" w:rsidRPr="00D319AA" w:rsidP="00D319AA" w14:paraId="1BE4B3B1" w14:textId="77777777"/>
    <w:p w:rsidR="009D33BE" w:rsidRPr="00D319AA" w:rsidP="00D319AA" w14:paraId="77BBFC0E" w14:textId="0A0853F3">
      <w:pPr>
        <w:ind w:firstLine="720"/>
      </w:pPr>
      <w:r w:rsidRPr="00D319AA">
        <w:t>O</w:t>
      </w:r>
      <w:r w:rsidRPr="00D319AA" w:rsidR="00414797">
        <w:t xml:space="preserve">n </w:t>
      </w:r>
      <w:r w:rsidRPr="00D319AA" w:rsidR="006E4911">
        <w:t xml:space="preserve">June </w:t>
      </w:r>
      <w:r w:rsidRPr="00D319AA" w:rsidR="00232D0C">
        <w:t>11, 2024</w:t>
      </w:r>
      <w:r w:rsidRPr="00D319AA">
        <w:t>, FinCEN published in the Federal Register a notice and request for comments concerning its intention to renew, without change, information colle</w:t>
      </w:r>
      <w:r w:rsidRPr="00D319AA" w:rsidR="00F25857">
        <w:t xml:space="preserve">ction requirements related to </w:t>
      </w:r>
      <w:r w:rsidRPr="00D319AA" w:rsidR="009E16BE">
        <w:t>d</w:t>
      </w:r>
      <w:r w:rsidRPr="00D319AA" w:rsidR="00F25857">
        <w:t xml:space="preserve">ue </w:t>
      </w:r>
      <w:r w:rsidRPr="00D319AA" w:rsidR="009E16BE">
        <w:t>d</w:t>
      </w:r>
      <w:r w:rsidRPr="00D319AA" w:rsidR="00F25857">
        <w:t xml:space="preserve">iligence </w:t>
      </w:r>
      <w:r w:rsidRPr="00D319AA" w:rsidR="009E16BE">
        <w:t>p</w:t>
      </w:r>
      <w:r w:rsidRPr="00D319AA" w:rsidR="00F25857">
        <w:t xml:space="preserve">rograms for </w:t>
      </w:r>
      <w:r w:rsidRPr="00D319AA" w:rsidR="009E16BE">
        <w:t>c</w:t>
      </w:r>
      <w:r w:rsidRPr="00D319AA" w:rsidR="00F25857">
        <w:t xml:space="preserve">orrespondent </w:t>
      </w:r>
      <w:r w:rsidRPr="00D319AA" w:rsidR="009E16BE">
        <w:t>a</w:t>
      </w:r>
      <w:r w:rsidRPr="00D319AA" w:rsidR="00F25857">
        <w:t xml:space="preserve">ccounts for </w:t>
      </w:r>
      <w:r w:rsidRPr="00D319AA" w:rsidR="009E16BE">
        <w:t>f</w:t>
      </w:r>
      <w:r w:rsidRPr="00D319AA" w:rsidR="00F25857">
        <w:t xml:space="preserve">oreign </w:t>
      </w:r>
      <w:r w:rsidRPr="00D319AA" w:rsidR="009E16BE">
        <w:t>f</w:t>
      </w:r>
      <w:r w:rsidRPr="00D319AA" w:rsidR="00F25857">
        <w:t xml:space="preserve">inancial </w:t>
      </w:r>
      <w:r w:rsidRPr="00D319AA" w:rsidR="009E16BE">
        <w:t>i</w:t>
      </w:r>
      <w:r w:rsidRPr="00D319AA" w:rsidR="00F25857">
        <w:t xml:space="preserve">nstitutions and for </w:t>
      </w:r>
      <w:r w:rsidRPr="00D319AA" w:rsidR="009E16BE">
        <w:t>p</w:t>
      </w:r>
      <w:r w:rsidRPr="00D319AA" w:rsidR="00F25857">
        <w:t xml:space="preserve">rivate </w:t>
      </w:r>
      <w:r w:rsidRPr="00D319AA" w:rsidR="009E16BE">
        <w:t>b</w:t>
      </w:r>
      <w:r w:rsidRPr="00D319AA" w:rsidR="00F25857">
        <w:t xml:space="preserve">anking </w:t>
      </w:r>
      <w:r w:rsidRPr="00D319AA" w:rsidR="009E16BE">
        <w:t>a</w:t>
      </w:r>
      <w:r w:rsidRPr="00D319AA" w:rsidR="00F25857">
        <w:t>ccounts</w:t>
      </w:r>
      <w:r w:rsidRPr="00D319AA" w:rsidR="00414797">
        <w:t>.</w:t>
      </w:r>
      <w:r>
        <w:rPr>
          <w:rStyle w:val="FootnoteReference"/>
        </w:rPr>
        <w:footnoteReference w:id="7"/>
      </w:r>
      <w:r w:rsidRPr="00D319AA" w:rsidR="00414797">
        <w:t xml:space="preserve">  </w:t>
      </w:r>
      <w:r w:rsidRPr="00D319AA">
        <w:t xml:space="preserve">The comment period closed on August 12, 2024.  FinCEN </w:t>
      </w:r>
      <w:r w:rsidR="00426235">
        <w:t>did not receive any</w:t>
      </w:r>
      <w:r w:rsidRPr="00D319AA">
        <w:t xml:space="preserve"> relevant comments in response to the notice.</w:t>
      </w:r>
    </w:p>
    <w:p w:rsidR="002C710D" w:rsidRPr="00D319AA" w:rsidP="008814AE" w14:paraId="66069913" w14:textId="4C0C0145"/>
    <w:p w:rsidR="002C710D" w:rsidRPr="00D319AA" w:rsidP="00D319AA" w14:paraId="1B8ECDFF" w14:textId="35E5A372">
      <w:pPr>
        <w:widowControl w:val="0"/>
        <w:autoSpaceDE w:val="0"/>
        <w:autoSpaceDN w:val="0"/>
        <w:adjustRightInd w:val="0"/>
        <w:ind w:right="220" w:firstLine="720"/>
      </w:pPr>
      <w:r w:rsidRPr="00D319AA">
        <w:t xml:space="preserve">FinCEN </w:t>
      </w:r>
      <w:r w:rsidR="00596238">
        <w:t xml:space="preserve">always </w:t>
      </w:r>
      <w:r w:rsidRPr="00D319AA">
        <w:t xml:space="preserve">appreciates the feedback provided by commenters and </w:t>
      </w:r>
      <w:r w:rsidR="00596238">
        <w:t xml:space="preserve">takes </w:t>
      </w:r>
      <w:r w:rsidRPr="00D319AA">
        <w:t xml:space="preserve">into consideration </w:t>
      </w:r>
      <w:r w:rsidR="00596238">
        <w:t xml:space="preserve">any </w:t>
      </w:r>
      <w:r w:rsidRPr="00D319AA" w:rsidR="00596238">
        <w:t xml:space="preserve">recommendations </w:t>
      </w:r>
      <w:r w:rsidR="00596238">
        <w:t xml:space="preserve">that it does receive </w:t>
      </w:r>
      <w:r w:rsidRPr="00D319AA">
        <w:t>as part of future rulemaking</w:t>
      </w:r>
      <w:r w:rsidRPr="00D319AA" w:rsidR="0048011C">
        <w:t>s</w:t>
      </w:r>
      <w:r w:rsidRPr="00D319AA">
        <w:t>.  In addition,</w:t>
      </w:r>
      <w:r w:rsidRPr="00D319AA">
        <w:rPr>
          <w:rStyle w:val="cf01"/>
          <w:rFonts w:ascii="Times New Roman" w:hAnsi="Times New Roman" w:cs="Times New Roman"/>
          <w:sz w:val="24"/>
          <w:szCs w:val="24"/>
        </w:rPr>
        <w:t xml:space="preserve"> as noted in the 60-day notice to renew this information collection, in connection with a variety of initiatives FinCEN is undertaking to implement the AML Act, FinCEN intends to conduct, in the future, additional assessments of the Paperwork Reduction Act (PRA) burden associated with BSA requirements.</w:t>
      </w:r>
      <w:r w:rsidR="00596238">
        <w:rPr>
          <w:rStyle w:val="cf01"/>
          <w:rFonts w:ascii="Times New Roman" w:hAnsi="Times New Roman" w:cs="Times New Roman"/>
          <w:sz w:val="24"/>
          <w:szCs w:val="24"/>
        </w:rPr>
        <w:t xml:space="preserve">  These assessments will offer the public additional opportunities for comment.</w:t>
      </w:r>
    </w:p>
    <w:p w:rsidR="009829C3" w:rsidRPr="00D319AA" w:rsidP="00D319AA" w14:paraId="654ABAA4" w14:textId="351A18EC">
      <w:pPr>
        <w:widowControl w:val="0"/>
        <w:autoSpaceDE w:val="0"/>
        <w:autoSpaceDN w:val="0"/>
        <w:adjustRightInd w:val="0"/>
        <w:ind w:right="220" w:firstLine="720"/>
      </w:pPr>
    </w:p>
    <w:p w:rsidR="00F70456" w:rsidRPr="00D319AA" w:rsidP="00D319AA" w14:paraId="7EE700B0" w14:textId="77777777">
      <w:pPr>
        <w:rPr>
          <w:szCs w:val="22"/>
        </w:rPr>
      </w:pPr>
      <w:r w:rsidRPr="00D319AA">
        <w:rPr>
          <w:szCs w:val="22"/>
        </w:rPr>
        <w:t xml:space="preserve">9. </w:t>
      </w:r>
      <w:r w:rsidRPr="00D319AA">
        <w:rPr>
          <w:u w:val="single"/>
        </w:rPr>
        <w:t>Explanation of decision to provide any payment or gift to respondents.</w:t>
      </w:r>
    </w:p>
    <w:p w:rsidR="009829C3" w:rsidRPr="00D319AA" w:rsidP="00D319AA" w14:paraId="7F125B57" w14:textId="77777777">
      <w:pPr>
        <w:ind w:firstLine="720"/>
        <w:rPr>
          <w:szCs w:val="22"/>
        </w:rPr>
      </w:pPr>
    </w:p>
    <w:p w:rsidR="00F70456" w:rsidRPr="00D319AA" w:rsidP="00D319AA" w14:paraId="7E471F19" w14:textId="77777777">
      <w:pPr>
        <w:ind w:firstLine="720"/>
        <w:rPr>
          <w:szCs w:val="22"/>
        </w:rPr>
      </w:pPr>
      <w:r w:rsidRPr="00D319AA">
        <w:rPr>
          <w:szCs w:val="22"/>
        </w:rPr>
        <w:t xml:space="preserve">No payments or gifts were made to respondents. </w:t>
      </w:r>
    </w:p>
    <w:p w:rsidR="009829C3" w:rsidRPr="00D319AA" w:rsidP="00D319AA" w14:paraId="09810416" w14:textId="77777777">
      <w:pPr>
        <w:ind w:firstLine="720"/>
        <w:rPr>
          <w:szCs w:val="22"/>
        </w:rPr>
      </w:pPr>
    </w:p>
    <w:p w:rsidR="009829C3" w:rsidRPr="00D319AA" w:rsidP="00D319AA" w14:paraId="02E30A71" w14:textId="65CD87E7">
      <w:pPr>
        <w:pStyle w:val="BodyText"/>
        <w:spacing w:before="0"/>
        <w:rPr>
          <w:sz w:val="24"/>
        </w:rPr>
      </w:pPr>
      <w:r w:rsidRPr="00D319AA">
        <w:rPr>
          <w:sz w:val="24"/>
        </w:rPr>
        <w:t xml:space="preserve">10. </w:t>
      </w:r>
      <w:r w:rsidRPr="00D319AA">
        <w:rPr>
          <w:sz w:val="24"/>
          <w:u w:val="single"/>
        </w:rPr>
        <w:t>Assurance of confidentiality of responses.</w:t>
      </w:r>
    </w:p>
    <w:p w:rsidR="00D319AA" w:rsidP="00D319AA" w14:paraId="10935AEA" w14:textId="77777777">
      <w:pPr>
        <w:widowControl w:val="0"/>
        <w:autoSpaceDE w:val="0"/>
        <w:autoSpaceDN w:val="0"/>
        <w:adjustRightInd w:val="0"/>
        <w:ind w:firstLine="720"/>
        <w:rPr>
          <w:szCs w:val="22"/>
        </w:rPr>
      </w:pPr>
    </w:p>
    <w:p w:rsidR="0000789D" w:rsidRPr="00D319AA" w:rsidP="00DE2F0D" w14:paraId="5B143DC8" w14:textId="72917103">
      <w:pPr>
        <w:ind w:firstLine="720"/>
        <w:rPr>
          <w:szCs w:val="22"/>
        </w:rPr>
      </w:pPr>
      <w:r w:rsidRPr="00D319AA">
        <w:t>Any personally identifiable information collected under the BSA is strictly controlled as outlined in FinCEN’s Systems of Records Notice</w:t>
      </w:r>
      <w:r w:rsidR="003407D7">
        <w:t>s</w:t>
      </w:r>
      <w:hyperlink w:history="1"/>
      <w:r w:rsidRPr="00D319AA">
        <w:t>.</w:t>
      </w:r>
      <w:r>
        <w:rPr>
          <w:rStyle w:val="FootnoteReference"/>
        </w:rPr>
        <w:footnoteReference w:id="8"/>
      </w:r>
      <w:r>
        <w:t xml:space="preserve">  </w:t>
      </w:r>
      <w:r w:rsidRPr="00D319AA">
        <w:rPr>
          <w:szCs w:val="22"/>
        </w:rPr>
        <w:t xml:space="preserve">Information collected under </w:t>
      </w:r>
      <w:r w:rsidRPr="00D319AA" w:rsidR="00DA3787">
        <w:rPr>
          <w:szCs w:val="22"/>
        </w:rPr>
        <w:t xml:space="preserve">the due diligence programs established pursuant to </w:t>
      </w:r>
      <w:r w:rsidRPr="00D319AA">
        <w:rPr>
          <w:szCs w:val="22"/>
        </w:rPr>
        <w:t xml:space="preserve">31 U.S.C. 5318 may be made available to </w:t>
      </w:r>
      <w:r w:rsidRPr="00D319AA" w:rsidR="00751139">
        <w:rPr>
          <w:szCs w:val="22"/>
        </w:rPr>
        <w:t>appropriate law enforcement agencies and supervisory agencies.</w:t>
      </w:r>
    </w:p>
    <w:p w:rsidR="009829C3" w:rsidRPr="00D319AA" w:rsidP="008814AE" w14:paraId="32930C5C" w14:textId="77777777">
      <w:pPr>
        <w:widowControl w:val="0"/>
        <w:autoSpaceDE w:val="0"/>
        <w:autoSpaceDN w:val="0"/>
        <w:adjustRightInd w:val="0"/>
        <w:ind w:firstLine="720"/>
        <w:rPr>
          <w:szCs w:val="22"/>
        </w:rPr>
      </w:pPr>
    </w:p>
    <w:p w:rsidR="009F04CE" w:rsidRPr="00D319AA" w:rsidP="00D319AA" w14:paraId="2BB231BE" w14:textId="5F343550">
      <w:r w:rsidRPr="00D319AA">
        <w:rPr>
          <w:szCs w:val="22"/>
        </w:rPr>
        <w:t xml:space="preserve">11. </w:t>
      </w:r>
      <w:r w:rsidRPr="00D319AA">
        <w:rPr>
          <w:szCs w:val="22"/>
          <w:u w:val="single"/>
        </w:rPr>
        <w:t>Justification of sensitive questions.</w:t>
      </w:r>
      <w:r w:rsidRPr="00D319AA">
        <w:rPr>
          <w:szCs w:val="22"/>
        </w:rPr>
        <w:t xml:space="preserve"> </w:t>
      </w:r>
    </w:p>
    <w:p w:rsidR="00D319AA" w:rsidP="00D319AA" w14:paraId="727B8FE2" w14:textId="77777777">
      <w:pPr>
        <w:ind w:firstLine="720"/>
      </w:pPr>
    </w:p>
    <w:p w:rsidR="002D1673" w:rsidRPr="00D319AA" w:rsidP="008814AE" w14:paraId="5CF71260" w14:textId="74F28BE0">
      <w:pPr>
        <w:ind w:firstLine="720"/>
        <w:rPr>
          <w:szCs w:val="22"/>
        </w:rPr>
      </w:pPr>
      <w:r w:rsidRPr="00D319AA">
        <w:t xml:space="preserve">There are no questions of a sensitive nature in the collection of information.  </w:t>
      </w:r>
    </w:p>
    <w:p w:rsidR="00E80487" w:rsidRPr="00D319AA" w:rsidP="008814AE" w14:paraId="7E73D079" w14:textId="77777777">
      <w:pPr>
        <w:ind w:firstLine="720"/>
        <w:rPr>
          <w:szCs w:val="22"/>
        </w:rPr>
      </w:pPr>
    </w:p>
    <w:p w:rsidR="00643252" w:rsidRPr="00D319AA" w:rsidP="00D319AA" w14:paraId="6CC532A7" w14:textId="30F6BEC9">
      <w:pPr>
        <w:rPr>
          <w:szCs w:val="22"/>
          <w:u w:val="single"/>
        </w:rPr>
      </w:pPr>
      <w:r w:rsidRPr="00D319AA">
        <w:rPr>
          <w:szCs w:val="22"/>
        </w:rPr>
        <w:t>12</w:t>
      </w:r>
      <w:r w:rsidRPr="00D319AA" w:rsidR="00C47B67">
        <w:rPr>
          <w:szCs w:val="22"/>
        </w:rPr>
        <w:t>.</w:t>
      </w:r>
      <w:r w:rsidRPr="00D319AA">
        <w:rPr>
          <w:szCs w:val="22"/>
        </w:rPr>
        <w:t xml:space="preserve"> </w:t>
      </w:r>
      <w:r w:rsidRPr="00D319AA">
        <w:rPr>
          <w:szCs w:val="22"/>
          <w:u w:val="single"/>
        </w:rPr>
        <w:t>Estimated burden</w:t>
      </w:r>
      <w:r w:rsidRPr="00D319AA" w:rsidR="00C47B67">
        <w:rPr>
          <w:szCs w:val="22"/>
          <w:u w:val="single"/>
        </w:rPr>
        <w:t xml:space="preserve"> </w:t>
      </w:r>
      <w:r w:rsidRPr="00D319AA">
        <w:rPr>
          <w:szCs w:val="22"/>
          <w:u w:val="single"/>
        </w:rPr>
        <w:t>of information collection.</w:t>
      </w:r>
    </w:p>
    <w:p w:rsidR="00AC4543" w:rsidRPr="00D319AA" w:rsidP="00D319AA" w14:paraId="643521CF" w14:textId="77777777">
      <w:pPr>
        <w:rPr>
          <w:szCs w:val="22"/>
        </w:rPr>
      </w:pPr>
    </w:p>
    <w:p w:rsidR="00643252" w:rsidRPr="00D319AA" w:rsidP="00D319AA" w14:paraId="655EE6D3" w14:textId="77777777">
      <w:pPr>
        <w:rPr>
          <w:szCs w:val="22"/>
        </w:rPr>
      </w:pPr>
      <w:r w:rsidRPr="00D319AA">
        <w:rPr>
          <w:szCs w:val="22"/>
          <w:u w:val="single"/>
        </w:rPr>
        <w:t>Frequency</w:t>
      </w:r>
      <w:r w:rsidRPr="00D319AA">
        <w:rPr>
          <w:szCs w:val="22"/>
        </w:rPr>
        <w:t xml:space="preserve">:  As required. </w:t>
      </w:r>
    </w:p>
    <w:p w:rsidR="00643252" w:rsidRPr="00D319AA" w:rsidP="008814AE" w14:paraId="04CA2AB0" w14:textId="77777777">
      <w:pPr>
        <w:widowControl w:val="0"/>
        <w:autoSpaceDE w:val="0"/>
        <w:autoSpaceDN w:val="0"/>
        <w:adjustRightInd w:val="0"/>
        <w:jc w:val="both"/>
        <w:rPr>
          <w:szCs w:val="22"/>
        </w:rPr>
      </w:pPr>
    </w:p>
    <w:p w:rsidR="00643252" w:rsidRPr="008814AE" w:rsidP="008814AE" w14:paraId="5AD442FB" w14:textId="395BA6EE">
      <w:pPr>
        <w:pStyle w:val="PlainText"/>
        <w:rPr>
          <w:rFonts w:ascii="Times New Roman" w:eastAsia="MS Mincho" w:hAnsi="Times New Roman" w:cs="Times New Roman"/>
          <w:szCs w:val="24"/>
        </w:rPr>
      </w:pPr>
      <w:r w:rsidRPr="00D319AA">
        <w:rPr>
          <w:rFonts w:ascii="Times New Roman" w:hAnsi="Times New Roman" w:cs="Times New Roman"/>
          <w:sz w:val="24"/>
          <w:szCs w:val="24"/>
          <w:u w:val="single"/>
        </w:rPr>
        <w:t>Est</w:t>
      </w:r>
      <w:r w:rsidRPr="00D319AA" w:rsidR="007F6DDB">
        <w:rPr>
          <w:rFonts w:ascii="Times New Roman" w:hAnsi="Times New Roman" w:cs="Times New Roman"/>
          <w:sz w:val="24"/>
          <w:szCs w:val="24"/>
          <w:u w:val="single"/>
        </w:rPr>
        <w:t>imated Number of Respondents</w:t>
      </w:r>
      <w:r w:rsidRPr="00D319AA" w:rsidR="007F6DDB">
        <w:rPr>
          <w:rFonts w:ascii="Times New Roman" w:hAnsi="Times New Roman" w:cs="Times New Roman"/>
          <w:sz w:val="24"/>
          <w:szCs w:val="24"/>
        </w:rPr>
        <w:t>:</w:t>
      </w:r>
      <w:r w:rsidRPr="008814AE" w:rsidR="007F6DDB">
        <w:rPr>
          <w:rFonts w:ascii="Times New Roman" w:hAnsi="Times New Roman" w:cs="Times New Roman"/>
          <w:szCs w:val="22"/>
        </w:rPr>
        <w:t xml:space="preserve"> </w:t>
      </w:r>
      <w:r w:rsidRPr="00D319AA" w:rsidR="00166D86">
        <w:rPr>
          <w:rFonts w:ascii="Times New Roman" w:hAnsi="Times New Roman" w:cs="Times New Roman"/>
          <w:sz w:val="24"/>
          <w:szCs w:val="24"/>
        </w:rPr>
        <w:t xml:space="preserve">16,232 </w:t>
      </w:r>
      <w:r w:rsidRPr="00D319AA" w:rsidR="000D0A5C">
        <w:rPr>
          <w:rFonts w:ascii="Times New Roman" w:hAnsi="Times New Roman" w:cs="Times New Roman"/>
          <w:sz w:val="24"/>
          <w:szCs w:val="24"/>
        </w:rPr>
        <w:t>financial institutions.</w:t>
      </w:r>
      <w:r>
        <w:rPr>
          <w:rStyle w:val="FootnoteReference"/>
          <w:rFonts w:ascii="Times New Roman" w:hAnsi="Times New Roman" w:cs="Times New Roman"/>
          <w:sz w:val="24"/>
          <w:szCs w:val="24"/>
        </w:rPr>
        <w:footnoteReference w:id="9"/>
      </w:r>
    </w:p>
    <w:p w:rsidR="00D319AA" w:rsidP="00D319AA" w14:paraId="54C53C10" w14:textId="77777777">
      <w:pPr>
        <w:rPr>
          <w:b/>
          <w:lang w:val="en-GB"/>
        </w:rPr>
      </w:pPr>
    </w:p>
    <w:p w:rsidR="00D674B9" w:rsidRPr="00D319AA" w:rsidP="00D319AA" w14:paraId="7F8893A5" w14:textId="1F9E4F4A">
      <w:pPr>
        <w:ind w:left="180"/>
        <w:rPr>
          <w:rFonts w:eastAsia="Calibri"/>
          <w:b/>
        </w:rPr>
        <w:sectPr w:rsidSect="00D674B9">
          <w:footerReference w:type="even" r:id="rId12"/>
          <w:footerReference w:type="default" r:id="rId13"/>
          <w:headerReference w:type="first" r:id="rId14"/>
          <w:pgSz w:w="12240" w:h="15840"/>
          <w:pgMar w:top="1440" w:right="1440" w:bottom="1440" w:left="2160" w:header="720" w:footer="720" w:gutter="0"/>
          <w:cols w:space="720"/>
          <w:titlePg/>
          <w:docGrid w:linePitch="360"/>
        </w:sectPr>
      </w:pPr>
      <w:r w:rsidRPr="00D319AA">
        <w:rPr>
          <w:b/>
          <w:lang w:val="en-GB"/>
        </w:rPr>
        <w:t xml:space="preserve">Table 1. Financial institutions covered by this notice, by type </w:t>
      </w:r>
    </w:p>
    <w:tbl>
      <w:tblPr>
        <w:tblW w:w="8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9"/>
        <w:gridCol w:w="1892"/>
      </w:tblGrid>
      <w:tr w14:paraId="4B5D76F5" w14:textId="77777777" w:rsidTr="00AD38DC">
        <w:tblPrEx>
          <w:tblW w:w="8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blHeader/>
          <w:jc w:val="center"/>
        </w:trPr>
        <w:tc>
          <w:tcPr>
            <w:tcW w:w="6299" w:type="dxa"/>
          </w:tcPr>
          <w:p w:rsidR="00D674B9" w:rsidRPr="00D319AA" w:rsidP="00D319AA" w14:paraId="35952CAF" w14:textId="77777777">
            <w:pPr>
              <w:ind w:left="180"/>
              <w:rPr>
                <w:rFonts w:eastAsia="Calibri"/>
                <w:b/>
              </w:rPr>
            </w:pPr>
            <w:r w:rsidRPr="00D319AA">
              <w:rPr>
                <w:rFonts w:eastAsia="Calibri"/>
                <w:b/>
              </w:rPr>
              <w:t>Type of Institution</w:t>
            </w:r>
          </w:p>
        </w:tc>
        <w:tc>
          <w:tcPr>
            <w:tcW w:w="1892" w:type="dxa"/>
          </w:tcPr>
          <w:p w:rsidR="00D674B9" w:rsidRPr="00D319AA" w:rsidP="00D319AA" w14:paraId="36E00646" w14:textId="77777777">
            <w:pPr>
              <w:ind w:left="180"/>
              <w:jc w:val="center"/>
              <w:rPr>
                <w:rFonts w:eastAsia="Calibri"/>
                <w:b/>
              </w:rPr>
            </w:pPr>
            <w:r w:rsidRPr="00D319AA">
              <w:rPr>
                <w:rFonts w:eastAsia="Calibri"/>
                <w:b/>
              </w:rPr>
              <w:t>Count</w:t>
            </w:r>
          </w:p>
        </w:tc>
      </w:tr>
      <w:tr w14:paraId="7D0DE737" w14:textId="77777777" w:rsidTr="00AD38DC">
        <w:tblPrEx>
          <w:tblW w:w="8191" w:type="dxa"/>
          <w:jc w:val="center"/>
          <w:tblLayout w:type="fixed"/>
          <w:tblCellMar>
            <w:left w:w="0" w:type="dxa"/>
            <w:right w:w="0" w:type="dxa"/>
          </w:tblCellMar>
          <w:tblLook w:val="01E0"/>
        </w:tblPrEx>
        <w:trPr>
          <w:trHeight w:val="440"/>
          <w:jc w:val="center"/>
        </w:trPr>
        <w:tc>
          <w:tcPr>
            <w:tcW w:w="6299" w:type="dxa"/>
          </w:tcPr>
          <w:p w:rsidR="00D674B9" w:rsidRPr="00D319AA" w:rsidP="00D319AA" w14:paraId="5BA97270" w14:textId="77777777">
            <w:pPr>
              <w:ind w:left="180"/>
              <w:rPr>
                <w:rFonts w:eastAsia="Calibri"/>
              </w:rPr>
            </w:pPr>
            <w:r w:rsidRPr="00D319AA">
              <w:rPr>
                <w:rFonts w:eastAsia="Calibri"/>
              </w:rPr>
              <w:t>Banks with a Federal functional regulator (FFR)</w:t>
            </w:r>
            <w:r>
              <w:rPr>
                <w:rStyle w:val="FootnoteReference"/>
                <w:rFonts w:eastAsia="Calibri"/>
              </w:rPr>
              <w:footnoteReference w:id="10"/>
            </w:r>
            <w:r w:rsidRPr="00D319AA">
              <w:rPr>
                <w:rFonts w:eastAsia="Calibri"/>
              </w:rPr>
              <w:t xml:space="preserve"> </w:t>
            </w:r>
          </w:p>
        </w:tc>
        <w:tc>
          <w:tcPr>
            <w:tcW w:w="1892" w:type="dxa"/>
          </w:tcPr>
          <w:p w:rsidR="00D674B9" w:rsidRPr="00D319AA" w:rsidP="00D319AA" w14:paraId="0E981FF0" w14:textId="77777777">
            <w:pPr>
              <w:ind w:left="180"/>
              <w:jc w:val="center"/>
              <w:rPr>
                <w:rFonts w:eastAsia="Calibri"/>
              </w:rPr>
            </w:pPr>
            <w:r w:rsidRPr="00D319AA">
              <w:rPr>
                <w:rFonts w:eastAsia="Calibri"/>
              </w:rPr>
              <w:t>9,800</w:t>
            </w:r>
          </w:p>
        </w:tc>
      </w:tr>
      <w:tr w14:paraId="689ABE7B" w14:textId="77777777" w:rsidTr="00AD38DC">
        <w:tblPrEx>
          <w:tblW w:w="8191" w:type="dxa"/>
          <w:jc w:val="center"/>
          <w:tblLayout w:type="fixed"/>
          <w:tblCellMar>
            <w:left w:w="0" w:type="dxa"/>
            <w:right w:w="0" w:type="dxa"/>
          </w:tblCellMar>
          <w:tblLook w:val="01E0"/>
        </w:tblPrEx>
        <w:trPr>
          <w:trHeight w:val="440"/>
          <w:jc w:val="center"/>
        </w:trPr>
        <w:tc>
          <w:tcPr>
            <w:tcW w:w="6299" w:type="dxa"/>
          </w:tcPr>
          <w:p w:rsidR="00D674B9" w:rsidRPr="00D319AA" w:rsidP="00D319AA" w14:paraId="196C2F8E" w14:textId="77777777">
            <w:pPr>
              <w:ind w:left="180"/>
              <w:rPr>
                <w:rFonts w:eastAsia="Calibri"/>
              </w:rPr>
            </w:pPr>
            <w:r w:rsidRPr="00D319AA">
              <w:rPr>
                <w:rFonts w:eastAsia="Calibri"/>
              </w:rPr>
              <w:t>Banks lacking an FFR</w:t>
            </w:r>
            <w:r>
              <w:rPr>
                <w:rFonts w:eastAsia="Calibri"/>
                <w:bCs/>
                <w:vertAlign w:val="superscript"/>
              </w:rPr>
              <w:footnoteReference w:id="11"/>
            </w:r>
          </w:p>
        </w:tc>
        <w:tc>
          <w:tcPr>
            <w:tcW w:w="1892" w:type="dxa"/>
          </w:tcPr>
          <w:p w:rsidR="00D674B9" w:rsidRPr="00D319AA" w:rsidP="00D319AA" w14:paraId="666916C0" w14:textId="77777777">
            <w:pPr>
              <w:ind w:left="180"/>
              <w:jc w:val="center"/>
              <w:rPr>
                <w:rFonts w:eastAsia="Calibri"/>
              </w:rPr>
            </w:pPr>
            <w:r w:rsidRPr="00D319AA">
              <w:rPr>
                <w:rFonts w:eastAsia="Calibri"/>
              </w:rPr>
              <w:t>600</w:t>
            </w:r>
          </w:p>
        </w:tc>
      </w:tr>
      <w:tr w14:paraId="4BA2D090" w14:textId="77777777" w:rsidTr="00AD38DC">
        <w:tblPrEx>
          <w:tblW w:w="8191" w:type="dxa"/>
          <w:jc w:val="center"/>
          <w:tblLayout w:type="fixed"/>
          <w:tblCellMar>
            <w:left w:w="0" w:type="dxa"/>
            <w:right w:w="0" w:type="dxa"/>
          </w:tblCellMar>
          <w:tblLook w:val="01E0"/>
        </w:tblPrEx>
        <w:trPr>
          <w:trHeight w:val="440"/>
          <w:jc w:val="center"/>
        </w:trPr>
        <w:tc>
          <w:tcPr>
            <w:tcW w:w="6299" w:type="dxa"/>
          </w:tcPr>
          <w:p w:rsidR="00D674B9" w:rsidRPr="00D319AA" w:rsidP="00D319AA" w14:paraId="138A62C2" w14:textId="77777777">
            <w:pPr>
              <w:ind w:left="180"/>
              <w:rPr>
                <w:rFonts w:eastAsia="Calibri"/>
              </w:rPr>
            </w:pPr>
            <w:r w:rsidRPr="00D319AA">
              <w:rPr>
                <w:rFonts w:eastAsia="Calibri"/>
              </w:rPr>
              <w:t>Brokers or dealers in securities</w:t>
            </w:r>
            <w:r>
              <w:rPr>
                <w:rFonts w:eastAsia="Calibri"/>
                <w:vertAlign w:val="superscript"/>
              </w:rPr>
              <w:footnoteReference w:id="12"/>
            </w:r>
            <w:r w:rsidRPr="00D319AA">
              <w:rPr>
                <w:rFonts w:eastAsia="Calibri"/>
              </w:rPr>
              <w:t xml:space="preserve"> </w:t>
            </w:r>
          </w:p>
        </w:tc>
        <w:tc>
          <w:tcPr>
            <w:tcW w:w="1892" w:type="dxa"/>
          </w:tcPr>
          <w:p w:rsidR="00D674B9" w:rsidRPr="00D319AA" w:rsidP="00D319AA" w14:paraId="3EFB596F" w14:textId="77777777">
            <w:pPr>
              <w:ind w:left="180"/>
              <w:jc w:val="center"/>
              <w:rPr>
                <w:rFonts w:eastAsia="Calibri"/>
              </w:rPr>
            </w:pPr>
            <w:r w:rsidRPr="00D319AA">
              <w:rPr>
                <w:rFonts w:eastAsia="Calibri"/>
              </w:rPr>
              <w:t>3,478</w:t>
            </w:r>
          </w:p>
        </w:tc>
      </w:tr>
      <w:tr w14:paraId="46FF9FCC" w14:textId="77777777" w:rsidTr="00AD38DC">
        <w:tblPrEx>
          <w:tblW w:w="8191" w:type="dxa"/>
          <w:jc w:val="center"/>
          <w:tblLayout w:type="fixed"/>
          <w:tblCellMar>
            <w:left w:w="0" w:type="dxa"/>
            <w:right w:w="0" w:type="dxa"/>
          </w:tblCellMar>
          <w:tblLook w:val="01E0"/>
        </w:tblPrEx>
        <w:trPr>
          <w:trHeight w:val="446"/>
          <w:jc w:val="center"/>
        </w:trPr>
        <w:tc>
          <w:tcPr>
            <w:tcW w:w="6299" w:type="dxa"/>
          </w:tcPr>
          <w:p w:rsidR="00D674B9" w:rsidRPr="00D319AA" w:rsidP="00D319AA" w14:paraId="40280AF7" w14:textId="77777777">
            <w:pPr>
              <w:ind w:left="180"/>
              <w:rPr>
                <w:rFonts w:eastAsia="Calibri"/>
              </w:rPr>
            </w:pPr>
            <w:r w:rsidRPr="00D319AA">
              <w:rPr>
                <w:rFonts w:eastAsia="Calibri"/>
              </w:rPr>
              <w:t>Mutual funds</w:t>
            </w:r>
            <w:r>
              <w:rPr>
                <w:rFonts w:eastAsia="Calibri"/>
                <w:vertAlign w:val="superscript"/>
              </w:rPr>
              <w:footnoteReference w:id="13"/>
            </w:r>
          </w:p>
        </w:tc>
        <w:tc>
          <w:tcPr>
            <w:tcW w:w="1892" w:type="dxa"/>
          </w:tcPr>
          <w:p w:rsidR="00D674B9" w:rsidRPr="00D319AA" w:rsidP="00D319AA" w14:paraId="5B3979B9" w14:textId="77777777">
            <w:pPr>
              <w:ind w:left="180"/>
              <w:jc w:val="center"/>
              <w:rPr>
                <w:rFonts w:eastAsia="Calibri"/>
              </w:rPr>
            </w:pPr>
            <w:r w:rsidRPr="00D319AA">
              <w:rPr>
                <w:rFonts w:eastAsia="Calibri"/>
              </w:rPr>
              <w:t>1,400</w:t>
            </w:r>
          </w:p>
        </w:tc>
      </w:tr>
      <w:tr w14:paraId="22D7941D" w14:textId="77777777" w:rsidTr="00AD38DC">
        <w:tblPrEx>
          <w:tblW w:w="8191" w:type="dxa"/>
          <w:jc w:val="center"/>
          <w:tblLayout w:type="fixed"/>
          <w:tblCellMar>
            <w:left w:w="0" w:type="dxa"/>
            <w:right w:w="0" w:type="dxa"/>
          </w:tblCellMar>
          <w:tblLook w:val="01E0"/>
        </w:tblPrEx>
        <w:trPr>
          <w:trHeight w:val="413"/>
          <w:jc w:val="center"/>
        </w:trPr>
        <w:tc>
          <w:tcPr>
            <w:tcW w:w="6299" w:type="dxa"/>
            <w:tcBorders>
              <w:bottom w:val="single" w:sz="4" w:space="0" w:color="000000"/>
            </w:tcBorders>
          </w:tcPr>
          <w:p w:rsidR="00D674B9" w:rsidRPr="00D319AA" w:rsidP="00D319AA" w14:paraId="57A23D09" w14:textId="77777777">
            <w:pPr>
              <w:ind w:left="180"/>
              <w:rPr>
                <w:rFonts w:eastAsia="Calibri"/>
              </w:rPr>
            </w:pPr>
            <w:r w:rsidRPr="00D319AA">
              <w:rPr>
                <w:rFonts w:eastAsia="Calibri"/>
              </w:rPr>
              <w:t>Futures commission merchants and introducing brokers in commodities</w:t>
            </w:r>
            <w:r>
              <w:rPr>
                <w:rFonts w:eastAsia="Calibri"/>
                <w:vertAlign w:val="superscript"/>
              </w:rPr>
              <w:footnoteReference w:id="14"/>
            </w:r>
          </w:p>
        </w:tc>
        <w:tc>
          <w:tcPr>
            <w:tcW w:w="1892" w:type="dxa"/>
            <w:tcBorders>
              <w:bottom w:val="single" w:sz="4" w:space="0" w:color="000000"/>
            </w:tcBorders>
          </w:tcPr>
          <w:p w:rsidR="00D674B9" w:rsidRPr="00D319AA" w:rsidP="00D319AA" w14:paraId="060C59A4" w14:textId="77777777">
            <w:pPr>
              <w:ind w:left="180"/>
              <w:jc w:val="center"/>
              <w:rPr>
                <w:rFonts w:eastAsia="Calibri"/>
              </w:rPr>
            </w:pPr>
            <w:r w:rsidRPr="00D319AA">
              <w:rPr>
                <w:rFonts w:eastAsia="Calibri"/>
              </w:rPr>
              <w:t>954</w:t>
            </w:r>
          </w:p>
        </w:tc>
      </w:tr>
      <w:tr w14:paraId="603F0261" w14:textId="77777777" w:rsidTr="00AD38DC">
        <w:tblPrEx>
          <w:tblW w:w="8191" w:type="dxa"/>
          <w:jc w:val="center"/>
          <w:tblLayout w:type="fixed"/>
          <w:tblCellMar>
            <w:left w:w="0" w:type="dxa"/>
            <w:right w:w="0" w:type="dxa"/>
          </w:tblCellMar>
          <w:tblLook w:val="01E0"/>
        </w:tblPrEx>
        <w:trPr>
          <w:trHeight w:val="275"/>
          <w:jc w:val="center"/>
        </w:trPr>
        <w:tc>
          <w:tcPr>
            <w:tcW w:w="6299" w:type="dxa"/>
            <w:tcBorders>
              <w:bottom w:val="single" w:sz="4" w:space="0" w:color="auto"/>
            </w:tcBorders>
          </w:tcPr>
          <w:p w:rsidR="00D674B9" w:rsidRPr="00D319AA" w:rsidP="00D319AA" w14:paraId="4359E477" w14:textId="77777777">
            <w:pPr>
              <w:ind w:left="180"/>
              <w:rPr>
                <w:rFonts w:eastAsia="Calibri"/>
                <w:b/>
              </w:rPr>
            </w:pPr>
            <w:r w:rsidRPr="00D319AA">
              <w:rPr>
                <w:rFonts w:eastAsia="Calibri"/>
                <w:b/>
              </w:rPr>
              <w:t>Total</w:t>
            </w:r>
          </w:p>
        </w:tc>
        <w:tc>
          <w:tcPr>
            <w:tcW w:w="1892" w:type="dxa"/>
            <w:tcBorders>
              <w:bottom w:val="single" w:sz="4" w:space="0" w:color="auto"/>
            </w:tcBorders>
          </w:tcPr>
          <w:p w:rsidR="00D674B9" w:rsidRPr="00D319AA" w:rsidP="00D319AA" w14:paraId="6A9E9174" w14:textId="77777777">
            <w:pPr>
              <w:ind w:left="180"/>
              <w:jc w:val="center"/>
              <w:rPr>
                <w:rFonts w:eastAsia="Calibri"/>
                <w:b/>
              </w:rPr>
            </w:pPr>
            <w:r w:rsidRPr="00D319AA">
              <w:rPr>
                <w:rFonts w:eastAsia="Calibri"/>
                <w:b/>
              </w:rPr>
              <w:t>16,232</w:t>
            </w:r>
          </w:p>
        </w:tc>
      </w:tr>
      <w:tr w14:paraId="1ABE01E3" w14:textId="77777777" w:rsidTr="00AD38DC">
        <w:tblPrEx>
          <w:tblW w:w="8191" w:type="dxa"/>
          <w:jc w:val="center"/>
          <w:tblLayout w:type="fixed"/>
          <w:tblCellMar>
            <w:left w:w="0" w:type="dxa"/>
            <w:right w:w="0" w:type="dxa"/>
          </w:tblCellMar>
          <w:tblLook w:val="01E0"/>
        </w:tblPrEx>
        <w:trPr>
          <w:trHeight w:val="275"/>
          <w:jc w:val="center"/>
        </w:trPr>
        <w:tc>
          <w:tcPr>
            <w:tcW w:w="8191" w:type="dxa"/>
            <w:gridSpan w:val="2"/>
            <w:tcBorders>
              <w:top w:val="single" w:sz="4" w:space="0" w:color="auto"/>
              <w:left w:val="nil"/>
              <w:bottom w:val="nil"/>
              <w:right w:val="nil"/>
            </w:tcBorders>
          </w:tcPr>
          <w:p w:rsidR="00D674B9" w:rsidRPr="008814AE" w:rsidP="00D319AA" w14:paraId="6C4B2B03" w14:textId="77777777">
            <w:pPr>
              <w:rPr>
                <w:rFonts w:eastAsia="Calibri"/>
                <w:b/>
                <w:sz w:val="20"/>
                <w:szCs w:val="20"/>
              </w:rPr>
            </w:pPr>
            <w:r w:rsidRPr="008814AE">
              <w:rPr>
                <w:rStyle w:val="FootnoteReference"/>
                <w:sz w:val="20"/>
                <w:szCs w:val="20"/>
              </w:rPr>
              <w:t>a</w:t>
            </w:r>
            <w:r w:rsidRPr="008814AE">
              <w:rPr>
                <w:sz w:val="20"/>
                <w:szCs w:val="20"/>
              </w:rPr>
              <w:t xml:space="preserve"> This estimate is based on call report data, as publicly available for download at the end of June 2023, from the Federal Financial Institutions Examination Council (FFIEC) for certain types of banks, savings associations, thrifts, trust companies (https://cdr.ffiec.gov/public/pws/downloadbulkdata.aspx.) and from the NCUA for credit unions (https://www.ncua.gov/analysis/credit-union-corporate-call-report-data). </w:t>
            </w:r>
          </w:p>
        </w:tc>
      </w:tr>
      <w:tr w14:paraId="6F4AB2B4" w14:textId="77777777" w:rsidTr="00AD38DC">
        <w:tblPrEx>
          <w:tblW w:w="8191" w:type="dxa"/>
          <w:jc w:val="center"/>
          <w:tblLayout w:type="fixed"/>
          <w:tblCellMar>
            <w:left w:w="0" w:type="dxa"/>
            <w:right w:w="0" w:type="dxa"/>
          </w:tblCellMar>
          <w:tblLook w:val="01E0"/>
        </w:tblPrEx>
        <w:trPr>
          <w:trHeight w:val="275"/>
          <w:jc w:val="center"/>
        </w:trPr>
        <w:tc>
          <w:tcPr>
            <w:tcW w:w="8191" w:type="dxa"/>
            <w:gridSpan w:val="2"/>
            <w:tcBorders>
              <w:top w:val="nil"/>
              <w:left w:val="nil"/>
              <w:bottom w:val="nil"/>
              <w:right w:val="nil"/>
            </w:tcBorders>
          </w:tcPr>
          <w:p w:rsidR="00D674B9" w:rsidRPr="008814AE" w:rsidP="00D319AA" w14:paraId="065B153F" w14:textId="77777777">
            <w:pPr>
              <w:rPr>
                <w:rFonts w:eastAsia="Calibri"/>
                <w:b/>
                <w:sz w:val="20"/>
                <w:szCs w:val="20"/>
              </w:rPr>
            </w:pPr>
            <w:r w:rsidRPr="008814AE">
              <w:rPr>
                <w:rStyle w:val="FootnoteReference"/>
                <w:sz w:val="20"/>
                <w:szCs w:val="20"/>
              </w:rPr>
              <w:t>b</w:t>
            </w:r>
            <w:r w:rsidRPr="008814AE">
              <w:rPr>
                <w:sz w:val="20"/>
                <w:szCs w:val="20"/>
              </w:rPr>
              <w:t xml:space="preserve"> This estimate of active entries as of year-end 2023 incorporates data from both public and non-public sources, including: Call Reports; various State banking/financial institution regulators’ websites and directories; the Federal Reserve Board of Governors’ Master Account and Services database (</w:t>
            </w:r>
            <w:hyperlink r:id="rId15" w:history="1">
              <w:r w:rsidRPr="008814AE">
                <w:rPr>
                  <w:rStyle w:val="Hyperlink"/>
                  <w:sz w:val="20"/>
                  <w:szCs w:val="20"/>
                </w:rPr>
                <w:t>https://federalreserve.gov/paymentsystems/master-account-and services-database-exisiting-access.htm</w:t>
              </w:r>
            </w:hyperlink>
            <w:r w:rsidRPr="008814AE">
              <w:rPr>
                <w:sz w:val="20"/>
                <w:szCs w:val="20"/>
              </w:rPr>
              <w:t>); and data from the OCIF (</w:t>
            </w:r>
            <w:r w:rsidRPr="008814AE">
              <w:rPr>
                <w:sz w:val="20"/>
                <w:szCs w:val="20"/>
              </w:rPr>
              <w:t>Oficina</w:t>
            </w:r>
            <w:r w:rsidRPr="008814AE">
              <w:rPr>
                <w:sz w:val="20"/>
                <w:szCs w:val="20"/>
              </w:rPr>
              <w:t xml:space="preserve"> del </w:t>
            </w:r>
            <w:r w:rsidRPr="008814AE">
              <w:rPr>
                <w:sz w:val="20"/>
                <w:szCs w:val="20"/>
              </w:rPr>
              <w:t>Comisionado</w:t>
            </w:r>
            <w:r w:rsidRPr="008814AE">
              <w:rPr>
                <w:sz w:val="20"/>
                <w:szCs w:val="20"/>
              </w:rPr>
              <w:t xml:space="preserve"> de </w:t>
            </w:r>
            <w:r w:rsidRPr="008814AE">
              <w:rPr>
                <w:sz w:val="20"/>
                <w:szCs w:val="20"/>
              </w:rPr>
              <w:t>Instituciones</w:t>
            </w:r>
            <w:r w:rsidRPr="008814AE">
              <w:rPr>
                <w:sz w:val="20"/>
                <w:szCs w:val="20"/>
              </w:rPr>
              <w:t xml:space="preserve"> </w:t>
            </w:r>
            <w:r w:rsidRPr="008814AE">
              <w:rPr>
                <w:sz w:val="20"/>
                <w:szCs w:val="20"/>
              </w:rPr>
              <w:t>Financieras</w:t>
            </w:r>
            <w:r w:rsidRPr="008814AE">
              <w:rPr>
                <w:sz w:val="20"/>
                <w:szCs w:val="20"/>
              </w:rPr>
              <w:t>); and was derived in consultation with staff from the Internal Revenue Service’s Small Business/Self-Employed Division.</w:t>
            </w:r>
          </w:p>
        </w:tc>
      </w:tr>
      <w:tr w14:paraId="3A252D32" w14:textId="77777777" w:rsidTr="00AD38DC">
        <w:tblPrEx>
          <w:tblW w:w="8191" w:type="dxa"/>
          <w:jc w:val="center"/>
          <w:tblLayout w:type="fixed"/>
          <w:tblCellMar>
            <w:left w:w="0" w:type="dxa"/>
            <w:right w:w="0" w:type="dxa"/>
          </w:tblCellMar>
          <w:tblLook w:val="01E0"/>
        </w:tblPrEx>
        <w:trPr>
          <w:trHeight w:val="275"/>
          <w:jc w:val="center"/>
        </w:trPr>
        <w:tc>
          <w:tcPr>
            <w:tcW w:w="8191" w:type="dxa"/>
            <w:gridSpan w:val="2"/>
            <w:tcBorders>
              <w:top w:val="nil"/>
              <w:left w:val="nil"/>
              <w:bottom w:val="nil"/>
              <w:right w:val="nil"/>
            </w:tcBorders>
          </w:tcPr>
          <w:p w:rsidR="00D674B9" w:rsidRPr="008814AE" w:rsidP="00D319AA" w14:paraId="1FB692A9" w14:textId="77777777">
            <w:pPr>
              <w:rPr>
                <w:rFonts w:eastAsia="Calibri"/>
                <w:b/>
                <w:sz w:val="20"/>
                <w:szCs w:val="20"/>
              </w:rPr>
            </w:pPr>
            <w:r w:rsidRPr="008814AE">
              <w:rPr>
                <w:sz w:val="20"/>
                <w:szCs w:val="20"/>
                <w:vertAlign w:val="superscript"/>
              </w:rPr>
              <w:t>c</w:t>
            </w:r>
            <w:r w:rsidRPr="008814AE">
              <w:rPr>
                <w:sz w:val="20"/>
                <w:szCs w:val="20"/>
              </w:rPr>
              <w:t xml:space="preserve"> Estimate based on December 2023 file downloaded from data maintained by the U.S. Securities and Exchange Commission’s (SEC).  SEC, </w:t>
            </w:r>
            <w:r w:rsidRPr="008814AE">
              <w:rPr>
                <w:i/>
                <w:iCs/>
                <w:sz w:val="20"/>
                <w:szCs w:val="20"/>
              </w:rPr>
              <w:t>Company Information About Active Broker-Dealers</w:t>
            </w:r>
            <w:r w:rsidRPr="008814AE">
              <w:rPr>
                <w:sz w:val="20"/>
                <w:szCs w:val="20"/>
              </w:rPr>
              <w:t xml:space="preserve"> </w:t>
            </w:r>
            <w:r w:rsidRPr="008814AE">
              <w:rPr>
                <w:i/>
                <w:iCs/>
                <w:sz w:val="20"/>
                <w:szCs w:val="20"/>
              </w:rPr>
              <w:t>available at</w:t>
            </w:r>
            <w:r w:rsidRPr="008814AE">
              <w:rPr>
                <w:sz w:val="20"/>
                <w:szCs w:val="20"/>
              </w:rPr>
              <w:t xml:space="preserve"> </w:t>
            </w:r>
            <w:hyperlink r:id="rId16" w:history="1">
              <w:r w:rsidRPr="008814AE">
                <w:rPr>
                  <w:rStyle w:val="Hyperlink"/>
                  <w:sz w:val="20"/>
                  <w:szCs w:val="20"/>
                </w:rPr>
                <w:t>https://www.sec.gov/help/foiadocsbdfoia</w:t>
              </w:r>
            </w:hyperlink>
            <w:r w:rsidRPr="008814AE">
              <w:rPr>
                <w:sz w:val="20"/>
                <w:szCs w:val="20"/>
              </w:rPr>
              <w:t xml:space="preserve"> (accessed on Feb. 28, 2024).</w:t>
            </w:r>
          </w:p>
        </w:tc>
      </w:tr>
      <w:tr w14:paraId="1FBCC9A3" w14:textId="77777777" w:rsidTr="00AD38DC">
        <w:tblPrEx>
          <w:tblW w:w="8191" w:type="dxa"/>
          <w:jc w:val="center"/>
          <w:tblLayout w:type="fixed"/>
          <w:tblCellMar>
            <w:left w:w="0" w:type="dxa"/>
            <w:right w:w="0" w:type="dxa"/>
          </w:tblCellMar>
          <w:tblLook w:val="01E0"/>
        </w:tblPrEx>
        <w:trPr>
          <w:trHeight w:val="275"/>
          <w:jc w:val="center"/>
        </w:trPr>
        <w:tc>
          <w:tcPr>
            <w:tcW w:w="8191" w:type="dxa"/>
            <w:gridSpan w:val="2"/>
            <w:tcBorders>
              <w:top w:val="nil"/>
              <w:left w:val="nil"/>
              <w:bottom w:val="nil"/>
              <w:right w:val="nil"/>
            </w:tcBorders>
          </w:tcPr>
          <w:p w:rsidR="00D674B9" w:rsidRPr="008814AE" w:rsidP="00D319AA" w14:paraId="3F439BCC" w14:textId="77777777">
            <w:pPr>
              <w:rPr>
                <w:rFonts w:eastAsia="Calibri"/>
                <w:b/>
                <w:sz w:val="20"/>
                <w:szCs w:val="20"/>
              </w:rPr>
            </w:pPr>
            <w:r w:rsidRPr="008814AE">
              <w:rPr>
                <w:rStyle w:val="FootnoteReference"/>
                <w:sz w:val="20"/>
                <w:szCs w:val="20"/>
              </w:rPr>
              <w:t>d</w:t>
            </w:r>
            <w:r w:rsidRPr="008814AE">
              <w:rPr>
                <w:sz w:val="20"/>
                <w:szCs w:val="20"/>
              </w:rPr>
              <w:t xml:space="preserve"> This estimate of the number of active mutual funds as of year-end 2023 is based on Form N-CEN filings received by the SEC through January 20, 2023, as represented by data downloaded from SEC Open Data.  SEC, Open Data, </w:t>
            </w:r>
            <w:r w:rsidRPr="008814AE">
              <w:rPr>
                <w:i/>
                <w:iCs/>
                <w:sz w:val="20"/>
                <w:szCs w:val="20"/>
              </w:rPr>
              <w:t>available at</w:t>
            </w:r>
            <w:r w:rsidRPr="008814AE">
              <w:rPr>
                <w:sz w:val="20"/>
                <w:szCs w:val="20"/>
              </w:rPr>
              <w:t xml:space="preserve"> </w:t>
            </w:r>
            <w:hyperlink r:id="rId17" w:history="1">
              <w:r w:rsidRPr="008814AE">
                <w:rPr>
                  <w:rStyle w:val="Hyperlink"/>
                  <w:sz w:val="20"/>
                  <w:szCs w:val="20"/>
                </w:rPr>
                <w:t>https://www.sec.gov/dera/data/form-ncen-data-sets</w:t>
              </w:r>
            </w:hyperlink>
            <w:r w:rsidRPr="008814AE">
              <w:rPr>
                <w:sz w:val="20"/>
                <w:szCs w:val="20"/>
              </w:rPr>
              <w:t xml:space="preserve"> (accessed Feb. 29, 2024).</w:t>
            </w:r>
          </w:p>
        </w:tc>
      </w:tr>
      <w:tr w14:paraId="3F3ECF3D" w14:textId="77777777" w:rsidTr="008814AE">
        <w:tblPrEx>
          <w:tblW w:w="8191" w:type="dxa"/>
          <w:jc w:val="center"/>
          <w:tblLayout w:type="fixed"/>
          <w:tblCellMar>
            <w:left w:w="0" w:type="dxa"/>
            <w:right w:w="0" w:type="dxa"/>
          </w:tblCellMar>
          <w:tblLook w:val="01E0"/>
        </w:tblPrEx>
        <w:trPr>
          <w:trHeight w:val="80"/>
          <w:jc w:val="center"/>
        </w:trPr>
        <w:tc>
          <w:tcPr>
            <w:tcW w:w="8191" w:type="dxa"/>
            <w:gridSpan w:val="2"/>
            <w:tcBorders>
              <w:top w:val="nil"/>
              <w:left w:val="nil"/>
              <w:bottom w:val="nil"/>
              <w:right w:val="nil"/>
            </w:tcBorders>
          </w:tcPr>
          <w:p w:rsidR="00D674B9" w:rsidRPr="008814AE" w:rsidP="00D319AA" w14:paraId="2890349A" w14:textId="77777777">
            <w:pPr>
              <w:rPr>
                <w:rFonts w:eastAsia="Calibri"/>
                <w:b/>
                <w:sz w:val="20"/>
                <w:szCs w:val="20"/>
              </w:rPr>
            </w:pPr>
            <w:r w:rsidRPr="008814AE">
              <w:rPr>
                <w:rStyle w:val="FootnoteReference"/>
                <w:sz w:val="20"/>
                <w:szCs w:val="20"/>
              </w:rPr>
              <w:t>e</w:t>
            </w:r>
            <w:r w:rsidRPr="008814AE">
              <w:rPr>
                <w:sz w:val="20"/>
                <w:szCs w:val="20"/>
              </w:rPr>
              <w:t xml:space="preserve"> The number of futures commissions merchants as of December 31, 2023, was obtained from data available through the Commodity Futures Trading Commission (CFTC).  CFTC, Financial Data for Futures Commission Merchants, </w:t>
            </w:r>
            <w:r w:rsidRPr="008814AE">
              <w:rPr>
                <w:i/>
                <w:iCs/>
                <w:sz w:val="20"/>
                <w:szCs w:val="20"/>
              </w:rPr>
              <w:t>available</w:t>
            </w:r>
            <w:r w:rsidRPr="008814AE">
              <w:rPr>
                <w:sz w:val="20"/>
                <w:szCs w:val="20"/>
              </w:rPr>
              <w:t xml:space="preserve"> </w:t>
            </w:r>
            <w:r w:rsidRPr="008814AE">
              <w:rPr>
                <w:i/>
                <w:iCs/>
                <w:sz w:val="20"/>
                <w:szCs w:val="20"/>
              </w:rPr>
              <w:t>at</w:t>
            </w:r>
            <w:r w:rsidRPr="008814AE">
              <w:rPr>
                <w:sz w:val="20"/>
                <w:szCs w:val="20"/>
              </w:rPr>
              <w:t xml:space="preserve"> </w:t>
            </w:r>
            <w:hyperlink r:id="rId18" w:history="1">
              <w:r w:rsidRPr="008814AE">
                <w:rPr>
                  <w:rStyle w:val="Hyperlink"/>
                  <w:sz w:val="20"/>
                  <w:szCs w:val="20"/>
                </w:rPr>
                <w:t>https://www.cftc.gov/MarketReports/financialfcmdata/index.htm</w:t>
              </w:r>
            </w:hyperlink>
            <w:r w:rsidRPr="008814AE">
              <w:rPr>
                <w:sz w:val="20"/>
                <w:szCs w:val="20"/>
              </w:rPr>
              <w:t xml:space="preserve"> (accessed Mar. 1, 2024).  To prevent double counting in burden estimates, 35 covered financial institutions that are also affected entities as broker-dealers were removed from the count; the count of introducing brokers in commodities as of year-end 2023 was provided by the CFTC.</w:t>
            </w:r>
          </w:p>
        </w:tc>
      </w:tr>
    </w:tbl>
    <w:p w:rsidR="00D674B9" w:rsidRPr="00D319AA" w:rsidP="00D319AA" w14:paraId="67A12216" w14:textId="77777777">
      <w:pPr>
        <w:rPr>
          <w:b/>
          <w:lang w:val="en-GB"/>
        </w:rPr>
        <w:sectPr w:rsidSect="00D674B9">
          <w:footnotePr>
            <w:pos w:val="beneathText"/>
            <w:numFmt w:val="lowerLetter"/>
            <w:numRestart w:val="eachSect"/>
          </w:footnotePr>
          <w:type w:val="continuous"/>
          <w:pgSz w:w="12240" w:h="15840"/>
          <w:pgMar w:top="1440" w:right="1440" w:bottom="1440" w:left="2160" w:header="720" w:footer="720" w:gutter="0"/>
          <w:cols w:space="720"/>
          <w:titlePg/>
          <w:docGrid w:linePitch="360"/>
        </w:sectPr>
      </w:pPr>
    </w:p>
    <w:p w:rsidR="008745C3" w:rsidRPr="00D319AA" w:rsidP="008814AE" w14:paraId="1C1A74FF" w14:textId="77777777">
      <w:pPr>
        <w:widowControl w:val="0"/>
        <w:autoSpaceDE w:val="0"/>
        <w:autoSpaceDN w:val="0"/>
        <w:adjustRightInd w:val="0"/>
        <w:jc w:val="both"/>
        <w:rPr>
          <w:szCs w:val="22"/>
        </w:rPr>
      </w:pPr>
    </w:p>
    <w:p w:rsidR="00643252" w:rsidRPr="00D319AA" w:rsidP="008814AE" w14:paraId="0556DA9E" w14:textId="77777777">
      <w:pPr>
        <w:widowControl w:val="0"/>
        <w:autoSpaceDE w:val="0"/>
        <w:autoSpaceDN w:val="0"/>
        <w:adjustRightInd w:val="0"/>
        <w:jc w:val="both"/>
        <w:rPr>
          <w:szCs w:val="22"/>
        </w:rPr>
      </w:pPr>
    </w:p>
    <w:p w:rsidR="00791A53" w:rsidRPr="00D319AA" w:rsidP="008814AE" w14:paraId="5FFF885C" w14:textId="77777777">
      <w:pPr>
        <w:widowControl w:val="0"/>
        <w:autoSpaceDE w:val="0"/>
        <w:autoSpaceDN w:val="0"/>
        <w:adjustRightInd w:val="0"/>
        <w:jc w:val="both"/>
        <w:rPr>
          <w:szCs w:val="22"/>
        </w:rPr>
      </w:pPr>
      <w:r w:rsidRPr="00D319AA">
        <w:rPr>
          <w:szCs w:val="22"/>
          <w:u w:val="single"/>
        </w:rPr>
        <w:t>Estimated Total Annual Burden Hours</w:t>
      </w:r>
      <w:r w:rsidRPr="00D319AA">
        <w:rPr>
          <w:szCs w:val="22"/>
        </w:rPr>
        <w:t xml:space="preserve">: </w:t>
      </w:r>
    </w:p>
    <w:p w:rsidR="00791A53" w:rsidRPr="00D319AA" w:rsidP="008814AE" w14:paraId="4E6F5A98" w14:textId="77777777">
      <w:pPr>
        <w:widowControl w:val="0"/>
        <w:autoSpaceDE w:val="0"/>
        <w:autoSpaceDN w:val="0"/>
        <w:adjustRightInd w:val="0"/>
        <w:jc w:val="both"/>
        <w:rPr>
          <w:szCs w:val="22"/>
        </w:rPr>
      </w:pPr>
    </w:p>
    <w:p w:rsidR="00791A53" w:rsidRPr="00D319AA" w:rsidP="00D319AA" w14:paraId="7C6F0086" w14:textId="77777777">
      <w:pPr>
        <w:ind w:firstLine="720"/>
        <w:rPr>
          <w:lang w:val="en-GB"/>
        </w:rPr>
      </w:pPr>
      <w:r w:rsidRPr="00D319AA">
        <w:rPr>
          <w:lang w:val="en-GB"/>
        </w:rPr>
        <w:t>FinCEN continues estimating the annual hourly burden of maintaining and updating the due diligence program for foreign correspondent accounts and private banking accounts at two hours per covered financial institution.  This estimate covers the burden of (i) maintaining and updating the due diligence program to take into consideration any regulatory changes and any potential modifications required by changes in the types of foreign correspondent accounts or private banking accounts maintained, or by changes in the operations or organizational structure of the foreign financial institutions for which a covered financial institution maintains accounts, as well as changes to the organizational structure of private banking accounts (one hour), and (ii) presenting the updated due diligence program to the appropriate level of senior management of the financial institution for approval (one hour).</w:t>
      </w:r>
    </w:p>
    <w:p w:rsidR="00791A53" w:rsidRPr="00D319AA" w:rsidP="008814AE" w14:paraId="6B99987A" w14:textId="77777777">
      <w:pPr>
        <w:widowControl w:val="0"/>
        <w:autoSpaceDE w:val="0"/>
        <w:autoSpaceDN w:val="0"/>
        <w:adjustRightInd w:val="0"/>
        <w:jc w:val="both"/>
        <w:rPr>
          <w:szCs w:val="22"/>
        </w:rPr>
      </w:pPr>
    </w:p>
    <w:p w:rsidR="003A525C" w:rsidRPr="00D319AA" w:rsidP="009E798A" w14:paraId="700D95B8" w14:textId="6064FB67">
      <w:pPr>
        <w:widowControl w:val="0"/>
        <w:autoSpaceDE w:val="0"/>
        <w:autoSpaceDN w:val="0"/>
        <w:adjustRightInd w:val="0"/>
        <w:ind w:firstLine="720"/>
        <w:jc w:val="both"/>
        <w:rPr>
          <w:szCs w:val="22"/>
        </w:rPr>
      </w:pPr>
      <w:r w:rsidRPr="00D319AA">
        <w:rPr>
          <w:szCs w:val="22"/>
        </w:rPr>
        <w:t>FinCEN</w:t>
      </w:r>
      <w:r w:rsidRPr="00D319AA" w:rsidR="00F51C1E">
        <w:rPr>
          <w:szCs w:val="22"/>
        </w:rPr>
        <w:t xml:space="preserve">’s estimate of the annual PRA burden, therefore, is </w:t>
      </w:r>
      <w:r w:rsidRPr="00D319AA">
        <w:rPr>
          <w:szCs w:val="22"/>
        </w:rPr>
        <w:t>3</w:t>
      </w:r>
      <w:r w:rsidRPr="00D319AA" w:rsidR="007C715D">
        <w:rPr>
          <w:szCs w:val="22"/>
        </w:rPr>
        <w:t>2,464</w:t>
      </w:r>
      <w:r w:rsidRPr="00D319AA" w:rsidR="00AF47D0">
        <w:rPr>
          <w:szCs w:val="22"/>
        </w:rPr>
        <w:t xml:space="preserve"> hours</w:t>
      </w:r>
      <w:r w:rsidRPr="00D319AA" w:rsidR="00F51C1E">
        <w:rPr>
          <w:szCs w:val="22"/>
        </w:rPr>
        <w:t>, as detailed in Table 2 below</w:t>
      </w:r>
      <w:r w:rsidRPr="00D319AA">
        <w:rPr>
          <w:szCs w:val="22"/>
        </w:rPr>
        <w:t>.</w:t>
      </w:r>
    </w:p>
    <w:p w:rsidR="003A525C" w:rsidRPr="00D319AA" w:rsidP="008814AE" w14:paraId="5435A822" w14:textId="77777777">
      <w:pPr>
        <w:widowControl w:val="0"/>
        <w:autoSpaceDE w:val="0"/>
        <w:autoSpaceDN w:val="0"/>
        <w:adjustRightInd w:val="0"/>
        <w:jc w:val="both"/>
        <w:rPr>
          <w:szCs w:val="22"/>
        </w:rPr>
      </w:pPr>
    </w:p>
    <w:p w:rsidR="00B14F06" w:rsidRPr="00D319AA" w:rsidP="00D319AA" w14:paraId="53FCC5BD" w14:textId="77777777">
      <w:pPr>
        <w:rPr>
          <w:b/>
          <w:sz w:val="22"/>
          <w:szCs w:val="22"/>
        </w:rPr>
      </w:pPr>
      <w:r w:rsidRPr="00D319AA">
        <w:rPr>
          <w:b/>
          <w:sz w:val="22"/>
          <w:szCs w:val="22"/>
        </w:rPr>
        <w:t>Table 2 – Burden associated with updating and maintaining the due diligence program and obtaining senior management approval of the program</w:t>
      </w:r>
    </w:p>
    <w:p w:rsidR="00B14F06" w:rsidRPr="00D319AA" w:rsidP="00D319AA" w14:paraId="233AB81B" w14:textId="77777777">
      <w:pPr>
        <w:rPr>
          <w:b/>
          <w:sz w:val="22"/>
          <w:szCs w:val="22"/>
        </w:rPr>
      </w:pPr>
    </w:p>
    <w:tbl>
      <w:tblPr>
        <w:tblStyle w:val="TableGrid"/>
        <w:tblW w:w="8910" w:type="dxa"/>
        <w:tblInd w:w="-5" w:type="dxa"/>
        <w:tblLook w:val="04A0"/>
      </w:tblPr>
      <w:tblGrid>
        <w:gridCol w:w="1402"/>
        <w:gridCol w:w="1372"/>
        <w:gridCol w:w="1353"/>
        <w:gridCol w:w="1050"/>
        <w:gridCol w:w="1353"/>
        <w:gridCol w:w="1048"/>
        <w:gridCol w:w="1332"/>
      </w:tblGrid>
      <w:tr w14:paraId="2C317EA0" w14:textId="77777777" w:rsidTr="00AD38DC">
        <w:tblPrEx>
          <w:tblW w:w="8910" w:type="dxa"/>
          <w:tblInd w:w="-5" w:type="dxa"/>
          <w:tblLook w:val="04A0"/>
        </w:tblPrEx>
        <w:trPr>
          <w:tblHeader/>
        </w:trPr>
        <w:tc>
          <w:tcPr>
            <w:tcW w:w="1402" w:type="dxa"/>
            <w:vMerge w:val="restart"/>
            <w:vAlign w:val="center"/>
          </w:tcPr>
          <w:p w:rsidR="00B14F06" w:rsidRPr="00D319AA" w:rsidP="00D319AA" w14:paraId="1EB5B27C" w14:textId="77777777">
            <w:pPr>
              <w:rPr>
                <w:rFonts w:ascii="Times New Roman" w:hAnsi="Times New Roman" w:cs="Times New Roman"/>
                <w:b/>
                <w:sz w:val="22"/>
                <w:szCs w:val="22"/>
                <w:lang w:val="en-US"/>
              </w:rPr>
            </w:pPr>
            <w:r w:rsidRPr="00D319AA">
              <w:rPr>
                <w:rFonts w:ascii="Times New Roman" w:hAnsi="Times New Roman" w:cs="Times New Roman"/>
                <w:b/>
                <w:sz w:val="22"/>
                <w:szCs w:val="22"/>
                <w:lang w:val="en-US"/>
              </w:rPr>
              <w:t>Type of Financial Institution</w:t>
            </w:r>
          </w:p>
        </w:tc>
        <w:tc>
          <w:tcPr>
            <w:tcW w:w="1372" w:type="dxa"/>
            <w:vAlign w:val="center"/>
          </w:tcPr>
          <w:p w:rsidR="00B14F06" w:rsidRPr="00D319AA" w:rsidP="00D319AA" w14:paraId="3B8D0E3F" w14:textId="77777777">
            <w:pPr>
              <w:rPr>
                <w:rFonts w:ascii="Times New Roman" w:hAnsi="Times New Roman" w:cs="Times New Roman"/>
                <w:b/>
                <w:sz w:val="22"/>
                <w:szCs w:val="22"/>
                <w:lang w:val="en-US"/>
              </w:rPr>
            </w:pPr>
            <w:r w:rsidRPr="00D319AA">
              <w:rPr>
                <w:rFonts w:ascii="Times New Roman" w:hAnsi="Times New Roman" w:cs="Times New Roman"/>
                <w:b/>
                <w:sz w:val="22"/>
                <w:szCs w:val="22"/>
                <w:lang w:val="en-US"/>
              </w:rPr>
              <w:t>Number of Financial Institutions</w:t>
            </w:r>
          </w:p>
        </w:tc>
        <w:tc>
          <w:tcPr>
            <w:tcW w:w="2403" w:type="dxa"/>
            <w:gridSpan w:val="2"/>
            <w:vAlign w:val="center"/>
          </w:tcPr>
          <w:p w:rsidR="00B14F06" w:rsidRPr="00D319AA" w:rsidP="00D319AA" w14:paraId="2D686081" w14:textId="77777777">
            <w:pPr>
              <w:rPr>
                <w:rFonts w:ascii="Times New Roman" w:hAnsi="Times New Roman" w:cs="Times New Roman"/>
                <w:b/>
                <w:sz w:val="22"/>
                <w:szCs w:val="22"/>
                <w:lang w:val="en-US"/>
              </w:rPr>
            </w:pPr>
            <w:r w:rsidRPr="00D319AA">
              <w:rPr>
                <w:rFonts w:ascii="Times New Roman" w:hAnsi="Times New Roman" w:cs="Times New Roman"/>
                <w:b/>
                <w:sz w:val="22"/>
                <w:szCs w:val="22"/>
                <w:lang w:val="en-US"/>
              </w:rPr>
              <w:t>Time Per Financial Institution</w:t>
            </w:r>
          </w:p>
        </w:tc>
        <w:tc>
          <w:tcPr>
            <w:tcW w:w="2401" w:type="dxa"/>
            <w:gridSpan w:val="2"/>
            <w:vAlign w:val="center"/>
          </w:tcPr>
          <w:p w:rsidR="00B14F06" w:rsidRPr="00D319AA" w:rsidP="00D319AA" w14:paraId="184AF1A2" w14:textId="77777777">
            <w:pPr>
              <w:rPr>
                <w:rFonts w:ascii="Times New Roman" w:hAnsi="Times New Roman" w:cs="Times New Roman"/>
                <w:b/>
                <w:sz w:val="22"/>
                <w:szCs w:val="22"/>
                <w:lang w:val="en-US"/>
              </w:rPr>
            </w:pPr>
            <w:r w:rsidRPr="00D319AA">
              <w:rPr>
                <w:rFonts w:ascii="Times New Roman" w:hAnsi="Times New Roman" w:cs="Times New Roman"/>
                <w:b/>
                <w:sz w:val="22"/>
                <w:szCs w:val="22"/>
                <w:lang w:val="en-US"/>
              </w:rPr>
              <w:t>Aggregate Burden Hours Per Step</w:t>
            </w:r>
          </w:p>
        </w:tc>
        <w:tc>
          <w:tcPr>
            <w:tcW w:w="1332" w:type="dxa"/>
            <w:vMerge w:val="restart"/>
          </w:tcPr>
          <w:p w:rsidR="00B14F06" w:rsidRPr="00D319AA" w:rsidP="00D319AA" w14:paraId="0E24933F" w14:textId="77777777">
            <w:pPr>
              <w:rPr>
                <w:rFonts w:ascii="Times New Roman" w:hAnsi="Times New Roman" w:cs="Times New Roman"/>
                <w:b/>
                <w:sz w:val="22"/>
                <w:szCs w:val="22"/>
                <w:lang w:val="en-US"/>
              </w:rPr>
            </w:pPr>
            <w:r w:rsidRPr="00D319AA">
              <w:rPr>
                <w:rFonts w:ascii="Times New Roman" w:hAnsi="Times New Roman" w:cs="Times New Roman"/>
                <w:b/>
                <w:sz w:val="22"/>
                <w:szCs w:val="22"/>
                <w:lang w:val="en-US"/>
              </w:rPr>
              <w:t>Total Burden Hours</w:t>
            </w:r>
          </w:p>
        </w:tc>
      </w:tr>
      <w:tr w14:paraId="02564E4F" w14:textId="77777777" w:rsidTr="00AD38DC">
        <w:tblPrEx>
          <w:tblW w:w="8910" w:type="dxa"/>
          <w:tblInd w:w="-5" w:type="dxa"/>
          <w:tblLook w:val="04A0"/>
        </w:tblPrEx>
        <w:tc>
          <w:tcPr>
            <w:tcW w:w="1402" w:type="dxa"/>
            <w:vMerge/>
            <w:vAlign w:val="center"/>
          </w:tcPr>
          <w:p w:rsidR="00B14F06" w:rsidRPr="00D319AA" w:rsidP="00D319AA" w14:paraId="01D39672" w14:textId="77777777">
            <w:pPr>
              <w:jc w:val="center"/>
              <w:rPr>
                <w:rFonts w:ascii="Times New Roman" w:hAnsi="Times New Roman" w:cs="Times New Roman"/>
                <w:sz w:val="22"/>
                <w:szCs w:val="22"/>
                <w:lang w:val="en-US"/>
              </w:rPr>
            </w:pPr>
          </w:p>
        </w:tc>
        <w:tc>
          <w:tcPr>
            <w:tcW w:w="1372" w:type="dxa"/>
            <w:vAlign w:val="center"/>
          </w:tcPr>
          <w:p w:rsidR="00B14F06" w:rsidRPr="00D319AA" w:rsidP="00D319AA" w14:paraId="2D3F507B"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(See Table 1)</w:t>
            </w:r>
          </w:p>
        </w:tc>
        <w:tc>
          <w:tcPr>
            <w:tcW w:w="1353" w:type="dxa"/>
            <w:vAlign w:val="center"/>
          </w:tcPr>
          <w:p w:rsidR="00B14F06" w:rsidRPr="00D319AA" w:rsidP="00D319AA" w14:paraId="70FF59F2"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Maintenance</w:t>
            </w:r>
          </w:p>
        </w:tc>
        <w:tc>
          <w:tcPr>
            <w:tcW w:w="1050" w:type="dxa"/>
            <w:vAlign w:val="center"/>
          </w:tcPr>
          <w:p w:rsidR="00B14F06" w:rsidRPr="00D319AA" w:rsidP="00D319AA" w14:paraId="0F2A92E7"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Approval</w:t>
            </w:r>
          </w:p>
        </w:tc>
        <w:tc>
          <w:tcPr>
            <w:tcW w:w="1353" w:type="dxa"/>
            <w:vAlign w:val="center"/>
          </w:tcPr>
          <w:p w:rsidR="00B14F06" w:rsidRPr="00D319AA" w:rsidP="00D319AA" w14:paraId="6F52504D"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Maintenance</w:t>
            </w:r>
          </w:p>
        </w:tc>
        <w:tc>
          <w:tcPr>
            <w:tcW w:w="1048" w:type="dxa"/>
            <w:vAlign w:val="center"/>
          </w:tcPr>
          <w:p w:rsidR="00B14F06" w:rsidRPr="00D319AA" w:rsidP="00D319AA" w14:paraId="43DF9681"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Approval</w:t>
            </w:r>
          </w:p>
        </w:tc>
        <w:tc>
          <w:tcPr>
            <w:tcW w:w="1332" w:type="dxa"/>
            <w:vMerge/>
          </w:tcPr>
          <w:p w:rsidR="00B14F06" w:rsidRPr="00D319AA" w:rsidP="00D319AA" w14:paraId="739DA881" w14:textId="77777777">
            <w:pPr>
              <w:jc w:val="center"/>
              <w:rPr>
                <w:rFonts w:ascii="Times New Roman" w:hAnsi="Times New Roman" w:cs="Times New Roman"/>
                <w:sz w:val="22"/>
                <w:szCs w:val="22"/>
                <w:lang w:val="en-US"/>
              </w:rPr>
            </w:pPr>
          </w:p>
        </w:tc>
      </w:tr>
      <w:tr w14:paraId="349C37D9" w14:textId="77777777" w:rsidTr="00AD38DC">
        <w:tblPrEx>
          <w:tblW w:w="8910" w:type="dxa"/>
          <w:tblInd w:w="-5" w:type="dxa"/>
          <w:tblLook w:val="04A0"/>
        </w:tblPrEx>
        <w:tc>
          <w:tcPr>
            <w:tcW w:w="1402" w:type="dxa"/>
            <w:vAlign w:val="center"/>
          </w:tcPr>
          <w:p w:rsidR="00B14F06" w:rsidRPr="00D319AA" w:rsidP="00D319AA" w14:paraId="4406E07A"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Banks with an FFR</w:t>
            </w:r>
          </w:p>
        </w:tc>
        <w:tc>
          <w:tcPr>
            <w:tcW w:w="1372" w:type="dxa"/>
            <w:vAlign w:val="center"/>
          </w:tcPr>
          <w:p w:rsidR="00B14F06" w:rsidRPr="00D319AA" w:rsidP="00D319AA" w14:paraId="56DE6F81"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9,800</w:t>
            </w:r>
          </w:p>
        </w:tc>
        <w:tc>
          <w:tcPr>
            <w:tcW w:w="1353" w:type="dxa"/>
            <w:vAlign w:val="center"/>
          </w:tcPr>
          <w:p w:rsidR="00B14F06" w:rsidRPr="00D319AA" w:rsidP="00D319AA" w14:paraId="2E6887C6"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050" w:type="dxa"/>
            <w:vAlign w:val="center"/>
          </w:tcPr>
          <w:p w:rsidR="00B14F06" w:rsidRPr="00D319AA" w:rsidP="00D319AA" w14:paraId="7B2D7D95"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353" w:type="dxa"/>
            <w:vAlign w:val="center"/>
          </w:tcPr>
          <w:p w:rsidR="00B14F06" w:rsidRPr="00D319AA" w:rsidP="00D319AA" w14:paraId="1B37C859"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9,800</w:t>
            </w:r>
          </w:p>
        </w:tc>
        <w:tc>
          <w:tcPr>
            <w:tcW w:w="1048" w:type="dxa"/>
            <w:vAlign w:val="center"/>
          </w:tcPr>
          <w:p w:rsidR="00B14F06" w:rsidRPr="00D319AA" w:rsidP="00D319AA" w14:paraId="460DC4B1"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9,800</w:t>
            </w:r>
          </w:p>
        </w:tc>
        <w:tc>
          <w:tcPr>
            <w:tcW w:w="1332" w:type="dxa"/>
            <w:vAlign w:val="center"/>
          </w:tcPr>
          <w:p w:rsidR="00B14F06" w:rsidRPr="00D319AA" w:rsidP="00D319AA" w14:paraId="193F8349" w14:textId="77777777">
            <w:pPr>
              <w:jc w:val="center"/>
              <w:rPr>
                <w:rFonts w:ascii="Times New Roman" w:hAnsi="Times New Roman" w:cs="Times New Roman"/>
                <w:color w:val="000000"/>
                <w:sz w:val="22"/>
                <w:szCs w:val="22"/>
                <w:lang w:val="en-US"/>
              </w:rPr>
            </w:pPr>
            <w:r w:rsidRPr="00D319AA">
              <w:rPr>
                <w:rFonts w:ascii="Times New Roman" w:hAnsi="Times New Roman" w:cs="Times New Roman"/>
                <w:color w:val="000000"/>
                <w:sz w:val="22"/>
                <w:szCs w:val="22"/>
                <w:lang w:val="en-US"/>
              </w:rPr>
              <w:t>19,600</w:t>
            </w:r>
          </w:p>
        </w:tc>
      </w:tr>
      <w:tr w14:paraId="3DC8A37D" w14:textId="77777777" w:rsidTr="00AD38DC">
        <w:tblPrEx>
          <w:tblW w:w="8910" w:type="dxa"/>
          <w:tblInd w:w="-5" w:type="dxa"/>
          <w:tblLook w:val="04A0"/>
        </w:tblPrEx>
        <w:tc>
          <w:tcPr>
            <w:tcW w:w="1402" w:type="dxa"/>
            <w:vAlign w:val="center"/>
          </w:tcPr>
          <w:p w:rsidR="00B14F06" w:rsidRPr="00D319AA" w:rsidP="00D319AA" w14:paraId="68175FBD"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Banks without an FFR</w:t>
            </w:r>
          </w:p>
        </w:tc>
        <w:tc>
          <w:tcPr>
            <w:tcW w:w="1372" w:type="dxa"/>
            <w:vAlign w:val="center"/>
          </w:tcPr>
          <w:p w:rsidR="00B14F06" w:rsidRPr="00D319AA" w:rsidP="00D319AA" w14:paraId="63C0C2AE"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600</w:t>
            </w:r>
          </w:p>
        </w:tc>
        <w:tc>
          <w:tcPr>
            <w:tcW w:w="1353" w:type="dxa"/>
            <w:vAlign w:val="center"/>
          </w:tcPr>
          <w:p w:rsidR="00B14F06" w:rsidRPr="00D319AA" w:rsidP="00D319AA" w14:paraId="74F97210"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050" w:type="dxa"/>
            <w:vAlign w:val="center"/>
          </w:tcPr>
          <w:p w:rsidR="00B14F06" w:rsidRPr="00D319AA" w:rsidP="00D319AA" w14:paraId="2099BC63"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353" w:type="dxa"/>
            <w:vAlign w:val="center"/>
          </w:tcPr>
          <w:p w:rsidR="00B14F06" w:rsidRPr="00D319AA" w:rsidP="00D319AA" w14:paraId="44DCDD15"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600</w:t>
            </w:r>
          </w:p>
        </w:tc>
        <w:tc>
          <w:tcPr>
            <w:tcW w:w="1048" w:type="dxa"/>
            <w:vAlign w:val="center"/>
          </w:tcPr>
          <w:p w:rsidR="00B14F06" w:rsidRPr="00D319AA" w:rsidP="00D319AA" w14:paraId="681A5487"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600</w:t>
            </w:r>
          </w:p>
        </w:tc>
        <w:tc>
          <w:tcPr>
            <w:tcW w:w="1332" w:type="dxa"/>
            <w:vAlign w:val="center"/>
          </w:tcPr>
          <w:p w:rsidR="00B14F06" w:rsidRPr="00D319AA" w:rsidP="00D319AA" w14:paraId="5529C071"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1,200</w:t>
            </w:r>
          </w:p>
        </w:tc>
      </w:tr>
      <w:tr w14:paraId="14DCABE2" w14:textId="77777777" w:rsidTr="00AD38DC">
        <w:tblPrEx>
          <w:tblW w:w="8910" w:type="dxa"/>
          <w:tblInd w:w="-5" w:type="dxa"/>
          <w:tblLook w:val="04A0"/>
        </w:tblPrEx>
        <w:tc>
          <w:tcPr>
            <w:tcW w:w="1402" w:type="dxa"/>
            <w:vAlign w:val="center"/>
          </w:tcPr>
          <w:p w:rsidR="00B14F06" w:rsidRPr="00D319AA" w:rsidP="00D319AA" w14:paraId="5534D697"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Brokers or dealers in securities</w:t>
            </w:r>
          </w:p>
        </w:tc>
        <w:tc>
          <w:tcPr>
            <w:tcW w:w="1372" w:type="dxa"/>
            <w:vAlign w:val="center"/>
          </w:tcPr>
          <w:p w:rsidR="00B14F06" w:rsidRPr="00D319AA" w:rsidP="00D319AA" w14:paraId="67193313" w14:textId="77777777">
            <w:pPr>
              <w:jc w:val="center"/>
              <w:rPr>
                <w:rFonts w:ascii="Times New Roman" w:hAnsi="Times New Roman" w:cs="Times New Roman"/>
                <w:sz w:val="22"/>
                <w:szCs w:val="22"/>
                <w:lang w:val="en-US"/>
              </w:rPr>
            </w:pPr>
          </w:p>
          <w:p w:rsidR="00B14F06" w:rsidRPr="00D319AA" w:rsidP="00D319AA" w14:paraId="4CC94009"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3,478</w:t>
            </w:r>
          </w:p>
          <w:p w:rsidR="00B14F06" w:rsidRPr="00D319AA" w:rsidP="00D319AA" w14:paraId="5FAA74D5" w14:textId="77777777">
            <w:pPr>
              <w:jc w:val="center"/>
              <w:rPr>
                <w:rFonts w:ascii="Times New Roman" w:hAnsi="Times New Roman" w:cs="Times New Roman"/>
                <w:sz w:val="22"/>
                <w:szCs w:val="22"/>
                <w:lang w:val="en-US"/>
              </w:rPr>
            </w:pPr>
          </w:p>
        </w:tc>
        <w:tc>
          <w:tcPr>
            <w:tcW w:w="1353" w:type="dxa"/>
            <w:vAlign w:val="center"/>
          </w:tcPr>
          <w:p w:rsidR="00B14F06" w:rsidRPr="00D319AA" w:rsidP="00D319AA" w14:paraId="2950E7DF"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050" w:type="dxa"/>
            <w:vAlign w:val="center"/>
          </w:tcPr>
          <w:p w:rsidR="00B14F06" w:rsidRPr="00D319AA" w:rsidP="00D319AA" w14:paraId="1FDC1D59"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353" w:type="dxa"/>
            <w:vAlign w:val="center"/>
          </w:tcPr>
          <w:p w:rsidR="00B14F06" w:rsidRPr="00D319AA" w:rsidP="00D319AA" w14:paraId="5A5E8FCF"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3,478</w:t>
            </w:r>
          </w:p>
        </w:tc>
        <w:tc>
          <w:tcPr>
            <w:tcW w:w="1048" w:type="dxa"/>
            <w:vAlign w:val="center"/>
          </w:tcPr>
          <w:p w:rsidR="00B14F06" w:rsidRPr="00D319AA" w:rsidP="00D319AA" w14:paraId="78BFE60A"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3,478</w:t>
            </w:r>
          </w:p>
          <w:p w:rsidR="00B14F06" w:rsidRPr="00D319AA" w:rsidP="00D319AA" w14:paraId="74E918C6" w14:textId="77777777">
            <w:pPr>
              <w:jc w:val="center"/>
              <w:rPr>
                <w:rFonts w:ascii="Times New Roman" w:hAnsi="Times New Roman" w:cs="Times New Roman"/>
                <w:sz w:val="22"/>
                <w:szCs w:val="22"/>
                <w:lang w:val="en-US"/>
              </w:rPr>
            </w:pPr>
          </w:p>
        </w:tc>
        <w:tc>
          <w:tcPr>
            <w:tcW w:w="1332" w:type="dxa"/>
            <w:vAlign w:val="center"/>
          </w:tcPr>
          <w:p w:rsidR="00B14F06" w:rsidRPr="00D319AA" w:rsidP="00D319AA" w14:paraId="2D68499C"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6,956</w:t>
            </w:r>
          </w:p>
        </w:tc>
      </w:tr>
      <w:tr w14:paraId="1953D1B1" w14:textId="77777777" w:rsidTr="00AD38DC">
        <w:tblPrEx>
          <w:tblW w:w="8910" w:type="dxa"/>
          <w:tblInd w:w="-5" w:type="dxa"/>
          <w:tblLook w:val="04A0"/>
        </w:tblPrEx>
        <w:tc>
          <w:tcPr>
            <w:tcW w:w="1402" w:type="dxa"/>
            <w:vAlign w:val="center"/>
          </w:tcPr>
          <w:p w:rsidR="00B14F06" w:rsidRPr="00D319AA" w:rsidP="00D319AA" w14:paraId="70BAB824"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Mutual funds</w:t>
            </w:r>
          </w:p>
        </w:tc>
        <w:tc>
          <w:tcPr>
            <w:tcW w:w="1372" w:type="dxa"/>
            <w:vAlign w:val="center"/>
          </w:tcPr>
          <w:p w:rsidR="00B14F06" w:rsidRPr="00D319AA" w:rsidP="00D319AA" w14:paraId="46374260"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1,400</w:t>
            </w:r>
          </w:p>
        </w:tc>
        <w:tc>
          <w:tcPr>
            <w:tcW w:w="1353" w:type="dxa"/>
            <w:vAlign w:val="center"/>
          </w:tcPr>
          <w:p w:rsidR="00B14F06" w:rsidRPr="00D319AA" w:rsidP="00D319AA" w14:paraId="50FA3C1C"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050" w:type="dxa"/>
            <w:vAlign w:val="center"/>
          </w:tcPr>
          <w:p w:rsidR="00B14F06" w:rsidRPr="00D319AA" w:rsidP="00D319AA" w14:paraId="2AE0D2D8"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353" w:type="dxa"/>
            <w:vAlign w:val="center"/>
          </w:tcPr>
          <w:p w:rsidR="00B14F06" w:rsidRPr="00D319AA" w:rsidP="00D319AA" w14:paraId="0E0565B0"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1,400</w:t>
            </w:r>
          </w:p>
        </w:tc>
        <w:tc>
          <w:tcPr>
            <w:tcW w:w="1048" w:type="dxa"/>
            <w:vAlign w:val="center"/>
          </w:tcPr>
          <w:p w:rsidR="00B14F06" w:rsidRPr="00D319AA" w:rsidP="00D319AA" w14:paraId="001AD3C7"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1,400</w:t>
            </w:r>
          </w:p>
        </w:tc>
        <w:tc>
          <w:tcPr>
            <w:tcW w:w="1332" w:type="dxa"/>
            <w:vAlign w:val="center"/>
          </w:tcPr>
          <w:p w:rsidR="00B14F06" w:rsidRPr="00D319AA" w:rsidP="00D319AA" w14:paraId="203B2DAC"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2,800</w:t>
            </w:r>
          </w:p>
        </w:tc>
      </w:tr>
      <w:tr w14:paraId="480C1B1C" w14:textId="77777777" w:rsidTr="00AD38DC">
        <w:tblPrEx>
          <w:tblW w:w="8910" w:type="dxa"/>
          <w:tblInd w:w="-5" w:type="dxa"/>
          <w:tblLook w:val="04A0"/>
        </w:tblPrEx>
        <w:tc>
          <w:tcPr>
            <w:tcW w:w="1402" w:type="dxa"/>
            <w:vAlign w:val="center"/>
          </w:tcPr>
          <w:p w:rsidR="00B14F06" w:rsidRPr="00D319AA" w:rsidP="00D319AA" w14:paraId="3FA029A0"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Futures commission merchants and introducing brokers in commodities</w:t>
            </w:r>
          </w:p>
        </w:tc>
        <w:tc>
          <w:tcPr>
            <w:tcW w:w="1372" w:type="dxa"/>
            <w:vAlign w:val="center"/>
          </w:tcPr>
          <w:p w:rsidR="00B14F06" w:rsidRPr="00D319AA" w:rsidP="00D319AA" w14:paraId="7E69AD0C"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954</w:t>
            </w:r>
          </w:p>
        </w:tc>
        <w:tc>
          <w:tcPr>
            <w:tcW w:w="1353" w:type="dxa"/>
            <w:vAlign w:val="center"/>
          </w:tcPr>
          <w:p w:rsidR="00B14F06" w:rsidRPr="00D319AA" w:rsidP="00D319AA" w14:paraId="3720A1F7"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050" w:type="dxa"/>
            <w:vAlign w:val="center"/>
          </w:tcPr>
          <w:p w:rsidR="00B14F06" w:rsidRPr="00D319AA" w:rsidP="00D319AA" w14:paraId="79F25D44"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 hour</w:t>
            </w:r>
          </w:p>
        </w:tc>
        <w:tc>
          <w:tcPr>
            <w:tcW w:w="1353" w:type="dxa"/>
            <w:vAlign w:val="center"/>
          </w:tcPr>
          <w:p w:rsidR="00B14F06" w:rsidRPr="00D319AA" w:rsidP="00D319AA" w14:paraId="61F0E00E"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954</w:t>
            </w:r>
          </w:p>
        </w:tc>
        <w:tc>
          <w:tcPr>
            <w:tcW w:w="1048" w:type="dxa"/>
            <w:vAlign w:val="center"/>
          </w:tcPr>
          <w:p w:rsidR="00B14F06" w:rsidRPr="00D319AA" w:rsidP="00D319AA" w14:paraId="70D057B8"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954</w:t>
            </w:r>
          </w:p>
        </w:tc>
        <w:tc>
          <w:tcPr>
            <w:tcW w:w="1332" w:type="dxa"/>
            <w:vAlign w:val="center"/>
          </w:tcPr>
          <w:p w:rsidR="00B14F06" w:rsidRPr="00D319AA" w:rsidP="00D319AA" w14:paraId="03C2177F" w14:textId="77777777">
            <w:pPr>
              <w:jc w:val="center"/>
              <w:rPr>
                <w:rFonts w:ascii="Times New Roman" w:hAnsi="Times New Roman" w:cs="Times New Roman"/>
                <w:sz w:val="22"/>
                <w:szCs w:val="22"/>
                <w:lang w:val="en-US"/>
              </w:rPr>
            </w:pPr>
            <w:r w:rsidRPr="00D319AA">
              <w:rPr>
                <w:rFonts w:ascii="Times New Roman" w:hAnsi="Times New Roman" w:cs="Times New Roman"/>
                <w:sz w:val="22"/>
                <w:szCs w:val="22"/>
                <w:lang w:val="en-US"/>
              </w:rPr>
              <w:t>1,908</w:t>
            </w:r>
          </w:p>
        </w:tc>
      </w:tr>
      <w:tr w14:paraId="24D5DED1" w14:textId="77777777" w:rsidTr="00AD38DC">
        <w:tblPrEx>
          <w:tblW w:w="8910" w:type="dxa"/>
          <w:tblInd w:w="-5" w:type="dxa"/>
          <w:tblLook w:val="04A0"/>
        </w:tblPrEx>
        <w:trPr>
          <w:trHeight w:val="638"/>
        </w:trPr>
        <w:tc>
          <w:tcPr>
            <w:tcW w:w="5177" w:type="dxa"/>
            <w:gridSpan w:val="4"/>
            <w:vAlign w:val="center"/>
          </w:tcPr>
          <w:p w:rsidR="00B14F06" w:rsidRPr="00D319AA" w:rsidP="00D319AA" w14:paraId="1378CEF3" w14:textId="77777777">
            <w:pPr>
              <w:jc w:val="center"/>
              <w:rPr>
                <w:rFonts w:ascii="Times New Roman" w:hAnsi="Times New Roman" w:cs="Times New Roman"/>
                <w:b/>
                <w:sz w:val="22"/>
                <w:szCs w:val="22"/>
                <w:lang w:val="en-US"/>
              </w:rPr>
            </w:pPr>
            <w:r w:rsidRPr="00D319AA">
              <w:rPr>
                <w:rFonts w:ascii="Times New Roman" w:hAnsi="Times New Roman" w:cs="Times New Roman"/>
                <w:b/>
                <w:sz w:val="22"/>
                <w:szCs w:val="22"/>
                <w:lang w:val="en-US"/>
              </w:rPr>
              <w:t>Total Burden Hours</w:t>
            </w:r>
          </w:p>
        </w:tc>
        <w:tc>
          <w:tcPr>
            <w:tcW w:w="1353" w:type="dxa"/>
            <w:vAlign w:val="center"/>
          </w:tcPr>
          <w:p w:rsidR="00B14F06" w:rsidRPr="00D319AA" w:rsidP="00D319AA" w14:paraId="1CA80896" w14:textId="77777777">
            <w:pPr>
              <w:jc w:val="center"/>
              <w:rPr>
                <w:rFonts w:ascii="Times New Roman" w:hAnsi="Times New Roman" w:cs="Times New Roman"/>
                <w:b/>
                <w:sz w:val="22"/>
                <w:szCs w:val="22"/>
                <w:lang w:val="en-US"/>
              </w:rPr>
            </w:pPr>
            <w:r w:rsidRPr="00D319AA">
              <w:rPr>
                <w:rFonts w:ascii="Times New Roman" w:hAnsi="Times New Roman" w:cs="Times New Roman"/>
                <w:b/>
                <w:sz w:val="22"/>
                <w:szCs w:val="22"/>
                <w:lang w:val="en-US"/>
              </w:rPr>
              <w:t>16,232</w:t>
            </w:r>
          </w:p>
        </w:tc>
        <w:tc>
          <w:tcPr>
            <w:tcW w:w="1048" w:type="dxa"/>
            <w:vAlign w:val="center"/>
          </w:tcPr>
          <w:p w:rsidR="00B14F06" w:rsidRPr="00D319AA" w:rsidP="00D319AA" w14:paraId="755E20D4" w14:textId="77777777">
            <w:pPr>
              <w:jc w:val="center"/>
              <w:rPr>
                <w:rFonts w:ascii="Times New Roman" w:hAnsi="Times New Roman" w:cs="Times New Roman"/>
                <w:b/>
                <w:sz w:val="22"/>
                <w:szCs w:val="22"/>
                <w:lang w:val="en-US"/>
              </w:rPr>
            </w:pPr>
            <w:r w:rsidRPr="00D319AA">
              <w:rPr>
                <w:rFonts w:ascii="Times New Roman" w:hAnsi="Times New Roman" w:cs="Times New Roman"/>
                <w:b/>
                <w:sz w:val="22"/>
                <w:szCs w:val="22"/>
                <w:lang w:val="en-US"/>
              </w:rPr>
              <w:t>16,232</w:t>
            </w:r>
          </w:p>
        </w:tc>
        <w:tc>
          <w:tcPr>
            <w:tcW w:w="1332" w:type="dxa"/>
            <w:vAlign w:val="center"/>
          </w:tcPr>
          <w:p w:rsidR="00B14F06" w:rsidRPr="00D319AA" w:rsidP="00D319AA" w14:paraId="371E6A04" w14:textId="77777777">
            <w:pPr>
              <w:jc w:val="center"/>
              <w:rPr>
                <w:rFonts w:ascii="Times New Roman" w:hAnsi="Times New Roman" w:cs="Times New Roman"/>
                <w:sz w:val="22"/>
                <w:szCs w:val="22"/>
                <w:lang w:val="en-US"/>
              </w:rPr>
            </w:pPr>
            <w:r w:rsidRPr="00D319AA">
              <w:rPr>
                <w:rFonts w:ascii="Times New Roman" w:hAnsi="Times New Roman" w:cs="Times New Roman"/>
                <w:b/>
                <w:sz w:val="22"/>
                <w:szCs w:val="22"/>
                <w:lang w:val="en-US"/>
              </w:rPr>
              <w:t>32,464</w:t>
            </w:r>
          </w:p>
        </w:tc>
      </w:tr>
    </w:tbl>
    <w:p w:rsidR="00114F02" w:rsidRPr="00D319AA" w:rsidP="008814AE" w14:paraId="202B7C97" w14:textId="77777777">
      <w:pPr>
        <w:widowControl w:val="0"/>
        <w:autoSpaceDE w:val="0"/>
        <w:autoSpaceDN w:val="0"/>
        <w:adjustRightInd w:val="0"/>
        <w:jc w:val="both"/>
        <w:rPr>
          <w:szCs w:val="22"/>
        </w:rPr>
      </w:pPr>
    </w:p>
    <w:p w:rsidR="00C47B67" w:rsidRPr="00D319AA" w:rsidP="008814AE" w14:paraId="50A23E0D" w14:textId="77777777">
      <w:pPr>
        <w:widowControl w:val="0"/>
        <w:autoSpaceDE w:val="0"/>
        <w:autoSpaceDN w:val="0"/>
        <w:adjustRightInd w:val="0"/>
        <w:jc w:val="both"/>
        <w:rPr>
          <w:szCs w:val="22"/>
        </w:rPr>
      </w:pPr>
    </w:p>
    <w:p w:rsidR="000F06A3" w:rsidRPr="00D319AA" w:rsidP="008814AE" w14:paraId="2328E8C6" w14:textId="77777777">
      <w:pPr>
        <w:widowControl w:val="0"/>
        <w:autoSpaceDE w:val="0"/>
        <w:autoSpaceDN w:val="0"/>
        <w:adjustRightInd w:val="0"/>
        <w:jc w:val="both"/>
      </w:pPr>
      <w:r w:rsidRPr="00D319AA">
        <w:rPr>
          <w:snapToGrid w:val="0"/>
        </w:rPr>
        <w:t xml:space="preserve">13. </w:t>
      </w:r>
      <w:r w:rsidRPr="00D319AA">
        <w:rPr>
          <w:u w:val="single"/>
        </w:rPr>
        <w:t>Estimated total annual cost burden of information collection.</w:t>
      </w:r>
      <w:r w:rsidRPr="00D319AA">
        <w:t xml:space="preserve"> </w:t>
      </w:r>
    </w:p>
    <w:p w:rsidR="000F06A3" w:rsidRPr="00D319AA" w:rsidP="00D319AA" w14:paraId="7376ABE6" w14:textId="77777777">
      <w:pPr>
        <w:rPr>
          <w:u w:val="single"/>
        </w:rPr>
      </w:pPr>
    </w:p>
    <w:p w:rsidR="002740CA" w:rsidRPr="00D319AA" w:rsidP="00D319AA" w14:paraId="5F55D24B" w14:textId="77777777">
      <w:r w:rsidRPr="00D319AA">
        <w:rPr>
          <w:u w:val="single"/>
        </w:rPr>
        <w:t>Estimated Total Annual Recordkeeping Cost</w:t>
      </w:r>
      <w:r w:rsidRPr="00D319AA">
        <w:t xml:space="preserve">:  </w:t>
      </w:r>
    </w:p>
    <w:p w:rsidR="00342BBC" w:rsidRPr="00D319AA" w:rsidP="00D319AA" w14:paraId="76221FBF" w14:textId="77777777">
      <w:pPr>
        <w:rPr>
          <w:b/>
        </w:rPr>
      </w:pPr>
    </w:p>
    <w:p w:rsidR="00342BBC" w:rsidRPr="00D319AA" w:rsidP="00D319AA" w14:paraId="1628C6DE" w14:textId="169D02B7">
      <w:pPr>
        <w:ind w:firstLine="720"/>
      </w:pPr>
      <w:r w:rsidRPr="00D319AA">
        <w:t xml:space="preserve">FinCEN is utilizing the same fully-loaded composite hourly wage rate of $106.30 </w:t>
      </w:r>
      <w:r w:rsidR="00E133DC">
        <w:t xml:space="preserve">that it </w:t>
      </w:r>
      <w:r w:rsidRPr="00D319AA">
        <w:t>utilized in the notice of proposed rulemaking (NPRM) entitled Customer Identification Programs for Registered Investment Advisers and Exempt Reporting Companies, which was published on May 21, 2024.</w:t>
      </w:r>
      <w:r>
        <w:rPr>
          <w:rStyle w:val="FootnoteReference"/>
        </w:rPr>
        <w:footnoteReference w:id="15"/>
      </w:r>
    </w:p>
    <w:p w:rsidR="00342BBC" w:rsidRPr="00D319AA" w:rsidP="00D319AA" w14:paraId="3561FC74" w14:textId="77777777">
      <w:pPr>
        <w:rPr>
          <w:b/>
          <w:sz w:val="22"/>
          <w:szCs w:val="22"/>
        </w:rPr>
      </w:pPr>
      <w:bookmarkStart w:id="4" w:name="_Hlk140495204"/>
      <w:r w:rsidRPr="00D319AA">
        <w:tab/>
      </w:r>
      <w:bookmarkStart w:id="5" w:name="_Hlk140495282"/>
      <w:bookmarkEnd w:id="4"/>
    </w:p>
    <w:bookmarkEnd w:id="5"/>
    <w:p w:rsidR="003A525C" w:rsidRPr="00D319AA" w:rsidP="00D319AA" w14:paraId="3F57626E" w14:textId="60077B62">
      <w:pPr>
        <w:ind w:firstLine="720"/>
      </w:pPr>
      <w:r w:rsidRPr="00D319AA">
        <w:t>The total estimated cost of the annual PRA burden is $3,450,923.20, as reflected in Table 3 below.</w:t>
      </w:r>
    </w:p>
    <w:p w:rsidR="00B6616A" w:rsidRPr="00D319AA" w:rsidP="00D319AA" w14:paraId="7A17000F" w14:textId="77777777">
      <w:pPr>
        <w:rPr>
          <w:u w:val="single"/>
        </w:rPr>
      </w:pPr>
    </w:p>
    <w:p w:rsidR="000A36CB" w:rsidRPr="00D319AA" w:rsidP="00C239C5" w14:paraId="598EAEC3" w14:textId="77777777">
      <w:r w:rsidRPr="00D319AA">
        <w:rPr>
          <w:b/>
          <w:sz w:val="22"/>
          <w:szCs w:val="22"/>
        </w:rPr>
        <w:t>Table 3. Total cost of the annual PRA burden</w:t>
      </w:r>
    </w:p>
    <w:p w:rsidR="000A36CB" w:rsidRPr="00D319AA" w:rsidP="00C239C5" w14:paraId="51D36454" w14:textId="77777777">
      <w:pPr>
        <w:rPr>
          <w:b/>
          <w:sz w:val="22"/>
          <w:szCs w:val="22"/>
        </w:rPr>
        <w:sectPr w:rsidSect="000A36CB">
          <w:pgSz w:w="12240" w:h="15840"/>
          <w:pgMar w:top="1440" w:right="1440" w:bottom="1440" w:left="2160" w:header="720" w:footer="720" w:gutter="0"/>
          <w:cols w:space="720"/>
          <w:titlePg/>
          <w:docGrid w:linePitch="360"/>
        </w:sectPr>
      </w:pPr>
    </w:p>
    <w:p w:rsidR="000A36CB" w:rsidRPr="00D319AA" w:rsidP="00C239C5" w14:paraId="35BCBD2A" w14:textId="77777777">
      <w:pPr>
        <w:rPr>
          <w:sz w:val="22"/>
          <w:szCs w:val="22"/>
        </w:rPr>
        <w:sectPr w:rsidSect="000A36CB">
          <w:footnotePr>
            <w:pos w:val="beneathText"/>
            <w:numFmt w:val="lowerLetter"/>
            <w:numRestart w:val="eachSect"/>
          </w:footnotePr>
          <w:type w:val="continuous"/>
          <w:pgSz w:w="12240" w:h="15840"/>
          <w:pgMar w:top="1440" w:right="1440" w:bottom="1440" w:left="2160" w:header="720" w:footer="720" w:gutter="0"/>
          <w:cols w:space="720"/>
          <w:titlePg/>
          <w:docGrid w:linePitch="360"/>
        </w:sectPr>
      </w:pPr>
    </w:p>
    <w:tbl>
      <w:tblPr>
        <w:tblStyle w:val="TableGrid"/>
        <w:tblW w:w="9540" w:type="dxa"/>
        <w:tblInd w:w="-5" w:type="dxa"/>
        <w:tblLook w:val="04A0"/>
      </w:tblPr>
      <w:tblGrid>
        <w:gridCol w:w="3472"/>
        <w:gridCol w:w="2241"/>
        <w:gridCol w:w="1906"/>
        <w:gridCol w:w="1921"/>
      </w:tblGrid>
      <w:tr w14:paraId="27D17A3C" w14:textId="77777777" w:rsidTr="00AD38DC">
        <w:tblPrEx>
          <w:tblW w:w="9540" w:type="dxa"/>
          <w:tblInd w:w="-5" w:type="dxa"/>
          <w:tblLook w:val="04A0"/>
        </w:tblPrEx>
        <w:trPr>
          <w:trHeight w:val="339"/>
        </w:trPr>
        <w:tc>
          <w:tcPr>
            <w:tcW w:w="3472" w:type="dxa"/>
            <w:vAlign w:val="center"/>
          </w:tcPr>
          <w:p w:rsidR="000A36CB" w:rsidRPr="00D319AA" w:rsidP="00C239C5" w14:paraId="24B1B526" w14:textId="77777777">
            <w:pPr>
              <w:rPr>
                <w:rFonts w:ascii="Times New Roman" w:hAnsi="Times New Roman" w:cs="Times New Roman"/>
                <w:b/>
                <w:bCs/>
                <w:sz w:val="22"/>
                <w:szCs w:val="22"/>
                <w:lang w:val="en-US"/>
              </w:rPr>
            </w:pPr>
            <w:r w:rsidRPr="00D319AA">
              <w:rPr>
                <w:rFonts w:ascii="Times New Roman" w:hAnsi="Times New Roman" w:cs="Times New Roman"/>
                <w:b/>
                <w:bCs/>
                <w:sz w:val="22"/>
                <w:szCs w:val="22"/>
                <w:lang w:val="en-US"/>
              </w:rPr>
              <w:t>Steps</w:t>
            </w:r>
          </w:p>
        </w:tc>
        <w:tc>
          <w:tcPr>
            <w:tcW w:w="2241" w:type="dxa"/>
            <w:vAlign w:val="center"/>
          </w:tcPr>
          <w:p w:rsidR="000A36CB" w:rsidRPr="00D319AA" w:rsidP="00C239C5" w14:paraId="507F31D2" w14:textId="77777777">
            <w:pPr>
              <w:rPr>
                <w:rFonts w:ascii="Times New Roman" w:hAnsi="Times New Roman" w:cs="Times New Roman"/>
                <w:b/>
                <w:bCs/>
                <w:sz w:val="22"/>
                <w:szCs w:val="22"/>
                <w:lang w:val="en-US"/>
              </w:rPr>
            </w:pPr>
            <w:r w:rsidRPr="00D319AA">
              <w:rPr>
                <w:rFonts w:ascii="Times New Roman" w:hAnsi="Times New Roman" w:cs="Times New Roman"/>
                <w:b/>
                <w:bCs/>
                <w:sz w:val="22"/>
                <w:szCs w:val="22"/>
                <w:lang w:val="en-US"/>
              </w:rPr>
              <w:t>Hourly Burden</w:t>
            </w:r>
          </w:p>
        </w:tc>
        <w:tc>
          <w:tcPr>
            <w:tcW w:w="1906" w:type="dxa"/>
            <w:vAlign w:val="center"/>
          </w:tcPr>
          <w:p w:rsidR="000A36CB" w:rsidRPr="00D319AA" w:rsidP="00C239C5" w14:paraId="3AA715EA" w14:textId="77777777">
            <w:pPr>
              <w:rPr>
                <w:rFonts w:ascii="Times New Roman" w:hAnsi="Times New Roman" w:cs="Times New Roman"/>
                <w:b/>
                <w:bCs/>
                <w:sz w:val="22"/>
                <w:szCs w:val="22"/>
                <w:lang w:val="en-US"/>
              </w:rPr>
            </w:pPr>
            <w:r w:rsidRPr="00D319AA">
              <w:rPr>
                <w:rFonts w:ascii="Times New Roman" w:hAnsi="Times New Roman" w:cs="Times New Roman"/>
                <w:b/>
                <w:bCs/>
                <w:sz w:val="22"/>
                <w:szCs w:val="22"/>
                <w:lang w:val="en-US"/>
              </w:rPr>
              <w:t>Hourly Cost</w:t>
            </w:r>
          </w:p>
        </w:tc>
        <w:tc>
          <w:tcPr>
            <w:tcW w:w="1921" w:type="dxa"/>
            <w:vAlign w:val="center"/>
          </w:tcPr>
          <w:p w:rsidR="000A36CB" w:rsidRPr="00D319AA" w:rsidP="00C239C5" w14:paraId="37007691" w14:textId="77777777">
            <w:pPr>
              <w:rPr>
                <w:rFonts w:ascii="Times New Roman" w:hAnsi="Times New Roman" w:cs="Times New Roman"/>
                <w:b/>
                <w:bCs/>
                <w:sz w:val="22"/>
                <w:szCs w:val="22"/>
                <w:lang w:val="en-US"/>
              </w:rPr>
            </w:pPr>
            <w:r w:rsidRPr="00D319AA">
              <w:rPr>
                <w:rFonts w:ascii="Times New Roman" w:hAnsi="Times New Roman" w:cs="Times New Roman"/>
                <w:b/>
                <w:bCs/>
                <w:sz w:val="22"/>
                <w:szCs w:val="22"/>
                <w:lang w:val="en-US"/>
              </w:rPr>
              <w:t>Total Cost</w:t>
            </w:r>
          </w:p>
        </w:tc>
      </w:tr>
      <w:tr w14:paraId="0538D493" w14:textId="77777777" w:rsidTr="00AD38DC">
        <w:tblPrEx>
          <w:tblW w:w="9540" w:type="dxa"/>
          <w:tblInd w:w="-5" w:type="dxa"/>
          <w:tblLook w:val="04A0"/>
        </w:tblPrEx>
        <w:trPr>
          <w:trHeight w:val="339"/>
        </w:trPr>
        <w:tc>
          <w:tcPr>
            <w:tcW w:w="3472" w:type="dxa"/>
            <w:vAlign w:val="center"/>
          </w:tcPr>
          <w:p w:rsidR="000A36CB" w:rsidRPr="00D319AA" w:rsidP="00C239C5" w14:paraId="2A4B164E"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Maintaining and updating the program</w:t>
            </w:r>
          </w:p>
        </w:tc>
        <w:tc>
          <w:tcPr>
            <w:tcW w:w="2241" w:type="dxa"/>
            <w:vAlign w:val="center"/>
          </w:tcPr>
          <w:p w:rsidR="000A36CB" w:rsidRPr="00D319AA" w:rsidP="00C239C5" w14:paraId="1DA38541"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16,232</w:t>
            </w:r>
          </w:p>
        </w:tc>
        <w:tc>
          <w:tcPr>
            <w:tcW w:w="1906" w:type="dxa"/>
            <w:vAlign w:val="center"/>
          </w:tcPr>
          <w:p w:rsidR="000A36CB" w:rsidRPr="00D319AA" w:rsidP="00C239C5" w14:paraId="253BDD11"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$106.30</w:t>
            </w:r>
          </w:p>
        </w:tc>
        <w:tc>
          <w:tcPr>
            <w:tcW w:w="1921" w:type="dxa"/>
            <w:vAlign w:val="center"/>
          </w:tcPr>
          <w:p w:rsidR="000A36CB" w:rsidRPr="00D319AA" w:rsidP="00C239C5" w14:paraId="049C8F79" w14:textId="77777777">
            <w:pPr>
              <w:jc w:val="right"/>
              <w:rPr>
                <w:rFonts w:ascii="Times New Roman" w:hAnsi="Times New Roman" w:cs="Times New Roman"/>
                <w:sz w:val="22"/>
                <w:szCs w:val="22"/>
                <w:lang w:val="en-US"/>
              </w:rPr>
            </w:pPr>
            <w:r w:rsidRPr="00D319AA">
              <w:rPr>
                <w:rFonts w:ascii="Times New Roman" w:hAnsi="Times New Roman" w:cs="Times New Roman"/>
                <w:sz w:val="22"/>
                <w:szCs w:val="22"/>
                <w:lang w:val="en-US"/>
              </w:rPr>
              <w:t>$1,725,461.60</w:t>
            </w:r>
          </w:p>
        </w:tc>
      </w:tr>
      <w:tr w14:paraId="0F8DC881" w14:textId="77777777" w:rsidTr="00AD38DC">
        <w:tblPrEx>
          <w:tblW w:w="9540" w:type="dxa"/>
          <w:tblInd w:w="-5" w:type="dxa"/>
          <w:tblLook w:val="04A0"/>
        </w:tblPrEx>
        <w:trPr>
          <w:trHeight w:val="339"/>
        </w:trPr>
        <w:tc>
          <w:tcPr>
            <w:tcW w:w="3472" w:type="dxa"/>
            <w:vAlign w:val="center"/>
          </w:tcPr>
          <w:p w:rsidR="000A36CB" w:rsidRPr="00D319AA" w:rsidP="00C239C5" w14:paraId="703FC70B"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Board of directors/senior management approval of the program</w:t>
            </w:r>
          </w:p>
        </w:tc>
        <w:tc>
          <w:tcPr>
            <w:tcW w:w="2241" w:type="dxa"/>
            <w:vAlign w:val="center"/>
          </w:tcPr>
          <w:p w:rsidR="000A36CB" w:rsidRPr="00D319AA" w:rsidP="00C239C5" w14:paraId="59C3E150"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16,232</w:t>
            </w:r>
          </w:p>
        </w:tc>
        <w:tc>
          <w:tcPr>
            <w:tcW w:w="1906" w:type="dxa"/>
            <w:vAlign w:val="center"/>
          </w:tcPr>
          <w:p w:rsidR="000A36CB" w:rsidRPr="00D319AA" w:rsidP="00C239C5" w14:paraId="4AA79EB1" w14:textId="77777777">
            <w:pPr>
              <w:rPr>
                <w:rFonts w:ascii="Times New Roman" w:hAnsi="Times New Roman" w:cs="Times New Roman"/>
                <w:sz w:val="22"/>
                <w:szCs w:val="22"/>
                <w:lang w:val="en-US"/>
              </w:rPr>
            </w:pPr>
            <w:r w:rsidRPr="00D319AA">
              <w:rPr>
                <w:rFonts w:ascii="Times New Roman" w:hAnsi="Times New Roman" w:cs="Times New Roman"/>
                <w:sz w:val="22"/>
                <w:szCs w:val="22"/>
                <w:lang w:val="en-US"/>
              </w:rPr>
              <w:t>$106.30</w:t>
            </w:r>
          </w:p>
        </w:tc>
        <w:tc>
          <w:tcPr>
            <w:tcW w:w="1921" w:type="dxa"/>
            <w:vAlign w:val="center"/>
          </w:tcPr>
          <w:p w:rsidR="000A36CB" w:rsidRPr="00D319AA" w:rsidP="00C239C5" w14:paraId="1B7FC3F8" w14:textId="77777777">
            <w:pPr>
              <w:jc w:val="right"/>
              <w:rPr>
                <w:rFonts w:ascii="Times New Roman" w:hAnsi="Times New Roman" w:cs="Times New Roman"/>
                <w:sz w:val="22"/>
                <w:szCs w:val="22"/>
                <w:lang w:val="en-US"/>
              </w:rPr>
            </w:pPr>
            <w:r w:rsidRPr="00D319AA">
              <w:rPr>
                <w:rFonts w:ascii="Times New Roman" w:hAnsi="Times New Roman" w:cs="Times New Roman"/>
                <w:sz w:val="22"/>
                <w:szCs w:val="22"/>
                <w:lang w:val="en-US"/>
              </w:rPr>
              <w:t>$1,725,461.60</w:t>
            </w:r>
          </w:p>
        </w:tc>
      </w:tr>
      <w:tr w14:paraId="72A52863" w14:textId="77777777" w:rsidTr="00AD38DC">
        <w:tblPrEx>
          <w:tblW w:w="9540" w:type="dxa"/>
          <w:tblInd w:w="-5" w:type="dxa"/>
          <w:tblLook w:val="04A0"/>
        </w:tblPrEx>
        <w:trPr>
          <w:trHeight w:val="339"/>
        </w:trPr>
        <w:tc>
          <w:tcPr>
            <w:tcW w:w="7619" w:type="dxa"/>
            <w:gridSpan w:val="3"/>
            <w:vAlign w:val="center"/>
          </w:tcPr>
          <w:p w:rsidR="000A36CB" w:rsidRPr="008814AE" w:rsidP="00C239C5" w14:paraId="4D51B44F" w14:textId="77777777">
            <w:pPr>
              <w:rPr>
                <w:rFonts w:ascii="Times New Roman" w:hAnsi="Times New Roman" w:cs="Times New Roman"/>
                <w:sz w:val="22"/>
                <w:szCs w:val="22"/>
                <w:lang w:val="en-US"/>
              </w:rPr>
            </w:pPr>
            <w:r w:rsidRPr="00D319AA">
              <w:rPr>
                <w:rFonts w:ascii="Times New Roman" w:hAnsi="Times New Roman" w:cs="Times New Roman"/>
                <w:b/>
                <w:bCs/>
                <w:sz w:val="22"/>
                <w:szCs w:val="22"/>
                <w:lang w:val="en-US"/>
              </w:rPr>
              <w:t>Total Cost</w:t>
            </w:r>
          </w:p>
        </w:tc>
        <w:tc>
          <w:tcPr>
            <w:tcW w:w="1921" w:type="dxa"/>
            <w:vAlign w:val="center"/>
          </w:tcPr>
          <w:p w:rsidR="000A36CB" w:rsidRPr="008814AE" w:rsidP="00C239C5" w14:paraId="527F246C" w14:textId="77777777">
            <w:pPr>
              <w:jc w:val="right"/>
              <w:rPr>
                <w:rFonts w:ascii="Times New Roman" w:hAnsi="Times New Roman" w:cs="Times New Roman"/>
                <w:sz w:val="22"/>
                <w:szCs w:val="22"/>
                <w:lang w:val="en-US"/>
              </w:rPr>
            </w:pPr>
            <w:r w:rsidRPr="00D319AA">
              <w:rPr>
                <w:rFonts w:ascii="Times New Roman" w:hAnsi="Times New Roman" w:cs="Times New Roman"/>
                <w:b/>
                <w:sz w:val="22"/>
                <w:szCs w:val="22"/>
                <w:lang w:val="en-US"/>
              </w:rPr>
              <w:t>$3,450,923.20</w:t>
            </w:r>
          </w:p>
        </w:tc>
      </w:tr>
    </w:tbl>
    <w:p w:rsidR="000A36CB" w:rsidRPr="00D319AA" w:rsidP="00D319AA" w14:paraId="450B400C" w14:textId="77777777">
      <w:pPr>
        <w:rPr>
          <w:b/>
          <w:sz w:val="22"/>
          <w:szCs w:val="22"/>
        </w:rPr>
        <w:sectPr w:rsidSect="000A36CB">
          <w:footnotePr>
            <w:pos w:val="beneathText"/>
            <w:numFmt w:val="lowerLetter"/>
            <w:numRestart w:val="eachSect"/>
          </w:footnotePr>
          <w:type w:val="continuous"/>
          <w:pgSz w:w="12240" w:h="15840"/>
          <w:pgMar w:top="1440" w:right="1440" w:bottom="1440" w:left="2160" w:header="720" w:footer="720" w:gutter="0"/>
          <w:cols w:space="720"/>
          <w:titlePg/>
          <w:docGrid w:linePitch="360"/>
        </w:sectPr>
      </w:pPr>
    </w:p>
    <w:p w:rsidR="00643252" w:rsidRPr="00D319AA" w:rsidP="00D319AA" w14:paraId="7AE7B940" w14:textId="77777777">
      <w:pPr>
        <w:rPr>
          <w:szCs w:val="22"/>
        </w:rPr>
      </w:pPr>
      <w:r w:rsidRPr="00D319AA">
        <w:rPr>
          <w:szCs w:val="22"/>
        </w:rPr>
        <w:t xml:space="preserve">14. </w:t>
      </w:r>
      <w:r w:rsidRPr="00D319AA">
        <w:rPr>
          <w:szCs w:val="22"/>
          <w:u w:val="single"/>
        </w:rPr>
        <w:t>Estima</w:t>
      </w:r>
      <w:r w:rsidRPr="00D319AA" w:rsidR="00D8554E">
        <w:rPr>
          <w:szCs w:val="22"/>
          <w:u w:val="single"/>
        </w:rPr>
        <w:t>ted annual cost to the Federal g</w:t>
      </w:r>
      <w:r w:rsidRPr="00D319AA">
        <w:rPr>
          <w:szCs w:val="22"/>
          <w:u w:val="single"/>
        </w:rPr>
        <w:t>overnment.</w:t>
      </w:r>
      <w:r w:rsidRPr="00D319AA">
        <w:rPr>
          <w:szCs w:val="22"/>
        </w:rPr>
        <w:t xml:space="preserve"> </w:t>
      </w:r>
    </w:p>
    <w:p w:rsidR="009829C3" w:rsidRPr="00D319AA" w:rsidP="00D319AA" w14:paraId="26BAD1D9" w14:textId="77777777">
      <w:pPr>
        <w:ind w:firstLine="720"/>
      </w:pPr>
    </w:p>
    <w:p w:rsidR="005E0FC9" w:rsidRPr="00D319AA" w:rsidP="00D319AA" w14:paraId="20C62636" w14:textId="5F43A0A2">
      <w:pPr>
        <w:pStyle w:val="PlainText"/>
        <w:ind w:firstLine="720"/>
        <w:rPr>
          <w:rFonts w:ascii="Times New Roman" w:hAnsi="Times New Roman" w:cs="Times New Roman"/>
          <w:sz w:val="24"/>
          <w:szCs w:val="24"/>
        </w:rPr>
      </w:pPr>
      <w:r w:rsidRPr="00D319AA">
        <w:rPr>
          <w:rFonts w:ascii="Times New Roman" w:hAnsi="Times New Roman" w:cs="Times New Roman"/>
          <w:sz w:val="24"/>
          <w:szCs w:val="24"/>
        </w:rPr>
        <w:t>The Federal government requires reporting of these due diligence programs only upon request of the Department of the Treasury or appropriate supervisory agencies; therefore, the estimated annual cost to the Federal government is $0.</w:t>
      </w:r>
    </w:p>
    <w:p w:rsidR="009829C3" w:rsidRPr="00D319AA" w:rsidP="00D319AA" w14:paraId="79CD5FF2" w14:textId="77777777">
      <w:pPr>
        <w:ind w:firstLine="720"/>
      </w:pPr>
    </w:p>
    <w:p w:rsidR="00643252" w:rsidRPr="00D319AA" w:rsidP="00D319AA" w14:paraId="56E6D25B" w14:textId="77777777">
      <w:pPr>
        <w:rPr>
          <w:szCs w:val="22"/>
        </w:rPr>
      </w:pPr>
      <w:r w:rsidRPr="00D319AA">
        <w:rPr>
          <w:szCs w:val="22"/>
        </w:rPr>
        <w:t xml:space="preserve">15. </w:t>
      </w:r>
      <w:r w:rsidRPr="00D319AA" w:rsidR="00D8554E">
        <w:rPr>
          <w:szCs w:val="22"/>
          <w:u w:val="single"/>
        </w:rPr>
        <w:t>Reason for change in b</w:t>
      </w:r>
      <w:r w:rsidRPr="00D319AA">
        <w:rPr>
          <w:szCs w:val="22"/>
          <w:u w:val="single"/>
        </w:rPr>
        <w:t>urden.</w:t>
      </w:r>
      <w:r w:rsidRPr="00D319AA">
        <w:rPr>
          <w:szCs w:val="22"/>
        </w:rPr>
        <w:t xml:space="preserve"> </w:t>
      </w:r>
    </w:p>
    <w:p w:rsidR="00F2243A" w:rsidRPr="00D319AA" w:rsidP="00D319AA" w14:paraId="7020C83E" w14:textId="77777777">
      <w:pPr>
        <w:pStyle w:val="CommentText"/>
        <w:rPr>
          <w:szCs w:val="22"/>
        </w:rPr>
      </w:pPr>
      <w:r w:rsidRPr="00D319AA">
        <w:rPr>
          <w:szCs w:val="22"/>
        </w:rPr>
        <w:t xml:space="preserve"> </w:t>
      </w:r>
      <w:r w:rsidRPr="00D319AA">
        <w:rPr>
          <w:szCs w:val="22"/>
        </w:rPr>
        <w:tab/>
      </w:r>
    </w:p>
    <w:p w:rsidR="00643252" w:rsidRPr="00D319AA" w:rsidP="00D319AA" w14:paraId="34AEF4E6" w14:textId="1734064C">
      <w:pPr>
        <w:widowControl w:val="0"/>
        <w:ind w:firstLine="720"/>
        <w:rPr>
          <w:snapToGrid w:val="0"/>
        </w:rPr>
      </w:pPr>
      <w:r w:rsidRPr="00D319AA">
        <w:rPr>
          <w:snapToGrid w:val="0"/>
        </w:rPr>
        <w:t xml:space="preserve">The </w:t>
      </w:r>
      <w:r w:rsidRPr="00D319AA" w:rsidR="005C739E">
        <w:rPr>
          <w:snapToGrid w:val="0"/>
        </w:rPr>
        <w:t xml:space="preserve">estimated </w:t>
      </w:r>
      <w:r w:rsidRPr="00D319AA">
        <w:rPr>
          <w:snapToGrid w:val="0"/>
        </w:rPr>
        <w:t>total annual burden hours decreased from 33,876</w:t>
      </w:r>
      <w:r w:rsidRPr="00D319AA" w:rsidR="00070D16">
        <w:rPr>
          <w:snapToGrid w:val="0"/>
        </w:rPr>
        <w:t xml:space="preserve"> hours in </w:t>
      </w:r>
      <w:r w:rsidRPr="00D319AA" w:rsidR="00A45B2A">
        <w:rPr>
          <w:snapToGrid w:val="0"/>
        </w:rPr>
        <w:t xml:space="preserve">the </w:t>
      </w:r>
      <w:r w:rsidRPr="00D319AA" w:rsidR="00070D16">
        <w:rPr>
          <w:snapToGrid w:val="0"/>
        </w:rPr>
        <w:t>2020</w:t>
      </w:r>
      <w:r w:rsidRPr="00D319AA" w:rsidR="001F6895">
        <w:rPr>
          <w:snapToGrid w:val="0"/>
        </w:rPr>
        <w:t xml:space="preserve"> renewal of this control number</w:t>
      </w:r>
      <w:r w:rsidRPr="00D319AA" w:rsidR="00070D16">
        <w:rPr>
          <w:snapToGrid w:val="0"/>
        </w:rPr>
        <w:t xml:space="preserve"> to </w:t>
      </w:r>
      <w:r w:rsidRPr="00D319AA" w:rsidR="00C6678B">
        <w:rPr>
          <w:bCs/>
        </w:rPr>
        <w:t>32,464</w:t>
      </w:r>
      <w:r w:rsidRPr="00D319AA" w:rsidR="00070D16">
        <w:rPr>
          <w:bCs/>
          <w:snapToGrid w:val="0"/>
        </w:rPr>
        <w:t xml:space="preserve"> </w:t>
      </w:r>
      <w:r w:rsidRPr="00D319AA">
        <w:rPr>
          <w:snapToGrid w:val="0"/>
        </w:rPr>
        <w:t>hours</w:t>
      </w:r>
      <w:r w:rsidRPr="00D319AA" w:rsidR="00181256">
        <w:rPr>
          <w:snapToGrid w:val="0"/>
        </w:rPr>
        <w:t xml:space="preserve"> </w:t>
      </w:r>
      <w:r w:rsidRPr="00D319AA" w:rsidR="00C6678B">
        <w:rPr>
          <w:snapToGrid w:val="0"/>
        </w:rPr>
        <w:t>in 2024</w:t>
      </w:r>
      <w:r w:rsidRPr="00D319AA">
        <w:rPr>
          <w:snapToGrid w:val="0"/>
        </w:rPr>
        <w:t xml:space="preserve">. </w:t>
      </w:r>
      <w:r w:rsidRPr="00D319AA" w:rsidR="00070D16">
        <w:rPr>
          <w:snapToGrid w:val="0"/>
        </w:rPr>
        <w:t xml:space="preserve"> </w:t>
      </w:r>
      <w:r w:rsidRPr="00D319AA">
        <w:rPr>
          <w:snapToGrid w:val="0"/>
        </w:rPr>
        <w:t xml:space="preserve">The estimated burden to maintain and update </w:t>
      </w:r>
      <w:r w:rsidRPr="00D319AA" w:rsidR="00A10AED">
        <w:rPr>
          <w:snapToGrid w:val="0"/>
        </w:rPr>
        <w:t>a</w:t>
      </w:r>
      <w:r w:rsidRPr="00D319AA">
        <w:rPr>
          <w:snapToGrid w:val="0"/>
        </w:rPr>
        <w:t xml:space="preserve"> due diligence program remained at </w:t>
      </w:r>
      <w:r w:rsidRPr="00D319AA" w:rsidR="00CC1C37">
        <w:rPr>
          <w:snapToGrid w:val="0"/>
        </w:rPr>
        <w:t>two</w:t>
      </w:r>
      <w:r w:rsidRPr="00D319AA">
        <w:rPr>
          <w:snapToGrid w:val="0"/>
        </w:rPr>
        <w:t xml:space="preserve"> hours per covered financial institution.  The decrease in burden is a result of a decrease in the </w:t>
      </w:r>
      <w:r w:rsidRPr="00D319AA" w:rsidR="005C065F">
        <w:rPr>
          <w:snapToGrid w:val="0"/>
        </w:rPr>
        <w:t xml:space="preserve">estimated </w:t>
      </w:r>
      <w:r w:rsidRPr="00D319AA">
        <w:rPr>
          <w:snapToGrid w:val="0"/>
        </w:rPr>
        <w:t>number of covered financial institutions from 16,938</w:t>
      </w:r>
      <w:r w:rsidRPr="00D319AA" w:rsidR="00B242E4">
        <w:rPr>
          <w:snapToGrid w:val="0"/>
        </w:rPr>
        <w:t xml:space="preserve"> in </w:t>
      </w:r>
      <w:r w:rsidRPr="00D319AA" w:rsidR="001F6895">
        <w:rPr>
          <w:snapToGrid w:val="0"/>
        </w:rPr>
        <w:t xml:space="preserve">the </w:t>
      </w:r>
      <w:r w:rsidRPr="00D319AA" w:rsidR="00B242E4">
        <w:rPr>
          <w:snapToGrid w:val="0"/>
        </w:rPr>
        <w:t>2020</w:t>
      </w:r>
      <w:r w:rsidRPr="00D319AA" w:rsidR="0062420C">
        <w:rPr>
          <w:snapToGrid w:val="0"/>
        </w:rPr>
        <w:t xml:space="preserve"> renewal of this control number</w:t>
      </w:r>
      <w:r w:rsidRPr="00D319AA" w:rsidR="00F32D32">
        <w:rPr>
          <w:snapToGrid w:val="0"/>
        </w:rPr>
        <w:t xml:space="preserve"> </w:t>
      </w:r>
      <w:r w:rsidRPr="00D319AA" w:rsidR="00B242E4">
        <w:rPr>
          <w:snapToGrid w:val="0"/>
        </w:rPr>
        <w:t xml:space="preserve">to 16,232 </w:t>
      </w:r>
      <w:r w:rsidRPr="00D319AA" w:rsidR="00CC1C37">
        <w:rPr>
          <w:snapToGrid w:val="0"/>
        </w:rPr>
        <w:t>in 2024</w:t>
      </w:r>
      <w:r w:rsidRPr="00D319AA">
        <w:rPr>
          <w:snapToGrid w:val="0"/>
        </w:rPr>
        <w:t>.</w:t>
      </w:r>
    </w:p>
    <w:p w:rsidR="009829C3" w:rsidRPr="00D319AA" w:rsidP="00D319AA" w14:paraId="36F5F77E" w14:textId="77777777">
      <w:pPr>
        <w:pStyle w:val="CommentText"/>
        <w:ind w:firstLine="720"/>
        <w:rPr>
          <w:sz w:val="24"/>
          <w:szCs w:val="24"/>
        </w:rPr>
      </w:pPr>
    </w:p>
    <w:p w:rsidR="009829C3" w:rsidRPr="00D319AA" w:rsidP="00D319AA" w14:paraId="322C5F1D" w14:textId="15903322">
      <w:r w:rsidRPr="00D319AA">
        <w:rPr>
          <w:szCs w:val="22"/>
        </w:rPr>
        <w:t xml:space="preserve">16. </w:t>
      </w:r>
      <w:r w:rsidRPr="00D319AA">
        <w:rPr>
          <w:szCs w:val="22"/>
          <w:u w:val="single"/>
        </w:rPr>
        <w:t>Plans for tabulation, statistical analysis, and publication.</w:t>
      </w:r>
    </w:p>
    <w:p w:rsidR="00D319AA" w:rsidP="00D319AA" w14:paraId="333F4106" w14:textId="77777777">
      <w:pPr>
        <w:ind w:firstLine="720"/>
      </w:pPr>
    </w:p>
    <w:p w:rsidR="00D8554E" w:rsidRPr="00D319AA" w:rsidP="008814AE" w14:paraId="6B49B43F" w14:textId="4E60E653">
      <w:pPr>
        <w:ind w:firstLine="720"/>
        <w:rPr>
          <w:szCs w:val="22"/>
        </w:rPr>
      </w:pPr>
      <w:r w:rsidRPr="00D319AA">
        <w:t>The collection of information will not be tabulated or compiled for publication.</w:t>
      </w:r>
      <w:r w:rsidRPr="00D319AA">
        <w:rPr>
          <w:szCs w:val="22"/>
        </w:rPr>
        <w:t xml:space="preserve"> </w:t>
      </w:r>
    </w:p>
    <w:p w:rsidR="009829C3" w:rsidRPr="00D319AA" w:rsidP="00D319AA" w14:paraId="0594D77E" w14:textId="77777777">
      <w:pPr>
        <w:ind w:firstLine="720"/>
        <w:rPr>
          <w:szCs w:val="22"/>
        </w:rPr>
      </w:pPr>
    </w:p>
    <w:p w:rsidR="00D8554E" w:rsidRPr="00D319AA" w:rsidP="00D319AA" w14:paraId="3A1BA0F7" w14:textId="77777777">
      <w:pPr>
        <w:rPr>
          <w:szCs w:val="22"/>
        </w:rPr>
      </w:pPr>
      <w:r w:rsidRPr="00D319AA">
        <w:rPr>
          <w:szCs w:val="22"/>
        </w:rPr>
        <w:t xml:space="preserve">17. </w:t>
      </w:r>
      <w:r w:rsidRPr="00D319AA">
        <w:rPr>
          <w:u w:val="single"/>
        </w:rPr>
        <w:t>Request not to display the expiration date of the OMB control number.</w:t>
      </w:r>
    </w:p>
    <w:p w:rsidR="00D319AA" w:rsidP="00D319AA" w14:paraId="45957DA4" w14:textId="77777777">
      <w:pPr>
        <w:rPr>
          <w:szCs w:val="22"/>
        </w:rPr>
      </w:pPr>
      <w:r w:rsidRPr="00D319AA">
        <w:rPr>
          <w:szCs w:val="22"/>
        </w:rPr>
        <w:tab/>
      </w:r>
    </w:p>
    <w:p w:rsidR="00D8554E" w:rsidRPr="00D319AA" w:rsidP="008814AE" w14:paraId="4654CD6E" w14:textId="1C821612">
      <w:pPr>
        <w:ind w:firstLine="720"/>
        <w:rPr>
          <w:szCs w:val="22"/>
        </w:rPr>
      </w:pPr>
      <w:r w:rsidRPr="00D319AA">
        <w:rPr>
          <w:szCs w:val="22"/>
        </w:rPr>
        <w:t xml:space="preserve">FinCEN requests that it not be required to display the expiration date so that the regulations will not have to be amended for the new expiration date every three years.  </w:t>
      </w:r>
      <w:r w:rsidRPr="00D319AA">
        <w:t>This request will not affect the normal three-year PRA renewal process.</w:t>
      </w:r>
    </w:p>
    <w:p w:rsidR="00D8554E" w:rsidRPr="00D319AA" w:rsidP="00D319AA" w14:paraId="3E59C37C" w14:textId="77777777">
      <w:pPr>
        <w:rPr>
          <w:szCs w:val="22"/>
        </w:rPr>
      </w:pPr>
    </w:p>
    <w:p w:rsidR="00D8554E" w:rsidRPr="00D319AA" w:rsidP="008814AE" w14:paraId="14AD53AD" w14:textId="77777777">
      <w:pPr>
        <w:widowControl w:val="0"/>
        <w:autoSpaceDE w:val="0"/>
        <w:autoSpaceDN w:val="0"/>
        <w:adjustRightInd w:val="0"/>
        <w:ind w:right="220"/>
        <w:jc w:val="both"/>
        <w:rPr>
          <w:szCs w:val="22"/>
          <w:u w:val="single"/>
        </w:rPr>
      </w:pPr>
      <w:r w:rsidRPr="00D319AA">
        <w:rPr>
          <w:szCs w:val="22"/>
        </w:rPr>
        <w:t xml:space="preserve">18.  </w:t>
      </w:r>
      <w:r w:rsidRPr="00D319AA">
        <w:rPr>
          <w:szCs w:val="22"/>
          <w:u w:val="single"/>
        </w:rPr>
        <w:t>Exceptions to the certification statement.</w:t>
      </w:r>
    </w:p>
    <w:p w:rsidR="00D8554E" w:rsidRPr="00D319AA" w:rsidP="008814AE" w14:paraId="586FCF57" w14:textId="77777777">
      <w:pPr>
        <w:widowControl w:val="0"/>
        <w:autoSpaceDE w:val="0"/>
        <w:autoSpaceDN w:val="0"/>
        <w:adjustRightInd w:val="0"/>
        <w:ind w:right="220"/>
        <w:jc w:val="both"/>
        <w:rPr>
          <w:szCs w:val="22"/>
        </w:rPr>
      </w:pPr>
    </w:p>
    <w:p w:rsidR="00D8554E" w:rsidRPr="00D319AA" w:rsidP="008814AE" w14:paraId="54721EFC" w14:textId="77777777">
      <w:pPr>
        <w:widowControl w:val="0"/>
        <w:autoSpaceDE w:val="0"/>
        <w:autoSpaceDN w:val="0"/>
        <w:adjustRightInd w:val="0"/>
        <w:ind w:right="220" w:firstLine="720"/>
        <w:jc w:val="both"/>
      </w:pPr>
      <w:r w:rsidRPr="00D319AA">
        <w:rPr>
          <w:szCs w:val="22"/>
        </w:rPr>
        <w:t>There are no exceptions to the certification statement.</w:t>
      </w:r>
    </w:p>
    <w:p w:rsidR="00D8554E" w:rsidRPr="00D319AA" w:rsidP="00D319AA" w14:paraId="391B9658" w14:textId="77777777">
      <w:pPr>
        <w:pStyle w:val="PlainText"/>
        <w:rPr>
          <w:rFonts w:ascii="Times New Roman" w:eastAsia="MS Mincho" w:hAnsi="Times New Roman" w:cs="Times New Roman"/>
          <w:sz w:val="24"/>
        </w:rPr>
      </w:pPr>
      <w:r w:rsidRPr="00D319AA">
        <w:rPr>
          <w:rFonts w:ascii="Times New Roman" w:eastAsia="MS Mincho" w:hAnsi="Times New Roman" w:cs="Times New Roman"/>
          <w:sz w:val="24"/>
        </w:rPr>
        <w:tab/>
        <w:t xml:space="preserve">    </w:t>
      </w:r>
    </w:p>
    <w:p w:rsidR="00D8554E" w:rsidRPr="00D319AA" w:rsidP="00D319AA" w14:paraId="72637DEA" w14:textId="77777777"/>
    <w:p w:rsidR="00643252" w:rsidRPr="00D319AA" w:rsidP="00D319AA" w14:paraId="6DE272F1" w14:textId="77777777"/>
    <w:sectPr>
      <w:footerReference w:type="default" r:id="rId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4B9" w14:paraId="0A3F72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674B9" w14:paraId="3F18C6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4B9" w14:paraId="780F4F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D674B9" w14:paraId="7E5933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1270776"/>
      <w:docPartObj>
        <w:docPartGallery w:val="Page Numbers (Bottom of Page)"/>
        <w:docPartUnique/>
      </w:docPartObj>
    </w:sdtPr>
    <w:sdtEndPr>
      <w:rPr>
        <w:noProof/>
      </w:rPr>
    </w:sdtEndPr>
    <w:sdtContent>
      <w:p w:rsidR="00622D68" w14:paraId="70F19450" w14:textId="6F8D0088">
        <w:pPr>
          <w:pStyle w:val="Footer"/>
          <w:jc w:val="center"/>
        </w:pPr>
        <w:r>
          <w:fldChar w:fldCharType="begin"/>
        </w:r>
        <w:r>
          <w:instrText xml:space="preserve"> PAGE   \* MERGEFORMAT </w:instrText>
        </w:r>
        <w:r>
          <w:fldChar w:fldCharType="separate"/>
        </w:r>
        <w:r w:rsidR="00572D22">
          <w:rPr>
            <w:noProof/>
          </w:rPr>
          <w:t>6</w:t>
        </w:r>
        <w:r>
          <w:rPr>
            <w:noProof/>
          </w:rPr>
          <w:fldChar w:fldCharType="end"/>
        </w:r>
      </w:p>
    </w:sdtContent>
  </w:sdt>
  <w:p w:rsidR="00622D68" w14:paraId="7ED3A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5D34" w14:paraId="57BFBD01" w14:textId="77777777">
      <w:r>
        <w:separator/>
      </w:r>
    </w:p>
  </w:footnote>
  <w:footnote w:type="continuationSeparator" w:id="1">
    <w:p w:rsidR="000B5D34" w14:paraId="560428FD" w14:textId="77777777">
      <w:r>
        <w:continuationSeparator/>
      </w:r>
    </w:p>
  </w:footnote>
  <w:footnote w:id="2">
    <w:p w:rsidR="005667C4" w:rsidRPr="005667C4" w:rsidP="005667C4" w14:paraId="46027448"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5667C4" w:rsidRPr="005667C4" w:rsidP="005667C4" w14:paraId="6733CD77"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5667C4" w:rsidRPr="005667C4" w:rsidP="005667C4" w14:paraId="495E29DE"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5667C4" w:rsidRPr="005667C4" w:rsidP="005667C4" w14:paraId="3C79091C" w14:textId="20BB228A">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sidR="00E40E20">
        <w:rPr>
          <w:color w:val="000000"/>
          <w:sz w:val="20"/>
          <w:szCs w:val="20"/>
        </w:rPr>
        <w:t xml:space="preserve">the </w:t>
      </w:r>
      <w:r w:rsidRPr="005667C4">
        <w:rPr>
          <w:color w:val="000000"/>
          <w:sz w:val="20"/>
          <w:szCs w:val="20"/>
        </w:rPr>
        <w:t xml:space="preserve">FinCEN Director </w:t>
      </w:r>
      <w:r w:rsidR="00E40E20">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254725" w:rsidRPr="005667C4" w:rsidP="00254725" w14:paraId="73D380C2" w14:textId="77777777">
      <w:pPr>
        <w:pStyle w:val="FootnoteText"/>
      </w:pPr>
      <w:r w:rsidRPr="005667C4">
        <w:rPr>
          <w:rStyle w:val="FootnoteReference"/>
        </w:rPr>
        <w:footnoteRef/>
      </w:r>
      <w:r w:rsidRPr="005667C4">
        <w:t xml:space="preserve"> 31 CFR 1010.605(e).  </w:t>
      </w:r>
    </w:p>
  </w:footnote>
  <w:footnote w:id="7">
    <w:p w:rsidR="00622D68" w:rsidP="00414797" w14:paraId="469F9949" w14:textId="13DE8553">
      <w:pPr>
        <w:pStyle w:val="FootnoteText"/>
      </w:pPr>
      <w:r>
        <w:rPr>
          <w:rStyle w:val="FootnoteReference"/>
        </w:rPr>
        <w:footnoteRef/>
      </w:r>
      <w:r>
        <w:t xml:space="preserve"> </w:t>
      </w:r>
      <w:r w:rsidRPr="006F052B" w:rsidR="004E0E80">
        <w:rPr>
          <w:i/>
          <w:iCs/>
        </w:rPr>
        <w:t xml:space="preserve">See </w:t>
      </w:r>
      <w:r w:rsidRPr="006F052B" w:rsidR="004E0E80">
        <w:t xml:space="preserve">FinCEN, </w:t>
      </w:r>
      <w:r w:rsidRPr="006F052B" w:rsidR="004E0E80">
        <w:rPr>
          <w:i/>
          <w:iCs/>
        </w:rPr>
        <w:t xml:space="preserve">Agency Information Collection Activities; Proposed Renewal; Comment Request: Renewal Without Change </w:t>
      </w:r>
      <w:r w:rsidR="004E0E80">
        <w:rPr>
          <w:i/>
          <w:iCs/>
        </w:rPr>
        <w:t>of Due Diligence Programs for Correspondent Accounts for Foreign Financial Institutions and for Private Banking Accounts</w:t>
      </w:r>
      <w:r w:rsidR="00A0099D">
        <w:rPr>
          <w:i/>
          <w:iCs/>
        </w:rPr>
        <w:t xml:space="preserve">, </w:t>
      </w:r>
      <w:hyperlink r:id="rId1" w:history="1">
        <w:r w:rsidRPr="00D46A8A" w:rsidR="00E94B0F">
          <w:rPr>
            <w:rStyle w:val="Hyperlink"/>
          </w:rPr>
          <w:t>89 FR 49273</w:t>
        </w:r>
      </w:hyperlink>
      <w:r w:rsidR="00E94B0F">
        <w:t xml:space="preserve"> </w:t>
      </w:r>
      <w:r w:rsidR="009E16BE">
        <w:t>(Jun. 11, 2024).</w:t>
      </w:r>
    </w:p>
  </w:footnote>
  <w:footnote w:id="8">
    <w:p w:rsidR="00314A6A" w:rsidRPr="00FE0FB5" w:rsidP="00314A6A" w14:paraId="6D79A72E" w14:textId="275E80A0">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003407D7">
        <w:rPr>
          <w:rFonts w:ascii="Times New Roman" w:eastAsia="Courier New" w:hAnsi="Times New Roman" w:cs="Times New Roman"/>
          <w:i/>
          <w:color w:val="000000"/>
        </w:rPr>
        <w:t>s</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9">
    <w:p w:rsidR="000D0A5C" w:rsidRPr="004B2A63" w:rsidP="000D0A5C" w14:paraId="592AD70E" w14:textId="77777777">
      <w:pPr>
        <w:pStyle w:val="CommentText"/>
      </w:pPr>
      <w:r w:rsidRPr="006536E3">
        <w:rPr>
          <w:rStyle w:val="FootnoteReference"/>
        </w:rPr>
        <w:footnoteRef/>
      </w:r>
      <w:r w:rsidRPr="006536E3">
        <w:t xml:space="preserve"> Table 1 below break</w:t>
      </w:r>
      <w:r>
        <w:t xml:space="preserve">s </w:t>
      </w:r>
      <w:r w:rsidRPr="006536E3">
        <w:t>down the types of financial</w:t>
      </w:r>
      <w:r w:rsidRPr="00197CE5">
        <w:t xml:space="preserve"> institutions covered by this notice.</w:t>
      </w:r>
      <w:r>
        <w:t xml:space="preserve"> </w:t>
      </w:r>
    </w:p>
  </w:footnote>
  <w:footnote w:id="10">
    <w:p w:rsidR="00D674B9" w:rsidP="00D674B9" w14:paraId="2BA59869" w14:textId="77777777">
      <w:pPr>
        <w:pStyle w:val="FootnoteText"/>
      </w:pPr>
    </w:p>
  </w:footnote>
  <w:footnote w:id="11">
    <w:p w:rsidR="00D674B9" w:rsidRPr="003461A0" w:rsidP="00D674B9" w14:paraId="0AD4B5A3" w14:textId="77777777">
      <w:pPr>
        <w:rPr>
          <w:color w:val="1F497D"/>
          <w:sz w:val="20"/>
          <w:szCs w:val="20"/>
        </w:rPr>
      </w:pPr>
    </w:p>
  </w:footnote>
  <w:footnote w:id="12">
    <w:p w:rsidR="00D674B9" w:rsidRPr="00826D71" w:rsidP="00D674B9" w14:paraId="1D48D841" w14:textId="77777777">
      <w:pPr>
        <w:pStyle w:val="FootnoteText"/>
        <w:contextualSpacing/>
      </w:pPr>
    </w:p>
  </w:footnote>
  <w:footnote w:id="13">
    <w:p w:rsidR="00D674B9" w:rsidRPr="00826D71" w:rsidP="00D674B9" w14:paraId="0E9CE545" w14:textId="77777777">
      <w:pPr>
        <w:pStyle w:val="FootnoteText"/>
      </w:pPr>
    </w:p>
  </w:footnote>
  <w:footnote w:id="14">
    <w:p w:rsidR="00D674B9" w:rsidRPr="00826D71" w:rsidP="00D674B9" w14:paraId="34144FA0" w14:textId="77777777">
      <w:pPr>
        <w:pStyle w:val="FootnoteText"/>
      </w:pPr>
    </w:p>
  </w:footnote>
  <w:footnote w:id="15">
    <w:p w:rsidR="00342BBC" w:rsidRPr="00163A9D" w:rsidP="00342BBC" w14:paraId="366F1F6B" w14:textId="77777777">
      <w:pPr>
        <w:pStyle w:val="FootnoteText"/>
      </w:pPr>
      <w:r>
        <w:rPr>
          <w:rStyle w:val="FootnoteReference"/>
        </w:rPr>
        <w:footnoteRef/>
      </w:r>
      <w:r>
        <w:t xml:space="preserve"> </w:t>
      </w:r>
      <w:r w:rsidRPr="000041CA">
        <w:rPr>
          <w:i/>
          <w:iCs/>
        </w:rPr>
        <w:t>See</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3" w:history="1">
        <w:r>
          <w:rPr>
            <w:rStyle w:val="Hyperlink"/>
          </w:rPr>
          <w:t>89 FR 44571</w:t>
        </w:r>
      </w:hyperlink>
      <w:r>
        <w:t xml:space="preserve"> (May 21, 2024).  </w:t>
      </w:r>
      <w:r w:rsidRPr="004F6DA3">
        <w:t>S</w:t>
      </w:r>
      <w:r>
        <w:t xml:space="preserve">pecifically, as set out on 89 FR 44590, Table 1, footnote 1, </w:t>
      </w:r>
      <w:r>
        <w:rPr>
          <w:color w:val="000000"/>
        </w:rPr>
        <w:t>t</w:t>
      </w:r>
      <w:r w:rsidRPr="00E5502F">
        <w:rPr>
          <w:color w:val="000000"/>
        </w:rPr>
        <w:t xml:space="preserve">he wage rate applied here is a general composite hourly wage ($74.86), scaled by a private-sector benefits factor of 1.42 ($106.30 = $74.86 x 1.42), that incorporates the mean wage data (available for download at </w:t>
      </w:r>
      <w:hyperlink r:id="rId4" w:history="1">
        <w:r w:rsidRPr="00E5502F">
          <w:rPr>
            <w:rStyle w:val="Hyperlink"/>
          </w:rPr>
          <w:t>https://www.bls.gov/oes/tables.htm</w:t>
        </w:r>
      </w:hyperlink>
      <w:r w:rsidRPr="00E5502F">
        <w:rPr>
          <w:color w:val="000000"/>
        </w:rPr>
        <w:t>, “May 2022 - National industry-specific and by ownership”) associated with the six occupational codes (11-1010: Chief Executives; 11-3021: Computer and Information Systems Managers; 11-3031: Financial Managers; 13-1041: Compliance Officers; 23-1010: Lawyers and Judicial Law Clerks; 43-3099: Financial Clerks, All Other) for each of the nine groupings of NAICS industry codes that FinCEN determined are most directly comparable to its eleven categories of covered financial institutions as delineated in 31 CFR parts 1020 to 1030.</w:t>
      </w:r>
      <w:r>
        <w:rPr>
          <w:color w:val="000000"/>
        </w:rPr>
        <w:t xml:space="preserve"> </w:t>
      </w:r>
      <w:r w:rsidRPr="00E5502F">
        <w:rPr>
          <w:color w:val="000000"/>
        </w:rPr>
        <w:t xml:space="preserve"> The benefit factor is 1 plus the benefit/wages ratio, where as of Dec. 2023, Total Benefits = 29.6 and Wages and salaries = 70.4 (29.6/70.4= 0.42) based on the private industry workers series data downloaded from </w:t>
      </w:r>
      <w:hyperlink r:id="rId5" w:history="1">
        <w:r w:rsidRPr="00E5502F">
          <w:rPr>
            <w:rStyle w:val="Hyperlink"/>
          </w:rPr>
          <w:t>https://www.bls.gov/web/ecec/ecec-private-dataset.xlsx</w:t>
        </w:r>
      </w:hyperlink>
      <w:r w:rsidRPr="00E5502F">
        <w:rPr>
          <w:color w:val="000000"/>
        </w:rPr>
        <w:t>, accessed Mar. 22, 2024. </w:t>
      </w:r>
    </w:p>
    <w:p w:rsidR="00342BBC" w:rsidP="00342BBC" w14:paraId="601516A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4B9" w:rsidP="00340B4E" w14:paraId="7AE7BC03" w14:textId="77777777">
    <w:pPr>
      <w:rPr>
        <w:sz w:val="22"/>
        <w:szCs w:val="22"/>
      </w:rPr>
    </w:pPr>
  </w:p>
  <w:p w:rsidR="00D674B9" w14:paraId="2724C45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41CA"/>
    <w:rsid w:val="00006BA9"/>
    <w:rsid w:val="0000789D"/>
    <w:rsid w:val="0001260E"/>
    <w:rsid w:val="00013743"/>
    <w:rsid w:val="00015AE3"/>
    <w:rsid w:val="000300DC"/>
    <w:rsid w:val="00031958"/>
    <w:rsid w:val="000377C7"/>
    <w:rsid w:val="00041587"/>
    <w:rsid w:val="00041DA4"/>
    <w:rsid w:val="00070D16"/>
    <w:rsid w:val="00081EE2"/>
    <w:rsid w:val="00085C49"/>
    <w:rsid w:val="00096984"/>
    <w:rsid w:val="000A1838"/>
    <w:rsid w:val="000A36CB"/>
    <w:rsid w:val="000B5D34"/>
    <w:rsid w:val="000C5EEF"/>
    <w:rsid w:val="000D0A5C"/>
    <w:rsid w:val="000D2B5A"/>
    <w:rsid w:val="000E7255"/>
    <w:rsid w:val="000E765B"/>
    <w:rsid w:val="000F06A3"/>
    <w:rsid w:val="00104F2C"/>
    <w:rsid w:val="00114F02"/>
    <w:rsid w:val="001236B5"/>
    <w:rsid w:val="00127FAF"/>
    <w:rsid w:val="001423FB"/>
    <w:rsid w:val="0015056F"/>
    <w:rsid w:val="00163A9D"/>
    <w:rsid w:val="00166D86"/>
    <w:rsid w:val="0017516A"/>
    <w:rsid w:val="001801A2"/>
    <w:rsid w:val="00181256"/>
    <w:rsid w:val="00197CE5"/>
    <w:rsid w:val="001D4496"/>
    <w:rsid w:val="001F6895"/>
    <w:rsid w:val="002015CC"/>
    <w:rsid w:val="00211F04"/>
    <w:rsid w:val="00212D01"/>
    <w:rsid w:val="00232D0C"/>
    <w:rsid w:val="00240765"/>
    <w:rsid w:val="00245837"/>
    <w:rsid w:val="00254725"/>
    <w:rsid w:val="0027117F"/>
    <w:rsid w:val="002740CA"/>
    <w:rsid w:val="00290D8D"/>
    <w:rsid w:val="00293155"/>
    <w:rsid w:val="002A20A2"/>
    <w:rsid w:val="002A271A"/>
    <w:rsid w:val="002C2BFB"/>
    <w:rsid w:val="002C710D"/>
    <w:rsid w:val="002D1673"/>
    <w:rsid w:val="002E72EC"/>
    <w:rsid w:val="0030221B"/>
    <w:rsid w:val="00302852"/>
    <w:rsid w:val="00314A6A"/>
    <w:rsid w:val="003407D7"/>
    <w:rsid w:val="003408A6"/>
    <w:rsid w:val="00340B4E"/>
    <w:rsid w:val="00342BBC"/>
    <w:rsid w:val="003461A0"/>
    <w:rsid w:val="00353A24"/>
    <w:rsid w:val="00392EA3"/>
    <w:rsid w:val="003A525C"/>
    <w:rsid w:val="003C1A61"/>
    <w:rsid w:val="003E69DC"/>
    <w:rsid w:val="003E7BF2"/>
    <w:rsid w:val="003F5AA4"/>
    <w:rsid w:val="003F65E2"/>
    <w:rsid w:val="00410409"/>
    <w:rsid w:val="00414797"/>
    <w:rsid w:val="00423E69"/>
    <w:rsid w:val="0042486C"/>
    <w:rsid w:val="00426235"/>
    <w:rsid w:val="0043400F"/>
    <w:rsid w:val="00461F7C"/>
    <w:rsid w:val="0047665D"/>
    <w:rsid w:val="0048011C"/>
    <w:rsid w:val="00481716"/>
    <w:rsid w:val="004B2A63"/>
    <w:rsid w:val="004B4B68"/>
    <w:rsid w:val="004C2D27"/>
    <w:rsid w:val="004D37EE"/>
    <w:rsid w:val="004E0E80"/>
    <w:rsid w:val="004E5CC3"/>
    <w:rsid w:val="004F6DA3"/>
    <w:rsid w:val="005145A3"/>
    <w:rsid w:val="005175F0"/>
    <w:rsid w:val="005327CE"/>
    <w:rsid w:val="00544A40"/>
    <w:rsid w:val="00551A6C"/>
    <w:rsid w:val="00553D43"/>
    <w:rsid w:val="00554F9B"/>
    <w:rsid w:val="00562228"/>
    <w:rsid w:val="005667C4"/>
    <w:rsid w:val="00572D22"/>
    <w:rsid w:val="005815DA"/>
    <w:rsid w:val="005955E5"/>
    <w:rsid w:val="00596238"/>
    <w:rsid w:val="005974FD"/>
    <w:rsid w:val="005A7DEE"/>
    <w:rsid w:val="005B617B"/>
    <w:rsid w:val="005C065F"/>
    <w:rsid w:val="005C62B0"/>
    <w:rsid w:val="005C739E"/>
    <w:rsid w:val="005D0671"/>
    <w:rsid w:val="005D387F"/>
    <w:rsid w:val="005E0FC9"/>
    <w:rsid w:val="005E23FA"/>
    <w:rsid w:val="005E7E36"/>
    <w:rsid w:val="005F09CC"/>
    <w:rsid w:val="00616FDD"/>
    <w:rsid w:val="00622D68"/>
    <w:rsid w:val="0062420C"/>
    <w:rsid w:val="00640FAF"/>
    <w:rsid w:val="00643252"/>
    <w:rsid w:val="00646D87"/>
    <w:rsid w:val="006536E3"/>
    <w:rsid w:val="00670C7F"/>
    <w:rsid w:val="00676415"/>
    <w:rsid w:val="006B7DD0"/>
    <w:rsid w:val="006C18A8"/>
    <w:rsid w:val="006C3BF2"/>
    <w:rsid w:val="006D40EA"/>
    <w:rsid w:val="006E4911"/>
    <w:rsid w:val="006F052B"/>
    <w:rsid w:val="006F29C7"/>
    <w:rsid w:val="00712320"/>
    <w:rsid w:val="0071417F"/>
    <w:rsid w:val="00726BA4"/>
    <w:rsid w:val="00743347"/>
    <w:rsid w:val="00751139"/>
    <w:rsid w:val="00751E07"/>
    <w:rsid w:val="007554E7"/>
    <w:rsid w:val="007860E5"/>
    <w:rsid w:val="00791A53"/>
    <w:rsid w:val="007A18DC"/>
    <w:rsid w:val="007C715D"/>
    <w:rsid w:val="007E568B"/>
    <w:rsid w:val="007E7AAA"/>
    <w:rsid w:val="007F6DDB"/>
    <w:rsid w:val="00803C63"/>
    <w:rsid w:val="00803FF5"/>
    <w:rsid w:val="00826D71"/>
    <w:rsid w:val="00845841"/>
    <w:rsid w:val="00870C85"/>
    <w:rsid w:val="008722D3"/>
    <w:rsid w:val="008745C3"/>
    <w:rsid w:val="008814AE"/>
    <w:rsid w:val="008C299E"/>
    <w:rsid w:val="008C76CF"/>
    <w:rsid w:val="008E579E"/>
    <w:rsid w:val="00902494"/>
    <w:rsid w:val="00912082"/>
    <w:rsid w:val="00916F6C"/>
    <w:rsid w:val="009821B4"/>
    <w:rsid w:val="009829C3"/>
    <w:rsid w:val="00993F48"/>
    <w:rsid w:val="00995764"/>
    <w:rsid w:val="00995B77"/>
    <w:rsid w:val="009A25EC"/>
    <w:rsid w:val="009A5F8C"/>
    <w:rsid w:val="009A6C50"/>
    <w:rsid w:val="009B38E0"/>
    <w:rsid w:val="009B5E03"/>
    <w:rsid w:val="009C4C6C"/>
    <w:rsid w:val="009C6CDB"/>
    <w:rsid w:val="009D33BE"/>
    <w:rsid w:val="009E0F28"/>
    <w:rsid w:val="009E16BE"/>
    <w:rsid w:val="009E798A"/>
    <w:rsid w:val="009F04CE"/>
    <w:rsid w:val="00A0099D"/>
    <w:rsid w:val="00A10AED"/>
    <w:rsid w:val="00A24055"/>
    <w:rsid w:val="00A25950"/>
    <w:rsid w:val="00A27C83"/>
    <w:rsid w:val="00A3749C"/>
    <w:rsid w:val="00A45B2A"/>
    <w:rsid w:val="00A665E7"/>
    <w:rsid w:val="00A91DFC"/>
    <w:rsid w:val="00A921D0"/>
    <w:rsid w:val="00A93AE0"/>
    <w:rsid w:val="00AA6051"/>
    <w:rsid w:val="00AA6D89"/>
    <w:rsid w:val="00AB5E47"/>
    <w:rsid w:val="00AC4543"/>
    <w:rsid w:val="00AC5340"/>
    <w:rsid w:val="00AF152A"/>
    <w:rsid w:val="00AF47D0"/>
    <w:rsid w:val="00B00EF0"/>
    <w:rsid w:val="00B14F06"/>
    <w:rsid w:val="00B1626E"/>
    <w:rsid w:val="00B16F20"/>
    <w:rsid w:val="00B242E4"/>
    <w:rsid w:val="00B41A0E"/>
    <w:rsid w:val="00B512E2"/>
    <w:rsid w:val="00B521BC"/>
    <w:rsid w:val="00B62A2D"/>
    <w:rsid w:val="00B6616A"/>
    <w:rsid w:val="00B74421"/>
    <w:rsid w:val="00B7758F"/>
    <w:rsid w:val="00B9460A"/>
    <w:rsid w:val="00BB6976"/>
    <w:rsid w:val="00BC0DF1"/>
    <w:rsid w:val="00BF4B59"/>
    <w:rsid w:val="00C01500"/>
    <w:rsid w:val="00C0248A"/>
    <w:rsid w:val="00C239C5"/>
    <w:rsid w:val="00C24AA8"/>
    <w:rsid w:val="00C40F01"/>
    <w:rsid w:val="00C4238E"/>
    <w:rsid w:val="00C4287C"/>
    <w:rsid w:val="00C47B67"/>
    <w:rsid w:val="00C538B7"/>
    <w:rsid w:val="00C6678B"/>
    <w:rsid w:val="00C70EA9"/>
    <w:rsid w:val="00CC1C37"/>
    <w:rsid w:val="00CD4AE1"/>
    <w:rsid w:val="00D06181"/>
    <w:rsid w:val="00D06EA5"/>
    <w:rsid w:val="00D26691"/>
    <w:rsid w:val="00D311F0"/>
    <w:rsid w:val="00D319AA"/>
    <w:rsid w:val="00D3774C"/>
    <w:rsid w:val="00D41E32"/>
    <w:rsid w:val="00D46A8A"/>
    <w:rsid w:val="00D47FF1"/>
    <w:rsid w:val="00D52D6F"/>
    <w:rsid w:val="00D674B9"/>
    <w:rsid w:val="00D77E1D"/>
    <w:rsid w:val="00D8554E"/>
    <w:rsid w:val="00D87A8B"/>
    <w:rsid w:val="00D90DDF"/>
    <w:rsid w:val="00D93A3F"/>
    <w:rsid w:val="00DA3787"/>
    <w:rsid w:val="00DB1137"/>
    <w:rsid w:val="00DB22A3"/>
    <w:rsid w:val="00DB6B70"/>
    <w:rsid w:val="00DD5DE6"/>
    <w:rsid w:val="00DE2F0D"/>
    <w:rsid w:val="00E0252C"/>
    <w:rsid w:val="00E06083"/>
    <w:rsid w:val="00E133DC"/>
    <w:rsid w:val="00E156C7"/>
    <w:rsid w:val="00E40E20"/>
    <w:rsid w:val="00E5502F"/>
    <w:rsid w:val="00E61555"/>
    <w:rsid w:val="00E667ED"/>
    <w:rsid w:val="00E744AB"/>
    <w:rsid w:val="00E80487"/>
    <w:rsid w:val="00E94B0F"/>
    <w:rsid w:val="00EA2F26"/>
    <w:rsid w:val="00EB6516"/>
    <w:rsid w:val="00ED0685"/>
    <w:rsid w:val="00F13112"/>
    <w:rsid w:val="00F2243A"/>
    <w:rsid w:val="00F22B68"/>
    <w:rsid w:val="00F25857"/>
    <w:rsid w:val="00F32D32"/>
    <w:rsid w:val="00F50EE6"/>
    <w:rsid w:val="00F51C1E"/>
    <w:rsid w:val="00F6507B"/>
    <w:rsid w:val="00F66522"/>
    <w:rsid w:val="00F70456"/>
    <w:rsid w:val="00F91C42"/>
    <w:rsid w:val="00FA7EFC"/>
    <w:rsid w:val="00FB0753"/>
    <w:rsid w:val="00FE0FB5"/>
    <w:rsid w:val="00FF795E"/>
    <w:rsid w:val="00FF7DAD"/>
  </w:rsids>
  <w:docVars>
    <w:docVar w:name="_AMO_ReportControlsVisible" w:val="Empty"/>
    <w:docVar w:name="_AMO_UniqueIdentifier" w:val="abfe075a-7f70-46c2-bba8-c05d0c6cd38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nhideWhenUsed/>
    <w:qFormat/>
    <w:rsid w:val="003E69D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14F02"/>
    <w:pPr>
      <w:tabs>
        <w:tab w:val="center" w:pos="4680"/>
        <w:tab w:val="right" w:pos="9360"/>
      </w:tabs>
    </w:pPr>
  </w:style>
  <w:style w:type="character" w:customStyle="1" w:styleId="HeaderChar">
    <w:name w:val="Header Char"/>
    <w:basedOn w:val="DefaultParagraphFont"/>
    <w:link w:val="Header"/>
    <w:rsid w:val="00114F02"/>
    <w:rPr>
      <w:sz w:val="24"/>
      <w:szCs w:val="24"/>
    </w:rPr>
  </w:style>
  <w:style w:type="paragraph" w:styleId="Footer">
    <w:name w:val="footer"/>
    <w:basedOn w:val="Normal"/>
    <w:link w:val="FooterChar"/>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Revision">
    <w:name w:val="Revision"/>
    <w:hidden/>
    <w:uiPriority w:val="99"/>
    <w:semiHidden/>
    <w:rsid w:val="00916F6C"/>
    <w:rPr>
      <w:sz w:val="24"/>
      <w:szCs w:val="24"/>
    </w:rPr>
  </w:style>
  <w:style w:type="paragraph" w:styleId="BodyTextIndent">
    <w:name w:val="Body Text Indent"/>
    <w:basedOn w:val="Normal"/>
    <w:link w:val="BodyTextIndentChar"/>
    <w:unhideWhenUsed/>
    <w:rsid w:val="0047665D"/>
    <w:pPr>
      <w:spacing w:after="120"/>
      <w:ind w:left="360"/>
    </w:pPr>
  </w:style>
  <w:style w:type="character" w:customStyle="1" w:styleId="BodyTextIndentChar">
    <w:name w:val="Body Text Indent Char"/>
    <w:basedOn w:val="DefaultParagraphFont"/>
    <w:link w:val="BodyTextIndent"/>
    <w:uiPriority w:val="99"/>
    <w:semiHidden/>
    <w:rsid w:val="0047665D"/>
    <w:rPr>
      <w:sz w:val="24"/>
      <w:szCs w:val="24"/>
    </w:rPr>
  </w:style>
  <w:style w:type="character" w:customStyle="1" w:styleId="cf01">
    <w:name w:val="cf01"/>
    <w:basedOn w:val="DefaultParagraphFont"/>
    <w:rsid w:val="002C710D"/>
    <w:rPr>
      <w:rFonts w:ascii="Segoe UI" w:hAnsi="Segoe UI" w:cs="Segoe UI" w:hint="default"/>
      <w:sz w:val="18"/>
      <w:szCs w:val="18"/>
    </w:rPr>
  </w:style>
  <w:style w:type="character" w:styleId="UnresolvedMention">
    <w:name w:val="Unresolved Mention"/>
    <w:basedOn w:val="DefaultParagraphFont"/>
    <w:uiPriority w:val="99"/>
    <w:semiHidden/>
    <w:unhideWhenUsed/>
    <w:rsid w:val="00E94B0F"/>
    <w:rPr>
      <w:color w:val="605E5C"/>
      <w:shd w:val="clear" w:color="auto" w:fill="E1DFDD"/>
    </w:rPr>
  </w:style>
  <w:style w:type="paragraph" w:styleId="HTMLPreformatted">
    <w:name w:val="HTML Preformatted"/>
    <w:basedOn w:val="Normal"/>
    <w:link w:val="HTMLPreformattedChar"/>
    <w:unhideWhenUsed/>
    <w:rsid w:val="00C47B67"/>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C47B67"/>
    <w:rPr>
      <w:rFonts w:ascii="Consolas" w:hAnsi="Consolas" w:cs="Consolas"/>
    </w:rPr>
  </w:style>
  <w:style w:type="character" w:styleId="PageNumber">
    <w:name w:val="page number"/>
    <w:basedOn w:val="DefaultParagraphFont"/>
    <w:rsid w:val="00D6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31-USC-330088375-196263047&amp;term_occur=999&amp;term_src=title:31:subtitle:IV:chapter:53:subchapter:II:section:5318" TargetMode="External" /><Relationship Id="rId11" Type="http://schemas.openxmlformats.org/officeDocument/2006/relationships/hyperlink" Target="https://www.law.cornell.edu/definitions/uscode.php?width=840&amp;height=800&amp;iframe=true&amp;def_id=31-USC-2032517217-190712316&amp;term_occur=999&amp;term_src="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hyperlink" Target="https://federalreserve.gov/paymentsystems/master-account-and%20services-database-exisiting-access.htm" TargetMode="External" /><Relationship Id="rId16" Type="http://schemas.openxmlformats.org/officeDocument/2006/relationships/hyperlink" Target="https://www.sec.gov/help/foiadocsbdfoia" TargetMode="External" /><Relationship Id="rId17" Type="http://schemas.openxmlformats.org/officeDocument/2006/relationships/hyperlink" Target="https://www.sec.gov/dera/data/form-ncen-data-sets" TargetMode="External" /><Relationship Id="rId18" Type="http://schemas.openxmlformats.org/officeDocument/2006/relationships/hyperlink" Target="https://www.cftc.gov/MarketReports/financialfcmdata/index.htm" TargetMode="Externa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uscode.php?width=840&amp;height=800&amp;iframe=true&amp;def_id=31-USC-1922911-190714233&amp;term_occur=999&amp;term_src=title:31:subtitle:IV:chapter:53:subchapter:II:section:531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6/11/2024-12728/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federalregister.gov/documents/2024/05/21/2024-10738/customer-identification-programs-for-registered-investment-advisers-and-exempt-reporting-advisers" TargetMode="External" /><Relationship Id="rId4" Type="http://schemas.openxmlformats.org/officeDocument/2006/relationships/hyperlink" Target="https://www.bls.gov/oes/tables.htm" TargetMode="External" /><Relationship Id="rId5" Type="http://schemas.openxmlformats.org/officeDocument/2006/relationships/hyperlink" Target="https://www.bls.gov/web/ecec/ecec-private-datase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F1D1CA78DF704FBB28770DCD258BD4" ma:contentTypeVersion="10" ma:contentTypeDescription="Create a new document." ma:contentTypeScope="" ma:versionID="e50da47853b30cbc215e4739393eaa0b">
  <xsd:schema xmlns:xsd="http://www.w3.org/2001/XMLSchema" xmlns:xs="http://www.w3.org/2001/XMLSchema" xmlns:p="http://schemas.microsoft.com/office/2006/metadata/properties" xmlns:ns3="39711b78-ecdb-4fa7-8eb4-1803862f8c1e" targetNamespace="http://schemas.microsoft.com/office/2006/metadata/properties" ma:root="true" ma:fieldsID="7fc1a423731f8c58af014c32a3366339" ns3:_="">
    <xsd:import namespace="39711b78-ecdb-4fa7-8eb4-1803862f8c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11b78-ecdb-4fa7-8eb4-1803862f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9711b78-ecdb-4fa7-8eb4-1803862f8c1e" xsi:nil="true"/>
  </documentManagement>
</p:properties>
</file>

<file path=customXml/itemProps1.xml><?xml version="1.0" encoding="utf-8"?>
<ds:datastoreItem xmlns:ds="http://schemas.openxmlformats.org/officeDocument/2006/customXml" ds:itemID="{B9AC6D0E-6886-422D-A190-FA879AE0E99E}">
  <ds:schemaRefs>
    <ds:schemaRef ds:uri="http://schemas.microsoft.com/sharepoint/v3/contenttype/forms"/>
  </ds:schemaRefs>
</ds:datastoreItem>
</file>

<file path=customXml/itemProps2.xml><?xml version="1.0" encoding="utf-8"?>
<ds:datastoreItem xmlns:ds="http://schemas.openxmlformats.org/officeDocument/2006/customXml" ds:itemID="{8B9CFE21-A331-4768-89CB-C992FC40A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11b78-ecdb-4fa7-8eb4-1803862f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B557F-D024-447E-A394-BE53C18C73EC}">
  <ds:schemaRefs>
    <ds:schemaRef ds:uri="http://schemas.openxmlformats.org/officeDocument/2006/bibliography"/>
  </ds:schemaRefs>
</ds:datastoreItem>
</file>

<file path=customXml/itemProps4.xml><?xml version="1.0" encoding="utf-8"?>
<ds:datastoreItem xmlns:ds="http://schemas.openxmlformats.org/officeDocument/2006/customXml" ds:itemID="{2A1AA54B-B9A4-456A-8EA2-71F193AC3F3A}">
  <ds:schemaRefs>
    <ds:schemaRef ds:uri="http://schemas.microsoft.com/office/2006/metadata/properties"/>
    <ds:schemaRef ds:uri="http://schemas.microsoft.com/office/infopath/2007/PartnerControls"/>
    <ds:schemaRef ds:uri="39711b78-ecdb-4fa7-8eb4-1803862f8c1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6</cp:revision>
  <cp:lastPrinted>2017-05-18T13:14:00Z</cp:lastPrinted>
  <dcterms:created xsi:type="dcterms:W3CDTF">2024-08-27T14:45:00Z</dcterms:created>
  <dcterms:modified xsi:type="dcterms:W3CDTF">2024-08-27T15:01:00Z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0x01010046F1D1CA78DF704FBB28770DCD258BD4</vt:lpwstr>
  </property>
</Properties>
</file>