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71F" w:rsidRPr="00585991" w:rsidP="00360D25" w14:paraId="188A3CD9" w14:textId="77777777">
      <w:pPr>
        <w:pStyle w:val="PlainText"/>
        <w:jc w:val="center"/>
        <w:rPr>
          <w:rFonts w:ascii="Times New Roman" w:eastAsia="MS Mincho" w:hAnsi="Times New Roman" w:cs="Times New Roman"/>
          <w:sz w:val="24"/>
          <w:u w:val="single"/>
        </w:rPr>
      </w:pPr>
      <w:r w:rsidRPr="00585991">
        <w:rPr>
          <w:rFonts w:ascii="Times New Roman" w:eastAsia="MS Mincho" w:hAnsi="Times New Roman" w:cs="Times New Roman"/>
          <w:sz w:val="24"/>
          <w:u w:val="single"/>
        </w:rPr>
        <w:t>Supp</w:t>
      </w:r>
      <w:r w:rsidRPr="00585991" w:rsidR="009A20B0">
        <w:rPr>
          <w:rFonts w:ascii="Times New Roman" w:eastAsia="MS Mincho" w:hAnsi="Times New Roman" w:cs="Times New Roman"/>
          <w:sz w:val="24"/>
          <w:u w:val="single"/>
        </w:rPr>
        <w:t xml:space="preserve">orting </w:t>
      </w:r>
      <w:r w:rsidRPr="00585991">
        <w:rPr>
          <w:rFonts w:ascii="Times New Roman" w:eastAsia="MS Mincho" w:hAnsi="Times New Roman" w:cs="Times New Roman"/>
          <w:sz w:val="24"/>
          <w:u w:val="single"/>
        </w:rPr>
        <w:t>Statement</w:t>
      </w:r>
    </w:p>
    <w:p w:rsidR="00C57D2A" w:rsidRPr="00585991" w:rsidP="007D7D6B" w14:paraId="470743BE" w14:textId="4C813390">
      <w:pPr>
        <w:pStyle w:val="PlainText"/>
        <w:spacing w:after="240"/>
        <w:jc w:val="center"/>
        <w:rPr>
          <w:rFonts w:ascii="Times New Roman" w:eastAsia="MS Mincho" w:hAnsi="Times New Roman" w:cs="Times New Roman"/>
          <w:sz w:val="24"/>
          <w:u w:val="single"/>
        </w:rPr>
      </w:pPr>
      <w:r w:rsidRPr="00585991">
        <w:rPr>
          <w:rFonts w:ascii="Times New Roman" w:eastAsia="MS Mincho" w:hAnsi="Times New Roman" w:cs="Times New Roman"/>
          <w:sz w:val="24"/>
          <w:u w:val="single"/>
        </w:rPr>
        <w:t>OMB Control Number 1506-0033</w:t>
      </w:r>
    </w:p>
    <w:p w:rsidR="0026271F" w:rsidRPr="00360D25" w:rsidP="007D7D6B" w14:paraId="3A2B2D96" w14:textId="092BCB1B">
      <w:pPr>
        <w:pStyle w:val="PlainText"/>
        <w:spacing w:after="240"/>
        <w:jc w:val="center"/>
        <w:rPr>
          <w:rFonts w:ascii="Times New Roman" w:eastAsia="MS Mincho" w:hAnsi="Times New Roman" w:cs="Times New Roman"/>
          <w:sz w:val="24"/>
          <w:u w:val="single"/>
        </w:rPr>
      </w:pPr>
      <w:r w:rsidRPr="00585991">
        <w:rPr>
          <w:rFonts w:ascii="Times New Roman" w:eastAsia="MS Mincho" w:hAnsi="Times New Roman" w:cs="Times New Roman"/>
          <w:sz w:val="24"/>
          <w:u w:val="single"/>
        </w:rPr>
        <w:t>Customer Identification Program</w:t>
      </w:r>
      <w:r w:rsidR="002C064A">
        <w:rPr>
          <w:rFonts w:ascii="Times New Roman" w:eastAsia="MS Mincho" w:hAnsi="Times New Roman" w:cs="Times New Roman"/>
          <w:sz w:val="24"/>
          <w:u w:val="single"/>
        </w:rPr>
        <w:t xml:space="preserve"> Regulatory Requirements</w:t>
      </w:r>
      <w:r w:rsidR="00F71D57">
        <w:rPr>
          <w:rFonts w:ascii="Times New Roman" w:eastAsia="MS Mincho" w:hAnsi="Times New Roman" w:cs="Times New Roman"/>
          <w:sz w:val="24"/>
          <w:u w:val="single"/>
        </w:rPr>
        <w:t xml:space="preserve"> </w:t>
      </w:r>
      <w:r w:rsidRPr="00585991" w:rsidR="009E1EAA">
        <w:rPr>
          <w:rFonts w:ascii="Times New Roman" w:eastAsia="MS Mincho" w:hAnsi="Times New Roman" w:cs="Times New Roman"/>
          <w:sz w:val="24"/>
          <w:u w:val="single"/>
        </w:rPr>
        <w:t>for Mutual Funds</w:t>
      </w:r>
    </w:p>
    <w:p w:rsidR="0026271F" w:rsidRPr="00585991" w:rsidP="007D7D6B" w14:paraId="53C2F058" w14:textId="01A9802E">
      <w:pPr>
        <w:pStyle w:val="PlainText"/>
        <w:spacing w:after="240"/>
        <w:rPr>
          <w:rFonts w:ascii="Times New Roman" w:eastAsia="MS Mincho" w:hAnsi="Times New Roman" w:cs="Times New Roman"/>
          <w:sz w:val="24"/>
        </w:rPr>
      </w:pPr>
      <w:r w:rsidRPr="00585991">
        <w:rPr>
          <w:rFonts w:ascii="Times New Roman" w:eastAsia="MS Mincho" w:hAnsi="Times New Roman" w:cs="Times New Roman"/>
          <w:sz w:val="24"/>
        </w:rPr>
        <w:t xml:space="preserve">1. </w:t>
      </w:r>
      <w:r w:rsidRPr="00585991">
        <w:rPr>
          <w:rFonts w:ascii="Times New Roman" w:hAnsi="Times New Roman" w:cs="Times New Roman"/>
          <w:sz w:val="24"/>
          <w:szCs w:val="22"/>
          <w:u w:val="single"/>
        </w:rPr>
        <w:t xml:space="preserve">Circumstances </w:t>
      </w:r>
      <w:r w:rsidRPr="00585991" w:rsidR="00582C3F">
        <w:rPr>
          <w:rFonts w:ascii="Times New Roman" w:hAnsi="Times New Roman" w:cs="Times New Roman"/>
          <w:sz w:val="24"/>
          <w:szCs w:val="22"/>
          <w:u w:val="single"/>
        </w:rPr>
        <w:t>necessitating collection of information</w:t>
      </w:r>
      <w:r w:rsidRPr="00585991" w:rsidR="009E1EAA">
        <w:rPr>
          <w:rFonts w:ascii="Times New Roman" w:hAnsi="Times New Roman" w:cs="Times New Roman"/>
          <w:sz w:val="24"/>
          <w:szCs w:val="22"/>
          <w:u w:val="single"/>
        </w:rPr>
        <w:t>.</w:t>
      </w:r>
    </w:p>
    <w:p w:rsidR="00D66B1F" w:rsidP="001776E6" w14:paraId="10D75F04" w14:textId="2267F958">
      <w:pPr>
        <w:pStyle w:val="BodyTextIndent"/>
        <w:spacing w:after="240"/>
        <w:ind w:left="0" w:firstLine="720"/>
      </w:pPr>
      <w:r w:rsidRPr="00CD4AE1">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CD4AE1">
        <w:t xml:space="preserve"> and other legislation, including the </w:t>
      </w:r>
      <w:r>
        <w:t>Anti-Money Laundering Act of 2020 (</w:t>
      </w:r>
      <w:r w:rsidRPr="00CD4AE1">
        <w:t>AML Act</w:t>
      </w:r>
      <w:r>
        <w:t>)</w:t>
      </w:r>
      <w:r w:rsidRPr="00CD4AE1">
        <w:t>.</w:t>
      </w:r>
      <w:r>
        <w:rPr>
          <w:rStyle w:val="FootnoteReference"/>
        </w:rPr>
        <w:footnoteReference w:id="3"/>
      </w:r>
      <w:r w:rsidRPr="00CD4AE1">
        <w:t xml:space="preserve">  The BSA is codified at 12 U.S.C. 1829b</w:t>
      </w:r>
      <w:r>
        <w:t xml:space="preserve">, </w:t>
      </w:r>
      <w:r w:rsidRPr="00CD4AE1">
        <w:t>1951</w:t>
      </w:r>
      <w:r>
        <w:t>–</w:t>
      </w:r>
      <w:r w:rsidRPr="00CD4AE1">
        <w:t>1960 and 31 U.S.C. 5311</w:t>
      </w:r>
      <w:r>
        <w:t>–</w:t>
      </w:r>
      <w:r w:rsidRPr="00CD4AE1">
        <w:t>5314</w:t>
      </w:r>
      <w:r>
        <w:t xml:space="preserve">, </w:t>
      </w:r>
      <w:r w:rsidRPr="00CD4AE1">
        <w:t>5316</w:t>
      </w:r>
      <w:r>
        <w:t>–</w:t>
      </w:r>
      <w:r w:rsidRPr="00CD4AE1">
        <w:t xml:space="preserve">5336, </w:t>
      </w:r>
      <w:r>
        <w:t>including</w:t>
      </w:r>
      <w:r w:rsidRPr="00CD4AE1">
        <w:t xml:space="preserve"> notes thereto, with implementing regulations at 31 CFR </w:t>
      </w:r>
      <w:r>
        <w:t>c</w:t>
      </w:r>
      <w:r w:rsidRPr="00CD4AE1">
        <w:t xml:space="preserve">hapter X.   </w:t>
      </w:r>
    </w:p>
    <w:p w:rsidR="00515E58" w:rsidRPr="00360D25" w:rsidP="001776E6" w14:paraId="11E4B87A" w14:textId="597C4D6B">
      <w:pPr>
        <w:pStyle w:val="BodyTextIndent"/>
        <w:spacing w:after="240"/>
        <w:ind w:left="0" w:firstLine="720"/>
      </w:pPr>
      <w:r w:rsidRPr="00CD4AE1">
        <w:t>The BSA authorizes the Secretary of the Treasury (Secretary)</w:t>
      </w:r>
      <w:r>
        <w:t xml:space="preserve"> to</w:t>
      </w:r>
      <w:r w:rsidRPr="00CD4AE1">
        <w:t xml:space="preserve">, </w:t>
      </w:r>
      <w:r w:rsidRPr="006D40EA">
        <w:rPr>
          <w:i/>
        </w:rPr>
        <w:t>inter alia</w:t>
      </w:r>
      <w:r w:rsidRPr="00CD4AE1">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w:t>
      </w:r>
      <w:r>
        <w:t xml:space="preserve"> anti-money laundering/countering the financing of terrorism</w:t>
      </w:r>
      <w:r w:rsidRPr="00CD4AE1">
        <w:t xml:space="preserve"> </w:t>
      </w:r>
      <w:r>
        <w:t>(</w:t>
      </w:r>
      <w:r w:rsidRPr="00CD4AE1">
        <w:t>AML</w:t>
      </w:r>
      <w:r>
        <w:t>/CFT)</w:t>
      </w:r>
      <w:r w:rsidRPr="00CD4AE1">
        <w:t xml:space="preserve"> programs and compliance procedures.</w:t>
      </w:r>
      <w:r>
        <w:rPr>
          <w:rStyle w:val="FootnoteReference"/>
        </w:rPr>
        <w:footnoteReference w:id="4"/>
      </w:r>
      <w:r w:rsidRPr="00CD4AE1">
        <w:t xml:space="preserve">  The authority of the Secretary to administer the BSA has been delegated to the Director of FinCEN.</w:t>
      </w:r>
      <w:r>
        <w:rPr>
          <w:rStyle w:val="FootnoteReference"/>
        </w:rPr>
        <w:footnoteReference w:id="5"/>
      </w:r>
    </w:p>
    <w:p w:rsidR="00F43FC6" w:rsidRPr="00360D25" w:rsidP="007D7D6B" w14:paraId="3E63130F" w14:textId="16D7B949">
      <w:pPr>
        <w:pStyle w:val="BodyTextIndent"/>
        <w:spacing w:after="240"/>
        <w:ind w:left="0" w:firstLine="720"/>
      </w:pPr>
      <w:r>
        <w:t>31 U.S.C. 5318(l) requires the Secretary to issue regulations prescribing minimum standards for customer identification programs (CIPs) for financial institutions.</w:t>
      </w:r>
      <w:r>
        <w:rPr>
          <w:rStyle w:val="FootnoteReference"/>
        </w:rPr>
        <w:footnoteReference w:id="6"/>
      </w:r>
      <w:r>
        <w:t xml:space="preserve">  Regulations implementing section 5318(l) are as follows: (</w:t>
      </w:r>
      <w:r w:rsidR="00D558BD">
        <w:t>1</w:t>
      </w:r>
      <w:r>
        <w:t xml:space="preserve">) </w:t>
      </w:r>
      <w:r>
        <w:rPr>
          <w:rFonts w:eastAsia="MS Mincho"/>
        </w:rPr>
        <w:t xml:space="preserve">banks </w:t>
      </w:r>
      <w:r>
        <w:t>(31 CFR 1020.220); (</w:t>
      </w:r>
      <w:r w:rsidR="00D558BD">
        <w:t>2</w:t>
      </w:r>
      <w:r>
        <w:t>) brokers-dealers (31 CFR 1023.220);</w:t>
      </w:r>
      <w:r>
        <w:rPr>
          <w:vertAlign w:val="superscript"/>
        </w:rPr>
        <w:footnoteReference w:id="7"/>
      </w:r>
      <w:r>
        <w:t xml:space="preserve"> (</w:t>
      </w:r>
      <w:r w:rsidR="00D558BD">
        <w:t>3</w:t>
      </w:r>
      <w:r>
        <w:t>) mutual funds (31 CFR 1024.220);</w:t>
      </w:r>
      <w:r>
        <w:rPr>
          <w:rStyle w:val="FootnoteReference"/>
          <w:rFonts w:eastAsia="MS Mincho"/>
        </w:rPr>
        <w:footnoteReference w:id="8"/>
      </w:r>
      <w:r>
        <w:t xml:space="preserve"> and (</w:t>
      </w:r>
      <w:r w:rsidR="00D558BD">
        <w:t>4</w:t>
      </w:r>
      <w:r>
        <w:t>)</w:t>
      </w:r>
      <w:r>
        <w:t xml:space="preserve"> </w:t>
      </w:r>
      <w:r>
        <w:t xml:space="preserve">futures commission </w:t>
      </w:r>
      <w:r>
        <w:t>merchants and introducing brokers in commodities (31 CFR 1026.220).</w:t>
      </w:r>
      <w:r>
        <w:rPr>
          <w:rStyle w:val="FootnoteReference"/>
          <w:rFonts w:eastAsia="MS Mincho"/>
        </w:rPr>
        <w:footnoteReference w:id="9"/>
      </w:r>
      <w:r w:rsidR="00260364">
        <w:t xml:space="preserve"> </w:t>
      </w:r>
      <w:r w:rsidR="00E91F83">
        <w:t xml:space="preserve"> </w:t>
      </w:r>
      <w:r w:rsidRPr="00585991" w:rsidR="00515E58">
        <w:t xml:space="preserve">Under the CIP regulations, the minimum requirements include: </w:t>
      </w:r>
      <w:r w:rsidR="00D558BD">
        <w:t>(</w:t>
      </w:r>
      <w:r w:rsidRPr="00585991" w:rsidR="00515E58">
        <w:t>1)</w:t>
      </w:r>
      <w:r w:rsidR="00D558BD">
        <w:t> </w:t>
      </w:r>
      <w:r w:rsidRPr="00585991" w:rsidR="00515E58">
        <w:t xml:space="preserve">implementation of a written customer identification program appropriate for the financial institution’s size and type of business; </w:t>
      </w:r>
      <w:r w:rsidR="00D558BD">
        <w:t>(</w:t>
      </w:r>
      <w:r w:rsidRPr="00585991" w:rsidR="00515E58">
        <w:t>2)</w:t>
      </w:r>
      <w:r w:rsidR="00D558BD">
        <w:t> </w:t>
      </w:r>
      <w:r w:rsidRPr="00585991" w:rsidR="00515E58">
        <w:t xml:space="preserve">identity verification procedures; </w:t>
      </w:r>
      <w:r w:rsidR="00D558BD">
        <w:t>(</w:t>
      </w:r>
      <w:r w:rsidRPr="00585991" w:rsidR="00515E58">
        <w:t>3)</w:t>
      </w:r>
      <w:r w:rsidR="00D558BD">
        <w:t> </w:t>
      </w:r>
      <w:r w:rsidRPr="00585991" w:rsidR="00515E58">
        <w:t xml:space="preserve">recordkeeping; </w:t>
      </w:r>
      <w:r w:rsidR="00D558BD">
        <w:t>(</w:t>
      </w:r>
      <w:r w:rsidRPr="00585991" w:rsidR="00515E58">
        <w:t>4)</w:t>
      </w:r>
      <w:r w:rsidR="00D558BD">
        <w:t> </w:t>
      </w:r>
      <w:r w:rsidRPr="00585991" w:rsidR="00515E58">
        <w:t xml:space="preserve">comparison with government lists; and </w:t>
      </w:r>
      <w:r w:rsidR="00D558BD">
        <w:t>(</w:t>
      </w:r>
      <w:r w:rsidRPr="00585991" w:rsidR="00515E58">
        <w:t>5)</w:t>
      </w:r>
      <w:r w:rsidR="00D558BD">
        <w:t> </w:t>
      </w:r>
      <w:r w:rsidRPr="00585991" w:rsidR="00515E58">
        <w:t xml:space="preserve">customer notice. </w:t>
      </w:r>
      <w:r w:rsidRPr="00E91F83" w:rsidR="00E91F83">
        <w:t xml:space="preserve"> </w:t>
      </w:r>
      <w:r w:rsidR="00E91F83">
        <w:t>This supporting statement applies to CIP requirements for mutual funds.</w:t>
      </w:r>
    </w:p>
    <w:p w:rsidR="0026271F" w:rsidRPr="00585991" w:rsidP="007D7D6B" w14:paraId="7A51B19B" w14:textId="7D49EE24">
      <w:pPr>
        <w:spacing w:after="240"/>
      </w:pPr>
      <w:r w:rsidRPr="00585991">
        <w:t xml:space="preserve">2. </w:t>
      </w:r>
      <w:r w:rsidRPr="00585991">
        <w:rPr>
          <w:u w:val="single"/>
        </w:rPr>
        <w:t xml:space="preserve">Method </w:t>
      </w:r>
      <w:r w:rsidRPr="00585991" w:rsidR="000377D1">
        <w:rPr>
          <w:u w:val="single"/>
        </w:rPr>
        <w:t>of collection and use of data</w:t>
      </w:r>
      <w:r w:rsidRPr="00585991" w:rsidR="009E1EAA">
        <w:rPr>
          <w:u w:val="single"/>
        </w:rPr>
        <w:t>.</w:t>
      </w:r>
    </w:p>
    <w:p w:rsidR="0043008C" w:rsidRPr="00FA7EFC" w:rsidP="007D7D6B" w14:paraId="6A688C7A" w14:textId="2B408F5D">
      <w:pPr>
        <w:pStyle w:val="BodyTextIndent"/>
        <w:spacing w:after="240"/>
        <w:ind w:left="0" w:firstLine="720"/>
      </w:pPr>
      <w:r w:rsidRPr="00FA7EFC">
        <w:rPr>
          <w:bCs/>
        </w:rPr>
        <w:t>The collection of information is not reported to the Federal government.  Inst</w:t>
      </w:r>
      <w:r w:rsidRPr="00FA7EFC">
        <w:t xml:space="preserve">ead, </w:t>
      </w:r>
      <w:r>
        <w:t>mutual fund</w:t>
      </w:r>
      <w:r w:rsidRPr="00FA7EFC">
        <w:t>s are required to document and maintain records reflecting</w:t>
      </w:r>
      <w:r w:rsidR="00F1509D">
        <w:t xml:space="preserve"> their compliance with CIP requirements</w:t>
      </w:r>
      <w:r w:rsidRPr="00FA7EFC">
        <w:t xml:space="preserve">.  </w:t>
      </w:r>
      <w:r w:rsidRPr="00FA7EFC">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FA7EFC">
        <w:t xml:space="preserve">  Compliance with these requirements will be reviewed by Federal agencies during BSA examinations.</w:t>
      </w:r>
    </w:p>
    <w:p w:rsidR="0026271F" w:rsidRPr="00585991" w:rsidP="007D7D6B" w14:paraId="3DE21EED" w14:textId="77777777">
      <w:pPr>
        <w:spacing w:after="240"/>
        <w:rPr>
          <w:szCs w:val="22"/>
        </w:rPr>
      </w:pPr>
      <w:r w:rsidRPr="00585991">
        <w:rPr>
          <w:szCs w:val="22"/>
        </w:rPr>
        <w:t xml:space="preserve">3. </w:t>
      </w:r>
      <w:r w:rsidRPr="00585991">
        <w:rPr>
          <w:szCs w:val="22"/>
          <w:u w:val="single"/>
        </w:rPr>
        <w:t xml:space="preserve">Use </w:t>
      </w:r>
      <w:r w:rsidRPr="00585991" w:rsidR="000377D1">
        <w:rPr>
          <w:szCs w:val="22"/>
          <w:u w:val="single"/>
        </w:rPr>
        <w:t>of improved information technology to reduce burden</w:t>
      </w:r>
      <w:r w:rsidRPr="00585991" w:rsidR="009E1EAA">
        <w:rPr>
          <w:szCs w:val="22"/>
          <w:u w:val="single"/>
        </w:rPr>
        <w:t>.</w:t>
      </w:r>
    </w:p>
    <w:p w:rsidR="0026271F" w:rsidRPr="00585991" w:rsidP="007D7D6B" w14:paraId="26C94D28" w14:textId="77777777">
      <w:pPr>
        <w:spacing w:after="240"/>
        <w:ind w:firstLine="720"/>
        <w:rPr>
          <w:szCs w:val="22"/>
        </w:rPr>
      </w:pPr>
      <w:r w:rsidRPr="00585991">
        <w:rPr>
          <w:szCs w:val="22"/>
        </w:rPr>
        <w:t>Mutual funds</w:t>
      </w:r>
      <w:r w:rsidRPr="00585991">
        <w:rPr>
          <w:szCs w:val="22"/>
        </w:rPr>
        <w:t xml:space="preserve"> are permitted to automate their system</w:t>
      </w:r>
      <w:r w:rsidRPr="00585991" w:rsidR="006953D2">
        <w:rPr>
          <w:szCs w:val="22"/>
        </w:rPr>
        <w:t>s</w:t>
      </w:r>
      <w:r w:rsidRPr="00585991">
        <w:rPr>
          <w:szCs w:val="22"/>
        </w:rPr>
        <w:t xml:space="preserve"> to meet their requirements.  There is no specific government mandate to do so.  </w:t>
      </w:r>
    </w:p>
    <w:p w:rsidR="0026271F" w:rsidRPr="00585991" w:rsidP="007D7D6B" w14:paraId="13A1AFF5" w14:textId="77777777">
      <w:pPr>
        <w:spacing w:after="240"/>
        <w:rPr>
          <w:szCs w:val="22"/>
          <w:u w:val="single"/>
        </w:rPr>
      </w:pPr>
      <w:r w:rsidRPr="00585991">
        <w:rPr>
          <w:szCs w:val="22"/>
        </w:rPr>
        <w:t xml:space="preserve">4. </w:t>
      </w:r>
      <w:r w:rsidRPr="00585991">
        <w:rPr>
          <w:szCs w:val="22"/>
          <w:u w:val="single"/>
        </w:rPr>
        <w:t xml:space="preserve">Efforts </w:t>
      </w:r>
      <w:r w:rsidRPr="00585991" w:rsidR="000377D1">
        <w:rPr>
          <w:szCs w:val="22"/>
          <w:u w:val="single"/>
        </w:rPr>
        <w:t>to identify duplication</w:t>
      </w:r>
      <w:r w:rsidRPr="00585991" w:rsidR="009E1EAA">
        <w:rPr>
          <w:szCs w:val="22"/>
          <w:u w:val="single"/>
        </w:rPr>
        <w:t>.</w:t>
      </w:r>
    </w:p>
    <w:p w:rsidR="0026271F" w:rsidRPr="00585991" w:rsidP="007D7D6B" w14:paraId="3CE7F4DD" w14:textId="77777777">
      <w:pPr>
        <w:spacing w:after="240"/>
        <w:ind w:firstLine="720"/>
        <w:rPr>
          <w:szCs w:val="22"/>
        </w:rPr>
      </w:pPr>
      <w:r w:rsidRPr="00585991">
        <w:rPr>
          <w:szCs w:val="22"/>
        </w:rPr>
        <w:t>There is no similar information available; thus</w:t>
      </w:r>
      <w:r w:rsidRPr="00585991" w:rsidR="00A377DF">
        <w:rPr>
          <w:szCs w:val="22"/>
        </w:rPr>
        <w:t>,</w:t>
      </w:r>
      <w:r w:rsidRPr="00585991">
        <w:rPr>
          <w:szCs w:val="22"/>
        </w:rPr>
        <w:t xml:space="preserve"> there is no duplication. </w:t>
      </w:r>
    </w:p>
    <w:p w:rsidR="0026271F" w:rsidRPr="00585991" w:rsidP="007D7D6B" w14:paraId="29A9983B" w14:textId="77777777">
      <w:pPr>
        <w:spacing w:after="240"/>
        <w:rPr>
          <w:szCs w:val="22"/>
          <w:u w:val="single"/>
        </w:rPr>
      </w:pPr>
      <w:r w:rsidRPr="00585991">
        <w:rPr>
          <w:szCs w:val="22"/>
        </w:rPr>
        <w:t xml:space="preserve">5. </w:t>
      </w:r>
      <w:r w:rsidRPr="00585991">
        <w:rPr>
          <w:szCs w:val="22"/>
          <w:u w:val="single"/>
        </w:rPr>
        <w:t xml:space="preserve">Methods to </w:t>
      </w:r>
      <w:r w:rsidRPr="00585991" w:rsidR="000377D1">
        <w:rPr>
          <w:szCs w:val="22"/>
          <w:u w:val="single"/>
        </w:rPr>
        <w:t>minimize burden on small businesses or other small entities</w:t>
      </w:r>
      <w:r w:rsidRPr="00585991" w:rsidR="009E1EAA">
        <w:rPr>
          <w:szCs w:val="22"/>
          <w:u w:val="single"/>
        </w:rPr>
        <w:t>.</w:t>
      </w:r>
    </w:p>
    <w:p w:rsidR="0026271F" w:rsidRPr="00585991" w:rsidP="007D7D6B" w14:paraId="6A41D005" w14:textId="77777777">
      <w:pPr>
        <w:spacing w:after="240"/>
        <w:ind w:firstLine="720"/>
        <w:rPr>
          <w:szCs w:val="22"/>
        </w:rPr>
      </w:pPr>
      <w:r w:rsidRPr="00585991">
        <w:rPr>
          <w:szCs w:val="22"/>
        </w:rPr>
        <w:t>All</w:t>
      </w:r>
      <w:r w:rsidRPr="00585991" w:rsidR="00DC1668">
        <w:rPr>
          <w:szCs w:val="22"/>
        </w:rPr>
        <w:t xml:space="preserve"> mutual funds</w:t>
      </w:r>
      <w:r w:rsidRPr="00585991">
        <w:rPr>
          <w:szCs w:val="22"/>
        </w:rPr>
        <w:t xml:space="preserve"> are required to document the identity of their customers and are permitted to use the method most suitable </w:t>
      </w:r>
      <w:r w:rsidRPr="00585991" w:rsidR="00940F7F">
        <w:rPr>
          <w:szCs w:val="22"/>
        </w:rPr>
        <w:t>based upon their assessment of risk as it relates to their size and type of business.</w:t>
      </w:r>
    </w:p>
    <w:p w:rsidR="00F42BB2" w:rsidP="007D7D6B" w14:paraId="627000FF" w14:textId="1F33968E">
      <w:pPr>
        <w:spacing w:after="240"/>
        <w:rPr>
          <w:szCs w:val="22"/>
        </w:rPr>
      </w:pPr>
      <w:r w:rsidRPr="00585991">
        <w:rPr>
          <w:szCs w:val="22"/>
        </w:rPr>
        <w:t xml:space="preserve">6. </w:t>
      </w:r>
      <w:r w:rsidRPr="00585991" w:rsidR="00582C3F">
        <w:rPr>
          <w:u w:val="single"/>
        </w:rPr>
        <w:t>Consequences</w:t>
      </w:r>
      <w:r w:rsidRPr="00585991" w:rsidR="000F4750">
        <w:rPr>
          <w:u w:val="single"/>
        </w:rPr>
        <w:t xml:space="preserve"> </w:t>
      </w:r>
      <w:r w:rsidRPr="00585991" w:rsidR="000F4750">
        <w:rPr>
          <w:szCs w:val="22"/>
          <w:u w:val="single"/>
        </w:rPr>
        <w:t>to the Federal government of not collecting the information</w:t>
      </w:r>
      <w:r w:rsidRPr="00585991" w:rsidR="009E1EAA">
        <w:rPr>
          <w:u w:val="single"/>
        </w:rPr>
        <w:t>.</w:t>
      </w:r>
    </w:p>
    <w:p w:rsidR="0026271F" w:rsidRPr="00585991" w:rsidP="007D7D6B" w14:paraId="2B55FDAF" w14:textId="38580DE1">
      <w:pPr>
        <w:spacing w:after="240"/>
        <w:ind w:firstLine="720"/>
        <w:rPr>
          <w:szCs w:val="22"/>
        </w:rPr>
      </w:pPr>
      <w:r>
        <w:t>Without access to the information in question, the Federal government would be unable to fully evaluate the compliance of covered financial institutions with relevant U.S. law</w:t>
      </w:r>
      <w:bookmarkStart w:id="3" w:name="_Hlk175748154"/>
      <w:r>
        <w:t xml:space="preserve">, as well as adversely impact </w:t>
      </w:r>
      <w:r w:rsidRPr="00FA7EFC">
        <w:rPr>
          <w:rFonts w:eastAsia="MS Mincho"/>
        </w:rPr>
        <w:t>law enforcement</w:t>
      </w:r>
      <w:r>
        <w:rPr>
          <w:rFonts w:eastAsia="MS Mincho"/>
        </w:rPr>
        <w:t xml:space="preserve"> access to relevant information</w:t>
      </w:r>
      <w:r w:rsidRPr="00FA7EFC">
        <w:rPr>
          <w:rFonts w:eastAsia="MS Mincho"/>
        </w:rPr>
        <w:t xml:space="preserve"> in financial investigations, protect</w:t>
      </w:r>
      <w:r>
        <w:rPr>
          <w:rFonts w:eastAsia="MS Mincho"/>
        </w:rPr>
        <w:t>ions</w:t>
      </w:r>
      <w:r w:rsidRPr="00FA7EFC">
        <w:rPr>
          <w:rFonts w:eastAsia="MS Mincho"/>
        </w:rPr>
        <w:t xml:space="preserve"> against terrorism and strengthen national security, financial institutions’ ability to assess and mitigate risk, prevent</w:t>
      </w:r>
      <w:r>
        <w:rPr>
          <w:rFonts w:eastAsia="MS Mincho"/>
        </w:rPr>
        <w:t>ion of</w:t>
      </w:r>
      <w:r w:rsidRPr="00FA7EFC">
        <w:rPr>
          <w:rFonts w:eastAsia="MS Mincho"/>
        </w:rPr>
        <w:t xml:space="preserve"> evasion of financial sanctions, facilitat</w:t>
      </w:r>
      <w:r>
        <w:rPr>
          <w:rFonts w:eastAsia="MS Mincho"/>
        </w:rPr>
        <w:t>ion of</w:t>
      </w:r>
      <w:r w:rsidRPr="00FA7EFC">
        <w:rPr>
          <w:rFonts w:eastAsia="MS Mincho"/>
        </w:rPr>
        <w:t xml:space="preserve"> tax compliance, financial transparency of legal entities, and U.S. compliance with international </w:t>
      </w:r>
      <w:r w:rsidRPr="00FA7EFC">
        <w:rPr>
          <w:rFonts w:eastAsia="MS Mincho"/>
        </w:rPr>
        <w:t>standards and commitments</w:t>
      </w:r>
      <w:bookmarkEnd w:id="3"/>
      <w:r>
        <w:t xml:space="preserve">.  </w:t>
      </w:r>
      <w:r w:rsidRPr="00585991">
        <w:rPr>
          <w:szCs w:val="22"/>
        </w:rPr>
        <w:t xml:space="preserve">The Federal </w:t>
      </w:r>
      <w:r w:rsidRPr="00585991" w:rsidR="00306A5A">
        <w:rPr>
          <w:szCs w:val="22"/>
        </w:rPr>
        <w:t>g</w:t>
      </w:r>
      <w:r w:rsidRPr="00585991">
        <w:rPr>
          <w:szCs w:val="22"/>
        </w:rPr>
        <w:t>overnment requires reporting of this information only upon request</w:t>
      </w:r>
      <w:r w:rsidR="00F42BB2">
        <w:rPr>
          <w:szCs w:val="22"/>
        </w:rPr>
        <w:t xml:space="preserve"> </w:t>
      </w:r>
      <w:r w:rsidR="007D7D6B">
        <w:rPr>
          <w:szCs w:val="22"/>
        </w:rPr>
        <w:t>by</w:t>
      </w:r>
      <w:r w:rsidR="00F42BB2">
        <w:rPr>
          <w:szCs w:val="22"/>
        </w:rPr>
        <w:t xml:space="preserve"> appropriate law enforcement agencies and supervisory agencies</w:t>
      </w:r>
      <w:r w:rsidRPr="00AA6051" w:rsidR="00F42BB2">
        <w:rPr>
          <w:szCs w:val="22"/>
        </w:rPr>
        <w:t>.</w:t>
      </w:r>
      <w:r w:rsidRPr="00585991">
        <w:rPr>
          <w:szCs w:val="22"/>
        </w:rPr>
        <w:t xml:space="preserve">  </w:t>
      </w:r>
    </w:p>
    <w:p w:rsidR="00703892" w:rsidRPr="00360D25" w:rsidP="007D7D6B" w14:paraId="6E197020" w14:textId="570A6ED5">
      <w:pPr>
        <w:spacing w:after="240"/>
        <w:rPr>
          <w:szCs w:val="22"/>
          <w:u w:val="single"/>
        </w:rPr>
      </w:pPr>
      <w:r w:rsidRPr="00585991">
        <w:rPr>
          <w:szCs w:val="22"/>
        </w:rPr>
        <w:t xml:space="preserve">7. </w:t>
      </w:r>
      <w:r w:rsidRPr="00585991">
        <w:rPr>
          <w:szCs w:val="22"/>
          <w:u w:val="single"/>
        </w:rPr>
        <w:t xml:space="preserve">Special </w:t>
      </w:r>
      <w:r w:rsidRPr="00585991" w:rsidR="00582C3F">
        <w:rPr>
          <w:szCs w:val="22"/>
          <w:u w:val="single"/>
        </w:rPr>
        <w:t>circumstances requiring data collection inconsistent with guidelines</w:t>
      </w:r>
      <w:r w:rsidRPr="00585991" w:rsidR="00E17A8F">
        <w:rPr>
          <w:szCs w:val="22"/>
          <w:u w:val="single"/>
        </w:rPr>
        <w:t xml:space="preserve"> in 5 CFR 1320.5(d)(2).</w:t>
      </w:r>
    </w:p>
    <w:p w:rsidR="00801A77" w:rsidRPr="00360D25" w:rsidP="007D7D6B" w14:paraId="0CD8BC08" w14:textId="4C7F7788">
      <w:pPr>
        <w:spacing w:after="240"/>
        <w:ind w:firstLine="720"/>
      </w:pPr>
      <w:r w:rsidRPr="005B4CD0">
        <w:rPr>
          <w:szCs w:val="4"/>
        </w:rPr>
        <w:t>Und</w:t>
      </w:r>
      <w:r w:rsidRPr="005B4CD0">
        <w:t xml:space="preserve">er 31 CFR 1010.430(d), </w:t>
      </w:r>
      <w:r w:rsidRPr="005B4CD0">
        <w:rPr>
          <w:lang w:val="en"/>
        </w:rPr>
        <w:t xml:space="preserve">all records that are required to be retained by 31 CFR Chapter X must be retained for a period of five years. </w:t>
      </w:r>
      <w:r>
        <w:rPr>
          <w:lang w:val="en"/>
        </w:rPr>
        <w:t xml:space="preserve"> These CIP records must be kept for five years to verify compliance with the requirements to maintain a CIP, as such records may relate to civil penalty actions that are subject to statutes of limitations longer than three years.  </w:t>
      </w:r>
    </w:p>
    <w:p w:rsidR="00DD67C4" w:rsidRPr="00360D25" w:rsidP="007D7D6B" w14:paraId="5F5D0794" w14:textId="0491727E">
      <w:pPr>
        <w:spacing w:after="240"/>
        <w:rPr>
          <w:szCs w:val="22"/>
        </w:rPr>
      </w:pPr>
      <w:r w:rsidRPr="00585991">
        <w:rPr>
          <w:szCs w:val="22"/>
        </w:rPr>
        <w:t xml:space="preserve">8. </w:t>
      </w:r>
      <w:r w:rsidRPr="00585991">
        <w:rPr>
          <w:szCs w:val="22"/>
          <w:u w:val="single"/>
        </w:rPr>
        <w:t xml:space="preserve">Consultation </w:t>
      </w:r>
      <w:r w:rsidRPr="00585991" w:rsidR="00582C3F">
        <w:rPr>
          <w:szCs w:val="22"/>
          <w:u w:val="single"/>
        </w:rPr>
        <w:t>with individuals outside of the agency on availability of data, frequency of collection, clarity of instructions and forms, and data elements</w:t>
      </w:r>
      <w:r w:rsidRPr="00585991" w:rsidR="009E1EAA">
        <w:rPr>
          <w:szCs w:val="22"/>
          <w:u w:val="single"/>
        </w:rPr>
        <w:t>.</w:t>
      </w:r>
    </w:p>
    <w:p w:rsidR="009779CE" w:rsidP="007D7D6B" w14:paraId="59E5C304" w14:textId="0B073E0A">
      <w:pPr>
        <w:spacing w:after="240"/>
        <w:ind w:firstLine="720"/>
      </w:pPr>
      <w:r w:rsidRPr="009A28A2">
        <w:t>On June 20, 2024, FinCEN published in the Federal Register a notice and request for comments concerning its intention to renew, without change, information collection requirements related to CIP regulatory requirements for certain financial institutions.</w:t>
      </w:r>
      <w:r>
        <w:rPr>
          <w:rStyle w:val="FootnoteReference"/>
        </w:rPr>
        <w:footnoteReference w:id="10"/>
      </w:r>
      <w:r w:rsidRPr="009A28A2">
        <w:t xml:space="preserve"> The comment period closed on August 19, 2024.  FinCEN received </w:t>
      </w:r>
      <w:r>
        <w:t>three</w:t>
      </w:r>
      <w:r w:rsidRPr="009A28A2">
        <w:t xml:space="preserve"> relevant comments in response to the notice.</w:t>
      </w:r>
    </w:p>
    <w:p w:rsidR="009779CE" w:rsidP="007D7D6B" w14:paraId="24696E64" w14:textId="190F890A">
      <w:pPr>
        <w:spacing w:after="240"/>
        <w:ind w:firstLine="720"/>
      </w:pPr>
      <w:r>
        <w:t>One commenter suggested that all banks, whether online or with a physical location, should be required to conduct enhanced due diligence (EDD) on a customer before any new account is opened.  The commenter asserted that requiring banks to conduct EDD on all new accounts would eliminate vast amounts of fraud and would save banks and the public money, as a result.</w:t>
      </w:r>
    </w:p>
    <w:p w:rsidR="009779CE" w:rsidP="007D7D6B" w14:paraId="10F4ED35" w14:textId="7BF44A58">
      <w:pPr>
        <w:spacing w:after="240"/>
        <w:ind w:firstLine="720"/>
      </w:pPr>
      <w:r>
        <w:t xml:space="preserve">Another commenter suggested that FinCEN vastly underestimated the time and resources necessary for a financial institution to comply with CIP requirements.  Specifically, the commenter noted that it takes the commenter itself much longer than ten hours annually to maintain and update its CIP; however, the commenter did not propose an alternative estimate for annually maintaining and updating a record of its CIP.  The commenter also noted that FinCEN’s estimate of two minutes per new account opened to obtain and verify a customer’s identity is an underestimate; the commenter noted that the process may take more than two minutes, though typically under five minutes.  </w:t>
      </w:r>
    </w:p>
    <w:p w:rsidR="009779CE" w:rsidP="00CD609F" w14:paraId="78FF7853" w14:textId="7768E028">
      <w:pPr>
        <w:spacing w:after="240"/>
        <w:ind w:firstLine="720"/>
      </w:pPr>
      <w:r>
        <w:t xml:space="preserve">A third commenter agreed that FinCEN’s estimate of two minutes per new account to obtain and verify a customer’s identity underestimates the time it takes an institution to comply with the CIP rule.  However, that commenter did not offer any additional information or opinion about what </w:t>
      </w:r>
      <w:r w:rsidR="00952567">
        <w:t>a more accurate estimate of time would be</w:t>
      </w:r>
      <w:r>
        <w:t xml:space="preserve"> to obtain and verify a customer’s identity.</w:t>
      </w:r>
    </w:p>
    <w:p w:rsidR="009779CE" w:rsidP="00CD609F" w14:paraId="5ECC154E" w14:textId="7F03ABAF">
      <w:pPr>
        <w:spacing w:after="240"/>
        <w:ind w:firstLine="720"/>
      </w:pPr>
      <w:r>
        <w:t xml:space="preserve">FinCEN </w:t>
      </w:r>
      <w:r w:rsidR="00952567">
        <w:t xml:space="preserve">notes </w:t>
      </w:r>
      <w:r>
        <w:t>that the Paperwork Reduction Act (</w:t>
      </w:r>
      <w:r w:rsidRPr="00BD1DCC">
        <w:t>PRA</w:t>
      </w:r>
      <w:r>
        <w:t xml:space="preserve">) specifically applies to, and requires agency disclosures related to, regulatory requirements that impose </w:t>
      </w:r>
      <w:r w:rsidR="007D7D6B">
        <w:t>a collection of</w:t>
      </w:r>
      <w:r w:rsidR="00CD609F">
        <w:t xml:space="preserve"> information</w:t>
      </w:r>
      <w:r>
        <w:t xml:space="preserve">  </w:t>
      </w:r>
      <w:r w:rsidRPr="00483E72">
        <w:t xml:space="preserve">A </w:t>
      </w:r>
      <w:r w:rsidR="009C45CB">
        <w:t xml:space="preserve">collection of </w:t>
      </w:r>
      <w:r w:rsidRPr="00483E72">
        <w:t xml:space="preserve">information is defined as </w:t>
      </w:r>
      <w:r w:rsidR="000C0C9D">
        <w:t>“</w:t>
      </w:r>
      <w:r w:rsidRPr="00483E72">
        <w:t>the</w:t>
      </w:r>
      <w:r w:rsidRPr="002A2C46">
        <w:t xml:space="preserve"> obtaining, causing to be obtained, soliciting, or requiring the disclosure to an agency, third parties or the public of information by </w:t>
      </w:r>
      <w:r w:rsidRPr="002A2C46">
        <w:t>or for an agency by means of identical questions posed to, or identical reporting, recordkeeping, or disclosure requirements imposed on, ten or more persons, whether such collection of information is mandatory, voluntary, or required to obtain or retain a benefit.</w:t>
      </w:r>
      <w:r w:rsidR="000C0C9D">
        <w:t>”</w:t>
      </w:r>
      <w:r>
        <w:rPr>
          <w:rStyle w:val="FootnoteReference"/>
        </w:rPr>
        <w:footnoteReference w:id="11"/>
      </w:r>
      <w:r>
        <w:t xml:space="preserve">  </w:t>
      </w:r>
    </w:p>
    <w:p w:rsidR="009779CE" w:rsidP="00CD609F" w14:paraId="5BE0F2E6" w14:textId="4ADE4F8F">
      <w:pPr>
        <w:spacing w:after="240"/>
        <w:ind w:firstLine="720"/>
      </w:pPr>
      <w:r>
        <w:t xml:space="preserve">The scope of the PRA burden associated with the CIP regulations is specific to the reporting, recordkeeping, and disclosure requirements in the CIP regulations.  Other obligations arising from the CIP regulations do not necessarily fall within the scope of the PRA burden.  In this context, the ten-hour burden estimate in this statement is specific to the </w:t>
      </w:r>
      <w:r w:rsidR="009C45CB">
        <w:t xml:space="preserve">collection of </w:t>
      </w:r>
      <w:r>
        <w:t xml:space="preserve">information of annually maintaining and updating the record of a CIP.  The PRA implementation burden of obtaining, verifying, and recording customer identification information for each new account opened for which CIP requirements apply is accounted for on a time-per-account basis. </w:t>
      </w:r>
    </w:p>
    <w:p w:rsidR="009779CE" w:rsidP="00CD609F" w14:paraId="46D0D565" w14:textId="35A167D3">
      <w:pPr>
        <w:spacing w:after="240"/>
        <w:ind w:firstLine="720"/>
      </w:pPr>
      <w:r>
        <w:t>Given that two commenters suggested that obtaining, verifying, and recording customer identification information per new account opened, for which CIP is required, is more than two minutes per account, FinCEN is increasing the burden estimate per new account opened to three minutes per account, applicable to all new accounts annually across all financial institution types required to comply with CIP requirements.</w:t>
      </w:r>
    </w:p>
    <w:p w:rsidR="009779CE" w:rsidRPr="009779CE" w:rsidP="0033218F" w14:paraId="6FB52B62" w14:textId="02C6EF84">
      <w:pPr>
        <w:spacing w:after="240"/>
        <w:ind w:firstLine="720"/>
      </w:pPr>
      <w:r>
        <w:t>In addition, given that one commenter specifically criticized as inaccurate FinCEN’s estimate of the number of new accounts opened annually by banks, for which FinCEN specifically requested comments, FinCEN has reconsidered its estimate of that number.</w:t>
      </w:r>
      <w:r>
        <w:rPr>
          <w:rStyle w:val="FootnoteReference"/>
        </w:rPr>
        <w:footnoteReference w:id="12"/>
      </w:r>
      <w:r>
        <w:t xml:space="preserve">  </w:t>
      </w:r>
      <w:r w:rsidR="000C0C9D">
        <w:t xml:space="preserve">That </w:t>
      </w:r>
      <w:r>
        <w:t>revision is</w:t>
      </w:r>
      <w:r w:rsidR="000C0C9D">
        <w:t>, however,</w:t>
      </w:r>
      <w:r>
        <w:t xml:space="preserve"> specific to banks and will not affect the estimated number of new accounts opened by other types of financial institutions required to comply with the CIP regulations.  As always, however, FinCEN welcomes information relevant to the calculation of burden—ideally from sources and collection methods that provide sufficient transparency and reliability for FinCEN to be confident in using that information in its calculations.  </w:t>
      </w:r>
    </w:p>
    <w:p w:rsidR="009779CE" w:rsidRPr="009779CE" w:rsidP="0033218F" w14:paraId="144E491D" w14:textId="77777777">
      <w:pPr>
        <w:widowControl w:val="0"/>
        <w:autoSpaceDE w:val="0"/>
        <w:autoSpaceDN w:val="0"/>
        <w:adjustRightInd w:val="0"/>
        <w:spacing w:after="240"/>
        <w:ind w:right="220" w:firstLine="720"/>
      </w:pPr>
      <w:r w:rsidRPr="009779CE">
        <w:t>More broadly, FinCEN always appreciates the feedback provided by commenters and takes into consideration any recommendations that it receives as part of future rulemakings.  In addition,</w:t>
      </w:r>
      <w:r w:rsidRPr="009779CE">
        <w:rPr>
          <w:rStyle w:val="cf01"/>
          <w:rFonts w:ascii="Times New Roman" w:hAnsi="Times New Roman" w:cs="Times New Roman"/>
          <w:sz w:val="24"/>
          <w:szCs w:val="24"/>
        </w:rPr>
        <w:t xml:space="preserve"> as noted in the 60-day notice to renew this information collection, in connection with a variety of initiatives FinCEN is undertaking to implement the AML Act, FinCEN intends to conduct, in the future, additional assessments of the PRA burden associated with BSA requirements.</w:t>
      </w:r>
      <w:r w:rsidRPr="009779CE">
        <w:t xml:space="preserve">  </w:t>
      </w:r>
      <w:r w:rsidRPr="009779CE">
        <w:rPr>
          <w:rStyle w:val="cf01"/>
          <w:rFonts w:ascii="Times New Roman" w:hAnsi="Times New Roman" w:cs="Times New Roman"/>
          <w:sz w:val="24"/>
          <w:szCs w:val="24"/>
        </w:rPr>
        <w:t>These assessments will offer the public additional opportunities for comment.</w:t>
      </w:r>
    </w:p>
    <w:p w:rsidR="00582C3F" w:rsidRPr="00585991" w:rsidP="00A526C3" w14:paraId="42D85121" w14:textId="65577CA8">
      <w:pPr>
        <w:pStyle w:val="BodyText"/>
        <w:spacing w:before="0" w:after="240"/>
        <w:rPr>
          <w:sz w:val="24"/>
          <w:szCs w:val="24"/>
        </w:rPr>
      </w:pPr>
      <w:r w:rsidRPr="00585991">
        <w:rPr>
          <w:sz w:val="24"/>
          <w:szCs w:val="24"/>
        </w:rPr>
        <w:t xml:space="preserve">9. </w:t>
      </w:r>
      <w:r w:rsidRPr="00585991">
        <w:rPr>
          <w:sz w:val="24"/>
          <w:szCs w:val="24"/>
          <w:u w:val="single"/>
        </w:rPr>
        <w:t>Explanation of decision to provide any payment or gift to respondents.</w:t>
      </w:r>
      <w:r w:rsidRPr="00585991">
        <w:rPr>
          <w:sz w:val="24"/>
          <w:szCs w:val="24"/>
        </w:rPr>
        <w:t xml:space="preserve">  </w:t>
      </w:r>
    </w:p>
    <w:p w:rsidR="00582C3F" w:rsidRPr="00585991" w:rsidP="00A526C3" w14:paraId="7FAD30A8" w14:textId="77777777">
      <w:pPr>
        <w:pStyle w:val="BodyText"/>
        <w:spacing w:before="0" w:after="240"/>
        <w:ind w:firstLine="720"/>
        <w:rPr>
          <w:sz w:val="24"/>
          <w:szCs w:val="24"/>
        </w:rPr>
      </w:pPr>
      <w:r w:rsidRPr="00585991">
        <w:rPr>
          <w:sz w:val="24"/>
          <w:szCs w:val="24"/>
        </w:rPr>
        <w:t>No payments or gifts were made to respondents.</w:t>
      </w:r>
    </w:p>
    <w:p w:rsidR="0026271F" w:rsidRPr="00585991" w:rsidP="00A526C3" w14:paraId="32309CC9" w14:textId="77777777">
      <w:pPr>
        <w:pStyle w:val="BodyText"/>
        <w:spacing w:before="0" w:after="240"/>
        <w:rPr>
          <w:sz w:val="24"/>
        </w:rPr>
      </w:pPr>
      <w:r w:rsidRPr="00585991">
        <w:rPr>
          <w:sz w:val="24"/>
        </w:rPr>
        <w:t xml:space="preserve">10. </w:t>
      </w:r>
      <w:r w:rsidRPr="00585991">
        <w:rPr>
          <w:sz w:val="24"/>
          <w:u w:val="single"/>
        </w:rPr>
        <w:t xml:space="preserve">Assurance </w:t>
      </w:r>
      <w:r w:rsidRPr="00585991" w:rsidR="00582C3F">
        <w:rPr>
          <w:sz w:val="24"/>
          <w:u w:val="single"/>
        </w:rPr>
        <w:t>of confidentiality of responses</w:t>
      </w:r>
      <w:r w:rsidRPr="00585991" w:rsidR="00F934E3">
        <w:rPr>
          <w:sz w:val="24"/>
          <w:u w:val="single"/>
        </w:rPr>
        <w:t>.</w:t>
      </w:r>
    </w:p>
    <w:p w:rsidR="0026271F" w:rsidRPr="00585991" w:rsidP="00A526C3" w14:paraId="0DFB9953" w14:textId="25A00F75">
      <w:pPr>
        <w:spacing w:after="240"/>
        <w:ind w:firstLine="720"/>
        <w:rPr>
          <w:szCs w:val="22"/>
        </w:rPr>
      </w:pPr>
      <w:r w:rsidRPr="00537765">
        <w:t xml:space="preserve">Any </w:t>
      </w:r>
      <w:r>
        <w:t>personally identifiable</w:t>
      </w:r>
      <w:r w:rsidRPr="00537765">
        <w:t xml:space="preserve"> information collected under the B</w:t>
      </w:r>
      <w:r>
        <w:t>SA</w:t>
      </w:r>
      <w:r w:rsidRPr="00537765">
        <w:t xml:space="preserve"> is strictly controlled as outlined in FinCEN’s Systems of Records</w:t>
      </w:r>
      <w:r>
        <w:t xml:space="preserve"> </w:t>
      </w:r>
      <w:r w:rsidRPr="00537765">
        <w:t>Notice</w:t>
      </w:r>
      <w:hyperlink w:history="1"/>
      <w:r w:rsidRPr="008B26BD">
        <w:t>.</w:t>
      </w:r>
      <w:r>
        <w:rPr>
          <w:rStyle w:val="FootnoteReference"/>
        </w:rPr>
        <w:footnoteReference w:id="13"/>
      </w:r>
      <w:r>
        <w:t xml:space="preserve"> </w:t>
      </w:r>
      <w:r w:rsidRPr="003420FC">
        <w:rPr>
          <w:szCs w:val="22"/>
        </w:rPr>
        <w:t xml:space="preserve"> </w:t>
      </w:r>
      <w:r w:rsidRPr="00585991">
        <w:rPr>
          <w:szCs w:val="22"/>
        </w:rPr>
        <w:t xml:space="preserve">Information collected under 31 U.S.C. </w:t>
      </w:r>
      <w:r w:rsidRPr="00585991">
        <w:rPr>
          <w:szCs w:val="22"/>
        </w:rPr>
        <w:t>5318(l) may be made available to appropriate law enforcement agencies and supervisory agencies.</w:t>
      </w:r>
    </w:p>
    <w:p w:rsidR="00E91F83" w:rsidRPr="00360D25" w:rsidP="00A526C3" w14:paraId="734E3759" w14:textId="024BA935">
      <w:pPr>
        <w:spacing w:after="240"/>
        <w:rPr>
          <w:szCs w:val="22"/>
        </w:rPr>
      </w:pPr>
      <w:r w:rsidRPr="00585991">
        <w:rPr>
          <w:szCs w:val="22"/>
        </w:rPr>
        <w:t xml:space="preserve">11. </w:t>
      </w:r>
      <w:r w:rsidRPr="00585991">
        <w:rPr>
          <w:szCs w:val="22"/>
          <w:u w:val="single"/>
        </w:rPr>
        <w:t xml:space="preserve">Justification </w:t>
      </w:r>
      <w:r w:rsidRPr="00585991" w:rsidR="00582C3F">
        <w:rPr>
          <w:szCs w:val="22"/>
          <w:u w:val="single"/>
        </w:rPr>
        <w:t>of sensitive questions</w:t>
      </w:r>
      <w:r w:rsidRPr="00585991" w:rsidR="009E1EAA">
        <w:rPr>
          <w:szCs w:val="22"/>
          <w:u w:val="single"/>
        </w:rPr>
        <w:t>.</w:t>
      </w:r>
    </w:p>
    <w:p w:rsidR="00E91F83" w:rsidP="00A526C3" w14:paraId="24C94BD0" w14:textId="3DE2FC2E">
      <w:pPr>
        <w:spacing w:after="240"/>
        <w:ind w:firstLine="720"/>
        <w:rPr>
          <w:szCs w:val="22"/>
        </w:rPr>
      </w:pPr>
      <w:r w:rsidRPr="00537765">
        <w:t xml:space="preserve">There are no questions of a sensitive nature in the collection of information.  </w:t>
      </w:r>
    </w:p>
    <w:p w:rsidR="00E91F83" w:rsidP="00A526C3" w14:paraId="4662C423" w14:textId="627EA2DA">
      <w:pPr>
        <w:spacing w:after="240"/>
        <w:rPr>
          <w:szCs w:val="22"/>
          <w:u w:val="single"/>
        </w:rPr>
      </w:pPr>
      <w:r w:rsidRPr="00AA6051">
        <w:rPr>
          <w:szCs w:val="22"/>
        </w:rPr>
        <w:t>12</w:t>
      </w:r>
      <w:r>
        <w:rPr>
          <w:szCs w:val="22"/>
        </w:rPr>
        <w:t>.</w:t>
      </w:r>
      <w:r w:rsidRPr="00AA6051">
        <w:rPr>
          <w:szCs w:val="22"/>
        </w:rPr>
        <w:t xml:space="preserve"> </w:t>
      </w:r>
      <w:r w:rsidRPr="00AA6051">
        <w:rPr>
          <w:szCs w:val="22"/>
          <w:u w:val="single"/>
        </w:rPr>
        <w:t>Estimated burden</w:t>
      </w:r>
      <w:r>
        <w:rPr>
          <w:szCs w:val="22"/>
          <w:u w:val="single"/>
        </w:rPr>
        <w:t xml:space="preserve"> </w:t>
      </w:r>
      <w:r w:rsidRPr="00AA6051">
        <w:rPr>
          <w:szCs w:val="22"/>
          <w:u w:val="single"/>
        </w:rPr>
        <w:t>of information collection.</w:t>
      </w:r>
    </w:p>
    <w:p w:rsidR="00E91F83" w:rsidRPr="00360D25" w:rsidP="00A526C3" w14:paraId="43A897A0" w14:textId="137CCE95">
      <w:pPr>
        <w:spacing w:after="240"/>
        <w:rPr>
          <w:szCs w:val="22"/>
          <w:u w:val="single"/>
        </w:rPr>
      </w:pPr>
      <w:r w:rsidRPr="007363FE">
        <w:rPr>
          <w:szCs w:val="22"/>
          <w:u w:val="single"/>
        </w:rPr>
        <w:t>Frequency</w:t>
      </w:r>
      <w:r w:rsidRPr="00360D25">
        <w:rPr>
          <w:szCs w:val="22"/>
        </w:rPr>
        <w:t>: As required.</w:t>
      </w:r>
    </w:p>
    <w:p w:rsidR="0052604F" w:rsidP="00A526C3" w14:paraId="50C314DE" w14:textId="6994562F">
      <w:pPr>
        <w:spacing w:after="240"/>
      </w:pPr>
      <w:r w:rsidRPr="00FA17FD">
        <w:rPr>
          <w:u w:val="single"/>
        </w:rPr>
        <w:t xml:space="preserve">Estimated Number of </w:t>
      </w:r>
      <w:r w:rsidRPr="00FA17FD">
        <w:rPr>
          <w:rFonts w:eastAsia="MS Mincho"/>
          <w:u w:val="single"/>
        </w:rPr>
        <w:t>Respondents</w:t>
      </w:r>
      <w:r w:rsidRPr="002A0D23">
        <w:rPr>
          <w:rFonts w:eastAsia="MS Mincho"/>
        </w:rPr>
        <w:t>:</w:t>
      </w:r>
      <w:r w:rsidRPr="002A0D23">
        <w:t xml:space="preserve"> </w:t>
      </w:r>
      <w:r>
        <w:t>1</w:t>
      </w:r>
      <w:r w:rsidR="00E33BD4">
        <w:t>,400 mutual funds</w:t>
      </w:r>
      <w:r w:rsidRPr="00A57241">
        <w:t>.</w:t>
      </w:r>
      <w:r>
        <w:rPr>
          <w:rStyle w:val="FootnoteReference"/>
        </w:rPr>
        <w:footnoteReference w:id="14"/>
      </w:r>
    </w:p>
    <w:p w:rsidR="0052604F" w:rsidRPr="00CE0A74" w:rsidP="00A526C3" w14:paraId="755CC788" w14:textId="77777777">
      <w:pPr>
        <w:spacing w:after="240"/>
        <w:rPr>
          <w:b/>
          <w:sz w:val="22"/>
          <w:szCs w:val="22"/>
          <w:lang w:val="en-GB"/>
        </w:rPr>
      </w:pPr>
      <w:r w:rsidRPr="00CE0A74">
        <w:rPr>
          <w:b/>
          <w:sz w:val="22"/>
          <w:szCs w:val="22"/>
          <w:lang w:val="en-GB"/>
        </w:rPr>
        <w:t>Table 1.</w:t>
      </w:r>
      <w:r>
        <w:rPr>
          <w:b/>
          <w:sz w:val="22"/>
          <w:szCs w:val="22"/>
          <w:lang w:val="en-GB"/>
        </w:rPr>
        <w:t xml:space="preserve"> Distribution of F</w:t>
      </w:r>
      <w:r w:rsidRPr="00CE0A74">
        <w:rPr>
          <w:b/>
          <w:sz w:val="22"/>
          <w:szCs w:val="22"/>
          <w:lang w:val="en-GB"/>
        </w:rPr>
        <w:t xml:space="preserve">inancial </w:t>
      </w:r>
      <w:r>
        <w:rPr>
          <w:b/>
          <w:sz w:val="22"/>
          <w:szCs w:val="22"/>
          <w:lang w:val="en-GB"/>
        </w:rPr>
        <w:t>I</w:t>
      </w:r>
      <w:r w:rsidRPr="00CE0A74">
        <w:rPr>
          <w:b/>
          <w:sz w:val="22"/>
          <w:szCs w:val="22"/>
          <w:lang w:val="en-GB"/>
        </w:rPr>
        <w:t xml:space="preserve">nstitutions and </w:t>
      </w:r>
      <w:r>
        <w:rPr>
          <w:b/>
          <w:sz w:val="22"/>
          <w:szCs w:val="22"/>
          <w:lang w:val="en-GB"/>
        </w:rPr>
        <w:t>New Accounts</w:t>
      </w:r>
      <w:r w:rsidRPr="00CE0A74">
        <w:rPr>
          <w:b/>
          <w:sz w:val="22"/>
          <w:szCs w:val="22"/>
          <w:lang w:val="en-GB"/>
        </w:rPr>
        <w:t xml:space="preserve"> </w:t>
      </w:r>
      <w:r>
        <w:rPr>
          <w:b/>
          <w:sz w:val="22"/>
          <w:szCs w:val="22"/>
          <w:lang w:val="en-GB"/>
        </w:rPr>
        <w:t>C</w:t>
      </w:r>
      <w:r w:rsidRPr="00CE0A74">
        <w:rPr>
          <w:b/>
          <w:sz w:val="22"/>
          <w:szCs w:val="22"/>
          <w:lang w:val="en-GB"/>
        </w:rPr>
        <w:t xml:space="preserve">overed by </w:t>
      </w:r>
      <w:r>
        <w:rPr>
          <w:b/>
          <w:sz w:val="22"/>
          <w:szCs w:val="22"/>
          <w:lang w:val="en-GB"/>
        </w:rPr>
        <w:t>T</w:t>
      </w:r>
      <w:r w:rsidRPr="00CE0A74">
        <w:rPr>
          <w:b/>
          <w:sz w:val="22"/>
          <w:szCs w:val="22"/>
          <w:lang w:val="en-GB"/>
        </w:rPr>
        <w:t xml:space="preserve">his </w:t>
      </w:r>
      <w:r>
        <w:rPr>
          <w:b/>
          <w:sz w:val="22"/>
          <w:szCs w:val="22"/>
          <w:lang w:val="en-GB"/>
        </w:rPr>
        <w:t>N</w:t>
      </w:r>
      <w:r w:rsidRPr="00CE0A74">
        <w:rPr>
          <w:b/>
          <w:sz w:val="22"/>
          <w:szCs w:val="22"/>
          <w:lang w:val="en-GB"/>
        </w:rPr>
        <w:t xml:space="preserve">otice, by </w:t>
      </w:r>
      <w:r>
        <w:rPr>
          <w:b/>
          <w:sz w:val="22"/>
          <w:szCs w:val="22"/>
          <w:lang w:val="en-GB"/>
        </w:rPr>
        <w:t>T</w:t>
      </w:r>
      <w:r w:rsidRPr="00CE0A74">
        <w:rPr>
          <w:b/>
          <w:sz w:val="22"/>
          <w:szCs w:val="22"/>
          <w:lang w:val="en-GB"/>
        </w:rPr>
        <w:t>ype</w:t>
      </w:r>
      <w:r>
        <w:rPr>
          <w:b/>
          <w:sz w:val="22"/>
          <w:szCs w:val="22"/>
          <w:lang w:val="en-GB"/>
        </w:rPr>
        <w:t xml:space="preserve"> of Financial Institution</w:t>
      </w:r>
    </w:p>
    <w:tbl>
      <w:tblPr>
        <w:tblStyle w:val="TableGrid"/>
        <w:tblW w:w="0" w:type="auto"/>
        <w:tblLook w:val="04A0"/>
      </w:tblPr>
      <w:tblGrid>
        <w:gridCol w:w="3415"/>
        <w:gridCol w:w="2250"/>
        <w:gridCol w:w="2735"/>
      </w:tblGrid>
      <w:tr w14:paraId="76147ADF" w14:textId="77777777" w:rsidTr="00A526C3">
        <w:tblPrEx>
          <w:tblW w:w="0" w:type="auto"/>
          <w:tblLook w:val="04A0"/>
        </w:tblPrEx>
        <w:tc>
          <w:tcPr>
            <w:tcW w:w="3415" w:type="dxa"/>
            <w:vAlign w:val="center"/>
          </w:tcPr>
          <w:p w:rsidR="0052604F" w:rsidRPr="009D4C83" w:rsidP="00A526C3" w14:paraId="49DF8108" w14:textId="77777777">
            <w:pPr>
              <w:spacing w:after="240"/>
              <w:rPr>
                <w:rFonts w:ascii="Times New Roman" w:hAnsi="Times New Roman" w:cs="Times New Roman"/>
                <w:b/>
                <w:sz w:val="22"/>
                <w:szCs w:val="22"/>
                <w:lang w:val="en-US"/>
              </w:rPr>
            </w:pPr>
            <w:r w:rsidRPr="009D4C83">
              <w:rPr>
                <w:rFonts w:ascii="Times New Roman" w:hAnsi="Times New Roman" w:cs="Times New Roman"/>
                <w:b/>
                <w:sz w:val="22"/>
                <w:szCs w:val="22"/>
                <w:lang w:val="en-US"/>
              </w:rPr>
              <w:t>Type of financial institution</w:t>
            </w:r>
          </w:p>
        </w:tc>
        <w:tc>
          <w:tcPr>
            <w:tcW w:w="2250" w:type="dxa"/>
            <w:vAlign w:val="center"/>
          </w:tcPr>
          <w:p w:rsidR="0052604F" w:rsidRPr="009D4C83" w:rsidP="00A526C3" w14:paraId="1E65F4B0" w14:textId="77777777">
            <w:pPr>
              <w:spacing w:after="240"/>
              <w:jc w:val="center"/>
              <w:rPr>
                <w:rFonts w:ascii="Times New Roman" w:hAnsi="Times New Roman" w:cs="Times New Roman"/>
                <w:b/>
                <w:sz w:val="22"/>
                <w:szCs w:val="22"/>
                <w:lang w:val="en-US"/>
              </w:rPr>
            </w:pPr>
            <w:r w:rsidRPr="009D4C83">
              <w:rPr>
                <w:rFonts w:ascii="Times New Roman" w:hAnsi="Times New Roman" w:cs="Times New Roman"/>
                <w:b/>
                <w:sz w:val="22"/>
                <w:szCs w:val="22"/>
                <w:lang w:val="en-US"/>
              </w:rPr>
              <w:t>Number of financial institutions</w:t>
            </w:r>
          </w:p>
        </w:tc>
        <w:tc>
          <w:tcPr>
            <w:tcW w:w="2735" w:type="dxa"/>
            <w:vAlign w:val="center"/>
          </w:tcPr>
          <w:p w:rsidR="0052604F" w:rsidRPr="009D4C83" w:rsidP="00A526C3" w14:paraId="4868C32D" w14:textId="77777777">
            <w:pPr>
              <w:spacing w:after="240"/>
              <w:jc w:val="center"/>
              <w:rPr>
                <w:rFonts w:ascii="Times New Roman" w:hAnsi="Times New Roman" w:cs="Times New Roman"/>
                <w:b/>
                <w:sz w:val="22"/>
                <w:szCs w:val="22"/>
                <w:lang w:val="en-US"/>
              </w:rPr>
            </w:pPr>
            <w:r w:rsidRPr="009D4C83">
              <w:rPr>
                <w:rFonts w:ascii="Times New Roman" w:hAnsi="Times New Roman" w:cs="Times New Roman"/>
                <w:b/>
                <w:sz w:val="22"/>
                <w:szCs w:val="22"/>
                <w:lang w:val="en-US"/>
              </w:rPr>
              <w:t>Number of new accounts opened annually</w:t>
            </w:r>
          </w:p>
        </w:tc>
      </w:tr>
      <w:tr w14:paraId="00142AF6" w14:textId="77777777" w:rsidTr="00A526C3">
        <w:tblPrEx>
          <w:tblW w:w="0" w:type="auto"/>
          <w:tblLook w:val="04A0"/>
        </w:tblPrEx>
        <w:tc>
          <w:tcPr>
            <w:tcW w:w="3415" w:type="dxa"/>
            <w:vAlign w:val="center"/>
          </w:tcPr>
          <w:p w:rsidR="0052604F" w:rsidRPr="00FD0A1D" w:rsidP="00A526C3" w14:paraId="013D7AAB" w14:textId="77777777">
            <w:pPr>
              <w:spacing w:after="240"/>
              <w:rPr>
                <w:rFonts w:ascii="Times New Roman" w:hAnsi="Times New Roman" w:cs="Times New Roman"/>
                <w:sz w:val="22"/>
                <w:szCs w:val="22"/>
                <w:lang w:val="en-US"/>
              </w:rPr>
            </w:pPr>
            <w:r w:rsidRPr="00FD0A1D">
              <w:rPr>
                <w:rFonts w:ascii="Times New Roman" w:hAnsi="Times New Roman" w:cs="Times New Roman"/>
                <w:sz w:val="22"/>
                <w:szCs w:val="22"/>
                <w:lang w:val="en-US"/>
              </w:rPr>
              <w:t>Mutual funds</w:t>
            </w:r>
          </w:p>
        </w:tc>
        <w:tc>
          <w:tcPr>
            <w:tcW w:w="2250" w:type="dxa"/>
            <w:vAlign w:val="center"/>
          </w:tcPr>
          <w:p w:rsidR="0052604F" w:rsidRPr="00FD0A1D" w:rsidP="00A526C3" w14:paraId="2E97A12D" w14:textId="5D8149F3">
            <w:pPr>
              <w:spacing w:after="240"/>
              <w:jc w:val="center"/>
              <w:rPr>
                <w:rFonts w:ascii="Times New Roman" w:hAnsi="Times New Roman" w:cs="Times New Roman"/>
                <w:sz w:val="22"/>
                <w:szCs w:val="22"/>
                <w:lang w:val="en-US"/>
              </w:rPr>
            </w:pPr>
            <w:r w:rsidRPr="00FD0A1D">
              <w:rPr>
                <w:rFonts w:ascii="Times New Roman" w:hAnsi="Times New Roman" w:cs="Times New Roman"/>
                <w:sz w:val="22"/>
                <w:szCs w:val="22"/>
                <w:lang w:val="en-US"/>
              </w:rPr>
              <w:t>1,400</w:t>
            </w:r>
            <w:r w:rsidRPr="00E91F83" w:rsidR="000F115D">
              <w:rPr>
                <w:sz w:val="22"/>
                <w:szCs w:val="22"/>
                <w:vertAlign w:val="superscript"/>
              </w:rPr>
              <w:t>a</w:t>
            </w:r>
          </w:p>
        </w:tc>
        <w:tc>
          <w:tcPr>
            <w:tcW w:w="2735" w:type="dxa"/>
            <w:vAlign w:val="center"/>
          </w:tcPr>
          <w:p w:rsidR="0052604F" w:rsidRPr="00FD0A1D" w:rsidP="00A526C3" w14:paraId="0A0F17E4" w14:textId="7B3E9998">
            <w:pPr>
              <w:spacing w:after="240"/>
              <w:jc w:val="center"/>
              <w:rPr>
                <w:rFonts w:ascii="Times New Roman" w:hAnsi="Times New Roman" w:cs="Times New Roman"/>
                <w:sz w:val="22"/>
                <w:szCs w:val="22"/>
                <w:vertAlign w:val="superscript"/>
                <w:lang w:val="en-US"/>
              </w:rPr>
            </w:pPr>
            <w:r w:rsidRPr="00FD0A1D">
              <w:rPr>
                <w:rFonts w:ascii="Times New Roman" w:hAnsi="Times New Roman" w:cs="Times New Roman"/>
                <w:sz w:val="22"/>
                <w:szCs w:val="22"/>
                <w:lang w:val="en-US"/>
              </w:rPr>
              <w:t>16,150,000</w:t>
            </w:r>
            <w:r w:rsidRPr="00E91F83" w:rsidR="000F115D">
              <w:rPr>
                <w:sz w:val="22"/>
                <w:szCs w:val="22"/>
                <w:vertAlign w:val="superscript"/>
              </w:rPr>
              <w:t>b</w:t>
            </w:r>
          </w:p>
        </w:tc>
      </w:tr>
      <w:tr w14:paraId="6881ED47" w14:textId="77777777" w:rsidTr="00A526C3">
        <w:tblPrEx>
          <w:tblW w:w="0" w:type="auto"/>
          <w:tblLook w:val="04A0"/>
        </w:tblPrEx>
        <w:trPr>
          <w:trHeight w:val="516"/>
        </w:trPr>
        <w:tc>
          <w:tcPr>
            <w:tcW w:w="3415" w:type="dxa"/>
            <w:tcBorders>
              <w:bottom w:val="single" w:sz="4" w:space="0" w:color="auto"/>
            </w:tcBorders>
            <w:vAlign w:val="center"/>
          </w:tcPr>
          <w:p w:rsidR="0052604F" w:rsidRPr="00FD0A1D" w:rsidP="00A526C3" w14:paraId="48BE85B2" w14:textId="77777777">
            <w:pPr>
              <w:spacing w:after="240"/>
              <w:rPr>
                <w:rFonts w:ascii="Times New Roman" w:hAnsi="Times New Roman" w:cs="Times New Roman"/>
                <w:b/>
                <w:bCs/>
                <w:sz w:val="22"/>
                <w:szCs w:val="22"/>
                <w:lang w:val="en-US"/>
              </w:rPr>
            </w:pPr>
            <w:r w:rsidRPr="00FD0A1D">
              <w:rPr>
                <w:rFonts w:ascii="Times New Roman" w:hAnsi="Times New Roman" w:cs="Times New Roman"/>
                <w:b/>
                <w:bCs/>
                <w:sz w:val="22"/>
                <w:szCs w:val="22"/>
                <w:lang w:val="en-US"/>
              </w:rPr>
              <w:t>Total</w:t>
            </w:r>
          </w:p>
        </w:tc>
        <w:tc>
          <w:tcPr>
            <w:tcW w:w="2250" w:type="dxa"/>
            <w:tcBorders>
              <w:bottom w:val="single" w:sz="4" w:space="0" w:color="auto"/>
            </w:tcBorders>
            <w:vAlign w:val="center"/>
          </w:tcPr>
          <w:p w:rsidR="0052604F" w:rsidRPr="00FD0A1D" w:rsidP="00A526C3" w14:paraId="501BD841" w14:textId="336B85D0">
            <w:pPr>
              <w:spacing w:after="240"/>
              <w:jc w:val="center"/>
              <w:rPr>
                <w:rFonts w:ascii="Times New Roman" w:hAnsi="Times New Roman" w:cs="Times New Roman"/>
                <w:b/>
                <w:bCs/>
                <w:sz w:val="22"/>
                <w:szCs w:val="22"/>
                <w:lang w:val="en-US"/>
              </w:rPr>
            </w:pPr>
            <w:r w:rsidRPr="00FD0A1D">
              <w:rPr>
                <w:rFonts w:ascii="Times New Roman" w:hAnsi="Times New Roman" w:cs="Times New Roman"/>
                <w:b/>
                <w:bCs/>
                <w:sz w:val="22"/>
                <w:szCs w:val="22"/>
                <w:lang w:val="en-US"/>
              </w:rPr>
              <w:t>1</w:t>
            </w:r>
            <w:r>
              <w:rPr>
                <w:rFonts w:ascii="Times New Roman" w:hAnsi="Times New Roman" w:cs="Times New Roman"/>
                <w:b/>
                <w:bCs/>
                <w:sz w:val="22"/>
                <w:szCs w:val="22"/>
                <w:lang w:val="en-US"/>
              </w:rPr>
              <w:t>,400</w:t>
            </w:r>
          </w:p>
        </w:tc>
        <w:tc>
          <w:tcPr>
            <w:tcW w:w="2735" w:type="dxa"/>
            <w:tcBorders>
              <w:bottom w:val="single" w:sz="4" w:space="0" w:color="auto"/>
            </w:tcBorders>
            <w:vAlign w:val="center"/>
          </w:tcPr>
          <w:p w:rsidR="0052604F" w:rsidRPr="00FD0A1D" w:rsidP="00A526C3" w14:paraId="57440BB4" w14:textId="6196ECA3">
            <w:pPr>
              <w:spacing w:after="24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16,150,00</w:t>
            </w:r>
            <w:r w:rsidR="000F115D">
              <w:rPr>
                <w:rFonts w:ascii="Times New Roman" w:hAnsi="Times New Roman" w:cs="Times New Roman"/>
                <w:b/>
                <w:bCs/>
                <w:sz w:val="22"/>
                <w:szCs w:val="22"/>
                <w:lang w:val="en-US"/>
              </w:rPr>
              <w:t>0</w:t>
            </w:r>
          </w:p>
        </w:tc>
      </w:tr>
      <w:tr w14:paraId="35DE1A4F" w14:textId="77777777" w:rsidTr="00FA17FD">
        <w:tblPrEx>
          <w:tblW w:w="0" w:type="auto"/>
          <w:tblLook w:val="04A0"/>
        </w:tblPrEx>
        <w:trPr>
          <w:trHeight w:val="516"/>
        </w:trPr>
        <w:tc>
          <w:tcPr>
            <w:tcW w:w="8400" w:type="dxa"/>
            <w:gridSpan w:val="3"/>
            <w:tcBorders>
              <w:top w:val="nil"/>
              <w:left w:val="nil"/>
              <w:bottom w:val="nil"/>
              <w:right w:val="nil"/>
            </w:tcBorders>
            <w:vAlign w:val="center"/>
          </w:tcPr>
          <w:p w:rsidR="0052604F" w:rsidRPr="006F5C86" w:rsidP="00A526C3" w14:paraId="66145A6E" w14:textId="4DE4018C">
            <w:pPr>
              <w:spacing w:before="120" w:after="120"/>
              <w:rPr>
                <w:rFonts w:ascii="Times New Roman" w:hAnsi="Times New Roman" w:cs="Times New Roman"/>
                <w:sz w:val="18"/>
                <w:szCs w:val="18"/>
                <w:lang w:val="en-US"/>
              </w:rPr>
            </w:pPr>
            <w:r w:rsidRPr="00E91F83">
              <w:rPr>
                <w:sz w:val="18"/>
                <w:szCs w:val="18"/>
                <w:vertAlign w:val="superscript"/>
              </w:rPr>
              <w:t>a</w:t>
            </w:r>
            <w:r w:rsidRPr="006F5C86">
              <w:rPr>
                <w:rFonts w:ascii="Times New Roman" w:hAnsi="Times New Roman" w:cs="Times New Roman"/>
                <w:sz w:val="18"/>
                <w:szCs w:val="18"/>
                <w:lang w:val="en-US"/>
              </w:rPr>
              <w:t xml:space="preserve"> This estimate is based on the number of active mutual funds as of year-end 2023, which is based on Form N-CEN filings received by the</w:t>
            </w:r>
            <w:r w:rsidR="000C0C9D">
              <w:rPr>
                <w:rFonts w:ascii="Times New Roman" w:hAnsi="Times New Roman" w:cs="Times New Roman"/>
                <w:sz w:val="18"/>
                <w:szCs w:val="18"/>
                <w:lang w:val="en-US"/>
              </w:rPr>
              <w:t xml:space="preserve"> Securities and Exchange Commission</w:t>
            </w:r>
            <w:r w:rsidRPr="006F5C86">
              <w:rPr>
                <w:rFonts w:ascii="Times New Roman" w:hAnsi="Times New Roman" w:cs="Times New Roman"/>
                <w:sz w:val="18"/>
                <w:szCs w:val="18"/>
                <w:lang w:val="en-US"/>
              </w:rPr>
              <w:t xml:space="preserve"> </w:t>
            </w:r>
            <w:r w:rsidR="000C0C9D">
              <w:rPr>
                <w:rFonts w:ascii="Times New Roman" w:hAnsi="Times New Roman" w:cs="Times New Roman"/>
                <w:sz w:val="18"/>
                <w:szCs w:val="18"/>
                <w:lang w:val="en-US"/>
              </w:rPr>
              <w:t>(</w:t>
            </w:r>
            <w:r w:rsidRPr="006F5C86">
              <w:rPr>
                <w:rFonts w:ascii="Times New Roman" w:hAnsi="Times New Roman" w:cs="Times New Roman"/>
                <w:sz w:val="18"/>
                <w:szCs w:val="18"/>
                <w:lang w:val="en-US"/>
              </w:rPr>
              <w:t>SEC</w:t>
            </w:r>
            <w:r w:rsidR="000C0C9D">
              <w:rPr>
                <w:rFonts w:ascii="Times New Roman" w:hAnsi="Times New Roman" w:cs="Times New Roman"/>
                <w:sz w:val="18"/>
                <w:szCs w:val="18"/>
                <w:lang w:val="en-US"/>
              </w:rPr>
              <w:t>)</w:t>
            </w:r>
            <w:r w:rsidRPr="006F5C86">
              <w:rPr>
                <w:rFonts w:ascii="Times New Roman" w:hAnsi="Times New Roman" w:cs="Times New Roman"/>
                <w:sz w:val="18"/>
                <w:szCs w:val="18"/>
                <w:lang w:val="en-US"/>
              </w:rPr>
              <w:t xml:space="preserve"> through January 20, 2023, as represented by data downloaded from SEC Open Data.  SEC, Open Data, </w:t>
            </w:r>
            <w:r w:rsidRPr="006F5C86">
              <w:rPr>
                <w:rFonts w:ascii="Times New Roman" w:hAnsi="Times New Roman" w:cs="Times New Roman"/>
                <w:i/>
                <w:iCs/>
                <w:sz w:val="18"/>
                <w:szCs w:val="18"/>
                <w:lang w:val="en-US"/>
              </w:rPr>
              <w:t>available at</w:t>
            </w:r>
            <w:r w:rsidRPr="006F5C86">
              <w:rPr>
                <w:rFonts w:ascii="Times New Roman" w:hAnsi="Times New Roman" w:cs="Times New Roman"/>
                <w:sz w:val="18"/>
                <w:szCs w:val="18"/>
                <w:lang w:val="en-US"/>
              </w:rPr>
              <w:t xml:space="preserve"> </w:t>
            </w:r>
            <w:hyperlink r:id="rId9" w:history="1">
              <w:r w:rsidRPr="006F5C86">
                <w:rPr>
                  <w:rStyle w:val="Hyperlink"/>
                  <w:rFonts w:ascii="Times New Roman" w:hAnsi="Times New Roman" w:cs="Times New Roman"/>
                  <w:sz w:val="18"/>
                  <w:szCs w:val="18"/>
                  <w:lang w:val="en-US"/>
                </w:rPr>
                <w:t>https://www.sec.gov/dera/data/form-ncen-data-sets</w:t>
              </w:r>
            </w:hyperlink>
            <w:r w:rsidRPr="006F5C86">
              <w:rPr>
                <w:rFonts w:ascii="Times New Roman" w:hAnsi="Times New Roman" w:cs="Times New Roman"/>
                <w:sz w:val="18"/>
                <w:szCs w:val="18"/>
                <w:lang w:val="en-US"/>
              </w:rPr>
              <w:t xml:space="preserve"> (accessed Feb. 29, 2024). </w:t>
            </w:r>
          </w:p>
        </w:tc>
      </w:tr>
      <w:tr w14:paraId="2D9566C5" w14:textId="77777777" w:rsidTr="00FA17FD">
        <w:tblPrEx>
          <w:tblW w:w="0" w:type="auto"/>
          <w:tblLook w:val="04A0"/>
        </w:tblPrEx>
        <w:trPr>
          <w:trHeight w:val="516"/>
        </w:trPr>
        <w:tc>
          <w:tcPr>
            <w:tcW w:w="8400" w:type="dxa"/>
            <w:gridSpan w:val="3"/>
            <w:tcBorders>
              <w:top w:val="nil"/>
              <w:left w:val="nil"/>
              <w:bottom w:val="nil"/>
              <w:right w:val="nil"/>
            </w:tcBorders>
            <w:vAlign w:val="center"/>
          </w:tcPr>
          <w:p w:rsidR="0052604F" w:rsidRPr="006F5C86" w:rsidP="00A526C3" w14:paraId="2F60BF3D" w14:textId="445BE6D3">
            <w:pPr>
              <w:spacing w:after="240"/>
              <w:rPr>
                <w:rFonts w:ascii="Times New Roman" w:eastAsia="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vertAlign w:val="superscript"/>
                <w:lang w:val="en-US"/>
              </w:rPr>
              <w:t>b</w:t>
            </w:r>
            <w:r w:rsidRPr="006F5C86">
              <w:rPr>
                <w:rFonts w:ascii="Times New Roman" w:hAnsi="Times New Roman" w:cs="Times New Roman"/>
                <w:color w:val="000000" w:themeColor="text1"/>
                <w:sz w:val="18"/>
                <w:szCs w:val="18"/>
                <w:vertAlign w:val="superscript"/>
                <w:lang w:val="en-US"/>
              </w:rPr>
              <w:t xml:space="preserve"> </w:t>
            </w:r>
            <w:r w:rsidRPr="006F5C86">
              <w:rPr>
                <w:rFonts w:ascii="Times New Roman" w:eastAsia="Times New Roman" w:hAnsi="Times New Roman" w:cs="Times New Roman"/>
                <w:color w:val="000000" w:themeColor="text1"/>
                <w:sz w:val="18"/>
                <w:szCs w:val="18"/>
                <w:lang w:val="en-US"/>
              </w:rPr>
              <w:t xml:space="preserve">This estimate was derived, in consultation with SEC staff, using publicly available information from the Investment Company Institute (ICI) Fact </w:t>
            </w:r>
            <w:r w:rsidRPr="0033218F">
              <w:rPr>
                <w:rFonts w:ascii="Times New Roman" w:eastAsia="Times New Roman" w:hAnsi="Times New Roman" w:cs="Times New Roman"/>
                <w:color w:val="000000" w:themeColor="text1"/>
                <w:sz w:val="18"/>
                <w:szCs w:val="18"/>
                <w:lang w:val="en-US"/>
              </w:rPr>
              <w:t xml:space="preserve">Book </w:t>
            </w:r>
            <w:r w:rsidRPr="0033218F">
              <w:rPr>
                <w:rFonts w:ascii="Times New Roman" w:hAnsi="Times New Roman" w:cs="Times New Roman"/>
                <w:i/>
                <w:iCs/>
                <w:color w:val="000000" w:themeColor="text1"/>
                <w:sz w:val="18"/>
                <w:szCs w:val="18"/>
              </w:rPr>
              <w:t>available</w:t>
            </w:r>
            <w:r w:rsidRPr="00A526C3">
              <w:rPr>
                <w:i/>
                <w:iCs/>
                <w:color w:val="000000" w:themeColor="text1"/>
                <w:sz w:val="18"/>
                <w:szCs w:val="18"/>
              </w:rPr>
              <w:t xml:space="preserve"> at</w:t>
            </w:r>
            <w:r w:rsidRPr="006F5C86">
              <w:rPr>
                <w:rStyle w:val="apple-converted-space"/>
                <w:rFonts w:ascii="Times New Roman" w:eastAsia="Times New Roman" w:hAnsi="Times New Roman" w:cs="Times New Roman"/>
                <w:color w:val="000000" w:themeColor="text1"/>
                <w:sz w:val="18"/>
                <w:szCs w:val="18"/>
                <w:lang w:val="en-US"/>
              </w:rPr>
              <w:t> </w:t>
            </w:r>
            <w:hyperlink r:id="rId10" w:history="1">
              <w:r w:rsidRPr="00A526C3" w:rsidR="000C0C9D">
                <w:rPr>
                  <w:rStyle w:val="Hyperlink"/>
                  <w:sz w:val="18"/>
                  <w:szCs w:val="18"/>
                </w:rPr>
                <w:t>https://www.ici.org/fact-book</w:t>
              </w:r>
            </w:hyperlink>
            <w:r w:rsidRPr="006F5C86">
              <w:rPr>
                <w:rFonts w:ascii="Times New Roman" w:eastAsia="Times New Roman" w:hAnsi="Times New Roman" w:cs="Times New Roman"/>
                <w:color w:val="000000" w:themeColor="text1"/>
                <w:sz w:val="18"/>
                <w:szCs w:val="18"/>
                <w:lang w:val="en-US"/>
              </w:rPr>
              <w:t>).  FinCEN notes that this estimate of new accounts per year may be overinclusive because the ICI data utilized covers all U.S. registered funds, and not only mutual funds and exchange-traded funds.  Additionally, because this estimate reflects certain assumptions about the extent to which individuals who already invest in registered funds may open new accounts with different funds, it may approximate with greater imprecision the underlying number of unique new customers that are onboarded each year.</w:t>
            </w:r>
          </w:p>
        </w:tc>
      </w:tr>
    </w:tbl>
    <w:p w:rsidR="00BF180E" w:rsidP="00A526C3" w14:paraId="5B454888" w14:textId="77777777">
      <w:pPr>
        <w:spacing w:after="240"/>
        <w:rPr>
          <w:snapToGrid w:val="0"/>
        </w:rPr>
      </w:pPr>
      <w:r w:rsidRPr="00FA17FD">
        <w:rPr>
          <w:snapToGrid w:val="0"/>
          <w:u w:val="single"/>
        </w:rPr>
        <w:t>Estimated Total Burden Hours</w:t>
      </w:r>
      <w:r>
        <w:rPr>
          <w:snapToGrid w:val="0"/>
        </w:rPr>
        <w:t xml:space="preserve">:  </w:t>
      </w:r>
    </w:p>
    <w:p w:rsidR="00BF180E" w:rsidRPr="00421676" w:rsidP="00A526C3" w14:paraId="680B572B" w14:textId="225DC67F">
      <w:pPr>
        <w:spacing w:after="240"/>
        <w:ind w:firstLine="720"/>
        <w:rPr>
          <w:lang w:val="en-GB"/>
        </w:rPr>
      </w:pPr>
      <w:r w:rsidRPr="00421676">
        <w:rPr>
          <w:lang w:val="en-GB"/>
        </w:rPr>
        <w:t xml:space="preserve">For </w:t>
      </w:r>
      <w:r w:rsidRPr="0078774B">
        <w:rPr>
          <w:bCs/>
          <w:iCs/>
          <w:lang w:val="en-GB"/>
        </w:rPr>
        <w:t>all covered financial institutions</w:t>
      </w:r>
      <w:r>
        <w:rPr>
          <w:bCs/>
          <w:iCs/>
          <w:lang w:val="en-GB"/>
        </w:rPr>
        <w:t>,</w:t>
      </w:r>
      <w:r w:rsidRPr="00625B97">
        <w:rPr>
          <w:bCs/>
          <w:iCs/>
          <w:lang w:val="en-GB"/>
        </w:rPr>
        <w:t xml:space="preserve"> </w:t>
      </w:r>
      <w:r w:rsidRPr="00421676">
        <w:rPr>
          <w:lang w:val="en-GB"/>
        </w:rPr>
        <w:t xml:space="preserve">FinCEN continues estimating the </w:t>
      </w:r>
      <w:r>
        <w:rPr>
          <w:lang w:val="en-GB"/>
        </w:rPr>
        <w:t xml:space="preserve">incremental </w:t>
      </w:r>
      <w:r w:rsidRPr="00421676">
        <w:rPr>
          <w:lang w:val="en-GB"/>
        </w:rPr>
        <w:t xml:space="preserve">annual </w:t>
      </w:r>
      <w:r>
        <w:rPr>
          <w:lang w:val="en-GB"/>
        </w:rPr>
        <w:t xml:space="preserve">PRA recordkeeping </w:t>
      </w:r>
      <w:r w:rsidRPr="00421676">
        <w:rPr>
          <w:lang w:val="en-GB"/>
        </w:rPr>
        <w:t xml:space="preserve">burden </w:t>
      </w:r>
      <w:r>
        <w:rPr>
          <w:lang w:val="en-GB"/>
        </w:rPr>
        <w:t>associated with</w:t>
      </w:r>
      <w:r w:rsidRPr="00421676">
        <w:rPr>
          <w:lang w:val="en-GB"/>
        </w:rPr>
        <w:t xml:space="preserve"> maintaining and updating the CIP</w:t>
      </w:r>
      <w:r>
        <w:rPr>
          <w:lang w:val="en-GB"/>
        </w:rPr>
        <w:t xml:space="preserve"> (“maintenance”)</w:t>
      </w:r>
      <w:r w:rsidRPr="00421676">
        <w:rPr>
          <w:lang w:val="en-GB"/>
        </w:rPr>
        <w:t xml:space="preserve"> at ten hours per financial institution.  This estimate covers: (</w:t>
      </w:r>
      <w:r w:rsidR="00D558BD">
        <w:rPr>
          <w:lang w:val="en-GB"/>
        </w:rPr>
        <w:t>1</w:t>
      </w:r>
      <w:r w:rsidRPr="00421676">
        <w:rPr>
          <w:lang w:val="en-GB"/>
        </w:rPr>
        <w:t xml:space="preserve">) </w:t>
      </w:r>
      <w:r>
        <w:rPr>
          <w:lang w:val="en-GB"/>
        </w:rPr>
        <w:t xml:space="preserve">an average of approximately nine hours per financial institution per year associated with </w:t>
      </w:r>
      <w:r w:rsidRPr="00421676">
        <w:rPr>
          <w:lang w:val="en-GB"/>
        </w:rPr>
        <w:t xml:space="preserve">the burden of updating the </w:t>
      </w:r>
      <w:r>
        <w:rPr>
          <w:lang w:val="en-GB"/>
        </w:rPr>
        <w:t xml:space="preserve">records necessary to demonstrate compliance with </w:t>
      </w:r>
      <w:r w:rsidRPr="00421676">
        <w:rPr>
          <w:lang w:val="en-GB"/>
        </w:rPr>
        <w:t xml:space="preserve">CIP </w:t>
      </w:r>
      <w:r>
        <w:rPr>
          <w:lang w:val="en-GB"/>
        </w:rPr>
        <w:t xml:space="preserve">requirements </w:t>
      </w:r>
      <w:r w:rsidRPr="00421676">
        <w:rPr>
          <w:lang w:val="en-GB"/>
        </w:rPr>
        <w:t>to take into consideration any regulatory changes and any modifications required as a result of a financial institution making changes to the type of accounts maintained, the methods used to open accounts, and the types of documentary or non-documentary methods for verifying identifying information the financial institution intends to use; and (</w:t>
      </w:r>
      <w:r w:rsidR="00D558BD">
        <w:rPr>
          <w:lang w:val="en-GB"/>
        </w:rPr>
        <w:t>2</w:t>
      </w:r>
      <w:r w:rsidRPr="00421676">
        <w:rPr>
          <w:lang w:val="en-GB"/>
        </w:rPr>
        <w:t xml:space="preserve">) </w:t>
      </w:r>
      <w:r>
        <w:rPr>
          <w:lang w:val="en-GB"/>
        </w:rPr>
        <w:t xml:space="preserve">an average of approximately one hour </w:t>
      </w:r>
      <w:r>
        <w:rPr>
          <w:lang w:val="en-GB"/>
        </w:rPr>
        <w:t>per financial institution</w:t>
      </w:r>
      <w:r w:rsidRPr="00421676">
        <w:rPr>
          <w:lang w:val="en-GB"/>
        </w:rPr>
        <w:t xml:space="preserve"> </w:t>
      </w:r>
      <w:r>
        <w:rPr>
          <w:lang w:val="en-GB"/>
        </w:rPr>
        <w:t xml:space="preserve">associated with the burden of </w:t>
      </w:r>
      <w:r w:rsidRPr="00421676">
        <w:rPr>
          <w:lang w:val="en-GB"/>
        </w:rPr>
        <w:t xml:space="preserve">presenting the updated CIP to the appropriate level of management within the financial institution </w:t>
      </w:r>
      <w:r>
        <w:rPr>
          <w:lang w:val="en-GB"/>
        </w:rPr>
        <w:t>and obtaining</w:t>
      </w:r>
      <w:r w:rsidRPr="00421676">
        <w:rPr>
          <w:lang w:val="en-GB"/>
        </w:rPr>
        <w:t xml:space="preserve"> approval.</w:t>
      </w:r>
    </w:p>
    <w:p w:rsidR="00BF180E" w:rsidRPr="00625B97" w:rsidP="0010663B" w14:paraId="4B2AE316" w14:textId="6EBCA5FB">
      <w:pPr>
        <w:spacing w:after="240"/>
        <w:ind w:firstLine="720"/>
        <w:rPr>
          <w:lang w:val="en-GB"/>
        </w:rPr>
      </w:pPr>
      <w:r w:rsidRPr="00625B97">
        <w:rPr>
          <w:lang w:val="en-GB"/>
        </w:rPr>
        <w:t xml:space="preserve">In addition, FinCEN continues estimating the </w:t>
      </w:r>
      <w:r>
        <w:rPr>
          <w:lang w:val="en-GB"/>
        </w:rPr>
        <w:t xml:space="preserve">incremental </w:t>
      </w:r>
      <w:r w:rsidRPr="00625B97">
        <w:rPr>
          <w:lang w:val="en-GB"/>
        </w:rPr>
        <w:t>annual</w:t>
      </w:r>
      <w:r>
        <w:rPr>
          <w:lang w:val="en-GB"/>
        </w:rPr>
        <w:t xml:space="preserve"> PRA recordkeeping </w:t>
      </w:r>
      <w:r w:rsidRPr="00625B97">
        <w:rPr>
          <w:lang w:val="en-GB"/>
        </w:rPr>
        <w:t xml:space="preserve">burden </w:t>
      </w:r>
      <w:r>
        <w:rPr>
          <w:lang w:val="en-GB"/>
        </w:rPr>
        <w:t xml:space="preserve">associated with </w:t>
      </w:r>
      <w:r w:rsidRPr="00625B97">
        <w:rPr>
          <w:lang w:val="en-GB"/>
        </w:rPr>
        <w:t xml:space="preserve">providing customers with notification of the CIP </w:t>
      </w:r>
      <w:r>
        <w:rPr>
          <w:lang w:val="en-GB"/>
        </w:rPr>
        <w:t xml:space="preserve">(“notification”) </w:t>
      </w:r>
      <w:r w:rsidRPr="00625B97">
        <w:rPr>
          <w:lang w:val="en-GB"/>
        </w:rPr>
        <w:t>at one hour per financial institution.</w:t>
      </w:r>
    </w:p>
    <w:p w:rsidR="00BF180E" w:rsidRPr="00360D25" w:rsidP="0010663B" w14:paraId="0FAE3ED7" w14:textId="0294BA7A">
      <w:pPr>
        <w:spacing w:after="240"/>
        <w:ind w:firstLine="720"/>
        <w:rPr>
          <w:lang w:val="en-GB"/>
        </w:rPr>
      </w:pPr>
      <w:r>
        <w:rPr>
          <w:lang w:val="en-GB"/>
        </w:rPr>
        <w:t xml:space="preserve">As noted above, </w:t>
      </w:r>
      <w:r w:rsidRPr="00625B97">
        <w:rPr>
          <w:lang w:val="en-GB"/>
        </w:rPr>
        <w:t>FinCEN</w:t>
      </w:r>
      <w:r>
        <w:rPr>
          <w:lang w:val="en-GB"/>
        </w:rPr>
        <w:t xml:space="preserve"> is revising its estimate of</w:t>
      </w:r>
      <w:r w:rsidRPr="00625B97">
        <w:rPr>
          <w:lang w:val="en-GB"/>
        </w:rPr>
        <w:t xml:space="preserve"> the </w:t>
      </w:r>
      <w:r w:rsidRPr="003568B1">
        <w:rPr>
          <w:lang w:val="en-GB"/>
        </w:rPr>
        <w:t>incremental annual PRA recordkeeping burden associated with obtaining and verifying a customer’s identity (e.</w:t>
      </w:r>
      <w:r w:rsidR="000C0C9D">
        <w:rPr>
          <w:lang w:val="en-GB"/>
        </w:rPr>
        <w:t>g.</w:t>
      </w:r>
      <w:r w:rsidRPr="003568B1">
        <w:rPr>
          <w:lang w:val="en-GB"/>
        </w:rPr>
        <w:t>, verification and</w:t>
      </w:r>
      <w:r w:rsidRPr="00625B97">
        <w:rPr>
          <w:lang w:val="en-GB"/>
        </w:rPr>
        <w:t xml:space="preserve"> recordkeeping requirements, and consulting government lists) </w:t>
      </w:r>
      <w:r>
        <w:rPr>
          <w:lang w:val="en-GB"/>
        </w:rPr>
        <w:t xml:space="preserve">(“implementation”) </w:t>
      </w:r>
      <w:r w:rsidR="00CC1E81">
        <w:rPr>
          <w:lang w:val="en-GB"/>
        </w:rPr>
        <w:t>to three</w:t>
      </w:r>
      <w:r w:rsidRPr="00625B97">
        <w:rPr>
          <w:lang w:val="en-GB"/>
        </w:rPr>
        <w:t xml:space="preserve"> minutes per new account opened.</w:t>
      </w:r>
    </w:p>
    <w:p w:rsidR="00BF180E" w:rsidRPr="00360D25" w:rsidP="0010663B" w14:paraId="45BF0A77" w14:textId="5B227EFA">
      <w:pPr>
        <w:spacing w:after="240"/>
        <w:ind w:firstLine="720"/>
        <w:rPr>
          <w:lang w:val="en-GB"/>
        </w:rPr>
      </w:pPr>
      <w:r>
        <w:rPr>
          <w:lang w:val="en-GB"/>
        </w:rPr>
        <w:t xml:space="preserve">Under these assumptions, </w:t>
      </w:r>
      <w:r w:rsidRPr="008721E7" w:rsidR="000410E9">
        <w:rPr>
          <w:lang w:val="en-GB"/>
        </w:rPr>
        <w:t xml:space="preserve">FinCEN’s estimate of the annual incremental PRA burden is </w:t>
      </w:r>
      <w:r w:rsidR="00EA3FAF">
        <w:rPr>
          <w:lang w:val="en-GB"/>
        </w:rPr>
        <w:t>822,900</w:t>
      </w:r>
      <w:r w:rsidRPr="008721E7" w:rsidR="000410E9">
        <w:rPr>
          <w:lang w:val="en-GB"/>
        </w:rPr>
        <w:t xml:space="preserve"> hours, as detailed in Tables 2 and 3.</w:t>
      </w:r>
      <w:r>
        <w:rPr>
          <w:rStyle w:val="FootnoteReference"/>
          <w:lang w:val="en-GB"/>
        </w:rPr>
        <w:footnoteReference w:id="15"/>
      </w:r>
      <w:r w:rsidR="000410E9">
        <w:rPr>
          <w:lang w:val="en-GB"/>
        </w:rPr>
        <w:t xml:space="preserve"> </w:t>
      </w:r>
    </w:p>
    <w:p w:rsidR="001D1BD6" w:rsidRPr="0078774B" w:rsidP="0010663B" w14:paraId="4AC20039" w14:textId="77777777">
      <w:pPr>
        <w:spacing w:after="240"/>
        <w:rPr>
          <w:b/>
          <w:sz w:val="22"/>
          <w:szCs w:val="22"/>
        </w:rPr>
      </w:pPr>
      <w:r w:rsidRPr="0078774B">
        <w:rPr>
          <w:b/>
          <w:sz w:val="22"/>
          <w:szCs w:val="22"/>
        </w:rPr>
        <w:t xml:space="preserve">Table 2 – </w:t>
      </w:r>
      <w:r>
        <w:rPr>
          <w:b/>
          <w:sz w:val="22"/>
          <w:szCs w:val="22"/>
        </w:rPr>
        <w:t>Incremental annual</w:t>
      </w:r>
      <w:r w:rsidRPr="0078774B">
        <w:rPr>
          <w:b/>
          <w:sz w:val="22"/>
          <w:szCs w:val="22"/>
        </w:rPr>
        <w:t xml:space="preserve"> burden associated with </w:t>
      </w:r>
      <w:r>
        <w:rPr>
          <w:b/>
          <w:sz w:val="22"/>
          <w:szCs w:val="22"/>
        </w:rPr>
        <w:t xml:space="preserve">updating and </w:t>
      </w:r>
      <w:r w:rsidRPr="0078774B">
        <w:rPr>
          <w:b/>
          <w:sz w:val="22"/>
          <w:szCs w:val="22"/>
        </w:rPr>
        <w:t>maintaining the CIP and customer notification for all covered financial institutions</w:t>
      </w:r>
    </w:p>
    <w:tbl>
      <w:tblPr>
        <w:tblStyle w:val="TableGrid"/>
        <w:tblW w:w="9630" w:type="dxa"/>
        <w:tblInd w:w="-455" w:type="dxa"/>
        <w:tblLook w:val="04A0"/>
      </w:tblPr>
      <w:tblGrid>
        <w:gridCol w:w="1353"/>
        <w:gridCol w:w="1408"/>
        <w:gridCol w:w="1439"/>
        <w:gridCol w:w="1329"/>
        <w:gridCol w:w="1550"/>
        <w:gridCol w:w="1373"/>
        <w:gridCol w:w="1178"/>
      </w:tblGrid>
      <w:tr w14:paraId="0F16819E" w14:textId="77777777" w:rsidTr="0010663B">
        <w:tblPrEx>
          <w:tblW w:w="9630" w:type="dxa"/>
          <w:tblInd w:w="-455" w:type="dxa"/>
          <w:tblLook w:val="04A0"/>
        </w:tblPrEx>
        <w:tc>
          <w:tcPr>
            <w:tcW w:w="1353" w:type="dxa"/>
            <w:vMerge w:val="restart"/>
            <w:vAlign w:val="center"/>
          </w:tcPr>
          <w:p w:rsidR="001D1BD6" w:rsidRPr="00B83487" w:rsidP="0010663B" w14:paraId="0F8F77CE" w14:textId="77777777">
            <w:pPr>
              <w:spacing w:after="240"/>
              <w:rPr>
                <w:rFonts w:ascii="Times New Roman" w:hAnsi="Times New Roman" w:cs="Times New Roman"/>
                <w:b/>
                <w:sz w:val="22"/>
                <w:szCs w:val="22"/>
                <w:lang w:val="en-US"/>
              </w:rPr>
            </w:pPr>
            <w:r w:rsidRPr="00B83487">
              <w:rPr>
                <w:rFonts w:ascii="Times New Roman" w:hAnsi="Times New Roman" w:cs="Times New Roman"/>
                <w:b/>
                <w:sz w:val="22"/>
                <w:szCs w:val="22"/>
                <w:lang w:val="en-US"/>
              </w:rPr>
              <w:t>Type of financial institution</w:t>
            </w:r>
          </w:p>
        </w:tc>
        <w:tc>
          <w:tcPr>
            <w:tcW w:w="1408" w:type="dxa"/>
            <w:vAlign w:val="center"/>
          </w:tcPr>
          <w:p w:rsidR="001D1BD6" w:rsidRPr="00B83487" w:rsidP="0010663B" w14:paraId="0DF3DF4C" w14:textId="77777777">
            <w:pPr>
              <w:spacing w:after="240"/>
              <w:jc w:val="center"/>
              <w:rPr>
                <w:rFonts w:ascii="Times New Roman" w:hAnsi="Times New Roman" w:cs="Times New Roman"/>
                <w:b/>
                <w:sz w:val="22"/>
                <w:szCs w:val="22"/>
                <w:lang w:val="en-US"/>
              </w:rPr>
            </w:pPr>
            <w:r w:rsidRPr="00B83487">
              <w:rPr>
                <w:rFonts w:ascii="Times New Roman" w:hAnsi="Times New Roman" w:cs="Times New Roman"/>
                <w:b/>
                <w:sz w:val="22"/>
                <w:szCs w:val="22"/>
                <w:lang w:val="en-US"/>
              </w:rPr>
              <w:t>Number of financial institutions</w:t>
            </w:r>
            <w:r>
              <w:rPr>
                <w:rStyle w:val="FootnoteReference"/>
                <w:rFonts w:ascii="Times New Roman" w:hAnsi="Times New Roman" w:cs="Times New Roman"/>
                <w:b/>
                <w:sz w:val="22"/>
                <w:szCs w:val="22"/>
                <w:lang w:val="en-US"/>
              </w:rPr>
              <w:footnoteReference w:id="16"/>
            </w:r>
          </w:p>
        </w:tc>
        <w:tc>
          <w:tcPr>
            <w:tcW w:w="2768" w:type="dxa"/>
            <w:gridSpan w:val="2"/>
            <w:vAlign w:val="center"/>
          </w:tcPr>
          <w:p w:rsidR="001D1BD6" w:rsidRPr="00B83487" w:rsidP="0010663B" w14:paraId="5FCA28B2" w14:textId="77777777">
            <w:pPr>
              <w:spacing w:after="240"/>
              <w:jc w:val="center"/>
              <w:rPr>
                <w:rFonts w:ascii="Times New Roman" w:hAnsi="Times New Roman" w:cs="Times New Roman"/>
                <w:b/>
                <w:sz w:val="22"/>
                <w:szCs w:val="22"/>
                <w:lang w:val="en-US"/>
              </w:rPr>
            </w:pPr>
            <w:r w:rsidRPr="00B83487">
              <w:rPr>
                <w:rFonts w:ascii="Times New Roman" w:hAnsi="Times New Roman" w:cs="Times New Roman"/>
                <w:b/>
                <w:sz w:val="22"/>
                <w:szCs w:val="22"/>
                <w:lang w:val="en-US"/>
              </w:rPr>
              <w:t>Time per financial institution</w:t>
            </w:r>
          </w:p>
        </w:tc>
        <w:tc>
          <w:tcPr>
            <w:tcW w:w="2923" w:type="dxa"/>
            <w:gridSpan w:val="2"/>
            <w:vAlign w:val="center"/>
          </w:tcPr>
          <w:p w:rsidR="001D1BD6" w:rsidRPr="00B83487" w:rsidP="0010663B" w14:paraId="69881671" w14:textId="572E18EA">
            <w:pPr>
              <w:spacing w:after="240"/>
              <w:jc w:val="center"/>
              <w:rPr>
                <w:rFonts w:ascii="Times New Roman" w:hAnsi="Times New Roman" w:cs="Times New Roman"/>
                <w:b/>
                <w:sz w:val="22"/>
                <w:szCs w:val="22"/>
                <w:lang w:val="en-US"/>
              </w:rPr>
            </w:pPr>
            <w:r w:rsidRPr="00B83487">
              <w:rPr>
                <w:rFonts w:ascii="Times New Roman" w:hAnsi="Times New Roman" w:cs="Times New Roman"/>
                <w:b/>
                <w:sz w:val="22"/>
                <w:szCs w:val="22"/>
                <w:lang w:val="en-US"/>
              </w:rPr>
              <w:t>Burden hours per step</w:t>
            </w:r>
          </w:p>
        </w:tc>
        <w:tc>
          <w:tcPr>
            <w:tcW w:w="1178" w:type="dxa"/>
            <w:vAlign w:val="center"/>
          </w:tcPr>
          <w:p w:rsidR="001D1BD6" w:rsidRPr="00B83487" w:rsidP="0010663B" w14:paraId="24D1EED4" w14:textId="77777777">
            <w:pPr>
              <w:spacing w:after="240"/>
              <w:jc w:val="center"/>
              <w:rPr>
                <w:rFonts w:ascii="Times New Roman" w:hAnsi="Times New Roman" w:cs="Times New Roman"/>
                <w:b/>
                <w:sz w:val="22"/>
                <w:szCs w:val="22"/>
                <w:lang w:val="en-US"/>
              </w:rPr>
            </w:pPr>
            <w:r w:rsidRPr="00B83487">
              <w:rPr>
                <w:rFonts w:ascii="Times New Roman" w:hAnsi="Times New Roman" w:cs="Times New Roman"/>
                <w:b/>
                <w:sz w:val="22"/>
                <w:szCs w:val="22"/>
                <w:lang w:val="en-US"/>
              </w:rPr>
              <w:t>Total burden hours</w:t>
            </w:r>
          </w:p>
          <w:p w:rsidR="001D1BD6" w:rsidRPr="00B83487" w:rsidP="0010663B" w14:paraId="24C40592" w14:textId="77777777">
            <w:pPr>
              <w:spacing w:after="240"/>
              <w:jc w:val="center"/>
              <w:rPr>
                <w:rFonts w:ascii="Times New Roman" w:hAnsi="Times New Roman" w:cs="Times New Roman"/>
                <w:b/>
                <w:sz w:val="22"/>
                <w:szCs w:val="22"/>
                <w:lang w:val="en-US"/>
              </w:rPr>
            </w:pPr>
          </w:p>
        </w:tc>
      </w:tr>
      <w:tr w14:paraId="36070484" w14:textId="77777777" w:rsidTr="0010663B">
        <w:tblPrEx>
          <w:tblW w:w="9630" w:type="dxa"/>
          <w:tblInd w:w="-455" w:type="dxa"/>
          <w:tblLook w:val="04A0"/>
        </w:tblPrEx>
        <w:tc>
          <w:tcPr>
            <w:tcW w:w="1353" w:type="dxa"/>
            <w:vMerge/>
            <w:vAlign w:val="center"/>
          </w:tcPr>
          <w:p w:rsidR="001D1BD6" w:rsidRPr="00B83487" w:rsidP="0010663B" w14:paraId="6D773A20" w14:textId="77777777">
            <w:pPr>
              <w:spacing w:after="240"/>
              <w:rPr>
                <w:rFonts w:ascii="Times New Roman" w:hAnsi="Times New Roman" w:cs="Times New Roman"/>
                <w:sz w:val="22"/>
                <w:szCs w:val="22"/>
                <w:lang w:val="en-US"/>
              </w:rPr>
            </w:pPr>
          </w:p>
        </w:tc>
        <w:tc>
          <w:tcPr>
            <w:tcW w:w="1408" w:type="dxa"/>
            <w:vAlign w:val="center"/>
          </w:tcPr>
          <w:p w:rsidR="001D1BD6" w:rsidRPr="00B83487" w:rsidP="0010663B" w14:paraId="11FDD284" w14:textId="77777777">
            <w:pPr>
              <w:spacing w:after="240"/>
              <w:rPr>
                <w:rFonts w:ascii="Times New Roman" w:hAnsi="Times New Roman" w:cs="Times New Roman"/>
                <w:b/>
                <w:bCs/>
                <w:sz w:val="22"/>
                <w:szCs w:val="22"/>
                <w:lang w:val="en-US"/>
              </w:rPr>
            </w:pPr>
          </w:p>
        </w:tc>
        <w:tc>
          <w:tcPr>
            <w:tcW w:w="1439" w:type="dxa"/>
            <w:vAlign w:val="center"/>
          </w:tcPr>
          <w:p w:rsidR="001D1BD6" w:rsidRPr="00B83487" w:rsidP="0010663B" w14:paraId="5181D337" w14:textId="77777777">
            <w:pPr>
              <w:spacing w:after="240"/>
              <w:jc w:val="center"/>
              <w:rPr>
                <w:rFonts w:ascii="Times New Roman" w:hAnsi="Times New Roman" w:cs="Times New Roman"/>
                <w:b/>
                <w:bCs/>
                <w:sz w:val="22"/>
                <w:szCs w:val="22"/>
                <w:lang w:val="en-US"/>
              </w:rPr>
            </w:pPr>
            <w:r w:rsidRPr="00B83487">
              <w:rPr>
                <w:rFonts w:ascii="Times New Roman" w:hAnsi="Times New Roman" w:cs="Times New Roman"/>
                <w:b/>
                <w:bCs/>
                <w:sz w:val="22"/>
                <w:szCs w:val="22"/>
                <w:lang w:val="en-US"/>
              </w:rPr>
              <w:t>Maintenance</w:t>
            </w:r>
          </w:p>
        </w:tc>
        <w:tc>
          <w:tcPr>
            <w:tcW w:w="1329" w:type="dxa"/>
            <w:vAlign w:val="center"/>
          </w:tcPr>
          <w:p w:rsidR="001D1BD6" w:rsidRPr="00B83487" w:rsidP="0010663B" w14:paraId="7C90C6D5" w14:textId="77777777">
            <w:pPr>
              <w:spacing w:after="240"/>
              <w:jc w:val="center"/>
              <w:rPr>
                <w:rFonts w:ascii="Times New Roman" w:hAnsi="Times New Roman" w:cs="Times New Roman"/>
                <w:b/>
                <w:bCs/>
                <w:sz w:val="22"/>
                <w:szCs w:val="22"/>
                <w:lang w:val="en-US"/>
              </w:rPr>
            </w:pPr>
            <w:r w:rsidRPr="00B83487">
              <w:rPr>
                <w:rFonts w:ascii="Times New Roman" w:hAnsi="Times New Roman" w:cs="Times New Roman"/>
                <w:b/>
                <w:bCs/>
                <w:sz w:val="22"/>
                <w:szCs w:val="22"/>
                <w:lang w:val="en-US"/>
              </w:rPr>
              <w:t>Notification</w:t>
            </w:r>
          </w:p>
        </w:tc>
        <w:tc>
          <w:tcPr>
            <w:tcW w:w="1550" w:type="dxa"/>
            <w:vAlign w:val="center"/>
          </w:tcPr>
          <w:p w:rsidR="001D1BD6" w:rsidRPr="00B83487" w:rsidP="0010663B" w14:paraId="5928E21F" w14:textId="77777777">
            <w:pPr>
              <w:spacing w:after="240"/>
              <w:jc w:val="center"/>
              <w:rPr>
                <w:rFonts w:ascii="Times New Roman" w:hAnsi="Times New Roman" w:cs="Times New Roman"/>
                <w:b/>
                <w:bCs/>
                <w:sz w:val="22"/>
                <w:szCs w:val="22"/>
                <w:lang w:val="en-US"/>
              </w:rPr>
            </w:pPr>
            <w:r w:rsidRPr="00B83487">
              <w:rPr>
                <w:rFonts w:ascii="Times New Roman" w:hAnsi="Times New Roman" w:cs="Times New Roman"/>
                <w:b/>
                <w:bCs/>
                <w:sz w:val="22"/>
                <w:szCs w:val="22"/>
                <w:lang w:val="en-US"/>
              </w:rPr>
              <w:t>Maintenance</w:t>
            </w:r>
          </w:p>
        </w:tc>
        <w:tc>
          <w:tcPr>
            <w:tcW w:w="1373" w:type="dxa"/>
            <w:vAlign w:val="center"/>
          </w:tcPr>
          <w:p w:rsidR="001D1BD6" w:rsidRPr="00B83487" w:rsidP="0010663B" w14:paraId="1077AC23" w14:textId="77777777">
            <w:pPr>
              <w:spacing w:after="240"/>
              <w:jc w:val="center"/>
              <w:rPr>
                <w:rFonts w:ascii="Times New Roman" w:hAnsi="Times New Roman" w:cs="Times New Roman"/>
                <w:b/>
                <w:bCs/>
                <w:sz w:val="22"/>
                <w:szCs w:val="22"/>
                <w:lang w:val="en-US"/>
              </w:rPr>
            </w:pPr>
            <w:r w:rsidRPr="00B83487">
              <w:rPr>
                <w:rFonts w:ascii="Times New Roman" w:hAnsi="Times New Roman" w:cs="Times New Roman"/>
                <w:b/>
                <w:bCs/>
                <w:sz w:val="22"/>
                <w:szCs w:val="22"/>
                <w:lang w:val="en-US"/>
              </w:rPr>
              <w:t>Notification</w:t>
            </w:r>
          </w:p>
        </w:tc>
        <w:tc>
          <w:tcPr>
            <w:tcW w:w="1178" w:type="dxa"/>
          </w:tcPr>
          <w:p w:rsidR="001D1BD6" w:rsidRPr="00B83487" w:rsidP="0010663B" w14:paraId="5A136B44" w14:textId="77777777">
            <w:pPr>
              <w:spacing w:after="240"/>
              <w:rPr>
                <w:rFonts w:ascii="Times New Roman" w:hAnsi="Times New Roman" w:cs="Times New Roman"/>
                <w:b/>
                <w:bCs/>
                <w:sz w:val="22"/>
                <w:szCs w:val="22"/>
                <w:lang w:val="en-US"/>
              </w:rPr>
            </w:pPr>
          </w:p>
        </w:tc>
      </w:tr>
      <w:tr w14:paraId="4FB782B6" w14:textId="77777777" w:rsidTr="0010663B">
        <w:tblPrEx>
          <w:tblW w:w="9630" w:type="dxa"/>
          <w:tblInd w:w="-455" w:type="dxa"/>
          <w:tblLook w:val="04A0"/>
        </w:tblPrEx>
        <w:tc>
          <w:tcPr>
            <w:tcW w:w="1353" w:type="dxa"/>
            <w:vAlign w:val="center"/>
          </w:tcPr>
          <w:p w:rsidR="001D1BD6" w:rsidRPr="00B83487" w:rsidP="0010663B" w14:paraId="5168192F" w14:textId="77777777">
            <w:pPr>
              <w:spacing w:after="240"/>
              <w:rPr>
                <w:rFonts w:ascii="Times New Roman" w:hAnsi="Times New Roman" w:cs="Times New Roman"/>
                <w:sz w:val="22"/>
                <w:szCs w:val="22"/>
                <w:lang w:val="en-US"/>
              </w:rPr>
            </w:pPr>
            <w:bookmarkStart w:id="5" w:name="_Hlk167372223"/>
            <w:r w:rsidRPr="00B83487">
              <w:rPr>
                <w:rFonts w:ascii="Times New Roman" w:hAnsi="Times New Roman" w:cs="Times New Roman"/>
                <w:sz w:val="22"/>
                <w:szCs w:val="22"/>
                <w:lang w:val="en-US"/>
              </w:rPr>
              <w:t>Mutual funds</w:t>
            </w:r>
          </w:p>
        </w:tc>
        <w:tc>
          <w:tcPr>
            <w:tcW w:w="1408" w:type="dxa"/>
            <w:vAlign w:val="center"/>
          </w:tcPr>
          <w:p w:rsidR="001D1BD6" w:rsidRPr="00B83487" w:rsidP="0010663B" w14:paraId="219AF38C" w14:textId="77777777">
            <w:pPr>
              <w:spacing w:after="240"/>
              <w:jc w:val="center"/>
              <w:rPr>
                <w:rFonts w:ascii="Times New Roman" w:hAnsi="Times New Roman" w:cs="Times New Roman"/>
                <w:sz w:val="22"/>
                <w:szCs w:val="22"/>
                <w:lang w:val="en-US"/>
              </w:rPr>
            </w:pPr>
            <w:r w:rsidRPr="00B83487">
              <w:rPr>
                <w:rFonts w:ascii="Times New Roman" w:hAnsi="Times New Roman" w:cs="Times New Roman"/>
                <w:sz w:val="22"/>
                <w:szCs w:val="22"/>
                <w:lang w:val="en-US"/>
              </w:rPr>
              <w:t>1,400</w:t>
            </w:r>
          </w:p>
        </w:tc>
        <w:tc>
          <w:tcPr>
            <w:tcW w:w="1439" w:type="dxa"/>
            <w:vAlign w:val="center"/>
          </w:tcPr>
          <w:p w:rsidR="001D1BD6" w:rsidRPr="00B83487" w:rsidP="0010663B" w14:paraId="507E02AC" w14:textId="77777777">
            <w:pPr>
              <w:spacing w:after="240"/>
              <w:jc w:val="center"/>
              <w:rPr>
                <w:rFonts w:ascii="Times New Roman" w:hAnsi="Times New Roman" w:cs="Times New Roman"/>
                <w:sz w:val="22"/>
                <w:szCs w:val="22"/>
                <w:lang w:val="en-US"/>
              </w:rPr>
            </w:pPr>
            <w:r w:rsidRPr="00B83487">
              <w:rPr>
                <w:rFonts w:ascii="Times New Roman" w:hAnsi="Times New Roman" w:cs="Times New Roman"/>
                <w:sz w:val="22"/>
                <w:szCs w:val="22"/>
                <w:lang w:val="en-US"/>
              </w:rPr>
              <w:t>10 hours</w:t>
            </w:r>
          </w:p>
        </w:tc>
        <w:tc>
          <w:tcPr>
            <w:tcW w:w="1329" w:type="dxa"/>
            <w:vAlign w:val="center"/>
          </w:tcPr>
          <w:p w:rsidR="001D1BD6" w:rsidRPr="00B83487" w:rsidP="0010663B" w14:paraId="0D395EE6" w14:textId="77777777">
            <w:pPr>
              <w:spacing w:after="240"/>
              <w:jc w:val="center"/>
              <w:rPr>
                <w:rFonts w:ascii="Times New Roman" w:hAnsi="Times New Roman" w:cs="Times New Roman"/>
                <w:sz w:val="22"/>
                <w:szCs w:val="22"/>
                <w:lang w:val="en-US"/>
              </w:rPr>
            </w:pPr>
            <w:r w:rsidRPr="00B83487">
              <w:rPr>
                <w:rFonts w:ascii="Times New Roman" w:hAnsi="Times New Roman" w:cs="Times New Roman"/>
                <w:sz w:val="22"/>
                <w:szCs w:val="22"/>
                <w:lang w:val="en-US"/>
              </w:rPr>
              <w:t>1 hour</w:t>
            </w:r>
          </w:p>
        </w:tc>
        <w:tc>
          <w:tcPr>
            <w:tcW w:w="1550" w:type="dxa"/>
            <w:vAlign w:val="center"/>
          </w:tcPr>
          <w:p w:rsidR="001D1BD6" w:rsidRPr="00B83487" w:rsidP="0010663B" w14:paraId="6CFA4BEF" w14:textId="77777777">
            <w:pPr>
              <w:spacing w:after="240"/>
              <w:jc w:val="center"/>
              <w:rPr>
                <w:rFonts w:ascii="Times New Roman" w:hAnsi="Times New Roman" w:cs="Times New Roman"/>
                <w:sz w:val="22"/>
                <w:szCs w:val="22"/>
                <w:lang w:val="en-US"/>
              </w:rPr>
            </w:pPr>
            <w:r w:rsidRPr="00B83487">
              <w:rPr>
                <w:rFonts w:ascii="Times New Roman" w:hAnsi="Times New Roman" w:cs="Times New Roman"/>
                <w:sz w:val="22"/>
                <w:szCs w:val="22"/>
                <w:lang w:val="en-US"/>
              </w:rPr>
              <w:t>14,000</w:t>
            </w:r>
          </w:p>
        </w:tc>
        <w:tc>
          <w:tcPr>
            <w:tcW w:w="1373" w:type="dxa"/>
            <w:vAlign w:val="center"/>
          </w:tcPr>
          <w:p w:rsidR="001D1BD6" w:rsidRPr="00B83487" w:rsidP="0010663B" w14:paraId="593FFA5F" w14:textId="77777777">
            <w:pPr>
              <w:spacing w:after="240"/>
              <w:jc w:val="center"/>
              <w:rPr>
                <w:rFonts w:ascii="Times New Roman" w:hAnsi="Times New Roman" w:cs="Times New Roman"/>
                <w:sz w:val="22"/>
                <w:szCs w:val="22"/>
                <w:lang w:val="en-US"/>
              </w:rPr>
            </w:pPr>
            <w:r w:rsidRPr="00B83487">
              <w:rPr>
                <w:rFonts w:ascii="Times New Roman" w:hAnsi="Times New Roman" w:cs="Times New Roman"/>
                <w:sz w:val="22"/>
                <w:szCs w:val="22"/>
                <w:lang w:val="en-US"/>
              </w:rPr>
              <w:t>1,400</w:t>
            </w:r>
          </w:p>
        </w:tc>
        <w:tc>
          <w:tcPr>
            <w:tcW w:w="1178" w:type="dxa"/>
            <w:vAlign w:val="center"/>
          </w:tcPr>
          <w:p w:rsidR="001D1BD6" w:rsidRPr="00B83487" w:rsidP="0010663B" w14:paraId="0674F3BE" w14:textId="77777777">
            <w:pPr>
              <w:spacing w:after="240"/>
              <w:jc w:val="center"/>
              <w:rPr>
                <w:rFonts w:ascii="Times New Roman" w:hAnsi="Times New Roman" w:cs="Times New Roman"/>
                <w:sz w:val="22"/>
                <w:szCs w:val="22"/>
                <w:lang w:val="en-US"/>
              </w:rPr>
            </w:pPr>
            <w:r w:rsidRPr="00B83487">
              <w:rPr>
                <w:rFonts w:ascii="Times New Roman" w:hAnsi="Times New Roman" w:cs="Times New Roman"/>
                <w:sz w:val="22"/>
                <w:szCs w:val="22"/>
                <w:lang w:val="en-US"/>
              </w:rPr>
              <w:t>15,400</w:t>
            </w:r>
          </w:p>
        </w:tc>
      </w:tr>
      <w:bookmarkEnd w:id="5"/>
      <w:tr w14:paraId="05BAE95E" w14:textId="77777777" w:rsidTr="0010663B">
        <w:tblPrEx>
          <w:tblW w:w="9630" w:type="dxa"/>
          <w:tblInd w:w="-455" w:type="dxa"/>
          <w:tblLook w:val="04A0"/>
        </w:tblPrEx>
        <w:trPr>
          <w:trHeight w:val="638"/>
        </w:trPr>
        <w:tc>
          <w:tcPr>
            <w:tcW w:w="1353" w:type="dxa"/>
            <w:tcBorders>
              <w:top w:val="single" w:sz="12" w:space="0" w:color="auto"/>
              <w:left w:val="single" w:sz="12" w:space="0" w:color="auto"/>
              <w:bottom w:val="single" w:sz="12" w:space="0" w:color="auto"/>
              <w:right w:val="single" w:sz="12" w:space="0" w:color="auto"/>
            </w:tcBorders>
            <w:vAlign w:val="center"/>
          </w:tcPr>
          <w:p w:rsidR="001D1BD6" w:rsidRPr="00B83487" w:rsidP="0010663B" w14:paraId="5C0FC1FF" w14:textId="77777777">
            <w:pPr>
              <w:spacing w:after="240"/>
              <w:rPr>
                <w:rFonts w:ascii="Times New Roman" w:hAnsi="Times New Roman" w:cs="Times New Roman"/>
                <w:b/>
                <w:sz w:val="22"/>
                <w:szCs w:val="22"/>
                <w:lang w:val="en-US"/>
              </w:rPr>
            </w:pPr>
            <w:r w:rsidRPr="00B83487">
              <w:rPr>
                <w:rFonts w:ascii="Times New Roman" w:hAnsi="Times New Roman" w:cs="Times New Roman"/>
                <w:b/>
                <w:sz w:val="22"/>
                <w:szCs w:val="22"/>
                <w:lang w:val="en-US"/>
              </w:rPr>
              <w:t>Totals</w:t>
            </w:r>
          </w:p>
        </w:tc>
        <w:tc>
          <w:tcPr>
            <w:tcW w:w="1408" w:type="dxa"/>
            <w:tcBorders>
              <w:top w:val="single" w:sz="12" w:space="0" w:color="auto"/>
              <w:left w:val="single" w:sz="12" w:space="0" w:color="auto"/>
              <w:bottom w:val="single" w:sz="12" w:space="0" w:color="auto"/>
              <w:right w:val="single" w:sz="12" w:space="0" w:color="auto"/>
            </w:tcBorders>
            <w:vAlign w:val="center"/>
          </w:tcPr>
          <w:p w:rsidR="001D1BD6" w:rsidRPr="00B83487" w:rsidP="0010663B" w14:paraId="63922D79" w14:textId="784C8869">
            <w:pPr>
              <w:spacing w:after="240"/>
              <w:jc w:val="center"/>
              <w:rPr>
                <w:rFonts w:ascii="Times New Roman" w:hAnsi="Times New Roman" w:cs="Times New Roman"/>
                <w:b/>
                <w:sz w:val="22"/>
                <w:szCs w:val="22"/>
                <w:lang w:val="en-US"/>
              </w:rPr>
            </w:pPr>
            <w:r w:rsidRPr="00B83487">
              <w:rPr>
                <w:rFonts w:ascii="Times New Roman" w:hAnsi="Times New Roman" w:cs="Times New Roman"/>
                <w:b/>
                <w:sz w:val="22"/>
                <w:szCs w:val="22"/>
                <w:lang w:val="en-US"/>
              </w:rPr>
              <w:t>1</w:t>
            </w:r>
            <w:r>
              <w:rPr>
                <w:rFonts w:ascii="Times New Roman" w:hAnsi="Times New Roman" w:cs="Times New Roman"/>
                <w:b/>
                <w:sz w:val="22"/>
                <w:szCs w:val="22"/>
                <w:lang w:val="en-US"/>
              </w:rPr>
              <w:t>,400</w:t>
            </w:r>
          </w:p>
        </w:tc>
        <w:tc>
          <w:tcPr>
            <w:tcW w:w="2768" w:type="dxa"/>
            <w:gridSpan w:val="2"/>
            <w:tcBorders>
              <w:top w:val="single" w:sz="12" w:space="0" w:color="auto"/>
              <w:left w:val="single" w:sz="12" w:space="0" w:color="auto"/>
              <w:bottom w:val="single" w:sz="12" w:space="0" w:color="auto"/>
              <w:right w:val="single" w:sz="12" w:space="0" w:color="auto"/>
            </w:tcBorders>
            <w:vAlign w:val="center"/>
          </w:tcPr>
          <w:p w:rsidR="001D1BD6" w:rsidRPr="00B83487" w:rsidP="0010663B" w14:paraId="79E772FD" w14:textId="77777777">
            <w:pPr>
              <w:spacing w:after="240"/>
              <w:jc w:val="center"/>
              <w:rPr>
                <w:rFonts w:ascii="Times New Roman" w:hAnsi="Times New Roman" w:cs="Times New Roman"/>
                <w:b/>
                <w:sz w:val="22"/>
                <w:szCs w:val="22"/>
                <w:lang w:val="en-US"/>
              </w:rPr>
            </w:pPr>
          </w:p>
        </w:tc>
        <w:tc>
          <w:tcPr>
            <w:tcW w:w="1550" w:type="dxa"/>
            <w:tcBorders>
              <w:top w:val="single" w:sz="12" w:space="0" w:color="auto"/>
              <w:left w:val="single" w:sz="12" w:space="0" w:color="auto"/>
              <w:bottom w:val="single" w:sz="12" w:space="0" w:color="auto"/>
              <w:right w:val="single" w:sz="12" w:space="0" w:color="auto"/>
            </w:tcBorders>
            <w:vAlign w:val="center"/>
          </w:tcPr>
          <w:p w:rsidR="001D1BD6" w:rsidRPr="00B83487" w:rsidP="0010663B" w14:paraId="3F3353AA" w14:textId="569C0DB2">
            <w:pPr>
              <w:spacing w:after="240"/>
              <w:jc w:val="center"/>
              <w:rPr>
                <w:rFonts w:ascii="Times New Roman" w:hAnsi="Times New Roman" w:cs="Times New Roman"/>
                <w:b/>
                <w:sz w:val="22"/>
                <w:szCs w:val="22"/>
                <w:lang w:val="en-US"/>
              </w:rPr>
            </w:pPr>
            <w:r w:rsidRPr="00B83487">
              <w:rPr>
                <w:rFonts w:ascii="Times New Roman" w:hAnsi="Times New Roman" w:cs="Times New Roman"/>
                <w:b/>
                <w:sz w:val="22"/>
                <w:szCs w:val="22"/>
                <w:lang w:val="en-US"/>
              </w:rPr>
              <w:t>1</w:t>
            </w:r>
            <w:r>
              <w:rPr>
                <w:rFonts w:ascii="Times New Roman" w:hAnsi="Times New Roman" w:cs="Times New Roman"/>
                <w:b/>
                <w:sz w:val="22"/>
                <w:szCs w:val="22"/>
                <w:lang w:val="en-US"/>
              </w:rPr>
              <w:t>4,000</w:t>
            </w:r>
          </w:p>
        </w:tc>
        <w:tc>
          <w:tcPr>
            <w:tcW w:w="1373" w:type="dxa"/>
            <w:tcBorders>
              <w:top w:val="single" w:sz="12" w:space="0" w:color="auto"/>
              <w:left w:val="single" w:sz="12" w:space="0" w:color="auto"/>
              <w:bottom w:val="single" w:sz="12" w:space="0" w:color="auto"/>
              <w:right w:val="single" w:sz="12" w:space="0" w:color="auto"/>
            </w:tcBorders>
            <w:vAlign w:val="center"/>
          </w:tcPr>
          <w:p w:rsidR="001D1BD6" w:rsidRPr="00B83487" w:rsidP="0010663B" w14:paraId="2F1D6F0F" w14:textId="12B9051B">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1,400</w:t>
            </w:r>
          </w:p>
        </w:tc>
        <w:tc>
          <w:tcPr>
            <w:tcW w:w="1178" w:type="dxa"/>
            <w:tcBorders>
              <w:top w:val="single" w:sz="12" w:space="0" w:color="auto"/>
              <w:left w:val="single" w:sz="12" w:space="0" w:color="auto"/>
              <w:bottom w:val="single" w:sz="12" w:space="0" w:color="auto"/>
              <w:right w:val="single" w:sz="12" w:space="0" w:color="auto"/>
            </w:tcBorders>
            <w:vAlign w:val="center"/>
          </w:tcPr>
          <w:p w:rsidR="001D1BD6" w:rsidRPr="00B83487" w:rsidP="0010663B" w14:paraId="364810D7" w14:textId="39FE291D">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15,400</w:t>
            </w:r>
          </w:p>
        </w:tc>
      </w:tr>
    </w:tbl>
    <w:p w:rsidR="001D1BD6" w:rsidP="0010663B" w14:paraId="4C51B966" w14:textId="574A3834">
      <w:pPr>
        <w:spacing w:before="240" w:after="240"/>
        <w:rPr>
          <w:b/>
          <w:sz w:val="22"/>
          <w:szCs w:val="22"/>
        </w:rPr>
      </w:pPr>
      <w:r w:rsidRPr="00CE0A74">
        <w:rPr>
          <w:b/>
          <w:sz w:val="22"/>
          <w:szCs w:val="22"/>
        </w:rPr>
        <w:t xml:space="preserve">Table 3 – </w:t>
      </w:r>
      <w:r>
        <w:rPr>
          <w:b/>
          <w:sz w:val="22"/>
          <w:szCs w:val="22"/>
        </w:rPr>
        <w:t>Incremental annual</w:t>
      </w:r>
      <w:r w:rsidRPr="00CE0A74">
        <w:rPr>
          <w:b/>
          <w:sz w:val="22"/>
          <w:szCs w:val="22"/>
        </w:rPr>
        <w:t xml:space="preserve"> burden associated with implement</w:t>
      </w:r>
      <w:r>
        <w:rPr>
          <w:b/>
          <w:sz w:val="22"/>
          <w:szCs w:val="22"/>
        </w:rPr>
        <w:t>ing</w:t>
      </w:r>
      <w:r w:rsidRPr="00CE0A74">
        <w:rPr>
          <w:b/>
          <w:sz w:val="22"/>
          <w:szCs w:val="22"/>
        </w:rPr>
        <w:t xml:space="preserve"> the </w:t>
      </w:r>
      <w:r w:rsidRPr="00CE0A74">
        <w:rPr>
          <w:b/>
          <w:sz w:val="22"/>
          <w:szCs w:val="22"/>
          <w:lang w:val="en-GB"/>
        </w:rPr>
        <w:t>identity verification, recordkeeping, and consulting government lists</w:t>
      </w:r>
      <w:r w:rsidRPr="00CE0A74">
        <w:rPr>
          <w:b/>
          <w:sz w:val="22"/>
          <w:szCs w:val="22"/>
        </w:rPr>
        <w:t xml:space="preserve"> </w:t>
      </w:r>
      <w:r w:rsidRPr="00CE0A74">
        <w:rPr>
          <w:b/>
          <w:sz w:val="22"/>
          <w:szCs w:val="22"/>
        </w:rPr>
        <w:t xml:space="preserve">requirements for </w:t>
      </w:r>
      <w:r>
        <w:rPr>
          <w:b/>
          <w:sz w:val="22"/>
          <w:szCs w:val="22"/>
        </w:rPr>
        <w:t>all covered financial institutions</w:t>
      </w:r>
    </w:p>
    <w:tbl>
      <w:tblPr>
        <w:tblStyle w:val="TableGrid"/>
        <w:tblW w:w="8630" w:type="dxa"/>
        <w:tblLook w:val="04A0"/>
      </w:tblPr>
      <w:tblGrid>
        <w:gridCol w:w="1495"/>
        <w:gridCol w:w="1408"/>
        <w:gridCol w:w="1450"/>
        <w:gridCol w:w="1398"/>
        <w:gridCol w:w="1462"/>
        <w:gridCol w:w="1417"/>
      </w:tblGrid>
      <w:tr w14:paraId="733B4059" w14:textId="77777777" w:rsidTr="0010663B">
        <w:tblPrEx>
          <w:tblW w:w="8630" w:type="dxa"/>
          <w:tblLook w:val="04A0"/>
        </w:tblPrEx>
        <w:tc>
          <w:tcPr>
            <w:tcW w:w="1495" w:type="dxa"/>
            <w:vAlign w:val="center"/>
          </w:tcPr>
          <w:p w:rsidR="001D1BD6" w:rsidRPr="00246798" w:rsidP="0010663B" w14:paraId="76426CCC" w14:textId="77777777">
            <w:pPr>
              <w:spacing w:after="240"/>
              <w:rPr>
                <w:rFonts w:ascii="Times New Roman" w:hAnsi="Times New Roman" w:cs="Times New Roman"/>
                <w:b/>
                <w:sz w:val="22"/>
                <w:szCs w:val="22"/>
                <w:lang w:val="en-US"/>
              </w:rPr>
            </w:pPr>
            <w:r w:rsidRPr="00246798">
              <w:rPr>
                <w:rFonts w:ascii="Times New Roman" w:hAnsi="Times New Roman" w:cs="Times New Roman"/>
                <w:b/>
                <w:sz w:val="22"/>
                <w:szCs w:val="22"/>
                <w:lang w:val="en-US"/>
              </w:rPr>
              <w:t>Type of financial institution</w:t>
            </w:r>
          </w:p>
        </w:tc>
        <w:tc>
          <w:tcPr>
            <w:tcW w:w="1408" w:type="dxa"/>
            <w:vAlign w:val="center"/>
          </w:tcPr>
          <w:p w:rsidR="001D1BD6" w:rsidRPr="00246798" w:rsidP="0010663B" w14:paraId="6D54B9C7"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Number of financial institutions</w:t>
            </w:r>
            <w:r>
              <w:rPr>
                <w:rStyle w:val="FootnoteReference"/>
                <w:rFonts w:ascii="Times New Roman" w:hAnsi="Times New Roman" w:cs="Times New Roman"/>
                <w:b/>
                <w:sz w:val="22"/>
                <w:szCs w:val="22"/>
                <w:lang w:val="en-US"/>
              </w:rPr>
              <w:footnoteReference w:id="17"/>
            </w:r>
          </w:p>
        </w:tc>
        <w:tc>
          <w:tcPr>
            <w:tcW w:w="1450" w:type="dxa"/>
            <w:vAlign w:val="center"/>
          </w:tcPr>
          <w:p w:rsidR="001D1BD6" w:rsidRPr="00246798" w:rsidP="0010663B" w14:paraId="6668083E"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New accounts opened per year</w:t>
            </w:r>
          </w:p>
        </w:tc>
        <w:tc>
          <w:tcPr>
            <w:tcW w:w="1398" w:type="dxa"/>
            <w:vAlign w:val="center"/>
          </w:tcPr>
          <w:p w:rsidR="001D1BD6" w:rsidRPr="00246798" w:rsidP="0010663B" w14:paraId="40112397"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Time per new account (minutes)</w:t>
            </w:r>
          </w:p>
        </w:tc>
        <w:tc>
          <w:tcPr>
            <w:tcW w:w="1462" w:type="dxa"/>
            <w:vAlign w:val="center"/>
          </w:tcPr>
          <w:p w:rsidR="001D1BD6" w:rsidRPr="00246798" w:rsidP="0010663B" w14:paraId="6C8F355D"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Total burden in minutes</w:t>
            </w:r>
          </w:p>
        </w:tc>
        <w:tc>
          <w:tcPr>
            <w:tcW w:w="1417" w:type="dxa"/>
            <w:vAlign w:val="center"/>
          </w:tcPr>
          <w:p w:rsidR="001D1BD6" w:rsidRPr="00246798" w:rsidP="0010663B" w14:paraId="4CFF2500" w14:textId="77777777">
            <w:pPr>
              <w:spacing w:after="240"/>
              <w:jc w:val="center"/>
              <w:rPr>
                <w:rFonts w:ascii="Times New Roman" w:hAnsi="Times New Roman" w:cs="Times New Roman"/>
                <w:b/>
                <w:sz w:val="22"/>
                <w:szCs w:val="22"/>
                <w:lang w:val="en-US"/>
              </w:rPr>
            </w:pPr>
            <w:r w:rsidRPr="00246798">
              <w:rPr>
                <w:rFonts w:ascii="Times New Roman" w:hAnsi="Times New Roman" w:cs="Times New Roman"/>
                <w:b/>
                <w:sz w:val="22"/>
                <w:szCs w:val="22"/>
                <w:lang w:val="en-US"/>
              </w:rPr>
              <w:t>Total burden converted to hours</w:t>
            </w:r>
          </w:p>
        </w:tc>
      </w:tr>
      <w:tr w14:paraId="6D33CAC1" w14:textId="77777777" w:rsidTr="0010663B">
        <w:tblPrEx>
          <w:tblW w:w="8630" w:type="dxa"/>
          <w:tblLook w:val="04A0"/>
        </w:tblPrEx>
        <w:tc>
          <w:tcPr>
            <w:tcW w:w="1495" w:type="dxa"/>
            <w:vAlign w:val="center"/>
          </w:tcPr>
          <w:p w:rsidR="001D1BD6" w:rsidRPr="00246798" w:rsidP="0010663B" w14:paraId="6DC8F1B4" w14:textId="77777777">
            <w:pPr>
              <w:spacing w:after="240"/>
              <w:rPr>
                <w:rFonts w:ascii="Times New Roman" w:hAnsi="Times New Roman" w:cs="Times New Roman"/>
                <w:b/>
                <w:sz w:val="22"/>
                <w:szCs w:val="22"/>
                <w:lang w:val="en-US"/>
              </w:rPr>
            </w:pPr>
            <w:r w:rsidRPr="00246798">
              <w:rPr>
                <w:rFonts w:ascii="Times New Roman" w:hAnsi="Times New Roman" w:cs="Times New Roman"/>
                <w:sz w:val="22"/>
                <w:szCs w:val="22"/>
                <w:lang w:val="en-US"/>
              </w:rPr>
              <w:t>Mutual funds</w:t>
            </w:r>
          </w:p>
        </w:tc>
        <w:tc>
          <w:tcPr>
            <w:tcW w:w="1408" w:type="dxa"/>
            <w:vAlign w:val="center"/>
          </w:tcPr>
          <w:p w:rsidR="001D1BD6" w:rsidRPr="00246798" w:rsidP="0010663B" w14:paraId="50ED73EF" w14:textId="77777777">
            <w:pPr>
              <w:spacing w:after="240"/>
              <w:jc w:val="center"/>
              <w:rPr>
                <w:rFonts w:ascii="Times New Roman" w:hAnsi="Times New Roman" w:cs="Times New Roman"/>
                <w:bCs/>
                <w:sz w:val="22"/>
                <w:szCs w:val="22"/>
                <w:lang w:val="en-US"/>
              </w:rPr>
            </w:pPr>
            <w:r w:rsidRPr="00246798">
              <w:rPr>
                <w:rFonts w:ascii="Times New Roman" w:hAnsi="Times New Roman" w:cs="Times New Roman"/>
                <w:sz w:val="22"/>
                <w:szCs w:val="22"/>
                <w:lang w:val="en-US"/>
              </w:rPr>
              <w:t>1,400</w:t>
            </w:r>
          </w:p>
        </w:tc>
        <w:tc>
          <w:tcPr>
            <w:tcW w:w="1450" w:type="dxa"/>
            <w:vAlign w:val="center"/>
          </w:tcPr>
          <w:p w:rsidR="001D1BD6" w:rsidRPr="00246798" w:rsidP="0010663B" w14:paraId="4085873E" w14:textId="77777777">
            <w:pPr>
              <w:spacing w:after="240"/>
              <w:jc w:val="center"/>
              <w:rPr>
                <w:rFonts w:ascii="Times New Roman" w:hAnsi="Times New Roman" w:cs="Times New Roman"/>
                <w:bCs/>
                <w:sz w:val="22"/>
                <w:szCs w:val="22"/>
                <w:lang w:val="en-US"/>
              </w:rPr>
            </w:pPr>
            <w:r w:rsidRPr="00246798">
              <w:rPr>
                <w:rFonts w:ascii="Times New Roman" w:hAnsi="Times New Roman" w:cs="Times New Roman"/>
                <w:bCs/>
                <w:sz w:val="22"/>
                <w:szCs w:val="22"/>
                <w:lang w:val="en-US"/>
              </w:rPr>
              <w:t>16,150,000</w:t>
            </w:r>
          </w:p>
        </w:tc>
        <w:tc>
          <w:tcPr>
            <w:tcW w:w="1398" w:type="dxa"/>
            <w:vAlign w:val="center"/>
          </w:tcPr>
          <w:p w:rsidR="001D1BD6" w:rsidRPr="00246798" w:rsidP="0010663B" w14:paraId="5DA2332F" w14:textId="77633B25">
            <w:pPr>
              <w:spacing w:after="240"/>
              <w:jc w:val="center"/>
              <w:rPr>
                <w:rFonts w:ascii="Times New Roman" w:hAnsi="Times New Roman" w:cs="Times New Roman"/>
                <w:bCs/>
                <w:sz w:val="22"/>
                <w:szCs w:val="22"/>
                <w:lang w:val="en-US"/>
              </w:rPr>
            </w:pPr>
            <w:r>
              <w:rPr>
                <w:rFonts w:ascii="Times New Roman" w:hAnsi="Times New Roman" w:cs="Times New Roman"/>
                <w:bCs/>
                <w:sz w:val="22"/>
                <w:szCs w:val="22"/>
                <w:lang w:val="en-US"/>
              </w:rPr>
              <w:t>3</w:t>
            </w:r>
            <w:r w:rsidRPr="00246798">
              <w:rPr>
                <w:rFonts w:ascii="Times New Roman" w:hAnsi="Times New Roman" w:cs="Times New Roman"/>
                <w:bCs/>
                <w:sz w:val="22"/>
                <w:szCs w:val="22"/>
                <w:lang w:val="en-US"/>
              </w:rPr>
              <w:t xml:space="preserve"> minutes</w:t>
            </w:r>
          </w:p>
        </w:tc>
        <w:tc>
          <w:tcPr>
            <w:tcW w:w="1462" w:type="dxa"/>
            <w:vAlign w:val="center"/>
          </w:tcPr>
          <w:p w:rsidR="001D1BD6" w:rsidRPr="00246798" w:rsidP="0010663B" w14:paraId="32926DDD" w14:textId="34E103C9">
            <w:pPr>
              <w:spacing w:after="240"/>
              <w:jc w:val="center"/>
              <w:rPr>
                <w:rFonts w:ascii="Times New Roman" w:hAnsi="Times New Roman" w:cs="Times New Roman"/>
                <w:bCs/>
                <w:sz w:val="22"/>
                <w:szCs w:val="22"/>
                <w:lang w:val="en-US"/>
              </w:rPr>
            </w:pPr>
            <w:r>
              <w:rPr>
                <w:rFonts w:ascii="Times New Roman" w:hAnsi="Times New Roman" w:cs="Times New Roman"/>
                <w:bCs/>
                <w:sz w:val="22"/>
                <w:szCs w:val="22"/>
                <w:lang w:val="en-US"/>
              </w:rPr>
              <w:t>48,450,000</w:t>
            </w:r>
          </w:p>
        </w:tc>
        <w:tc>
          <w:tcPr>
            <w:tcW w:w="1417" w:type="dxa"/>
            <w:vAlign w:val="center"/>
          </w:tcPr>
          <w:p w:rsidR="001D1BD6" w:rsidRPr="00246798" w:rsidP="0010663B" w14:paraId="368D7E51" w14:textId="375B0DE9">
            <w:pPr>
              <w:spacing w:after="240"/>
              <w:jc w:val="center"/>
              <w:rPr>
                <w:rFonts w:ascii="Times New Roman" w:hAnsi="Times New Roman" w:cs="Times New Roman"/>
                <w:bCs/>
                <w:sz w:val="22"/>
                <w:szCs w:val="22"/>
                <w:lang w:val="en-US"/>
              </w:rPr>
            </w:pPr>
            <w:r>
              <w:rPr>
                <w:rFonts w:ascii="Times New Roman" w:hAnsi="Times New Roman" w:cs="Times New Roman"/>
                <w:bCs/>
                <w:sz w:val="22"/>
                <w:szCs w:val="22"/>
                <w:lang w:val="en-US"/>
              </w:rPr>
              <w:t>807,500</w:t>
            </w:r>
          </w:p>
        </w:tc>
      </w:tr>
      <w:tr w14:paraId="26EDAEDD" w14:textId="77777777" w:rsidTr="0010663B">
        <w:tblPrEx>
          <w:tblW w:w="8630" w:type="dxa"/>
          <w:tblLook w:val="04A0"/>
        </w:tblPrEx>
        <w:tc>
          <w:tcPr>
            <w:tcW w:w="1495" w:type="dxa"/>
            <w:vAlign w:val="center"/>
          </w:tcPr>
          <w:p w:rsidR="001D1BD6" w:rsidRPr="008721E7" w:rsidP="0010663B" w14:paraId="181DE315" w14:textId="77777777">
            <w:pPr>
              <w:spacing w:after="240"/>
              <w:rPr>
                <w:rFonts w:ascii="Times New Roman" w:hAnsi="Times New Roman" w:cs="Times New Roman"/>
                <w:sz w:val="22"/>
                <w:szCs w:val="22"/>
                <w:lang w:val="en-US"/>
              </w:rPr>
            </w:pPr>
            <w:r w:rsidRPr="008721E7">
              <w:rPr>
                <w:rFonts w:ascii="Times New Roman" w:hAnsi="Times New Roman" w:cs="Times New Roman"/>
                <w:b/>
                <w:sz w:val="22"/>
                <w:szCs w:val="22"/>
                <w:lang w:val="en-US"/>
              </w:rPr>
              <w:t>Totals</w:t>
            </w:r>
          </w:p>
        </w:tc>
        <w:tc>
          <w:tcPr>
            <w:tcW w:w="1408" w:type="dxa"/>
            <w:vAlign w:val="center"/>
          </w:tcPr>
          <w:p w:rsidR="001D1BD6" w:rsidRPr="008721E7" w:rsidP="0010663B" w14:paraId="4D9D569F" w14:textId="177C9BB9">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1</w:t>
            </w:r>
            <w:r>
              <w:rPr>
                <w:rFonts w:ascii="Times New Roman" w:hAnsi="Times New Roman" w:cs="Times New Roman"/>
                <w:b/>
                <w:sz w:val="22"/>
                <w:szCs w:val="22"/>
                <w:lang w:val="en-US"/>
              </w:rPr>
              <w:t>,400</w:t>
            </w:r>
          </w:p>
        </w:tc>
        <w:tc>
          <w:tcPr>
            <w:tcW w:w="1450" w:type="dxa"/>
            <w:vAlign w:val="center"/>
          </w:tcPr>
          <w:p w:rsidR="001D1BD6" w:rsidRPr="008721E7" w:rsidP="0010663B" w14:paraId="2811023B" w14:textId="25E0C081">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16,150,000</w:t>
            </w:r>
          </w:p>
        </w:tc>
        <w:tc>
          <w:tcPr>
            <w:tcW w:w="1398" w:type="dxa"/>
            <w:vAlign w:val="center"/>
          </w:tcPr>
          <w:p w:rsidR="001D1BD6" w:rsidRPr="008721E7" w:rsidP="0010663B" w14:paraId="2F8F5D90" w14:textId="77777777">
            <w:pPr>
              <w:spacing w:after="240"/>
              <w:jc w:val="center"/>
              <w:rPr>
                <w:rFonts w:ascii="Times New Roman" w:hAnsi="Times New Roman" w:cs="Times New Roman"/>
                <w:b/>
                <w:sz w:val="22"/>
                <w:szCs w:val="22"/>
                <w:lang w:val="en-US"/>
              </w:rPr>
            </w:pPr>
          </w:p>
        </w:tc>
        <w:tc>
          <w:tcPr>
            <w:tcW w:w="1462" w:type="dxa"/>
            <w:vAlign w:val="center"/>
          </w:tcPr>
          <w:p w:rsidR="001D1BD6" w:rsidRPr="008721E7" w:rsidP="0010663B" w14:paraId="2A0525C5" w14:textId="3B317FF5">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48,450,000</w:t>
            </w:r>
          </w:p>
        </w:tc>
        <w:tc>
          <w:tcPr>
            <w:tcW w:w="1417" w:type="dxa"/>
            <w:vAlign w:val="center"/>
          </w:tcPr>
          <w:p w:rsidR="001D1BD6" w:rsidRPr="008721E7" w:rsidP="0010663B" w14:paraId="2286C2D8" w14:textId="457A27DA">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807,500</w:t>
            </w:r>
          </w:p>
        </w:tc>
      </w:tr>
    </w:tbl>
    <w:p w:rsidR="00E91F83" w:rsidRPr="00360D25" w:rsidP="0010663B" w14:paraId="316AD5D5" w14:textId="6326A78F">
      <w:pPr>
        <w:widowControl w:val="0"/>
        <w:autoSpaceDE w:val="0"/>
        <w:autoSpaceDN w:val="0"/>
        <w:adjustRightInd w:val="0"/>
        <w:spacing w:before="240" w:after="240"/>
        <w:jc w:val="both"/>
      </w:pPr>
      <w:r>
        <w:rPr>
          <w:snapToGrid w:val="0"/>
        </w:rPr>
        <w:t xml:space="preserve">13. </w:t>
      </w:r>
      <w:r>
        <w:rPr>
          <w:u w:val="single"/>
        </w:rPr>
        <w:t>Estimated total annual cost burden of information collection.</w:t>
      </w:r>
      <w:r>
        <w:t xml:space="preserve"> </w:t>
      </w:r>
    </w:p>
    <w:p w:rsidR="003F02DA" w:rsidP="0010663B" w14:paraId="2A838815" w14:textId="1401130C">
      <w:pPr>
        <w:spacing w:after="240"/>
      </w:pPr>
      <w:r w:rsidRPr="006C00EC">
        <w:rPr>
          <w:u w:val="single"/>
        </w:rPr>
        <w:t>Estimated Total Annual Recordkeeping Cost</w:t>
      </w:r>
      <w:r w:rsidRPr="00AD38DC">
        <w:t>:</w:t>
      </w:r>
      <w:r>
        <w:t xml:space="preserve">  </w:t>
      </w:r>
    </w:p>
    <w:p w:rsidR="003F02DA" w:rsidP="0010663B" w14:paraId="67DE679D" w14:textId="1A4A4C8D">
      <w:pPr>
        <w:spacing w:after="240"/>
        <w:ind w:firstLine="720"/>
      </w:pPr>
      <w:r>
        <w:t>FinCEN is utilizing the same fully-loaded composite hourly wage rate of $106.30 that is utilized in other OMB control number renewals and notices of proposed rulemakings (NPRMs) currently opened to public review and comment.</w:t>
      </w:r>
      <w:r>
        <w:rPr>
          <w:rStyle w:val="FootnoteReference"/>
        </w:rPr>
        <w:footnoteReference w:id="18"/>
      </w:r>
      <w:r>
        <w:t xml:space="preserve"> </w:t>
      </w:r>
    </w:p>
    <w:p w:rsidR="00A42C38" w:rsidP="0010663B" w14:paraId="2A0E0E89" w14:textId="2786FE8A">
      <w:pPr>
        <w:spacing w:after="240"/>
        <w:ind w:firstLine="720"/>
      </w:pPr>
      <w:r w:rsidRPr="008721E7">
        <w:t>The total estimated cost of the annual PRA burden</w:t>
      </w:r>
      <w:r>
        <w:rPr>
          <w:rStyle w:val="FootnoteReference"/>
        </w:rPr>
        <w:footnoteReference w:id="19"/>
      </w:r>
      <w:r w:rsidRPr="008721E7">
        <w:t xml:space="preserve"> is </w:t>
      </w:r>
      <w:r>
        <w:t>$</w:t>
      </w:r>
      <w:r w:rsidR="0065355F">
        <w:t>87,474,270.00</w:t>
      </w:r>
      <w:r w:rsidRPr="008721E7">
        <w:t xml:space="preserve"> as reflected in Table</w:t>
      </w:r>
      <w:r>
        <w:t xml:space="preserve"> 4 below:</w:t>
      </w:r>
    </w:p>
    <w:p w:rsidR="00A42C38" w:rsidP="0010663B" w14:paraId="347CF65F" w14:textId="712851B0">
      <w:pPr>
        <w:spacing w:after="240"/>
        <w:rPr>
          <w:b/>
          <w:sz w:val="22"/>
          <w:szCs w:val="22"/>
        </w:rPr>
      </w:pPr>
      <w:r w:rsidRPr="00187930">
        <w:rPr>
          <w:b/>
          <w:sz w:val="22"/>
          <w:szCs w:val="22"/>
        </w:rPr>
        <w:t xml:space="preserve">Table </w:t>
      </w:r>
      <w:r>
        <w:rPr>
          <w:b/>
          <w:sz w:val="22"/>
          <w:szCs w:val="22"/>
        </w:rPr>
        <w:t>4</w:t>
      </w:r>
      <w:r w:rsidRPr="00187930">
        <w:rPr>
          <w:b/>
          <w:sz w:val="22"/>
          <w:szCs w:val="22"/>
        </w:rPr>
        <w:t xml:space="preserve"> – Total cost of annual PRA burden</w:t>
      </w:r>
    </w:p>
    <w:tbl>
      <w:tblPr>
        <w:tblStyle w:val="TableGrid"/>
        <w:tblW w:w="0" w:type="auto"/>
        <w:jc w:val="center"/>
        <w:tblLook w:val="04A0"/>
      </w:tblPr>
      <w:tblGrid>
        <w:gridCol w:w="2157"/>
        <w:gridCol w:w="2157"/>
        <w:gridCol w:w="2158"/>
        <w:gridCol w:w="2158"/>
      </w:tblGrid>
      <w:tr w14:paraId="3C2A183E" w14:textId="77777777" w:rsidTr="00FA17FD">
        <w:tblPrEx>
          <w:tblW w:w="0" w:type="auto"/>
          <w:jc w:val="center"/>
          <w:tblLook w:val="04A0"/>
        </w:tblPrEx>
        <w:trPr>
          <w:jc w:val="center"/>
        </w:trPr>
        <w:tc>
          <w:tcPr>
            <w:tcW w:w="2157" w:type="dxa"/>
            <w:vAlign w:val="center"/>
          </w:tcPr>
          <w:p w:rsidR="00A42C38" w:rsidRPr="008721E7" w:rsidP="0010663B" w14:paraId="39046EE2"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Steps</w:t>
            </w:r>
          </w:p>
        </w:tc>
        <w:tc>
          <w:tcPr>
            <w:tcW w:w="2157" w:type="dxa"/>
            <w:vAlign w:val="center"/>
          </w:tcPr>
          <w:p w:rsidR="00A42C38" w:rsidRPr="008721E7" w:rsidP="0010663B" w14:paraId="7A1E9BCE"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Hourly burden</w:t>
            </w:r>
          </w:p>
        </w:tc>
        <w:tc>
          <w:tcPr>
            <w:tcW w:w="2158" w:type="dxa"/>
            <w:vAlign w:val="center"/>
          </w:tcPr>
          <w:p w:rsidR="00A42C38" w:rsidRPr="008721E7" w:rsidP="0010663B" w14:paraId="034C2786"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Hourly cost</w:t>
            </w:r>
          </w:p>
        </w:tc>
        <w:tc>
          <w:tcPr>
            <w:tcW w:w="2158" w:type="dxa"/>
            <w:vAlign w:val="center"/>
          </w:tcPr>
          <w:p w:rsidR="00A42C38" w:rsidRPr="008721E7" w:rsidP="0010663B" w14:paraId="1B94F28F"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Total cost</w:t>
            </w:r>
          </w:p>
        </w:tc>
      </w:tr>
      <w:tr w14:paraId="30F94BF1" w14:textId="77777777" w:rsidTr="00FA17FD">
        <w:tblPrEx>
          <w:tblW w:w="0" w:type="auto"/>
          <w:jc w:val="center"/>
          <w:tblLook w:val="04A0"/>
        </w:tblPrEx>
        <w:trPr>
          <w:jc w:val="center"/>
        </w:trPr>
        <w:tc>
          <w:tcPr>
            <w:tcW w:w="2157" w:type="dxa"/>
            <w:vAlign w:val="center"/>
          </w:tcPr>
          <w:p w:rsidR="00A42C38" w:rsidRPr="008721E7" w:rsidP="0010663B" w14:paraId="35F0C729"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sz w:val="22"/>
                <w:szCs w:val="22"/>
                <w:lang w:val="en-US"/>
              </w:rPr>
              <w:t>Maintaining and updating the CIP</w:t>
            </w:r>
          </w:p>
        </w:tc>
        <w:tc>
          <w:tcPr>
            <w:tcW w:w="2157" w:type="dxa"/>
            <w:vAlign w:val="center"/>
          </w:tcPr>
          <w:p w:rsidR="00A42C38" w:rsidRPr="008721E7" w:rsidP="0010663B" w14:paraId="7115320E" w14:textId="4E52948C">
            <w:pPr>
              <w:spacing w:after="240"/>
              <w:jc w:val="center"/>
              <w:rPr>
                <w:rFonts w:ascii="Times New Roman" w:hAnsi="Times New Roman" w:cs="Times New Roman"/>
                <w:b/>
                <w:sz w:val="22"/>
                <w:szCs w:val="22"/>
                <w:lang w:val="en-US"/>
              </w:rPr>
            </w:pPr>
            <w:r w:rsidRPr="008721E7">
              <w:rPr>
                <w:rFonts w:ascii="Times New Roman" w:hAnsi="Times New Roman" w:cs="Times New Roman"/>
                <w:sz w:val="22"/>
                <w:szCs w:val="22"/>
                <w:lang w:val="en-US"/>
              </w:rPr>
              <w:t>1</w:t>
            </w:r>
            <w:r w:rsidR="002407CB">
              <w:rPr>
                <w:rFonts w:ascii="Times New Roman" w:hAnsi="Times New Roman" w:cs="Times New Roman"/>
                <w:sz w:val="22"/>
                <w:szCs w:val="22"/>
                <w:lang w:val="en-US"/>
              </w:rPr>
              <w:t>4,000</w:t>
            </w:r>
          </w:p>
        </w:tc>
        <w:tc>
          <w:tcPr>
            <w:tcW w:w="2158" w:type="dxa"/>
            <w:vAlign w:val="center"/>
          </w:tcPr>
          <w:p w:rsidR="00A42C38" w:rsidRPr="008721E7" w:rsidP="0010663B" w14:paraId="552E2BD6"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Cs/>
                <w:sz w:val="22"/>
                <w:szCs w:val="22"/>
                <w:lang w:val="en-US"/>
              </w:rPr>
              <w:t>$106.30</w:t>
            </w:r>
          </w:p>
        </w:tc>
        <w:tc>
          <w:tcPr>
            <w:tcW w:w="2158" w:type="dxa"/>
            <w:vAlign w:val="center"/>
          </w:tcPr>
          <w:p w:rsidR="00A42C38" w:rsidRPr="008721E7" w:rsidP="0010663B" w14:paraId="6754882E" w14:textId="35B82F2D">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$1,488,200.00</w:t>
            </w:r>
          </w:p>
        </w:tc>
      </w:tr>
      <w:tr w14:paraId="302DE917" w14:textId="77777777" w:rsidTr="00FA17FD">
        <w:tblPrEx>
          <w:tblW w:w="0" w:type="auto"/>
          <w:jc w:val="center"/>
          <w:tblLook w:val="04A0"/>
        </w:tblPrEx>
        <w:trPr>
          <w:jc w:val="center"/>
        </w:trPr>
        <w:tc>
          <w:tcPr>
            <w:tcW w:w="2157" w:type="dxa"/>
            <w:vAlign w:val="center"/>
          </w:tcPr>
          <w:p w:rsidR="00A42C38" w:rsidRPr="008721E7" w:rsidP="0010663B" w14:paraId="66E3205C"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sz w:val="22"/>
                <w:szCs w:val="22"/>
                <w:lang w:val="en-US"/>
              </w:rPr>
              <w:t>Notifying customers of CIP requirements</w:t>
            </w:r>
          </w:p>
        </w:tc>
        <w:tc>
          <w:tcPr>
            <w:tcW w:w="2157" w:type="dxa"/>
            <w:vAlign w:val="center"/>
          </w:tcPr>
          <w:p w:rsidR="00A42C38" w:rsidRPr="00FA17FD" w:rsidP="0010663B" w14:paraId="325D5206" w14:textId="1515B325">
            <w:pPr>
              <w:spacing w:after="240"/>
              <w:jc w:val="center"/>
              <w:rPr>
                <w:rFonts w:ascii="Times New Roman" w:hAnsi="Times New Roman" w:cs="Times New Roman"/>
                <w:bCs/>
                <w:sz w:val="22"/>
                <w:szCs w:val="22"/>
                <w:lang w:val="en-US"/>
              </w:rPr>
            </w:pPr>
            <w:r w:rsidRPr="00FA17FD">
              <w:rPr>
                <w:rFonts w:ascii="Times New Roman" w:hAnsi="Times New Roman" w:cs="Times New Roman"/>
                <w:bCs/>
                <w:sz w:val="22"/>
                <w:szCs w:val="22"/>
                <w:lang w:val="en-US"/>
              </w:rPr>
              <w:t>1</w:t>
            </w:r>
            <w:r w:rsidR="002407CB">
              <w:rPr>
                <w:rFonts w:ascii="Times New Roman" w:hAnsi="Times New Roman" w:cs="Times New Roman"/>
                <w:bCs/>
                <w:sz w:val="22"/>
                <w:szCs w:val="22"/>
                <w:lang w:val="en-US"/>
              </w:rPr>
              <w:t>,400</w:t>
            </w:r>
          </w:p>
        </w:tc>
        <w:tc>
          <w:tcPr>
            <w:tcW w:w="2158" w:type="dxa"/>
            <w:vAlign w:val="center"/>
          </w:tcPr>
          <w:p w:rsidR="00A42C38" w:rsidRPr="008721E7" w:rsidP="0010663B" w14:paraId="41207989"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Cs/>
                <w:sz w:val="22"/>
                <w:szCs w:val="22"/>
                <w:lang w:val="en-US"/>
              </w:rPr>
              <w:t>$106.30</w:t>
            </w:r>
          </w:p>
        </w:tc>
        <w:tc>
          <w:tcPr>
            <w:tcW w:w="2158" w:type="dxa"/>
            <w:vAlign w:val="center"/>
          </w:tcPr>
          <w:p w:rsidR="00A42C38" w:rsidRPr="008721E7" w:rsidP="0010663B" w14:paraId="4C7E9BDA" w14:textId="59EE87B5">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$148,820.00</w:t>
            </w:r>
          </w:p>
        </w:tc>
      </w:tr>
      <w:tr w14:paraId="5B6A21D4" w14:textId="77777777" w:rsidTr="00FA17FD">
        <w:tblPrEx>
          <w:tblW w:w="0" w:type="auto"/>
          <w:jc w:val="center"/>
          <w:tblLook w:val="04A0"/>
        </w:tblPrEx>
        <w:trPr>
          <w:jc w:val="center"/>
        </w:trPr>
        <w:tc>
          <w:tcPr>
            <w:tcW w:w="2157" w:type="dxa"/>
            <w:vAlign w:val="center"/>
          </w:tcPr>
          <w:p w:rsidR="00A42C38" w:rsidRPr="008721E7" w:rsidP="0010663B" w14:paraId="6C53EA99"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sz w:val="22"/>
                <w:szCs w:val="22"/>
                <w:lang w:val="en-US"/>
              </w:rPr>
              <w:t>Implementing the CIP (identifying and verifying customer information, maintaining records, and consulting government lists)</w:t>
            </w:r>
          </w:p>
        </w:tc>
        <w:tc>
          <w:tcPr>
            <w:tcW w:w="2157" w:type="dxa"/>
            <w:tcBorders>
              <w:bottom w:val="single" w:sz="12" w:space="0" w:color="auto"/>
            </w:tcBorders>
            <w:vAlign w:val="center"/>
          </w:tcPr>
          <w:p w:rsidR="00A42C38" w:rsidRPr="008721E7" w:rsidP="0010663B" w14:paraId="6A5BE837" w14:textId="42ED748D">
            <w:pPr>
              <w:spacing w:after="240"/>
              <w:jc w:val="center"/>
              <w:rPr>
                <w:rFonts w:ascii="Times New Roman" w:hAnsi="Times New Roman" w:cs="Times New Roman"/>
                <w:bCs/>
                <w:sz w:val="22"/>
                <w:szCs w:val="22"/>
                <w:lang w:val="en-US"/>
              </w:rPr>
            </w:pPr>
            <w:r>
              <w:rPr>
                <w:rFonts w:ascii="Times New Roman" w:hAnsi="Times New Roman" w:cs="Times New Roman"/>
                <w:bCs/>
                <w:sz w:val="22"/>
                <w:szCs w:val="22"/>
                <w:lang w:val="en-US"/>
              </w:rPr>
              <w:t>807,500</w:t>
            </w:r>
          </w:p>
        </w:tc>
        <w:tc>
          <w:tcPr>
            <w:tcW w:w="2158" w:type="dxa"/>
            <w:vAlign w:val="center"/>
          </w:tcPr>
          <w:p w:rsidR="00A42C38" w:rsidRPr="008721E7" w:rsidP="0010663B" w14:paraId="62E870E7" w14:textId="77777777">
            <w:pPr>
              <w:spacing w:after="240"/>
              <w:jc w:val="center"/>
              <w:rPr>
                <w:rFonts w:ascii="Times New Roman" w:hAnsi="Times New Roman" w:cs="Times New Roman"/>
                <w:b/>
                <w:sz w:val="22"/>
                <w:szCs w:val="22"/>
                <w:lang w:val="en-US"/>
              </w:rPr>
            </w:pPr>
            <w:r w:rsidRPr="008721E7">
              <w:rPr>
                <w:rFonts w:ascii="Times New Roman" w:hAnsi="Times New Roman" w:cs="Times New Roman"/>
                <w:bCs/>
                <w:sz w:val="22"/>
                <w:szCs w:val="22"/>
                <w:lang w:val="en-US"/>
              </w:rPr>
              <w:t>$106.30</w:t>
            </w:r>
          </w:p>
        </w:tc>
        <w:tc>
          <w:tcPr>
            <w:tcW w:w="2158" w:type="dxa"/>
            <w:vAlign w:val="center"/>
          </w:tcPr>
          <w:p w:rsidR="00A42C38" w:rsidRPr="008721E7" w:rsidP="0010663B" w14:paraId="0A402F7A" w14:textId="2A9D1639">
            <w:pPr>
              <w:spacing w:after="240"/>
              <w:jc w:val="center"/>
              <w:rPr>
                <w:rFonts w:ascii="Times New Roman" w:hAnsi="Times New Roman" w:cs="Times New Roman"/>
                <w:b/>
                <w:sz w:val="22"/>
                <w:szCs w:val="22"/>
                <w:lang w:val="en-US"/>
              </w:rPr>
            </w:pPr>
            <w:r>
              <w:rPr>
                <w:rFonts w:ascii="Times New Roman" w:hAnsi="Times New Roman" w:cs="Times New Roman"/>
                <w:b/>
                <w:sz w:val="22"/>
                <w:szCs w:val="22"/>
                <w:lang w:val="en-US"/>
              </w:rPr>
              <w:t>$</w:t>
            </w:r>
            <w:r w:rsidR="00454297">
              <w:rPr>
                <w:rFonts w:ascii="Times New Roman" w:hAnsi="Times New Roman" w:cs="Times New Roman"/>
                <w:b/>
                <w:sz w:val="22"/>
                <w:szCs w:val="22"/>
                <w:lang w:val="en-US"/>
              </w:rPr>
              <w:t>85,</w:t>
            </w:r>
            <w:r w:rsidR="00341CC7">
              <w:rPr>
                <w:rFonts w:ascii="Times New Roman" w:hAnsi="Times New Roman" w:cs="Times New Roman"/>
                <w:b/>
                <w:sz w:val="22"/>
                <w:szCs w:val="22"/>
                <w:lang w:val="en-US"/>
              </w:rPr>
              <w:t>837,250.00</w:t>
            </w:r>
          </w:p>
        </w:tc>
      </w:tr>
      <w:tr w14:paraId="02AA7917" w14:textId="77777777" w:rsidTr="00FA17FD">
        <w:tblPrEx>
          <w:tblW w:w="0" w:type="auto"/>
          <w:jc w:val="center"/>
          <w:tblLook w:val="04A0"/>
        </w:tblPrEx>
        <w:trPr>
          <w:jc w:val="center"/>
        </w:trPr>
        <w:tc>
          <w:tcPr>
            <w:tcW w:w="6472" w:type="dxa"/>
            <w:gridSpan w:val="3"/>
            <w:vAlign w:val="center"/>
          </w:tcPr>
          <w:p w:rsidR="00A42C38" w:rsidRPr="008721E7" w:rsidP="0010663B" w14:paraId="11A098F0" w14:textId="77777777">
            <w:pPr>
              <w:spacing w:after="240"/>
              <w:rPr>
                <w:rFonts w:ascii="Times New Roman" w:hAnsi="Times New Roman" w:cs="Times New Roman"/>
                <w:b/>
                <w:sz w:val="22"/>
                <w:szCs w:val="22"/>
                <w:lang w:val="en-US"/>
              </w:rPr>
            </w:pPr>
            <w:r w:rsidRPr="008721E7">
              <w:rPr>
                <w:rFonts w:ascii="Times New Roman" w:hAnsi="Times New Roman" w:cs="Times New Roman"/>
                <w:b/>
                <w:sz w:val="22"/>
                <w:szCs w:val="22"/>
                <w:lang w:val="en-US"/>
              </w:rPr>
              <w:t>Total cost</w:t>
            </w:r>
          </w:p>
        </w:tc>
        <w:tc>
          <w:tcPr>
            <w:tcW w:w="2158" w:type="dxa"/>
            <w:vAlign w:val="center"/>
          </w:tcPr>
          <w:p w:rsidR="00A42C38" w:rsidRPr="008721E7" w:rsidP="0010663B" w14:paraId="5917D746" w14:textId="676A49BE">
            <w:pPr>
              <w:spacing w:after="240"/>
              <w:jc w:val="center"/>
              <w:rPr>
                <w:rFonts w:ascii="Times New Roman" w:hAnsi="Times New Roman" w:cs="Times New Roman"/>
                <w:b/>
                <w:sz w:val="22"/>
                <w:szCs w:val="22"/>
                <w:lang w:val="en-US"/>
              </w:rPr>
            </w:pPr>
            <w:r w:rsidRPr="008721E7">
              <w:rPr>
                <w:rFonts w:ascii="Times New Roman" w:hAnsi="Times New Roman" w:cs="Times New Roman"/>
                <w:b/>
                <w:sz w:val="22"/>
                <w:szCs w:val="22"/>
                <w:lang w:val="en-US"/>
              </w:rPr>
              <w:t>$</w:t>
            </w:r>
            <w:r w:rsidR="00341CC7">
              <w:rPr>
                <w:rFonts w:ascii="Times New Roman" w:hAnsi="Times New Roman" w:cs="Times New Roman"/>
                <w:b/>
                <w:sz w:val="22"/>
                <w:szCs w:val="22"/>
                <w:lang w:val="en-US"/>
              </w:rPr>
              <w:t>87,474,270.00</w:t>
            </w:r>
          </w:p>
        </w:tc>
      </w:tr>
    </w:tbl>
    <w:p w:rsidR="0026271F" w:rsidRPr="00585991" w:rsidP="0010663B" w14:paraId="080B59C7" w14:textId="77777777">
      <w:pPr>
        <w:spacing w:before="240" w:after="240"/>
        <w:rPr>
          <w:szCs w:val="22"/>
        </w:rPr>
      </w:pPr>
      <w:r w:rsidRPr="00585991">
        <w:rPr>
          <w:szCs w:val="22"/>
        </w:rPr>
        <w:t xml:space="preserve">14. </w:t>
      </w:r>
      <w:r w:rsidRPr="00585991">
        <w:rPr>
          <w:szCs w:val="22"/>
          <w:u w:val="single"/>
        </w:rPr>
        <w:t xml:space="preserve">Estimated </w:t>
      </w:r>
      <w:r w:rsidRPr="00585991" w:rsidR="00582C3F">
        <w:rPr>
          <w:szCs w:val="22"/>
          <w:u w:val="single"/>
        </w:rPr>
        <w:t xml:space="preserve">annual cost to the </w:t>
      </w:r>
      <w:r w:rsidRPr="00585991" w:rsidR="00306A5A">
        <w:rPr>
          <w:szCs w:val="22"/>
          <w:u w:val="single"/>
        </w:rPr>
        <w:t>F</w:t>
      </w:r>
      <w:r w:rsidRPr="00585991" w:rsidR="00582C3F">
        <w:rPr>
          <w:szCs w:val="22"/>
          <w:u w:val="single"/>
        </w:rPr>
        <w:t>ederal government</w:t>
      </w:r>
      <w:r w:rsidRPr="00585991" w:rsidR="00DF78A8">
        <w:rPr>
          <w:szCs w:val="22"/>
          <w:u w:val="single"/>
        </w:rPr>
        <w:t>.</w:t>
      </w:r>
    </w:p>
    <w:p w:rsidR="0026271F" w:rsidRPr="00585991" w:rsidP="0010663B" w14:paraId="367FEA6E" w14:textId="77777777">
      <w:pPr>
        <w:spacing w:after="240"/>
        <w:ind w:firstLine="720"/>
      </w:pPr>
      <w:r w:rsidRPr="00585991">
        <w:t>There is no cost to the government; this is a recordkeeping requirement only.</w:t>
      </w:r>
    </w:p>
    <w:p w:rsidR="00DF362F" w:rsidRPr="00585991" w:rsidP="0010663B" w14:paraId="1E3235B3" w14:textId="54B55302">
      <w:pPr>
        <w:spacing w:after="240"/>
        <w:rPr>
          <w:szCs w:val="22"/>
        </w:rPr>
      </w:pPr>
      <w:r w:rsidRPr="00585991">
        <w:rPr>
          <w:szCs w:val="22"/>
        </w:rPr>
        <w:t xml:space="preserve">15. </w:t>
      </w:r>
      <w:r w:rsidRPr="00585991">
        <w:rPr>
          <w:szCs w:val="22"/>
          <w:u w:val="single"/>
        </w:rPr>
        <w:t xml:space="preserve">Reason for </w:t>
      </w:r>
      <w:r w:rsidRPr="00585991" w:rsidR="00DF78A8">
        <w:rPr>
          <w:szCs w:val="22"/>
          <w:u w:val="single"/>
        </w:rPr>
        <w:t>c</w:t>
      </w:r>
      <w:r w:rsidRPr="00585991">
        <w:rPr>
          <w:szCs w:val="22"/>
          <w:u w:val="single"/>
        </w:rPr>
        <w:t xml:space="preserve">hange in </w:t>
      </w:r>
      <w:r w:rsidRPr="00585991" w:rsidR="00DF78A8">
        <w:rPr>
          <w:szCs w:val="22"/>
          <w:u w:val="single"/>
        </w:rPr>
        <w:t>b</w:t>
      </w:r>
      <w:r w:rsidRPr="00585991">
        <w:rPr>
          <w:szCs w:val="22"/>
          <w:u w:val="single"/>
        </w:rPr>
        <w:t>urden</w:t>
      </w:r>
      <w:r w:rsidRPr="00585991" w:rsidR="00DF78A8">
        <w:rPr>
          <w:szCs w:val="22"/>
          <w:u w:val="single"/>
        </w:rPr>
        <w:t>.</w:t>
      </w:r>
      <w:r w:rsidRPr="00585991">
        <w:rPr>
          <w:szCs w:val="22"/>
        </w:rPr>
        <w:t xml:space="preserve"> </w:t>
      </w:r>
    </w:p>
    <w:p w:rsidR="0026271F" w:rsidRPr="00585991" w:rsidP="0010663B" w14:paraId="0742E3D4" w14:textId="5D2EBC73">
      <w:pPr>
        <w:widowControl w:val="0"/>
        <w:spacing w:after="240"/>
        <w:ind w:firstLine="720"/>
        <w:rPr>
          <w:snapToGrid w:val="0"/>
        </w:rPr>
      </w:pPr>
      <w:r w:rsidRPr="00585991">
        <w:rPr>
          <w:snapToGrid w:val="0"/>
        </w:rPr>
        <w:t xml:space="preserve">The </w:t>
      </w:r>
      <w:r w:rsidRPr="00585991" w:rsidR="00054F5D">
        <w:rPr>
          <w:snapToGrid w:val="0"/>
        </w:rPr>
        <w:t xml:space="preserve">estimated </w:t>
      </w:r>
      <w:r w:rsidRPr="00585991">
        <w:rPr>
          <w:snapToGrid w:val="0"/>
        </w:rPr>
        <w:t xml:space="preserve">total annual burden hours </w:t>
      </w:r>
      <w:r w:rsidR="0065355F">
        <w:rPr>
          <w:snapToGrid w:val="0"/>
        </w:rPr>
        <w:t>in</w:t>
      </w:r>
      <w:r w:rsidR="002415CC">
        <w:rPr>
          <w:snapToGrid w:val="0"/>
        </w:rPr>
        <w:t>cre</w:t>
      </w:r>
      <w:r w:rsidR="00571A8E">
        <w:rPr>
          <w:snapToGrid w:val="0"/>
        </w:rPr>
        <w:t>ased</w:t>
      </w:r>
      <w:r w:rsidRPr="00585991">
        <w:rPr>
          <w:snapToGrid w:val="0"/>
        </w:rPr>
        <w:t xml:space="preserve"> from 6</w:t>
      </w:r>
      <w:r w:rsidR="002415CC">
        <w:rPr>
          <w:snapToGrid w:val="0"/>
        </w:rPr>
        <w:t>84,168</w:t>
      </w:r>
      <w:r w:rsidRPr="00585991">
        <w:rPr>
          <w:snapToGrid w:val="0"/>
        </w:rPr>
        <w:t xml:space="preserve"> hours </w:t>
      </w:r>
      <w:r w:rsidRPr="00585991" w:rsidR="00971BED">
        <w:rPr>
          <w:snapToGrid w:val="0"/>
        </w:rPr>
        <w:t>since</w:t>
      </w:r>
      <w:r w:rsidRPr="00585991" w:rsidR="007E25F2">
        <w:rPr>
          <w:snapToGrid w:val="0"/>
        </w:rPr>
        <w:t xml:space="preserve"> the </w:t>
      </w:r>
      <w:r w:rsidR="00571A8E">
        <w:rPr>
          <w:snapToGrid w:val="0"/>
        </w:rPr>
        <w:t>2020</w:t>
      </w:r>
      <w:r w:rsidRPr="00585991" w:rsidR="007E25F2">
        <w:rPr>
          <w:snapToGrid w:val="0"/>
        </w:rPr>
        <w:t xml:space="preserve"> control number renewal </w:t>
      </w:r>
      <w:r w:rsidRPr="00585991">
        <w:rPr>
          <w:snapToGrid w:val="0"/>
        </w:rPr>
        <w:t xml:space="preserve">to </w:t>
      </w:r>
      <w:r w:rsidR="0065355F">
        <w:rPr>
          <w:snapToGrid w:val="0"/>
        </w:rPr>
        <w:t>822,</w:t>
      </w:r>
      <w:r w:rsidR="00EE3A88">
        <w:rPr>
          <w:snapToGrid w:val="0"/>
        </w:rPr>
        <w:t>900</w:t>
      </w:r>
      <w:r w:rsidRPr="00585991">
        <w:rPr>
          <w:snapToGrid w:val="0"/>
        </w:rPr>
        <w:t xml:space="preserve"> hours</w:t>
      </w:r>
      <w:r w:rsidR="00433129">
        <w:rPr>
          <w:snapToGrid w:val="0"/>
        </w:rPr>
        <w:t xml:space="preserve"> in 2024</w:t>
      </w:r>
      <w:r w:rsidRPr="00585991">
        <w:rPr>
          <w:snapToGrid w:val="0"/>
        </w:rPr>
        <w:t xml:space="preserve">.  </w:t>
      </w:r>
      <w:r w:rsidR="00493529">
        <w:rPr>
          <w:snapToGrid w:val="0"/>
        </w:rPr>
        <w:t>The burden estimates for maintenance (10 hours)</w:t>
      </w:r>
      <w:r w:rsidR="00E42B06">
        <w:rPr>
          <w:snapToGrid w:val="0"/>
        </w:rPr>
        <w:t xml:space="preserve"> and</w:t>
      </w:r>
      <w:r w:rsidR="00493529">
        <w:rPr>
          <w:snapToGrid w:val="0"/>
        </w:rPr>
        <w:t xml:space="preserve"> notification (one hour)</w:t>
      </w:r>
      <w:r w:rsidR="00E42B06">
        <w:rPr>
          <w:snapToGrid w:val="0"/>
        </w:rPr>
        <w:t xml:space="preserve"> of CIP remained the same in the 2020 and </w:t>
      </w:r>
      <w:r w:rsidR="00B55228">
        <w:rPr>
          <w:snapToGrid w:val="0"/>
        </w:rPr>
        <w:t>2024 renewals.  However, the</w:t>
      </w:r>
      <w:r w:rsidR="00493529">
        <w:rPr>
          <w:snapToGrid w:val="0"/>
        </w:rPr>
        <w:t xml:space="preserve"> implementation of CIP </w:t>
      </w:r>
      <w:r w:rsidR="00B55228">
        <w:rPr>
          <w:snapToGrid w:val="0"/>
        </w:rPr>
        <w:t>increased from two minutes per account in 2020 to three minutes per account in 2024.</w:t>
      </w:r>
      <w:r w:rsidR="00493529">
        <w:rPr>
          <w:snapToGrid w:val="0"/>
        </w:rPr>
        <w:t xml:space="preserve">  The number of mutual</w:t>
      </w:r>
      <w:r w:rsidR="0009228B">
        <w:rPr>
          <w:snapToGrid w:val="0"/>
        </w:rPr>
        <w:t xml:space="preserve"> funds</w:t>
      </w:r>
      <w:r w:rsidR="00493529">
        <w:rPr>
          <w:snapToGrid w:val="0"/>
        </w:rPr>
        <w:t xml:space="preserve"> in the 2020 renewal was 1</w:t>
      </w:r>
      <w:r w:rsidR="0009228B">
        <w:rPr>
          <w:snapToGrid w:val="0"/>
        </w:rPr>
        <w:t>,591</w:t>
      </w:r>
      <w:r w:rsidR="00493529">
        <w:rPr>
          <w:snapToGrid w:val="0"/>
        </w:rPr>
        <w:t xml:space="preserve"> and the number of </w:t>
      </w:r>
      <w:r w:rsidR="0009228B">
        <w:rPr>
          <w:snapToGrid w:val="0"/>
        </w:rPr>
        <w:t>mutual funds</w:t>
      </w:r>
      <w:r w:rsidR="00493529">
        <w:rPr>
          <w:snapToGrid w:val="0"/>
        </w:rPr>
        <w:t xml:space="preserve"> in 2024 is 1</w:t>
      </w:r>
      <w:r w:rsidR="0009228B">
        <w:rPr>
          <w:snapToGrid w:val="0"/>
        </w:rPr>
        <w:t>,400</w:t>
      </w:r>
      <w:r w:rsidR="00493529">
        <w:rPr>
          <w:snapToGrid w:val="0"/>
        </w:rPr>
        <w:t xml:space="preserve">.  </w:t>
      </w:r>
      <w:r w:rsidR="0009228B">
        <w:rPr>
          <w:snapToGrid w:val="0"/>
        </w:rPr>
        <w:t xml:space="preserve">The number of </w:t>
      </w:r>
      <w:r w:rsidR="004B601B">
        <w:rPr>
          <w:snapToGrid w:val="0"/>
        </w:rPr>
        <w:t xml:space="preserve">new mutual fund accounts opened </w:t>
      </w:r>
      <w:r w:rsidR="004B601B">
        <w:rPr>
          <w:snapToGrid w:val="0"/>
        </w:rPr>
        <w:t xml:space="preserve">annually in 2020 was </w:t>
      </w:r>
      <w:r w:rsidR="00AB2F26">
        <w:rPr>
          <w:snapToGrid w:val="0"/>
        </w:rPr>
        <w:t xml:space="preserve">20,000,000 and the number of mutual fund accounts </w:t>
      </w:r>
      <w:r w:rsidR="00C028A0">
        <w:rPr>
          <w:snapToGrid w:val="0"/>
        </w:rPr>
        <w:t xml:space="preserve">opened annually </w:t>
      </w:r>
      <w:r w:rsidR="00AB2F26">
        <w:rPr>
          <w:snapToGrid w:val="0"/>
        </w:rPr>
        <w:t xml:space="preserve">in 2024 is 16,150,000. </w:t>
      </w:r>
      <w:r w:rsidR="00C028A0">
        <w:rPr>
          <w:snapToGrid w:val="0"/>
        </w:rPr>
        <w:t xml:space="preserve"> </w:t>
      </w:r>
      <w:r w:rsidR="00493529">
        <w:rPr>
          <w:snapToGrid w:val="0"/>
        </w:rPr>
        <w:t xml:space="preserve">The primary reason for the </w:t>
      </w:r>
      <w:r w:rsidR="00DC3BC6">
        <w:rPr>
          <w:snapToGrid w:val="0"/>
        </w:rPr>
        <w:t>increase</w:t>
      </w:r>
      <w:r w:rsidR="00493529">
        <w:rPr>
          <w:snapToGrid w:val="0"/>
        </w:rPr>
        <w:t xml:space="preserve"> in burden is </w:t>
      </w:r>
      <w:r w:rsidR="00214F23">
        <w:rPr>
          <w:snapToGrid w:val="0"/>
        </w:rPr>
        <w:t>the increase in the estimate of CIP implementation of three minutes per account in 2024.</w:t>
      </w:r>
    </w:p>
    <w:p w:rsidR="00F934E3" w:rsidRPr="00360D25" w:rsidP="0010663B" w14:paraId="08C4C8D5" w14:textId="07A3788E">
      <w:pPr>
        <w:spacing w:after="240"/>
        <w:rPr>
          <w:szCs w:val="22"/>
        </w:rPr>
      </w:pPr>
      <w:r w:rsidRPr="00585991">
        <w:rPr>
          <w:szCs w:val="22"/>
        </w:rPr>
        <w:t xml:space="preserve">16. </w:t>
      </w:r>
      <w:r w:rsidRPr="00585991">
        <w:rPr>
          <w:szCs w:val="22"/>
          <w:u w:val="single"/>
        </w:rPr>
        <w:t xml:space="preserve">Plans for </w:t>
      </w:r>
      <w:r w:rsidRPr="00585991" w:rsidR="00DF78A8">
        <w:rPr>
          <w:szCs w:val="22"/>
          <w:u w:val="single"/>
        </w:rPr>
        <w:t>t</w:t>
      </w:r>
      <w:r w:rsidRPr="00585991">
        <w:rPr>
          <w:szCs w:val="22"/>
          <w:u w:val="single"/>
        </w:rPr>
        <w:t xml:space="preserve">abulation, </w:t>
      </w:r>
      <w:r w:rsidRPr="00585991" w:rsidR="00DF78A8">
        <w:rPr>
          <w:szCs w:val="22"/>
          <w:u w:val="single"/>
        </w:rPr>
        <w:t>s</w:t>
      </w:r>
      <w:r w:rsidRPr="00585991">
        <w:rPr>
          <w:szCs w:val="22"/>
          <w:u w:val="single"/>
        </w:rPr>
        <w:t xml:space="preserve">tatistical </w:t>
      </w:r>
      <w:r w:rsidRPr="00585991" w:rsidR="00DF78A8">
        <w:rPr>
          <w:szCs w:val="22"/>
          <w:u w:val="single"/>
        </w:rPr>
        <w:t>a</w:t>
      </w:r>
      <w:r w:rsidRPr="00585991">
        <w:rPr>
          <w:szCs w:val="22"/>
          <w:u w:val="single"/>
        </w:rPr>
        <w:t xml:space="preserve">nalysis, and </w:t>
      </w:r>
      <w:r w:rsidRPr="00585991" w:rsidR="00DF78A8">
        <w:rPr>
          <w:szCs w:val="22"/>
          <w:u w:val="single"/>
        </w:rPr>
        <w:t>p</w:t>
      </w:r>
      <w:r w:rsidRPr="00585991">
        <w:rPr>
          <w:szCs w:val="22"/>
          <w:u w:val="single"/>
        </w:rPr>
        <w:t>ublication</w:t>
      </w:r>
      <w:r w:rsidRPr="00585991" w:rsidR="00DF78A8">
        <w:rPr>
          <w:szCs w:val="22"/>
          <w:u w:val="single"/>
        </w:rPr>
        <w:t>.</w:t>
      </w:r>
      <w:r w:rsidRPr="00585991">
        <w:rPr>
          <w:szCs w:val="22"/>
        </w:rPr>
        <w:t xml:space="preserve"> </w:t>
      </w:r>
    </w:p>
    <w:p w:rsidR="00585991" w:rsidP="0010663B" w14:paraId="625E2E11" w14:textId="609C411D">
      <w:pPr>
        <w:spacing w:after="240"/>
        <w:ind w:firstLine="720"/>
      </w:pPr>
      <w:r w:rsidRPr="00D37498">
        <w:t xml:space="preserve">The </w:t>
      </w:r>
      <w:r>
        <w:t xml:space="preserve">collection of </w:t>
      </w:r>
      <w:r w:rsidRPr="00D37498">
        <w:t>information will not be tabulated or compiled for publication.</w:t>
      </w:r>
      <w:r w:rsidRPr="00D37498">
        <w:rPr>
          <w:szCs w:val="22"/>
        </w:rPr>
        <w:t xml:space="preserve"> </w:t>
      </w:r>
    </w:p>
    <w:p w:rsidR="00140096" w:rsidP="0010663B" w14:paraId="488AAA58" w14:textId="0EA69BF1">
      <w:pPr>
        <w:spacing w:after="240"/>
        <w:rPr>
          <w:szCs w:val="22"/>
        </w:rPr>
      </w:pPr>
      <w:r w:rsidRPr="00585991">
        <w:t xml:space="preserve">17. </w:t>
      </w:r>
      <w:r w:rsidRPr="00585991">
        <w:rPr>
          <w:u w:val="single"/>
        </w:rPr>
        <w:t xml:space="preserve">Request not to display the </w:t>
      </w:r>
      <w:r w:rsidRPr="00585991" w:rsidR="00171F84">
        <w:rPr>
          <w:u w:val="single"/>
        </w:rPr>
        <w:t xml:space="preserve">expiration date of the </w:t>
      </w:r>
      <w:r w:rsidRPr="00585991">
        <w:rPr>
          <w:u w:val="single"/>
        </w:rPr>
        <w:t xml:space="preserve">OMB </w:t>
      </w:r>
      <w:r w:rsidRPr="00585991" w:rsidR="00171F84">
        <w:rPr>
          <w:u w:val="single"/>
        </w:rPr>
        <w:t>control number</w:t>
      </w:r>
      <w:r w:rsidRPr="00585991" w:rsidR="00171F84">
        <w:rPr>
          <w:szCs w:val="22"/>
        </w:rPr>
        <w:t>.</w:t>
      </w:r>
    </w:p>
    <w:p w:rsidR="00D02CA1" w:rsidRPr="00360D25" w:rsidP="0010663B" w14:paraId="24E65834" w14:textId="7D6BE4BD">
      <w:pPr>
        <w:spacing w:after="240"/>
        <w:ind w:firstLine="720"/>
      </w:pPr>
      <w:r w:rsidRPr="00D319AA">
        <w:rPr>
          <w:szCs w:val="22"/>
        </w:rPr>
        <w:t xml:space="preserve">FinCEN requests that it not be required to display the expiration date so that the regulations will not have to be amended for the new expiration date every three years.  </w:t>
      </w:r>
      <w:r w:rsidRPr="00D319AA">
        <w:t>This request will not affect the normal three-year PRA renewal process.</w:t>
      </w:r>
    </w:p>
    <w:p w:rsidR="003D5F0E" w:rsidRPr="00585991" w:rsidP="0010663B" w14:paraId="407184EB" w14:textId="41F49786">
      <w:pPr>
        <w:spacing w:after="240"/>
      </w:pPr>
      <w:r w:rsidRPr="00585991">
        <w:t xml:space="preserve">18. </w:t>
      </w:r>
      <w:r w:rsidRPr="00585991">
        <w:rPr>
          <w:u w:val="single"/>
        </w:rPr>
        <w:t>Exceptions to the certification statement</w:t>
      </w:r>
      <w:r w:rsidRPr="00585991" w:rsidR="00DF78A8">
        <w:rPr>
          <w:u w:val="single"/>
        </w:rPr>
        <w:t>.</w:t>
      </w:r>
    </w:p>
    <w:p w:rsidR="0026271F" w:rsidRPr="00360D25" w:rsidP="0010663B" w14:paraId="782C5B23" w14:textId="1CC521B6">
      <w:pPr>
        <w:spacing w:after="240"/>
        <w:ind w:firstLine="720"/>
      </w:pPr>
      <w:r w:rsidRPr="00585991">
        <w:t>There are no exceptions to the certification statement.</w:t>
      </w:r>
    </w:p>
    <w:sectPr w:rsidSect="00B50B09">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3128585"/>
      <w:docPartObj>
        <w:docPartGallery w:val="Page Numbers (Bottom of Page)"/>
        <w:docPartUnique/>
      </w:docPartObj>
    </w:sdtPr>
    <w:sdtEndPr>
      <w:rPr>
        <w:noProof/>
      </w:rPr>
    </w:sdtEndPr>
    <w:sdtContent>
      <w:p w:rsidR="005B0563" w14:paraId="6321E5D6" w14:textId="77777777">
        <w:pPr>
          <w:pStyle w:val="Footer"/>
          <w:jc w:val="center"/>
        </w:pPr>
        <w:r>
          <w:fldChar w:fldCharType="begin"/>
        </w:r>
        <w:r>
          <w:instrText xml:space="preserve"> PAGE   \* MERGEFORMAT </w:instrText>
        </w:r>
        <w:r>
          <w:fldChar w:fldCharType="separate"/>
        </w:r>
        <w:r w:rsidR="00206A7A">
          <w:rPr>
            <w:noProof/>
          </w:rPr>
          <w:t>1</w:t>
        </w:r>
        <w:r>
          <w:rPr>
            <w:noProof/>
          </w:rPr>
          <w:fldChar w:fldCharType="end"/>
        </w:r>
      </w:p>
    </w:sdtContent>
  </w:sdt>
  <w:p w:rsidR="005B0563" w14:paraId="267B3B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73C5" w14:paraId="162BE529" w14:textId="77777777">
      <w:r>
        <w:separator/>
      </w:r>
    </w:p>
  </w:footnote>
  <w:footnote w:type="continuationSeparator" w:id="1">
    <w:p w:rsidR="00A473C5" w14:paraId="6C346905" w14:textId="77777777">
      <w:r>
        <w:continuationSeparator/>
      </w:r>
    </w:p>
  </w:footnote>
  <w:footnote w:id="2">
    <w:p w:rsidR="00D66B1F" w:rsidRPr="005667C4" w:rsidP="00D66B1F" w14:paraId="1C614CD1" w14:textId="7777777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(2001)</w:t>
      </w:r>
      <w:bookmarkEnd w:id="0"/>
      <w:r w:rsidRPr="005667C4">
        <w:t>.</w:t>
      </w:r>
      <w:bookmarkEnd w:id="1"/>
    </w:p>
  </w:footnote>
  <w:footnote w:id="3">
    <w:p w:rsidR="00D66B1F" w:rsidRPr="005667C4" w:rsidP="00D66B1F" w14:paraId="5BCCB674" w14:textId="77777777">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p>
  </w:footnote>
  <w:footnote w:id="4">
    <w:p w:rsidR="00D66B1F" w:rsidRPr="005667C4" w:rsidP="00D66B1F" w14:paraId="578079C0"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D66B1F" w:rsidRPr="005667C4" w:rsidP="00D66B1F" w14:paraId="76CB8D05" w14:textId="01D62FD0">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31 U.S.C. 310(b)(2)(I) (providing that</w:t>
      </w:r>
      <w:r w:rsidR="00886DA0">
        <w:rPr>
          <w:color w:val="000000"/>
          <w:sz w:val="20"/>
          <w:szCs w:val="20"/>
        </w:rPr>
        <w:t xml:space="preserve"> the</w:t>
      </w:r>
      <w:r w:rsidRPr="005667C4">
        <w:rPr>
          <w:color w:val="000000"/>
          <w:sz w:val="20"/>
          <w:szCs w:val="20"/>
        </w:rPr>
        <w:t xml:space="preserve"> FinCEN Director </w:t>
      </w:r>
      <w:r w:rsidR="00886DA0">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B37DA1" w:rsidP="00B37DA1" w14:paraId="77326D2C" w14:textId="77777777">
      <w:pPr>
        <w:pStyle w:val="FootnoteText"/>
      </w:pPr>
      <w:r>
        <w:rPr>
          <w:rStyle w:val="FootnoteReference"/>
        </w:rPr>
        <w:footnoteRef/>
      </w:r>
      <w:r>
        <w:t xml:space="preserve"> Section 5318(l)(2) prescribes that the regulations, </w:t>
      </w:r>
      <w:r>
        <w:rPr>
          <w:szCs w:val="18"/>
        </w:rPr>
        <w:t>at a minimum,</w:t>
      </w:r>
      <w:r>
        <w:t xml:space="preserve"> require</w:t>
      </w:r>
      <w:r>
        <w:rPr>
          <w:szCs w:val="18"/>
        </w:rPr>
        <w:t xml:space="preserve"> financial institutions to implement reasonable procedures for: (1) verifying the identity of any person seeking to open an account, to the extent reasonable and practicable; (2) maintaining records of the information used to verify the person’s identity, including name, address, and other identifying information; and (3) determining whether the person appears on any lists of known or suspected terrorists or terrorist organizations provided to the financial institution by any government agency.  Section 5318(l)(3) further directs that the regulations take into consideration the types of accounts maintained by financial institutions, the methods of opening accounts, and the types of identifying information available.</w:t>
      </w:r>
    </w:p>
  </w:footnote>
  <w:footnote w:id="7">
    <w:p w:rsidR="00B37DA1" w:rsidP="00B37DA1" w14:paraId="64931A55" w14:textId="4DFE6CEE">
      <w:pPr>
        <w:pStyle w:val="FootnoteText"/>
      </w:pPr>
      <w:r>
        <w:rPr>
          <w:rStyle w:val="FootnoteReference"/>
        </w:rPr>
        <w:footnoteRef/>
      </w:r>
      <w:r>
        <w:t xml:space="preserve"> “Broker-dealer” </w:t>
      </w:r>
      <w:r w:rsidRPr="00164095">
        <w:t>means</w:t>
      </w:r>
      <w:r w:rsidRPr="0001606D">
        <w:t xml:space="preserve"> a person registered or required to be registered as a broker or dealer with the Commission under the Securities Exchange Act of 1934 (</w:t>
      </w:r>
      <w:hyperlink r:id="rId1" w:tgtFrame="_blank" w:history="1">
        <w:r w:rsidRPr="0001606D">
          <w:rPr>
            <w:color w:val="0000FF"/>
            <w:u w:val="single"/>
          </w:rPr>
          <w:t>15 U.S.C. 77a</w:t>
        </w:r>
      </w:hyperlink>
      <w:r w:rsidRPr="0001606D">
        <w:t xml:space="preserve"> </w:t>
      </w:r>
      <w:r w:rsidRPr="0001606D">
        <w:rPr>
          <w:i/>
          <w:iCs/>
        </w:rPr>
        <w:t>et seq.</w:t>
      </w:r>
      <w:r w:rsidRPr="0001606D">
        <w:t xml:space="preserve">), except persons who register pursuant to </w:t>
      </w:r>
      <w:hyperlink r:id="rId2" w:tgtFrame="_blank" w:history="1">
        <w:r w:rsidRPr="0001606D">
          <w:rPr>
            <w:color w:val="0000FF"/>
            <w:u w:val="single"/>
          </w:rPr>
          <w:t>15 U.S.C. 78o(b)(11)</w:t>
        </w:r>
      </w:hyperlink>
      <w:r>
        <w:t>.  31 CFR 1023.100(b).</w:t>
      </w:r>
    </w:p>
  </w:footnote>
  <w:footnote w:id="8">
    <w:p w:rsidR="00B37DA1" w:rsidRPr="00FD4A7B" w:rsidP="00B37DA1" w14:paraId="7A6617B3" w14:textId="77777777">
      <w:pPr>
        <w:pStyle w:val="FootnoteText"/>
      </w:pPr>
      <w:r>
        <w:rPr>
          <w:rStyle w:val="FootnoteReference"/>
        </w:rPr>
        <w:footnoteRef/>
      </w:r>
      <w:r>
        <w:t xml:space="preserve"> </w:t>
      </w:r>
      <w:r w:rsidRPr="00FD4A7B">
        <w:rPr>
          <w:color w:val="1F497D"/>
        </w:rPr>
        <w:t>“</w:t>
      </w:r>
      <w:r w:rsidRPr="00FD4A7B">
        <w:t>Mutual fund” means an “investment company” (as the term is defined in section 3 of the Investment Company Act (</w:t>
      </w:r>
      <w:hyperlink r:id="rId3" w:tgtFrame="_blank" w:history="1">
        <w:r w:rsidRPr="00217246">
          <w:rPr>
            <w:rStyle w:val="Hyperlink"/>
          </w:rPr>
          <w:t>15 U.S.C. 80a-3</w:t>
        </w:r>
      </w:hyperlink>
      <w:r w:rsidRPr="00FD4A7B">
        <w:t>)) that is an “open-end company” (as that term is defined in section 5 of the Investment Company Act (</w:t>
      </w:r>
      <w:hyperlink r:id="rId4" w:tgtFrame="_blank" w:history="1">
        <w:r w:rsidRPr="00217246">
          <w:rPr>
            <w:rStyle w:val="Hyperlink"/>
          </w:rPr>
          <w:t>15 U.S.C. 80a-5</w:t>
        </w:r>
      </w:hyperlink>
      <w:r w:rsidRPr="00FD4A7B">
        <w:t>)) that is registered or is required to register with the Commission under section 8 of the Investment Company Act (</w:t>
      </w:r>
      <w:hyperlink r:id="rId5" w:tgtFrame="_blank" w:history="1">
        <w:r w:rsidRPr="00217246">
          <w:rPr>
            <w:rStyle w:val="Hyperlink"/>
          </w:rPr>
          <w:t>15 U.S.C. 80a-8</w:t>
        </w:r>
      </w:hyperlink>
      <w:r w:rsidRPr="00FD4A7B">
        <w:t>).</w:t>
      </w:r>
      <w:r>
        <w:t xml:space="preserve">  31 CFR 1010.100(gg).</w:t>
      </w:r>
    </w:p>
  </w:footnote>
  <w:footnote w:id="9">
    <w:p w:rsidR="00B37DA1" w:rsidP="00B37DA1" w14:paraId="39A832A7" w14:textId="31A97236">
      <w:pPr>
        <w:pStyle w:val="FootnoteText"/>
      </w:pPr>
      <w:r>
        <w:rPr>
          <w:rStyle w:val="FootnoteReference"/>
        </w:rPr>
        <w:footnoteRef/>
      </w:r>
      <w:r>
        <w:t xml:space="preserve"> “Futures commissions merchants” means any person registered or required to be</w:t>
      </w:r>
      <w:r w:rsidRPr="005B461D">
        <w:t xml:space="preserve"> registered as a futures commission merchant with the Commodity Futures Trading Commission (CFTC) under the Commodity Exchange Act (</w:t>
      </w:r>
      <w:hyperlink r:id="rId6" w:tgtFrame="_blank" w:history="1">
        <w:r w:rsidRPr="005B461D">
          <w:rPr>
            <w:rStyle w:val="Hyperlink"/>
          </w:rPr>
          <w:t>7 U.S.C. 1</w:t>
        </w:r>
      </w:hyperlink>
      <w:r w:rsidRPr="005B461D">
        <w:t xml:space="preserve"> </w:t>
      </w:r>
      <w:r w:rsidRPr="005B461D">
        <w:rPr>
          <w:i/>
          <w:iCs/>
        </w:rPr>
        <w:t>et seq.</w:t>
      </w:r>
      <w:r w:rsidRPr="005B461D">
        <w:t>), except persons who register pursuant to Section 4f(a)(2) of the Commodity Exchange Act (</w:t>
      </w:r>
      <w:hyperlink r:id="rId7" w:tgtFrame="_blank" w:history="1">
        <w:r w:rsidRPr="005B461D">
          <w:rPr>
            <w:rStyle w:val="Hyperlink"/>
          </w:rPr>
          <w:t>7 U.S.C. 6f(a)(2)</w:t>
        </w:r>
      </w:hyperlink>
      <w:r w:rsidRPr="005B461D">
        <w:t>).</w:t>
      </w:r>
      <w:r>
        <w:t xml:space="preserve"> </w:t>
      </w:r>
      <w:r w:rsidR="007041C5">
        <w:t xml:space="preserve"> </w:t>
      </w:r>
      <w:r>
        <w:t xml:space="preserve">31 CFR 1026.100(f).  “Introducing broker” means </w:t>
      </w:r>
      <w:r w:rsidRPr="005B461D">
        <w:t>any person registered or required to be registered as an introducing broker with the CFTC under the Commodity Exchange Act (</w:t>
      </w:r>
      <w:hyperlink r:id="rId6" w:tgtFrame="_blank" w:history="1">
        <w:r w:rsidRPr="005B461D">
          <w:rPr>
            <w:rStyle w:val="Hyperlink"/>
          </w:rPr>
          <w:t>7 U.S.C. 1</w:t>
        </w:r>
      </w:hyperlink>
      <w:r w:rsidRPr="005B461D">
        <w:t xml:space="preserve"> </w:t>
      </w:r>
      <w:r w:rsidRPr="005B461D">
        <w:rPr>
          <w:i/>
          <w:iCs/>
        </w:rPr>
        <w:t>et seq.</w:t>
      </w:r>
      <w:r w:rsidRPr="005B461D">
        <w:t>), except persons who register pursuant to Section 4f(a)(2) of the Commodity Exchange Act (</w:t>
      </w:r>
      <w:hyperlink r:id="rId7" w:tgtFrame="_blank" w:history="1">
        <w:r w:rsidRPr="005B461D">
          <w:rPr>
            <w:rStyle w:val="Hyperlink"/>
          </w:rPr>
          <w:t>7 U.S.C. 6f(a)(2)</w:t>
        </w:r>
      </w:hyperlink>
      <w:r w:rsidRPr="005B461D">
        <w:t>).</w:t>
      </w:r>
      <w:r>
        <w:t xml:space="preserve"> </w:t>
      </w:r>
      <w:r w:rsidR="007041C5">
        <w:t xml:space="preserve"> </w:t>
      </w:r>
      <w:r>
        <w:t>31 CFR 1026.100(g).</w:t>
      </w:r>
    </w:p>
  </w:footnote>
  <w:footnote w:id="10">
    <w:p w:rsidR="009779CE" w:rsidRPr="002C1866" w:rsidP="009779CE" w14:paraId="78AE501A" w14:textId="740248A0">
      <w:pPr>
        <w:pStyle w:val="FootnoteText"/>
      </w:pPr>
      <w:r>
        <w:rPr>
          <w:rStyle w:val="FootnoteReference"/>
        </w:rPr>
        <w:footnoteRef/>
      </w:r>
      <w:r>
        <w:t xml:space="preserve"> </w:t>
      </w:r>
      <w:r w:rsidRPr="006F052B">
        <w:rPr>
          <w:i/>
          <w:iCs/>
        </w:rPr>
        <w:t xml:space="preserve">See </w:t>
      </w:r>
      <w:r w:rsidRPr="006F052B">
        <w:t xml:space="preserve">FinCEN, </w:t>
      </w:r>
      <w:r w:rsidRPr="006F052B">
        <w:rPr>
          <w:i/>
          <w:iCs/>
        </w:rPr>
        <w:t>Agency Information Collection Activities; Proposed Renewal; Comment Request: Renewal Without Change of</w:t>
      </w:r>
      <w:r>
        <w:rPr>
          <w:i/>
          <w:iCs/>
        </w:rPr>
        <w:t xml:space="preserve"> Customer Identification Program Regulatory Requirements for Certain Financial Institutions</w:t>
      </w:r>
      <w:r>
        <w:t xml:space="preserve">, </w:t>
      </w:r>
      <w:hyperlink r:id="rId8" w:history="1">
        <w:r>
          <w:rPr>
            <w:rStyle w:val="Hyperlink"/>
          </w:rPr>
          <w:t>89 FR 51940</w:t>
        </w:r>
      </w:hyperlink>
      <w:r>
        <w:t xml:space="preserve"> (Jun</w:t>
      </w:r>
      <w:r w:rsidR="00360D25">
        <w:t>e</w:t>
      </w:r>
      <w:r>
        <w:t xml:space="preserve"> 20, 2024).</w:t>
      </w:r>
    </w:p>
  </w:footnote>
  <w:footnote w:id="11">
    <w:p w:rsidR="009779CE" w:rsidP="009779CE" w14:paraId="5243E709" w14:textId="77777777">
      <w:pPr>
        <w:pStyle w:val="FootnoteText"/>
      </w:pPr>
      <w:r>
        <w:rPr>
          <w:rStyle w:val="FootnoteReference"/>
        </w:rPr>
        <w:footnoteRef/>
      </w:r>
      <w:r>
        <w:t xml:space="preserve"> 5 CFR 1320.3.</w:t>
      </w:r>
    </w:p>
  </w:footnote>
  <w:footnote w:id="12">
    <w:p w:rsidR="009779CE" w:rsidP="009779CE" w14:paraId="12032C33" w14:textId="03DA5791">
      <w:pPr>
        <w:pStyle w:val="FootnoteText"/>
      </w:pPr>
      <w:r>
        <w:rPr>
          <w:rStyle w:val="FootnoteReference"/>
        </w:rPr>
        <w:footnoteRef/>
      </w:r>
      <w:r>
        <w:t xml:space="preserve"> </w:t>
      </w:r>
      <w:r w:rsidRPr="00747956">
        <w:rPr>
          <w:i/>
          <w:iCs/>
        </w:rPr>
        <w:t>See</w:t>
      </w:r>
      <w:r>
        <w:t xml:space="preserve"> </w:t>
      </w:r>
      <w:bookmarkStart w:id="4" w:name="_Hlk175747734"/>
      <w:r w:rsidR="00983A44">
        <w:t xml:space="preserve">FinCEN, </w:t>
      </w:r>
      <w:r w:rsidR="00983A44">
        <w:rPr>
          <w:i/>
          <w:iCs/>
        </w:rPr>
        <w:t xml:space="preserve">Agency Information Collection Activities; Proposed Renewal; Comment Request; Renewal Without Change of Customer Identification Program Regulatory Requirements for Certain Financial </w:t>
      </w:r>
      <w:r w:rsidRPr="00983A44" w:rsidR="00983A44">
        <w:rPr>
          <w:i/>
          <w:iCs/>
        </w:rPr>
        <w:t>Institutions</w:t>
      </w:r>
      <w:r w:rsidR="00983A44">
        <w:t xml:space="preserve">, </w:t>
      </w:r>
      <w:bookmarkEnd w:id="4"/>
      <w:hyperlink r:id="rId8" w:anchor="page-51942" w:history="1">
        <w:r w:rsidRPr="00983A44">
          <w:rPr>
            <w:rStyle w:val="Hyperlink"/>
          </w:rPr>
          <w:t>89 FR 51942</w:t>
        </w:r>
      </w:hyperlink>
      <w:r>
        <w:t xml:space="preserve"> (Jun</w:t>
      </w:r>
      <w:r w:rsidR="00983A44">
        <w:t>e</w:t>
      </w:r>
      <w:r>
        <w:t xml:space="preserve"> 20, 2024) Table 1, note f. </w:t>
      </w:r>
    </w:p>
  </w:footnote>
  <w:footnote w:id="13">
    <w:p w:rsidR="009C45CB" w:rsidRPr="00FE0FB5" w:rsidP="009C45CB" w14:paraId="087DB62D"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9"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4">
    <w:p w:rsidR="000A1C62" w:rsidRPr="004B2A63" w:rsidP="000A1C62" w14:paraId="327BFE6F" w14:textId="22F3E39F">
      <w:pPr>
        <w:pStyle w:val="CommentText"/>
      </w:pPr>
      <w:r w:rsidRPr="004B2A63">
        <w:rPr>
          <w:rStyle w:val="FootnoteReference"/>
        </w:rPr>
        <w:footnoteRef/>
      </w:r>
      <w:r w:rsidRPr="004B2A63">
        <w:t xml:space="preserve"> </w:t>
      </w:r>
      <w:r>
        <w:t xml:space="preserve">Table 1 sets forth a distribution of the types of financial institutions covered by this </w:t>
      </w:r>
      <w:r w:rsidR="005638F3">
        <w:t>supporting statement</w:t>
      </w:r>
      <w:r>
        <w:t xml:space="preserve">. </w:t>
      </w:r>
    </w:p>
  </w:footnote>
  <w:footnote w:id="15">
    <w:p w:rsidR="000410E9" w:rsidP="000410E9" w14:paraId="2E8230D0" w14:textId="4EF3BB3F">
      <w:pPr>
        <w:pStyle w:val="FootnoteText"/>
      </w:pPr>
      <w:r w:rsidRPr="008721E7">
        <w:rPr>
          <w:rStyle w:val="FootnoteReference"/>
        </w:rPr>
        <w:footnoteRef/>
      </w:r>
      <w:r w:rsidRPr="008721E7">
        <w:t xml:space="preserve"> The total estimate of the annual PRA burden is the summation of the total hourly burden of CIP maintenance </w:t>
      </w:r>
      <w:r>
        <w:t>(</w:t>
      </w:r>
      <w:r w:rsidR="00644B48">
        <w:t>14,000</w:t>
      </w:r>
      <w:r w:rsidRPr="008721E7">
        <w:t>), notification (</w:t>
      </w:r>
      <w:r>
        <w:t>1</w:t>
      </w:r>
      <w:r w:rsidR="00644B48">
        <w:t>,400</w:t>
      </w:r>
      <w:r w:rsidRPr="008721E7">
        <w:t>) and implementation (</w:t>
      </w:r>
      <w:r w:rsidR="00EA3FAF">
        <w:t>807,500</w:t>
      </w:r>
      <w:r w:rsidRPr="008721E7">
        <w:t xml:space="preserve">) as set out in Table 2 and 3, for a total of </w:t>
      </w:r>
      <w:r w:rsidR="00EA3FAF">
        <w:t>822,900</w:t>
      </w:r>
      <w:r>
        <w:t xml:space="preserve"> </w:t>
      </w:r>
      <w:r w:rsidRPr="008721E7">
        <w:t>hours.</w:t>
      </w:r>
    </w:p>
  </w:footnote>
  <w:footnote w:id="16">
    <w:p w:rsidR="001D1BD6" w:rsidP="001D1BD6" w14:paraId="075A1853" w14:textId="6E199376">
      <w:pPr>
        <w:pStyle w:val="FootnoteText"/>
      </w:pPr>
      <w:r>
        <w:rPr>
          <w:rStyle w:val="FootnoteReference"/>
        </w:rPr>
        <w:footnoteRef/>
      </w:r>
      <w:r>
        <w:t xml:space="preserve"> </w:t>
      </w:r>
      <w:r w:rsidR="00983A44">
        <w:rPr>
          <w:i/>
          <w:iCs/>
        </w:rPr>
        <w:t xml:space="preserve">See </w:t>
      </w:r>
      <w:r w:rsidR="00983A44">
        <w:rPr>
          <w:i/>
          <w:iCs/>
        </w:rPr>
        <w:t>supra</w:t>
      </w:r>
      <w:r>
        <w:t xml:space="preserve"> Table</w:t>
      </w:r>
      <w:r>
        <w:t xml:space="preserve"> 1.</w:t>
      </w:r>
    </w:p>
  </w:footnote>
  <w:footnote w:id="17">
    <w:p w:rsidR="001D1BD6" w:rsidP="001D1BD6" w14:paraId="2663D8EF" w14:textId="7ED6DB64">
      <w:pPr>
        <w:pStyle w:val="FootnoteText"/>
      </w:pPr>
      <w:r>
        <w:rPr>
          <w:rStyle w:val="FootnoteReference"/>
        </w:rPr>
        <w:footnoteRef/>
      </w:r>
      <w:r>
        <w:t xml:space="preserve"> </w:t>
      </w:r>
      <w:r w:rsidR="00983A44">
        <w:rPr>
          <w:i/>
          <w:iCs/>
        </w:rPr>
        <w:t xml:space="preserve">See </w:t>
      </w:r>
      <w:r w:rsidR="00983A44">
        <w:rPr>
          <w:i/>
          <w:iCs/>
        </w:rPr>
        <w:t>supra</w:t>
      </w:r>
      <w:r>
        <w:t xml:space="preserve"> Table</w:t>
      </w:r>
      <w:r>
        <w:t xml:space="preserve"> 1.</w:t>
      </w:r>
    </w:p>
  </w:footnote>
  <w:footnote w:id="18">
    <w:p w:rsidR="003D4A8C" w:rsidP="003D4A8C" w14:paraId="63FAE144" w14:textId="13AB80F8">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Customer Identification Programs for Registered Investment Advisers and Exempt Reporting Advisers</w:t>
      </w:r>
      <w:r>
        <w:t xml:space="preserve">, </w:t>
      </w:r>
      <w:hyperlink r:id="rId10" w:history="1">
        <w:r>
          <w:rPr>
            <w:rStyle w:val="Hyperlink"/>
          </w:rPr>
          <w:t>89 FR 44571</w:t>
        </w:r>
      </w:hyperlink>
      <w:r>
        <w:t xml:space="preserve"> (May 21, 2024).</w:t>
      </w:r>
    </w:p>
  </w:footnote>
  <w:footnote w:id="19">
    <w:p w:rsidR="00561A4A" w14:paraId="36CAAAE6" w14:textId="7A9FB15D">
      <w:pPr>
        <w:pStyle w:val="FootnoteText"/>
      </w:pPr>
      <w:r>
        <w:rPr>
          <w:rStyle w:val="FootnoteReference"/>
        </w:rPr>
        <w:footnoteRef/>
      </w:r>
      <w:r>
        <w:t xml:space="preserve"> The total estimated cost of the annual PRA burden should not be interpreted as an estimate of the total cost of compliance with all aspects of the regulation under which the information collection arises, or of any aspects of the regulation other than those specific to the information collection itself.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2A414F"/>
    <w:multiLevelType w:val="hybridMultilevel"/>
    <w:tmpl w:val="DBC6F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811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2D7"/>
    <w:rsid w:val="000041CA"/>
    <w:rsid w:val="000141AC"/>
    <w:rsid w:val="000146A2"/>
    <w:rsid w:val="0001606D"/>
    <w:rsid w:val="0002120C"/>
    <w:rsid w:val="000377D1"/>
    <w:rsid w:val="000410E9"/>
    <w:rsid w:val="00054F5D"/>
    <w:rsid w:val="00055298"/>
    <w:rsid w:val="000575D7"/>
    <w:rsid w:val="0009228B"/>
    <w:rsid w:val="000A1C62"/>
    <w:rsid w:val="000A730B"/>
    <w:rsid w:val="000C0C9D"/>
    <w:rsid w:val="000D5EAA"/>
    <w:rsid w:val="000F115D"/>
    <w:rsid w:val="000F402E"/>
    <w:rsid w:val="000F4750"/>
    <w:rsid w:val="00103B86"/>
    <w:rsid w:val="0010663B"/>
    <w:rsid w:val="001249C0"/>
    <w:rsid w:val="0012746D"/>
    <w:rsid w:val="001362D7"/>
    <w:rsid w:val="00140096"/>
    <w:rsid w:val="00143E71"/>
    <w:rsid w:val="0016161F"/>
    <w:rsid w:val="00164095"/>
    <w:rsid w:val="001717C2"/>
    <w:rsid w:val="00171F84"/>
    <w:rsid w:val="00176932"/>
    <w:rsid w:val="001776E6"/>
    <w:rsid w:val="00187930"/>
    <w:rsid w:val="001A672E"/>
    <w:rsid w:val="001C137C"/>
    <w:rsid w:val="001D1BD6"/>
    <w:rsid w:val="001E2D10"/>
    <w:rsid w:val="001E4835"/>
    <w:rsid w:val="00206A7A"/>
    <w:rsid w:val="00214F23"/>
    <w:rsid w:val="00217246"/>
    <w:rsid w:val="00222FC3"/>
    <w:rsid w:val="002407CB"/>
    <w:rsid w:val="002415CC"/>
    <w:rsid w:val="00241D63"/>
    <w:rsid w:val="00242117"/>
    <w:rsid w:val="00246798"/>
    <w:rsid w:val="00260364"/>
    <w:rsid w:val="0026271F"/>
    <w:rsid w:val="00271BC0"/>
    <w:rsid w:val="00275F19"/>
    <w:rsid w:val="00282E36"/>
    <w:rsid w:val="002872DA"/>
    <w:rsid w:val="0028758F"/>
    <w:rsid w:val="00290B14"/>
    <w:rsid w:val="002A077F"/>
    <w:rsid w:val="002A0D23"/>
    <w:rsid w:val="002A2C46"/>
    <w:rsid w:val="002A44AC"/>
    <w:rsid w:val="002B5786"/>
    <w:rsid w:val="002C064A"/>
    <w:rsid w:val="002C1866"/>
    <w:rsid w:val="002D3A0D"/>
    <w:rsid w:val="002F5C15"/>
    <w:rsid w:val="00306A5A"/>
    <w:rsid w:val="00325ECB"/>
    <w:rsid w:val="0033218F"/>
    <w:rsid w:val="00333026"/>
    <w:rsid w:val="00341CC7"/>
    <w:rsid w:val="003420FC"/>
    <w:rsid w:val="003568B1"/>
    <w:rsid w:val="00360D25"/>
    <w:rsid w:val="003617A5"/>
    <w:rsid w:val="0036302D"/>
    <w:rsid w:val="00375142"/>
    <w:rsid w:val="003751A3"/>
    <w:rsid w:val="00375AD5"/>
    <w:rsid w:val="00392599"/>
    <w:rsid w:val="003A3C60"/>
    <w:rsid w:val="003B5D37"/>
    <w:rsid w:val="003D4A8C"/>
    <w:rsid w:val="003D5F0E"/>
    <w:rsid w:val="003E30BD"/>
    <w:rsid w:val="003F02DA"/>
    <w:rsid w:val="004114DD"/>
    <w:rsid w:val="00421676"/>
    <w:rsid w:val="0042341C"/>
    <w:rsid w:val="00424557"/>
    <w:rsid w:val="0043008C"/>
    <w:rsid w:val="00433129"/>
    <w:rsid w:val="00435A37"/>
    <w:rsid w:val="00440CBE"/>
    <w:rsid w:val="00440D1F"/>
    <w:rsid w:val="004410ED"/>
    <w:rsid w:val="00454297"/>
    <w:rsid w:val="00463A4E"/>
    <w:rsid w:val="00470681"/>
    <w:rsid w:val="00483E72"/>
    <w:rsid w:val="00491125"/>
    <w:rsid w:val="00493529"/>
    <w:rsid w:val="004A5E22"/>
    <w:rsid w:val="004B0B30"/>
    <w:rsid w:val="004B2A63"/>
    <w:rsid w:val="004B601B"/>
    <w:rsid w:val="004D67D0"/>
    <w:rsid w:val="004E5209"/>
    <w:rsid w:val="004F3421"/>
    <w:rsid w:val="0050314C"/>
    <w:rsid w:val="00515E58"/>
    <w:rsid w:val="005219A4"/>
    <w:rsid w:val="005226E5"/>
    <w:rsid w:val="0052604F"/>
    <w:rsid w:val="00530D34"/>
    <w:rsid w:val="00530D6A"/>
    <w:rsid w:val="00533E97"/>
    <w:rsid w:val="00537765"/>
    <w:rsid w:val="005412A5"/>
    <w:rsid w:val="00542D79"/>
    <w:rsid w:val="00550B7D"/>
    <w:rsid w:val="00560675"/>
    <w:rsid w:val="005617B6"/>
    <w:rsid w:val="00561A4A"/>
    <w:rsid w:val="005638F3"/>
    <w:rsid w:val="0056576F"/>
    <w:rsid w:val="005667C4"/>
    <w:rsid w:val="00571A8E"/>
    <w:rsid w:val="00582C3F"/>
    <w:rsid w:val="00585991"/>
    <w:rsid w:val="00586861"/>
    <w:rsid w:val="00590774"/>
    <w:rsid w:val="00594329"/>
    <w:rsid w:val="005A2FBC"/>
    <w:rsid w:val="005A379C"/>
    <w:rsid w:val="005B0563"/>
    <w:rsid w:val="005B461D"/>
    <w:rsid w:val="005B4CD0"/>
    <w:rsid w:val="005F60C1"/>
    <w:rsid w:val="00611749"/>
    <w:rsid w:val="00625B97"/>
    <w:rsid w:val="0063722A"/>
    <w:rsid w:val="00644B48"/>
    <w:rsid w:val="006452DC"/>
    <w:rsid w:val="00646C83"/>
    <w:rsid w:val="00647CAC"/>
    <w:rsid w:val="0065355F"/>
    <w:rsid w:val="00664983"/>
    <w:rsid w:val="00681088"/>
    <w:rsid w:val="00682FD8"/>
    <w:rsid w:val="00683487"/>
    <w:rsid w:val="006922AD"/>
    <w:rsid w:val="006953D2"/>
    <w:rsid w:val="006C00EC"/>
    <w:rsid w:val="006C654F"/>
    <w:rsid w:val="006D40EA"/>
    <w:rsid w:val="006D503F"/>
    <w:rsid w:val="006F052B"/>
    <w:rsid w:val="006F1FBB"/>
    <w:rsid w:val="006F5C86"/>
    <w:rsid w:val="00703892"/>
    <w:rsid w:val="007041C5"/>
    <w:rsid w:val="00712914"/>
    <w:rsid w:val="00726DCF"/>
    <w:rsid w:val="007363FE"/>
    <w:rsid w:val="00747956"/>
    <w:rsid w:val="00773548"/>
    <w:rsid w:val="007835DD"/>
    <w:rsid w:val="0078774B"/>
    <w:rsid w:val="00787F79"/>
    <w:rsid w:val="007A05DA"/>
    <w:rsid w:val="007A5BF2"/>
    <w:rsid w:val="007D7D6B"/>
    <w:rsid w:val="007E25F2"/>
    <w:rsid w:val="00801A77"/>
    <w:rsid w:val="00811DF5"/>
    <w:rsid w:val="00811F75"/>
    <w:rsid w:val="00811F9A"/>
    <w:rsid w:val="008221EE"/>
    <w:rsid w:val="00850135"/>
    <w:rsid w:val="008721E7"/>
    <w:rsid w:val="00886DA0"/>
    <w:rsid w:val="008A1C4F"/>
    <w:rsid w:val="008A4E7E"/>
    <w:rsid w:val="008B26BD"/>
    <w:rsid w:val="008C2BA0"/>
    <w:rsid w:val="008C542C"/>
    <w:rsid w:val="008C76CF"/>
    <w:rsid w:val="008D0C4F"/>
    <w:rsid w:val="0090051F"/>
    <w:rsid w:val="00901B69"/>
    <w:rsid w:val="00912190"/>
    <w:rsid w:val="00924CD2"/>
    <w:rsid w:val="009311FD"/>
    <w:rsid w:val="0093615D"/>
    <w:rsid w:val="00940F7F"/>
    <w:rsid w:val="00941E4B"/>
    <w:rsid w:val="0094218C"/>
    <w:rsid w:val="00942DF1"/>
    <w:rsid w:val="00952567"/>
    <w:rsid w:val="00953EE8"/>
    <w:rsid w:val="00971BED"/>
    <w:rsid w:val="009779CE"/>
    <w:rsid w:val="00982F9C"/>
    <w:rsid w:val="00983A44"/>
    <w:rsid w:val="009A20B0"/>
    <w:rsid w:val="009A28A2"/>
    <w:rsid w:val="009A30EC"/>
    <w:rsid w:val="009C1F7B"/>
    <w:rsid w:val="009C23E6"/>
    <w:rsid w:val="009C45CB"/>
    <w:rsid w:val="009D4C83"/>
    <w:rsid w:val="009D59C9"/>
    <w:rsid w:val="009E1EAA"/>
    <w:rsid w:val="009F06E2"/>
    <w:rsid w:val="009F74D6"/>
    <w:rsid w:val="00A016D5"/>
    <w:rsid w:val="00A13295"/>
    <w:rsid w:val="00A238CE"/>
    <w:rsid w:val="00A377DF"/>
    <w:rsid w:val="00A42C38"/>
    <w:rsid w:val="00A473C5"/>
    <w:rsid w:val="00A526C3"/>
    <w:rsid w:val="00A57241"/>
    <w:rsid w:val="00A81BB4"/>
    <w:rsid w:val="00A9087D"/>
    <w:rsid w:val="00A921DC"/>
    <w:rsid w:val="00AA6051"/>
    <w:rsid w:val="00AB2F26"/>
    <w:rsid w:val="00AB39DD"/>
    <w:rsid w:val="00AB7851"/>
    <w:rsid w:val="00AD38DC"/>
    <w:rsid w:val="00AD4FF4"/>
    <w:rsid w:val="00AD6811"/>
    <w:rsid w:val="00AE2A04"/>
    <w:rsid w:val="00AE4886"/>
    <w:rsid w:val="00B25F6A"/>
    <w:rsid w:val="00B37DA1"/>
    <w:rsid w:val="00B46120"/>
    <w:rsid w:val="00B50B09"/>
    <w:rsid w:val="00B55228"/>
    <w:rsid w:val="00B62E9A"/>
    <w:rsid w:val="00B74421"/>
    <w:rsid w:val="00B83487"/>
    <w:rsid w:val="00BA578F"/>
    <w:rsid w:val="00BA6444"/>
    <w:rsid w:val="00BC08CF"/>
    <w:rsid w:val="00BD1B9B"/>
    <w:rsid w:val="00BD1DCC"/>
    <w:rsid w:val="00BD6DB5"/>
    <w:rsid w:val="00BD77B4"/>
    <w:rsid w:val="00BF180E"/>
    <w:rsid w:val="00C0121B"/>
    <w:rsid w:val="00C028A0"/>
    <w:rsid w:val="00C276D6"/>
    <w:rsid w:val="00C57D2A"/>
    <w:rsid w:val="00C65647"/>
    <w:rsid w:val="00CA0AA5"/>
    <w:rsid w:val="00CB2ECC"/>
    <w:rsid w:val="00CC1E81"/>
    <w:rsid w:val="00CC30C0"/>
    <w:rsid w:val="00CD4AE1"/>
    <w:rsid w:val="00CD609F"/>
    <w:rsid w:val="00CE0A74"/>
    <w:rsid w:val="00CF4D8E"/>
    <w:rsid w:val="00D02CA1"/>
    <w:rsid w:val="00D119C2"/>
    <w:rsid w:val="00D319AA"/>
    <w:rsid w:val="00D33E4A"/>
    <w:rsid w:val="00D37498"/>
    <w:rsid w:val="00D51276"/>
    <w:rsid w:val="00D558BD"/>
    <w:rsid w:val="00D66B1F"/>
    <w:rsid w:val="00D74CCC"/>
    <w:rsid w:val="00D814C8"/>
    <w:rsid w:val="00DA7CEA"/>
    <w:rsid w:val="00DB3A91"/>
    <w:rsid w:val="00DB6318"/>
    <w:rsid w:val="00DC1668"/>
    <w:rsid w:val="00DC3BC6"/>
    <w:rsid w:val="00DC703F"/>
    <w:rsid w:val="00DC79F0"/>
    <w:rsid w:val="00DD65BA"/>
    <w:rsid w:val="00DD67C4"/>
    <w:rsid w:val="00DE7CAD"/>
    <w:rsid w:val="00DF362F"/>
    <w:rsid w:val="00DF78A8"/>
    <w:rsid w:val="00E13F43"/>
    <w:rsid w:val="00E17A8F"/>
    <w:rsid w:val="00E213B6"/>
    <w:rsid w:val="00E27D27"/>
    <w:rsid w:val="00E33BD4"/>
    <w:rsid w:val="00E42B06"/>
    <w:rsid w:val="00E55F9D"/>
    <w:rsid w:val="00E809F1"/>
    <w:rsid w:val="00E91F83"/>
    <w:rsid w:val="00EA3FAF"/>
    <w:rsid w:val="00EA4AA7"/>
    <w:rsid w:val="00EB2B4F"/>
    <w:rsid w:val="00EC1886"/>
    <w:rsid w:val="00EE13B3"/>
    <w:rsid w:val="00EE3A88"/>
    <w:rsid w:val="00EE5B47"/>
    <w:rsid w:val="00EE65E1"/>
    <w:rsid w:val="00EE7151"/>
    <w:rsid w:val="00F06396"/>
    <w:rsid w:val="00F06399"/>
    <w:rsid w:val="00F1509D"/>
    <w:rsid w:val="00F2099C"/>
    <w:rsid w:val="00F25DD0"/>
    <w:rsid w:val="00F25FF5"/>
    <w:rsid w:val="00F42BB2"/>
    <w:rsid w:val="00F43FC6"/>
    <w:rsid w:val="00F537AE"/>
    <w:rsid w:val="00F71D57"/>
    <w:rsid w:val="00F934E3"/>
    <w:rsid w:val="00F966D2"/>
    <w:rsid w:val="00FA17FD"/>
    <w:rsid w:val="00FA7EFC"/>
    <w:rsid w:val="00FB1840"/>
    <w:rsid w:val="00FB64F3"/>
    <w:rsid w:val="00FB7E46"/>
    <w:rsid w:val="00FC5585"/>
    <w:rsid w:val="00FC63E2"/>
    <w:rsid w:val="00FD0A1D"/>
    <w:rsid w:val="00FD4A7B"/>
    <w:rsid w:val="00FE0FB5"/>
  </w:rsids>
  <w:docVars>
    <w:docVar w:name="_AMO_ReportControlsVisible" w:val="Empty"/>
    <w:docVar w:name="_AMO_UniqueIdentifier" w:val="Empty"/>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D4A4980"/>
  <w15:docId w15:val="{9C8963C3-5B50-4341-B74C-D2E9F91F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unhideWhenUsed/>
    <w:qFormat/>
    <w:rsid w:val="00787F7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rPr>
      <w:szCs w:val="20"/>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qFormat/>
    <w:rsid w:val="001362D7"/>
    <w:rPr>
      <w:sz w:val="20"/>
      <w:szCs w:val="20"/>
    </w:rPr>
  </w:style>
  <w:style w:type="character" w:styleId="Hyperlink">
    <w:name w:val="Hyperlink"/>
    <w:unhideWhenUsed/>
    <w:rsid w:val="009F74D6"/>
    <w:rPr>
      <w:color w:val="0000FF"/>
      <w:u w:val="single"/>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BA578F"/>
    <w:rPr>
      <w:lang w:eastAsia="en-US"/>
    </w:rPr>
  </w:style>
  <w:style w:type="character" w:styleId="CommentReference">
    <w:name w:val="annotation reference"/>
    <w:uiPriority w:val="99"/>
    <w:rsid w:val="00F934E3"/>
    <w:rPr>
      <w:sz w:val="16"/>
      <w:szCs w:val="16"/>
    </w:rPr>
  </w:style>
  <w:style w:type="paragraph" w:styleId="CommentText">
    <w:name w:val="annotation text"/>
    <w:basedOn w:val="Normal"/>
    <w:link w:val="CommentTextChar"/>
    <w:uiPriority w:val="99"/>
    <w:rsid w:val="00F934E3"/>
    <w:rPr>
      <w:sz w:val="20"/>
      <w:szCs w:val="20"/>
    </w:rPr>
  </w:style>
  <w:style w:type="character" w:customStyle="1" w:styleId="CommentTextChar">
    <w:name w:val="Comment Text Char"/>
    <w:basedOn w:val="DefaultParagraphFont"/>
    <w:link w:val="CommentText"/>
    <w:uiPriority w:val="99"/>
    <w:rsid w:val="00F934E3"/>
    <w:rPr>
      <w:lang w:eastAsia="en-US"/>
    </w:rPr>
  </w:style>
  <w:style w:type="paragraph" w:styleId="CommentSubject">
    <w:name w:val="annotation subject"/>
    <w:basedOn w:val="CommentText"/>
    <w:next w:val="CommentText"/>
    <w:link w:val="CommentSubjectChar"/>
    <w:uiPriority w:val="99"/>
    <w:semiHidden/>
    <w:unhideWhenUsed/>
    <w:rsid w:val="009E1EAA"/>
    <w:rPr>
      <w:b/>
      <w:bCs/>
    </w:rPr>
  </w:style>
  <w:style w:type="character" w:customStyle="1" w:styleId="CommentSubjectChar">
    <w:name w:val="Comment Subject Char"/>
    <w:basedOn w:val="CommentTextChar"/>
    <w:link w:val="CommentSubject"/>
    <w:uiPriority w:val="99"/>
    <w:semiHidden/>
    <w:rsid w:val="009E1EAA"/>
    <w:rPr>
      <w:b/>
      <w:bCs/>
      <w:lang w:eastAsia="en-US"/>
    </w:rPr>
  </w:style>
  <w:style w:type="character" w:customStyle="1" w:styleId="PlainTextChar">
    <w:name w:val="Plain Text Char"/>
    <w:link w:val="PlainText"/>
    <w:rsid w:val="00515E58"/>
    <w:rPr>
      <w:rFonts w:ascii="Courier New" w:hAnsi="Courier New" w:cs="Courier New"/>
      <w:lang w:eastAsia="en-US"/>
    </w:rPr>
  </w:style>
  <w:style w:type="table" w:styleId="TableGrid">
    <w:name w:val="Table Grid"/>
    <w:basedOn w:val="TableNormal"/>
    <w:uiPriority w:val="39"/>
    <w:rsid w:val="00282E36"/>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87F79"/>
    <w:rPr>
      <w:rFonts w:asciiTheme="majorHAnsi" w:eastAsiaTheme="majorEastAsia" w:hAnsiTheme="majorHAnsi" w:cstheme="majorBidi"/>
      <w:color w:val="1F4D78" w:themeColor="accent1" w:themeShade="7F"/>
      <w:sz w:val="24"/>
      <w:szCs w:val="24"/>
      <w:lang w:eastAsia="en-US"/>
    </w:rPr>
  </w:style>
  <w:style w:type="paragraph" w:styleId="ListParagraph">
    <w:name w:val="List Paragraph"/>
    <w:basedOn w:val="Normal"/>
    <w:uiPriority w:val="34"/>
    <w:qFormat/>
    <w:rsid w:val="00787F79"/>
    <w:pPr>
      <w:ind w:left="720"/>
      <w:contextualSpacing/>
    </w:pPr>
  </w:style>
  <w:style w:type="character" w:styleId="FollowedHyperlink">
    <w:name w:val="FollowedHyperlink"/>
    <w:basedOn w:val="DefaultParagraphFont"/>
    <w:uiPriority w:val="99"/>
    <w:semiHidden/>
    <w:unhideWhenUsed/>
    <w:rsid w:val="00530D6A"/>
    <w:rPr>
      <w:color w:val="954F72" w:themeColor="followedHyperlink"/>
      <w:u w:val="single"/>
    </w:rPr>
  </w:style>
  <w:style w:type="paragraph" w:styleId="Footer">
    <w:name w:val="footer"/>
    <w:basedOn w:val="Normal"/>
    <w:link w:val="FooterChar"/>
    <w:unhideWhenUsed/>
    <w:rsid w:val="005B0563"/>
    <w:pPr>
      <w:tabs>
        <w:tab w:val="center" w:pos="4680"/>
        <w:tab w:val="right" w:pos="9360"/>
      </w:tabs>
    </w:pPr>
  </w:style>
  <w:style w:type="character" w:customStyle="1" w:styleId="FooterChar">
    <w:name w:val="Footer Char"/>
    <w:basedOn w:val="DefaultParagraphFont"/>
    <w:link w:val="Footer"/>
    <w:uiPriority w:val="99"/>
    <w:rsid w:val="005B0563"/>
    <w:rPr>
      <w:sz w:val="24"/>
      <w:szCs w:val="24"/>
      <w:lang w:eastAsia="en-US"/>
    </w:rPr>
  </w:style>
  <w:style w:type="paragraph" w:styleId="Revision">
    <w:name w:val="Revision"/>
    <w:hidden/>
    <w:uiPriority w:val="99"/>
    <w:semiHidden/>
    <w:rsid w:val="008A1C4F"/>
    <w:rPr>
      <w:sz w:val="24"/>
      <w:szCs w:val="24"/>
      <w:lang w:eastAsia="en-US"/>
    </w:rPr>
  </w:style>
  <w:style w:type="paragraph" w:styleId="BodyTextIndent">
    <w:name w:val="Body Text Indent"/>
    <w:basedOn w:val="Normal"/>
    <w:link w:val="BodyTextIndentChar"/>
    <w:unhideWhenUsed/>
    <w:rsid w:val="008A1C4F"/>
    <w:pPr>
      <w:spacing w:after="120"/>
      <w:ind w:left="360"/>
    </w:pPr>
  </w:style>
  <w:style w:type="character" w:customStyle="1" w:styleId="BodyTextIndentChar">
    <w:name w:val="Body Text Indent Char"/>
    <w:basedOn w:val="DefaultParagraphFont"/>
    <w:link w:val="BodyTextIndent"/>
    <w:uiPriority w:val="99"/>
    <w:rsid w:val="008A1C4F"/>
    <w:rPr>
      <w:sz w:val="24"/>
      <w:szCs w:val="24"/>
      <w:lang w:eastAsia="en-US"/>
    </w:rPr>
  </w:style>
  <w:style w:type="character" w:customStyle="1" w:styleId="cf01">
    <w:name w:val="cf01"/>
    <w:basedOn w:val="DefaultParagraphFont"/>
    <w:rsid w:val="00222FC3"/>
    <w:rPr>
      <w:rFonts w:ascii="Segoe UI" w:hAnsi="Segoe UI" w:cs="Segoe UI" w:hint="default"/>
      <w:sz w:val="18"/>
      <w:szCs w:val="18"/>
    </w:rPr>
  </w:style>
  <w:style w:type="paragraph" w:styleId="HTMLPreformatted">
    <w:name w:val="HTML Preformatted"/>
    <w:basedOn w:val="Normal"/>
    <w:link w:val="HTMLPreformattedChar"/>
    <w:unhideWhenUsed/>
    <w:rsid w:val="00C65647"/>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C65647"/>
    <w:rPr>
      <w:rFonts w:ascii="Consolas" w:hAnsi="Consolas" w:cs="Consolas"/>
      <w:lang w:eastAsia="en-US"/>
    </w:rPr>
  </w:style>
  <w:style w:type="character" w:styleId="PageNumber">
    <w:name w:val="page number"/>
    <w:basedOn w:val="DefaultParagraphFont"/>
    <w:rsid w:val="0052604F"/>
  </w:style>
  <w:style w:type="character" w:customStyle="1" w:styleId="HeaderChar">
    <w:name w:val="Header Char"/>
    <w:link w:val="Header"/>
    <w:rsid w:val="0052604F"/>
    <w:rPr>
      <w:sz w:val="24"/>
      <w:lang w:eastAsia="en-US"/>
    </w:rPr>
  </w:style>
  <w:style w:type="character" w:customStyle="1" w:styleId="apple-converted-space">
    <w:name w:val="apple-converted-space"/>
    <w:basedOn w:val="DefaultParagraphFont"/>
    <w:rsid w:val="0052604F"/>
  </w:style>
  <w:style w:type="character" w:styleId="UnresolvedMention">
    <w:name w:val="Unresolved Mention"/>
    <w:basedOn w:val="DefaultParagraphFont"/>
    <w:uiPriority w:val="99"/>
    <w:semiHidden/>
    <w:unhideWhenUsed/>
    <w:rsid w:val="00983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ici.org/fact-book"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ec.gov/dera/data/form-ncen-data-set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link/uscode/15/77a" TargetMode="External" /><Relationship Id="rId10" Type="http://schemas.openxmlformats.org/officeDocument/2006/relationships/hyperlink" Target="https://www.federalregister.gov/documents/2024/05/21/2024-10738/customer-identification-programs-for-registered-investment-advisers-and-exempt-reporting-advisers" TargetMode="External" /><Relationship Id="rId2" Type="http://schemas.openxmlformats.org/officeDocument/2006/relationships/hyperlink" Target="https://www.govinfo.gov/link/uscode/15/78o" TargetMode="External" /><Relationship Id="rId3" Type="http://schemas.openxmlformats.org/officeDocument/2006/relationships/hyperlink" Target="https://www.govinfo.gov/link/uscode/15/80a-3" TargetMode="External" /><Relationship Id="rId4" Type="http://schemas.openxmlformats.org/officeDocument/2006/relationships/hyperlink" Target="https://www.govinfo.gov/link/uscode/15/80a-5" TargetMode="External" /><Relationship Id="rId5" Type="http://schemas.openxmlformats.org/officeDocument/2006/relationships/hyperlink" Target="https://www.govinfo.gov/link/uscode/15/80a-8" TargetMode="External" /><Relationship Id="rId6" Type="http://schemas.openxmlformats.org/officeDocument/2006/relationships/hyperlink" Target="https://www.govinfo.gov/link/uscode/7/1" TargetMode="External" /><Relationship Id="rId7" Type="http://schemas.openxmlformats.org/officeDocument/2006/relationships/hyperlink" Target="https://www.govinfo.gov/link/uscode/7/6f" TargetMode="External" /><Relationship Id="rId8" Type="http://schemas.openxmlformats.org/officeDocument/2006/relationships/hyperlink" Target="https://www.federalregister.gov/documents/2024/06/20/2024-13590/agency-information-collection-activities-proposed-renewal-comment-request-renewal-without-change-of" TargetMode="External" /><Relationship Id="rId9"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1D1CA78DF704FBB28770DCD258BD4" ma:contentTypeVersion="10" ma:contentTypeDescription="Create a new document." ma:contentTypeScope="" ma:versionID="e50da47853b30cbc215e4739393eaa0b">
  <xsd:schema xmlns:xsd="http://www.w3.org/2001/XMLSchema" xmlns:xs="http://www.w3.org/2001/XMLSchema" xmlns:p="http://schemas.microsoft.com/office/2006/metadata/properties" xmlns:ns3="39711b78-ecdb-4fa7-8eb4-1803862f8c1e" targetNamespace="http://schemas.microsoft.com/office/2006/metadata/properties" ma:root="true" ma:fieldsID="7fc1a423731f8c58af014c32a3366339" ns3:_="">
    <xsd:import namespace="39711b78-ecdb-4fa7-8eb4-1803862f8c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11b78-ecdb-4fa7-8eb4-1803862f8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711b78-ecdb-4fa7-8eb4-1803862f8c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008A-D533-477A-BFF7-B8DCAA46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11b78-ecdb-4fa7-8eb4-1803862f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73B15-F37F-4FD2-B670-3ADD1E9E79B1}">
  <ds:schemaRefs>
    <ds:schemaRef ds:uri="http://schemas.microsoft.com/sharepoint/v3/contenttype/forms"/>
  </ds:schemaRefs>
</ds:datastoreItem>
</file>

<file path=customXml/itemProps3.xml><?xml version="1.0" encoding="utf-8"?>
<ds:datastoreItem xmlns:ds="http://schemas.openxmlformats.org/officeDocument/2006/customXml" ds:itemID="{C1F51262-AE50-4A53-BA85-9EF10D33928A}">
  <ds:schemaRefs>
    <ds:schemaRef ds:uri="http://schemas.microsoft.com/office/2006/metadata/properties"/>
    <ds:schemaRef ds:uri="http://schemas.microsoft.com/office/infopath/2007/PartnerControls"/>
    <ds:schemaRef ds:uri="39711b78-ecdb-4fa7-8eb4-1803862f8c1e"/>
  </ds:schemaRefs>
</ds:datastoreItem>
</file>

<file path=customXml/itemProps4.xml><?xml version="1.0" encoding="utf-8"?>
<ds:datastoreItem xmlns:ds="http://schemas.openxmlformats.org/officeDocument/2006/customXml" ds:itemID="{9DF40942-EC7B-4F43-AD7F-2531F5B0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9</cp:revision>
  <cp:lastPrinted>2015-08-21T15:18:00Z</cp:lastPrinted>
  <dcterms:created xsi:type="dcterms:W3CDTF">2024-08-29T12:44:00Z</dcterms:created>
  <dcterms:modified xsi:type="dcterms:W3CDTF">2024-08-29T13:10:00Z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0x01010046F1D1CA78DF704FBB28770DCD258BD4</vt:lpwstr>
  </property>
</Properties>
</file>