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26E45" w:rsidP="00726E45" w14:paraId="7FD93E3C" w14:textId="77777777">
      <w:pPr>
        <w:tabs>
          <w:tab w:val="center" w:pos="4680"/>
        </w:tabs>
        <w:jc w:val="center"/>
        <w:rPr>
          <w:rFonts w:ascii="Times New Roman" w:hAnsi="Times New Roman"/>
          <w:sz w:val="24"/>
        </w:rPr>
      </w:pPr>
      <w:r>
        <w:rPr>
          <w:rFonts w:ascii="Times New Roman" w:hAnsi="Times New Roman"/>
          <w:sz w:val="24"/>
          <w:u w:val="single"/>
        </w:rPr>
        <w:t>Supporting Statement</w:t>
      </w:r>
    </w:p>
    <w:p w:rsidR="00726E45" w:rsidRPr="00EF518B" w:rsidP="00726E45" w14:paraId="4C357384" w14:textId="503E55C8">
      <w:pPr>
        <w:jc w:val="center"/>
        <w:rPr>
          <w:rFonts w:ascii="Times New Roman" w:hAnsi="Times New Roman"/>
          <w:sz w:val="24"/>
          <w:u w:val="single"/>
        </w:rPr>
      </w:pPr>
      <w:r>
        <w:rPr>
          <w:rFonts w:ascii="Times New Roman" w:hAnsi="Times New Roman"/>
          <w:sz w:val="24"/>
          <w:u w:val="single"/>
        </w:rPr>
        <w:t xml:space="preserve">OMB </w:t>
      </w:r>
      <w:r w:rsidRPr="00EF518B">
        <w:rPr>
          <w:rFonts w:ascii="Times New Roman" w:hAnsi="Times New Roman"/>
          <w:sz w:val="24"/>
          <w:u w:val="single"/>
        </w:rPr>
        <w:t>Control Number 1506-</w:t>
      </w:r>
      <w:r w:rsidRPr="00EF518B" w:rsidR="00E96F63">
        <w:rPr>
          <w:rFonts w:ascii="Times New Roman" w:hAnsi="Times New Roman"/>
          <w:sz w:val="24"/>
          <w:u w:val="single"/>
        </w:rPr>
        <w:t>0080</w:t>
      </w:r>
    </w:p>
    <w:p w:rsidR="00726E45" w:rsidRPr="00EF518B" w:rsidP="00726E45" w14:paraId="399D6233" w14:textId="77777777">
      <w:pPr>
        <w:jc w:val="center"/>
        <w:rPr>
          <w:rFonts w:ascii="Times New Roman" w:hAnsi="Times New Roman"/>
          <w:sz w:val="24"/>
          <w:u w:val="single"/>
        </w:rPr>
      </w:pPr>
    </w:p>
    <w:p w:rsidR="00726E45" w:rsidRPr="00EF518B" w:rsidP="00726E45" w14:paraId="65CD10CC" w14:textId="1B7FDCEC">
      <w:pPr>
        <w:spacing w:after="240"/>
        <w:jc w:val="center"/>
        <w:rPr>
          <w:rFonts w:ascii="Times New Roman" w:hAnsi="Times New Roman"/>
          <w:bCs/>
          <w:sz w:val="24"/>
          <w:u w:val="single"/>
        </w:rPr>
      </w:pPr>
      <w:r w:rsidRPr="00EF518B">
        <w:rPr>
          <w:rFonts w:ascii="Times New Roman" w:hAnsi="Times New Roman"/>
          <w:bCs/>
          <w:sz w:val="24"/>
          <w:u w:val="single"/>
        </w:rPr>
        <w:t>Anti-Money Laundering Regulations for Residential Real Estate Transfers Necessitating Collection of Information</w:t>
      </w:r>
    </w:p>
    <w:p w:rsidR="00726E45" w:rsidRPr="00EF518B" w:rsidP="00726E45" w14:paraId="070A4CE3" w14:textId="77777777">
      <w:pPr>
        <w:spacing w:after="240"/>
        <w:rPr>
          <w:rFonts w:ascii="Times New Roman" w:hAnsi="Times New Roman"/>
          <w:sz w:val="24"/>
        </w:rPr>
      </w:pPr>
      <w:r w:rsidRPr="00EF518B">
        <w:rPr>
          <w:rFonts w:ascii="Times New Roman" w:hAnsi="Times New Roman"/>
          <w:sz w:val="24"/>
        </w:rPr>
        <w:t xml:space="preserve">1. </w:t>
      </w:r>
      <w:r w:rsidRPr="00EF518B">
        <w:rPr>
          <w:rFonts w:ascii="Times New Roman" w:hAnsi="Times New Roman"/>
          <w:sz w:val="24"/>
          <w:u w:val="single"/>
        </w:rPr>
        <w:t>Circumstances necessitating collection of information.</w:t>
      </w:r>
      <w:r w:rsidRPr="00EF518B">
        <w:rPr>
          <w:rFonts w:ascii="Times New Roman" w:hAnsi="Times New Roman"/>
          <w:sz w:val="24"/>
        </w:rPr>
        <w:t xml:space="preserve"> </w:t>
      </w:r>
    </w:p>
    <w:p w:rsidR="00726E45" w:rsidRPr="00EF518B" w:rsidP="00726E45" w14:paraId="31344DB9" w14:textId="496E9E9F">
      <w:pPr>
        <w:spacing w:after="240"/>
        <w:ind w:firstLine="720"/>
        <w:rPr>
          <w:rFonts w:ascii="Times New Roman" w:hAnsi="Times New Roman"/>
          <w:bCs/>
          <w:sz w:val="24"/>
        </w:rPr>
      </w:pPr>
      <w:r w:rsidRPr="00EF518B">
        <w:rPr>
          <w:rFonts w:ascii="Times New Roman" w:hAnsi="Times New Roman"/>
          <w:bCs/>
          <w:sz w:val="24"/>
        </w:rPr>
        <w:t>The Financial Crimes Enforcement Network (FinCEN) is issuing this statement to support its request that the Office of Management and Budget (OMB) approve a collection of information in a rule</w:t>
      </w:r>
      <w:r w:rsidRPr="00EF518B" w:rsidR="00BF7BD7">
        <w:rPr>
          <w:rFonts w:ascii="Times New Roman" w:hAnsi="Times New Roman"/>
          <w:bCs/>
          <w:sz w:val="24"/>
        </w:rPr>
        <w:t xml:space="preserve"> </w:t>
      </w:r>
      <w:r w:rsidRPr="00EF518B" w:rsidR="009C5750">
        <w:rPr>
          <w:rFonts w:ascii="Times New Roman" w:hAnsi="Times New Roman"/>
          <w:bCs/>
          <w:sz w:val="24"/>
        </w:rPr>
        <w:t>it is issuing</w:t>
      </w:r>
      <w:r w:rsidRPr="00EF518B">
        <w:rPr>
          <w:rFonts w:ascii="Times New Roman" w:hAnsi="Times New Roman"/>
          <w:bCs/>
          <w:sz w:val="24"/>
        </w:rPr>
        <w:t xml:space="preserve"> </w:t>
      </w:r>
      <w:r w:rsidRPr="00EF518B" w:rsidR="009C5750">
        <w:rPr>
          <w:rFonts w:ascii="Times New Roman" w:hAnsi="Times New Roman"/>
          <w:bCs/>
          <w:sz w:val="24"/>
        </w:rPr>
        <w:t>under the authority</w:t>
      </w:r>
      <w:r w:rsidRPr="00EF518B">
        <w:rPr>
          <w:rFonts w:ascii="Times New Roman" w:hAnsi="Times New Roman"/>
          <w:bCs/>
          <w:sz w:val="24"/>
        </w:rPr>
        <w:t xml:space="preserve"> of the Bank Secrecy Act (BSA).  In this rule FinCEN requires certain domestic financial institutions to file specific reports and keep specific records about certain transfers of residential real estate.  </w:t>
      </w:r>
    </w:p>
    <w:p w:rsidR="00726E45" w:rsidRPr="00EF518B" w:rsidP="00726E45" w14:paraId="3E9680F5" w14:textId="77777777">
      <w:pPr>
        <w:spacing w:after="240"/>
        <w:ind w:firstLine="720"/>
        <w:rPr>
          <w:rFonts w:ascii="Times New Roman" w:hAnsi="Times New Roman"/>
          <w:sz w:val="24"/>
        </w:rPr>
      </w:pPr>
      <w:r w:rsidRPr="00EF518B">
        <w:rPr>
          <w:rFonts w:ascii="Times New Roman" w:hAnsi="Times New Roman"/>
          <w:bCs/>
          <w:sz w:val="24"/>
        </w:rPr>
        <w:t>The legislative framework generally referred to as the BSA consists of the Currency and Foreign Transactions Reporting Act of 1970, as amended by the Uniting and Strengthening America by Providing Appropriate Tools Required to Intercept and Obstruct Terrorism Act of 2001 (USA PATRIOT Act), Public Law 107-56 (October 26, 2001), and other legislation, including the Anti-Money Laundering Act (AML Act</w:t>
      </w:r>
      <w:r w:rsidRPr="00EF518B">
        <w:rPr>
          <w:rFonts w:ascii="Times New Roman" w:hAnsi="Times New Roman"/>
          <w:sz w:val="24"/>
        </w:rPr>
        <w:t>).</w:t>
      </w:r>
      <w:r>
        <w:rPr>
          <w:rFonts w:ascii="Times New Roman" w:eastAsia="Calibri" w:hAnsi="Times New Roman"/>
          <w:sz w:val="24"/>
          <w:vertAlign w:val="superscript"/>
        </w:rPr>
        <w:footnoteReference w:id="3"/>
      </w:r>
      <w:r w:rsidRPr="00EF518B">
        <w:rPr>
          <w:rFonts w:ascii="Times New Roman" w:hAnsi="Times New Roman"/>
          <w:sz w:val="24"/>
        </w:rPr>
        <w:t xml:space="preserve">  The BSA is codified at 12 U.S.C. 1829b, 12 U.S.C. 1951–1960, and 31 U.S.C. 5311–5314 and 5316–5336, and includes notes thereto, with implementing regulations at 31 CFR Chapter X.  The Secretary of the Treasury (Secretary) is authorized to administer the BSA and to require financial institutions to keep records and file reports that “are highly useful in criminal, tax, or regulatory investigations or proceedings” or in the conduct of “intelligence or counterintelligence activities, including analysis, to protect against international terrorism.”</w:t>
      </w:r>
      <w:r>
        <w:rPr>
          <w:rFonts w:ascii="Times New Roman" w:hAnsi="Times New Roman"/>
          <w:sz w:val="24"/>
          <w:vertAlign w:val="superscript"/>
        </w:rPr>
        <w:footnoteReference w:id="4"/>
      </w:r>
      <w:r w:rsidRPr="00EF518B">
        <w:rPr>
          <w:rFonts w:ascii="Times New Roman" w:hAnsi="Times New Roman"/>
          <w:sz w:val="24"/>
        </w:rPr>
        <w:t xml:space="preserve">  The Secretary delegated the authority to implement, administer, and enforce compliance with the BSA and its implementing regulations to the Director of FinCEN.</w:t>
      </w:r>
      <w:r>
        <w:rPr>
          <w:rFonts w:ascii="Times New Roman" w:hAnsi="Times New Roman"/>
          <w:sz w:val="24"/>
          <w:vertAlign w:val="superscript"/>
        </w:rPr>
        <w:footnoteReference w:id="5"/>
      </w:r>
      <w:r w:rsidRPr="00EF518B">
        <w:rPr>
          <w:rFonts w:ascii="Times New Roman" w:hAnsi="Times New Roman"/>
          <w:sz w:val="24"/>
        </w:rPr>
        <w:t xml:space="preserve">  </w:t>
      </w:r>
    </w:p>
    <w:p w:rsidR="00726E45" w:rsidRPr="00EF518B" w:rsidP="00726E45" w14:paraId="2EDE0D2C" w14:textId="3EC95F51">
      <w:pPr>
        <w:spacing w:after="240"/>
        <w:ind w:firstLine="720"/>
        <w:rPr>
          <w:rFonts w:ascii="Times New Roman" w:hAnsi="Times New Roman"/>
          <w:bCs/>
          <w:sz w:val="24"/>
        </w:rPr>
      </w:pPr>
      <w:r w:rsidRPr="00EF518B">
        <w:rPr>
          <w:rFonts w:ascii="Times New Roman" w:hAnsi="Times New Roman"/>
          <w:sz w:val="24"/>
        </w:rPr>
        <w:t xml:space="preserve">The U.S. Department of the Treasury (Treasury) has long recognized the illicit finance risks posed by abuse of the U.S. residential real estate market and by legal entities and trusts used by criminals and corrupt officials to launder ill-gotten gains through transfers of residential real estate.  FinCEN’s rule focuses on a particular class of activity that is high-risk for money laundering and that warrants reporting on a transaction-specific basis.  </w:t>
      </w:r>
      <w:bookmarkStart w:id="0" w:name="_Hlk157935419"/>
      <w:r w:rsidRPr="00EF518B">
        <w:rPr>
          <w:rFonts w:ascii="Times New Roman" w:hAnsi="Times New Roman"/>
          <w:sz w:val="24"/>
        </w:rPr>
        <w:t xml:space="preserve">The rule requires certain persons involved in real estate closings and settlements to submit reports and keep records on </w:t>
      </w:r>
      <w:r w:rsidRPr="00EF518B" w:rsidR="00406873">
        <w:rPr>
          <w:rFonts w:ascii="Times New Roman" w:hAnsi="Times New Roman"/>
          <w:sz w:val="24"/>
        </w:rPr>
        <w:t>certain</w:t>
      </w:r>
      <w:r w:rsidRPr="00EF518B">
        <w:rPr>
          <w:rFonts w:ascii="Times New Roman" w:hAnsi="Times New Roman"/>
          <w:sz w:val="24"/>
        </w:rPr>
        <w:t xml:space="preserve"> non-financed transfers of residential real property to </w:t>
      </w:r>
      <w:r w:rsidRPr="00EF518B" w:rsidR="00406873">
        <w:rPr>
          <w:rFonts w:ascii="Times New Roman" w:hAnsi="Times New Roman"/>
          <w:sz w:val="24"/>
        </w:rPr>
        <w:t>certain</w:t>
      </w:r>
      <w:r w:rsidRPr="00EF518B">
        <w:rPr>
          <w:rFonts w:ascii="Times New Roman" w:hAnsi="Times New Roman"/>
          <w:sz w:val="24"/>
        </w:rPr>
        <w:t xml:space="preserve"> legal entities and trusts.  </w:t>
      </w:r>
      <w:bookmarkEnd w:id="0"/>
      <w:r w:rsidRPr="00EF518B">
        <w:rPr>
          <w:rFonts w:ascii="Times New Roman" w:hAnsi="Times New Roman"/>
          <w:sz w:val="24"/>
        </w:rPr>
        <w:t xml:space="preserve">The reports would enhance transparency in the U.S. residential real estate market and assist Treasury, law enforcement, and national security agencies in protecting U.S. economic and national security interests.  The rule describes the circumstances in which a report would be required to be filed, who would file a report, what information would be provided, and when the report </w:t>
      </w:r>
      <w:r w:rsidRPr="00EF518B">
        <w:rPr>
          <w:rFonts w:ascii="Times New Roman" w:hAnsi="Times New Roman"/>
          <w:sz w:val="24"/>
        </w:rPr>
        <w:t xml:space="preserve">would be due.  </w:t>
      </w:r>
    </w:p>
    <w:p w:rsidR="00726E45" w:rsidRPr="00EF518B" w:rsidP="00726E45" w14:paraId="17AC267B" w14:textId="77777777">
      <w:pPr>
        <w:spacing w:after="240"/>
        <w:rPr>
          <w:szCs w:val="22"/>
          <w:u w:val="single"/>
        </w:rPr>
      </w:pPr>
      <w:r w:rsidRPr="00EF518B">
        <w:rPr>
          <w:rFonts w:ascii="Times New Roman" w:hAnsi="Times New Roman"/>
          <w:sz w:val="24"/>
        </w:rPr>
        <w:t xml:space="preserve">2. </w:t>
      </w:r>
      <w:r w:rsidRPr="00EF518B">
        <w:rPr>
          <w:rFonts w:ascii="Times New Roman" w:hAnsi="Times New Roman"/>
          <w:sz w:val="24"/>
          <w:u w:val="single"/>
        </w:rPr>
        <w:t>Method of collection and use of data.</w:t>
      </w:r>
    </w:p>
    <w:p w:rsidR="00726E45" w:rsidRPr="00EF518B" w:rsidP="00726E45" w14:paraId="424CF9D3" w14:textId="2318C06A">
      <w:pPr>
        <w:pStyle w:val="BodyTextIndent3"/>
        <w:spacing w:after="240"/>
        <w:ind w:left="0" w:firstLine="720"/>
      </w:pPr>
      <w:r w:rsidRPr="00EF518B">
        <w:t xml:space="preserve">Under the rule, real estate </w:t>
      </w:r>
      <w:r w:rsidRPr="00EF518B" w:rsidR="00F86305">
        <w:t>professionals</w:t>
      </w:r>
      <w:r w:rsidRPr="00EF518B">
        <w:t xml:space="preserve"> that perform specific functions in the closing of certain residential real estate transfers must collect specified information about the transfer and electronically provide a completed report to FinCEN by the </w:t>
      </w:r>
      <w:r w:rsidRPr="00EF518B" w:rsidR="00406873">
        <w:t xml:space="preserve">later of the </w:t>
      </w:r>
      <w:r w:rsidRPr="00EF518B">
        <w:t xml:space="preserve">last day of the month following that in which ownership interest in the residential real property is </w:t>
      </w:r>
      <w:r w:rsidRPr="00EF518B" w:rsidR="005E46F7">
        <w:t xml:space="preserve">transferred, </w:t>
      </w:r>
      <w:r w:rsidRPr="00EF518B">
        <w:t>or by 30 days after the transfer was closed</w:t>
      </w:r>
      <w:r w:rsidRPr="00EF518B" w:rsidR="005E46F7">
        <w:t>.</w:t>
      </w:r>
      <w:r w:rsidRPr="00EF518B">
        <w:t xml:space="preserve"> </w:t>
      </w:r>
      <w:r w:rsidRPr="00EF518B" w:rsidR="005E46F7">
        <w:t xml:space="preserve"> </w:t>
      </w:r>
      <w:r w:rsidRPr="00EF518B">
        <w:t>FinCEN has not yet proposed the forms that will be used in this information collection.  To the extent and in the manner required by the Paperwork Reduction Act of 1995, FinCEN w</w:t>
      </w:r>
      <w:r w:rsidRPr="00EF518B" w:rsidR="005E46F7">
        <w:t xml:space="preserve">ill </w:t>
      </w:r>
      <w:r w:rsidRPr="00EF518B">
        <w:t xml:space="preserve">provide public notice of, and request public comment on, proposed forms. </w:t>
      </w:r>
    </w:p>
    <w:p w:rsidR="00726E45" w:rsidRPr="00EF518B" w:rsidP="00726E45" w14:paraId="1E18F5E3" w14:textId="1B3D9134">
      <w:pPr>
        <w:pStyle w:val="BodyTextIndent3"/>
        <w:spacing w:after="240"/>
        <w:ind w:left="0" w:firstLine="720"/>
      </w:pPr>
      <w:r w:rsidRPr="00EF518B">
        <w:t>Federal</w:t>
      </w:r>
      <w:r w:rsidRPr="00EF518B">
        <w:t>, State, local, and Tribal law enforcement agencies, as well as certain regulators, w</w:t>
      </w:r>
      <w:r w:rsidRPr="00EF518B">
        <w:t>ill</w:t>
      </w:r>
      <w:r w:rsidRPr="00EF518B">
        <w:t xml:space="preserve"> have access to the collected information through FinCEN’s secure system, to monitor compliance, to develop leads, to aid in investigations, and to support prosecutions and asset recovery efforts around money laundering through non-financed residential real estate trans</w:t>
      </w:r>
      <w:r w:rsidRPr="00EF518B">
        <w:t>fers</w:t>
      </w:r>
      <w:r w:rsidRPr="00EF518B">
        <w:t xml:space="preserve"> and associated crimes.    </w:t>
      </w:r>
    </w:p>
    <w:p w:rsidR="00726E45" w:rsidRPr="00EF518B" w:rsidP="00726E45" w14:paraId="3E9DBDF6" w14:textId="77777777">
      <w:pPr>
        <w:pStyle w:val="BodyTextIndent3"/>
        <w:spacing w:after="240"/>
        <w:ind w:left="0"/>
        <w:rPr>
          <w:szCs w:val="22"/>
          <w:u w:val="single"/>
        </w:rPr>
      </w:pPr>
      <w:r w:rsidRPr="00EF518B">
        <w:t xml:space="preserve">3. </w:t>
      </w:r>
      <w:r w:rsidRPr="00EF518B">
        <w:rPr>
          <w:szCs w:val="22"/>
          <w:u w:val="single"/>
        </w:rPr>
        <w:t>Use of improved information technology to reduce burden.</w:t>
      </w:r>
    </w:p>
    <w:p w:rsidR="00726E45" w:rsidRPr="00EF518B" w:rsidP="00726E45" w14:paraId="448D5E8F" w14:textId="6D49A0BC">
      <w:pPr>
        <w:pStyle w:val="BodyTextIndent3"/>
        <w:spacing w:after="240"/>
        <w:ind w:left="0" w:firstLine="720"/>
      </w:pPr>
      <w:r w:rsidRPr="00EF518B">
        <w:t xml:space="preserve">FinCEN expects that compliance with </w:t>
      </w:r>
      <w:r w:rsidRPr="00EF518B" w:rsidR="005E46F7">
        <w:t xml:space="preserve">the rule’s requirements </w:t>
      </w:r>
      <w:r w:rsidRPr="00EF518B" w:rsidR="00760624">
        <w:t xml:space="preserve">will </w:t>
      </w:r>
      <w:r w:rsidRPr="00EF518B">
        <w:t>necessitate the use of information technology systems to file the information requested by FinCEN.  Reports w</w:t>
      </w:r>
      <w:r w:rsidRPr="00EF518B" w:rsidR="005E46F7">
        <w:t>ill</w:t>
      </w:r>
      <w:r w:rsidRPr="00EF518B">
        <w:t xml:space="preserve"> be filed electronically through the BSA E-Filing System.  BSA E-Filing provides a fast, secure, convenient, and cost-effective method for submitting BSA reports.          </w:t>
      </w:r>
    </w:p>
    <w:p w:rsidR="00726E45" w:rsidRPr="00EF518B" w:rsidP="00726E45" w14:paraId="7E7165C4" w14:textId="77777777">
      <w:pPr>
        <w:spacing w:after="240"/>
        <w:rPr>
          <w:rFonts w:ascii="Times New Roman" w:hAnsi="Times New Roman"/>
          <w:sz w:val="24"/>
          <w:u w:val="single"/>
        </w:rPr>
      </w:pPr>
      <w:r w:rsidRPr="00EF518B">
        <w:rPr>
          <w:rFonts w:ascii="Times New Roman" w:hAnsi="Times New Roman"/>
          <w:sz w:val="24"/>
        </w:rPr>
        <w:t xml:space="preserve">4. </w:t>
      </w:r>
      <w:r w:rsidRPr="00EF518B">
        <w:rPr>
          <w:rFonts w:ascii="Times New Roman" w:hAnsi="Times New Roman"/>
          <w:sz w:val="24"/>
          <w:u w:val="single"/>
        </w:rPr>
        <w:t>Efforts to identify duplication.</w:t>
      </w:r>
    </w:p>
    <w:p w:rsidR="00726E45" w:rsidRPr="00EF518B" w:rsidP="00726E45" w14:paraId="5F5A1DE4" w14:textId="206D9BBC">
      <w:pPr>
        <w:spacing w:after="240"/>
        <w:ind w:firstLine="720"/>
        <w:rPr>
          <w:rFonts w:ascii="Times New Roman" w:hAnsi="Times New Roman"/>
          <w:sz w:val="24"/>
        </w:rPr>
      </w:pPr>
      <w:r w:rsidRPr="00EF518B">
        <w:rPr>
          <w:rFonts w:ascii="Times New Roman" w:hAnsi="Times New Roman"/>
          <w:sz w:val="24"/>
        </w:rPr>
        <w:t xml:space="preserve">The rule requires the </w:t>
      </w:r>
      <w:r w:rsidRPr="00EF518B">
        <w:rPr>
          <w:rFonts w:ascii="Times New Roman" w:hAnsi="Times New Roman"/>
          <w:sz w:val="24"/>
        </w:rPr>
        <w:t>collect</w:t>
      </w:r>
      <w:r w:rsidRPr="00EF518B">
        <w:rPr>
          <w:rFonts w:ascii="Times New Roman" w:hAnsi="Times New Roman"/>
          <w:sz w:val="24"/>
        </w:rPr>
        <w:t>ion of</w:t>
      </w:r>
      <w:r w:rsidRPr="00EF518B">
        <w:rPr>
          <w:rFonts w:ascii="Times New Roman" w:hAnsi="Times New Roman"/>
          <w:sz w:val="24"/>
        </w:rPr>
        <w:t xml:space="preserve"> information on certain trans</w:t>
      </w:r>
      <w:r w:rsidRPr="00EF518B">
        <w:rPr>
          <w:rFonts w:ascii="Times New Roman" w:hAnsi="Times New Roman"/>
          <w:sz w:val="24"/>
        </w:rPr>
        <w:t>fers</w:t>
      </w:r>
      <w:r w:rsidRPr="00EF518B">
        <w:rPr>
          <w:rFonts w:ascii="Times New Roman" w:hAnsi="Times New Roman"/>
          <w:sz w:val="24"/>
        </w:rPr>
        <w:t xml:space="preserve"> that is not readily available to the government.  The information is either not collected through other BSA reports, such as Currency Transaction Reports and Form 8300s, or, as discussed below with respect to beneficial ownership information, is partially collected but without a direct connection to potential money laundering through residential real estate.  </w:t>
      </w:r>
      <w:r w:rsidRPr="00EF518B" w:rsidR="00406873">
        <w:rPr>
          <w:rFonts w:ascii="Times New Roman" w:hAnsi="Times New Roman"/>
          <w:sz w:val="24"/>
        </w:rPr>
        <w:t xml:space="preserve">Although </w:t>
      </w:r>
      <w:r w:rsidRPr="00EF518B">
        <w:rPr>
          <w:rFonts w:ascii="Times New Roman" w:hAnsi="Times New Roman"/>
          <w:sz w:val="24"/>
        </w:rPr>
        <w:t xml:space="preserve">some of the same information that FinCEN seeks to collect under the rule is being collected under existing </w:t>
      </w:r>
      <w:r w:rsidRPr="00EF518B" w:rsidR="009C5750">
        <w:rPr>
          <w:rFonts w:ascii="Times New Roman" w:hAnsi="Times New Roman"/>
          <w:sz w:val="24"/>
        </w:rPr>
        <w:t xml:space="preserve">Residential </w:t>
      </w:r>
      <w:r w:rsidRPr="00EF518B">
        <w:rPr>
          <w:rFonts w:ascii="Times New Roman" w:hAnsi="Times New Roman"/>
          <w:sz w:val="24"/>
        </w:rPr>
        <w:t>Real Estate Geographic Targeting Orders, that program is limited in scope and duration</w:t>
      </w:r>
      <w:r w:rsidRPr="00EF518B" w:rsidR="009C5750">
        <w:rPr>
          <w:rFonts w:ascii="Times New Roman" w:hAnsi="Times New Roman"/>
          <w:sz w:val="24"/>
        </w:rPr>
        <w:t>,</w:t>
      </w:r>
      <w:r w:rsidRPr="00EF518B">
        <w:rPr>
          <w:rFonts w:ascii="Times New Roman" w:hAnsi="Times New Roman"/>
          <w:sz w:val="24"/>
        </w:rPr>
        <w:t xml:space="preserve"> and w</w:t>
      </w:r>
      <w:r w:rsidRPr="00EF518B">
        <w:rPr>
          <w:rFonts w:ascii="Times New Roman" w:hAnsi="Times New Roman"/>
          <w:sz w:val="24"/>
        </w:rPr>
        <w:t>ill</w:t>
      </w:r>
      <w:r w:rsidRPr="00EF518B">
        <w:rPr>
          <w:rFonts w:ascii="Times New Roman" w:hAnsi="Times New Roman"/>
          <w:sz w:val="24"/>
        </w:rPr>
        <w:t xml:space="preserve"> be replaced by the reporting requirement introduced</w:t>
      </w:r>
      <w:r w:rsidRPr="00EF518B">
        <w:rPr>
          <w:rFonts w:ascii="Times New Roman" w:hAnsi="Times New Roman"/>
          <w:sz w:val="24"/>
        </w:rPr>
        <w:t xml:space="preserve"> by this rule</w:t>
      </w:r>
      <w:r w:rsidRPr="00EF518B">
        <w:rPr>
          <w:rFonts w:ascii="Times New Roman" w:hAnsi="Times New Roman"/>
          <w:sz w:val="24"/>
        </w:rPr>
        <w:t>.</w:t>
      </w:r>
      <w:r>
        <w:rPr>
          <w:rStyle w:val="FootnoteReference"/>
          <w:rFonts w:ascii="Times New Roman" w:hAnsi="Times New Roman" w:eastAsiaTheme="majorEastAsia"/>
          <w:sz w:val="24"/>
          <w:vertAlign w:val="superscript"/>
        </w:rPr>
        <w:footnoteReference w:id="6"/>
      </w:r>
      <w:r w:rsidRPr="00EF518B">
        <w:rPr>
          <w:rFonts w:ascii="Times New Roman" w:hAnsi="Times New Roman"/>
          <w:sz w:val="24"/>
        </w:rPr>
        <w:t xml:space="preserve">  </w:t>
      </w:r>
    </w:p>
    <w:p w:rsidR="00726E45" w:rsidRPr="00EF518B" w:rsidP="00726E45" w14:paraId="00C58AB9" w14:textId="13998C2F">
      <w:pPr>
        <w:spacing w:after="240"/>
        <w:ind w:firstLine="720"/>
      </w:pPr>
      <w:r w:rsidRPr="00EF518B">
        <w:rPr>
          <w:rFonts w:ascii="Times New Roman" w:hAnsi="Times New Roman"/>
          <w:sz w:val="24"/>
        </w:rPr>
        <w:t xml:space="preserve">Certain information collected under this rule—most notably the </w:t>
      </w:r>
      <w:r w:rsidRPr="00EF518B" w:rsidR="00406873">
        <w:rPr>
          <w:rFonts w:ascii="Times New Roman" w:hAnsi="Times New Roman"/>
          <w:sz w:val="24"/>
        </w:rPr>
        <w:t xml:space="preserve">identity of the </w:t>
      </w:r>
      <w:r w:rsidRPr="00EF518B">
        <w:rPr>
          <w:rFonts w:ascii="Times New Roman" w:hAnsi="Times New Roman"/>
          <w:sz w:val="24"/>
        </w:rPr>
        <w:t>beneficial owners of certain legal entities—will be collected and available to law enforcement in certain instances by virtue of the new beneficial ownership reporting requirements imposed by the Corporate Transparency Act (CTA) and implemented through the Beneficial Ownership Information Reporting Rule (BOI Reporting Rule).</w:t>
      </w:r>
      <w:r>
        <w:rPr>
          <w:rStyle w:val="FootnoteReference"/>
          <w:rFonts w:ascii="Times New Roman" w:hAnsi="Times New Roman" w:eastAsiaTheme="majorEastAsia"/>
          <w:sz w:val="24"/>
          <w:vertAlign w:val="superscript"/>
        </w:rPr>
        <w:footnoteReference w:id="7"/>
      </w:r>
      <w:r w:rsidRPr="00EF518B">
        <w:rPr>
          <w:rFonts w:ascii="Times New Roman" w:hAnsi="Times New Roman"/>
          <w:sz w:val="24"/>
        </w:rPr>
        <w:t xml:space="preserve">  </w:t>
      </w:r>
      <w:r w:rsidRPr="00EF518B" w:rsidR="00EC0350">
        <w:rPr>
          <w:rFonts w:ascii="Times New Roman" w:hAnsi="Times New Roman"/>
          <w:sz w:val="24"/>
        </w:rPr>
        <w:t>However, because th</w:t>
      </w:r>
      <w:r w:rsidRPr="00EF518B" w:rsidR="00406873">
        <w:rPr>
          <w:rFonts w:ascii="Times New Roman" w:hAnsi="Times New Roman"/>
          <w:sz w:val="24"/>
        </w:rPr>
        <w:t xml:space="preserve">at report and the report </w:t>
      </w:r>
      <w:r w:rsidRPr="00EF518B" w:rsidR="00406873">
        <w:rPr>
          <w:rFonts w:ascii="Times New Roman" w:hAnsi="Times New Roman"/>
          <w:sz w:val="24"/>
        </w:rPr>
        <w:t>that would be filed under this rule</w:t>
      </w:r>
      <w:r w:rsidRPr="00EF518B" w:rsidR="00D66AED">
        <w:rPr>
          <w:rFonts w:ascii="Times New Roman" w:hAnsi="Times New Roman"/>
          <w:sz w:val="24"/>
        </w:rPr>
        <w:t xml:space="preserve"> </w:t>
      </w:r>
      <w:r w:rsidRPr="00EF518B" w:rsidR="00406873">
        <w:rPr>
          <w:rFonts w:ascii="Times New Roman" w:hAnsi="Times New Roman"/>
          <w:sz w:val="24"/>
        </w:rPr>
        <w:t xml:space="preserve">pertain to </w:t>
      </w:r>
      <w:r w:rsidRPr="00EF518B" w:rsidR="00EC0350">
        <w:rPr>
          <w:rFonts w:ascii="Times New Roman" w:hAnsi="Times New Roman"/>
          <w:sz w:val="24"/>
        </w:rPr>
        <w:t xml:space="preserve">different facets of a single legal entity’s activities, FinCEN believes it is appropriate for some of the same information to be reported on both forms.  </w:t>
      </w:r>
      <w:r w:rsidRPr="00EF518B" w:rsidR="0049403A">
        <w:rPr>
          <w:rFonts w:ascii="Times New Roman" w:hAnsi="Times New Roman"/>
          <w:sz w:val="24"/>
        </w:rPr>
        <w:t>Furthermore, t</w:t>
      </w:r>
      <w:r w:rsidRPr="00EF518B" w:rsidR="00EC0350">
        <w:rPr>
          <w:rFonts w:ascii="Times New Roman" w:hAnsi="Times New Roman"/>
          <w:sz w:val="24"/>
        </w:rPr>
        <w:t xml:space="preserve">he CTA’s reporting regime and this rule serve different purposes.  The information reported under the CTA informs FinCEN about the reporting companies that have been formed or registered in the United States, while this rule will inform FinCEN about the legal entities, some of which may be “reporting companies” within the meaning of the BOI Reporting Rule, that have participated in reportable real estate transfers that Treasury believes to be at high risk for money laundering.  This rule, by including beneficial ownership information and real estate transfer information in a single report, will enable law enforcement to investigate potential criminal activity in a timely and efficient manner, and will allow Treasury and law enforcement to connect money laundering through real estate with other types of illicit activities and to conduct broad money laundering trend analyses.  </w:t>
      </w:r>
      <w:r w:rsidRPr="00EF518B">
        <w:rPr>
          <w:rFonts w:ascii="Times New Roman" w:hAnsi="Times New Roman"/>
          <w:sz w:val="24"/>
        </w:rPr>
        <w:t>Although some information about real estate purchases may, in some cases, be separately available through other sources</w:t>
      </w:r>
      <w:r w:rsidRPr="00EF518B" w:rsidR="00357DED">
        <w:rPr>
          <w:rFonts w:ascii="Times New Roman" w:hAnsi="Times New Roman"/>
          <w:sz w:val="24"/>
        </w:rPr>
        <w:t>,</w:t>
      </w:r>
      <w:r w:rsidRPr="00EF518B">
        <w:rPr>
          <w:rFonts w:ascii="Times New Roman" w:hAnsi="Times New Roman"/>
          <w:sz w:val="24"/>
        </w:rPr>
        <w:t xml:space="preserve"> such as state land registries, the inclusion of both beneficial ownership information and real estate transaction information in a single report would enable law enforcement to access information about potential criminal activity in a more timely</w:t>
      </w:r>
      <w:r w:rsidR="006F2020">
        <w:rPr>
          <w:rFonts w:ascii="Times New Roman" w:hAnsi="Times New Roman"/>
          <w:sz w:val="24"/>
        </w:rPr>
        <w:t xml:space="preserve"> and</w:t>
      </w:r>
      <w:r w:rsidRPr="00EF518B">
        <w:rPr>
          <w:rFonts w:ascii="Times New Roman" w:hAnsi="Times New Roman"/>
          <w:sz w:val="24"/>
        </w:rPr>
        <w:t xml:space="preserve"> efficient manner.</w:t>
      </w:r>
    </w:p>
    <w:p w:rsidR="00726E45" w:rsidRPr="00EF518B" w:rsidP="00726E45" w14:paraId="35679C05" w14:textId="77777777">
      <w:pPr>
        <w:spacing w:after="240"/>
        <w:rPr>
          <w:szCs w:val="22"/>
        </w:rPr>
      </w:pPr>
      <w:r w:rsidRPr="00EF518B">
        <w:rPr>
          <w:rFonts w:ascii="Times New Roman" w:hAnsi="Times New Roman"/>
          <w:sz w:val="24"/>
        </w:rPr>
        <w:t xml:space="preserve">5. </w:t>
      </w:r>
      <w:r w:rsidRPr="00EF518B">
        <w:rPr>
          <w:rFonts w:ascii="Times New Roman" w:hAnsi="Times New Roman"/>
          <w:sz w:val="24"/>
          <w:u w:val="single"/>
        </w:rPr>
        <w:t>Methods to minimize burden on small businesses or other small entities.</w:t>
      </w:r>
      <w:r w:rsidRPr="00EF518B">
        <w:rPr>
          <w:szCs w:val="22"/>
        </w:rPr>
        <w:t xml:space="preserve"> </w:t>
      </w:r>
    </w:p>
    <w:p w:rsidR="00726E45" w:rsidRPr="00EF518B" w:rsidP="00726E45" w14:paraId="62D94A3A" w14:textId="296B9641">
      <w:pPr>
        <w:spacing w:after="240"/>
        <w:ind w:firstLine="720"/>
        <w:rPr>
          <w:rStyle w:val="normaltextrun"/>
          <w:rFonts w:ascii="Times New Roman" w:hAnsi="Times New Roman"/>
          <w:color w:val="000000"/>
          <w:sz w:val="24"/>
          <w:shd w:val="clear" w:color="auto" w:fill="FFFFFF"/>
        </w:rPr>
      </w:pPr>
      <w:r w:rsidRPr="00EF518B">
        <w:rPr>
          <w:rStyle w:val="normaltextrun"/>
          <w:rFonts w:ascii="Times New Roman" w:hAnsi="Times New Roman"/>
          <w:color w:val="000000"/>
          <w:sz w:val="24"/>
          <w:shd w:val="clear" w:color="auto" w:fill="FFFFFF"/>
        </w:rPr>
        <w:t>T</w:t>
      </w:r>
      <w:r w:rsidRPr="00EF518B" w:rsidR="00357DED">
        <w:rPr>
          <w:rStyle w:val="normaltextrun"/>
          <w:rFonts w:ascii="Times New Roman" w:hAnsi="Times New Roman"/>
          <w:color w:val="000000"/>
          <w:sz w:val="24"/>
          <w:shd w:val="clear" w:color="auto" w:fill="FFFFFF"/>
        </w:rPr>
        <w:t xml:space="preserve">his rule </w:t>
      </w:r>
      <w:r w:rsidRPr="00EF518B">
        <w:rPr>
          <w:rStyle w:val="normaltextrun"/>
          <w:rFonts w:ascii="Times New Roman" w:hAnsi="Times New Roman"/>
          <w:color w:val="000000"/>
          <w:sz w:val="24"/>
          <w:shd w:val="clear" w:color="auto" w:fill="FFFFFF"/>
        </w:rPr>
        <w:t xml:space="preserve">adopts </w:t>
      </w:r>
      <w:r w:rsidRPr="00EF518B" w:rsidR="00357DED">
        <w:rPr>
          <w:rStyle w:val="normaltextrun"/>
          <w:rFonts w:ascii="Times New Roman" w:hAnsi="Times New Roman"/>
          <w:color w:val="000000"/>
          <w:sz w:val="24"/>
          <w:shd w:val="clear" w:color="auto" w:fill="FFFFFF"/>
        </w:rPr>
        <w:t xml:space="preserve">a streamlined </w:t>
      </w:r>
      <w:r w:rsidRPr="00EF518B">
        <w:rPr>
          <w:rStyle w:val="normaltextrun"/>
          <w:rFonts w:ascii="Times New Roman" w:hAnsi="Times New Roman"/>
          <w:color w:val="000000"/>
          <w:sz w:val="24"/>
          <w:shd w:val="clear" w:color="auto" w:fill="FFFFFF"/>
        </w:rPr>
        <w:t xml:space="preserve">suspicious activity report (SAR) </w:t>
      </w:r>
      <w:r w:rsidRPr="00EF518B" w:rsidR="00357DED">
        <w:rPr>
          <w:rStyle w:val="normaltextrun"/>
          <w:rFonts w:ascii="Times New Roman" w:hAnsi="Times New Roman"/>
          <w:color w:val="000000"/>
          <w:sz w:val="24"/>
          <w:shd w:val="clear" w:color="auto" w:fill="FFFFFF"/>
        </w:rPr>
        <w:t xml:space="preserve">requirement, </w:t>
      </w:r>
      <w:r w:rsidRPr="00EF518B">
        <w:rPr>
          <w:rStyle w:val="normaltextrun"/>
          <w:rFonts w:ascii="Times New Roman" w:hAnsi="Times New Roman"/>
          <w:color w:val="000000"/>
          <w:sz w:val="24"/>
          <w:shd w:val="clear" w:color="auto" w:fill="FFFFFF"/>
        </w:rPr>
        <w:t xml:space="preserve">instead of imposing </w:t>
      </w:r>
      <w:r w:rsidRPr="00EF518B">
        <w:rPr>
          <w:rStyle w:val="normaltextrun"/>
          <w:rFonts w:ascii="Times New Roman" w:hAnsi="Times New Roman"/>
          <w:color w:val="000000"/>
          <w:sz w:val="24"/>
          <w:shd w:val="clear" w:color="auto" w:fill="FFFFFF"/>
        </w:rPr>
        <w:t xml:space="preserve">anti-money laundering </w:t>
      </w:r>
      <w:r w:rsidRPr="00EF518B" w:rsidR="00152F0D">
        <w:rPr>
          <w:rStyle w:val="normaltextrun"/>
          <w:rFonts w:ascii="Times New Roman" w:hAnsi="Times New Roman"/>
          <w:color w:val="000000"/>
          <w:sz w:val="24"/>
          <w:shd w:val="clear" w:color="auto" w:fill="FFFFFF"/>
        </w:rPr>
        <w:t xml:space="preserve">and countering the financing of terrorism </w:t>
      </w:r>
      <w:r w:rsidRPr="00EF518B">
        <w:rPr>
          <w:rStyle w:val="normaltextrun"/>
          <w:rFonts w:ascii="Times New Roman" w:hAnsi="Times New Roman"/>
          <w:color w:val="000000"/>
          <w:sz w:val="24"/>
          <w:shd w:val="clear" w:color="auto" w:fill="FFFFFF"/>
        </w:rPr>
        <w:t>(AML</w:t>
      </w:r>
      <w:r w:rsidRPr="00EF518B" w:rsidR="00152F0D">
        <w:rPr>
          <w:rStyle w:val="normaltextrun"/>
          <w:rFonts w:ascii="Times New Roman" w:hAnsi="Times New Roman"/>
          <w:color w:val="000000"/>
          <w:sz w:val="24"/>
          <w:shd w:val="clear" w:color="auto" w:fill="FFFFFF"/>
        </w:rPr>
        <w:t>/CFT</w:t>
      </w:r>
      <w:r w:rsidRPr="00EF518B">
        <w:rPr>
          <w:rStyle w:val="normaltextrun"/>
          <w:rFonts w:ascii="Times New Roman" w:hAnsi="Times New Roman"/>
          <w:color w:val="000000"/>
          <w:sz w:val="24"/>
          <w:shd w:val="clear" w:color="auto" w:fill="FFFFFF"/>
        </w:rPr>
        <w:t xml:space="preserve">) program and </w:t>
      </w:r>
      <w:r w:rsidRPr="00EF518B" w:rsidR="008E5053">
        <w:rPr>
          <w:rStyle w:val="normaltextrun"/>
          <w:rFonts w:ascii="Times New Roman" w:hAnsi="Times New Roman"/>
          <w:color w:val="000000"/>
          <w:sz w:val="24"/>
          <w:shd w:val="clear" w:color="auto" w:fill="FFFFFF"/>
        </w:rPr>
        <w:t xml:space="preserve">traditional </w:t>
      </w:r>
      <w:r w:rsidRPr="00EF518B">
        <w:rPr>
          <w:rStyle w:val="normaltextrun"/>
          <w:rFonts w:ascii="Times New Roman" w:hAnsi="Times New Roman"/>
          <w:color w:val="000000"/>
          <w:sz w:val="24"/>
          <w:shd w:val="clear" w:color="auto" w:fill="FFFFFF"/>
        </w:rPr>
        <w:t>SAR</w:t>
      </w:r>
      <w:r w:rsidRPr="00EF518B" w:rsidR="008E5053">
        <w:rPr>
          <w:rStyle w:val="normaltextrun"/>
          <w:rFonts w:ascii="Times New Roman" w:hAnsi="Times New Roman"/>
          <w:color w:val="000000"/>
          <w:sz w:val="24"/>
          <w:shd w:val="clear" w:color="auto" w:fill="FFFFFF"/>
        </w:rPr>
        <w:t xml:space="preserve"> </w:t>
      </w:r>
      <w:r w:rsidRPr="00EF518B">
        <w:rPr>
          <w:rStyle w:val="normaltextrun"/>
          <w:rFonts w:ascii="Times New Roman" w:hAnsi="Times New Roman"/>
          <w:color w:val="000000"/>
          <w:sz w:val="24"/>
          <w:shd w:val="clear" w:color="auto" w:fill="FFFFFF"/>
        </w:rPr>
        <w:t xml:space="preserve">filing requirements.  </w:t>
      </w:r>
      <w:r w:rsidRPr="00EF518B">
        <w:rPr>
          <w:rStyle w:val="normaltextrun"/>
          <w:rFonts w:ascii="Times New Roman" w:hAnsi="Times New Roman"/>
          <w:color w:val="000000"/>
          <w:sz w:val="24"/>
          <w:shd w:val="clear" w:color="auto" w:fill="FFFFFF"/>
        </w:rPr>
        <w:t xml:space="preserve">These traditional </w:t>
      </w:r>
      <w:r w:rsidRPr="00EF518B">
        <w:rPr>
          <w:rStyle w:val="normaltextrun"/>
          <w:rFonts w:ascii="Times New Roman" w:hAnsi="Times New Roman"/>
          <w:color w:val="000000"/>
          <w:sz w:val="24"/>
          <w:shd w:val="clear" w:color="auto" w:fill="FFFFFF"/>
        </w:rPr>
        <w:t xml:space="preserve">requirements could be especially burdensome to persons involved in </w:t>
      </w:r>
      <w:r w:rsidRPr="00EF518B" w:rsidR="00357DED">
        <w:rPr>
          <w:rStyle w:val="normaltextrun"/>
          <w:rFonts w:ascii="Times New Roman" w:hAnsi="Times New Roman"/>
          <w:color w:val="000000"/>
          <w:sz w:val="24"/>
          <w:shd w:val="clear" w:color="auto" w:fill="FFFFFF"/>
        </w:rPr>
        <w:t xml:space="preserve">the closing and settlement of </w:t>
      </w:r>
      <w:r w:rsidRPr="00EF518B">
        <w:rPr>
          <w:rStyle w:val="normaltextrun"/>
          <w:rFonts w:ascii="Times New Roman" w:hAnsi="Times New Roman"/>
          <w:color w:val="000000"/>
          <w:sz w:val="24"/>
          <w:shd w:val="clear" w:color="auto" w:fill="FFFFFF"/>
        </w:rPr>
        <w:t>real estate trans</w:t>
      </w:r>
      <w:r w:rsidRPr="00EF518B" w:rsidR="00357DED">
        <w:rPr>
          <w:rStyle w:val="normaltextrun"/>
          <w:rFonts w:ascii="Times New Roman" w:hAnsi="Times New Roman"/>
          <w:color w:val="000000"/>
          <w:sz w:val="24"/>
          <w:shd w:val="clear" w:color="auto" w:fill="FFFFFF"/>
        </w:rPr>
        <w:t>fers</w:t>
      </w:r>
      <w:r w:rsidRPr="00EF518B">
        <w:rPr>
          <w:rStyle w:val="normaltextrun"/>
          <w:rFonts w:ascii="Times New Roman" w:hAnsi="Times New Roman"/>
          <w:color w:val="000000"/>
          <w:sz w:val="24"/>
          <w:shd w:val="clear" w:color="auto" w:fill="FFFFFF"/>
        </w:rPr>
        <w:t>, as many of them may be small businesses that likely cannot easily implement a</w:t>
      </w:r>
      <w:r w:rsidRPr="00EF518B" w:rsidR="00357DED">
        <w:rPr>
          <w:rStyle w:val="normaltextrun"/>
          <w:rFonts w:ascii="Times New Roman" w:hAnsi="Times New Roman"/>
          <w:color w:val="000000"/>
          <w:sz w:val="24"/>
          <w:shd w:val="clear" w:color="auto" w:fill="FFFFFF"/>
        </w:rPr>
        <w:t>n</w:t>
      </w:r>
      <w:r w:rsidRPr="00EF518B">
        <w:rPr>
          <w:rStyle w:val="normaltextrun"/>
          <w:rFonts w:ascii="Times New Roman" w:hAnsi="Times New Roman"/>
          <w:color w:val="000000"/>
          <w:sz w:val="24"/>
          <w:shd w:val="clear" w:color="auto" w:fill="FFFFFF"/>
        </w:rPr>
        <w:t xml:space="preserve"> AML program designed to identify and report suspicious activity.  </w:t>
      </w:r>
    </w:p>
    <w:p w:rsidR="002F0F78" w:rsidRPr="00EF518B" w:rsidP="00C5572F" w14:paraId="37A90ACE" w14:textId="5053E995">
      <w:pPr>
        <w:spacing w:after="240"/>
        <w:ind w:firstLine="720"/>
        <w:rPr>
          <w:rFonts w:ascii="Times New Roman" w:hAnsi="Times New Roman"/>
          <w:sz w:val="24"/>
        </w:rPr>
      </w:pPr>
      <w:r w:rsidRPr="00EF518B">
        <w:rPr>
          <w:rFonts w:ascii="Times New Roman" w:hAnsi="Times New Roman"/>
          <w:sz w:val="24"/>
        </w:rPr>
        <w:t>Additionally, t</w:t>
      </w:r>
      <w:r w:rsidRPr="00EF518B" w:rsidR="00C97544">
        <w:rPr>
          <w:rFonts w:ascii="Times New Roman" w:hAnsi="Times New Roman"/>
          <w:sz w:val="24"/>
        </w:rPr>
        <w:t xml:space="preserve">he rule allows reporting persons to reasonably rely on information provided by other persons.  FinCEN believes that this reasonable reliance standard is significantly less burdensome </w:t>
      </w:r>
      <w:r w:rsidR="006F2020">
        <w:rPr>
          <w:rFonts w:ascii="Times New Roman" w:hAnsi="Times New Roman"/>
          <w:sz w:val="24"/>
        </w:rPr>
        <w:t xml:space="preserve">to small entities </w:t>
      </w:r>
      <w:r w:rsidRPr="00EF518B" w:rsidR="00C97544">
        <w:rPr>
          <w:rFonts w:ascii="Times New Roman" w:hAnsi="Times New Roman"/>
          <w:sz w:val="24"/>
        </w:rPr>
        <w:t xml:space="preserve">than </w:t>
      </w:r>
      <w:r w:rsidRPr="00EF518B">
        <w:rPr>
          <w:rFonts w:ascii="Times New Roman" w:hAnsi="Times New Roman"/>
          <w:sz w:val="24"/>
        </w:rPr>
        <w:t xml:space="preserve">the alternative of </w:t>
      </w:r>
      <w:r w:rsidRPr="00EF518B" w:rsidR="00DC3B7C">
        <w:rPr>
          <w:rFonts w:ascii="Times New Roman" w:hAnsi="Times New Roman"/>
          <w:sz w:val="24"/>
        </w:rPr>
        <w:t>requiring the reporting person to verify each piece of reportable information</w:t>
      </w:r>
      <w:r w:rsidRPr="00EF518B">
        <w:rPr>
          <w:rFonts w:ascii="Times New Roman" w:hAnsi="Times New Roman"/>
          <w:sz w:val="24"/>
        </w:rPr>
        <w:t xml:space="preserve">. </w:t>
      </w:r>
      <w:r w:rsidRPr="00EF518B" w:rsidR="00DC3B7C">
        <w:rPr>
          <w:rFonts w:ascii="Times New Roman" w:hAnsi="Times New Roman"/>
          <w:sz w:val="24"/>
        </w:rPr>
        <w:t xml:space="preserve"> </w:t>
      </w:r>
      <w:r w:rsidRPr="00EF518B">
        <w:rPr>
          <w:rFonts w:ascii="Times New Roman" w:hAnsi="Times New Roman"/>
          <w:sz w:val="24"/>
        </w:rPr>
        <w:t>Also, t</w:t>
      </w:r>
      <w:r w:rsidRPr="00EF518B">
        <w:rPr>
          <w:rFonts w:ascii="Times New Roman" w:hAnsi="Times New Roman"/>
          <w:sz w:val="24"/>
        </w:rPr>
        <w:t xml:space="preserve">o limit potential burdens related to data storage costs and data security, the </w:t>
      </w:r>
      <w:r w:rsidRPr="00EF518B">
        <w:rPr>
          <w:rFonts w:ascii="Times New Roman" w:hAnsi="Times New Roman"/>
          <w:sz w:val="24"/>
        </w:rPr>
        <w:t xml:space="preserve">final </w:t>
      </w:r>
      <w:r w:rsidRPr="00EF518B">
        <w:rPr>
          <w:rFonts w:ascii="Times New Roman" w:hAnsi="Times New Roman"/>
          <w:sz w:val="24"/>
        </w:rPr>
        <w:t xml:space="preserve">rule </w:t>
      </w:r>
      <w:r w:rsidRPr="00EF518B">
        <w:rPr>
          <w:rFonts w:ascii="Times New Roman" w:hAnsi="Times New Roman"/>
          <w:sz w:val="24"/>
        </w:rPr>
        <w:t xml:space="preserve">does not adopt </w:t>
      </w:r>
      <w:r w:rsidRPr="00EF518B" w:rsidR="008D24F9">
        <w:rPr>
          <w:rFonts w:ascii="Times New Roman" w:hAnsi="Times New Roman"/>
          <w:sz w:val="24"/>
        </w:rPr>
        <w:t xml:space="preserve">the proposed requirement </w:t>
      </w:r>
      <w:r w:rsidRPr="00EF518B">
        <w:rPr>
          <w:rFonts w:ascii="Times New Roman" w:hAnsi="Times New Roman"/>
          <w:sz w:val="24"/>
        </w:rPr>
        <w:t xml:space="preserve">that </w:t>
      </w:r>
      <w:r w:rsidRPr="00EF518B">
        <w:rPr>
          <w:rFonts w:ascii="Times New Roman" w:hAnsi="Times New Roman"/>
          <w:sz w:val="24"/>
        </w:rPr>
        <w:t xml:space="preserve">the reporting person retain a copy of the report filed with FinCEN.  </w:t>
      </w:r>
    </w:p>
    <w:p w:rsidR="00C5572F" w:rsidRPr="00EF518B" w:rsidP="00C5572F" w14:paraId="75398A16" w14:textId="5FDBE2CD">
      <w:pPr>
        <w:spacing w:after="240"/>
        <w:ind w:firstLine="720"/>
        <w:rPr>
          <w:rStyle w:val="normaltextrun"/>
          <w:rFonts w:ascii="Times New Roman" w:hAnsi="Times New Roman"/>
          <w:sz w:val="24"/>
        </w:rPr>
      </w:pPr>
      <w:r w:rsidRPr="00EF518B">
        <w:rPr>
          <w:rFonts w:ascii="Times New Roman" w:hAnsi="Times New Roman"/>
          <w:sz w:val="24"/>
        </w:rPr>
        <w:t>The rule employs a reporting cascade designed to minimize reporting burdens</w:t>
      </w:r>
      <w:r w:rsidRPr="00EF518B" w:rsidR="008618C8">
        <w:rPr>
          <w:rFonts w:ascii="Times New Roman" w:hAnsi="Times New Roman"/>
          <w:sz w:val="24"/>
        </w:rPr>
        <w:t xml:space="preserve"> and prevent duplication of effort by potential reporting persons, while minimizing the chance for reporting evasion by transferees</w:t>
      </w:r>
      <w:r w:rsidRPr="00EF518B">
        <w:rPr>
          <w:rFonts w:ascii="Times New Roman" w:hAnsi="Times New Roman"/>
          <w:sz w:val="24"/>
        </w:rPr>
        <w:t>.  The reporting cascade determines who among the multiple real estate professionals that may participate in the closing of a given residential property transfer must file a report</w:t>
      </w:r>
      <w:r w:rsidRPr="00EF518B" w:rsidR="008618C8">
        <w:rPr>
          <w:rFonts w:ascii="Times New Roman" w:hAnsi="Times New Roman"/>
          <w:sz w:val="24"/>
        </w:rPr>
        <w:t xml:space="preserve">.  </w:t>
      </w:r>
    </w:p>
    <w:p w:rsidR="00726E45" w:rsidRPr="00EF518B" w:rsidP="00726E45" w14:paraId="45017347" w14:textId="2F3DF102">
      <w:pPr>
        <w:spacing w:after="240"/>
        <w:ind w:firstLine="720"/>
        <w:rPr>
          <w:rFonts w:ascii="Times New Roman" w:hAnsi="Times New Roman"/>
          <w:color w:val="000000"/>
          <w:sz w:val="24"/>
          <w:shd w:val="clear" w:color="auto" w:fill="FFFFFF"/>
        </w:rPr>
      </w:pPr>
      <w:r w:rsidRPr="00EF518B">
        <w:rPr>
          <w:rStyle w:val="normaltextrun"/>
          <w:rFonts w:ascii="Times New Roman" w:hAnsi="Times New Roman"/>
          <w:color w:val="000000"/>
          <w:sz w:val="24"/>
          <w:shd w:val="clear" w:color="auto" w:fill="FFFFFF"/>
        </w:rPr>
        <w:t>To further minimize reporting burdens, the</w:t>
      </w:r>
      <w:r w:rsidRPr="00EF518B" w:rsidR="00357DED">
        <w:rPr>
          <w:rStyle w:val="normaltextrun"/>
          <w:rFonts w:ascii="Times New Roman" w:hAnsi="Times New Roman"/>
          <w:color w:val="000000"/>
          <w:sz w:val="24"/>
          <w:shd w:val="clear" w:color="auto" w:fill="FFFFFF"/>
        </w:rPr>
        <w:t xml:space="preserve"> rule</w:t>
      </w:r>
      <w:r w:rsidRPr="00EF518B">
        <w:rPr>
          <w:rStyle w:val="normaltextrun"/>
          <w:rFonts w:ascii="Times New Roman" w:hAnsi="Times New Roman"/>
          <w:color w:val="000000"/>
          <w:sz w:val="24"/>
          <w:shd w:val="clear" w:color="auto" w:fill="FFFFFF"/>
        </w:rPr>
        <w:t xml:space="preserve"> also</w:t>
      </w:r>
      <w:r w:rsidRPr="00EF518B" w:rsidR="00357DED">
        <w:rPr>
          <w:rStyle w:val="normaltextrun"/>
          <w:rFonts w:ascii="Times New Roman" w:hAnsi="Times New Roman"/>
          <w:color w:val="000000"/>
          <w:sz w:val="24"/>
          <w:shd w:val="clear" w:color="auto" w:fill="FFFFFF"/>
        </w:rPr>
        <w:t xml:space="preserve"> provides </w:t>
      </w:r>
      <w:r w:rsidRPr="00EF518B">
        <w:rPr>
          <w:rStyle w:val="normaltextrun"/>
          <w:rFonts w:ascii="Times New Roman" w:hAnsi="Times New Roman"/>
          <w:color w:val="000000"/>
          <w:sz w:val="24"/>
          <w:shd w:val="clear" w:color="auto" w:fill="FFFFFF"/>
        </w:rPr>
        <w:t>flexibility in determining the reporting person by</w:t>
      </w:r>
      <w:r w:rsidRPr="00EF518B" w:rsidR="00357DED">
        <w:rPr>
          <w:rStyle w:val="normaltextrun"/>
          <w:rFonts w:ascii="Times New Roman" w:hAnsi="Times New Roman"/>
          <w:color w:val="000000"/>
          <w:sz w:val="24"/>
          <w:shd w:val="clear" w:color="auto" w:fill="FFFFFF"/>
        </w:rPr>
        <w:t xml:space="preserve"> giving</w:t>
      </w:r>
      <w:r w:rsidRPr="00EF518B">
        <w:rPr>
          <w:rStyle w:val="normaltextrun"/>
          <w:rFonts w:ascii="Times New Roman" w:hAnsi="Times New Roman"/>
          <w:color w:val="000000"/>
          <w:sz w:val="24"/>
          <w:shd w:val="clear" w:color="auto" w:fill="FFFFFF"/>
        </w:rPr>
        <w:t xml:space="preserve"> the option to designate reporting responsibilities to another real estate professional involved in </w:t>
      </w:r>
      <w:r w:rsidRPr="00EF518B" w:rsidR="00357DED">
        <w:rPr>
          <w:rStyle w:val="normaltextrun"/>
          <w:rFonts w:ascii="Times New Roman" w:hAnsi="Times New Roman"/>
          <w:color w:val="000000"/>
          <w:sz w:val="24"/>
          <w:shd w:val="clear" w:color="auto" w:fill="FFFFFF"/>
        </w:rPr>
        <w:t>a</w:t>
      </w:r>
      <w:r w:rsidRPr="00EF518B">
        <w:rPr>
          <w:rStyle w:val="normaltextrun"/>
          <w:rFonts w:ascii="Times New Roman" w:hAnsi="Times New Roman"/>
          <w:color w:val="000000"/>
          <w:sz w:val="24"/>
          <w:shd w:val="clear" w:color="auto" w:fill="FFFFFF"/>
        </w:rPr>
        <w:t xml:space="preserve"> </w:t>
      </w:r>
      <w:r w:rsidRPr="00EF518B" w:rsidR="00357DED">
        <w:rPr>
          <w:rStyle w:val="normaltextrun"/>
          <w:rFonts w:ascii="Times New Roman" w:hAnsi="Times New Roman"/>
          <w:color w:val="000000"/>
          <w:sz w:val="24"/>
          <w:shd w:val="clear" w:color="auto" w:fill="FFFFFF"/>
        </w:rPr>
        <w:t xml:space="preserve">given </w:t>
      </w:r>
      <w:r w:rsidRPr="00EF518B">
        <w:rPr>
          <w:rStyle w:val="normaltextrun"/>
          <w:rFonts w:ascii="Times New Roman" w:hAnsi="Times New Roman"/>
          <w:color w:val="000000"/>
          <w:sz w:val="24"/>
          <w:shd w:val="clear" w:color="auto" w:fill="FFFFFF"/>
        </w:rPr>
        <w:t>real estate trans</w:t>
      </w:r>
      <w:r w:rsidRPr="00EF518B" w:rsidR="00357DED">
        <w:rPr>
          <w:rStyle w:val="normaltextrun"/>
          <w:rFonts w:ascii="Times New Roman" w:hAnsi="Times New Roman"/>
          <w:color w:val="000000"/>
          <w:sz w:val="24"/>
          <w:shd w:val="clear" w:color="auto" w:fill="FFFFFF"/>
        </w:rPr>
        <w:t>fer</w:t>
      </w:r>
      <w:r w:rsidRPr="00EF518B">
        <w:rPr>
          <w:rStyle w:val="normaltextrun"/>
          <w:rFonts w:ascii="Times New Roman" w:hAnsi="Times New Roman"/>
          <w:color w:val="000000"/>
          <w:sz w:val="24"/>
          <w:shd w:val="clear" w:color="auto" w:fill="FFFFFF"/>
        </w:rPr>
        <w:t>.  This flexibility is intended to enable small businesses</w:t>
      </w:r>
      <w:r w:rsidRPr="00EF518B" w:rsidR="00357DED">
        <w:rPr>
          <w:rStyle w:val="normaltextrun"/>
          <w:rFonts w:ascii="Times New Roman" w:hAnsi="Times New Roman"/>
          <w:color w:val="000000"/>
          <w:sz w:val="24"/>
          <w:shd w:val="clear" w:color="auto" w:fill="FFFFFF"/>
        </w:rPr>
        <w:t>,</w:t>
      </w:r>
      <w:r w:rsidRPr="00EF518B">
        <w:rPr>
          <w:rStyle w:val="normaltextrun"/>
          <w:rFonts w:ascii="Times New Roman" w:hAnsi="Times New Roman"/>
          <w:color w:val="000000"/>
          <w:sz w:val="24"/>
          <w:shd w:val="clear" w:color="auto" w:fill="FFFFFF"/>
        </w:rPr>
        <w:t xml:space="preserve"> that otherwise might be especially burdened by the reporting requirement</w:t>
      </w:r>
      <w:r w:rsidRPr="00EF518B" w:rsidR="00357DED">
        <w:rPr>
          <w:rStyle w:val="normaltextrun"/>
          <w:rFonts w:ascii="Times New Roman" w:hAnsi="Times New Roman"/>
          <w:color w:val="000000"/>
          <w:sz w:val="24"/>
          <w:shd w:val="clear" w:color="auto" w:fill="FFFFFF"/>
        </w:rPr>
        <w:t>,</w:t>
      </w:r>
      <w:r w:rsidRPr="00EF518B">
        <w:rPr>
          <w:rStyle w:val="normaltextrun"/>
          <w:rFonts w:ascii="Times New Roman" w:hAnsi="Times New Roman"/>
          <w:color w:val="000000"/>
          <w:sz w:val="24"/>
          <w:shd w:val="clear" w:color="auto" w:fill="FFFFFF"/>
        </w:rPr>
        <w:t xml:space="preserve"> to reassign the bulk of the costs</w:t>
      </w:r>
      <w:r w:rsidRPr="00EF518B" w:rsidR="007E72C1">
        <w:rPr>
          <w:rStyle w:val="normaltextrun"/>
          <w:rFonts w:ascii="Times New Roman" w:hAnsi="Times New Roman"/>
          <w:color w:val="000000"/>
          <w:sz w:val="24"/>
          <w:shd w:val="clear" w:color="auto" w:fill="FFFFFF"/>
        </w:rPr>
        <w:t xml:space="preserve"> associated with the reporting obligation</w:t>
      </w:r>
      <w:r w:rsidRPr="00EF518B">
        <w:rPr>
          <w:rStyle w:val="normaltextrun"/>
          <w:rFonts w:ascii="Times New Roman" w:hAnsi="Times New Roman"/>
          <w:color w:val="000000"/>
          <w:sz w:val="24"/>
          <w:shd w:val="clear" w:color="auto" w:fill="FFFFFF"/>
        </w:rPr>
        <w:t>.</w:t>
      </w:r>
    </w:p>
    <w:p w:rsidR="00726E45" w:rsidRPr="00EF518B" w:rsidP="00726E45" w14:paraId="7D933D85" w14:textId="174A5B2E">
      <w:pPr>
        <w:spacing w:after="240"/>
        <w:ind w:firstLine="720"/>
        <w:rPr>
          <w:rFonts w:ascii="Times New Roman" w:hAnsi="Times New Roman"/>
          <w:sz w:val="24"/>
        </w:rPr>
      </w:pPr>
      <w:r w:rsidRPr="00EF518B">
        <w:rPr>
          <w:rFonts w:ascii="Times New Roman" w:hAnsi="Times New Roman"/>
          <w:sz w:val="24"/>
        </w:rPr>
        <w:t xml:space="preserve">Additionally, some of the information </w:t>
      </w:r>
      <w:r w:rsidRPr="00EF518B" w:rsidR="00C5572F">
        <w:rPr>
          <w:rFonts w:ascii="Times New Roman" w:hAnsi="Times New Roman"/>
          <w:sz w:val="24"/>
        </w:rPr>
        <w:t xml:space="preserve">that </w:t>
      </w:r>
      <w:r w:rsidRPr="00EF518B">
        <w:rPr>
          <w:rFonts w:ascii="Times New Roman" w:hAnsi="Times New Roman"/>
          <w:sz w:val="24"/>
        </w:rPr>
        <w:t xml:space="preserve">FinCEN seeks to collect is already collected by reporting persons in the normal course of business, and no special accounting or legal skills would be necessary to report any of the information required under the rule.  </w:t>
      </w:r>
    </w:p>
    <w:p w:rsidR="00726E45" w:rsidRPr="00EF518B" w:rsidP="00726E45" w14:paraId="14AC0564" w14:textId="77777777">
      <w:pPr>
        <w:ind w:firstLine="720"/>
        <w:rPr>
          <w:rFonts w:ascii="Times New Roman" w:hAnsi="Times New Roman"/>
          <w:sz w:val="24"/>
        </w:rPr>
        <w:sectPr w:rsidSect="00726E45">
          <w:headerReference w:type="default" r:id="rId9"/>
          <w:footerReference w:type="default" r:id="rId10"/>
          <w:endnotePr>
            <w:numFmt w:val="decimal"/>
          </w:endnotePr>
          <w:pgSz w:w="12240" w:h="15840"/>
          <w:pgMar w:top="1440" w:right="1440" w:bottom="1440" w:left="1440" w:header="0" w:footer="1440" w:gutter="0"/>
          <w:cols w:space="720"/>
          <w:noEndnote/>
          <w:docGrid w:linePitch="272"/>
        </w:sectPr>
      </w:pPr>
    </w:p>
    <w:p w:rsidR="00726E45" w:rsidRPr="00EF518B" w:rsidP="00726E45" w14:paraId="26577A5D" w14:textId="77777777">
      <w:pPr>
        <w:spacing w:after="240"/>
        <w:rPr>
          <w:rFonts w:ascii="Times New Roman" w:hAnsi="Times New Roman"/>
          <w:sz w:val="24"/>
          <w:u w:val="single"/>
        </w:rPr>
      </w:pPr>
      <w:r w:rsidRPr="00EF518B">
        <w:rPr>
          <w:rFonts w:ascii="Times New Roman" w:hAnsi="Times New Roman"/>
          <w:sz w:val="24"/>
        </w:rPr>
        <w:t xml:space="preserve">6. </w:t>
      </w:r>
      <w:r w:rsidRPr="00EF518B">
        <w:rPr>
          <w:rFonts w:ascii="Times New Roman" w:hAnsi="Times New Roman"/>
          <w:sz w:val="24"/>
          <w:u w:val="single"/>
        </w:rPr>
        <w:t>Consequences to the Federal government of not collecting the information.</w:t>
      </w:r>
    </w:p>
    <w:p w:rsidR="00726E45" w:rsidRPr="00EF518B" w:rsidP="00726E45" w14:paraId="04FDFBA2" w14:textId="1221B8AB">
      <w:pPr>
        <w:spacing w:after="240"/>
        <w:ind w:firstLine="720"/>
        <w:rPr>
          <w:rFonts w:ascii="Times New Roman" w:hAnsi="Times New Roman"/>
          <w:sz w:val="24"/>
        </w:rPr>
      </w:pPr>
      <w:r w:rsidRPr="00EF518B">
        <w:rPr>
          <w:rFonts w:ascii="Times New Roman" w:hAnsi="Times New Roman"/>
          <w:sz w:val="24"/>
        </w:rPr>
        <w:t>Treasury has assessed that a key weakness in the U.S. AML/CFT regulatory regime is a lack of transparency in real estate transfers.  This is particularly the case for non-financed transfers that are currently outside the purview of the due diligence requirements imposed on regulated financial institutions pursuant to the BSA.  Furthermore, international bodies, such as the Financial Action Task Force (FATF), have recommended that the United States take appropriate action to address money laundering risks in relation to non-financed transfers of real estate.</w:t>
      </w:r>
      <w:r>
        <w:rPr>
          <w:rStyle w:val="FootnoteReference"/>
          <w:rFonts w:ascii="Times New Roman" w:hAnsi="Times New Roman" w:eastAsiaTheme="majorEastAsia"/>
          <w:sz w:val="24"/>
          <w:vertAlign w:val="superscript"/>
        </w:rPr>
        <w:footnoteReference w:id="8"/>
      </w:r>
      <w:r w:rsidRPr="00EF518B">
        <w:rPr>
          <w:rFonts w:ascii="Times New Roman" w:hAnsi="Times New Roman"/>
          <w:sz w:val="24"/>
        </w:rPr>
        <w:t xml:space="preserve">  </w:t>
      </w:r>
    </w:p>
    <w:p w:rsidR="00726E45" w:rsidRPr="00EF518B" w:rsidP="00726E45" w14:paraId="1EAB3205" w14:textId="104AE50C">
      <w:pPr>
        <w:spacing w:after="240"/>
        <w:ind w:firstLine="720"/>
        <w:rPr>
          <w:rFonts w:ascii="Times New Roman" w:hAnsi="Times New Roman"/>
          <w:sz w:val="24"/>
        </w:rPr>
      </w:pPr>
      <w:r w:rsidRPr="00EF518B">
        <w:rPr>
          <w:rFonts w:ascii="Times New Roman" w:hAnsi="Times New Roman"/>
          <w:sz w:val="24"/>
        </w:rPr>
        <w:t xml:space="preserve">FinCEN believes that non-financed transfers of residential real property </w:t>
      </w:r>
      <w:r w:rsidRPr="00EF518B" w:rsidR="00C5572F">
        <w:rPr>
          <w:rFonts w:ascii="Times New Roman" w:hAnsi="Times New Roman"/>
          <w:sz w:val="24"/>
        </w:rPr>
        <w:t>to</w:t>
      </w:r>
      <w:r w:rsidRPr="00EF518B">
        <w:rPr>
          <w:rFonts w:ascii="Times New Roman" w:hAnsi="Times New Roman"/>
          <w:sz w:val="24"/>
        </w:rPr>
        <w:t xml:space="preserve"> certain legal entities and trusts </w:t>
      </w:r>
      <w:r w:rsidR="006F2020">
        <w:rPr>
          <w:rFonts w:ascii="Times New Roman" w:hAnsi="Times New Roman"/>
          <w:sz w:val="24"/>
        </w:rPr>
        <w:t xml:space="preserve">pose a </w:t>
      </w:r>
      <w:r w:rsidRPr="00EF518B">
        <w:rPr>
          <w:rFonts w:ascii="Times New Roman" w:hAnsi="Times New Roman"/>
          <w:sz w:val="24"/>
        </w:rPr>
        <w:t>high</w:t>
      </w:r>
      <w:r w:rsidR="006F2020">
        <w:rPr>
          <w:rFonts w:ascii="Times New Roman" w:hAnsi="Times New Roman"/>
          <w:sz w:val="24"/>
        </w:rPr>
        <w:t>er</w:t>
      </w:r>
      <w:r w:rsidRPr="00EF518B">
        <w:rPr>
          <w:rFonts w:ascii="Times New Roman" w:hAnsi="Times New Roman"/>
          <w:sz w:val="24"/>
        </w:rPr>
        <w:t xml:space="preserve"> risk for money laundering </w:t>
      </w:r>
      <w:r w:rsidR="006F2020">
        <w:rPr>
          <w:rFonts w:ascii="Times New Roman" w:hAnsi="Times New Roman"/>
          <w:sz w:val="24"/>
        </w:rPr>
        <w:t xml:space="preserve">than </w:t>
      </w:r>
      <w:r w:rsidRPr="00EF518B">
        <w:rPr>
          <w:rFonts w:ascii="Times New Roman" w:hAnsi="Times New Roman"/>
          <w:sz w:val="24"/>
        </w:rPr>
        <w:t>financed transfers of residential real property</w:t>
      </w:r>
      <w:r w:rsidRPr="00EF518B" w:rsidR="00C5572F">
        <w:rPr>
          <w:rFonts w:ascii="Times New Roman" w:hAnsi="Times New Roman"/>
          <w:sz w:val="24"/>
        </w:rPr>
        <w:t>.  In addition, due to their opacity, these transfers are more difficult to investigate than</w:t>
      </w:r>
      <w:r w:rsidRPr="00EF518B">
        <w:rPr>
          <w:rFonts w:ascii="Times New Roman" w:hAnsi="Times New Roman"/>
          <w:sz w:val="24"/>
        </w:rPr>
        <w:t xml:space="preserve"> transfers of residential real property to individuals.  The timely reporting of certain information about such transactions—including beneficial ownership of legal entities and trusts receiving ownership of residential real property; information about payments made; and information about the residential real property itself—w</w:t>
      </w:r>
      <w:r w:rsidRPr="00EF518B" w:rsidR="00EC70F5">
        <w:rPr>
          <w:rFonts w:ascii="Times New Roman" w:hAnsi="Times New Roman"/>
          <w:sz w:val="24"/>
        </w:rPr>
        <w:t>ill</w:t>
      </w:r>
      <w:r w:rsidRPr="00EF518B">
        <w:rPr>
          <w:rFonts w:ascii="Times New Roman" w:hAnsi="Times New Roman"/>
          <w:sz w:val="24"/>
        </w:rPr>
        <w:t xml:space="preserve"> provide law enforcement with important investigative leads in order to take appropriate action if a given transfer was determined to be related to criminal activity, including tracing criminal proceeds, gathering additional evidence, seizing funds, and stopping the movement of illicit funds.  Because the information </w:t>
      </w:r>
      <w:r w:rsidRPr="00EF518B" w:rsidR="00EC70F5">
        <w:rPr>
          <w:rFonts w:ascii="Times New Roman" w:hAnsi="Times New Roman"/>
          <w:sz w:val="24"/>
        </w:rPr>
        <w:t>will be reported within a maximum of 61</w:t>
      </w:r>
      <w:r w:rsidR="00C87196">
        <w:rPr>
          <w:rFonts w:ascii="Times New Roman" w:hAnsi="Times New Roman"/>
          <w:sz w:val="24"/>
        </w:rPr>
        <w:t xml:space="preserve"> </w:t>
      </w:r>
      <w:r w:rsidRPr="00EF518B" w:rsidR="00EC70F5">
        <w:rPr>
          <w:rFonts w:ascii="Times New Roman" w:hAnsi="Times New Roman"/>
          <w:sz w:val="24"/>
        </w:rPr>
        <w:t xml:space="preserve">days </w:t>
      </w:r>
      <w:r w:rsidRPr="00EF518B">
        <w:rPr>
          <w:rFonts w:ascii="Times New Roman" w:hAnsi="Times New Roman"/>
          <w:sz w:val="24"/>
        </w:rPr>
        <w:t>of a reportable residential real estate transfer, the reports w</w:t>
      </w:r>
      <w:r w:rsidRPr="00EF518B" w:rsidR="00EC70F5">
        <w:rPr>
          <w:rFonts w:ascii="Times New Roman" w:hAnsi="Times New Roman"/>
          <w:sz w:val="24"/>
        </w:rPr>
        <w:t>ould</w:t>
      </w:r>
      <w:r w:rsidRPr="00EF518B">
        <w:rPr>
          <w:rFonts w:ascii="Times New Roman" w:hAnsi="Times New Roman"/>
          <w:sz w:val="24"/>
        </w:rPr>
        <w:t xml:space="preserve"> aid law enforcement efforts to detect and deter illegal activity while it is still ongoing and discernible.  </w:t>
      </w:r>
    </w:p>
    <w:p w:rsidR="00726E45" w:rsidRPr="00EF518B" w:rsidP="00726E45" w14:paraId="28AABE30" w14:textId="2CCB4BD4">
      <w:pPr>
        <w:spacing w:after="240"/>
        <w:ind w:firstLine="720"/>
        <w:rPr>
          <w:rFonts w:ascii="Times New Roman" w:hAnsi="Times New Roman"/>
          <w:sz w:val="24"/>
        </w:rPr>
      </w:pPr>
      <w:r w:rsidRPr="00EF518B">
        <w:rPr>
          <w:rFonts w:ascii="Times New Roman" w:hAnsi="Times New Roman"/>
          <w:sz w:val="24"/>
        </w:rPr>
        <w:t xml:space="preserve">In addition to law enforcement and national security concerns regarding abuse of the residential real estate sector, </w:t>
      </w:r>
      <w:bookmarkStart w:id="1" w:name="_Hlk156316472"/>
      <w:r w:rsidRPr="00EF518B">
        <w:rPr>
          <w:rFonts w:ascii="Times New Roman" w:hAnsi="Times New Roman"/>
          <w:sz w:val="24"/>
        </w:rPr>
        <w:t xml:space="preserve">money laundering through residential real estate can distort real estate </w:t>
      </w:r>
      <w:r w:rsidRPr="00EF518B" w:rsidR="002B4DEF">
        <w:rPr>
          <w:rFonts w:ascii="Times New Roman" w:hAnsi="Times New Roman"/>
          <w:sz w:val="24"/>
        </w:rPr>
        <w:t xml:space="preserve">development priorities and existing home </w:t>
      </w:r>
      <w:r w:rsidRPr="00EF518B">
        <w:rPr>
          <w:rFonts w:ascii="Times New Roman" w:hAnsi="Times New Roman"/>
          <w:sz w:val="24"/>
        </w:rPr>
        <w:t>prices</w:t>
      </w:r>
      <w:r w:rsidRPr="00EF518B" w:rsidR="002B4DEF">
        <w:rPr>
          <w:rFonts w:ascii="Times New Roman" w:hAnsi="Times New Roman"/>
          <w:sz w:val="24"/>
        </w:rPr>
        <w:t>,</w:t>
      </w:r>
      <w:r w:rsidRPr="00EF518B">
        <w:rPr>
          <w:rFonts w:ascii="Times New Roman" w:hAnsi="Times New Roman"/>
          <w:sz w:val="24"/>
        </w:rPr>
        <w:t xml:space="preserve"> potentially mak</w:t>
      </w:r>
      <w:r w:rsidRPr="00EF518B" w:rsidR="002B4DEF">
        <w:rPr>
          <w:rFonts w:ascii="Times New Roman" w:hAnsi="Times New Roman"/>
          <w:sz w:val="24"/>
        </w:rPr>
        <w:t>ing</w:t>
      </w:r>
      <w:r w:rsidRPr="00EF518B">
        <w:rPr>
          <w:rFonts w:ascii="Times New Roman" w:hAnsi="Times New Roman"/>
          <w:sz w:val="24"/>
        </w:rPr>
        <w:t xml:space="preserve"> it more difficult for legitimate buyers and sellers to participate in the market</w:t>
      </w:r>
      <w:bookmarkEnd w:id="1"/>
      <w:r w:rsidRPr="00EF518B">
        <w:rPr>
          <w:rFonts w:ascii="Times New Roman" w:hAnsi="Times New Roman"/>
          <w:sz w:val="24"/>
        </w:rPr>
        <w:t>.</w:t>
      </w:r>
      <w:r>
        <w:rPr>
          <w:rStyle w:val="FootnoteReference"/>
          <w:rFonts w:ascii="Times New Roman" w:hAnsi="Times New Roman" w:eastAsiaTheme="majorEastAsia"/>
          <w:color w:val="000000" w:themeColor="text1"/>
          <w:sz w:val="24"/>
          <w:vertAlign w:val="superscript"/>
        </w:rPr>
        <w:footnoteReference w:id="9"/>
      </w:r>
      <w:r w:rsidRPr="00EF518B">
        <w:rPr>
          <w:rFonts w:ascii="Times New Roman" w:hAnsi="Times New Roman"/>
          <w:color w:val="000000" w:themeColor="text1"/>
          <w:sz w:val="24"/>
          <w:vertAlign w:val="superscript"/>
        </w:rPr>
        <w:t xml:space="preserve">  </w:t>
      </w:r>
    </w:p>
    <w:p w:rsidR="00726E45" w:rsidRPr="00EF518B" w:rsidP="00726E45" w14:paraId="394EFF25" w14:textId="77777777">
      <w:pPr>
        <w:spacing w:after="240"/>
        <w:rPr>
          <w:rFonts w:ascii="Times New Roman" w:hAnsi="Times New Roman"/>
          <w:sz w:val="24"/>
          <w:u w:val="single"/>
        </w:rPr>
      </w:pPr>
      <w:r w:rsidRPr="00EF518B">
        <w:rPr>
          <w:rFonts w:ascii="Times New Roman" w:hAnsi="Times New Roman"/>
          <w:sz w:val="24"/>
        </w:rPr>
        <w:t xml:space="preserve">7. </w:t>
      </w:r>
      <w:r w:rsidRPr="00EF518B">
        <w:rPr>
          <w:rFonts w:ascii="Times New Roman" w:hAnsi="Times New Roman"/>
          <w:sz w:val="24"/>
          <w:u w:val="single"/>
        </w:rPr>
        <w:t xml:space="preserve">Special circumstances requiring data collection to be inconsistent with guidelines. </w:t>
      </w:r>
    </w:p>
    <w:p w:rsidR="00726E45" w:rsidRPr="00EF518B" w:rsidP="00726E45" w14:paraId="269F01C3" w14:textId="7AC5BF9F">
      <w:pPr>
        <w:spacing w:after="240"/>
        <w:ind w:firstLine="710"/>
      </w:pPr>
      <w:r w:rsidRPr="00EF518B">
        <w:rPr>
          <w:rFonts w:ascii="Times New Roman" w:hAnsi="Times New Roman"/>
          <w:sz w:val="24"/>
        </w:rPr>
        <w:tab/>
        <w:t>Under 31 CFR 1010.430(d), all records that are required to be retained by 31 CFR Chapter X must be retained for a period of five years.  Records must be kept for five years because they may relate to substantive violations of law that are subject to statutes of limitation longer than three years.</w:t>
      </w:r>
      <w:r w:rsidRPr="00EF518B" w:rsidR="00EC70F5">
        <w:rPr>
          <w:rFonts w:ascii="Times New Roman" w:hAnsi="Times New Roman"/>
          <w:sz w:val="24"/>
        </w:rPr>
        <w:t xml:space="preserve">  </w:t>
      </w:r>
      <w:r w:rsidRPr="00EF518B" w:rsidR="007128EF">
        <w:rPr>
          <w:rFonts w:ascii="Times New Roman" w:hAnsi="Times New Roman"/>
          <w:sz w:val="24"/>
        </w:rPr>
        <w:t xml:space="preserve">This retention requirement applies to </w:t>
      </w:r>
      <w:r w:rsidRPr="00EF518B" w:rsidR="00EC70F5">
        <w:rPr>
          <w:rFonts w:ascii="Times New Roman" w:hAnsi="Times New Roman"/>
          <w:sz w:val="24"/>
        </w:rPr>
        <w:t>records of beneficial ownership certification and designation agreements used for a given transfer, if any</w:t>
      </w:r>
      <w:r w:rsidRPr="00EF518B" w:rsidR="007128EF">
        <w:rPr>
          <w:rFonts w:ascii="Times New Roman" w:hAnsi="Times New Roman"/>
          <w:sz w:val="24"/>
        </w:rPr>
        <w:t>.</w:t>
      </w:r>
    </w:p>
    <w:p w:rsidR="00726E45" w:rsidRPr="00EF518B" w:rsidP="00726E45" w14:paraId="3D136F14" w14:textId="77777777">
      <w:pPr>
        <w:spacing w:after="240"/>
        <w:rPr>
          <w:rFonts w:ascii="Times New Roman" w:hAnsi="Times New Roman"/>
          <w:sz w:val="24"/>
        </w:rPr>
      </w:pPr>
      <w:r w:rsidRPr="00EF518B">
        <w:rPr>
          <w:rFonts w:ascii="Times New Roman" w:hAnsi="Times New Roman"/>
          <w:sz w:val="24"/>
        </w:rPr>
        <w:t xml:space="preserve">8. </w:t>
      </w:r>
      <w:r w:rsidRPr="00EF518B">
        <w:rPr>
          <w:rFonts w:ascii="Times New Roman" w:hAnsi="Times New Roman"/>
          <w:sz w:val="24"/>
          <w:u w:val="single"/>
        </w:rPr>
        <w:t>Consultation with individuals outside of the agency on availability of data, frequency of collection, clarity of instructions and forms, and data elements.</w:t>
      </w:r>
      <w:r w:rsidRPr="00EF518B">
        <w:rPr>
          <w:rFonts w:ascii="Times New Roman" w:hAnsi="Times New Roman"/>
          <w:sz w:val="24"/>
        </w:rPr>
        <w:t xml:space="preserve"> </w:t>
      </w:r>
    </w:p>
    <w:p w:rsidR="00E622D0" w:rsidRPr="00EF518B" w:rsidP="00E622D0" w14:paraId="43B00940" w14:textId="4C70699B">
      <w:pPr>
        <w:spacing w:after="240"/>
        <w:ind w:firstLine="720"/>
        <w:rPr>
          <w:rFonts w:ascii="Times New Roman" w:hAnsi="Times New Roman"/>
          <w:sz w:val="24"/>
        </w:rPr>
      </w:pPr>
      <w:r w:rsidRPr="00EF518B">
        <w:rPr>
          <w:rFonts w:ascii="Times New Roman" w:hAnsi="Times New Roman"/>
          <w:sz w:val="24"/>
        </w:rPr>
        <w:t>On December 8, 2021, FinCEN published an advance notice of proposed rulemaking (the 2021 ANPRM) requesting comment on potential anti-money laundering regulations for certain real estate professionals.  The 2021 ANPRM solicited public comment on whether and how to address money laundering vulnerabilities in the U.S. real estate market.  Along with other aspects of real estate transfers, the 2021 ANPRM solicited comment on whether, in lieu of a transactional reporting requirement, FinCEN should promulgate AML/CFT program requirements and SAR filing requirements for persons involved in real estate closings and settlements, similar to those that are in place for banks and other financial institutions.</w:t>
      </w:r>
      <w:r w:rsidRPr="00EF518B">
        <w:rPr>
          <w:rFonts w:ascii="Times New Roman" w:hAnsi="Times New Roman"/>
          <w:sz w:val="24"/>
        </w:rPr>
        <w:t xml:space="preserve">  FinCEN received 151 public comments from a wide variety of stakeholders, including real estate industry associations, law firms and associations, non-governmental organizations, credit unions, Members of Congress, academics, and members of the public.  Approximately 41 were unique comments and 110 were uniform </w:t>
      </w:r>
      <w:r w:rsidRPr="00EF518B" w:rsidR="00B8452F">
        <w:rPr>
          <w:rFonts w:ascii="Times New Roman" w:hAnsi="Times New Roman"/>
          <w:sz w:val="24"/>
        </w:rPr>
        <w:t>comments</w:t>
      </w:r>
      <w:r w:rsidRPr="00EF518B">
        <w:rPr>
          <w:rFonts w:ascii="Times New Roman" w:hAnsi="Times New Roman"/>
          <w:sz w:val="24"/>
        </w:rPr>
        <w:t xml:space="preserve"> submitted by members of the title insurance industry.  Several comments touched on subjects relating to data collection.  For example, commenters were split in their opinions on whether FinCEN should require transactional reports or require persons involved in real estate closings and settlements to have full AML/CFT program obligations.  </w:t>
      </w:r>
      <w:r w:rsidRPr="00EF518B">
        <w:rPr>
          <w:rFonts w:ascii="Times New Roman" w:hAnsi="Times New Roman"/>
          <w:sz w:val="24"/>
        </w:rPr>
        <w:t xml:space="preserve">FinCEN carefully considered all the comments that it received in response to the 2021 ANPRM in drafting </w:t>
      </w:r>
      <w:r w:rsidRPr="00EF518B" w:rsidR="002F0F78">
        <w:rPr>
          <w:rFonts w:ascii="Times New Roman" w:hAnsi="Times New Roman"/>
          <w:sz w:val="24"/>
        </w:rPr>
        <w:t>the</w:t>
      </w:r>
      <w:r w:rsidRPr="00EF518B">
        <w:rPr>
          <w:rFonts w:ascii="Times New Roman" w:hAnsi="Times New Roman"/>
          <w:sz w:val="24"/>
        </w:rPr>
        <w:t xml:space="preserve"> rule.</w:t>
      </w:r>
    </w:p>
    <w:p w:rsidR="00562D86" w:rsidRPr="00EF518B" w:rsidP="009D234F" w14:paraId="1F3678DE" w14:textId="642F98B7">
      <w:pPr>
        <w:spacing w:after="240"/>
        <w:ind w:firstLine="720"/>
        <w:rPr>
          <w:rFonts w:ascii="Times New Roman" w:hAnsi="Times New Roman"/>
          <w:sz w:val="24"/>
        </w:rPr>
      </w:pPr>
      <w:r w:rsidRPr="00EF518B">
        <w:rPr>
          <w:rFonts w:ascii="Times New Roman" w:hAnsi="Times New Roman"/>
          <w:sz w:val="24"/>
        </w:rPr>
        <w:t xml:space="preserve">On February 16, 2024, FinCEN published a notice of proposed rulemaking (the 2024 NPRM) requesting comments on </w:t>
      </w:r>
      <w:r w:rsidRPr="00EF518B" w:rsidR="005D7F70">
        <w:rPr>
          <w:rFonts w:ascii="Times New Roman" w:hAnsi="Times New Roman"/>
          <w:sz w:val="24"/>
        </w:rPr>
        <w:t>proposed anti-money laundering regulations for residential real estate transfers.  The proposed rule would require certain persons involved in real estate closings and settlements to submit</w:t>
      </w:r>
      <w:r w:rsidRPr="00EF518B" w:rsidR="00217180">
        <w:rPr>
          <w:rFonts w:ascii="Times New Roman" w:hAnsi="Times New Roman"/>
          <w:sz w:val="24"/>
        </w:rPr>
        <w:t xml:space="preserve"> transaction-specific</w:t>
      </w:r>
      <w:r w:rsidRPr="00EF518B" w:rsidR="005D7F70">
        <w:rPr>
          <w:rFonts w:ascii="Times New Roman" w:hAnsi="Times New Roman"/>
          <w:sz w:val="24"/>
        </w:rPr>
        <w:t xml:space="preserve"> reports and keep records on </w:t>
      </w:r>
      <w:r w:rsidRPr="00EF518B" w:rsidR="00217180">
        <w:rPr>
          <w:rFonts w:ascii="Times New Roman" w:hAnsi="Times New Roman"/>
          <w:sz w:val="24"/>
        </w:rPr>
        <w:t>high-risk</w:t>
      </w:r>
      <w:r w:rsidRPr="00EF518B" w:rsidR="005D7F70">
        <w:rPr>
          <w:rFonts w:ascii="Times New Roman" w:hAnsi="Times New Roman"/>
          <w:sz w:val="24"/>
        </w:rPr>
        <w:t xml:space="preserve"> non-financed transfers of residential real property to specified legal entities and trusts on a nationwide basis.  </w:t>
      </w:r>
      <w:r w:rsidRPr="00EF518B" w:rsidR="00217180">
        <w:rPr>
          <w:rFonts w:ascii="Times New Roman" w:hAnsi="Times New Roman"/>
          <w:sz w:val="24"/>
        </w:rPr>
        <w:t>FinCEN received 621 comments, 164 of which were unique, from a broad array of individuals, businesses, and organizations, including trade associations, transparency groups, law enforcement representatives, legal associations, and other interested groups and individuals.</w:t>
      </w:r>
      <w:r>
        <w:rPr>
          <w:rStyle w:val="FootnoteReference"/>
          <w:rFonts w:ascii="Times New Roman" w:hAnsi="Times New Roman"/>
          <w:sz w:val="24"/>
          <w:vertAlign w:val="superscript"/>
        </w:rPr>
        <w:footnoteReference w:id="10"/>
      </w:r>
      <w:r w:rsidRPr="00C50DEC" w:rsidR="00217180">
        <w:rPr>
          <w:rFonts w:ascii="Times New Roman" w:hAnsi="Times New Roman"/>
          <w:sz w:val="24"/>
          <w:vertAlign w:val="superscript"/>
        </w:rPr>
        <w:t xml:space="preserve">  </w:t>
      </w:r>
      <w:r w:rsidRPr="00EF518B" w:rsidR="000D2EBC">
        <w:rPr>
          <w:rFonts w:ascii="Times New Roman" w:hAnsi="Times New Roman"/>
          <w:sz w:val="24"/>
        </w:rPr>
        <w:t>C</w:t>
      </w:r>
      <w:r w:rsidRPr="00EF518B" w:rsidR="002F0F78">
        <w:rPr>
          <w:rFonts w:ascii="Times New Roman" w:hAnsi="Times New Roman"/>
          <w:sz w:val="24"/>
        </w:rPr>
        <w:t>omments touched</w:t>
      </w:r>
      <w:r w:rsidRPr="00EF518B" w:rsidR="00C34217">
        <w:rPr>
          <w:rFonts w:ascii="Times New Roman" w:hAnsi="Times New Roman"/>
          <w:sz w:val="24"/>
        </w:rPr>
        <w:t xml:space="preserve"> on</w:t>
      </w:r>
      <w:r w:rsidRPr="00EF518B" w:rsidR="009C5750">
        <w:rPr>
          <w:rFonts w:ascii="Times New Roman" w:hAnsi="Times New Roman"/>
          <w:sz w:val="24"/>
        </w:rPr>
        <w:t>, among other things,</w:t>
      </w:r>
      <w:r w:rsidRPr="00EF518B" w:rsidR="002F0F78">
        <w:rPr>
          <w:rFonts w:ascii="Times New Roman" w:hAnsi="Times New Roman"/>
          <w:sz w:val="24"/>
        </w:rPr>
        <w:t xml:space="preserve"> subjects relating to data collection.  For example, </w:t>
      </w:r>
      <w:r w:rsidRPr="00EF518B" w:rsidR="00B8452F">
        <w:rPr>
          <w:rFonts w:ascii="Times New Roman" w:hAnsi="Times New Roman"/>
          <w:sz w:val="24"/>
        </w:rPr>
        <w:t xml:space="preserve">some </w:t>
      </w:r>
      <w:r w:rsidRPr="00EF518B" w:rsidR="002F0F78">
        <w:rPr>
          <w:rFonts w:ascii="Times New Roman" w:hAnsi="Times New Roman"/>
          <w:sz w:val="24"/>
        </w:rPr>
        <w:t xml:space="preserve">commenters </w:t>
      </w:r>
      <w:r w:rsidRPr="00EF518B" w:rsidR="000D2EBC">
        <w:rPr>
          <w:rFonts w:ascii="Times New Roman" w:hAnsi="Times New Roman"/>
          <w:sz w:val="24"/>
        </w:rPr>
        <w:t>provided feedback on the various data elements that would be reported under the rule</w:t>
      </w:r>
      <w:r w:rsidRPr="00EF518B" w:rsidR="002F0F78">
        <w:rPr>
          <w:rFonts w:ascii="Times New Roman" w:hAnsi="Times New Roman"/>
          <w:sz w:val="24"/>
        </w:rPr>
        <w:t xml:space="preserve">.  </w:t>
      </w:r>
      <w:r w:rsidRPr="00EF518B" w:rsidR="000D2EBC">
        <w:rPr>
          <w:rFonts w:ascii="Times New Roman" w:hAnsi="Times New Roman"/>
          <w:sz w:val="24"/>
        </w:rPr>
        <w:t xml:space="preserve">FinCEN carefully considered all the comments that it received in response to the 2024 NPRM in drafting the </w:t>
      </w:r>
      <w:r w:rsidRPr="00EF518B" w:rsidR="003E3CEC">
        <w:rPr>
          <w:rFonts w:ascii="Times New Roman" w:hAnsi="Times New Roman"/>
          <w:sz w:val="24"/>
        </w:rPr>
        <w:t xml:space="preserve">final </w:t>
      </w:r>
      <w:r w:rsidRPr="00EF518B" w:rsidR="000D2EBC">
        <w:rPr>
          <w:rFonts w:ascii="Times New Roman" w:hAnsi="Times New Roman"/>
          <w:sz w:val="24"/>
        </w:rPr>
        <w:t>rule.</w:t>
      </w:r>
      <w:r w:rsidRPr="00EF518B" w:rsidR="008804CE">
        <w:rPr>
          <w:rFonts w:ascii="Times New Roman" w:hAnsi="Times New Roman"/>
          <w:sz w:val="24"/>
        </w:rPr>
        <w:t xml:space="preserve">  </w:t>
      </w:r>
      <w:r w:rsidRPr="00EF518B" w:rsidR="00217180">
        <w:rPr>
          <w:rFonts w:ascii="Times New Roman" w:hAnsi="Times New Roman"/>
          <w:sz w:val="24"/>
        </w:rPr>
        <w:t xml:space="preserve"> </w:t>
      </w:r>
    </w:p>
    <w:p w:rsidR="00726E45" w:rsidRPr="00EF518B" w:rsidP="00726E45" w14:paraId="50D5D860" w14:textId="178688B0">
      <w:pPr>
        <w:spacing w:after="240"/>
        <w:rPr>
          <w:rFonts w:ascii="Times New Roman" w:hAnsi="Times New Roman"/>
          <w:sz w:val="24"/>
          <w:u w:val="single"/>
        </w:rPr>
      </w:pPr>
      <w:r w:rsidRPr="00EF518B">
        <w:rPr>
          <w:rFonts w:ascii="Times New Roman" w:hAnsi="Times New Roman"/>
          <w:sz w:val="24"/>
        </w:rPr>
        <w:t xml:space="preserve">9. </w:t>
      </w:r>
      <w:r w:rsidRPr="00EF518B">
        <w:rPr>
          <w:rFonts w:ascii="Times New Roman" w:hAnsi="Times New Roman"/>
          <w:sz w:val="24"/>
          <w:u w:val="single"/>
        </w:rPr>
        <w:t>Explanation of decision to provide any payment or gift to respondents.</w:t>
      </w:r>
    </w:p>
    <w:p w:rsidR="00726E45" w:rsidRPr="00EF518B" w:rsidP="00726E45" w14:paraId="36DAC2CD" w14:textId="77777777">
      <w:pPr>
        <w:spacing w:after="240"/>
        <w:ind w:firstLine="720"/>
        <w:rPr>
          <w:rFonts w:ascii="Times New Roman" w:hAnsi="Times New Roman"/>
          <w:sz w:val="24"/>
        </w:rPr>
      </w:pPr>
      <w:r w:rsidRPr="00EF518B">
        <w:rPr>
          <w:rFonts w:ascii="Times New Roman" w:hAnsi="Times New Roman"/>
          <w:sz w:val="24"/>
        </w:rPr>
        <w:t>No payments or gifts were made to respondents.</w:t>
      </w:r>
    </w:p>
    <w:p w:rsidR="00726E45" w:rsidRPr="00EF518B" w:rsidP="00726E45" w14:paraId="017009D8" w14:textId="77777777">
      <w:pPr>
        <w:tabs>
          <w:tab w:val="left" w:pos="0"/>
        </w:tabs>
        <w:spacing w:after="240"/>
        <w:rPr>
          <w:sz w:val="24"/>
          <w:u w:val="single"/>
        </w:rPr>
      </w:pPr>
      <w:r w:rsidRPr="00EF518B">
        <w:rPr>
          <w:rFonts w:ascii="Times New Roman" w:hAnsi="Times New Roman"/>
          <w:sz w:val="24"/>
        </w:rPr>
        <w:t xml:space="preserve">10. </w:t>
      </w:r>
      <w:r w:rsidRPr="00EF518B">
        <w:rPr>
          <w:rFonts w:ascii="Times New Roman" w:hAnsi="Times New Roman"/>
          <w:sz w:val="24"/>
          <w:u w:val="single"/>
        </w:rPr>
        <w:t>Assurance of confidentiality of responses.</w:t>
      </w:r>
    </w:p>
    <w:p w:rsidR="00726E45" w:rsidRPr="00EF518B" w:rsidP="00726E45" w14:paraId="42364F01" w14:textId="44074317">
      <w:pPr>
        <w:spacing w:after="240"/>
        <w:ind w:firstLine="720"/>
        <w:rPr>
          <w:rFonts w:ascii="Times New Roman" w:hAnsi="Times New Roman"/>
          <w:sz w:val="24"/>
        </w:rPr>
      </w:pPr>
      <w:r w:rsidRPr="00EF518B">
        <w:rPr>
          <w:rFonts w:ascii="Times New Roman" w:hAnsi="Times New Roman"/>
          <w:sz w:val="24"/>
        </w:rPr>
        <w:t>The information collected w</w:t>
      </w:r>
      <w:r w:rsidRPr="00EF518B" w:rsidR="00E96F63">
        <w:rPr>
          <w:rFonts w:ascii="Times New Roman" w:hAnsi="Times New Roman"/>
          <w:sz w:val="24"/>
        </w:rPr>
        <w:t>ill</w:t>
      </w:r>
      <w:r w:rsidRPr="00EF518B">
        <w:rPr>
          <w:rFonts w:ascii="Times New Roman" w:hAnsi="Times New Roman"/>
          <w:sz w:val="24"/>
        </w:rPr>
        <w:t xml:space="preserve"> be available to Treasury, its designee, and other authorized agencies, </w:t>
      </w:r>
      <w:r w:rsidRPr="00EF518B" w:rsidR="00B8452F">
        <w:rPr>
          <w:rFonts w:ascii="Times New Roman" w:hAnsi="Times New Roman"/>
          <w:sz w:val="24"/>
        </w:rPr>
        <w:t xml:space="preserve">as are </w:t>
      </w:r>
      <w:r w:rsidRPr="00EF518B">
        <w:rPr>
          <w:rFonts w:ascii="Times New Roman" w:hAnsi="Times New Roman"/>
          <w:sz w:val="24"/>
        </w:rPr>
        <w:t>other reports required to be reported under the BSA.  All such information collections under the BSA must be used by such agencies consistent with a purpose set forth in 31 U.S.C. 5311, including</w:t>
      </w:r>
      <w:r w:rsidRPr="00EF518B" w:rsidR="00B8452F">
        <w:rPr>
          <w:rFonts w:ascii="Times New Roman" w:hAnsi="Times New Roman"/>
          <w:sz w:val="24"/>
        </w:rPr>
        <w:t>, but not limited to,</w:t>
      </w:r>
      <w:r w:rsidRPr="00EF518B">
        <w:rPr>
          <w:rFonts w:ascii="Times New Roman" w:hAnsi="Times New Roman"/>
          <w:sz w:val="24"/>
        </w:rPr>
        <w:t xml:space="preserve"> furthering a criminal, tax, or regulatory investigation, risk assessment, or proceeding, or use in intelligence or counterintelligence activities, including analysis, to protect against terrorism.</w:t>
      </w:r>
    </w:p>
    <w:p w:rsidR="00726E45" w:rsidRPr="00EF518B" w:rsidP="00726E45" w14:paraId="3881A14C" w14:textId="77777777">
      <w:pPr>
        <w:spacing w:after="240"/>
        <w:rPr>
          <w:rFonts w:ascii="Times New Roman" w:hAnsi="Times New Roman"/>
          <w:sz w:val="24"/>
        </w:rPr>
      </w:pPr>
      <w:r w:rsidRPr="00EF518B">
        <w:rPr>
          <w:rFonts w:ascii="Times New Roman" w:hAnsi="Times New Roman"/>
          <w:sz w:val="24"/>
        </w:rPr>
        <w:t xml:space="preserve">11. </w:t>
      </w:r>
      <w:r w:rsidRPr="00EF518B">
        <w:rPr>
          <w:rFonts w:ascii="Times New Roman" w:hAnsi="Times New Roman"/>
          <w:sz w:val="24"/>
          <w:u w:val="single"/>
        </w:rPr>
        <w:t>Justification of sensitive questions.</w:t>
      </w:r>
      <w:r w:rsidRPr="00EF518B">
        <w:rPr>
          <w:rFonts w:ascii="Times New Roman" w:hAnsi="Times New Roman"/>
          <w:sz w:val="24"/>
        </w:rPr>
        <w:t xml:space="preserve"> </w:t>
      </w:r>
    </w:p>
    <w:p w:rsidR="00726E45" w:rsidRPr="00EF518B" w:rsidP="00726E45" w14:paraId="6015ADEF" w14:textId="700F8745">
      <w:pPr>
        <w:spacing w:after="240"/>
        <w:ind w:firstLine="720"/>
        <w:rPr>
          <w:rFonts w:ascii="Times New Roman" w:hAnsi="Times New Roman"/>
          <w:color w:val="1F497D"/>
          <w:sz w:val="24"/>
        </w:rPr>
      </w:pPr>
      <w:r w:rsidRPr="00EF518B">
        <w:rPr>
          <w:rFonts w:ascii="Times New Roman" w:hAnsi="Times New Roman"/>
          <w:sz w:val="24"/>
        </w:rPr>
        <w:t>There are no questions of a sensitive nature in the collection of information.  Any personally identifiable information collected under the BSA is strictly controlled as outlined in FinCEN’s Privacy Act Systems of Records Notice</w:t>
      </w:r>
      <w:r w:rsidRPr="00EF518B" w:rsidR="00B8452F">
        <w:rPr>
          <w:rFonts w:ascii="Times New Roman" w:hAnsi="Times New Roman"/>
          <w:sz w:val="24"/>
        </w:rPr>
        <w:t xml:space="preserve"> for BSA reports</w:t>
      </w:r>
      <w:r w:rsidRPr="00EF518B">
        <w:rPr>
          <w:rFonts w:ascii="Times New Roman" w:hAnsi="Times New Roman"/>
          <w:color w:val="1F497D"/>
          <w:sz w:val="24"/>
        </w:rPr>
        <w:t>.</w:t>
      </w:r>
      <w:r>
        <w:rPr>
          <w:rStyle w:val="FootnoteReference"/>
          <w:rFonts w:ascii="Times New Roman" w:hAnsi="Times New Roman" w:eastAsiaTheme="majorEastAsia"/>
          <w:vertAlign w:val="superscript"/>
        </w:rPr>
        <w:footnoteReference w:id="11"/>
      </w:r>
    </w:p>
    <w:p w:rsidR="00726E45" w:rsidRPr="00EF518B" w:rsidP="00726E45" w14:paraId="3ABE950C" w14:textId="77777777">
      <w:pPr>
        <w:spacing w:after="240"/>
        <w:rPr>
          <w:szCs w:val="22"/>
        </w:rPr>
      </w:pPr>
      <w:r w:rsidRPr="00EF518B">
        <w:rPr>
          <w:rFonts w:ascii="Times New Roman" w:hAnsi="Times New Roman"/>
          <w:sz w:val="24"/>
        </w:rPr>
        <w:t xml:space="preserve">12. </w:t>
      </w:r>
      <w:r w:rsidRPr="00EF518B">
        <w:rPr>
          <w:rFonts w:ascii="Times New Roman" w:hAnsi="Times New Roman"/>
          <w:sz w:val="24"/>
          <w:u w:val="single"/>
        </w:rPr>
        <w:t>Estimated hour burden of information collection.</w:t>
      </w:r>
      <w:r w:rsidRPr="00EF518B">
        <w:rPr>
          <w:szCs w:val="22"/>
        </w:rPr>
        <w:t xml:space="preserve"> </w:t>
      </w:r>
    </w:p>
    <w:p w:rsidR="00726E45" w:rsidRPr="00EF518B" w:rsidP="00726E45" w14:paraId="3C68C46D" w14:textId="77777777">
      <w:pPr>
        <w:widowControl/>
        <w:spacing w:after="240"/>
        <w:ind w:firstLine="720"/>
        <w:rPr>
          <w:rFonts w:ascii="Times New Roman" w:hAnsi="Times New Roman"/>
          <w:sz w:val="24"/>
        </w:rPr>
      </w:pPr>
      <w:r w:rsidRPr="00EF518B">
        <w:rPr>
          <w:rFonts w:ascii="Times New Roman" w:hAnsi="Times New Roman"/>
          <w:sz w:val="24"/>
        </w:rPr>
        <w:t xml:space="preserve">The time burden associated with information collection includes the reporting and recordkeeping components of the total burden incurred by both the reporting person and, in cases where various cascade parties enter into a designation agreement, the non-reporting person parties to the designation agreement. </w:t>
      </w:r>
    </w:p>
    <w:p w:rsidR="00726E45" w:rsidRPr="00EF518B" w:rsidP="00726E45" w14:paraId="1A4465FD" w14:textId="77777777">
      <w:pPr>
        <w:widowControl/>
        <w:spacing w:after="240"/>
        <w:ind w:firstLine="720"/>
        <w:rPr>
          <w:rFonts w:ascii="Times New Roman" w:hAnsi="Times New Roman"/>
          <w:sz w:val="24"/>
        </w:rPr>
      </w:pPr>
      <w:r w:rsidRPr="00EF518B">
        <w:rPr>
          <w:rFonts w:ascii="Times New Roman" w:hAnsi="Times New Roman"/>
          <w:sz w:val="24"/>
        </w:rPr>
        <w:t>Estimates pertaining to the number of respondents and their reporting and recordkeeping costs set forth below should be considered an upper bound of the anticipated potential burden because they are based on the assumption that, in cases where transaction-specific details are variable and unknown, the maximum cost to the maximum number of potential additional participants has been applied.</w:t>
      </w:r>
    </w:p>
    <w:p w:rsidR="00726E45" w:rsidRPr="00EF518B" w:rsidP="00726E45" w14:paraId="4D094CF6" w14:textId="75F031E1">
      <w:pPr>
        <w:widowControl/>
        <w:spacing w:after="240"/>
        <w:ind w:firstLine="720"/>
        <w:rPr>
          <w:rFonts w:ascii="Times New Roman" w:hAnsi="Times New Roman"/>
          <w:sz w:val="24"/>
        </w:rPr>
      </w:pPr>
      <w:r w:rsidRPr="00EF518B">
        <w:rPr>
          <w:rFonts w:ascii="Times New Roman" w:hAnsi="Times New Roman"/>
          <w:sz w:val="24"/>
        </w:rPr>
        <w:t>FinCEN estimates there may be up to approximately 172,753 potential reporting persons;</w:t>
      </w:r>
      <w:r>
        <w:rPr>
          <w:rStyle w:val="FootnoteReference"/>
          <w:rFonts w:ascii="Times New Roman" w:hAnsi="Times New Roman" w:eastAsiaTheme="majorEastAsia"/>
          <w:szCs w:val="20"/>
          <w:vertAlign w:val="superscript"/>
        </w:rPr>
        <w:footnoteReference w:id="12"/>
      </w:r>
      <w:r w:rsidRPr="00EF518B">
        <w:rPr>
          <w:rFonts w:ascii="Times New Roman" w:hAnsi="Times New Roman"/>
          <w:sz w:val="24"/>
        </w:rPr>
        <w:t xml:space="preserve"> however, the majority of these potentially affected reporting persons may never be required to file a report due to the nature of the reporting requirement and of the reporting cascade.</w:t>
      </w:r>
      <w:r>
        <w:rPr>
          <w:rStyle w:val="FootnoteReference"/>
          <w:rFonts w:ascii="Times New Roman" w:hAnsi="Times New Roman" w:eastAsiaTheme="majorEastAsia"/>
          <w:sz w:val="24"/>
          <w:vertAlign w:val="superscript"/>
        </w:rPr>
        <w:footnoteReference w:id="13"/>
      </w:r>
      <w:r w:rsidRPr="00EF518B">
        <w:rPr>
          <w:rFonts w:ascii="Times New Roman" w:hAnsi="Times New Roman"/>
          <w:sz w:val="24"/>
        </w:rPr>
        <w:t xml:space="preserve">  For a given reportable transfer, only one reporting person would be required to file a report in the manner prescribed </w:t>
      </w:r>
      <w:r w:rsidRPr="00EF518B" w:rsidR="00C22286">
        <w:rPr>
          <w:rFonts w:ascii="Times New Roman" w:hAnsi="Times New Roman"/>
          <w:sz w:val="24"/>
        </w:rPr>
        <w:t>by the rule</w:t>
      </w:r>
      <w:r w:rsidRPr="00EF518B">
        <w:rPr>
          <w:rFonts w:ascii="Times New Roman" w:hAnsi="Times New Roman"/>
          <w:sz w:val="24"/>
        </w:rPr>
        <w:t>.</w:t>
      </w:r>
      <w:r>
        <w:rPr>
          <w:rStyle w:val="FootnoteReference"/>
          <w:rFonts w:ascii="Times New Roman" w:hAnsi="Times New Roman" w:eastAsiaTheme="majorEastAsia"/>
          <w:sz w:val="24"/>
          <w:vertAlign w:val="superscript"/>
        </w:rPr>
        <w:footnoteReference w:id="14"/>
      </w:r>
      <w:r w:rsidRPr="00EF518B">
        <w:rPr>
          <w:rFonts w:ascii="Times New Roman" w:hAnsi="Times New Roman"/>
          <w:sz w:val="24"/>
          <w:vertAlign w:val="superscript"/>
        </w:rPr>
        <w:t xml:space="preserve"> </w:t>
      </w:r>
      <w:r w:rsidRPr="00EF518B">
        <w:rPr>
          <w:rFonts w:ascii="Times New Roman" w:hAnsi="Times New Roman"/>
          <w:sz w:val="24"/>
        </w:rPr>
        <w:t xml:space="preserve"> The burden of information collection is therefore more appropriately calculated on a per response basis than per respondent.</w:t>
      </w:r>
    </w:p>
    <w:p w:rsidR="00726E45" w:rsidRPr="00EF518B" w:rsidP="00726E45" w14:paraId="78DA6017" w14:textId="603ED461">
      <w:pPr>
        <w:widowControl/>
        <w:spacing w:after="240"/>
        <w:rPr>
          <w:rFonts w:ascii="Times New Roman" w:hAnsi="Times New Roman"/>
          <w:sz w:val="24"/>
        </w:rPr>
      </w:pPr>
      <w:r w:rsidRPr="00EF518B">
        <w:rPr>
          <w:rFonts w:ascii="Times New Roman" w:hAnsi="Times New Roman"/>
          <w:i/>
          <w:sz w:val="24"/>
        </w:rPr>
        <w:t xml:space="preserve">Frequency: </w:t>
      </w:r>
      <w:r w:rsidRPr="00EF518B">
        <w:rPr>
          <w:rFonts w:ascii="Times New Roman" w:hAnsi="Times New Roman"/>
          <w:sz w:val="24"/>
        </w:rPr>
        <w:t xml:space="preserve"> </w:t>
      </w:r>
      <w:r w:rsidRPr="00EF518B" w:rsidR="002F7682">
        <w:rPr>
          <w:rFonts w:ascii="Times New Roman" w:hAnsi="Times New Roman"/>
          <w:sz w:val="24"/>
        </w:rPr>
        <w:t>Once per reportable transaction</w:t>
      </w:r>
      <w:r w:rsidRPr="00EF518B">
        <w:rPr>
          <w:rFonts w:ascii="Times New Roman" w:hAnsi="Times New Roman"/>
          <w:sz w:val="24"/>
        </w:rPr>
        <w:t>.</w:t>
      </w:r>
      <w:r>
        <w:rPr>
          <w:rStyle w:val="FootnoteReference"/>
          <w:rFonts w:ascii="Times New Roman" w:hAnsi="Times New Roman" w:eastAsiaTheme="majorEastAsia"/>
          <w:sz w:val="24"/>
          <w:vertAlign w:val="superscript"/>
        </w:rPr>
        <w:footnoteReference w:id="15"/>
      </w:r>
      <w:r w:rsidRPr="00EF518B">
        <w:rPr>
          <w:rFonts w:ascii="Times New Roman" w:hAnsi="Times New Roman"/>
          <w:sz w:val="24"/>
        </w:rPr>
        <w:t xml:space="preserve"> </w:t>
      </w:r>
    </w:p>
    <w:p w:rsidR="00726E45" w:rsidRPr="00EF518B" w:rsidP="00726E45" w14:paraId="6CA553AE" w14:textId="77777777">
      <w:pPr>
        <w:widowControl/>
        <w:spacing w:after="240"/>
        <w:rPr>
          <w:rFonts w:ascii="Times New Roman" w:hAnsi="Times New Roman"/>
          <w:sz w:val="24"/>
        </w:rPr>
      </w:pPr>
      <w:r w:rsidRPr="00EF518B">
        <w:rPr>
          <w:rFonts w:ascii="Times New Roman" w:hAnsi="Times New Roman"/>
          <w:i/>
          <w:sz w:val="24"/>
        </w:rPr>
        <w:t>Estimated Total Annual Responses:</w:t>
      </w:r>
      <w:r w:rsidRPr="00EF518B">
        <w:rPr>
          <w:rFonts w:ascii="Times New Roman" w:hAnsi="Times New Roman"/>
          <w:sz w:val="24"/>
        </w:rPr>
        <w:t xml:space="preserve">  850,000 </w:t>
      </w:r>
    </w:p>
    <w:p w:rsidR="00726E45" w:rsidRPr="00EF518B" w:rsidP="00726E45" w14:paraId="1D8827D5" w14:textId="77777777">
      <w:pPr>
        <w:spacing w:after="240"/>
        <w:ind w:firstLine="720"/>
      </w:pPr>
      <w:r w:rsidRPr="00EF518B">
        <w:rPr>
          <w:rFonts w:ascii="Times New Roman" w:hAnsi="Times New Roman"/>
          <w:sz w:val="24"/>
        </w:rPr>
        <w:t xml:space="preserve">This estimate of total annual responses is based on a synthesis of publicly available and third-party sources of annual aggregate data with in-house analysis of records on new and existing homes, unimproved land intended for residential development, quit claims without financial consideration, and cooperatives.  </w:t>
      </w:r>
    </w:p>
    <w:p w:rsidR="00726E45" w:rsidRPr="00EF518B" w:rsidP="00726E45" w14:paraId="0B6CE655" w14:textId="29C01750">
      <w:pPr>
        <w:spacing w:after="240"/>
        <w:rPr>
          <w:rFonts w:ascii="Times New Roman" w:hAnsi="Times New Roman"/>
          <w:sz w:val="24"/>
        </w:rPr>
      </w:pPr>
      <w:r w:rsidRPr="00EF518B">
        <w:rPr>
          <w:rFonts w:ascii="Times New Roman" w:hAnsi="Times New Roman"/>
          <w:i/>
          <w:sz w:val="24"/>
        </w:rPr>
        <w:t>Estimated Total Annual Burden Hours</w:t>
      </w:r>
      <w:r w:rsidRPr="00EF518B">
        <w:rPr>
          <w:rFonts w:ascii="Times New Roman" w:hAnsi="Times New Roman"/>
          <w:sz w:val="24"/>
        </w:rPr>
        <w:t>:  4,604,167 burden hours</w:t>
      </w:r>
      <w:r>
        <w:rPr>
          <w:rStyle w:val="FootnoteReference"/>
          <w:rFonts w:ascii="Times New Roman" w:hAnsi="Times New Roman" w:eastAsiaTheme="majorEastAsia"/>
          <w:szCs w:val="20"/>
          <w:vertAlign w:val="superscript"/>
        </w:rPr>
        <w:footnoteReference w:id="16"/>
      </w:r>
      <w:r w:rsidRPr="00EF518B">
        <w:rPr>
          <w:rFonts w:ascii="Times New Roman" w:hAnsi="Times New Roman"/>
          <w:szCs w:val="20"/>
          <w:vertAlign w:val="superscript"/>
        </w:rPr>
        <w:t xml:space="preserve"> </w:t>
      </w:r>
    </w:p>
    <w:p w:rsidR="00726E45" w:rsidRPr="00EF518B" w:rsidP="00726E45" w14:paraId="6BCCF716" w14:textId="77777777">
      <w:pPr>
        <w:widowControl/>
        <w:spacing w:after="240"/>
        <w:rPr>
          <w:i/>
          <w:iCs/>
        </w:rPr>
      </w:pPr>
      <w:r w:rsidRPr="00EF518B">
        <w:rPr>
          <w:rFonts w:ascii="Times New Roman" w:hAnsi="Times New Roman"/>
          <w:i/>
          <w:iCs/>
          <w:sz w:val="24"/>
        </w:rPr>
        <w:t>Estimated Burden per Response:</w:t>
      </w:r>
      <w:r w:rsidRPr="00EF518B">
        <w:rPr>
          <w:i/>
          <w:iCs/>
        </w:rPr>
        <w:t xml:space="preserve"> </w:t>
      </w:r>
    </w:p>
    <w:p w:rsidR="00726E45" w:rsidRPr="00EF518B" w:rsidP="00726E45" w14:paraId="312FE747" w14:textId="77777777">
      <w:pPr>
        <w:widowControl/>
        <w:spacing w:after="240"/>
        <w:ind w:left="720"/>
        <w:rPr>
          <w:rFonts w:ascii="Times New Roman" w:hAnsi="Times New Roman"/>
          <w:i/>
          <w:iCs/>
          <w:sz w:val="24"/>
        </w:rPr>
      </w:pPr>
      <w:r w:rsidRPr="00EF518B">
        <w:rPr>
          <w:rFonts w:ascii="Times New Roman" w:hAnsi="Times New Roman"/>
          <w:i/>
          <w:iCs/>
          <w:sz w:val="24"/>
        </w:rPr>
        <w:t>Per Response Burden to Reporting Persons</w:t>
      </w:r>
    </w:p>
    <w:p w:rsidR="00726E45" w:rsidRPr="00EF518B" w:rsidP="00726E45" w14:paraId="15C85202" w14:textId="79259170">
      <w:pPr>
        <w:widowControl/>
        <w:spacing w:after="240"/>
        <w:ind w:firstLine="720"/>
        <w:rPr>
          <w:rFonts w:ascii="Times New Roman" w:hAnsi="Times New Roman"/>
          <w:sz w:val="24"/>
        </w:rPr>
      </w:pPr>
      <w:r w:rsidRPr="00EF518B">
        <w:rPr>
          <w:rFonts w:ascii="Times New Roman" w:hAnsi="Times New Roman"/>
          <w:sz w:val="24"/>
        </w:rPr>
        <w:t xml:space="preserve">FinCEN estimates that the person who files a Real Estate Report </w:t>
      </w:r>
      <w:r w:rsidR="001F2510">
        <w:rPr>
          <w:rFonts w:ascii="Times New Roman" w:hAnsi="Times New Roman"/>
          <w:sz w:val="24"/>
        </w:rPr>
        <w:t xml:space="preserve">and who </w:t>
      </w:r>
      <w:r w:rsidRPr="00EF518B">
        <w:rPr>
          <w:rFonts w:ascii="Times New Roman" w:hAnsi="Times New Roman"/>
          <w:sz w:val="24"/>
        </w:rPr>
        <w:t>is also a party to a designation agreement will incur a three-hour reporting burden and a recordkeeping burden of one hour and five minutes per response.  Thus, the total burden to the reporting person per response is four hours and five minutes.</w:t>
      </w:r>
    </w:p>
    <w:p w:rsidR="00726E45" w:rsidRPr="00EF518B" w:rsidP="00726E45" w14:paraId="40FEC795" w14:textId="77777777">
      <w:pPr>
        <w:widowControl/>
        <w:spacing w:after="240"/>
        <w:ind w:firstLine="720"/>
        <w:rPr>
          <w:rFonts w:ascii="Times New Roman" w:hAnsi="Times New Roman"/>
          <w:i/>
          <w:iCs/>
          <w:sz w:val="24"/>
        </w:rPr>
      </w:pPr>
      <w:r w:rsidRPr="00EF518B">
        <w:rPr>
          <w:rFonts w:ascii="Times New Roman" w:hAnsi="Times New Roman"/>
          <w:i/>
          <w:iCs/>
          <w:sz w:val="24"/>
        </w:rPr>
        <w:t>Per Response Burden to Non-Reporting Persons</w:t>
      </w:r>
    </w:p>
    <w:p w:rsidR="00726E45" w:rsidRPr="00EF518B" w:rsidP="00726E45" w14:paraId="093B6318" w14:textId="48B2B86B">
      <w:pPr>
        <w:widowControl/>
        <w:spacing w:after="240"/>
        <w:ind w:firstLine="720"/>
        <w:rPr>
          <w:rFonts w:ascii="Times New Roman" w:hAnsi="Times New Roman"/>
          <w:sz w:val="24"/>
        </w:rPr>
      </w:pPr>
      <w:r w:rsidRPr="00EF518B">
        <w:rPr>
          <w:rFonts w:ascii="Times New Roman" w:hAnsi="Times New Roman"/>
          <w:sz w:val="24"/>
        </w:rPr>
        <w:t>FinCEN believes the maximum number of non-reporting persons per response is four.</w:t>
      </w:r>
      <w:r>
        <w:rPr>
          <w:rStyle w:val="FootnoteReference"/>
          <w:rFonts w:ascii="Times New Roman" w:hAnsi="Times New Roman" w:eastAsiaTheme="majorEastAsia"/>
          <w:szCs w:val="20"/>
          <w:vertAlign w:val="superscript"/>
        </w:rPr>
        <w:footnoteReference w:id="17"/>
      </w:r>
      <w:r w:rsidRPr="00EF518B">
        <w:rPr>
          <w:rFonts w:ascii="Times New Roman" w:hAnsi="Times New Roman"/>
          <w:szCs w:val="20"/>
          <w:vertAlign w:val="superscript"/>
        </w:rPr>
        <w:t xml:space="preserve"> </w:t>
      </w:r>
      <w:r w:rsidRPr="00EF518B">
        <w:rPr>
          <w:rFonts w:ascii="Times New Roman" w:hAnsi="Times New Roman"/>
          <w:sz w:val="24"/>
        </w:rPr>
        <w:t xml:space="preserve"> Each such party is expected to incur a fifteen-minute reporting burden and a five-minute recordkeeping burden</w:t>
      </w:r>
      <w:r w:rsidRPr="00EF518B" w:rsidR="00020244">
        <w:rPr>
          <w:rFonts w:ascii="Times New Roman" w:hAnsi="Times New Roman"/>
          <w:sz w:val="24"/>
        </w:rPr>
        <w:t>, totaling 20 minutes in response</w:t>
      </w:r>
      <w:r w:rsidRPr="00EF518B" w:rsidR="00CA1C90">
        <w:rPr>
          <w:rFonts w:ascii="Times New Roman" w:hAnsi="Times New Roman"/>
          <w:sz w:val="24"/>
        </w:rPr>
        <w:t xml:space="preserve"> time</w:t>
      </w:r>
      <w:r w:rsidRPr="00EF518B" w:rsidR="00020244">
        <w:rPr>
          <w:rFonts w:ascii="Times New Roman" w:hAnsi="Times New Roman"/>
          <w:sz w:val="24"/>
        </w:rPr>
        <w:t xml:space="preserve"> burden</w:t>
      </w:r>
      <w:r w:rsidRPr="00EF518B" w:rsidR="00CA1C90">
        <w:rPr>
          <w:rFonts w:ascii="Times New Roman" w:hAnsi="Times New Roman"/>
          <w:sz w:val="24"/>
        </w:rPr>
        <w:t xml:space="preserve"> per non-reporting</w:t>
      </w:r>
      <w:r w:rsidRPr="00EF518B" w:rsidR="00D0304E">
        <w:rPr>
          <w:rFonts w:ascii="Times New Roman" w:hAnsi="Times New Roman"/>
          <w:sz w:val="24"/>
        </w:rPr>
        <w:t xml:space="preserve"> person</w:t>
      </w:r>
      <w:r w:rsidRPr="00EF518B">
        <w:rPr>
          <w:rFonts w:ascii="Times New Roman" w:hAnsi="Times New Roman"/>
          <w:sz w:val="24"/>
        </w:rPr>
        <w:t>; therefore, the total burden to non-reporting persons per response is one hour and twenty minutes.</w:t>
      </w:r>
    </w:p>
    <w:p w:rsidR="00726E45" w:rsidRPr="00EF518B" w:rsidP="00726E45" w14:paraId="46553987" w14:textId="77777777">
      <w:pPr>
        <w:widowControl/>
        <w:spacing w:after="240"/>
        <w:ind w:left="720"/>
        <w:rPr>
          <w:rFonts w:ascii="Times New Roman" w:hAnsi="Times New Roman"/>
          <w:i/>
          <w:sz w:val="24"/>
        </w:rPr>
      </w:pPr>
      <w:r w:rsidRPr="00EF518B">
        <w:rPr>
          <w:rFonts w:ascii="Times New Roman" w:hAnsi="Times New Roman"/>
          <w:i/>
          <w:iCs/>
          <w:sz w:val="24"/>
        </w:rPr>
        <w:t>Total Burden per Response</w:t>
      </w:r>
    </w:p>
    <w:p w:rsidR="00726E45" w:rsidRPr="00EF518B" w:rsidP="00726E45" w14:paraId="4E8CD785" w14:textId="47EC3C19">
      <w:pPr>
        <w:spacing w:after="240"/>
        <w:ind w:firstLine="720"/>
        <w:rPr>
          <w:rFonts w:ascii="Times New Roman" w:hAnsi="Times New Roman"/>
          <w:sz w:val="24"/>
        </w:rPr>
      </w:pPr>
      <w:r w:rsidRPr="00EF518B">
        <w:rPr>
          <w:rFonts w:ascii="Times New Roman" w:hAnsi="Times New Roman"/>
          <w:sz w:val="24"/>
        </w:rPr>
        <w:t xml:space="preserve">The total burden per response estimate includes the burden to the reporting person (four hours and five minutes) and </w:t>
      </w:r>
      <w:r w:rsidR="001F2510">
        <w:rPr>
          <w:rFonts w:ascii="Times New Roman" w:hAnsi="Times New Roman"/>
          <w:sz w:val="24"/>
        </w:rPr>
        <w:t xml:space="preserve">to </w:t>
      </w:r>
      <w:r w:rsidRPr="00EF518B">
        <w:rPr>
          <w:rFonts w:ascii="Times New Roman" w:hAnsi="Times New Roman"/>
          <w:sz w:val="24"/>
        </w:rPr>
        <w:t>four non-reporting persons (one hour and twenty minutes).  The total time burden per response is thus expected to be five hours and twenty-five minutes.</w:t>
      </w:r>
    </w:p>
    <w:p w:rsidR="00726E45" w:rsidRPr="00EF518B" w:rsidP="00726E45" w14:paraId="0C34DD3D" w14:textId="77777777">
      <w:pPr>
        <w:spacing w:after="240"/>
        <w:rPr>
          <w:rFonts w:ascii="Times New Roman" w:hAnsi="Times New Roman"/>
          <w:sz w:val="24"/>
          <w:szCs w:val="18"/>
          <w:u w:val="single"/>
        </w:rPr>
      </w:pPr>
      <w:r w:rsidRPr="00EF518B">
        <w:rPr>
          <w:rFonts w:ascii="Times New Roman" w:hAnsi="Times New Roman"/>
          <w:sz w:val="24"/>
          <w:szCs w:val="18"/>
        </w:rPr>
        <w:t xml:space="preserve">13. </w:t>
      </w:r>
      <w:r w:rsidRPr="00EF518B">
        <w:rPr>
          <w:rFonts w:ascii="Times New Roman" w:hAnsi="Times New Roman"/>
          <w:sz w:val="24"/>
          <w:szCs w:val="18"/>
          <w:u w:val="single"/>
        </w:rPr>
        <w:t xml:space="preserve">Estimated total annual cost burden. </w:t>
      </w:r>
    </w:p>
    <w:p w:rsidR="0018697B" w:rsidRPr="00EF518B" w:rsidP="0018697B" w14:paraId="2B385D49" w14:textId="140C12B5">
      <w:pPr>
        <w:widowControl/>
        <w:autoSpaceDE/>
        <w:autoSpaceDN/>
        <w:adjustRightInd/>
        <w:spacing w:after="240"/>
        <w:ind w:firstLine="720"/>
        <w:rPr>
          <w:rFonts w:ascii="Times New Roman" w:eastAsia="Calibri" w:hAnsi="Times New Roman"/>
          <w:sz w:val="24"/>
        </w:rPr>
      </w:pPr>
      <w:r w:rsidRPr="00EF518B">
        <w:rPr>
          <w:rFonts w:ascii="Times New Roman" w:hAnsi="Times New Roman"/>
          <w:i/>
          <w:sz w:val="24"/>
          <w:szCs w:val="18"/>
        </w:rPr>
        <w:t>Estimated Total Annual Reporting and Recordkeeping Cost:</w:t>
      </w:r>
      <w:r w:rsidRPr="00EF518B">
        <w:rPr>
          <w:rFonts w:ascii="Times New Roman" w:hAnsi="Times New Roman"/>
          <w:sz w:val="24"/>
          <w:szCs w:val="18"/>
        </w:rPr>
        <w:t xml:space="preserve">  $ 630,976,662.47</w:t>
      </w:r>
      <w:r>
        <w:rPr>
          <w:rStyle w:val="FootnoteReference"/>
          <w:rFonts w:ascii="Times New Roman" w:hAnsi="Times New Roman" w:eastAsiaTheme="majorEastAsia"/>
          <w:szCs w:val="20"/>
          <w:vertAlign w:val="superscript"/>
        </w:rPr>
        <w:footnoteReference w:id="18"/>
      </w:r>
      <w:r w:rsidRPr="00EF518B">
        <w:rPr>
          <w:rFonts w:ascii="Times New Roman" w:hAnsi="Times New Roman"/>
          <w:sz w:val="24"/>
          <w:szCs w:val="18"/>
        </w:rPr>
        <w:t xml:space="preserve"> </w:t>
      </w:r>
      <w:r w:rsidRPr="00EF518B">
        <w:rPr>
          <w:rFonts w:ascii="Times New Roman" w:eastAsia="Calibri" w:hAnsi="Times New Roman"/>
          <w:sz w:val="24"/>
        </w:rPr>
        <w:t xml:space="preserve">The first table below (Table 1) presents FinCEN’s estimates of the various potential per-party per-transaction reporting costs associated with preparing and filing the Real Estate Report.  The second table below (Table 2) presents FinCEN’s estimates of the various potential per-party per-transaction recordkeeping costs. </w:t>
      </w:r>
    </w:p>
    <w:p w:rsidR="004779CB" w:rsidRPr="00EF518B" w:rsidP="0019755B" w14:paraId="2D6FE895" w14:textId="428B66DD">
      <w:pPr>
        <w:spacing w:before="240" w:after="240"/>
        <w:ind w:firstLine="720"/>
        <w:rPr>
          <w:rFonts w:ascii="Times New Roman" w:hAnsi="Times New Roman"/>
          <w:sz w:val="24"/>
        </w:rPr>
      </w:pPr>
      <w:r w:rsidRPr="00EF518B">
        <w:rPr>
          <w:rFonts w:ascii="Times New Roman" w:hAnsi="Times New Roman"/>
          <w:sz w:val="24"/>
        </w:rPr>
        <w:t xml:space="preserve">To estimate </w:t>
      </w:r>
      <w:r w:rsidRPr="00EF518B" w:rsidR="001539B8">
        <w:rPr>
          <w:rFonts w:ascii="Times New Roman" w:hAnsi="Times New Roman"/>
          <w:sz w:val="24"/>
        </w:rPr>
        <w:t xml:space="preserve">the reporting and recordkeeping costs </w:t>
      </w:r>
      <w:r w:rsidRPr="00EF518B">
        <w:rPr>
          <w:rFonts w:ascii="Times New Roman" w:hAnsi="Times New Roman"/>
          <w:sz w:val="24"/>
        </w:rPr>
        <w:t>conservatively, FinCEN assumes the maximum number of cascade participants in a given transaction (five) are parties to the designation agreement and that the reporting entity is always primarily employed by the candidate entity with the highest estimated wage rate ($153.84/hr.).</w:t>
      </w:r>
      <w:r>
        <w:rPr>
          <w:rStyle w:val="FootnoteReference"/>
          <w:rFonts w:ascii="Times New Roman" w:hAnsi="Times New Roman"/>
          <w:sz w:val="24"/>
          <w:vertAlign w:val="superscript"/>
        </w:rPr>
        <w:footnoteReference w:id="19"/>
      </w:r>
      <w:r w:rsidRPr="00EF518B">
        <w:rPr>
          <w:rFonts w:ascii="Times New Roman" w:hAnsi="Times New Roman"/>
          <w:sz w:val="24"/>
        </w:rPr>
        <w:t xml:space="preserve"> </w:t>
      </w:r>
      <w:r w:rsidRPr="00EF518B" w:rsidR="002135B3">
        <w:rPr>
          <w:rFonts w:ascii="Times New Roman" w:hAnsi="Times New Roman"/>
          <w:sz w:val="24"/>
        </w:rPr>
        <w:t>Estimat</w:t>
      </w:r>
      <w:r w:rsidRPr="00EF518B" w:rsidR="00574629">
        <w:rPr>
          <w:rFonts w:ascii="Times New Roman" w:hAnsi="Times New Roman"/>
          <w:sz w:val="24"/>
        </w:rPr>
        <w:t>e</w:t>
      </w:r>
      <w:r w:rsidRPr="00EF518B" w:rsidR="002135B3">
        <w:rPr>
          <w:rFonts w:ascii="Times New Roman" w:hAnsi="Times New Roman"/>
          <w:sz w:val="24"/>
        </w:rPr>
        <w:t>s also include a $0.10</w:t>
      </w:r>
      <w:r w:rsidRPr="00EF518B" w:rsidR="00574629">
        <w:rPr>
          <w:rFonts w:ascii="Times New Roman" w:hAnsi="Times New Roman"/>
          <w:sz w:val="24"/>
        </w:rPr>
        <w:t xml:space="preserve"> cost per</w:t>
      </w:r>
      <w:r w:rsidRPr="00EF518B" w:rsidR="00B24730">
        <w:rPr>
          <w:rFonts w:ascii="Times New Roman" w:hAnsi="Times New Roman"/>
          <w:sz w:val="24"/>
        </w:rPr>
        <w:t xml:space="preserve"> record retained that is meant to capture the technology cost</w:t>
      </w:r>
      <w:r w:rsidRPr="00EF518B" w:rsidR="00B65AAA">
        <w:rPr>
          <w:rFonts w:ascii="Times New Roman" w:hAnsi="Times New Roman"/>
          <w:sz w:val="24"/>
        </w:rPr>
        <w:t xml:space="preserve"> of retaining documentation electronically.</w:t>
      </w:r>
    </w:p>
    <w:p w:rsidR="00BB5886" w:rsidRPr="00EF518B" w:rsidP="0019755B" w14:paraId="568B3734" w14:textId="767EE6FA">
      <w:pPr>
        <w:spacing w:after="240"/>
        <w:ind w:firstLine="720"/>
        <w:rPr>
          <w:rFonts w:ascii="Times New Roman" w:eastAsia="Calibri" w:hAnsi="Times New Roman"/>
          <w:i/>
          <w:iCs/>
          <w:sz w:val="24"/>
        </w:rPr>
      </w:pPr>
      <w:r w:rsidRPr="00EF518B">
        <w:rPr>
          <w:rFonts w:ascii="Times New Roman" w:eastAsia="Calibri" w:hAnsi="Times New Roman"/>
          <w:i/>
          <w:iCs/>
          <w:sz w:val="24"/>
        </w:rPr>
        <w:t>Estimated Total Annual Reporting Cost:</w:t>
      </w:r>
    </w:p>
    <w:tbl>
      <w:tblPr>
        <w:tblW w:w="9340" w:type="dxa"/>
        <w:tblLook w:val="04A0"/>
      </w:tblPr>
      <w:tblGrid>
        <w:gridCol w:w="2064"/>
        <w:gridCol w:w="1048"/>
        <w:gridCol w:w="1018"/>
        <w:gridCol w:w="1076"/>
        <w:gridCol w:w="1042"/>
        <w:gridCol w:w="956"/>
        <w:gridCol w:w="950"/>
        <w:gridCol w:w="1186"/>
      </w:tblGrid>
      <w:tr w14:paraId="63452D3F" w14:textId="77777777" w:rsidTr="0019755B">
        <w:tblPrEx>
          <w:tblW w:w="9340" w:type="dxa"/>
          <w:tblLook w:val="04A0"/>
        </w:tblPrEx>
        <w:trPr>
          <w:trHeight w:val="300"/>
        </w:trPr>
        <w:tc>
          <w:tcPr>
            <w:tcW w:w="9340" w:type="dxa"/>
            <w:gridSpan w:val="8"/>
            <w:tcBorders>
              <w:bottom w:val="single" w:sz="4" w:space="0" w:color="auto"/>
            </w:tcBorders>
            <w:shd w:val="clear" w:color="auto" w:fill="FFFFFF"/>
            <w:noWrap/>
            <w:vAlign w:val="center"/>
          </w:tcPr>
          <w:p w:rsidR="00BB5886" w:rsidRPr="00EF518B" w:rsidP="0019755B" w14:paraId="6FCB3F38" w14:textId="221CE027">
            <w:pPr>
              <w:widowControl/>
              <w:autoSpaceDE/>
              <w:autoSpaceDN/>
              <w:adjustRightInd/>
              <w:spacing w:line="480" w:lineRule="auto"/>
              <w:jc w:val="center"/>
              <w:rPr>
                <w:rFonts w:ascii="Times New Roman" w:eastAsia="Calibri" w:hAnsi="Times New Roman"/>
                <w:b/>
                <w:sz w:val="24"/>
              </w:rPr>
            </w:pPr>
            <w:r w:rsidRPr="00EF518B">
              <w:rPr>
                <w:rFonts w:ascii="Times New Roman" w:eastAsia="Calibri" w:hAnsi="Times New Roman"/>
                <w:b/>
                <w:sz w:val="24"/>
              </w:rPr>
              <w:t>Table 1: Transaction Reporting Costs</w:t>
            </w:r>
          </w:p>
        </w:tc>
      </w:tr>
      <w:tr w14:paraId="5805E3EC" w14:textId="77777777" w:rsidTr="0019755B">
        <w:tblPrEx>
          <w:tblW w:w="9340" w:type="dxa"/>
          <w:tblLook w:val="04A0"/>
        </w:tblPrEx>
        <w:trPr>
          <w:trHeight w:val="300"/>
        </w:trPr>
        <w:tc>
          <w:tcPr>
            <w:tcW w:w="3112" w:type="dxa"/>
            <w:gridSpan w:val="2"/>
            <w:vMerge w:val="restart"/>
            <w:tcBorders>
              <w:top w:val="single" w:sz="4" w:space="0" w:color="auto"/>
              <w:left w:val="single" w:sz="8" w:space="0" w:color="auto"/>
              <w:bottom w:val="single" w:sz="4" w:space="0" w:color="000000"/>
              <w:right w:val="single" w:sz="4" w:space="0" w:color="000000"/>
            </w:tcBorders>
            <w:shd w:val="clear" w:color="auto" w:fill="FFFFFF"/>
            <w:noWrap/>
            <w:vAlign w:val="center"/>
            <w:hideMark/>
          </w:tcPr>
          <w:p w:rsidR="00BB5886" w:rsidRPr="00EF518B" w:rsidP="004A6336" w14:paraId="4EB56867" w14:textId="77777777">
            <w:pPr>
              <w:widowControl/>
              <w:autoSpaceDE/>
              <w:autoSpaceDN/>
              <w:adjustRightInd/>
              <w:jc w:val="center"/>
              <w:rPr>
                <w:rFonts w:ascii="Times New Roman" w:hAnsi="Times New Roman"/>
                <w:b/>
                <w:color w:val="000000"/>
                <w:sz w:val="22"/>
                <w:szCs w:val="22"/>
              </w:rPr>
            </w:pPr>
            <w:r w:rsidRPr="00EF518B">
              <w:rPr>
                <w:rFonts w:ascii="Times New Roman" w:hAnsi="Times New Roman"/>
                <w:b/>
                <w:color w:val="000000"/>
                <w:sz w:val="22"/>
                <w:szCs w:val="22"/>
              </w:rPr>
              <w:t>Estimated Per Transaction Reporting Costs</w:t>
            </w:r>
          </w:p>
        </w:tc>
        <w:tc>
          <w:tcPr>
            <w:tcW w:w="2094" w:type="dxa"/>
            <w:gridSpan w:val="2"/>
            <w:tcBorders>
              <w:top w:val="single" w:sz="4" w:space="0" w:color="auto"/>
              <w:left w:val="nil"/>
              <w:bottom w:val="single" w:sz="4" w:space="0" w:color="auto"/>
              <w:right w:val="single" w:sz="4" w:space="0" w:color="auto"/>
            </w:tcBorders>
            <w:shd w:val="clear" w:color="auto" w:fill="FFFFFF"/>
            <w:noWrap/>
            <w:vAlign w:val="center"/>
            <w:hideMark/>
          </w:tcPr>
          <w:p w:rsidR="00BB5886" w:rsidRPr="00EF518B" w:rsidP="004A6336" w14:paraId="2073244B" w14:textId="77777777">
            <w:pPr>
              <w:widowControl/>
              <w:autoSpaceDE/>
              <w:autoSpaceDN/>
              <w:adjustRightInd/>
              <w:jc w:val="center"/>
              <w:rPr>
                <w:rFonts w:ascii="Times New Roman" w:hAnsi="Times New Roman"/>
                <w:b/>
                <w:color w:val="000000"/>
                <w:sz w:val="22"/>
                <w:szCs w:val="22"/>
              </w:rPr>
            </w:pPr>
            <w:r w:rsidRPr="00EF518B">
              <w:rPr>
                <w:rFonts w:ascii="Times New Roman" w:hAnsi="Times New Roman"/>
                <w:b/>
                <w:color w:val="000000"/>
                <w:sz w:val="22"/>
                <w:szCs w:val="22"/>
              </w:rPr>
              <w:t>Non-Reporting Party</w:t>
            </w:r>
          </w:p>
        </w:tc>
        <w:tc>
          <w:tcPr>
            <w:tcW w:w="4134" w:type="dxa"/>
            <w:gridSpan w:val="4"/>
            <w:tcBorders>
              <w:top w:val="single" w:sz="4" w:space="0" w:color="auto"/>
              <w:left w:val="nil"/>
              <w:bottom w:val="single" w:sz="4" w:space="0" w:color="auto"/>
              <w:right w:val="single" w:sz="8" w:space="0" w:color="000000"/>
            </w:tcBorders>
            <w:shd w:val="clear" w:color="auto" w:fill="FFFFFF"/>
            <w:noWrap/>
            <w:vAlign w:val="center"/>
            <w:hideMark/>
          </w:tcPr>
          <w:p w:rsidR="00BB5886" w:rsidRPr="00EF518B" w:rsidP="004A6336" w14:paraId="7C4401CC" w14:textId="77777777">
            <w:pPr>
              <w:widowControl/>
              <w:autoSpaceDE/>
              <w:autoSpaceDN/>
              <w:adjustRightInd/>
              <w:jc w:val="center"/>
              <w:rPr>
                <w:rFonts w:ascii="Times New Roman" w:hAnsi="Times New Roman"/>
                <w:b/>
                <w:color w:val="000000"/>
                <w:sz w:val="22"/>
                <w:szCs w:val="22"/>
              </w:rPr>
            </w:pPr>
            <w:r w:rsidRPr="00EF518B">
              <w:rPr>
                <w:rFonts w:ascii="Times New Roman" w:hAnsi="Times New Roman"/>
                <w:b/>
                <w:color w:val="000000"/>
                <w:sz w:val="22"/>
                <w:szCs w:val="22"/>
              </w:rPr>
              <w:t>Reporting Party</w:t>
            </w:r>
          </w:p>
        </w:tc>
      </w:tr>
      <w:tr w14:paraId="15721350" w14:textId="77777777" w:rsidTr="004A6336">
        <w:tblPrEx>
          <w:tblW w:w="9340" w:type="dxa"/>
          <w:tblLook w:val="04A0"/>
        </w:tblPrEx>
        <w:trPr>
          <w:trHeight w:val="585"/>
        </w:trPr>
        <w:tc>
          <w:tcPr>
            <w:tcW w:w="3112" w:type="dxa"/>
            <w:gridSpan w:val="2"/>
            <w:vMerge/>
            <w:tcBorders>
              <w:top w:val="single" w:sz="8" w:space="0" w:color="auto"/>
              <w:left w:val="single" w:sz="8" w:space="0" w:color="auto"/>
              <w:bottom w:val="single" w:sz="4" w:space="0" w:color="000000"/>
              <w:right w:val="single" w:sz="4" w:space="0" w:color="000000"/>
            </w:tcBorders>
            <w:shd w:val="clear" w:color="auto" w:fill="FFFFFF"/>
            <w:vAlign w:val="center"/>
            <w:hideMark/>
          </w:tcPr>
          <w:p w:rsidR="00BB5886" w:rsidRPr="00EF518B" w:rsidP="004A6336" w14:paraId="7505B577" w14:textId="77777777">
            <w:pPr>
              <w:widowControl/>
              <w:autoSpaceDE/>
              <w:autoSpaceDN/>
              <w:adjustRightInd/>
              <w:rPr>
                <w:rFonts w:ascii="Times New Roman" w:hAnsi="Times New Roman"/>
                <w:b/>
                <w:bCs/>
                <w:color w:val="000000"/>
                <w:sz w:val="22"/>
                <w:szCs w:val="22"/>
              </w:rPr>
            </w:pPr>
          </w:p>
        </w:tc>
        <w:tc>
          <w:tcPr>
            <w:tcW w:w="2094" w:type="dxa"/>
            <w:gridSpan w:val="2"/>
            <w:tcBorders>
              <w:top w:val="single" w:sz="4" w:space="0" w:color="auto"/>
              <w:left w:val="nil"/>
              <w:bottom w:val="single" w:sz="4" w:space="0" w:color="auto"/>
              <w:right w:val="single" w:sz="4" w:space="0" w:color="auto"/>
            </w:tcBorders>
            <w:shd w:val="clear" w:color="auto" w:fill="FFFFFF"/>
            <w:noWrap/>
            <w:vAlign w:val="center"/>
            <w:hideMark/>
          </w:tcPr>
          <w:p w:rsidR="00BB5886" w:rsidRPr="00EF518B" w:rsidP="004A6336" w14:paraId="770F832C" w14:textId="77777777">
            <w:pPr>
              <w:widowControl/>
              <w:autoSpaceDE/>
              <w:autoSpaceDN/>
              <w:adjustRightInd/>
              <w:jc w:val="center"/>
              <w:rPr>
                <w:rFonts w:ascii="Times New Roman" w:hAnsi="Times New Roman"/>
                <w:b/>
                <w:i/>
                <w:color w:val="000000"/>
                <w:sz w:val="22"/>
                <w:szCs w:val="22"/>
              </w:rPr>
            </w:pPr>
            <w:r w:rsidRPr="00EF518B">
              <w:rPr>
                <w:rFonts w:ascii="Times New Roman" w:hAnsi="Times New Roman"/>
                <w:b/>
                <w:i/>
                <w:color w:val="000000"/>
                <w:sz w:val="22"/>
                <w:szCs w:val="22"/>
              </w:rPr>
              <w:t>Designation-Related</w:t>
            </w:r>
          </w:p>
        </w:tc>
        <w:tc>
          <w:tcPr>
            <w:tcW w:w="1998" w:type="dxa"/>
            <w:gridSpan w:val="2"/>
            <w:tcBorders>
              <w:top w:val="single" w:sz="4" w:space="0" w:color="auto"/>
              <w:left w:val="nil"/>
              <w:bottom w:val="single" w:sz="4" w:space="0" w:color="auto"/>
              <w:right w:val="single" w:sz="4" w:space="0" w:color="auto"/>
            </w:tcBorders>
            <w:shd w:val="clear" w:color="auto" w:fill="FFFFFF"/>
            <w:vAlign w:val="center"/>
            <w:hideMark/>
          </w:tcPr>
          <w:p w:rsidR="00BB5886" w:rsidRPr="00EF518B" w:rsidP="004A6336" w14:paraId="29283362" w14:textId="77777777">
            <w:pPr>
              <w:widowControl/>
              <w:autoSpaceDE/>
              <w:autoSpaceDN/>
              <w:adjustRightInd/>
              <w:jc w:val="center"/>
              <w:rPr>
                <w:rFonts w:ascii="Times New Roman" w:hAnsi="Times New Roman"/>
                <w:b/>
                <w:i/>
                <w:color w:val="000000"/>
                <w:sz w:val="22"/>
                <w:szCs w:val="22"/>
              </w:rPr>
            </w:pPr>
            <w:r w:rsidRPr="00EF518B">
              <w:rPr>
                <w:rFonts w:ascii="Times New Roman" w:hAnsi="Times New Roman"/>
                <w:b/>
                <w:i/>
                <w:color w:val="000000"/>
                <w:sz w:val="22"/>
                <w:szCs w:val="22"/>
              </w:rPr>
              <w:t>Designation-Related</w:t>
            </w:r>
          </w:p>
        </w:tc>
        <w:tc>
          <w:tcPr>
            <w:tcW w:w="2136" w:type="dxa"/>
            <w:gridSpan w:val="2"/>
            <w:tcBorders>
              <w:top w:val="single" w:sz="4" w:space="0" w:color="auto"/>
              <w:left w:val="nil"/>
              <w:bottom w:val="single" w:sz="4" w:space="0" w:color="auto"/>
              <w:right w:val="single" w:sz="8" w:space="0" w:color="000000"/>
            </w:tcBorders>
            <w:shd w:val="clear" w:color="auto" w:fill="FFFFFF"/>
            <w:vAlign w:val="center"/>
            <w:hideMark/>
          </w:tcPr>
          <w:p w:rsidR="00BB5886" w:rsidRPr="00EF518B" w:rsidP="004A6336" w14:paraId="06480EF2" w14:textId="77777777">
            <w:pPr>
              <w:widowControl/>
              <w:autoSpaceDE/>
              <w:autoSpaceDN/>
              <w:adjustRightInd/>
              <w:jc w:val="center"/>
              <w:rPr>
                <w:rFonts w:ascii="Times New Roman" w:hAnsi="Times New Roman"/>
                <w:b/>
                <w:i/>
                <w:color w:val="000000"/>
                <w:sz w:val="22"/>
                <w:szCs w:val="22"/>
              </w:rPr>
            </w:pPr>
            <w:r w:rsidRPr="00EF518B">
              <w:rPr>
                <w:rFonts w:ascii="Times New Roman" w:hAnsi="Times New Roman"/>
                <w:b/>
                <w:i/>
                <w:color w:val="000000"/>
                <w:sz w:val="22"/>
                <w:szCs w:val="22"/>
              </w:rPr>
              <w:t>Designation-Independent</w:t>
            </w:r>
          </w:p>
        </w:tc>
      </w:tr>
      <w:tr w14:paraId="51E25810" w14:textId="77777777" w:rsidTr="004A6336">
        <w:tblPrEx>
          <w:tblW w:w="9340" w:type="dxa"/>
          <w:tblLook w:val="04A0"/>
        </w:tblPrEx>
        <w:trPr>
          <w:trHeight w:val="1200"/>
        </w:trPr>
        <w:tc>
          <w:tcPr>
            <w:tcW w:w="2064" w:type="dxa"/>
            <w:tcBorders>
              <w:top w:val="nil"/>
              <w:left w:val="single" w:sz="8" w:space="0" w:color="auto"/>
              <w:bottom w:val="single" w:sz="4" w:space="0" w:color="auto"/>
              <w:right w:val="single" w:sz="4" w:space="0" w:color="auto"/>
            </w:tcBorders>
            <w:shd w:val="clear" w:color="auto" w:fill="FFFFFF"/>
            <w:vAlign w:val="center"/>
            <w:hideMark/>
          </w:tcPr>
          <w:p w:rsidR="00BB5886" w:rsidRPr="00EF518B" w:rsidP="004A6336" w14:paraId="545B9CC8" w14:textId="77777777">
            <w:pPr>
              <w:widowControl/>
              <w:autoSpaceDE/>
              <w:autoSpaceDN/>
              <w:adjustRightInd/>
              <w:jc w:val="center"/>
              <w:rPr>
                <w:rFonts w:ascii="Times New Roman" w:hAnsi="Times New Roman"/>
                <w:i/>
                <w:color w:val="000000"/>
                <w:sz w:val="22"/>
                <w:szCs w:val="22"/>
              </w:rPr>
            </w:pPr>
            <w:r w:rsidRPr="00EF518B">
              <w:rPr>
                <w:rFonts w:ascii="Times New Roman" w:hAnsi="Times New Roman"/>
                <w:i/>
                <w:color w:val="000000"/>
                <w:sz w:val="22"/>
                <w:szCs w:val="22"/>
              </w:rPr>
              <w:t>Primary Business Categories</w:t>
            </w:r>
          </w:p>
        </w:tc>
        <w:tc>
          <w:tcPr>
            <w:tcW w:w="1048" w:type="dxa"/>
            <w:tcBorders>
              <w:top w:val="nil"/>
              <w:left w:val="nil"/>
              <w:bottom w:val="single" w:sz="4" w:space="0" w:color="auto"/>
              <w:right w:val="single" w:sz="4" w:space="0" w:color="auto"/>
            </w:tcBorders>
            <w:shd w:val="clear" w:color="auto" w:fill="FFFFFF"/>
            <w:vAlign w:val="center"/>
            <w:hideMark/>
          </w:tcPr>
          <w:p w:rsidR="00BB5886" w:rsidRPr="00EF518B" w:rsidP="004A6336" w14:paraId="599A91C0" w14:textId="77777777">
            <w:pPr>
              <w:widowControl/>
              <w:autoSpaceDE/>
              <w:autoSpaceDN/>
              <w:adjustRightInd/>
              <w:jc w:val="center"/>
              <w:rPr>
                <w:rFonts w:ascii="Times New Roman" w:hAnsi="Times New Roman"/>
                <w:i/>
                <w:color w:val="000000"/>
                <w:sz w:val="22"/>
                <w:szCs w:val="22"/>
              </w:rPr>
            </w:pPr>
            <w:r w:rsidRPr="00EF518B">
              <w:rPr>
                <w:rFonts w:ascii="Times New Roman" w:hAnsi="Times New Roman"/>
                <w:i/>
                <w:color w:val="000000"/>
                <w:sz w:val="22"/>
                <w:szCs w:val="22"/>
              </w:rPr>
              <w:t xml:space="preserve">Fully Loaded Hourly Wage </w:t>
            </w:r>
          </w:p>
        </w:tc>
        <w:tc>
          <w:tcPr>
            <w:tcW w:w="1018" w:type="dxa"/>
            <w:tcBorders>
              <w:top w:val="nil"/>
              <w:left w:val="nil"/>
              <w:bottom w:val="single" w:sz="4" w:space="0" w:color="auto"/>
              <w:right w:val="single" w:sz="4" w:space="0" w:color="auto"/>
            </w:tcBorders>
            <w:shd w:val="clear" w:color="auto" w:fill="FFFFFF"/>
            <w:vAlign w:val="center"/>
            <w:hideMark/>
          </w:tcPr>
          <w:p w:rsidR="00BB5886" w:rsidRPr="00EF518B" w:rsidP="004A6336" w14:paraId="19D65E93" w14:textId="77777777">
            <w:pPr>
              <w:widowControl/>
              <w:autoSpaceDE/>
              <w:autoSpaceDN/>
              <w:adjustRightInd/>
              <w:jc w:val="center"/>
              <w:rPr>
                <w:rFonts w:ascii="Times New Roman" w:hAnsi="Times New Roman"/>
                <w:i/>
                <w:color w:val="000000"/>
                <w:sz w:val="22"/>
                <w:szCs w:val="22"/>
              </w:rPr>
            </w:pPr>
            <w:r w:rsidRPr="00EF518B">
              <w:rPr>
                <w:rFonts w:ascii="Times New Roman" w:hAnsi="Times New Roman"/>
                <w:i/>
                <w:color w:val="000000"/>
                <w:sz w:val="22"/>
                <w:szCs w:val="22"/>
              </w:rPr>
              <w:t>Time (hours)</w:t>
            </w:r>
          </w:p>
        </w:tc>
        <w:tc>
          <w:tcPr>
            <w:tcW w:w="1076" w:type="dxa"/>
            <w:tcBorders>
              <w:top w:val="nil"/>
              <w:left w:val="nil"/>
              <w:bottom w:val="single" w:sz="4" w:space="0" w:color="auto"/>
              <w:right w:val="single" w:sz="4" w:space="0" w:color="auto"/>
            </w:tcBorders>
            <w:shd w:val="clear" w:color="auto" w:fill="FFFFFF"/>
            <w:vAlign w:val="center"/>
            <w:hideMark/>
          </w:tcPr>
          <w:p w:rsidR="00BB5886" w:rsidRPr="00EF518B" w:rsidP="004A6336" w14:paraId="4FF6EF7D" w14:textId="77777777">
            <w:pPr>
              <w:widowControl/>
              <w:autoSpaceDE/>
              <w:autoSpaceDN/>
              <w:adjustRightInd/>
              <w:jc w:val="center"/>
              <w:rPr>
                <w:rFonts w:ascii="Times New Roman" w:hAnsi="Times New Roman"/>
                <w:i/>
                <w:color w:val="000000"/>
                <w:sz w:val="22"/>
                <w:szCs w:val="22"/>
              </w:rPr>
            </w:pPr>
            <w:r w:rsidRPr="00EF518B">
              <w:rPr>
                <w:rFonts w:ascii="Times New Roman" w:hAnsi="Times New Roman"/>
                <w:i/>
                <w:color w:val="000000"/>
                <w:sz w:val="22"/>
                <w:szCs w:val="22"/>
              </w:rPr>
              <w:t>Total</w:t>
            </w:r>
          </w:p>
        </w:tc>
        <w:tc>
          <w:tcPr>
            <w:tcW w:w="1042" w:type="dxa"/>
            <w:tcBorders>
              <w:top w:val="nil"/>
              <w:left w:val="nil"/>
              <w:bottom w:val="single" w:sz="4" w:space="0" w:color="auto"/>
              <w:right w:val="single" w:sz="4" w:space="0" w:color="auto"/>
            </w:tcBorders>
            <w:shd w:val="clear" w:color="auto" w:fill="FFFFFF"/>
            <w:vAlign w:val="center"/>
            <w:hideMark/>
          </w:tcPr>
          <w:p w:rsidR="00BB5886" w:rsidRPr="00EF518B" w:rsidP="004A6336" w14:paraId="4F4E7031" w14:textId="77777777">
            <w:pPr>
              <w:widowControl/>
              <w:autoSpaceDE/>
              <w:autoSpaceDN/>
              <w:adjustRightInd/>
              <w:jc w:val="center"/>
              <w:rPr>
                <w:rFonts w:ascii="Times New Roman" w:hAnsi="Times New Roman"/>
                <w:i/>
                <w:color w:val="000000"/>
                <w:sz w:val="22"/>
                <w:szCs w:val="22"/>
              </w:rPr>
            </w:pPr>
            <w:r w:rsidRPr="00EF518B">
              <w:rPr>
                <w:rFonts w:ascii="Times New Roman" w:hAnsi="Times New Roman"/>
                <w:i/>
                <w:color w:val="000000"/>
                <w:sz w:val="22"/>
                <w:szCs w:val="22"/>
              </w:rPr>
              <w:t>Time (hours)</w:t>
            </w:r>
          </w:p>
        </w:tc>
        <w:tc>
          <w:tcPr>
            <w:tcW w:w="956" w:type="dxa"/>
            <w:tcBorders>
              <w:top w:val="nil"/>
              <w:left w:val="nil"/>
              <w:bottom w:val="single" w:sz="4" w:space="0" w:color="auto"/>
              <w:right w:val="single" w:sz="4" w:space="0" w:color="auto"/>
            </w:tcBorders>
            <w:shd w:val="clear" w:color="auto" w:fill="FFFFFF"/>
            <w:vAlign w:val="center"/>
            <w:hideMark/>
          </w:tcPr>
          <w:p w:rsidR="00BB5886" w:rsidRPr="00EF518B" w:rsidP="004A6336" w14:paraId="0F32E337" w14:textId="77777777">
            <w:pPr>
              <w:widowControl/>
              <w:autoSpaceDE/>
              <w:autoSpaceDN/>
              <w:adjustRightInd/>
              <w:jc w:val="center"/>
              <w:rPr>
                <w:rFonts w:ascii="Times New Roman" w:hAnsi="Times New Roman"/>
                <w:i/>
                <w:color w:val="000000"/>
                <w:sz w:val="22"/>
                <w:szCs w:val="22"/>
              </w:rPr>
            </w:pPr>
            <w:r w:rsidRPr="00EF518B">
              <w:rPr>
                <w:rFonts w:ascii="Times New Roman" w:hAnsi="Times New Roman"/>
                <w:i/>
                <w:color w:val="000000"/>
                <w:sz w:val="22"/>
                <w:szCs w:val="22"/>
              </w:rPr>
              <w:t>Total</w:t>
            </w:r>
          </w:p>
        </w:tc>
        <w:tc>
          <w:tcPr>
            <w:tcW w:w="950" w:type="dxa"/>
            <w:tcBorders>
              <w:top w:val="nil"/>
              <w:left w:val="nil"/>
              <w:bottom w:val="single" w:sz="4" w:space="0" w:color="auto"/>
              <w:right w:val="single" w:sz="4" w:space="0" w:color="auto"/>
            </w:tcBorders>
            <w:shd w:val="clear" w:color="auto" w:fill="FFFFFF"/>
            <w:vAlign w:val="center"/>
            <w:hideMark/>
          </w:tcPr>
          <w:p w:rsidR="00BB5886" w:rsidRPr="00EF518B" w:rsidP="004A6336" w14:paraId="2E437F89" w14:textId="77777777">
            <w:pPr>
              <w:widowControl/>
              <w:autoSpaceDE/>
              <w:autoSpaceDN/>
              <w:adjustRightInd/>
              <w:jc w:val="center"/>
              <w:rPr>
                <w:rFonts w:ascii="Times New Roman" w:hAnsi="Times New Roman"/>
                <w:i/>
                <w:color w:val="000000"/>
                <w:sz w:val="22"/>
                <w:szCs w:val="22"/>
              </w:rPr>
            </w:pPr>
            <w:r w:rsidRPr="00EF518B">
              <w:rPr>
                <w:rFonts w:ascii="Times New Roman" w:hAnsi="Times New Roman"/>
                <w:i/>
                <w:color w:val="000000"/>
                <w:sz w:val="22"/>
                <w:szCs w:val="22"/>
              </w:rPr>
              <w:t>Time (hours)</w:t>
            </w:r>
          </w:p>
        </w:tc>
        <w:tc>
          <w:tcPr>
            <w:tcW w:w="1186" w:type="dxa"/>
            <w:tcBorders>
              <w:top w:val="nil"/>
              <w:left w:val="nil"/>
              <w:bottom w:val="single" w:sz="4" w:space="0" w:color="auto"/>
              <w:right w:val="single" w:sz="8" w:space="0" w:color="auto"/>
            </w:tcBorders>
            <w:shd w:val="clear" w:color="auto" w:fill="FFFFFF"/>
            <w:vAlign w:val="center"/>
            <w:hideMark/>
          </w:tcPr>
          <w:p w:rsidR="00BB5886" w:rsidRPr="00EF518B" w:rsidP="004A6336" w14:paraId="6E807A57" w14:textId="77777777">
            <w:pPr>
              <w:widowControl/>
              <w:autoSpaceDE/>
              <w:autoSpaceDN/>
              <w:adjustRightInd/>
              <w:jc w:val="center"/>
              <w:rPr>
                <w:rFonts w:ascii="Times New Roman" w:hAnsi="Times New Roman"/>
                <w:i/>
                <w:color w:val="000000"/>
                <w:sz w:val="22"/>
                <w:szCs w:val="22"/>
              </w:rPr>
            </w:pPr>
            <w:r w:rsidRPr="00EF518B">
              <w:rPr>
                <w:rFonts w:ascii="Times New Roman" w:hAnsi="Times New Roman"/>
                <w:i/>
                <w:color w:val="000000"/>
                <w:sz w:val="22"/>
                <w:szCs w:val="22"/>
              </w:rPr>
              <w:t>Total</w:t>
            </w:r>
          </w:p>
        </w:tc>
      </w:tr>
      <w:tr w14:paraId="19009564" w14:textId="77777777" w:rsidTr="004A6336">
        <w:tblPrEx>
          <w:tblW w:w="9340" w:type="dxa"/>
          <w:tblLook w:val="04A0"/>
        </w:tblPrEx>
        <w:trPr>
          <w:trHeight w:val="300"/>
        </w:trPr>
        <w:tc>
          <w:tcPr>
            <w:tcW w:w="2064" w:type="dxa"/>
            <w:tcBorders>
              <w:top w:val="nil"/>
              <w:left w:val="single" w:sz="8" w:space="0" w:color="auto"/>
              <w:bottom w:val="single" w:sz="4" w:space="0" w:color="auto"/>
              <w:right w:val="single" w:sz="4" w:space="0" w:color="auto"/>
            </w:tcBorders>
            <w:shd w:val="clear" w:color="auto" w:fill="auto"/>
            <w:noWrap/>
            <w:vAlign w:val="center"/>
            <w:hideMark/>
          </w:tcPr>
          <w:p w:rsidR="00BB5886" w:rsidRPr="00EF518B" w:rsidP="004A6336" w14:paraId="73592C69" w14:textId="77777777">
            <w:pPr>
              <w:widowControl/>
              <w:autoSpaceDE/>
              <w:autoSpaceDN/>
              <w:adjustRightInd/>
              <w:rPr>
                <w:rFonts w:ascii="Times New Roman" w:hAnsi="Times New Roman"/>
                <w:color w:val="000000"/>
                <w:sz w:val="22"/>
                <w:szCs w:val="22"/>
              </w:rPr>
            </w:pPr>
            <w:r w:rsidRPr="00EF518B">
              <w:rPr>
                <w:rFonts w:ascii="Times New Roman" w:hAnsi="Times New Roman"/>
                <w:color w:val="000000"/>
                <w:sz w:val="22"/>
                <w:szCs w:val="22"/>
              </w:rPr>
              <w:t>Title Abstract and Settlement Offices</w:t>
            </w:r>
          </w:p>
        </w:tc>
        <w:tc>
          <w:tcPr>
            <w:tcW w:w="1048"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3F09A6BD"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$79.35</w:t>
            </w:r>
          </w:p>
        </w:tc>
        <w:tc>
          <w:tcPr>
            <w:tcW w:w="1018"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704E7E65"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0.25</w:t>
            </w:r>
          </w:p>
        </w:tc>
        <w:tc>
          <w:tcPr>
            <w:tcW w:w="1076"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0E53CB73"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$19.84</w:t>
            </w:r>
          </w:p>
        </w:tc>
        <w:tc>
          <w:tcPr>
            <w:tcW w:w="1042"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3FB0BDD7"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0.25</w:t>
            </w:r>
          </w:p>
        </w:tc>
        <w:tc>
          <w:tcPr>
            <w:tcW w:w="956"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7A6FAA62"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$19.84</w:t>
            </w:r>
          </w:p>
        </w:tc>
        <w:tc>
          <w:tcPr>
            <w:tcW w:w="950"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28E8642B"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2.75</w:t>
            </w:r>
          </w:p>
        </w:tc>
        <w:tc>
          <w:tcPr>
            <w:tcW w:w="1186" w:type="dxa"/>
            <w:tcBorders>
              <w:top w:val="nil"/>
              <w:left w:val="nil"/>
              <w:bottom w:val="single" w:sz="4" w:space="0" w:color="auto"/>
              <w:right w:val="single" w:sz="8" w:space="0" w:color="auto"/>
            </w:tcBorders>
            <w:shd w:val="clear" w:color="auto" w:fill="auto"/>
            <w:noWrap/>
            <w:vAlign w:val="center"/>
            <w:hideMark/>
          </w:tcPr>
          <w:p w:rsidR="00BB5886" w:rsidRPr="00EF518B" w:rsidP="004A6336" w14:paraId="7657951E"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$218.21</w:t>
            </w:r>
          </w:p>
        </w:tc>
      </w:tr>
      <w:tr w14:paraId="55DF8D2B" w14:textId="77777777" w:rsidTr="004A6336">
        <w:tblPrEx>
          <w:tblW w:w="9340" w:type="dxa"/>
          <w:tblLook w:val="04A0"/>
        </w:tblPrEx>
        <w:trPr>
          <w:trHeight w:val="300"/>
        </w:trPr>
        <w:tc>
          <w:tcPr>
            <w:tcW w:w="2064" w:type="dxa"/>
            <w:tcBorders>
              <w:top w:val="nil"/>
              <w:left w:val="single" w:sz="8" w:space="0" w:color="auto"/>
              <w:bottom w:val="single" w:sz="4" w:space="0" w:color="auto"/>
              <w:right w:val="single" w:sz="4" w:space="0" w:color="auto"/>
            </w:tcBorders>
            <w:shd w:val="clear" w:color="auto" w:fill="auto"/>
            <w:noWrap/>
            <w:vAlign w:val="center"/>
            <w:hideMark/>
          </w:tcPr>
          <w:p w:rsidR="00BB5886" w:rsidRPr="00EF518B" w:rsidP="004A6336" w14:paraId="466FC99C" w14:textId="77777777">
            <w:pPr>
              <w:widowControl/>
              <w:autoSpaceDE/>
              <w:autoSpaceDN/>
              <w:adjustRightInd/>
              <w:rPr>
                <w:rFonts w:ascii="Times New Roman" w:hAnsi="Times New Roman"/>
                <w:color w:val="000000"/>
                <w:sz w:val="22"/>
                <w:szCs w:val="22"/>
              </w:rPr>
            </w:pPr>
            <w:r w:rsidRPr="00EF518B">
              <w:rPr>
                <w:rFonts w:ascii="Times New Roman" w:hAnsi="Times New Roman"/>
                <w:color w:val="000000"/>
                <w:sz w:val="22"/>
                <w:szCs w:val="22"/>
              </w:rPr>
              <w:t xml:space="preserve">Direct Title Insurance Carriers </w:t>
            </w:r>
          </w:p>
        </w:tc>
        <w:tc>
          <w:tcPr>
            <w:tcW w:w="1048"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49964CEC"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$106.49</w:t>
            </w:r>
          </w:p>
        </w:tc>
        <w:tc>
          <w:tcPr>
            <w:tcW w:w="1018"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2611DF1D"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0.25</w:t>
            </w:r>
          </w:p>
        </w:tc>
        <w:tc>
          <w:tcPr>
            <w:tcW w:w="1076"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16A92C29"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$26.62</w:t>
            </w:r>
          </w:p>
        </w:tc>
        <w:tc>
          <w:tcPr>
            <w:tcW w:w="1042"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730FE573"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0.25</w:t>
            </w:r>
          </w:p>
        </w:tc>
        <w:tc>
          <w:tcPr>
            <w:tcW w:w="956"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43E274B3"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$26.62</w:t>
            </w:r>
          </w:p>
        </w:tc>
        <w:tc>
          <w:tcPr>
            <w:tcW w:w="950"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61A3BDAF"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2.75</w:t>
            </w:r>
          </w:p>
        </w:tc>
        <w:tc>
          <w:tcPr>
            <w:tcW w:w="1186" w:type="dxa"/>
            <w:tcBorders>
              <w:top w:val="nil"/>
              <w:left w:val="nil"/>
              <w:bottom w:val="single" w:sz="4" w:space="0" w:color="auto"/>
              <w:right w:val="single" w:sz="8" w:space="0" w:color="auto"/>
            </w:tcBorders>
            <w:shd w:val="clear" w:color="auto" w:fill="auto"/>
            <w:noWrap/>
            <w:vAlign w:val="center"/>
            <w:hideMark/>
          </w:tcPr>
          <w:p w:rsidR="00BB5886" w:rsidRPr="00EF518B" w:rsidP="004A6336" w14:paraId="61B0C76D"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$292.85</w:t>
            </w:r>
          </w:p>
        </w:tc>
      </w:tr>
      <w:tr w14:paraId="228126A6" w14:textId="77777777" w:rsidTr="004A6336">
        <w:tblPrEx>
          <w:tblW w:w="9340" w:type="dxa"/>
          <w:tblLook w:val="04A0"/>
        </w:tblPrEx>
        <w:trPr>
          <w:trHeight w:val="300"/>
        </w:trPr>
        <w:tc>
          <w:tcPr>
            <w:tcW w:w="2064" w:type="dxa"/>
            <w:tcBorders>
              <w:top w:val="nil"/>
              <w:left w:val="single" w:sz="8" w:space="0" w:color="auto"/>
              <w:bottom w:val="single" w:sz="4" w:space="0" w:color="auto"/>
              <w:right w:val="single" w:sz="4" w:space="0" w:color="auto"/>
            </w:tcBorders>
            <w:shd w:val="clear" w:color="auto" w:fill="auto"/>
            <w:noWrap/>
            <w:vAlign w:val="center"/>
            <w:hideMark/>
          </w:tcPr>
          <w:p w:rsidR="00BB5886" w:rsidRPr="00EF518B" w:rsidP="004A6336" w14:paraId="7C378C06" w14:textId="77777777">
            <w:pPr>
              <w:widowControl/>
              <w:autoSpaceDE/>
              <w:autoSpaceDN/>
              <w:adjustRightInd/>
              <w:rPr>
                <w:rFonts w:ascii="Times New Roman" w:hAnsi="Times New Roman"/>
                <w:color w:val="000000"/>
                <w:sz w:val="22"/>
                <w:szCs w:val="22"/>
              </w:rPr>
            </w:pPr>
            <w:r w:rsidRPr="00EF518B">
              <w:rPr>
                <w:rFonts w:ascii="Times New Roman" w:hAnsi="Times New Roman"/>
                <w:color w:val="000000"/>
                <w:sz w:val="22"/>
                <w:szCs w:val="22"/>
              </w:rPr>
              <w:t>Other Activities Related to Real Estate</w:t>
            </w:r>
          </w:p>
        </w:tc>
        <w:tc>
          <w:tcPr>
            <w:tcW w:w="1048"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7A03C779"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$81.74</w:t>
            </w:r>
          </w:p>
        </w:tc>
        <w:tc>
          <w:tcPr>
            <w:tcW w:w="1018"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7E08728D"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0.25</w:t>
            </w:r>
          </w:p>
        </w:tc>
        <w:tc>
          <w:tcPr>
            <w:tcW w:w="1076"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251F8655"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$20.43</w:t>
            </w:r>
          </w:p>
        </w:tc>
        <w:tc>
          <w:tcPr>
            <w:tcW w:w="1042"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45712F23"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0.25</w:t>
            </w:r>
          </w:p>
        </w:tc>
        <w:tc>
          <w:tcPr>
            <w:tcW w:w="956"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222A3DC3"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$20.43</w:t>
            </w:r>
          </w:p>
        </w:tc>
        <w:tc>
          <w:tcPr>
            <w:tcW w:w="950"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499038D5"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2.75</w:t>
            </w:r>
          </w:p>
        </w:tc>
        <w:tc>
          <w:tcPr>
            <w:tcW w:w="1186" w:type="dxa"/>
            <w:tcBorders>
              <w:top w:val="nil"/>
              <w:left w:val="nil"/>
              <w:bottom w:val="single" w:sz="4" w:space="0" w:color="auto"/>
              <w:right w:val="single" w:sz="8" w:space="0" w:color="auto"/>
            </w:tcBorders>
            <w:shd w:val="clear" w:color="auto" w:fill="auto"/>
            <w:noWrap/>
            <w:vAlign w:val="center"/>
            <w:hideMark/>
          </w:tcPr>
          <w:p w:rsidR="00BB5886" w:rsidRPr="00EF518B" w:rsidP="004A6336" w14:paraId="3CE118CC"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$224.78</w:t>
            </w:r>
          </w:p>
        </w:tc>
      </w:tr>
      <w:tr w14:paraId="50FDF5E3" w14:textId="77777777" w:rsidTr="004A6336">
        <w:tblPrEx>
          <w:tblW w:w="9340" w:type="dxa"/>
          <w:tblLook w:val="04A0"/>
        </w:tblPrEx>
        <w:trPr>
          <w:trHeight w:val="300"/>
        </w:trPr>
        <w:tc>
          <w:tcPr>
            <w:tcW w:w="2064" w:type="dxa"/>
            <w:tcBorders>
              <w:top w:val="nil"/>
              <w:left w:val="single" w:sz="8" w:space="0" w:color="auto"/>
              <w:bottom w:val="single" w:sz="4" w:space="0" w:color="auto"/>
              <w:right w:val="single" w:sz="4" w:space="0" w:color="auto"/>
            </w:tcBorders>
            <w:shd w:val="clear" w:color="auto" w:fill="auto"/>
            <w:noWrap/>
            <w:vAlign w:val="center"/>
            <w:hideMark/>
          </w:tcPr>
          <w:p w:rsidR="00BB5886" w:rsidRPr="00EF518B" w:rsidP="004A6336" w14:paraId="4FB46E4B" w14:textId="77777777">
            <w:pPr>
              <w:widowControl/>
              <w:autoSpaceDE/>
              <w:autoSpaceDN/>
              <w:adjustRightInd/>
              <w:rPr>
                <w:rFonts w:ascii="Times New Roman" w:hAnsi="Times New Roman"/>
                <w:color w:val="000000"/>
                <w:sz w:val="22"/>
                <w:szCs w:val="22"/>
              </w:rPr>
            </w:pPr>
            <w:r w:rsidRPr="00EF518B">
              <w:rPr>
                <w:rFonts w:ascii="Times New Roman" w:hAnsi="Times New Roman"/>
                <w:color w:val="000000"/>
                <w:sz w:val="22"/>
                <w:szCs w:val="22"/>
              </w:rPr>
              <w:t>Offices of Lawyers</w:t>
            </w:r>
          </w:p>
        </w:tc>
        <w:tc>
          <w:tcPr>
            <w:tcW w:w="1048"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57F811BB"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$153.84</w:t>
            </w:r>
          </w:p>
        </w:tc>
        <w:tc>
          <w:tcPr>
            <w:tcW w:w="1018"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62CD0EA5"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0.25</w:t>
            </w:r>
          </w:p>
        </w:tc>
        <w:tc>
          <w:tcPr>
            <w:tcW w:w="1076"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6FB7B65E"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$38.46</w:t>
            </w:r>
          </w:p>
        </w:tc>
        <w:tc>
          <w:tcPr>
            <w:tcW w:w="1042"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75DC1999"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0.25</w:t>
            </w:r>
          </w:p>
        </w:tc>
        <w:tc>
          <w:tcPr>
            <w:tcW w:w="956"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17CF00B0"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$38.46</w:t>
            </w:r>
          </w:p>
        </w:tc>
        <w:tc>
          <w:tcPr>
            <w:tcW w:w="950" w:type="dxa"/>
            <w:tcBorders>
              <w:top w:val="nil"/>
              <w:left w:val="nil"/>
              <w:bottom w:val="single" w:sz="4" w:space="0" w:color="auto"/>
              <w:right w:val="single" w:sz="4" w:space="0" w:color="auto"/>
            </w:tcBorders>
            <w:shd w:val="clear" w:color="auto" w:fill="auto"/>
            <w:noWrap/>
            <w:vAlign w:val="center"/>
            <w:hideMark/>
          </w:tcPr>
          <w:p w:rsidR="00BB5886" w:rsidRPr="00EF518B" w:rsidP="004A6336" w14:paraId="7B5A2E62"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2.75</w:t>
            </w:r>
          </w:p>
        </w:tc>
        <w:tc>
          <w:tcPr>
            <w:tcW w:w="1186" w:type="dxa"/>
            <w:tcBorders>
              <w:top w:val="nil"/>
              <w:left w:val="nil"/>
              <w:bottom w:val="single" w:sz="4" w:space="0" w:color="auto"/>
              <w:right w:val="single" w:sz="8" w:space="0" w:color="auto"/>
            </w:tcBorders>
            <w:shd w:val="clear" w:color="auto" w:fill="auto"/>
            <w:noWrap/>
            <w:vAlign w:val="center"/>
            <w:hideMark/>
          </w:tcPr>
          <w:p w:rsidR="00BB5886" w:rsidRPr="00EF518B" w:rsidP="004A6336" w14:paraId="4DB26C9F"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$423.07</w:t>
            </w:r>
          </w:p>
        </w:tc>
      </w:tr>
      <w:tr w14:paraId="7CB9D2D6" w14:textId="77777777" w:rsidTr="004A6336">
        <w:tblPrEx>
          <w:tblW w:w="9340" w:type="dxa"/>
          <w:tblLook w:val="04A0"/>
        </w:tblPrEx>
        <w:trPr>
          <w:trHeight w:val="315"/>
        </w:trPr>
        <w:tc>
          <w:tcPr>
            <w:tcW w:w="2064" w:type="dxa"/>
            <w:tcBorders>
              <w:top w:val="nil"/>
              <w:left w:val="single" w:sz="8" w:space="0" w:color="auto"/>
              <w:bottom w:val="single" w:sz="8" w:space="0" w:color="auto"/>
              <w:right w:val="single" w:sz="4" w:space="0" w:color="auto"/>
            </w:tcBorders>
            <w:shd w:val="clear" w:color="auto" w:fill="auto"/>
            <w:noWrap/>
            <w:vAlign w:val="center"/>
            <w:hideMark/>
          </w:tcPr>
          <w:p w:rsidR="00BB5886" w:rsidRPr="00EF518B" w:rsidP="004A6336" w14:paraId="39CEF569" w14:textId="77777777">
            <w:pPr>
              <w:widowControl/>
              <w:autoSpaceDE/>
              <w:autoSpaceDN/>
              <w:adjustRightInd/>
              <w:rPr>
                <w:rFonts w:ascii="Times New Roman" w:hAnsi="Times New Roman"/>
                <w:color w:val="000000"/>
                <w:sz w:val="22"/>
                <w:szCs w:val="22"/>
              </w:rPr>
            </w:pPr>
            <w:r w:rsidRPr="00EF518B">
              <w:rPr>
                <w:rFonts w:ascii="Times New Roman" w:hAnsi="Times New Roman"/>
                <w:color w:val="000000"/>
                <w:sz w:val="22"/>
                <w:szCs w:val="22"/>
              </w:rPr>
              <w:t>Offices of Real Estate Agents and Brokers</w:t>
            </w:r>
          </w:p>
        </w:tc>
        <w:tc>
          <w:tcPr>
            <w:tcW w:w="1048" w:type="dxa"/>
            <w:tcBorders>
              <w:top w:val="nil"/>
              <w:left w:val="nil"/>
              <w:bottom w:val="single" w:sz="8" w:space="0" w:color="auto"/>
              <w:right w:val="single" w:sz="4" w:space="0" w:color="auto"/>
            </w:tcBorders>
            <w:shd w:val="clear" w:color="auto" w:fill="auto"/>
            <w:noWrap/>
            <w:vAlign w:val="center"/>
            <w:hideMark/>
          </w:tcPr>
          <w:p w:rsidR="00BB5886" w:rsidRPr="00EF518B" w:rsidP="004A6336" w14:paraId="53A97EDB"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$81.74</w:t>
            </w:r>
          </w:p>
        </w:tc>
        <w:tc>
          <w:tcPr>
            <w:tcW w:w="1018" w:type="dxa"/>
            <w:tcBorders>
              <w:top w:val="nil"/>
              <w:left w:val="nil"/>
              <w:bottom w:val="single" w:sz="8" w:space="0" w:color="auto"/>
              <w:right w:val="single" w:sz="4" w:space="0" w:color="auto"/>
            </w:tcBorders>
            <w:shd w:val="clear" w:color="auto" w:fill="auto"/>
            <w:noWrap/>
            <w:vAlign w:val="center"/>
            <w:hideMark/>
          </w:tcPr>
          <w:p w:rsidR="00BB5886" w:rsidRPr="00EF518B" w:rsidP="004A6336" w14:paraId="28747CDD"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0.25</w:t>
            </w:r>
          </w:p>
        </w:tc>
        <w:tc>
          <w:tcPr>
            <w:tcW w:w="1076" w:type="dxa"/>
            <w:tcBorders>
              <w:top w:val="nil"/>
              <w:left w:val="nil"/>
              <w:bottom w:val="single" w:sz="8" w:space="0" w:color="auto"/>
              <w:right w:val="single" w:sz="4" w:space="0" w:color="auto"/>
            </w:tcBorders>
            <w:shd w:val="clear" w:color="auto" w:fill="auto"/>
            <w:noWrap/>
            <w:vAlign w:val="center"/>
            <w:hideMark/>
          </w:tcPr>
          <w:p w:rsidR="00BB5886" w:rsidRPr="00EF518B" w:rsidP="004A6336" w14:paraId="17E6F3F1"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$20.43</w:t>
            </w:r>
          </w:p>
        </w:tc>
        <w:tc>
          <w:tcPr>
            <w:tcW w:w="1042" w:type="dxa"/>
            <w:tcBorders>
              <w:top w:val="nil"/>
              <w:left w:val="nil"/>
              <w:bottom w:val="single" w:sz="8" w:space="0" w:color="auto"/>
              <w:right w:val="single" w:sz="4" w:space="0" w:color="auto"/>
            </w:tcBorders>
            <w:shd w:val="clear" w:color="auto" w:fill="auto"/>
            <w:noWrap/>
            <w:vAlign w:val="center"/>
            <w:hideMark/>
          </w:tcPr>
          <w:p w:rsidR="00BB5886" w:rsidRPr="00EF518B" w:rsidP="004A6336" w14:paraId="12292D3C"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0.25</w:t>
            </w:r>
          </w:p>
        </w:tc>
        <w:tc>
          <w:tcPr>
            <w:tcW w:w="956" w:type="dxa"/>
            <w:tcBorders>
              <w:top w:val="nil"/>
              <w:left w:val="nil"/>
              <w:bottom w:val="single" w:sz="8" w:space="0" w:color="auto"/>
              <w:right w:val="single" w:sz="4" w:space="0" w:color="auto"/>
            </w:tcBorders>
            <w:shd w:val="clear" w:color="auto" w:fill="auto"/>
            <w:noWrap/>
            <w:vAlign w:val="center"/>
            <w:hideMark/>
          </w:tcPr>
          <w:p w:rsidR="00BB5886" w:rsidRPr="00EF518B" w:rsidP="004A6336" w14:paraId="50B9119D"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$20.43</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BB5886" w:rsidRPr="00EF518B" w:rsidP="004A6336" w14:paraId="66E5A46D"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2.75</w:t>
            </w:r>
          </w:p>
        </w:tc>
        <w:tc>
          <w:tcPr>
            <w:tcW w:w="1186" w:type="dxa"/>
            <w:tcBorders>
              <w:top w:val="nil"/>
              <w:left w:val="nil"/>
              <w:bottom w:val="single" w:sz="8" w:space="0" w:color="auto"/>
              <w:right w:val="single" w:sz="8" w:space="0" w:color="auto"/>
            </w:tcBorders>
            <w:shd w:val="clear" w:color="auto" w:fill="auto"/>
            <w:noWrap/>
            <w:vAlign w:val="center"/>
            <w:hideMark/>
          </w:tcPr>
          <w:p w:rsidR="00BB5886" w:rsidRPr="00EF518B" w:rsidP="004A6336" w14:paraId="12E1D51F"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$224.78</w:t>
            </w:r>
          </w:p>
        </w:tc>
      </w:tr>
    </w:tbl>
    <w:p w:rsidR="00BB5886" w:rsidRPr="00EF518B" w:rsidP="00BB5886" w14:paraId="11174A11" w14:textId="77777777">
      <w:pPr>
        <w:spacing w:after="240"/>
        <w:rPr>
          <w:rFonts w:ascii="Times New Roman" w:eastAsia="Calibri" w:hAnsi="Times New Roman"/>
          <w:sz w:val="24"/>
        </w:rPr>
      </w:pPr>
    </w:p>
    <w:p w:rsidR="00726E45" w:rsidRPr="00EF518B" w:rsidP="00726E45" w14:paraId="0F8F7495" w14:textId="03613ED9">
      <w:pPr>
        <w:widowControl/>
        <w:autoSpaceDE/>
        <w:autoSpaceDN/>
        <w:adjustRightInd/>
        <w:spacing w:line="480" w:lineRule="auto"/>
        <w:rPr>
          <w:rFonts w:ascii="Times New Roman" w:eastAsia="Calibri" w:hAnsi="Times New Roman"/>
          <w:sz w:val="24"/>
        </w:rPr>
      </w:pPr>
      <w:r w:rsidRPr="00EF518B">
        <w:rPr>
          <w:rFonts w:ascii="Times New Roman" w:eastAsia="Calibri" w:hAnsi="Times New Roman"/>
          <w:i/>
          <w:iCs/>
          <w:sz w:val="24"/>
        </w:rPr>
        <w:t>Estimated Total Annual Recordkeeping Cost:</w:t>
      </w:r>
    </w:p>
    <w:p w:rsidR="00726E45" w:rsidRPr="00EF518B" w:rsidP="00726E45" w14:paraId="0D78325A" w14:textId="77777777">
      <w:pPr>
        <w:widowControl/>
        <w:autoSpaceDE/>
        <w:autoSpaceDN/>
        <w:adjustRightInd/>
        <w:spacing w:line="480" w:lineRule="auto"/>
        <w:jc w:val="center"/>
        <w:rPr>
          <w:rFonts w:ascii="Times New Roman" w:eastAsia="Calibri" w:hAnsi="Times New Roman"/>
          <w:b/>
          <w:sz w:val="24"/>
        </w:rPr>
      </w:pPr>
      <w:r w:rsidRPr="00EF518B">
        <w:rPr>
          <w:rFonts w:ascii="Times New Roman" w:eastAsia="Calibri" w:hAnsi="Times New Roman"/>
          <w:b/>
          <w:sz w:val="24"/>
        </w:rPr>
        <w:t>Table 2:  Recordkeeping Costs Per Party</w:t>
      </w:r>
    </w:p>
    <w:tbl>
      <w:tblPr>
        <w:tblW w:w="9340" w:type="dxa"/>
        <w:tblLayout w:type="fixed"/>
        <w:tblLook w:val="04A0"/>
      </w:tblPr>
      <w:tblGrid>
        <w:gridCol w:w="1970"/>
        <w:gridCol w:w="990"/>
        <w:gridCol w:w="1080"/>
        <w:gridCol w:w="900"/>
        <w:gridCol w:w="1000"/>
        <w:gridCol w:w="980"/>
        <w:gridCol w:w="990"/>
        <w:gridCol w:w="1420"/>
        <w:gridCol w:w="10"/>
      </w:tblGrid>
      <w:tr w14:paraId="1666FC9A" w14:textId="77777777" w:rsidTr="009B5282">
        <w:tblPrEx>
          <w:tblW w:w="9340" w:type="dxa"/>
          <w:tblLayout w:type="fixed"/>
          <w:tblLook w:val="04A0"/>
        </w:tblPrEx>
        <w:trPr>
          <w:trHeight w:val="275"/>
        </w:trPr>
        <w:tc>
          <w:tcPr>
            <w:tcW w:w="2960" w:type="dxa"/>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rsidR="00726E45" w:rsidRPr="00EF518B" w:rsidP="001B761E" w14:paraId="57305F57" w14:textId="77777777">
            <w:pPr>
              <w:widowControl/>
              <w:autoSpaceDE/>
              <w:autoSpaceDN/>
              <w:adjustRightInd/>
              <w:jc w:val="center"/>
              <w:rPr>
                <w:rFonts w:ascii="Times New Roman" w:hAnsi="Times New Roman"/>
                <w:b/>
                <w:bCs/>
                <w:color w:val="000000"/>
                <w:sz w:val="22"/>
                <w:szCs w:val="22"/>
              </w:rPr>
            </w:pPr>
            <w:r w:rsidRPr="00EF518B">
              <w:rPr>
                <w:rFonts w:ascii="Times New Roman" w:hAnsi="Times New Roman"/>
                <w:b/>
                <w:bCs/>
                <w:color w:val="000000"/>
                <w:sz w:val="22"/>
                <w:szCs w:val="22"/>
              </w:rPr>
              <w:t>Estimated Per Transaction Recordkeeping Costs</w:t>
            </w:r>
          </w:p>
        </w:tc>
        <w:tc>
          <w:tcPr>
            <w:tcW w:w="1980" w:type="dxa"/>
            <w:gridSpan w:val="2"/>
            <w:tcBorders>
              <w:top w:val="single" w:sz="8" w:space="0" w:color="auto"/>
              <w:left w:val="nil"/>
              <w:bottom w:val="single" w:sz="4" w:space="0" w:color="auto"/>
              <w:right w:val="single" w:sz="4" w:space="0" w:color="auto"/>
            </w:tcBorders>
            <w:shd w:val="clear" w:color="auto" w:fill="auto"/>
            <w:noWrap/>
            <w:vAlign w:val="center"/>
            <w:hideMark/>
          </w:tcPr>
          <w:p w:rsidR="00726E45" w:rsidRPr="00EF518B" w:rsidP="001B761E" w14:paraId="75C672BB" w14:textId="77777777">
            <w:pPr>
              <w:widowControl/>
              <w:autoSpaceDE/>
              <w:autoSpaceDN/>
              <w:adjustRightInd/>
              <w:jc w:val="center"/>
              <w:rPr>
                <w:rFonts w:ascii="Times New Roman" w:hAnsi="Times New Roman"/>
                <w:b/>
                <w:bCs/>
                <w:color w:val="000000"/>
                <w:sz w:val="22"/>
                <w:szCs w:val="22"/>
              </w:rPr>
            </w:pPr>
            <w:r w:rsidRPr="00EF518B">
              <w:rPr>
                <w:rFonts w:ascii="Times New Roman" w:hAnsi="Times New Roman"/>
                <w:b/>
                <w:bCs/>
                <w:color w:val="000000"/>
                <w:sz w:val="22"/>
                <w:szCs w:val="22"/>
              </w:rPr>
              <w:t>Non-Reporting Party</w:t>
            </w:r>
          </w:p>
        </w:tc>
        <w:tc>
          <w:tcPr>
            <w:tcW w:w="4400" w:type="dxa"/>
            <w:gridSpan w:val="5"/>
            <w:tcBorders>
              <w:top w:val="single" w:sz="8" w:space="0" w:color="auto"/>
              <w:left w:val="nil"/>
              <w:bottom w:val="single" w:sz="4" w:space="0" w:color="auto"/>
              <w:right w:val="single" w:sz="8" w:space="0" w:color="000000"/>
            </w:tcBorders>
            <w:shd w:val="clear" w:color="auto" w:fill="auto"/>
            <w:noWrap/>
            <w:vAlign w:val="center"/>
            <w:hideMark/>
          </w:tcPr>
          <w:p w:rsidR="00726E45" w:rsidRPr="00EF518B" w:rsidP="001B761E" w14:paraId="592C5FE0" w14:textId="77777777">
            <w:pPr>
              <w:widowControl/>
              <w:autoSpaceDE/>
              <w:autoSpaceDN/>
              <w:adjustRightInd/>
              <w:jc w:val="center"/>
              <w:rPr>
                <w:rFonts w:ascii="Times New Roman" w:hAnsi="Times New Roman"/>
                <w:b/>
                <w:bCs/>
                <w:color w:val="000000"/>
                <w:sz w:val="22"/>
                <w:szCs w:val="22"/>
              </w:rPr>
            </w:pPr>
            <w:r w:rsidRPr="00EF518B">
              <w:rPr>
                <w:rFonts w:ascii="Times New Roman" w:hAnsi="Times New Roman"/>
                <w:b/>
                <w:bCs/>
                <w:color w:val="000000"/>
                <w:sz w:val="22"/>
                <w:szCs w:val="22"/>
              </w:rPr>
              <w:t>Reporting Party</w:t>
            </w:r>
          </w:p>
        </w:tc>
      </w:tr>
      <w:tr w14:paraId="5EAB0FF5" w14:textId="77777777" w:rsidTr="009B5282">
        <w:tblPrEx>
          <w:tblW w:w="9340" w:type="dxa"/>
          <w:tblLayout w:type="fixed"/>
          <w:tblLook w:val="04A0"/>
        </w:tblPrEx>
        <w:trPr>
          <w:trHeight w:val="607"/>
        </w:trPr>
        <w:tc>
          <w:tcPr>
            <w:tcW w:w="2960" w:type="dxa"/>
            <w:gridSpan w:val="2"/>
            <w:vMerge/>
            <w:tcBorders>
              <w:top w:val="single" w:sz="8" w:space="0" w:color="auto"/>
              <w:left w:val="single" w:sz="8" w:space="0" w:color="auto"/>
              <w:bottom w:val="single" w:sz="4" w:space="0" w:color="000000"/>
              <w:right w:val="single" w:sz="4" w:space="0" w:color="000000"/>
            </w:tcBorders>
            <w:vAlign w:val="center"/>
            <w:hideMark/>
          </w:tcPr>
          <w:p w:rsidR="00726E45" w:rsidRPr="00EF518B" w:rsidP="001B761E" w14:paraId="07F56CD3" w14:textId="77777777">
            <w:pPr>
              <w:widowControl/>
              <w:autoSpaceDE/>
              <w:autoSpaceDN/>
              <w:adjustRightInd/>
              <w:rPr>
                <w:rFonts w:ascii="Times New Roman" w:hAnsi="Times New Roman"/>
                <w:b/>
                <w:bCs/>
                <w:color w:val="000000"/>
                <w:sz w:val="22"/>
                <w:szCs w:val="22"/>
              </w:rPr>
            </w:pP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726E45" w:rsidRPr="00EF518B" w:rsidP="001B761E" w14:paraId="6D5C9C10" w14:textId="77777777">
            <w:pPr>
              <w:widowControl/>
              <w:autoSpaceDE/>
              <w:autoSpaceDN/>
              <w:adjustRightInd/>
              <w:jc w:val="center"/>
              <w:rPr>
                <w:rFonts w:ascii="Times New Roman" w:hAnsi="Times New Roman"/>
                <w:b/>
                <w:bCs/>
                <w:i/>
                <w:iCs/>
                <w:color w:val="000000"/>
                <w:sz w:val="22"/>
                <w:szCs w:val="22"/>
              </w:rPr>
            </w:pPr>
            <w:r w:rsidRPr="00EF518B">
              <w:rPr>
                <w:rFonts w:ascii="Times New Roman" w:hAnsi="Times New Roman"/>
                <w:b/>
                <w:bCs/>
                <w:i/>
                <w:iCs/>
                <w:color w:val="000000"/>
                <w:sz w:val="22"/>
                <w:szCs w:val="22"/>
              </w:rPr>
              <w:t>Designation-Related</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rsidR="00726E45" w:rsidRPr="00EF518B" w:rsidP="001B761E" w14:paraId="14DC019C" w14:textId="77777777">
            <w:pPr>
              <w:widowControl/>
              <w:autoSpaceDE/>
              <w:autoSpaceDN/>
              <w:adjustRightInd/>
              <w:jc w:val="center"/>
              <w:rPr>
                <w:rFonts w:ascii="Times New Roman" w:hAnsi="Times New Roman"/>
                <w:b/>
                <w:bCs/>
                <w:i/>
                <w:iCs/>
                <w:color w:val="000000"/>
                <w:sz w:val="22"/>
                <w:szCs w:val="22"/>
              </w:rPr>
            </w:pPr>
            <w:r w:rsidRPr="00EF518B">
              <w:rPr>
                <w:rFonts w:ascii="Times New Roman" w:hAnsi="Times New Roman"/>
                <w:b/>
                <w:bCs/>
                <w:i/>
                <w:iCs/>
                <w:color w:val="000000"/>
                <w:sz w:val="22"/>
                <w:szCs w:val="22"/>
              </w:rPr>
              <w:t>Designation-Related</w:t>
            </w:r>
          </w:p>
        </w:tc>
        <w:tc>
          <w:tcPr>
            <w:tcW w:w="2420" w:type="dxa"/>
            <w:gridSpan w:val="3"/>
            <w:tcBorders>
              <w:top w:val="single" w:sz="4" w:space="0" w:color="auto"/>
              <w:left w:val="nil"/>
              <w:bottom w:val="single" w:sz="4" w:space="0" w:color="auto"/>
              <w:right w:val="single" w:sz="8" w:space="0" w:color="000000"/>
            </w:tcBorders>
            <w:shd w:val="clear" w:color="auto" w:fill="auto"/>
            <w:vAlign w:val="center"/>
            <w:hideMark/>
          </w:tcPr>
          <w:p w:rsidR="00726E45" w:rsidRPr="00EF518B" w:rsidP="001B761E" w14:paraId="57367172" w14:textId="77777777">
            <w:pPr>
              <w:widowControl/>
              <w:autoSpaceDE/>
              <w:autoSpaceDN/>
              <w:adjustRightInd/>
              <w:jc w:val="center"/>
              <w:rPr>
                <w:rFonts w:ascii="Times New Roman" w:hAnsi="Times New Roman"/>
                <w:b/>
                <w:bCs/>
                <w:i/>
                <w:iCs/>
                <w:color w:val="000000"/>
                <w:sz w:val="22"/>
                <w:szCs w:val="22"/>
              </w:rPr>
            </w:pPr>
            <w:r w:rsidRPr="00EF518B">
              <w:rPr>
                <w:rFonts w:ascii="Times New Roman" w:hAnsi="Times New Roman"/>
                <w:b/>
                <w:bCs/>
                <w:i/>
                <w:iCs/>
                <w:color w:val="000000"/>
                <w:sz w:val="22"/>
                <w:szCs w:val="22"/>
              </w:rPr>
              <w:t>Designation-Independent</w:t>
            </w:r>
          </w:p>
        </w:tc>
      </w:tr>
      <w:tr w14:paraId="44BC2972" w14:textId="77777777" w:rsidTr="009B5282">
        <w:tblPrEx>
          <w:tblW w:w="9340" w:type="dxa"/>
          <w:tblLayout w:type="fixed"/>
          <w:tblLook w:val="04A0"/>
        </w:tblPrEx>
        <w:trPr>
          <w:trHeight w:val="1103"/>
        </w:trPr>
        <w:tc>
          <w:tcPr>
            <w:tcW w:w="1970" w:type="dxa"/>
            <w:tcBorders>
              <w:top w:val="nil"/>
              <w:left w:val="single" w:sz="8" w:space="0" w:color="auto"/>
              <w:bottom w:val="single" w:sz="4" w:space="0" w:color="auto"/>
              <w:right w:val="single" w:sz="4" w:space="0" w:color="auto"/>
            </w:tcBorders>
            <w:shd w:val="clear" w:color="auto" w:fill="auto"/>
            <w:vAlign w:val="center"/>
            <w:hideMark/>
          </w:tcPr>
          <w:p w:rsidR="00726E45" w:rsidRPr="00EF518B" w:rsidP="001B761E" w14:paraId="63901945" w14:textId="77777777">
            <w:pPr>
              <w:widowControl/>
              <w:autoSpaceDE/>
              <w:autoSpaceDN/>
              <w:adjustRightInd/>
              <w:jc w:val="center"/>
              <w:rPr>
                <w:rFonts w:ascii="Times New Roman" w:hAnsi="Times New Roman"/>
                <w:i/>
                <w:iCs/>
                <w:color w:val="000000"/>
                <w:sz w:val="22"/>
                <w:szCs w:val="22"/>
              </w:rPr>
            </w:pPr>
            <w:r w:rsidRPr="00EF518B">
              <w:rPr>
                <w:rFonts w:ascii="Times New Roman" w:hAnsi="Times New Roman"/>
                <w:i/>
                <w:iCs/>
                <w:color w:val="000000"/>
                <w:sz w:val="22"/>
                <w:szCs w:val="22"/>
              </w:rPr>
              <w:t>Primary Business Categories</w:t>
            </w:r>
          </w:p>
        </w:tc>
        <w:tc>
          <w:tcPr>
            <w:tcW w:w="990" w:type="dxa"/>
            <w:tcBorders>
              <w:top w:val="nil"/>
              <w:left w:val="nil"/>
              <w:bottom w:val="single" w:sz="4" w:space="0" w:color="auto"/>
              <w:right w:val="single" w:sz="4" w:space="0" w:color="auto"/>
            </w:tcBorders>
            <w:shd w:val="clear" w:color="auto" w:fill="auto"/>
            <w:vAlign w:val="center"/>
            <w:hideMark/>
          </w:tcPr>
          <w:p w:rsidR="00726E45" w:rsidRPr="00EF518B" w:rsidP="001B761E" w14:paraId="2A266228" w14:textId="77777777">
            <w:pPr>
              <w:widowControl/>
              <w:autoSpaceDE/>
              <w:autoSpaceDN/>
              <w:adjustRightInd/>
              <w:jc w:val="center"/>
              <w:rPr>
                <w:rFonts w:ascii="Times New Roman" w:hAnsi="Times New Roman"/>
                <w:i/>
                <w:iCs/>
                <w:color w:val="000000"/>
                <w:sz w:val="22"/>
                <w:szCs w:val="22"/>
              </w:rPr>
            </w:pPr>
            <w:r w:rsidRPr="00EF518B">
              <w:rPr>
                <w:rFonts w:ascii="Times New Roman" w:hAnsi="Times New Roman"/>
                <w:i/>
                <w:iCs/>
                <w:color w:val="000000"/>
                <w:sz w:val="22"/>
                <w:szCs w:val="22"/>
              </w:rPr>
              <w:t xml:space="preserve">Fully Loaded Hourly Wage </w:t>
            </w:r>
          </w:p>
        </w:tc>
        <w:tc>
          <w:tcPr>
            <w:tcW w:w="1080" w:type="dxa"/>
            <w:tcBorders>
              <w:top w:val="nil"/>
              <w:left w:val="nil"/>
              <w:bottom w:val="single" w:sz="4" w:space="0" w:color="auto"/>
              <w:right w:val="single" w:sz="4" w:space="0" w:color="auto"/>
            </w:tcBorders>
            <w:shd w:val="clear" w:color="auto" w:fill="auto"/>
            <w:vAlign w:val="center"/>
            <w:hideMark/>
          </w:tcPr>
          <w:p w:rsidR="00726E45" w:rsidRPr="00EF518B" w:rsidP="001B761E" w14:paraId="1D905633" w14:textId="77777777">
            <w:pPr>
              <w:widowControl/>
              <w:autoSpaceDE/>
              <w:autoSpaceDN/>
              <w:adjustRightInd/>
              <w:jc w:val="center"/>
              <w:rPr>
                <w:rFonts w:ascii="Times New Roman" w:hAnsi="Times New Roman"/>
                <w:i/>
                <w:iCs/>
                <w:color w:val="000000"/>
                <w:sz w:val="22"/>
                <w:szCs w:val="22"/>
              </w:rPr>
            </w:pPr>
            <w:r w:rsidRPr="00EF518B">
              <w:rPr>
                <w:rFonts w:ascii="Times New Roman" w:hAnsi="Times New Roman"/>
                <w:i/>
                <w:iCs/>
                <w:color w:val="000000"/>
                <w:sz w:val="22"/>
                <w:szCs w:val="22"/>
              </w:rPr>
              <w:t>Time (minutes)</w:t>
            </w:r>
          </w:p>
        </w:tc>
        <w:tc>
          <w:tcPr>
            <w:tcW w:w="900" w:type="dxa"/>
            <w:tcBorders>
              <w:top w:val="nil"/>
              <w:left w:val="nil"/>
              <w:bottom w:val="single" w:sz="4" w:space="0" w:color="auto"/>
              <w:right w:val="single" w:sz="4" w:space="0" w:color="auto"/>
            </w:tcBorders>
            <w:shd w:val="clear" w:color="auto" w:fill="auto"/>
            <w:vAlign w:val="center"/>
            <w:hideMark/>
          </w:tcPr>
          <w:p w:rsidR="00726E45" w:rsidRPr="00EF518B" w:rsidP="001B761E" w14:paraId="4547A8CF" w14:textId="77777777">
            <w:pPr>
              <w:widowControl/>
              <w:autoSpaceDE/>
              <w:autoSpaceDN/>
              <w:adjustRightInd/>
              <w:jc w:val="center"/>
              <w:rPr>
                <w:rFonts w:ascii="Times New Roman" w:hAnsi="Times New Roman"/>
                <w:i/>
                <w:iCs/>
                <w:color w:val="000000"/>
                <w:sz w:val="22"/>
                <w:szCs w:val="22"/>
              </w:rPr>
            </w:pPr>
            <w:r w:rsidRPr="00EF518B">
              <w:rPr>
                <w:rFonts w:ascii="Times New Roman" w:hAnsi="Times New Roman"/>
                <w:i/>
                <w:iCs/>
                <w:color w:val="000000"/>
                <w:sz w:val="22"/>
                <w:szCs w:val="22"/>
              </w:rPr>
              <w:t>Total*</w:t>
            </w:r>
          </w:p>
        </w:tc>
        <w:tc>
          <w:tcPr>
            <w:tcW w:w="1000" w:type="dxa"/>
            <w:tcBorders>
              <w:top w:val="nil"/>
              <w:left w:val="nil"/>
              <w:bottom w:val="single" w:sz="4" w:space="0" w:color="auto"/>
              <w:right w:val="single" w:sz="4" w:space="0" w:color="auto"/>
            </w:tcBorders>
            <w:shd w:val="clear" w:color="auto" w:fill="auto"/>
            <w:vAlign w:val="center"/>
            <w:hideMark/>
          </w:tcPr>
          <w:p w:rsidR="00726E45" w:rsidRPr="00EF518B" w:rsidP="001B761E" w14:paraId="6923F592" w14:textId="77777777">
            <w:pPr>
              <w:widowControl/>
              <w:autoSpaceDE/>
              <w:autoSpaceDN/>
              <w:adjustRightInd/>
              <w:jc w:val="center"/>
              <w:rPr>
                <w:rFonts w:ascii="Times New Roman" w:hAnsi="Times New Roman"/>
                <w:i/>
                <w:iCs/>
                <w:color w:val="000000"/>
                <w:sz w:val="22"/>
                <w:szCs w:val="22"/>
              </w:rPr>
            </w:pPr>
            <w:r w:rsidRPr="00EF518B">
              <w:rPr>
                <w:rFonts w:ascii="Times New Roman" w:hAnsi="Times New Roman"/>
                <w:i/>
                <w:iCs/>
                <w:color w:val="000000"/>
                <w:sz w:val="22"/>
                <w:szCs w:val="22"/>
              </w:rPr>
              <w:t>Time (minutes)</w:t>
            </w:r>
          </w:p>
        </w:tc>
        <w:tc>
          <w:tcPr>
            <w:tcW w:w="980" w:type="dxa"/>
            <w:tcBorders>
              <w:top w:val="nil"/>
              <w:left w:val="nil"/>
              <w:bottom w:val="single" w:sz="4" w:space="0" w:color="auto"/>
              <w:right w:val="single" w:sz="4" w:space="0" w:color="auto"/>
            </w:tcBorders>
            <w:shd w:val="clear" w:color="auto" w:fill="auto"/>
            <w:vAlign w:val="center"/>
            <w:hideMark/>
          </w:tcPr>
          <w:p w:rsidR="00726E45" w:rsidRPr="00EF518B" w:rsidP="001B761E" w14:paraId="2390E338" w14:textId="77777777">
            <w:pPr>
              <w:widowControl/>
              <w:autoSpaceDE/>
              <w:autoSpaceDN/>
              <w:adjustRightInd/>
              <w:jc w:val="center"/>
              <w:rPr>
                <w:rFonts w:ascii="Times New Roman" w:hAnsi="Times New Roman"/>
                <w:i/>
                <w:iCs/>
                <w:color w:val="000000"/>
                <w:sz w:val="22"/>
                <w:szCs w:val="22"/>
              </w:rPr>
            </w:pPr>
            <w:r w:rsidRPr="00EF518B">
              <w:rPr>
                <w:rFonts w:ascii="Times New Roman" w:hAnsi="Times New Roman"/>
                <w:i/>
                <w:iCs/>
                <w:color w:val="000000"/>
                <w:sz w:val="22"/>
                <w:szCs w:val="22"/>
              </w:rPr>
              <w:t>Total*</w:t>
            </w:r>
          </w:p>
        </w:tc>
        <w:tc>
          <w:tcPr>
            <w:tcW w:w="990" w:type="dxa"/>
            <w:tcBorders>
              <w:top w:val="nil"/>
              <w:left w:val="nil"/>
              <w:bottom w:val="single" w:sz="4" w:space="0" w:color="auto"/>
              <w:right w:val="single" w:sz="4" w:space="0" w:color="auto"/>
            </w:tcBorders>
            <w:shd w:val="clear" w:color="auto" w:fill="auto"/>
            <w:vAlign w:val="center"/>
            <w:hideMark/>
          </w:tcPr>
          <w:p w:rsidR="00726E45" w:rsidRPr="00EF518B" w:rsidP="001B761E" w14:paraId="08699485" w14:textId="77777777">
            <w:pPr>
              <w:widowControl/>
              <w:autoSpaceDE/>
              <w:autoSpaceDN/>
              <w:adjustRightInd/>
              <w:jc w:val="center"/>
              <w:rPr>
                <w:rFonts w:ascii="Times New Roman" w:hAnsi="Times New Roman"/>
                <w:i/>
                <w:iCs/>
                <w:color w:val="000000"/>
                <w:sz w:val="22"/>
                <w:szCs w:val="22"/>
              </w:rPr>
            </w:pPr>
            <w:r w:rsidRPr="00EF518B">
              <w:rPr>
                <w:rFonts w:ascii="Times New Roman" w:hAnsi="Times New Roman"/>
                <w:i/>
                <w:iCs/>
                <w:color w:val="000000"/>
                <w:sz w:val="22"/>
                <w:szCs w:val="22"/>
              </w:rPr>
              <w:t>Time (hours)</w:t>
            </w:r>
          </w:p>
        </w:tc>
        <w:tc>
          <w:tcPr>
            <w:tcW w:w="1430" w:type="dxa"/>
            <w:gridSpan w:val="2"/>
            <w:tcBorders>
              <w:top w:val="nil"/>
              <w:left w:val="nil"/>
              <w:bottom w:val="single" w:sz="4" w:space="0" w:color="auto"/>
              <w:right w:val="single" w:sz="8" w:space="0" w:color="auto"/>
            </w:tcBorders>
            <w:shd w:val="clear" w:color="auto" w:fill="auto"/>
            <w:vAlign w:val="center"/>
            <w:hideMark/>
          </w:tcPr>
          <w:p w:rsidR="00726E45" w:rsidRPr="00EF518B" w:rsidP="001B761E" w14:paraId="55735622" w14:textId="77777777">
            <w:pPr>
              <w:widowControl/>
              <w:autoSpaceDE/>
              <w:autoSpaceDN/>
              <w:adjustRightInd/>
              <w:jc w:val="center"/>
              <w:rPr>
                <w:rFonts w:ascii="Times New Roman" w:hAnsi="Times New Roman"/>
                <w:i/>
                <w:iCs/>
                <w:color w:val="000000"/>
                <w:sz w:val="22"/>
                <w:szCs w:val="22"/>
              </w:rPr>
            </w:pPr>
            <w:r w:rsidRPr="00EF518B">
              <w:rPr>
                <w:rFonts w:ascii="Times New Roman" w:hAnsi="Times New Roman"/>
                <w:i/>
                <w:iCs/>
                <w:color w:val="000000"/>
                <w:sz w:val="22"/>
                <w:szCs w:val="22"/>
              </w:rPr>
              <w:t>Total* (unadjusted)</w:t>
            </w:r>
          </w:p>
        </w:tc>
      </w:tr>
      <w:tr w14:paraId="44521A00" w14:textId="77777777" w:rsidTr="009B5282">
        <w:tblPrEx>
          <w:tblW w:w="9340" w:type="dxa"/>
          <w:tblLayout w:type="fixed"/>
          <w:tblLook w:val="04A0"/>
        </w:tblPrEx>
        <w:trPr>
          <w:trHeight w:val="275"/>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rsidR="00726E45" w:rsidRPr="00EF518B" w:rsidP="001B761E" w14:paraId="018EE51E" w14:textId="77777777">
            <w:pPr>
              <w:widowControl/>
              <w:autoSpaceDE/>
              <w:autoSpaceDN/>
              <w:adjustRightInd/>
              <w:rPr>
                <w:rFonts w:ascii="Times New Roman" w:hAnsi="Times New Roman"/>
                <w:color w:val="000000"/>
                <w:sz w:val="22"/>
                <w:szCs w:val="22"/>
              </w:rPr>
            </w:pPr>
            <w:r w:rsidRPr="00EF518B">
              <w:rPr>
                <w:rFonts w:ascii="Times New Roman" w:hAnsi="Times New Roman"/>
                <w:color w:val="000000"/>
                <w:sz w:val="22"/>
                <w:szCs w:val="22"/>
              </w:rPr>
              <w:t>Title Abstract and Settlement Offices</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61F8562F" w14:textId="2543B71D">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$7</w:t>
            </w:r>
            <w:r w:rsidRPr="00EF518B" w:rsidR="009B5282">
              <w:rPr>
                <w:rFonts w:ascii="Times New Roman" w:hAnsi="Times New Roman"/>
                <w:color w:val="000000"/>
                <w:sz w:val="22"/>
                <w:szCs w:val="22"/>
              </w:rPr>
              <w:t>9.35</w:t>
            </w:r>
            <w:r w:rsidRPr="00EF518B">
              <w:rPr>
                <w:rFonts w:ascii="Times New Roman" w:hAnsi="Times New Roman"/>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0F0F4250"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576FB1F4" w14:textId="0FB930BF">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6.71</w:t>
            </w:r>
            <w:r w:rsidRPr="00EF518B">
              <w:rPr>
                <w:rFonts w:ascii="Times New Roman" w:hAnsi="Times New Roman"/>
                <w:color w:val="00000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730AD500"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5</w:t>
            </w:r>
          </w:p>
        </w:tc>
        <w:tc>
          <w:tcPr>
            <w:tcW w:w="98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019A4868" w14:textId="6DFD0DF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6.71</w:t>
            </w:r>
            <w:r w:rsidRPr="00EF518B">
              <w:rPr>
                <w:rFonts w:ascii="Times New Roman" w:hAnsi="Times New Roman"/>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16D8645F"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1</w:t>
            </w:r>
          </w:p>
        </w:tc>
        <w:tc>
          <w:tcPr>
            <w:tcW w:w="1430" w:type="dxa"/>
            <w:gridSpan w:val="2"/>
            <w:tcBorders>
              <w:top w:val="nil"/>
              <w:left w:val="nil"/>
              <w:bottom w:val="single" w:sz="4" w:space="0" w:color="auto"/>
              <w:right w:val="single" w:sz="8" w:space="0" w:color="auto"/>
            </w:tcBorders>
            <w:shd w:val="clear" w:color="auto" w:fill="auto"/>
            <w:noWrap/>
            <w:vAlign w:val="center"/>
            <w:hideMark/>
          </w:tcPr>
          <w:p w:rsidR="00726E45" w:rsidRPr="00EF518B" w:rsidP="001B761E" w14:paraId="068F58E6" w14:textId="5374524C">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$7</w:t>
            </w:r>
            <w:r w:rsidRPr="00EF518B" w:rsidR="009B5282">
              <w:rPr>
                <w:rFonts w:ascii="Times New Roman" w:hAnsi="Times New Roman"/>
                <w:color w:val="000000"/>
                <w:sz w:val="22"/>
                <w:szCs w:val="22"/>
              </w:rPr>
              <w:t>9.45</w:t>
            </w:r>
            <w:r w:rsidRPr="00EF518B">
              <w:rPr>
                <w:rFonts w:ascii="Times New Roman" w:hAnsi="Times New Roman"/>
                <w:color w:val="000000"/>
                <w:sz w:val="22"/>
                <w:szCs w:val="22"/>
              </w:rPr>
              <w:t xml:space="preserve"> </w:t>
            </w:r>
          </w:p>
        </w:tc>
      </w:tr>
      <w:tr w14:paraId="3C47BB2E" w14:textId="77777777" w:rsidTr="009B5282">
        <w:tblPrEx>
          <w:tblW w:w="9340" w:type="dxa"/>
          <w:tblLayout w:type="fixed"/>
          <w:tblLook w:val="04A0"/>
        </w:tblPrEx>
        <w:trPr>
          <w:trHeight w:val="275"/>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rsidR="00726E45" w:rsidRPr="00EF518B" w:rsidP="001B761E" w14:paraId="1CBC5B2A" w14:textId="77777777">
            <w:pPr>
              <w:widowControl/>
              <w:autoSpaceDE/>
              <w:autoSpaceDN/>
              <w:adjustRightInd/>
              <w:rPr>
                <w:rFonts w:ascii="Times New Roman" w:hAnsi="Times New Roman"/>
                <w:color w:val="000000"/>
                <w:sz w:val="22"/>
                <w:szCs w:val="22"/>
              </w:rPr>
            </w:pPr>
            <w:r w:rsidRPr="00EF518B">
              <w:rPr>
                <w:rFonts w:ascii="Times New Roman" w:hAnsi="Times New Roman"/>
                <w:color w:val="000000"/>
                <w:sz w:val="22"/>
                <w:szCs w:val="22"/>
              </w:rPr>
              <w:t xml:space="preserve">Direct Title Insurance Carriers </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01021E4C" w14:textId="2E11171D">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106.49</w:t>
            </w:r>
            <w:r w:rsidRPr="00EF518B">
              <w:rPr>
                <w:rFonts w:ascii="Times New Roman" w:hAnsi="Times New Roman"/>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4950FA63"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42A28B52" w14:textId="01E9F32A">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8.97</w:t>
            </w:r>
            <w:r w:rsidRPr="00EF518B">
              <w:rPr>
                <w:rFonts w:ascii="Times New Roman" w:hAnsi="Times New Roman"/>
                <w:color w:val="00000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70C7A88B"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5</w:t>
            </w:r>
          </w:p>
        </w:tc>
        <w:tc>
          <w:tcPr>
            <w:tcW w:w="98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3699E1F2" w14:textId="0CA7A270">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8.97</w:t>
            </w:r>
            <w:r w:rsidRPr="00EF518B">
              <w:rPr>
                <w:rFonts w:ascii="Times New Roman" w:hAnsi="Times New Roman"/>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487DC7B9"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1</w:t>
            </w:r>
          </w:p>
        </w:tc>
        <w:tc>
          <w:tcPr>
            <w:tcW w:w="1430" w:type="dxa"/>
            <w:gridSpan w:val="2"/>
            <w:tcBorders>
              <w:top w:val="nil"/>
              <w:left w:val="nil"/>
              <w:bottom w:val="single" w:sz="4" w:space="0" w:color="auto"/>
              <w:right w:val="single" w:sz="8" w:space="0" w:color="auto"/>
            </w:tcBorders>
            <w:shd w:val="clear" w:color="auto" w:fill="auto"/>
            <w:noWrap/>
            <w:vAlign w:val="center"/>
            <w:hideMark/>
          </w:tcPr>
          <w:p w:rsidR="00726E45" w:rsidRPr="00EF518B" w:rsidP="001B761E" w14:paraId="1C63D0A3" w14:textId="40188CE1">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106.59</w:t>
            </w:r>
            <w:r w:rsidRPr="00EF518B">
              <w:rPr>
                <w:rFonts w:ascii="Times New Roman" w:hAnsi="Times New Roman"/>
                <w:color w:val="000000"/>
                <w:sz w:val="22"/>
                <w:szCs w:val="22"/>
              </w:rPr>
              <w:t xml:space="preserve"> </w:t>
            </w:r>
          </w:p>
        </w:tc>
      </w:tr>
      <w:tr w14:paraId="3DE0CF6C" w14:textId="77777777" w:rsidTr="009B5282">
        <w:tblPrEx>
          <w:tblW w:w="9340" w:type="dxa"/>
          <w:tblLayout w:type="fixed"/>
          <w:tblLook w:val="04A0"/>
        </w:tblPrEx>
        <w:trPr>
          <w:trHeight w:val="275"/>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rsidR="00726E45" w:rsidRPr="00EF518B" w:rsidP="001B761E" w14:paraId="26E4B5DE" w14:textId="77777777">
            <w:pPr>
              <w:widowControl/>
              <w:autoSpaceDE/>
              <w:autoSpaceDN/>
              <w:adjustRightInd/>
              <w:rPr>
                <w:rFonts w:ascii="Times New Roman" w:hAnsi="Times New Roman"/>
                <w:color w:val="000000"/>
                <w:sz w:val="22"/>
                <w:szCs w:val="22"/>
              </w:rPr>
            </w:pPr>
            <w:r w:rsidRPr="00EF518B">
              <w:rPr>
                <w:rFonts w:ascii="Times New Roman" w:hAnsi="Times New Roman"/>
                <w:color w:val="000000"/>
                <w:sz w:val="22"/>
                <w:szCs w:val="22"/>
              </w:rPr>
              <w:t>Other Activities Related to Real Estate</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2F21DD8A" w14:textId="2F9155D3">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81.74</w:t>
            </w:r>
            <w:r w:rsidRPr="00EF518B">
              <w:rPr>
                <w:rFonts w:ascii="Times New Roman" w:hAnsi="Times New Roman"/>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413CD372"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55888DDC" w14:textId="6BF171AD">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6.91</w:t>
            </w:r>
            <w:r w:rsidRPr="00EF518B">
              <w:rPr>
                <w:rFonts w:ascii="Times New Roman" w:hAnsi="Times New Roman"/>
                <w:color w:val="00000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72B71BC4"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5</w:t>
            </w:r>
          </w:p>
        </w:tc>
        <w:tc>
          <w:tcPr>
            <w:tcW w:w="98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75B12F27" w14:textId="4CEF05FF">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6.91</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296ADC3D"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1</w:t>
            </w:r>
          </w:p>
        </w:tc>
        <w:tc>
          <w:tcPr>
            <w:tcW w:w="1430" w:type="dxa"/>
            <w:gridSpan w:val="2"/>
            <w:tcBorders>
              <w:top w:val="nil"/>
              <w:left w:val="nil"/>
              <w:bottom w:val="single" w:sz="4" w:space="0" w:color="auto"/>
              <w:right w:val="single" w:sz="8" w:space="0" w:color="auto"/>
            </w:tcBorders>
            <w:shd w:val="clear" w:color="auto" w:fill="auto"/>
            <w:noWrap/>
            <w:vAlign w:val="center"/>
            <w:hideMark/>
          </w:tcPr>
          <w:p w:rsidR="00726E45" w:rsidRPr="00EF518B" w:rsidP="001B761E" w14:paraId="038FC763" w14:textId="27B9574A">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81.84</w:t>
            </w:r>
            <w:r w:rsidRPr="00EF518B">
              <w:rPr>
                <w:rFonts w:ascii="Times New Roman" w:hAnsi="Times New Roman"/>
                <w:color w:val="000000"/>
                <w:sz w:val="22"/>
                <w:szCs w:val="22"/>
              </w:rPr>
              <w:t xml:space="preserve"> </w:t>
            </w:r>
          </w:p>
        </w:tc>
      </w:tr>
      <w:tr w14:paraId="15472450" w14:textId="77777777" w:rsidTr="009B5282">
        <w:tblPrEx>
          <w:tblW w:w="9340" w:type="dxa"/>
          <w:tblLayout w:type="fixed"/>
          <w:tblLook w:val="04A0"/>
        </w:tblPrEx>
        <w:trPr>
          <w:trHeight w:val="275"/>
        </w:trPr>
        <w:tc>
          <w:tcPr>
            <w:tcW w:w="1970" w:type="dxa"/>
            <w:tcBorders>
              <w:top w:val="nil"/>
              <w:left w:val="single" w:sz="8" w:space="0" w:color="auto"/>
              <w:bottom w:val="single" w:sz="4" w:space="0" w:color="auto"/>
              <w:right w:val="single" w:sz="4" w:space="0" w:color="auto"/>
            </w:tcBorders>
            <w:shd w:val="clear" w:color="auto" w:fill="auto"/>
            <w:noWrap/>
            <w:vAlign w:val="center"/>
            <w:hideMark/>
          </w:tcPr>
          <w:p w:rsidR="00726E45" w:rsidRPr="00EF518B" w:rsidP="001B761E" w14:paraId="74822D62" w14:textId="77777777">
            <w:pPr>
              <w:widowControl/>
              <w:autoSpaceDE/>
              <w:autoSpaceDN/>
              <w:adjustRightInd/>
              <w:rPr>
                <w:rFonts w:ascii="Times New Roman" w:hAnsi="Times New Roman"/>
                <w:color w:val="000000"/>
                <w:sz w:val="22"/>
                <w:szCs w:val="22"/>
              </w:rPr>
            </w:pPr>
            <w:r w:rsidRPr="00EF518B">
              <w:rPr>
                <w:rFonts w:ascii="Times New Roman" w:hAnsi="Times New Roman"/>
                <w:color w:val="000000"/>
                <w:sz w:val="22"/>
                <w:szCs w:val="22"/>
              </w:rPr>
              <w:t>Offices of Lawyers</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41140FEC" w14:textId="3108B75C">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153.84</w:t>
            </w:r>
            <w:r w:rsidRPr="00EF518B">
              <w:rPr>
                <w:rFonts w:ascii="Times New Roman" w:hAnsi="Times New Roman"/>
                <w:color w:val="00000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39B3AC5F"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5</w:t>
            </w:r>
          </w:p>
        </w:tc>
        <w:tc>
          <w:tcPr>
            <w:tcW w:w="90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3CE897F9" w14:textId="18DEC8C4">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12.92</w:t>
            </w:r>
            <w:r w:rsidRPr="00EF518B">
              <w:rPr>
                <w:rFonts w:ascii="Times New Roman" w:hAnsi="Times New Roman"/>
                <w:color w:val="000000"/>
                <w:sz w:val="22"/>
                <w:szCs w:val="22"/>
              </w:rPr>
              <w:t xml:space="preserve"> </w:t>
            </w:r>
          </w:p>
        </w:tc>
        <w:tc>
          <w:tcPr>
            <w:tcW w:w="100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421AEEAB"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5</w:t>
            </w:r>
          </w:p>
        </w:tc>
        <w:tc>
          <w:tcPr>
            <w:tcW w:w="98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1E42ED57" w14:textId="7341237F">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12.92</w:t>
            </w:r>
            <w:r w:rsidRPr="00EF518B">
              <w:rPr>
                <w:rFonts w:ascii="Times New Roman" w:hAnsi="Times New Roman"/>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noWrap/>
            <w:vAlign w:val="center"/>
            <w:hideMark/>
          </w:tcPr>
          <w:p w:rsidR="00726E45" w:rsidRPr="00EF518B" w:rsidP="001B761E" w14:paraId="0897E692"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1</w:t>
            </w:r>
          </w:p>
        </w:tc>
        <w:tc>
          <w:tcPr>
            <w:tcW w:w="1430" w:type="dxa"/>
            <w:gridSpan w:val="2"/>
            <w:tcBorders>
              <w:top w:val="nil"/>
              <w:left w:val="nil"/>
              <w:bottom w:val="single" w:sz="4" w:space="0" w:color="auto"/>
              <w:right w:val="single" w:sz="8" w:space="0" w:color="auto"/>
            </w:tcBorders>
            <w:shd w:val="clear" w:color="auto" w:fill="auto"/>
            <w:noWrap/>
            <w:vAlign w:val="center"/>
            <w:hideMark/>
          </w:tcPr>
          <w:p w:rsidR="00726E45" w:rsidRPr="00EF518B" w:rsidP="001B761E" w14:paraId="467518D9" w14:textId="5AD04123">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153.94</w:t>
            </w:r>
          </w:p>
        </w:tc>
      </w:tr>
      <w:tr w14:paraId="0BF1E530" w14:textId="77777777" w:rsidTr="009B5282">
        <w:tblPrEx>
          <w:tblW w:w="9340" w:type="dxa"/>
          <w:tblLayout w:type="fixed"/>
          <w:tblLook w:val="04A0"/>
        </w:tblPrEx>
        <w:trPr>
          <w:trHeight w:val="289"/>
        </w:trPr>
        <w:tc>
          <w:tcPr>
            <w:tcW w:w="1970" w:type="dxa"/>
            <w:tcBorders>
              <w:top w:val="nil"/>
              <w:left w:val="single" w:sz="8" w:space="0" w:color="auto"/>
              <w:bottom w:val="single" w:sz="8" w:space="0" w:color="auto"/>
              <w:right w:val="single" w:sz="4" w:space="0" w:color="auto"/>
            </w:tcBorders>
            <w:shd w:val="clear" w:color="auto" w:fill="auto"/>
            <w:noWrap/>
            <w:vAlign w:val="center"/>
            <w:hideMark/>
          </w:tcPr>
          <w:p w:rsidR="00726E45" w:rsidRPr="00EF518B" w:rsidP="001B761E" w14:paraId="6548BE9E" w14:textId="77777777">
            <w:pPr>
              <w:widowControl/>
              <w:autoSpaceDE/>
              <w:autoSpaceDN/>
              <w:adjustRightInd/>
              <w:rPr>
                <w:rFonts w:ascii="Times New Roman" w:hAnsi="Times New Roman"/>
                <w:color w:val="000000"/>
                <w:sz w:val="22"/>
                <w:szCs w:val="22"/>
              </w:rPr>
            </w:pPr>
            <w:r w:rsidRPr="00EF518B">
              <w:rPr>
                <w:rFonts w:ascii="Times New Roman" w:hAnsi="Times New Roman"/>
                <w:color w:val="000000"/>
                <w:sz w:val="22"/>
                <w:szCs w:val="22"/>
              </w:rPr>
              <w:t>Offices of Real Estate Agents and Brokers</w:t>
            </w:r>
          </w:p>
        </w:tc>
        <w:tc>
          <w:tcPr>
            <w:tcW w:w="990" w:type="dxa"/>
            <w:tcBorders>
              <w:top w:val="nil"/>
              <w:left w:val="nil"/>
              <w:bottom w:val="single" w:sz="8" w:space="0" w:color="auto"/>
              <w:right w:val="single" w:sz="4" w:space="0" w:color="auto"/>
            </w:tcBorders>
            <w:shd w:val="clear" w:color="auto" w:fill="auto"/>
            <w:noWrap/>
            <w:vAlign w:val="center"/>
            <w:hideMark/>
          </w:tcPr>
          <w:p w:rsidR="00726E45" w:rsidRPr="00EF518B" w:rsidP="001B761E" w14:paraId="32C59E06" w14:textId="3D20362B">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81.74</w:t>
            </w:r>
            <w:r w:rsidRPr="00EF518B">
              <w:rPr>
                <w:rFonts w:ascii="Times New Roman" w:hAnsi="Times New Roman"/>
                <w:color w:val="000000"/>
                <w:sz w:val="22"/>
                <w:szCs w:val="22"/>
              </w:rPr>
              <w:t xml:space="preserve"> </w:t>
            </w:r>
          </w:p>
        </w:tc>
        <w:tc>
          <w:tcPr>
            <w:tcW w:w="1080" w:type="dxa"/>
            <w:tcBorders>
              <w:top w:val="nil"/>
              <w:left w:val="nil"/>
              <w:bottom w:val="single" w:sz="8" w:space="0" w:color="auto"/>
              <w:right w:val="single" w:sz="4" w:space="0" w:color="auto"/>
            </w:tcBorders>
            <w:shd w:val="clear" w:color="auto" w:fill="auto"/>
            <w:noWrap/>
            <w:vAlign w:val="center"/>
            <w:hideMark/>
          </w:tcPr>
          <w:p w:rsidR="00726E45" w:rsidRPr="00EF518B" w:rsidP="001B761E" w14:paraId="624C11DC"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5</w:t>
            </w:r>
          </w:p>
        </w:tc>
        <w:tc>
          <w:tcPr>
            <w:tcW w:w="900" w:type="dxa"/>
            <w:tcBorders>
              <w:top w:val="nil"/>
              <w:left w:val="nil"/>
              <w:bottom w:val="single" w:sz="8" w:space="0" w:color="auto"/>
              <w:right w:val="single" w:sz="4" w:space="0" w:color="auto"/>
            </w:tcBorders>
            <w:shd w:val="clear" w:color="auto" w:fill="auto"/>
            <w:noWrap/>
            <w:vAlign w:val="center"/>
            <w:hideMark/>
          </w:tcPr>
          <w:p w:rsidR="00726E45" w:rsidRPr="00EF518B" w:rsidP="001B761E" w14:paraId="1B562248" w14:textId="7A76E88B">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6.91</w:t>
            </w:r>
            <w:r w:rsidRPr="00EF518B">
              <w:rPr>
                <w:rFonts w:ascii="Times New Roman" w:hAnsi="Times New Roman"/>
                <w:color w:val="000000"/>
                <w:sz w:val="22"/>
                <w:szCs w:val="22"/>
              </w:rPr>
              <w:t xml:space="preserve"> </w:t>
            </w:r>
          </w:p>
        </w:tc>
        <w:tc>
          <w:tcPr>
            <w:tcW w:w="1000" w:type="dxa"/>
            <w:tcBorders>
              <w:top w:val="nil"/>
              <w:left w:val="nil"/>
              <w:bottom w:val="single" w:sz="8" w:space="0" w:color="auto"/>
              <w:right w:val="single" w:sz="4" w:space="0" w:color="auto"/>
            </w:tcBorders>
            <w:shd w:val="clear" w:color="auto" w:fill="auto"/>
            <w:noWrap/>
            <w:vAlign w:val="center"/>
            <w:hideMark/>
          </w:tcPr>
          <w:p w:rsidR="00726E45" w:rsidRPr="00EF518B" w:rsidP="001B761E" w14:paraId="526DD336"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5</w:t>
            </w:r>
          </w:p>
        </w:tc>
        <w:tc>
          <w:tcPr>
            <w:tcW w:w="980" w:type="dxa"/>
            <w:tcBorders>
              <w:top w:val="nil"/>
              <w:left w:val="nil"/>
              <w:bottom w:val="single" w:sz="8" w:space="0" w:color="auto"/>
              <w:right w:val="single" w:sz="4" w:space="0" w:color="auto"/>
            </w:tcBorders>
            <w:shd w:val="clear" w:color="auto" w:fill="auto"/>
            <w:noWrap/>
            <w:vAlign w:val="center"/>
            <w:hideMark/>
          </w:tcPr>
          <w:p w:rsidR="00726E45" w:rsidRPr="00EF518B" w:rsidP="001B761E" w14:paraId="5A4C9B27" w14:textId="6DBFB965">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6.91</w:t>
            </w:r>
            <w:r w:rsidRPr="00EF518B">
              <w:rPr>
                <w:rFonts w:ascii="Times New Roman" w:hAnsi="Times New Roman"/>
                <w:color w:val="000000"/>
                <w:sz w:val="22"/>
                <w:szCs w:val="22"/>
              </w:rPr>
              <w:t xml:space="preserve"> </w:t>
            </w:r>
          </w:p>
        </w:tc>
        <w:tc>
          <w:tcPr>
            <w:tcW w:w="990" w:type="dxa"/>
            <w:tcBorders>
              <w:top w:val="nil"/>
              <w:left w:val="nil"/>
              <w:bottom w:val="single" w:sz="8" w:space="0" w:color="auto"/>
              <w:right w:val="single" w:sz="4" w:space="0" w:color="auto"/>
            </w:tcBorders>
            <w:shd w:val="clear" w:color="auto" w:fill="auto"/>
            <w:noWrap/>
            <w:vAlign w:val="center"/>
            <w:hideMark/>
          </w:tcPr>
          <w:p w:rsidR="00726E45" w:rsidRPr="00EF518B" w:rsidP="001B761E" w14:paraId="47E90D85" w14:textId="77777777">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1</w:t>
            </w:r>
          </w:p>
        </w:tc>
        <w:tc>
          <w:tcPr>
            <w:tcW w:w="1430" w:type="dxa"/>
            <w:gridSpan w:val="2"/>
            <w:tcBorders>
              <w:top w:val="nil"/>
              <w:left w:val="nil"/>
              <w:bottom w:val="single" w:sz="8" w:space="0" w:color="auto"/>
              <w:right w:val="single" w:sz="8" w:space="0" w:color="auto"/>
            </w:tcBorders>
            <w:shd w:val="clear" w:color="auto" w:fill="auto"/>
            <w:noWrap/>
            <w:vAlign w:val="center"/>
            <w:hideMark/>
          </w:tcPr>
          <w:p w:rsidR="00726E45" w:rsidRPr="00EF518B" w:rsidP="001B761E" w14:paraId="52B885CD" w14:textId="2D24E6DC">
            <w:pPr>
              <w:widowControl/>
              <w:autoSpaceDE/>
              <w:autoSpaceDN/>
              <w:adjustRightInd/>
              <w:jc w:val="center"/>
              <w:rPr>
                <w:rFonts w:ascii="Times New Roman" w:hAnsi="Times New Roman"/>
                <w:color w:val="000000"/>
                <w:sz w:val="22"/>
                <w:szCs w:val="22"/>
              </w:rPr>
            </w:pPr>
            <w:r w:rsidRPr="00EF518B">
              <w:rPr>
                <w:rFonts w:ascii="Times New Roman" w:hAnsi="Times New Roman"/>
                <w:color w:val="000000"/>
                <w:sz w:val="22"/>
                <w:szCs w:val="22"/>
              </w:rPr>
              <w:t xml:space="preserve"> $</w:t>
            </w:r>
            <w:r w:rsidRPr="00EF518B" w:rsidR="009B5282">
              <w:rPr>
                <w:rFonts w:ascii="Times New Roman" w:hAnsi="Times New Roman"/>
                <w:color w:val="000000"/>
                <w:sz w:val="22"/>
                <w:szCs w:val="22"/>
              </w:rPr>
              <w:t>81.84</w:t>
            </w:r>
            <w:r w:rsidRPr="00EF518B">
              <w:rPr>
                <w:rFonts w:ascii="Times New Roman" w:hAnsi="Times New Roman"/>
                <w:color w:val="000000"/>
                <w:sz w:val="22"/>
                <w:szCs w:val="22"/>
              </w:rPr>
              <w:t xml:space="preserve"> </w:t>
            </w:r>
          </w:p>
        </w:tc>
      </w:tr>
      <w:tr w14:paraId="39226DF4" w14:textId="77777777" w:rsidTr="001B761E">
        <w:tblPrEx>
          <w:tblW w:w="9340" w:type="dxa"/>
          <w:tblLayout w:type="fixed"/>
          <w:tblLook w:val="04A0"/>
        </w:tblPrEx>
        <w:trPr>
          <w:gridAfter w:val="1"/>
          <w:wAfter w:w="10" w:type="dxa"/>
          <w:trHeight w:val="275"/>
        </w:trPr>
        <w:tc>
          <w:tcPr>
            <w:tcW w:w="9330" w:type="dxa"/>
            <w:gridSpan w:val="8"/>
            <w:tcBorders>
              <w:top w:val="nil"/>
              <w:left w:val="nil"/>
              <w:bottom w:val="nil"/>
              <w:right w:val="nil"/>
            </w:tcBorders>
            <w:shd w:val="clear" w:color="auto" w:fill="auto"/>
            <w:noWrap/>
            <w:vAlign w:val="bottom"/>
            <w:hideMark/>
          </w:tcPr>
          <w:p w:rsidR="00726E45" w:rsidRPr="00EF518B" w:rsidP="001B761E" w14:paraId="59F22280" w14:textId="77777777">
            <w:pPr>
              <w:widowControl/>
              <w:autoSpaceDE/>
              <w:autoSpaceDN/>
              <w:adjustRightInd/>
              <w:rPr>
                <w:rFonts w:ascii="Times New Roman" w:hAnsi="Times New Roman"/>
                <w:color w:val="000000"/>
                <w:szCs w:val="20"/>
              </w:rPr>
            </w:pPr>
            <w:r w:rsidRPr="00EF518B">
              <w:rPr>
                <w:rFonts w:ascii="Times New Roman" w:hAnsi="Times New Roman"/>
                <w:color w:val="000000"/>
                <w:szCs w:val="20"/>
              </w:rPr>
              <w:t>* Total Recordkeeping cost estimates include both labor (wages) and technology costs ($0.10)</w:t>
            </w:r>
          </w:p>
        </w:tc>
      </w:tr>
    </w:tbl>
    <w:p w:rsidR="00726E45" w:rsidRPr="00EF518B" w:rsidP="00726E45" w14:paraId="7196AEBA" w14:textId="77777777">
      <w:pPr>
        <w:widowControl/>
        <w:spacing w:after="240"/>
        <w:rPr>
          <w:i/>
          <w:iCs/>
        </w:rPr>
      </w:pPr>
      <w:r w:rsidRPr="00EF518B">
        <w:rPr>
          <w:rFonts w:ascii="Times New Roman" w:hAnsi="Times New Roman"/>
          <w:i/>
          <w:iCs/>
          <w:sz w:val="24"/>
        </w:rPr>
        <w:t>Estimated Reporting and Recordkeeping Cost per Response:</w:t>
      </w:r>
      <w:r w:rsidRPr="00EF518B">
        <w:rPr>
          <w:i/>
          <w:iCs/>
        </w:rPr>
        <w:t xml:space="preserve"> </w:t>
      </w:r>
    </w:p>
    <w:p w:rsidR="00726E45" w:rsidRPr="00EF518B" w:rsidP="00726E45" w14:paraId="3CB9FEFF" w14:textId="77777777">
      <w:pPr>
        <w:widowControl/>
        <w:spacing w:after="240"/>
        <w:ind w:left="720"/>
        <w:rPr>
          <w:rFonts w:ascii="Times New Roman" w:hAnsi="Times New Roman"/>
          <w:i/>
          <w:iCs/>
          <w:sz w:val="24"/>
        </w:rPr>
      </w:pPr>
      <w:r w:rsidRPr="00EF518B">
        <w:rPr>
          <w:rFonts w:ascii="Times New Roman" w:hAnsi="Times New Roman"/>
          <w:i/>
          <w:iCs/>
          <w:sz w:val="24"/>
        </w:rPr>
        <w:t>Per Response Cost to Reporting Persons</w:t>
      </w:r>
    </w:p>
    <w:p w:rsidR="00726E45" w:rsidRPr="00EF518B" w:rsidP="00726E45" w14:paraId="467845FE" w14:textId="57AC826C">
      <w:pPr>
        <w:widowControl/>
        <w:spacing w:after="240"/>
        <w:ind w:firstLine="720"/>
        <w:rPr>
          <w:rFonts w:ascii="Times New Roman" w:hAnsi="Times New Roman"/>
          <w:sz w:val="24"/>
        </w:rPr>
      </w:pPr>
      <w:r w:rsidRPr="00EF518B">
        <w:rPr>
          <w:rFonts w:ascii="Times New Roman" w:hAnsi="Times New Roman"/>
          <w:sz w:val="24"/>
        </w:rPr>
        <w:t>FinCEN estimates that a person who files a Real Estate Report that is also a party to a designation agreement will incur a three-hour reporting burden.  FinCEN further estimates the reporting person would incur a recordkeeping time burden of one hour and five minutes per response and a $0.20 technology cost.</w:t>
      </w:r>
      <w:r>
        <w:rPr>
          <w:rStyle w:val="FootnoteReference"/>
          <w:rFonts w:ascii="Times New Roman" w:hAnsi="Times New Roman" w:eastAsiaTheme="majorEastAsia"/>
          <w:szCs w:val="20"/>
          <w:vertAlign w:val="superscript"/>
        </w:rPr>
        <w:footnoteReference w:id="20"/>
      </w:r>
      <w:r w:rsidRPr="00EF518B">
        <w:rPr>
          <w:rFonts w:ascii="Times New Roman" w:hAnsi="Times New Roman"/>
          <w:sz w:val="24"/>
        </w:rPr>
        <w:t xml:space="preserve">  As such, the total cost to the reporting person per response is estimated to be approximately $</w:t>
      </w:r>
      <w:r w:rsidRPr="00EF518B" w:rsidR="00EE098F">
        <w:rPr>
          <w:rFonts w:ascii="Times New Roman" w:hAnsi="Times New Roman"/>
          <w:sz w:val="24"/>
        </w:rPr>
        <w:t>628.39</w:t>
      </w:r>
      <w:r w:rsidRPr="00EF518B">
        <w:rPr>
          <w:rFonts w:ascii="Times New Roman" w:hAnsi="Times New Roman"/>
          <w:sz w:val="24"/>
        </w:rPr>
        <w:t>.</w:t>
      </w:r>
      <w:r>
        <w:rPr>
          <w:rStyle w:val="FootnoteReference"/>
          <w:rFonts w:ascii="Times New Roman" w:hAnsi="Times New Roman"/>
          <w:sz w:val="24"/>
          <w:vertAlign w:val="superscript"/>
        </w:rPr>
        <w:footnoteReference w:id="21"/>
      </w:r>
      <w:r w:rsidRPr="00EF518B">
        <w:rPr>
          <w:rFonts w:ascii="Times New Roman" w:hAnsi="Times New Roman"/>
          <w:sz w:val="24"/>
        </w:rPr>
        <w:t xml:space="preserve"> </w:t>
      </w:r>
    </w:p>
    <w:p w:rsidR="00726E45" w:rsidRPr="00EF518B" w:rsidP="00801104" w14:paraId="0F21F472" w14:textId="542D0190">
      <w:pPr>
        <w:widowControl/>
        <w:tabs>
          <w:tab w:val="left" w:pos="7080"/>
        </w:tabs>
        <w:spacing w:after="240"/>
        <w:ind w:firstLine="720"/>
        <w:rPr>
          <w:rFonts w:ascii="Times New Roman" w:hAnsi="Times New Roman"/>
          <w:i/>
          <w:iCs/>
          <w:sz w:val="24"/>
        </w:rPr>
      </w:pPr>
      <w:r w:rsidRPr="00EF518B">
        <w:rPr>
          <w:rFonts w:ascii="Times New Roman" w:hAnsi="Times New Roman"/>
          <w:i/>
          <w:iCs/>
          <w:sz w:val="24"/>
        </w:rPr>
        <w:t>Per Response Cost to Non-Reporting Persons</w:t>
      </w:r>
      <w:r w:rsidR="00801104">
        <w:rPr>
          <w:rFonts w:ascii="Times New Roman" w:hAnsi="Times New Roman"/>
          <w:i/>
          <w:iCs/>
          <w:sz w:val="24"/>
        </w:rPr>
        <w:tab/>
      </w:r>
    </w:p>
    <w:p w:rsidR="00726E45" w:rsidRPr="00EF518B" w:rsidP="00726E45" w14:paraId="24AB84B8" w14:textId="137E8620">
      <w:pPr>
        <w:widowControl/>
        <w:spacing w:after="240"/>
        <w:ind w:firstLine="720"/>
        <w:rPr>
          <w:rFonts w:ascii="Times New Roman" w:hAnsi="Times New Roman"/>
          <w:sz w:val="24"/>
        </w:rPr>
      </w:pPr>
      <w:r w:rsidRPr="00EF518B">
        <w:rPr>
          <w:rFonts w:ascii="Times New Roman" w:hAnsi="Times New Roman"/>
          <w:sz w:val="24"/>
        </w:rPr>
        <w:t>FinCEN believes the maximum number of non-reporting persons per response is four.</w:t>
      </w:r>
      <w:r>
        <w:rPr>
          <w:rStyle w:val="FootnoteReference"/>
          <w:rFonts w:ascii="Times New Roman" w:hAnsi="Times New Roman" w:eastAsiaTheme="majorEastAsia"/>
          <w:sz w:val="24"/>
          <w:vertAlign w:val="superscript"/>
        </w:rPr>
        <w:footnoteReference w:id="22"/>
      </w:r>
      <w:r w:rsidRPr="00EF518B">
        <w:rPr>
          <w:rFonts w:ascii="Times New Roman" w:hAnsi="Times New Roman"/>
          <w:sz w:val="24"/>
          <w:vertAlign w:val="superscript"/>
        </w:rPr>
        <w:t xml:space="preserve"> </w:t>
      </w:r>
      <w:r w:rsidRPr="00EF518B">
        <w:rPr>
          <w:rFonts w:ascii="Times New Roman" w:hAnsi="Times New Roman"/>
          <w:sz w:val="24"/>
        </w:rPr>
        <w:t xml:space="preserve"> Each such person is expected to incur a fifteen-minute reporting burden.  Each such person would also incur a five-minute recordkeeping time burden, as well as a $ 0.10 technology cost associated with the designation agreement; therefore, the total burden to each non-reporting person per response is twenty minutes and $ 0.10.  Assuming that each non-reporting person is paid an hourly wage that corresponds to a different primary business category, and assuming that the reporting person already incurs costs at the highest wage rate, this implies the non-reporting person individual cost burdens are as follows:  $</w:t>
      </w:r>
      <w:r w:rsidRPr="00EF518B" w:rsidR="00C66C1D">
        <w:rPr>
          <w:rFonts w:ascii="Times New Roman" w:hAnsi="Times New Roman"/>
          <w:sz w:val="24"/>
        </w:rPr>
        <w:t>26.55</w:t>
      </w:r>
      <w:r w:rsidRPr="00EF518B">
        <w:rPr>
          <w:rFonts w:ascii="Times New Roman" w:hAnsi="Times New Roman"/>
          <w:sz w:val="24"/>
        </w:rPr>
        <w:t xml:space="preserve"> (Settlement Agents); $</w:t>
      </w:r>
      <w:r w:rsidRPr="00EF518B" w:rsidR="00695828">
        <w:rPr>
          <w:rFonts w:ascii="Times New Roman" w:hAnsi="Times New Roman"/>
          <w:sz w:val="24"/>
        </w:rPr>
        <w:t>35.60</w:t>
      </w:r>
      <w:r w:rsidRPr="00EF518B">
        <w:rPr>
          <w:rFonts w:ascii="Times New Roman" w:hAnsi="Times New Roman"/>
          <w:sz w:val="24"/>
        </w:rPr>
        <w:t xml:space="preserve"> (Title Insurers); $</w:t>
      </w:r>
      <w:r w:rsidRPr="00EF518B" w:rsidR="00606AB6">
        <w:rPr>
          <w:rFonts w:ascii="Times New Roman" w:hAnsi="Times New Roman"/>
          <w:sz w:val="24"/>
        </w:rPr>
        <w:t>27.35</w:t>
      </w:r>
      <w:r w:rsidRPr="00EF518B">
        <w:rPr>
          <w:rFonts w:ascii="Times New Roman" w:hAnsi="Times New Roman"/>
          <w:sz w:val="24"/>
        </w:rPr>
        <w:t xml:space="preserve"> (Other Real Estate Services); and $</w:t>
      </w:r>
      <w:r w:rsidRPr="00EF518B" w:rsidR="00606AB6">
        <w:rPr>
          <w:rFonts w:ascii="Times New Roman" w:hAnsi="Times New Roman"/>
          <w:sz w:val="24"/>
        </w:rPr>
        <w:t>27.35</w:t>
      </w:r>
      <w:r w:rsidRPr="00EF518B">
        <w:rPr>
          <w:rFonts w:ascii="Times New Roman" w:hAnsi="Times New Roman"/>
          <w:sz w:val="24"/>
        </w:rPr>
        <w:t xml:space="preserve"> (Real Estate Agents and Brokers).</w:t>
      </w:r>
      <w:r>
        <w:rPr>
          <w:rStyle w:val="FootnoteReference"/>
          <w:rFonts w:ascii="Times New Roman" w:hAnsi="Times New Roman" w:eastAsiaTheme="majorEastAsia"/>
          <w:sz w:val="24"/>
          <w:vertAlign w:val="superscript"/>
        </w:rPr>
        <w:footnoteReference w:id="23"/>
      </w:r>
      <w:r w:rsidRPr="00EF518B">
        <w:rPr>
          <w:rFonts w:ascii="Times New Roman" w:hAnsi="Times New Roman"/>
          <w:sz w:val="24"/>
        </w:rPr>
        <w:t xml:space="preserve">  Therefore, the total per response cost to all non-reporting persons is expected to be</w:t>
      </w:r>
      <w:r w:rsidRPr="00EF518B" w:rsidR="007558AE">
        <w:rPr>
          <w:rFonts w:ascii="Times New Roman" w:hAnsi="Times New Roman"/>
          <w:sz w:val="24"/>
        </w:rPr>
        <w:t xml:space="preserve"> approximately</w:t>
      </w:r>
      <w:r w:rsidRPr="00EF518B">
        <w:rPr>
          <w:rFonts w:ascii="Times New Roman" w:hAnsi="Times New Roman"/>
          <w:sz w:val="24"/>
        </w:rPr>
        <w:t xml:space="preserve"> $</w:t>
      </w:r>
      <w:r w:rsidRPr="00EF518B" w:rsidR="00B9648C">
        <w:rPr>
          <w:rFonts w:ascii="Times New Roman" w:hAnsi="Times New Roman"/>
          <w:sz w:val="24"/>
        </w:rPr>
        <w:t>116.8</w:t>
      </w:r>
      <w:r w:rsidRPr="00EF518B" w:rsidR="00C064FA">
        <w:rPr>
          <w:rFonts w:ascii="Times New Roman" w:hAnsi="Times New Roman"/>
          <w:sz w:val="24"/>
        </w:rPr>
        <w:t>4</w:t>
      </w:r>
      <w:r w:rsidRPr="00EF518B">
        <w:rPr>
          <w:rFonts w:ascii="Times New Roman" w:hAnsi="Times New Roman"/>
          <w:sz w:val="24"/>
        </w:rPr>
        <w:t>.</w:t>
      </w:r>
      <w:r>
        <w:rPr>
          <w:rStyle w:val="FootnoteReference"/>
          <w:rFonts w:ascii="Times New Roman" w:hAnsi="Times New Roman"/>
          <w:sz w:val="24"/>
          <w:vertAlign w:val="superscript"/>
        </w:rPr>
        <w:footnoteReference w:id="24"/>
      </w:r>
    </w:p>
    <w:p w:rsidR="00726E45" w:rsidRPr="00EF518B" w:rsidP="00726E45" w14:paraId="630F4F5F" w14:textId="77777777">
      <w:pPr>
        <w:widowControl/>
        <w:spacing w:after="240"/>
        <w:ind w:left="720"/>
        <w:rPr>
          <w:rFonts w:ascii="Times New Roman" w:hAnsi="Times New Roman"/>
          <w:i/>
          <w:iCs/>
          <w:sz w:val="24"/>
        </w:rPr>
      </w:pPr>
      <w:r w:rsidRPr="00EF518B">
        <w:rPr>
          <w:rFonts w:ascii="Times New Roman" w:hAnsi="Times New Roman"/>
          <w:i/>
          <w:iCs/>
          <w:sz w:val="24"/>
        </w:rPr>
        <w:t>Total Cost per Response</w:t>
      </w:r>
    </w:p>
    <w:p w:rsidR="00FA2326" w:rsidRPr="00EF518B" w:rsidP="00FA2326" w14:paraId="307A4BC0" w14:textId="34C69FF9">
      <w:pPr>
        <w:spacing w:after="240"/>
        <w:ind w:firstLine="720"/>
        <w:rPr>
          <w:rFonts w:ascii="Times New Roman" w:hAnsi="Times New Roman"/>
          <w:sz w:val="24"/>
        </w:rPr>
      </w:pPr>
      <w:r w:rsidRPr="00EF518B">
        <w:rPr>
          <w:rFonts w:ascii="Times New Roman" w:hAnsi="Times New Roman"/>
          <w:sz w:val="24"/>
        </w:rPr>
        <w:t>The total cost per response estimate includes the burden to the reporting person ($628.3</w:t>
      </w:r>
      <w:r w:rsidRPr="00EF518B" w:rsidR="006A500C">
        <w:rPr>
          <w:rFonts w:ascii="Times New Roman" w:hAnsi="Times New Roman"/>
          <w:sz w:val="24"/>
        </w:rPr>
        <w:t>8</w:t>
      </w:r>
      <w:r>
        <w:rPr>
          <w:rStyle w:val="FootnoteReference"/>
          <w:rFonts w:ascii="Times New Roman" w:hAnsi="Times New Roman"/>
          <w:sz w:val="24"/>
          <w:vertAlign w:val="superscript"/>
        </w:rPr>
        <w:footnoteReference w:id="25"/>
      </w:r>
      <w:r w:rsidRPr="00EF518B">
        <w:rPr>
          <w:rFonts w:ascii="Times New Roman" w:hAnsi="Times New Roman"/>
          <w:sz w:val="24"/>
        </w:rPr>
        <w:t>) and four non-reporting persons ($116.8</w:t>
      </w:r>
      <w:r w:rsidRPr="00EF518B" w:rsidR="00694379">
        <w:rPr>
          <w:rFonts w:ascii="Times New Roman" w:hAnsi="Times New Roman"/>
          <w:sz w:val="24"/>
        </w:rPr>
        <w:t>4</w:t>
      </w:r>
      <w:r w:rsidRPr="00EF518B">
        <w:rPr>
          <w:rFonts w:ascii="Times New Roman" w:hAnsi="Times New Roman"/>
          <w:sz w:val="24"/>
        </w:rPr>
        <w:t>).  The total cost per response is thus expected to be, at maximum, approximately $745.2</w:t>
      </w:r>
      <w:r w:rsidRPr="00EF518B" w:rsidR="00694379">
        <w:rPr>
          <w:rFonts w:ascii="Times New Roman" w:hAnsi="Times New Roman"/>
          <w:sz w:val="24"/>
        </w:rPr>
        <w:t>2</w:t>
      </w:r>
      <w:r w:rsidRPr="00EF518B">
        <w:rPr>
          <w:rFonts w:ascii="Times New Roman" w:hAnsi="Times New Roman"/>
          <w:sz w:val="24"/>
        </w:rPr>
        <w:t>.</w:t>
      </w:r>
    </w:p>
    <w:p w:rsidR="00726E45" w:rsidRPr="00EF518B" w:rsidP="00726E45" w14:paraId="03501C89" w14:textId="77777777">
      <w:pPr>
        <w:spacing w:after="240"/>
        <w:rPr>
          <w:rFonts w:ascii="Times New Roman" w:hAnsi="Times New Roman"/>
          <w:sz w:val="24"/>
        </w:rPr>
      </w:pPr>
      <w:r w:rsidRPr="00EF518B">
        <w:rPr>
          <w:rFonts w:ascii="Times New Roman" w:hAnsi="Times New Roman"/>
          <w:sz w:val="24"/>
        </w:rPr>
        <w:t xml:space="preserve">14. </w:t>
      </w:r>
      <w:r w:rsidRPr="00EF518B">
        <w:rPr>
          <w:rFonts w:ascii="Times New Roman" w:hAnsi="Times New Roman"/>
          <w:sz w:val="24"/>
          <w:u w:val="single"/>
        </w:rPr>
        <w:t>Estimated annual cost to the Federal government.</w:t>
      </w:r>
      <w:r w:rsidRPr="00EF518B">
        <w:rPr>
          <w:rFonts w:ascii="Times New Roman" w:hAnsi="Times New Roman"/>
          <w:sz w:val="24"/>
        </w:rPr>
        <w:t xml:space="preserve"> </w:t>
      </w:r>
    </w:p>
    <w:p w:rsidR="00726E45" w:rsidRPr="00EF518B" w:rsidP="00726E45" w14:paraId="3363782E" w14:textId="5885AF3A">
      <w:pPr>
        <w:spacing w:after="240"/>
        <w:ind w:firstLine="720"/>
      </w:pPr>
      <w:r w:rsidRPr="00EF518B">
        <w:rPr>
          <w:rFonts w:ascii="Times New Roman" w:hAnsi="Times New Roman"/>
          <w:sz w:val="24"/>
        </w:rPr>
        <w:t>To implement the rule, FinCEN expects to incur certain operating costs that would include approximately $8.5 million in the first year and approximately $7 million each year thereafter.  These estimates include anticipated novel expenses related to technological implementation, stakeholder outreach and informational support, compliance monitoring, and potential enforcement activities</w:t>
      </w:r>
      <w:r w:rsidRPr="00EF518B" w:rsidR="009B5282">
        <w:rPr>
          <w:rFonts w:ascii="Times New Roman" w:hAnsi="Times New Roman"/>
          <w:sz w:val="24"/>
        </w:rPr>
        <w:t>,</w:t>
      </w:r>
      <w:r w:rsidRPr="00EF518B">
        <w:rPr>
          <w:rFonts w:ascii="Times New Roman" w:hAnsi="Times New Roman"/>
          <w:sz w:val="24"/>
        </w:rPr>
        <w:t xml:space="preserve"> as well as certain incremental increases to existing administrative and logistic expenses.  Technological implementation for a new reporting form contemplates expenses related to development, operations, and maintenance of system infrastructure, including design, deployment, and support, such as a help desk.  It includes an anticipated processing cost of $0.10 per submitted report.</w:t>
      </w:r>
    </w:p>
    <w:p w:rsidR="00726E45" w:rsidRPr="00EF518B" w:rsidP="00726E45" w14:paraId="0A065056" w14:textId="77777777">
      <w:pPr>
        <w:spacing w:after="240"/>
        <w:rPr>
          <w:szCs w:val="22"/>
        </w:rPr>
      </w:pPr>
      <w:r w:rsidRPr="00EF518B">
        <w:rPr>
          <w:rFonts w:ascii="Times New Roman" w:hAnsi="Times New Roman"/>
          <w:sz w:val="24"/>
        </w:rPr>
        <w:t xml:space="preserve">15. </w:t>
      </w:r>
      <w:r w:rsidRPr="00EF518B">
        <w:rPr>
          <w:rFonts w:ascii="Times New Roman" w:hAnsi="Times New Roman"/>
          <w:sz w:val="24"/>
          <w:u w:val="single"/>
        </w:rPr>
        <w:t>Reason for change in burden.</w:t>
      </w:r>
    </w:p>
    <w:p w:rsidR="00726E45" w:rsidRPr="00EF518B" w:rsidP="00726E45" w14:paraId="2F44B2A2" w14:textId="72E99BF0">
      <w:pPr>
        <w:spacing w:after="240"/>
        <w:ind w:firstLine="720"/>
        <w:rPr>
          <w:rFonts w:ascii="Times New Roman" w:hAnsi="Times New Roman"/>
          <w:sz w:val="24"/>
        </w:rPr>
      </w:pPr>
      <w:r w:rsidRPr="00EF518B">
        <w:rPr>
          <w:rFonts w:ascii="Times New Roman" w:hAnsi="Times New Roman"/>
          <w:sz w:val="24"/>
        </w:rPr>
        <w:t xml:space="preserve">This is </w:t>
      </w:r>
      <w:r w:rsidRPr="00EF518B" w:rsidR="009C5750">
        <w:rPr>
          <w:rFonts w:ascii="Times New Roman" w:hAnsi="Times New Roman"/>
          <w:sz w:val="24"/>
        </w:rPr>
        <w:t xml:space="preserve">a </w:t>
      </w:r>
      <w:r w:rsidRPr="00EF518B">
        <w:rPr>
          <w:rFonts w:ascii="Times New Roman" w:hAnsi="Times New Roman"/>
          <w:sz w:val="24"/>
        </w:rPr>
        <w:t>new collection.</w:t>
      </w:r>
    </w:p>
    <w:p w:rsidR="00726E45" w:rsidRPr="00EF518B" w:rsidP="00726E45" w14:paraId="7985BDF3" w14:textId="77777777">
      <w:pPr>
        <w:spacing w:after="240"/>
        <w:rPr>
          <w:rFonts w:ascii="Times New Roman" w:hAnsi="Times New Roman"/>
          <w:sz w:val="24"/>
        </w:rPr>
      </w:pPr>
      <w:r w:rsidRPr="00EF518B">
        <w:rPr>
          <w:rFonts w:ascii="Times New Roman" w:hAnsi="Times New Roman"/>
          <w:sz w:val="24"/>
        </w:rPr>
        <w:t xml:space="preserve">16. </w:t>
      </w:r>
      <w:r w:rsidRPr="00EF518B">
        <w:rPr>
          <w:rFonts w:ascii="Times New Roman" w:hAnsi="Times New Roman"/>
          <w:sz w:val="24"/>
          <w:u w:val="single"/>
        </w:rPr>
        <w:t>Plans for tabulation, statistical analysis, and publication.</w:t>
      </w:r>
      <w:r w:rsidRPr="00EF518B">
        <w:rPr>
          <w:rFonts w:ascii="Times New Roman" w:hAnsi="Times New Roman"/>
          <w:sz w:val="24"/>
        </w:rPr>
        <w:t xml:space="preserve"> </w:t>
      </w:r>
    </w:p>
    <w:p w:rsidR="00726E45" w:rsidRPr="00EF518B" w:rsidP="00726E45" w14:paraId="1AD50FF6" w14:textId="77777777">
      <w:pPr>
        <w:spacing w:after="240"/>
        <w:ind w:firstLine="720"/>
        <w:rPr>
          <w:rFonts w:ascii="Times New Roman" w:hAnsi="Times New Roman"/>
          <w:sz w:val="24"/>
        </w:rPr>
      </w:pPr>
      <w:r w:rsidRPr="00EF518B">
        <w:rPr>
          <w:rFonts w:ascii="Times New Roman" w:hAnsi="Times New Roman"/>
          <w:sz w:val="24"/>
        </w:rPr>
        <w:t>The information will not be tabulated or compiled for publication.</w:t>
      </w:r>
    </w:p>
    <w:p w:rsidR="00726E45" w:rsidRPr="00EF518B" w:rsidP="00726E45" w14:paraId="7AD20D6E" w14:textId="77777777">
      <w:pPr>
        <w:spacing w:after="240"/>
        <w:rPr>
          <w:rFonts w:ascii="Times New Roman" w:hAnsi="Times New Roman"/>
          <w:sz w:val="24"/>
          <w:u w:val="single"/>
        </w:rPr>
      </w:pPr>
      <w:r w:rsidRPr="00EF518B">
        <w:rPr>
          <w:rFonts w:ascii="Times New Roman" w:hAnsi="Times New Roman"/>
          <w:sz w:val="24"/>
        </w:rPr>
        <w:t xml:space="preserve">17. </w:t>
      </w:r>
      <w:r w:rsidRPr="00EF518B">
        <w:rPr>
          <w:rFonts w:ascii="Times New Roman" w:hAnsi="Times New Roman"/>
          <w:sz w:val="24"/>
          <w:u w:val="single"/>
        </w:rPr>
        <w:t>Request not to display the expiration date of the OMB control number.</w:t>
      </w:r>
    </w:p>
    <w:p w:rsidR="00726E45" w:rsidRPr="00EF518B" w:rsidP="00726E45" w14:paraId="675A3696" w14:textId="77777777">
      <w:pPr>
        <w:spacing w:after="240"/>
        <w:ind w:firstLine="720"/>
        <w:rPr>
          <w:rFonts w:ascii="Times New Roman" w:hAnsi="Times New Roman"/>
          <w:sz w:val="24"/>
        </w:rPr>
      </w:pPr>
      <w:r w:rsidRPr="00EF518B">
        <w:rPr>
          <w:rFonts w:ascii="Times New Roman" w:hAnsi="Times New Roman"/>
          <w:sz w:val="24"/>
        </w:rPr>
        <w:t xml:space="preserve">FinCEN requests that it not be required to display the expiration date so that the regulations will not have to be amended for the new expiration date every three years.  </w:t>
      </w:r>
    </w:p>
    <w:p w:rsidR="00726E45" w:rsidRPr="00EF518B" w:rsidP="00726E45" w14:paraId="0AECFBA0" w14:textId="77777777">
      <w:pPr>
        <w:spacing w:after="240"/>
        <w:rPr>
          <w:rFonts w:ascii="Times New Roman" w:hAnsi="Times New Roman"/>
          <w:sz w:val="24"/>
          <w:u w:val="single"/>
        </w:rPr>
      </w:pPr>
      <w:r w:rsidRPr="00EF518B">
        <w:rPr>
          <w:rFonts w:ascii="Times New Roman" w:hAnsi="Times New Roman"/>
          <w:sz w:val="24"/>
        </w:rPr>
        <w:t xml:space="preserve">18. </w:t>
      </w:r>
      <w:r w:rsidRPr="00EF518B">
        <w:rPr>
          <w:rFonts w:ascii="Times New Roman" w:hAnsi="Times New Roman"/>
          <w:sz w:val="24"/>
          <w:u w:val="single"/>
        </w:rPr>
        <w:t>Exceptions to the certification statement.</w:t>
      </w:r>
    </w:p>
    <w:p w:rsidR="00726E45" w:rsidP="00730342" w14:paraId="7B263866" w14:textId="49A41CE2">
      <w:pPr>
        <w:spacing w:after="240"/>
        <w:ind w:firstLine="720"/>
        <w:rPr>
          <w:rFonts w:ascii="Times New Roman" w:hAnsi="Times New Roman"/>
          <w:sz w:val="24"/>
        </w:rPr>
      </w:pPr>
      <w:r w:rsidRPr="00EF518B">
        <w:rPr>
          <w:rFonts w:ascii="Times New Roman" w:hAnsi="Times New Roman"/>
          <w:sz w:val="24"/>
        </w:rPr>
        <w:t>There are no exceptions to the certification statement.</w:t>
      </w:r>
      <w:r>
        <w:rPr>
          <w:rFonts w:ascii="Times New Roman" w:hAnsi="Times New Roman"/>
          <w:sz w:val="24"/>
        </w:rPr>
        <w:t xml:space="preserve"> </w:t>
      </w:r>
    </w:p>
    <w:p w:rsidR="00726E45" w:rsidP="00726E45" w14:paraId="044EAADA" w14:textId="77777777"/>
    <w:p w:rsidR="002B2D3F" w14:paraId="2E880ED4" w14:textId="77777777"/>
    <w:sectPr w:rsidSect="00726E45">
      <w:endnotePr>
        <w:numFmt w:val="decimal"/>
      </w:endnotePr>
      <w:type w:val="continuous"/>
      <w:pgSz w:w="12240" w:h="15840"/>
      <w:pgMar w:top="1440" w:right="117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6814729"/>
      <w:docPartObj>
        <w:docPartGallery w:val="Page Numbers (Bottom of Page)"/>
        <w:docPartUnique/>
      </w:docPartObj>
    </w:sdtPr>
    <w:sdtEndPr>
      <w:rPr>
        <w:noProof/>
        <w:sz w:val="24"/>
      </w:rPr>
    </w:sdtEndPr>
    <w:sdtContent>
      <w:p w:rsidR="00726E45" w:rsidRPr="007C2AE9" w14:paraId="23A14D29" w14:textId="77777777">
        <w:pPr>
          <w:pStyle w:val="Footer"/>
          <w:jc w:val="center"/>
          <w:rPr>
            <w:sz w:val="24"/>
          </w:rPr>
        </w:pPr>
        <w:r w:rsidRPr="007C2AE9">
          <w:rPr>
            <w:rFonts w:ascii="Times New Roman" w:hAnsi="Times New Roman"/>
            <w:sz w:val="24"/>
          </w:rPr>
          <w:fldChar w:fldCharType="begin"/>
        </w:r>
        <w:r w:rsidRPr="007C2AE9">
          <w:rPr>
            <w:rFonts w:ascii="Times New Roman" w:hAnsi="Times New Roman"/>
            <w:sz w:val="24"/>
          </w:rPr>
          <w:instrText xml:space="preserve"> PAGE   \* MERGEFORMAT </w:instrText>
        </w:r>
        <w:r w:rsidRPr="007C2AE9">
          <w:rPr>
            <w:rFonts w:ascii="Times New Roman" w:hAnsi="Times New Roman"/>
            <w:sz w:val="24"/>
          </w:rPr>
          <w:fldChar w:fldCharType="separate"/>
        </w:r>
        <w:r w:rsidRPr="007C2AE9">
          <w:rPr>
            <w:rFonts w:ascii="Times New Roman" w:hAnsi="Times New Roman"/>
            <w:noProof/>
            <w:sz w:val="24"/>
          </w:rPr>
          <w:t>6</w:t>
        </w:r>
        <w:r w:rsidRPr="007C2AE9">
          <w:rPr>
            <w:rFonts w:ascii="Times New Roman" w:hAnsi="Times New Roman"/>
            <w:noProof/>
            <w:sz w:val="24"/>
          </w:rPr>
          <w:fldChar w:fldCharType="end"/>
        </w:r>
      </w:p>
    </w:sdtContent>
  </w:sdt>
  <w:p w:rsidR="00726E45" w:rsidRPr="00263667" w14:paraId="7E19EE10"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26C17" w:rsidP="00726E45" w14:paraId="015910E0" w14:textId="77777777">
      <w:r>
        <w:separator/>
      </w:r>
    </w:p>
  </w:footnote>
  <w:footnote w:type="continuationSeparator" w:id="1">
    <w:p w:rsidR="00E26C17" w:rsidP="00726E45" w14:paraId="167BDBC5" w14:textId="77777777">
      <w:r>
        <w:continuationSeparator/>
      </w:r>
    </w:p>
  </w:footnote>
  <w:footnote w:type="continuationNotice" w:id="2">
    <w:p w:rsidR="00E26C17" w14:paraId="3E6995E5" w14:textId="77777777"/>
  </w:footnote>
  <w:footnote w:id="3">
    <w:p w:rsidR="00726E45" w:rsidRPr="00A37BDD" w:rsidP="00726E45" w14:paraId="0214B593" w14:textId="652D4F93">
      <w:pPr>
        <w:pStyle w:val="FootnoteText"/>
        <w:rPr>
          <w:rFonts w:ascii="Times New Roman" w:hAnsi="Times New Roman"/>
        </w:rPr>
      </w:pPr>
      <w:r w:rsidRPr="00DA1CB8">
        <w:rPr>
          <w:rStyle w:val="FootnoteReference"/>
          <w:rFonts w:ascii="Times New Roman" w:hAnsi="Times New Roman" w:eastAsiaTheme="majorEastAsia"/>
          <w:vertAlign w:val="superscript"/>
        </w:rPr>
        <w:footnoteRef/>
      </w:r>
      <w:r w:rsidRPr="00F87DD3">
        <w:rPr>
          <w:rFonts w:ascii="Times New Roman" w:hAnsi="Times New Roman"/>
          <w:vertAlign w:val="superscript"/>
        </w:rPr>
        <w:t xml:space="preserve"> </w:t>
      </w:r>
      <w:r w:rsidRPr="00A37BDD">
        <w:rPr>
          <w:rFonts w:ascii="Times New Roman" w:hAnsi="Times New Roman"/>
        </w:rPr>
        <w:t xml:space="preserve">The AML Act was enacted </w:t>
      </w:r>
      <w:r w:rsidR="004B1E22">
        <w:rPr>
          <w:rFonts w:ascii="Times New Roman" w:hAnsi="Times New Roman"/>
        </w:rPr>
        <w:t xml:space="preserve">U.S. Department of the Treasury, </w:t>
      </w:r>
      <w:r w:rsidRPr="00A37BDD">
        <w:rPr>
          <w:rFonts w:ascii="Times New Roman" w:hAnsi="Times New Roman"/>
        </w:rPr>
        <w:t>as Division F, §§ 6001-6511, of the William M. (Mac) Thornberry National</w:t>
      </w:r>
      <w:r w:rsidR="009D234F">
        <w:rPr>
          <w:rFonts w:ascii="Times New Roman" w:hAnsi="Times New Roman"/>
        </w:rPr>
        <w:t xml:space="preserve"> </w:t>
      </w:r>
      <w:r w:rsidRPr="00A37BDD">
        <w:rPr>
          <w:rFonts w:ascii="Times New Roman" w:hAnsi="Times New Roman"/>
        </w:rPr>
        <w:t>Defense Authorization Act for Fiscal Year 2021, Pub. L. 116-283, 134 Stat 3388 (2021).</w:t>
      </w:r>
    </w:p>
  </w:footnote>
  <w:footnote w:id="4">
    <w:p w:rsidR="00726E45" w:rsidRPr="00A37BDD" w:rsidP="00726E45" w14:paraId="6F8675BB" w14:textId="77777777">
      <w:pPr>
        <w:pStyle w:val="FootnoteText"/>
        <w:rPr>
          <w:rFonts w:ascii="Times New Roman" w:hAnsi="Times New Roman"/>
        </w:rPr>
      </w:pPr>
      <w:r w:rsidRPr="00DA1CB8">
        <w:rPr>
          <w:rStyle w:val="FootnoteReference"/>
          <w:rFonts w:ascii="Times New Roman" w:hAnsi="Times New Roman" w:eastAsiaTheme="majorEastAsia"/>
          <w:vertAlign w:val="superscript"/>
        </w:rPr>
        <w:footnoteRef/>
      </w:r>
      <w:r w:rsidRPr="00A37BDD">
        <w:rPr>
          <w:rFonts w:ascii="Times New Roman" w:hAnsi="Times New Roman"/>
        </w:rPr>
        <w:t xml:space="preserve"> 31 U.S.C. 5311(1).</w:t>
      </w:r>
    </w:p>
  </w:footnote>
  <w:footnote w:id="5">
    <w:p w:rsidR="00726E45" w:rsidRPr="00A37BDD" w:rsidP="00726E45" w14:paraId="145F8305" w14:textId="11483373">
      <w:pPr>
        <w:pStyle w:val="FootnoteText"/>
        <w:rPr>
          <w:rFonts w:ascii="Times New Roman" w:hAnsi="Times New Roman"/>
          <w:color w:val="000000" w:themeColor="text1"/>
        </w:rPr>
      </w:pPr>
      <w:r w:rsidRPr="00DA1CB8">
        <w:rPr>
          <w:rStyle w:val="FootnoteReference"/>
          <w:rFonts w:ascii="Times New Roman" w:hAnsi="Times New Roman" w:eastAsiaTheme="majorEastAsia"/>
          <w:color w:val="000000" w:themeColor="text1"/>
          <w:vertAlign w:val="superscript"/>
        </w:rPr>
        <w:footnoteRef/>
      </w:r>
      <w:r w:rsidRPr="00DA1CB8">
        <w:rPr>
          <w:rFonts w:ascii="Times New Roman" w:hAnsi="Times New Roman"/>
          <w:color w:val="000000" w:themeColor="text1"/>
        </w:rPr>
        <w:t xml:space="preserve"> </w:t>
      </w:r>
      <w:r w:rsidRPr="00DA1CB8">
        <w:rPr>
          <w:rFonts w:ascii="Times New Roman" w:hAnsi="Times New Roman"/>
          <w:color w:val="000000" w:themeColor="text1"/>
          <w:vertAlign w:val="superscript"/>
        </w:rPr>
        <w:t xml:space="preserve"> </w:t>
      </w:r>
      <w:r w:rsidRPr="00A37BDD">
        <w:rPr>
          <w:rFonts w:ascii="Times New Roman" w:hAnsi="Times New Roman"/>
          <w:color w:val="000000" w:themeColor="text1"/>
        </w:rPr>
        <w:t>Treasury Order 180–01 (Jan. 14, 2020)</w:t>
      </w:r>
      <w:r w:rsidR="001B53AE">
        <w:rPr>
          <w:rFonts w:ascii="Times New Roman" w:hAnsi="Times New Roman"/>
          <w:color w:val="000000" w:themeColor="text1"/>
        </w:rPr>
        <w:t xml:space="preserve">; </w:t>
      </w:r>
      <w:r w:rsidR="001B53AE">
        <w:rPr>
          <w:rFonts w:ascii="Times New Roman" w:hAnsi="Times New Roman"/>
          <w:i/>
          <w:iCs/>
          <w:color w:val="000000"/>
        </w:rPr>
        <w:t xml:space="preserve">see also </w:t>
      </w:r>
      <w:r w:rsidR="001B53AE">
        <w:rPr>
          <w:rFonts w:ascii="Times New Roman" w:hAnsi="Times New Roman"/>
          <w:color w:val="000000"/>
        </w:rPr>
        <w:t>31 U.S.C. 310(b)(2)(I) (providing that the Director of FinCEN “[a]</w:t>
      </w:r>
      <w:r w:rsidR="001B53AE">
        <w:rPr>
          <w:rFonts w:ascii="Times New Roman" w:hAnsi="Times New Roman"/>
          <w:color w:val="000000"/>
        </w:rPr>
        <w:t>dminister</w:t>
      </w:r>
      <w:r w:rsidR="001B53AE">
        <w:rPr>
          <w:rFonts w:ascii="Times New Roman" w:hAnsi="Times New Roman"/>
          <w:color w:val="000000"/>
        </w:rPr>
        <w:t xml:space="preserve"> the requirements of subchapter II of chapter 53 of this title, chapter 2 of title I of Public Law 91–508, and section 21 of the Federal Deposit Insurance Act, to the extent delegated such authority by the Secretary.”)</w:t>
      </w:r>
      <w:r w:rsidRPr="00A37BDD">
        <w:rPr>
          <w:rFonts w:ascii="Times New Roman" w:hAnsi="Times New Roman"/>
          <w:color w:val="000000" w:themeColor="text1"/>
        </w:rPr>
        <w:t>.</w:t>
      </w:r>
    </w:p>
  </w:footnote>
  <w:footnote w:id="6">
    <w:p w:rsidR="00726E45" w:rsidRPr="00DA1CB8" w:rsidP="00726E45" w14:paraId="2F321994" w14:textId="43E47AF4">
      <w:pPr>
        <w:pStyle w:val="FootnoteText"/>
        <w:rPr>
          <w:rFonts w:ascii="Times New Roman" w:hAnsi="Times New Roman"/>
        </w:rPr>
      </w:pPr>
      <w:r w:rsidRPr="00DA1CB8">
        <w:rPr>
          <w:rStyle w:val="FootnoteReference"/>
          <w:rFonts w:ascii="Times New Roman" w:hAnsi="Times New Roman" w:eastAsiaTheme="majorEastAsia"/>
          <w:vertAlign w:val="superscript"/>
        </w:rPr>
        <w:footnoteRef/>
      </w:r>
      <w:r w:rsidRPr="004147F1">
        <w:rPr>
          <w:rFonts w:ascii="Times New Roman" w:hAnsi="Times New Roman"/>
          <w:i/>
          <w:iCs/>
          <w:vertAlign w:val="superscript"/>
        </w:rPr>
        <w:t xml:space="preserve"> </w:t>
      </w:r>
      <w:r w:rsidRPr="004147F1">
        <w:rPr>
          <w:rFonts w:ascii="Times New Roman" w:hAnsi="Times New Roman"/>
          <w:i/>
          <w:iCs/>
        </w:rPr>
        <w:t>See</w:t>
      </w:r>
      <w:r w:rsidRPr="00DA1CB8">
        <w:rPr>
          <w:rFonts w:ascii="Times New Roman" w:hAnsi="Times New Roman"/>
        </w:rPr>
        <w:t xml:space="preserve"> </w:t>
      </w:r>
      <w:r>
        <w:rPr>
          <w:rFonts w:ascii="Times New Roman" w:hAnsi="Times New Roman"/>
        </w:rPr>
        <w:t xml:space="preserve">FinCEN, </w:t>
      </w:r>
      <w:r w:rsidRPr="001B53AE">
        <w:rPr>
          <w:rFonts w:ascii="Times New Roman" w:hAnsi="Times New Roman"/>
        </w:rPr>
        <w:t>FinCEN Renews Real Estate Geographic Targeting Orders</w:t>
      </w:r>
      <w:r w:rsidRPr="00DA1CB8">
        <w:rPr>
          <w:rFonts w:ascii="Times New Roman" w:hAnsi="Times New Roman"/>
        </w:rPr>
        <w:t xml:space="preserve"> (</w:t>
      </w:r>
      <w:r w:rsidR="00760624">
        <w:rPr>
          <w:rFonts w:ascii="Times New Roman" w:hAnsi="Times New Roman"/>
        </w:rPr>
        <w:t>Apr. 17, 2024</w:t>
      </w:r>
      <w:r>
        <w:rPr>
          <w:rFonts w:ascii="Times New Roman" w:hAnsi="Times New Roman"/>
        </w:rPr>
        <w:t>)</w:t>
      </w:r>
      <w:r w:rsidRPr="00DA1CB8">
        <w:rPr>
          <w:rFonts w:ascii="Times New Roman" w:hAnsi="Times New Roman"/>
        </w:rPr>
        <w:t xml:space="preserve">, </w:t>
      </w:r>
      <w:r>
        <w:rPr>
          <w:rFonts w:ascii="Times New Roman" w:hAnsi="Times New Roman"/>
          <w:i/>
          <w:iCs/>
        </w:rPr>
        <w:t>available at</w:t>
      </w:r>
      <w:r w:rsidR="00760624">
        <w:rPr>
          <w:rFonts w:ascii="Times New Roman" w:hAnsi="Times New Roman"/>
          <w:i/>
          <w:iCs/>
        </w:rPr>
        <w:t xml:space="preserve"> </w:t>
      </w:r>
      <w:hyperlink r:id="rId1" w:history="1">
        <w:r w:rsidRPr="0017335D" w:rsidR="001B53AE">
          <w:rPr>
            <w:rStyle w:val="Hyperlink"/>
            <w:rFonts w:ascii="Times New Roman" w:hAnsi="Times New Roman"/>
          </w:rPr>
          <w:t>https://www.fincen.gov/news/news-releases/fincen-renews-real-estate-geographic-targeting-orders</w:t>
        </w:r>
      </w:hyperlink>
      <w:r w:rsidRPr="00DA1CB8">
        <w:rPr>
          <w:rFonts w:ascii="Times New Roman" w:hAnsi="Times New Roman"/>
        </w:rPr>
        <w:t>.</w:t>
      </w:r>
      <w:r w:rsidR="001B53AE">
        <w:rPr>
          <w:rFonts w:ascii="Times New Roman" w:hAnsi="Times New Roman"/>
        </w:rPr>
        <w:t xml:space="preserve"> </w:t>
      </w:r>
    </w:p>
  </w:footnote>
  <w:footnote w:id="7">
    <w:p w:rsidR="00726E45" w:rsidRPr="00683ADD" w:rsidP="00726E45" w14:paraId="300C1689" w14:textId="05FBCFE9">
      <w:pPr>
        <w:pStyle w:val="FootnoteText"/>
      </w:pPr>
      <w:r w:rsidRPr="00DA1CB8">
        <w:rPr>
          <w:rStyle w:val="FootnoteReference"/>
          <w:rFonts w:ascii="Times New Roman" w:hAnsi="Times New Roman" w:eastAsiaTheme="majorEastAsia"/>
          <w:vertAlign w:val="superscript"/>
        </w:rPr>
        <w:footnoteRef/>
      </w:r>
      <w:r w:rsidRPr="00DA1CB8">
        <w:rPr>
          <w:rFonts w:ascii="Times New Roman" w:hAnsi="Times New Roman"/>
          <w:vertAlign w:val="superscript"/>
        </w:rPr>
        <w:t xml:space="preserve"> </w:t>
      </w:r>
      <w:r w:rsidRPr="00E97898">
        <w:rPr>
          <w:rFonts w:ascii="Times New Roman" w:hAnsi="Times New Roman"/>
        </w:rPr>
        <w:t xml:space="preserve">The BOI Reporting Rule implements the CTA’s reporting provisions.  In recognition of the fact that illicit actors frequently use corporate structures to obfuscate their identities and launder ill-gotten gains, the BOI Reporting Rule requires certain legal entities to file reports with FinCEN </w:t>
      </w:r>
      <w:r w:rsidR="008E5053">
        <w:rPr>
          <w:rFonts w:ascii="Times New Roman" w:hAnsi="Times New Roman"/>
        </w:rPr>
        <w:t xml:space="preserve">to </w:t>
      </w:r>
      <w:r w:rsidRPr="00E97898">
        <w:rPr>
          <w:rFonts w:ascii="Times New Roman" w:hAnsi="Times New Roman"/>
        </w:rPr>
        <w:t xml:space="preserve">identify their beneficial owners.  </w:t>
      </w:r>
      <w:r w:rsidRPr="00E97898">
        <w:rPr>
          <w:rFonts w:ascii="Times New Roman" w:hAnsi="Times New Roman"/>
          <w:i/>
          <w:iCs/>
        </w:rPr>
        <w:t>See</w:t>
      </w:r>
      <w:r w:rsidRPr="00E97898">
        <w:rPr>
          <w:rFonts w:ascii="Times New Roman" w:hAnsi="Times New Roman"/>
          <w:i/>
        </w:rPr>
        <w:t xml:space="preserve"> </w:t>
      </w:r>
      <w:r w:rsidRPr="00E97898">
        <w:rPr>
          <w:rFonts w:ascii="Times New Roman" w:hAnsi="Times New Roman"/>
        </w:rPr>
        <w:t>87 FR 59498</w:t>
      </w:r>
      <w:r w:rsidR="008E5053">
        <w:rPr>
          <w:rFonts w:ascii="Times New Roman" w:hAnsi="Times New Roman"/>
        </w:rPr>
        <w:t xml:space="preserve"> (Sept. 20, 2022)</w:t>
      </w:r>
      <w:r w:rsidRPr="00E97898">
        <w:rPr>
          <w:rFonts w:ascii="Times New Roman" w:hAnsi="Times New Roman"/>
        </w:rPr>
        <w:t xml:space="preserve">, </w:t>
      </w:r>
      <w:r>
        <w:rPr>
          <w:rFonts w:ascii="Times New Roman" w:hAnsi="Times New Roman"/>
          <w:i/>
          <w:iCs/>
        </w:rPr>
        <w:t xml:space="preserve">available at </w:t>
      </w:r>
      <w:hyperlink r:id="rId2" w:history="1">
        <w:r w:rsidRPr="0017335D" w:rsidR="001B53AE">
          <w:rPr>
            <w:rStyle w:val="Hyperlink"/>
            <w:rFonts w:ascii="Times New Roman" w:hAnsi="Times New Roman" w:eastAsiaTheme="majorEastAsia"/>
          </w:rPr>
          <w:t>https://www.federalregister.gov/documents/2022/09/30/2022-21020/beneficial-ownership-information-reporting-requirements</w:t>
        </w:r>
      </w:hyperlink>
      <w:r w:rsidRPr="00E97898">
        <w:rPr>
          <w:rFonts w:ascii="Times New Roman" w:hAnsi="Times New Roman"/>
        </w:rPr>
        <w:t>.</w:t>
      </w:r>
      <w:r w:rsidR="001B53AE">
        <w:rPr>
          <w:rFonts w:ascii="Times New Roman" w:hAnsi="Times New Roman"/>
        </w:rPr>
        <w:t xml:space="preserve"> </w:t>
      </w:r>
    </w:p>
  </w:footnote>
  <w:footnote w:id="8">
    <w:p w:rsidR="00726E45" w:rsidRPr="00FC0150" w:rsidP="00726E45" w14:paraId="5AC96274" w14:textId="51EFF939">
      <w:pPr>
        <w:pStyle w:val="FootnoteText"/>
        <w:rPr>
          <w:rFonts w:ascii="Times New Roman" w:hAnsi="Times New Roman"/>
        </w:rPr>
      </w:pPr>
      <w:r w:rsidRPr="000319CC">
        <w:rPr>
          <w:rStyle w:val="FootnoteReference"/>
          <w:rFonts w:ascii="Times New Roman" w:hAnsi="Times New Roman" w:eastAsiaTheme="majorEastAsia"/>
          <w:vertAlign w:val="superscript"/>
        </w:rPr>
        <w:footnoteRef/>
      </w:r>
      <w:r w:rsidRPr="000319CC">
        <w:rPr>
          <w:rFonts w:ascii="Times New Roman" w:hAnsi="Times New Roman"/>
          <w:vertAlign w:val="superscript"/>
        </w:rPr>
        <w:t xml:space="preserve"> </w:t>
      </w:r>
      <w:r w:rsidRPr="001B53AE">
        <w:rPr>
          <w:rFonts w:ascii="Times New Roman" w:hAnsi="Times New Roman"/>
        </w:rPr>
        <w:t xml:space="preserve">The White House, </w:t>
      </w:r>
      <w:r w:rsidRPr="0061272D">
        <w:rPr>
          <w:rFonts w:ascii="Times New Roman" w:hAnsi="Times New Roman"/>
          <w:i/>
          <w:iCs/>
        </w:rPr>
        <w:t>United States Strategy for Countering Corruption</w:t>
      </w:r>
      <w:r w:rsidRPr="001B53AE" w:rsidR="00CC4010">
        <w:rPr>
          <w:rFonts w:ascii="Times New Roman" w:hAnsi="Times New Roman"/>
        </w:rPr>
        <w:t>,</w:t>
      </w:r>
      <w:r w:rsidRPr="001B53AE">
        <w:rPr>
          <w:rFonts w:ascii="Times New Roman" w:hAnsi="Times New Roman"/>
        </w:rPr>
        <w:t xml:space="preserve"> </w:t>
      </w:r>
      <w:r w:rsidRPr="001B53AE" w:rsidR="00CC4010">
        <w:rPr>
          <w:rFonts w:ascii="Times New Roman" w:hAnsi="Times New Roman"/>
        </w:rPr>
        <w:t xml:space="preserve"> </w:t>
      </w:r>
      <w:r w:rsidRPr="001B53AE">
        <w:rPr>
          <w:rFonts w:ascii="Times New Roman" w:hAnsi="Times New Roman"/>
        </w:rPr>
        <w:t xml:space="preserve">(Dec. 2021), p. 22, </w:t>
      </w:r>
      <w:r w:rsidRPr="001B53AE">
        <w:rPr>
          <w:rFonts w:ascii="Times New Roman" w:hAnsi="Times New Roman"/>
          <w:i/>
          <w:iCs/>
        </w:rPr>
        <w:t xml:space="preserve">available at </w:t>
      </w:r>
      <w:hyperlink r:id="rId3" w:history="1">
        <w:r w:rsidRPr="0017335D" w:rsidR="001B53AE">
          <w:rPr>
            <w:rStyle w:val="Hyperlink"/>
            <w:rFonts w:ascii="Times New Roman" w:hAnsi="Times New Roman"/>
          </w:rPr>
          <w:t>https://www.whitehouse.gov/wp-content/uploads/2021/12/United-States-Strategy-on-Countering-Corruption.pdf</w:t>
        </w:r>
      </w:hyperlink>
      <w:r w:rsidRPr="001B53AE">
        <w:rPr>
          <w:rFonts w:ascii="Times New Roman" w:hAnsi="Times New Roman"/>
        </w:rPr>
        <w:t>;</w:t>
      </w:r>
      <w:r w:rsidR="001B53AE">
        <w:rPr>
          <w:rFonts w:ascii="Times New Roman" w:hAnsi="Times New Roman"/>
        </w:rPr>
        <w:t xml:space="preserve"> </w:t>
      </w:r>
      <w:r w:rsidRPr="001B53AE">
        <w:rPr>
          <w:rFonts w:ascii="Times New Roman" w:hAnsi="Times New Roman"/>
        </w:rPr>
        <w:t xml:space="preserve">U.S. Department of the Treasury, </w:t>
      </w:r>
      <w:r w:rsidRPr="0061272D">
        <w:rPr>
          <w:rFonts w:ascii="Times New Roman" w:hAnsi="Times New Roman"/>
          <w:i/>
          <w:iCs/>
        </w:rPr>
        <w:t>National Money Laundering Risk Assessment</w:t>
      </w:r>
      <w:r w:rsidRPr="001B53AE">
        <w:rPr>
          <w:rFonts w:ascii="Times New Roman" w:hAnsi="Times New Roman"/>
        </w:rPr>
        <w:t xml:space="preserve"> (Feb. 2022), p. </w:t>
      </w:r>
      <w:r w:rsidRPr="001B53AE" w:rsidR="00D744A2">
        <w:rPr>
          <w:rFonts w:ascii="Times New Roman" w:hAnsi="Times New Roman"/>
        </w:rPr>
        <w:t>1</w:t>
      </w:r>
      <w:r w:rsidRPr="001B53AE">
        <w:rPr>
          <w:rFonts w:ascii="Times New Roman" w:hAnsi="Times New Roman"/>
        </w:rPr>
        <w:t xml:space="preserve">, </w:t>
      </w:r>
      <w:r w:rsidRPr="001B53AE">
        <w:rPr>
          <w:rFonts w:ascii="Times New Roman" w:hAnsi="Times New Roman"/>
          <w:i/>
          <w:iCs/>
        </w:rPr>
        <w:t>available at</w:t>
      </w:r>
      <w:r w:rsidRPr="001B53AE">
        <w:rPr>
          <w:rFonts w:ascii="Times New Roman" w:hAnsi="Times New Roman"/>
        </w:rPr>
        <w:t xml:space="preserve"> </w:t>
      </w:r>
      <w:hyperlink r:id="rId4" w:history="1">
        <w:r w:rsidRPr="00255A4F" w:rsidR="009D234F">
          <w:rPr>
            <w:rStyle w:val="Hyperlink"/>
            <w:rFonts w:ascii="Times New Roman" w:hAnsi="Times New Roman"/>
          </w:rPr>
          <w:t>https://home.treasury.gov/system/files/136/2022-National-Money-Laundering-Risk-Assessment.pdf</w:t>
        </w:r>
      </w:hyperlink>
      <w:r w:rsidRPr="001B53AE" w:rsidR="00D744A2">
        <w:rPr>
          <w:rFonts w:ascii="Times New Roman" w:hAnsi="Times New Roman"/>
          <w:iCs/>
        </w:rPr>
        <w:t xml:space="preserve">; </w:t>
      </w:r>
      <w:r w:rsidRPr="001B53AE">
        <w:rPr>
          <w:rFonts w:ascii="Times New Roman" w:hAnsi="Times New Roman"/>
          <w:iCs/>
        </w:rPr>
        <w:t>Financial Action Task Force,</w:t>
      </w:r>
      <w:r w:rsidRPr="001B53AE">
        <w:rPr>
          <w:rFonts w:ascii="Times New Roman" w:hAnsi="Times New Roman"/>
          <w:i/>
        </w:rPr>
        <w:t xml:space="preserve"> </w:t>
      </w:r>
      <w:r w:rsidRPr="0061272D" w:rsidR="003642BA">
        <w:rPr>
          <w:rFonts w:ascii="Times New Roman" w:hAnsi="Times New Roman"/>
          <w:i/>
        </w:rPr>
        <w:t>Anti-</w:t>
      </w:r>
      <w:r w:rsidRPr="0061272D" w:rsidR="00622D29">
        <w:rPr>
          <w:rFonts w:ascii="Times New Roman" w:hAnsi="Times New Roman"/>
          <w:i/>
        </w:rPr>
        <w:t xml:space="preserve">money laundering and counter-terrorist financing measures - </w:t>
      </w:r>
      <w:r w:rsidRPr="0061272D">
        <w:rPr>
          <w:rFonts w:ascii="Times New Roman" w:hAnsi="Times New Roman"/>
          <w:i/>
        </w:rPr>
        <w:t xml:space="preserve">United States </w:t>
      </w:r>
      <w:r w:rsidRPr="0061272D" w:rsidR="00622D29">
        <w:rPr>
          <w:rFonts w:ascii="Times New Roman" w:hAnsi="Times New Roman"/>
          <w:i/>
        </w:rPr>
        <w:t xml:space="preserve">Fourth Round </w:t>
      </w:r>
      <w:r w:rsidRPr="0061272D">
        <w:rPr>
          <w:rFonts w:ascii="Times New Roman" w:hAnsi="Times New Roman"/>
          <w:i/>
        </w:rPr>
        <w:t>Mutual Evaluation Report</w:t>
      </w:r>
      <w:r w:rsidRPr="001B53AE">
        <w:rPr>
          <w:rFonts w:ascii="Times New Roman" w:hAnsi="Times New Roman"/>
        </w:rPr>
        <w:t xml:space="preserve"> (Dec. 2016), p. </w:t>
      </w:r>
      <w:r w:rsidRPr="001B53AE" w:rsidR="00EF7047">
        <w:rPr>
          <w:rFonts w:ascii="Times New Roman" w:hAnsi="Times New Roman"/>
        </w:rPr>
        <w:t>3</w:t>
      </w:r>
      <w:r w:rsidRPr="001B53AE">
        <w:rPr>
          <w:rFonts w:ascii="Times New Roman" w:hAnsi="Times New Roman"/>
        </w:rPr>
        <w:t xml:space="preserve">, </w:t>
      </w:r>
      <w:r w:rsidRPr="001B53AE">
        <w:rPr>
          <w:rFonts w:ascii="Times New Roman" w:hAnsi="Times New Roman"/>
          <w:i/>
          <w:iCs/>
        </w:rPr>
        <w:t>available at</w:t>
      </w:r>
      <w:r w:rsidRPr="001B53AE">
        <w:rPr>
          <w:rFonts w:ascii="Times New Roman" w:hAnsi="Times New Roman"/>
        </w:rPr>
        <w:t xml:space="preserve"> </w:t>
      </w:r>
      <w:hyperlink r:id="rId5" w:history="1">
        <w:r w:rsidRPr="0017335D" w:rsidR="001B53AE">
          <w:rPr>
            <w:rStyle w:val="Hyperlink"/>
            <w:rFonts w:ascii="Times New Roman" w:hAnsi="Times New Roman"/>
          </w:rPr>
          <w:t>https://www.fatf-gafi.org/content/dam/fatf-gafi/mer/MER-United-States-2016.pdf.coredownload.inline.pdf</w:t>
        </w:r>
      </w:hyperlink>
      <w:r w:rsidRPr="001B53AE">
        <w:rPr>
          <w:rFonts w:ascii="Times New Roman" w:hAnsi="Times New Roman"/>
        </w:rPr>
        <w:t>.</w:t>
      </w:r>
      <w:r w:rsidR="001B53AE">
        <w:rPr>
          <w:rFonts w:ascii="Times New Roman" w:hAnsi="Times New Roman"/>
        </w:rPr>
        <w:t xml:space="preserve"> </w:t>
      </w:r>
      <w:r w:rsidRPr="003642BA" w:rsidR="003642BA">
        <w:t xml:space="preserve"> </w:t>
      </w:r>
    </w:p>
  </w:footnote>
  <w:footnote w:id="9">
    <w:p w:rsidR="00726E45" w:rsidRPr="00FC0150" w:rsidP="00726E45" w14:paraId="7AD2F06D" w14:textId="1662A519">
      <w:pPr>
        <w:pStyle w:val="FootnoteText"/>
        <w:rPr>
          <w:rFonts w:ascii="Times New Roman" w:hAnsi="Times New Roman"/>
        </w:rPr>
      </w:pPr>
      <w:r w:rsidRPr="008219BA">
        <w:rPr>
          <w:rStyle w:val="FootnoteReference"/>
          <w:rFonts w:ascii="Times New Roman" w:hAnsi="Times New Roman" w:eastAsiaTheme="majorEastAsia"/>
          <w:vertAlign w:val="superscript"/>
        </w:rPr>
        <w:footnoteRef/>
      </w:r>
      <w:r w:rsidRPr="008219BA">
        <w:rPr>
          <w:rFonts w:ascii="Times New Roman" w:hAnsi="Times New Roman"/>
          <w:vertAlign w:val="superscript"/>
        </w:rPr>
        <w:t xml:space="preserve"> </w:t>
      </w:r>
      <w:r w:rsidRPr="00FC0150">
        <w:rPr>
          <w:rFonts w:ascii="Times New Roman" w:hAnsi="Times New Roman"/>
          <w:i/>
          <w:iCs/>
        </w:rPr>
        <w:t>See, e.g.,</w:t>
      </w:r>
      <w:r w:rsidRPr="00FC0150">
        <w:rPr>
          <w:rFonts w:ascii="Times New Roman" w:hAnsi="Times New Roman"/>
        </w:rPr>
        <w:t xml:space="preserve"> </w:t>
      </w:r>
      <w:r w:rsidRPr="0092708C">
        <w:rPr>
          <w:rFonts w:ascii="Times New Roman" w:hAnsi="Times New Roman"/>
        </w:rPr>
        <w:t>Richard Vanderf</w:t>
      </w:r>
      <w:r w:rsidRPr="009D234F">
        <w:rPr>
          <w:rFonts w:ascii="Times New Roman" w:hAnsi="Times New Roman"/>
        </w:rPr>
        <w:t>ord,</w:t>
      </w:r>
      <w:r w:rsidRPr="009D234F" w:rsidR="009D234F">
        <w:rPr>
          <w:rFonts w:ascii="Times New Roman" w:hAnsi="Times New Roman"/>
        </w:rPr>
        <w:t xml:space="preserve"> “</w:t>
      </w:r>
      <w:r w:rsidRPr="009D234F">
        <w:rPr>
          <w:rFonts w:ascii="Times New Roman" w:hAnsi="Times New Roman"/>
        </w:rPr>
        <w:t>Fraudulent Covid Aid Drove Up U.S. House Prices, Report Says,</w:t>
      </w:r>
      <w:r w:rsidRPr="009D234F" w:rsidR="009D234F">
        <w:rPr>
          <w:rFonts w:ascii="Times New Roman" w:hAnsi="Times New Roman"/>
        </w:rPr>
        <w:t>”</w:t>
      </w:r>
      <w:r w:rsidRPr="00FC0150">
        <w:rPr>
          <w:rFonts w:ascii="Times New Roman" w:hAnsi="Times New Roman"/>
        </w:rPr>
        <w:t xml:space="preserve"> </w:t>
      </w:r>
      <w:r w:rsidRPr="00FC0150">
        <w:rPr>
          <w:rFonts w:ascii="Times New Roman" w:hAnsi="Times New Roman"/>
          <w:i/>
          <w:iCs/>
        </w:rPr>
        <w:t>The Wall Street Journal</w:t>
      </w:r>
      <w:r w:rsidRPr="00FC0150">
        <w:rPr>
          <w:rFonts w:ascii="Times New Roman" w:hAnsi="Times New Roman"/>
        </w:rPr>
        <w:t xml:space="preserve"> (Jun</w:t>
      </w:r>
      <w:r>
        <w:rPr>
          <w:rFonts w:ascii="Times New Roman" w:hAnsi="Times New Roman"/>
        </w:rPr>
        <w:t>e</w:t>
      </w:r>
      <w:r w:rsidRPr="00FC0150">
        <w:rPr>
          <w:rFonts w:ascii="Times New Roman" w:hAnsi="Times New Roman"/>
        </w:rPr>
        <w:t xml:space="preserve"> 22, 2023)</w:t>
      </w:r>
      <w:r w:rsidR="001F48A1">
        <w:rPr>
          <w:rFonts w:ascii="Times New Roman" w:hAnsi="Times New Roman"/>
        </w:rPr>
        <w:t xml:space="preserve">, </w:t>
      </w:r>
      <w:r w:rsidRPr="001F48A1" w:rsidR="001F48A1">
        <w:rPr>
          <w:rFonts w:ascii="Times New Roman" w:hAnsi="Times New Roman"/>
          <w:i/>
          <w:iCs/>
        </w:rPr>
        <w:t>available at</w:t>
      </w:r>
      <w:r w:rsidR="001F48A1">
        <w:rPr>
          <w:rFonts w:ascii="Times New Roman" w:hAnsi="Times New Roman"/>
        </w:rPr>
        <w:t xml:space="preserve"> </w:t>
      </w:r>
      <w:hyperlink r:id="rId6" w:history="1">
        <w:r w:rsidRPr="00287472" w:rsidR="00926155">
          <w:rPr>
            <w:rStyle w:val="Hyperlink"/>
            <w:rFonts w:ascii="Times New Roman" w:hAnsi="Times New Roman"/>
          </w:rPr>
          <w:t>https://www.wsj.com/articles/fraudulent-covid-aid-drove-up-u-s-house-prices-report-says-bfef67fa</w:t>
        </w:r>
      </w:hyperlink>
      <w:r w:rsidR="00926155">
        <w:rPr>
          <w:rFonts w:ascii="Times New Roman" w:hAnsi="Times New Roman"/>
        </w:rPr>
        <w:t>.</w:t>
      </w:r>
      <w:r w:rsidRPr="00FC0150">
        <w:rPr>
          <w:rFonts w:ascii="Times New Roman" w:hAnsi="Times New Roman"/>
        </w:rPr>
        <w:t xml:space="preserve"> </w:t>
      </w:r>
    </w:p>
  </w:footnote>
  <w:footnote w:id="10">
    <w:p w:rsidR="00C50DEC" w:rsidRPr="00B21606" w14:paraId="11029CE5" w14:textId="01916E6D">
      <w:pPr>
        <w:pStyle w:val="FootnoteText"/>
        <w:rPr>
          <w:rFonts w:ascii="Times New Roman" w:hAnsi="Times New Roman"/>
        </w:rPr>
      </w:pPr>
      <w:r w:rsidRPr="00B21606">
        <w:rPr>
          <w:rStyle w:val="FootnoteReference"/>
          <w:rFonts w:ascii="Times New Roman" w:hAnsi="Times New Roman"/>
          <w:vertAlign w:val="superscript"/>
        </w:rPr>
        <w:footnoteRef/>
      </w:r>
      <w:r w:rsidRPr="00B21606">
        <w:rPr>
          <w:rFonts w:ascii="Times New Roman" w:hAnsi="Times New Roman"/>
          <w:vertAlign w:val="superscript"/>
        </w:rPr>
        <w:t xml:space="preserve"> </w:t>
      </w:r>
      <w:r w:rsidRPr="00B21606" w:rsidR="003E17D4">
        <w:rPr>
          <w:rFonts w:ascii="Times New Roman" w:hAnsi="Times New Roman"/>
        </w:rPr>
        <w:t xml:space="preserve">The comments can be found on </w:t>
      </w:r>
      <w:hyperlink r:id="rId7" w:history="1">
        <w:r w:rsidRPr="00B21606" w:rsidR="003E17D4">
          <w:rPr>
            <w:rStyle w:val="Hyperlink"/>
            <w:rFonts w:ascii="Times New Roman" w:hAnsi="Times New Roman"/>
          </w:rPr>
          <w:t>www.regulations.gov</w:t>
        </w:r>
      </w:hyperlink>
      <w:r w:rsidRPr="00B21606" w:rsidR="003E17D4">
        <w:rPr>
          <w:rFonts w:ascii="Times New Roman" w:hAnsi="Times New Roman"/>
        </w:rPr>
        <w:t xml:space="preserve"> under docket number FINCEN-202</w:t>
      </w:r>
      <w:r w:rsidRPr="00B21606" w:rsidR="00B21606">
        <w:rPr>
          <w:rFonts w:ascii="Times New Roman" w:hAnsi="Times New Roman"/>
        </w:rPr>
        <w:t xml:space="preserve">4-0005.  </w:t>
      </w:r>
      <w:r w:rsidRPr="000800CB" w:rsidR="00B21606">
        <w:rPr>
          <w:rFonts w:ascii="Times New Roman" w:hAnsi="Times New Roman"/>
          <w:i/>
          <w:iCs/>
        </w:rPr>
        <w:t>See</w:t>
      </w:r>
      <w:r w:rsidR="000800CB">
        <w:rPr>
          <w:rFonts w:ascii="Times New Roman" w:hAnsi="Times New Roman"/>
        </w:rPr>
        <w:t xml:space="preserve"> Regulations.gov, “</w:t>
      </w:r>
      <w:r w:rsidRPr="000800CB" w:rsidR="000800CB">
        <w:rPr>
          <w:rFonts w:ascii="Times New Roman" w:hAnsi="Times New Roman"/>
        </w:rPr>
        <w:t>Anti-Money Laundering Regulations for Residential Real Estate Transfers</w:t>
      </w:r>
      <w:r w:rsidR="000800CB">
        <w:rPr>
          <w:rFonts w:ascii="Times New Roman" w:hAnsi="Times New Roman"/>
        </w:rPr>
        <w:t xml:space="preserve">” (Feb. 16, 2024), </w:t>
      </w:r>
      <w:r w:rsidRPr="000800CB" w:rsidR="000800CB">
        <w:rPr>
          <w:rFonts w:ascii="Times New Roman" w:hAnsi="Times New Roman"/>
          <w:i/>
          <w:iCs/>
        </w:rPr>
        <w:t>available at</w:t>
      </w:r>
      <w:r w:rsidR="000800CB">
        <w:rPr>
          <w:rFonts w:ascii="Times New Roman" w:hAnsi="Times New Roman"/>
        </w:rPr>
        <w:t xml:space="preserve"> </w:t>
      </w:r>
      <w:hyperlink r:id="rId8" w:history="1">
        <w:r w:rsidRPr="00287472" w:rsidR="0034493C">
          <w:rPr>
            <w:rStyle w:val="Hyperlink"/>
            <w:rFonts w:ascii="Times New Roman" w:hAnsi="Times New Roman" w:eastAsiaTheme="majorEastAsia"/>
          </w:rPr>
          <w:t>https://www.regulations.gov/document/FINCEN-2024-0005-0001/comment</w:t>
        </w:r>
      </w:hyperlink>
      <w:r w:rsidR="0034493C">
        <w:rPr>
          <w:rFonts w:ascii="Times New Roman" w:hAnsi="Times New Roman" w:eastAsiaTheme="majorEastAsia"/>
        </w:rPr>
        <w:t>.</w:t>
      </w:r>
    </w:p>
    <w:p w:rsidR="00B21606" w:rsidRPr="00B21606" w14:paraId="64FB3C5C" w14:textId="77777777">
      <w:pPr>
        <w:pStyle w:val="FootnoteText"/>
        <w:rPr>
          <w:rFonts w:ascii="Times New Roman" w:hAnsi="Times New Roman"/>
        </w:rPr>
      </w:pPr>
    </w:p>
  </w:footnote>
  <w:footnote w:id="11">
    <w:p w:rsidR="00726E45" w:rsidRPr="001F7618" w:rsidP="00726E45" w14:paraId="095E8235" w14:textId="44B4BFA8">
      <w:pPr>
        <w:pStyle w:val="FootnoteText"/>
        <w:rPr>
          <w:rFonts w:ascii="Times New Roman" w:hAnsi="Times New Roman"/>
        </w:rPr>
      </w:pPr>
      <w:r w:rsidRPr="001F7618">
        <w:rPr>
          <w:rStyle w:val="FootnoteReference"/>
          <w:rFonts w:ascii="Times New Roman" w:hAnsi="Times New Roman" w:eastAsiaTheme="majorEastAsia"/>
          <w:vertAlign w:val="superscript"/>
        </w:rPr>
        <w:footnoteRef/>
      </w:r>
      <w:r w:rsidRPr="001F7618">
        <w:rPr>
          <w:rFonts w:ascii="Times New Roman" w:hAnsi="Times New Roman"/>
        </w:rPr>
        <w:t xml:space="preserve"> </w:t>
      </w:r>
      <w:r w:rsidRPr="00736ABA">
        <w:rPr>
          <w:rFonts w:ascii="Times New Roman" w:hAnsi="Times New Roman"/>
        </w:rPr>
        <w:t>79 FR 20969</w:t>
      </w:r>
      <w:r>
        <w:rPr>
          <w:rFonts w:ascii="Times New Roman" w:hAnsi="Times New Roman"/>
        </w:rPr>
        <w:t>, 20974</w:t>
      </w:r>
      <w:r w:rsidRPr="00736ABA">
        <w:rPr>
          <w:rFonts w:ascii="Times New Roman" w:hAnsi="Times New Roman"/>
        </w:rPr>
        <w:t xml:space="preserve"> (Apr. 14, 2014).</w:t>
      </w:r>
    </w:p>
  </w:footnote>
  <w:footnote w:id="12">
    <w:p w:rsidR="00726E45" w:rsidRPr="00766919" w:rsidP="00726E45" w14:paraId="09B5E16E" w14:textId="77777777">
      <w:pPr>
        <w:pStyle w:val="FootnoteText"/>
        <w:rPr>
          <w:rFonts w:ascii="Times New Roman" w:hAnsi="Times New Roman"/>
        </w:rPr>
      </w:pPr>
      <w:r w:rsidRPr="00766919">
        <w:rPr>
          <w:rStyle w:val="FootnoteReference"/>
          <w:rFonts w:ascii="Times New Roman" w:hAnsi="Times New Roman" w:eastAsiaTheme="majorEastAsia"/>
          <w:vertAlign w:val="superscript"/>
        </w:rPr>
        <w:footnoteRef/>
      </w:r>
      <w:r w:rsidRPr="00766919">
        <w:rPr>
          <w:rFonts w:ascii="Times New Roman" w:hAnsi="Times New Roman"/>
        </w:rPr>
        <w:t xml:space="preserve"> </w:t>
      </w:r>
      <w:r>
        <w:rPr>
          <w:rFonts w:ascii="Times New Roman" w:hAnsi="Times New Roman"/>
        </w:rPr>
        <w:t>This estimate</w:t>
      </w:r>
      <w:r w:rsidRPr="00766919">
        <w:rPr>
          <w:rFonts w:ascii="Times New Roman" w:hAnsi="Times New Roman"/>
        </w:rPr>
        <w:t xml:space="preserve"> is comprised of firms and their employees primarily engaged in business as defined by the following NAICS classifications (codes): Title Abstract and Settlement Offices (541191)</w:t>
      </w:r>
      <w:r>
        <w:rPr>
          <w:rFonts w:ascii="Times New Roman" w:hAnsi="Times New Roman"/>
        </w:rPr>
        <w:t>;</w:t>
      </w:r>
      <w:r w:rsidRPr="00766919">
        <w:rPr>
          <w:rFonts w:ascii="Times New Roman" w:hAnsi="Times New Roman"/>
        </w:rPr>
        <w:t xml:space="preserve"> Direct Title Insurance Carriers (524127)</w:t>
      </w:r>
      <w:r>
        <w:rPr>
          <w:rFonts w:ascii="Times New Roman" w:hAnsi="Times New Roman"/>
        </w:rPr>
        <w:t>;</w:t>
      </w:r>
      <w:r w:rsidRPr="00766919">
        <w:rPr>
          <w:rFonts w:ascii="Times New Roman" w:hAnsi="Times New Roman"/>
        </w:rPr>
        <w:t xml:space="preserve"> Other Activities Related to Real Estate (531390)</w:t>
      </w:r>
      <w:r>
        <w:rPr>
          <w:rFonts w:ascii="Times New Roman" w:hAnsi="Times New Roman"/>
        </w:rPr>
        <w:t>;</w:t>
      </w:r>
      <w:r w:rsidRPr="00766919">
        <w:rPr>
          <w:rFonts w:ascii="Times New Roman" w:hAnsi="Times New Roman"/>
        </w:rPr>
        <w:t xml:space="preserve"> Offices of Lawyers (541110)</w:t>
      </w:r>
      <w:r>
        <w:rPr>
          <w:rFonts w:ascii="Times New Roman" w:hAnsi="Times New Roman"/>
        </w:rPr>
        <w:t>;</w:t>
      </w:r>
      <w:r w:rsidRPr="00766919">
        <w:rPr>
          <w:rFonts w:ascii="Times New Roman" w:hAnsi="Times New Roman"/>
        </w:rPr>
        <w:t xml:space="preserve"> and Offices of Real Estate Agents and Brokers (531210).</w:t>
      </w:r>
    </w:p>
  </w:footnote>
  <w:footnote w:id="13">
    <w:p w:rsidR="00726E45" w:rsidRPr="00EF518B" w:rsidP="00726E45" w14:paraId="2195F8F4" w14:textId="19B34B24">
      <w:pPr>
        <w:pStyle w:val="FootnoteText"/>
        <w:rPr>
          <w:rFonts w:ascii="Times New Roman" w:hAnsi="Times New Roman"/>
        </w:rPr>
      </w:pPr>
      <w:r w:rsidRPr="00EF518B">
        <w:rPr>
          <w:rStyle w:val="FootnoteReference"/>
          <w:rFonts w:ascii="Times New Roman" w:hAnsi="Times New Roman" w:eastAsiaTheme="majorEastAsia"/>
          <w:vertAlign w:val="superscript"/>
        </w:rPr>
        <w:footnoteRef/>
      </w:r>
      <w:r w:rsidRPr="00EF518B">
        <w:rPr>
          <w:rFonts w:ascii="Times New Roman" w:hAnsi="Times New Roman"/>
        </w:rPr>
        <w:t xml:space="preserve"> The types of businesses involved in a real estate closing or settlement vary depending on the type of transaction and on the jurisdiction, and so the cascade of real estate professionals in 31 CFR 1031.320(c) is itemized to capture a broad array of potential businesses.  However, FinCEN believes that, for any transaction, the functions described in the first three tiers of the cascade would be performed by only one business, with no other separate business performing the other two functions.  FinCEN therefore treats the cascade as having five functional groupings, rather than the seven laid out in the rule. </w:t>
      </w:r>
    </w:p>
  </w:footnote>
  <w:footnote w:id="14">
    <w:p w:rsidR="009D234F" w:rsidRPr="00EF518B" w:rsidP="00726E45" w14:paraId="7329F74B" w14:textId="64F09D7F">
      <w:pPr>
        <w:pStyle w:val="FootnoteText"/>
        <w:rPr>
          <w:rFonts w:ascii="Times New Roman" w:hAnsi="Times New Roman"/>
        </w:rPr>
      </w:pPr>
      <w:r w:rsidRPr="00EF518B">
        <w:rPr>
          <w:rStyle w:val="FootnoteReference"/>
          <w:rFonts w:ascii="Times New Roman" w:hAnsi="Times New Roman" w:eastAsiaTheme="majorEastAsia"/>
          <w:vertAlign w:val="superscript"/>
        </w:rPr>
        <w:footnoteRef/>
      </w:r>
      <w:r w:rsidRPr="00EF518B">
        <w:rPr>
          <w:rFonts w:ascii="Times New Roman" w:hAnsi="Times New Roman"/>
          <w:vertAlign w:val="superscript"/>
        </w:rPr>
        <w:t xml:space="preserve"> </w:t>
      </w:r>
      <w:r w:rsidRPr="00EF518B">
        <w:rPr>
          <w:rFonts w:ascii="Times New Roman" w:hAnsi="Times New Roman"/>
        </w:rPr>
        <w:t xml:space="preserve"> The date of closing means the date on which the transferee entity or transferee trust receives an ownership interest in the residential real property.</w:t>
      </w:r>
    </w:p>
  </w:footnote>
  <w:footnote w:id="15">
    <w:p w:rsidR="00726E45" w:rsidRPr="00EF518B" w:rsidP="00726E45" w14:paraId="6B98F48D" w14:textId="676EBDD6">
      <w:pPr>
        <w:jc w:val="both"/>
        <w:rPr>
          <w:vertAlign w:val="superscript"/>
        </w:rPr>
      </w:pPr>
      <w:r w:rsidRPr="00EF518B">
        <w:rPr>
          <w:rStyle w:val="FootnoteReference"/>
          <w:rFonts w:ascii="Times New Roman" w:hAnsi="Times New Roman" w:eastAsiaTheme="majorEastAsia"/>
          <w:vertAlign w:val="superscript"/>
        </w:rPr>
        <w:footnoteRef/>
      </w:r>
      <w:r w:rsidRPr="00EF518B">
        <w:rPr>
          <w:rFonts w:ascii="Times New Roman" w:hAnsi="Times New Roman"/>
          <w:vertAlign w:val="superscript"/>
        </w:rPr>
        <w:t xml:space="preserve">  </w:t>
      </w:r>
      <w:r w:rsidRPr="00EF518B">
        <w:rPr>
          <w:rFonts w:ascii="Times New Roman" w:hAnsi="Times New Roman"/>
          <w:szCs w:val="20"/>
        </w:rPr>
        <w:t>The rule require</w:t>
      </w:r>
      <w:r w:rsidRPr="00EF518B" w:rsidR="00C22286">
        <w:rPr>
          <w:rFonts w:ascii="Times New Roman" w:hAnsi="Times New Roman"/>
          <w:szCs w:val="20"/>
        </w:rPr>
        <w:t>s</w:t>
      </w:r>
      <w:r w:rsidRPr="00EF518B">
        <w:rPr>
          <w:rFonts w:ascii="Times New Roman" w:hAnsi="Times New Roman"/>
          <w:szCs w:val="20"/>
        </w:rPr>
        <w:t xml:space="preserve"> certain persons involved in real estate closings and settlements to submit reports on </w:t>
      </w:r>
      <w:r w:rsidRPr="00EF518B" w:rsidR="00FF0F99">
        <w:rPr>
          <w:rFonts w:ascii="Times New Roman" w:hAnsi="Times New Roman"/>
          <w:szCs w:val="20"/>
        </w:rPr>
        <w:t xml:space="preserve">certain </w:t>
      </w:r>
      <w:r w:rsidRPr="00EF518B">
        <w:rPr>
          <w:rFonts w:ascii="Times New Roman" w:hAnsi="Times New Roman"/>
          <w:szCs w:val="20"/>
        </w:rPr>
        <w:t xml:space="preserve">transfers of residential real property.  </w:t>
      </w:r>
      <w:r w:rsidRPr="00EF518B" w:rsidR="00FF0F99">
        <w:rPr>
          <w:rFonts w:ascii="Times New Roman" w:hAnsi="Times New Roman"/>
          <w:szCs w:val="20"/>
        </w:rPr>
        <w:t>The rule</w:t>
      </w:r>
      <w:r w:rsidRPr="00EF518B">
        <w:rPr>
          <w:rFonts w:ascii="Times New Roman" w:hAnsi="Times New Roman"/>
          <w:szCs w:val="20"/>
        </w:rPr>
        <w:t xml:space="preserve"> defines a reportable transfer as a</w:t>
      </w:r>
      <w:r w:rsidRPr="00EF518B" w:rsidR="00843286">
        <w:rPr>
          <w:rFonts w:ascii="Times New Roman" w:hAnsi="Times New Roman"/>
          <w:szCs w:val="20"/>
        </w:rPr>
        <w:t xml:space="preserve"> non-financed transfer to a transferee entity or transferee trust of an ownership interest in residential real property, with certain exceptions.  </w:t>
      </w:r>
      <w:r w:rsidRPr="00EF518B">
        <w:rPr>
          <w:rFonts w:ascii="Times New Roman" w:hAnsi="Times New Roman"/>
          <w:szCs w:val="20"/>
        </w:rPr>
        <w:t xml:space="preserve">  </w:t>
      </w:r>
    </w:p>
  </w:footnote>
  <w:footnote w:id="16">
    <w:p w:rsidR="00726E45" w:rsidRPr="00EF518B" w:rsidP="00726E45" w14:paraId="65EAABA6" w14:textId="77777777">
      <w:pPr>
        <w:pStyle w:val="FootnoteText"/>
        <w:rPr>
          <w:rFonts w:ascii="Times New Roman" w:hAnsi="Times New Roman"/>
        </w:rPr>
      </w:pPr>
      <w:r w:rsidRPr="00EF518B">
        <w:rPr>
          <w:rStyle w:val="FootnoteReference"/>
          <w:rFonts w:ascii="Times New Roman" w:hAnsi="Times New Roman" w:eastAsiaTheme="majorEastAsia"/>
          <w:vertAlign w:val="superscript"/>
        </w:rPr>
        <w:footnoteRef/>
      </w:r>
      <w:r w:rsidRPr="00EF518B">
        <w:rPr>
          <w:rFonts w:ascii="Times New Roman" w:hAnsi="Times New Roman"/>
        </w:rPr>
        <w:t xml:space="preserve"> 850,000 reportable transfers x 325 minutes, converted to rounded hours.</w:t>
      </w:r>
    </w:p>
  </w:footnote>
  <w:footnote w:id="17">
    <w:p w:rsidR="00726E45" w:rsidRPr="00C32A17" w:rsidP="00726E45" w14:paraId="76C7E4D4" w14:textId="1D0151B9">
      <w:pPr>
        <w:pStyle w:val="FootnoteText"/>
      </w:pPr>
      <w:r w:rsidRPr="00EF518B">
        <w:rPr>
          <w:rStyle w:val="FootnoteReference"/>
          <w:rFonts w:ascii="Times New Roman" w:hAnsi="Times New Roman" w:eastAsiaTheme="majorEastAsia"/>
          <w:vertAlign w:val="superscript"/>
        </w:rPr>
        <w:footnoteRef/>
      </w:r>
      <w:r w:rsidRPr="00EF518B">
        <w:rPr>
          <w:rFonts w:ascii="Times New Roman" w:hAnsi="Times New Roman"/>
        </w:rPr>
        <w:t xml:space="preserve"> </w:t>
      </w:r>
      <w:r w:rsidRPr="00EF518B">
        <w:rPr>
          <w:rFonts w:ascii="Times New Roman" w:hAnsi="Times New Roman"/>
          <w:i/>
        </w:rPr>
        <w:t>See supra</w:t>
      </w:r>
      <w:r w:rsidRPr="00EF518B">
        <w:rPr>
          <w:rFonts w:ascii="Times New Roman" w:hAnsi="Times New Roman"/>
        </w:rPr>
        <w:t xml:space="preserve"> note 1</w:t>
      </w:r>
      <w:r w:rsidR="00941A66">
        <w:rPr>
          <w:rFonts w:ascii="Times New Roman" w:hAnsi="Times New Roman"/>
        </w:rPr>
        <w:t>1</w:t>
      </w:r>
      <w:r w:rsidRPr="00EF518B">
        <w:rPr>
          <w:rFonts w:ascii="Times New Roman" w:hAnsi="Times New Roman"/>
        </w:rPr>
        <w:t>.</w:t>
      </w:r>
    </w:p>
  </w:footnote>
  <w:footnote w:id="18">
    <w:p w:rsidR="00BB5886" w:rsidRPr="0019755B" w:rsidP="00BB5886" w14:paraId="7D430E23" w14:textId="31C84482">
      <w:pPr>
        <w:pStyle w:val="FootnoteText"/>
        <w:rPr>
          <w:rFonts w:ascii="Times New Roman" w:hAnsi="Times New Roman"/>
        </w:rPr>
      </w:pPr>
      <w:r w:rsidRPr="00703322">
        <w:rPr>
          <w:rStyle w:val="FootnoteReference"/>
          <w:rFonts w:ascii="Times New Roman" w:hAnsi="Times New Roman" w:eastAsiaTheme="majorEastAsia"/>
          <w:vertAlign w:val="superscript"/>
        </w:rPr>
        <w:footnoteRef/>
      </w:r>
      <w:r w:rsidRPr="00703322">
        <w:rPr>
          <w:rFonts w:ascii="Times New Roman" w:hAnsi="Times New Roman"/>
        </w:rPr>
        <w:t xml:space="preserve"> 850,000 reportable transfers </w:t>
      </w:r>
      <w:r w:rsidRPr="00602170">
        <w:rPr>
          <w:rFonts w:ascii="Times New Roman" w:hAnsi="Times New Roman"/>
        </w:rPr>
        <w:t xml:space="preserve">x </w:t>
      </w:r>
      <w:r w:rsidRPr="0019755B">
        <w:rPr>
          <w:rFonts w:ascii="Times New Roman" w:hAnsi="Times New Roman"/>
        </w:rPr>
        <w:t>$</w:t>
      </w:r>
      <w:r w:rsidR="00602170">
        <w:rPr>
          <w:rFonts w:ascii="Times New Roman" w:hAnsi="Times New Roman"/>
        </w:rPr>
        <w:t>742.33</w:t>
      </w:r>
      <w:r w:rsidRPr="00703322">
        <w:rPr>
          <w:rFonts w:ascii="Times New Roman" w:hAnsi="Times New Roman"/>
        </w:rPr>
        <w:t xml:space="preserve"> in estimated total cost per re</w:t>
      </w:r>
      <w:r w:rsidRPr="00E82B99">
        <w:rPr>
          <w:rFonts w:ascii="Times New Roman" w:hAnsi="Times New Roman"/>
        </w:rPr>
        <w:t>portable transfer, rounded to the nearest cent.</w:t>
      </w:r>
      <w:r w:rsidR="001323A5">
        <w:rPr>
          <w:rFonts w:ascii="Times New Roman" w:hAnsi="Times New Roman"/>
        </w:rPr>
        <w:t xml:space="preserve"> Differences between this</w:t>
      </w:r>
      <w:r w:rsidR="00D63001">
        <w:rPr>
          <w:rFonts w:ascii="Times New Roman" w:hAnsi="Times New Roman"/>
        </w:rPr>
        <w:t xml:space="preserve"> estimated per-transaction cost and those presented subsequently are due to </w:t>
      </w:r>
      <w:r w:rsidR="005444E0">
        <w:rPr>
          <w:rFonts w:ascii="Times New Roman" w:hAnsi="Times New Roman"/>
        </w:rPr>
        <w:t>when rounding is performed.</w:t>
      </w:r>
    </w:p>
  </w:footnote>
  <w:footnote w:id="19">
    <w:p w:rsidR="009A2FF2" w:rsidRPr="0019755B" w14:paraId="6E647AA5" w14:textId="50A2F42C">
      <w:pPr>
        <w:pStyle w:val="FootnoteText"/>
        <w:rPr>
          <w:rFonts w:ascii="Times New Roman" w:hAnsi="Times New Roman"/>
        </w:rPr>
      </w:pPr>
      <w:r w:rsidRPr="0019755B">
        <w:rPr>
          <w:rStyle w:val="FootnoteReference"/>
          <w:rFonts w:ascii="Times New Roman" w:hAnsi="Times New Roman"/>
          <w:vertAlign w:val="superscript"/>
        </w:rPr>
        <w:footnoteRef/>
      </w:r>
      <w:r w:rsidRPr="0019755B">
        <w:rPr>
          <w:rFonts w:ascii="Times New Roman" w:hAnsi="Times New Roman"/>
          <w:vertAlign w:val="superscript"/>
        </w:rPr>
        <w:t xml:space="preserve"> </w:t>
      </w:r>
      <w:r w:rsidR="00F401CA">
        <w:rPr>
          <w:rFonts w:ascii="Times New Roman" w:hAnsi="Times New Roman"/>
        </w:rPr>
        <w:t xml:space="preserve">This assignment is for estimation purposes only and is not intended to imply that FinCEN </w:t>
      </w:r>
      <w:r w:rsidR="009325F2">
        <w:rPr>
          <w:rFonts w:ascii="Times New Roman" w:hAnsi="Times New Roman"/>
        </w:rPr>
        <w:t xml:space="preserve">generally </w:t>
      </w:r>
      <w:r w:rsidR="00F401CA">
        <w:rPr>
          <w:rFonts w:ascii="Times New Roman" w:hAnsi="Times New Roman"/>
        </w:rPr>
        <w:t>expects</w:t>
      </w:r>
      <w:r w:rsidR="00477A6C">
        <w:rPr>
          <w:rFonts w:ascii="Times New Roman" w:hAnsi="Times New Roman"/>
        </w:rPr>
        <w:t xml:space="preserve"> attorneys to be the</w:t>
      </w:r>
      <w:r w:rsidR="009325F2">
        <w:rPr>
          <w:rFonts w:ascii="Times New Roman" w:hAnsi="Times New Roman"/>
        </w:rPr>
        <w:t xml:space="preserve"> reporting person</w:t>
      </w:r>
      <w:r w:rsidR="00474674">
        <w:rPr>
          <w:rFonts w:ascii="Times New Roman" w:hAnsi="Times New Roman"/>
        </w:rPr>
        <w:t xml:space="preserve"> for</w:t>
      </w:r>
      <w:r w:rsidR="00273754">
        <w:rPr>
          <w:rFonts w:ascii="Times New Roman" w:hAnsi="Times New Roman"/>
        </w:rPr>
        <w:t xml:space="preserve"> the average transaction.</w:t>
      </w:r>
    </w:p>
  </w:footnote>
  <w:footnote w:id="20">
    <w:p w:rsidR="00726E45" w:rsidRPr="00766919" w:rsidP="00726E45" w14:paraId="1291E305" w14:textId="4CC63D69">
      <w:pPr>
        <w:pStyle w:val="FootnoteText"/>
        <w:rPr>
          <w:rFonts w:ascii="Times New Roman" w:hAnsi="Times New Roman"/>
        </w:rPr>
      </w:pPr>
      <w:r w:rsidRPr="00766919">
        <w:rPr>
          <w:rStyle w:val="FootnoteReference"/>
          <w:rFonts w:ascii="Times New Roman" w:hAnsi="Times New Roman" w:eastAsiaTheme="majorEastAsia"/>
          <w:vertAlign w:val="superscript"/>
        </w:rPr>
        <w:footnoteRef/>
      </w:r>
      <w:r w:rsidRPr="00766919">
        <w:rPr>
          <w:rFonts w:ascii="Times New Roman" w:hAnsi="Times New Roman"/>
        </w:rPr>
        <w:t xml:space="preserve"> When a designation agreement exists, FinCEN anticipates an additional ten cent recordkeeping cost distinct from the ten cent</w:t>
      </w:r>
      <w:r>
        <w:rPr>
          <w:rFonts w:ascii="Times New Roman" w:hAnsi="Times New Roman"/>
        </w:rPr>
        <w:t>s</w:t>
      </w:r>
      <w:r w:rsidRPr="00766919">
        <w:rPr>
          <w:rFonts w:ascii="Times New Roman" w:hAnsi="Times New Roman"/>
        </w:rPr>
        <w:t xml:space="preserve"> estimated recordkeeping cost associated with filing the Real Estate Report.</w:t>
      </w:r>
    </w:p>
  </w:footnote>
  <w:footnote w:id="21">
    <w:p w:rsidR="00603C1D" w:rsidRPr="0019755B" w14:paraId="34EF03ED" w14:textId="2CCA0DAE">
      <w:pPr>
        <w:pStyle w:val="FootnoteText"/>
        <w:rPr>
          <w:rFonts w:ascii="Times New Roman" w:hAnsi="Times New Roman"/>
        </w:rPr>
      </w:pPr>
      <w:r w:rsidRPr="0019755B">
        <w:rPr>
          <w:rStyle w:val="FootnoteReference"/>
          <w:rFonts w:ascii="Times New Roman" w:hAnsi="Times New Roman"/>
          <w:vertAlign w:val="superscript"/>
        </w:rPr>
        <w:footnoteRef/>
      </w:r>
      <w:r w:rsidRPr="0019755B">
        <w:rPr>
          <w:rFonts w:ascii="Times New Roman" w:hAnsi="Times New Roman"/>
          <w:vertAlign w:val="superscript"/>
        </w:rPr>
        <w:t xml:space="preserve"> </w:t>
      </w:r>
      <w:r w:rsidR="006D0F2D">
        <w:rPr>
          <w:rFonts w:ascii="Times New Roman" w:hAnsi="Times New Roman"/>
        </w:rPr>
        <w:t xml:space="preserve">Total may differ from tabular summation due to differences in </w:t>
      </w:r>
      <w:r w:rsidR="00B35388">
        <w:rPr>
          <w:rFonts w:ascii="Times New Roman" w:hAnsi="Times New Roman"/>
        </w:rPr>
        <w:t>when rounding is performed.</w:t>
      </w:r>
    </w:p>
  </w:footnote>
  <w:footnote w:id="22">
    <w:p w:rsidR="00726E45" w:rsidRPr="00766919" w:rsidP="00726E45" w14:paraId="01BF00C6" w14:textId="55191603">
      <w:pPr>
        <w:pStyle w:val="FootnoteText"/>
        <w:rPr>
          <w:rFonts w:ascii="Times New Roman" w:hAnsi="Times New Roman"/>
        </w:rPr>
      </w:pPr>
      <w:r w:rsidRPr="00766919">
        <w:rPr>
          <w:rStyle w:val="FootnoteReference"/>
          <w:rFonts w:ascii="Times New Roman" w:hAnsi="Times New Roman" w:eastAsiaTheme="majorEastAsia"/>
          <w:vertAlign w:val="superscript"/>
        </w:rPr>
        <w:footnoteRef/>
      </w:r>
      <w:r w:rsidRPr="00766919">
        <w:rPr>
          <w:rFonts w:ascii="Times New Roman" w:hAnsi="Times New Roman"/>
        </w:rPr>
        <w:t xml:space="preserve"> </w:t>
      </w:r>
      <w:r w:rsidRPr="00766919">
        <w:rPr>
          <w:rFonts w:ascii="Times New Roman" w:hAnsi="Times New Roman"/>
          <w:i/>
        </w:rPr>
        <w:t>See supra</w:t>
      </w:r>
      <w:r w:rsidRPr="00766919">
        <w:rPr>
          <w:rFonts w:ascii="Times New Roman" w:hAnsi="Times New Roman"/>
        </w:rPr>
        <w:t xml:space="preserve"> note 1</w:t>
      </w:r>
      <w:r w:rsidR="00BC7F08">
        <w:rPr>
          <w:rFonts w:ascii="Times New Roman" w:hAnsi="Times New Roman"/>
        </w:rPr>
        <w:t>1</w:t>
      </w:r>
      <w:r w:rsidRPr="00766919">
        <w:rPr>
          <w:rFonts w:ascii="Times New Roman" w:hAnsi="Times New Roman"/>
        </w:rPr>
        <w:t>.</w:t>
      </w:r>
    </w:p>
  </w:footnote>
  <w:footnote w:id="23">
    <w:p w:rsidR="00726E45" w:rsidRPr="00766919" w:rsidP="00726E45" w14:paraId="178D6A1F" w14:textId="77777777">
      <w:pPr>
        <w:pStyle w:val="FootnoteText"/>
        <w:rPr>
          <w:rFonts w:ascii="Times New Roman" w:hAnsi="Times New Roman"/>
        </w:rPr>
      </w:pPr>
      <w:r w:rsidRPr="00766919">
        <w:rPr>
          <w:rStyle w:val="FootnoteReference"/>
          <w:rFonts w:ascii="Times New Roman" w:hAnsi="Times New Roman" w:eastAsiaTheme="majorEastAsia"/>
          <w:vertAlign w:val="superscript"/>
        </w:rPr>
        <w:footnoteRef/>
      </w:r>
      <w:r w:rsidRPr="00766919">
        <w:rPr>
          <w:rFonts w:ascii="Times New Roman" w:hAnsi="Times New Roman"/>
        </w:rPr>
        <w:t xml:space="preserve"> Numbers here may differ from tabular and RIA estimates at the 0.01 level due to differences in rounding.</w:t>
      </w:r>
    </w:p>
  </w:footnote>
  <w:footnote w:id="24">
    <w:p w:rsidR="004E32BC" w14:paraId="1097109F" w14:textId="2DB51C91">
      <w:pPr>
        <w:pStyle w:val="FootnoteText"/>
      </w:pPr>
      <w:r w:rsidRPr="0019755B">
        <w:rPr>
          <w:rStyle w:val="FootnoteReference"/>
          <w:rFonts w:ascii="Times New Roman" w:hAnsi="Times New Roman"/>
          <w:vertAlign w:val="superscript"/>
        </w:rPr>
        <w:footnoteRef/>
      </w:r>
      <w:r w:rsidRPr="0019755B">
        <w:rPr>
          <w:rFonts w:ascii="Times New Roman" w:hAnsi="Times New Roman"/>
          <w:vertAlign w:val="superscript"/>
        </w:rPr>
        <w:t xml:space="preserve"> </w:t>
      </w:r>
      <w:r w:rsidR="00BE5A80">
        <w:rPr>
          <w:rFonts w:ascii="Times New Roman" w:hAnsi="Times New Roman"/>
        </w:rPr>
        <w:t>Total may differ from tabular summation due to differences in when rounding is performed.</w:t>
      </w:r>
    </w:p>
  </w:footnote>
  <w:footnote w:id="25">
    <w:p w:rsidR="00FA2326" w:rsidP="00FA2326" w14:paraId="5EB8CEC7" w14:textId="77777777">
      <w:pPr>
        <w:pStyle w:val="FootnoteText"/>
      </w:pPr>
      <w:r w:rsidRPr="000B7854">
        <w:rPr>
          <w:rStyle w:val="FootnoteReference"/>
          <w:rFonts w:ascii="Times New Roman" w:hAnsi="Times New Roman"/>
          <w:vertAlign w:val="superscript"/>
        </w:rPr>
        <w:footnoteRef/>
      </w:r>
      <w:r w:rsidRPr="000B7854">
        <w:rPr>
          <w:rFonts w:ascii="Times New Roman" w:hAnsi="Times New Roman"/>
        </w:rPr>
        <w:t xml:space="preserve"> Assuming that the reporting person’s primary occupation is in the offices of lawyers (</w:t>
      </w:r>
      <w:r w:rsidRPr="009D234F">
        <w:rPr>
          <w:rFonts w:ascii="Times New Roman" w:hAnsi="Times New Roman"/>
          <w:i/>
          <w:iCs/>
        </w:rPr>
        <w:t>i.e.</w:t>
      </w:r>
      <w:r w:rsidRPr="000B7854">
        <w:rPr>
          <w:rFonts w:ascii="Times New Roman" w:hAnsi="Times New Roman"/>
        </w:rPr>
        <w:t>, incurs the highest wage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E45" w:rsidRPr="003B6CF5" w:rsidP="00C944E2" w14:paraId="1C449DED" w14:textId="00666255">
    <w:pPr>
      <w:tabs>
        <w:tab w:val="center" w:pos="4680"/>
      </w:tabs>
      <w:jc w:val="center"/>
      <w:rPr>
        <w:rFonts w:ascii="Times New Roman" w:hAnsi="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45"/>
    <w:rsid w:val="00000E11"/>
    <w:rsid w:val="00020244"/>
    <w:rsid w:val="000256A6"/>
    <w:rsid w:val="000319CC"/>
    <w:rsid w:val="00035076"/>
    <w:rsid w:val="000800CB"/>
    <w:rsid w:val="0009699D"/>
    <w:rsid w:val="000A18C8"/>
    <w:rsid w:val="000B7854"/>
    <w:rsid w:val="000D2EBC"/>
    <w:rsid w:val="000E425F"/>
    <w:rsid w:val="001323A5"/>
    <w:rsid w:val="001355CC"/>
    <w:rsid w:val="00152F0D"/>
    <w:rsid w:val="001539B8"/>
    <w:rsid w:val="0017335D"/>
    <w:rsid w:val="001763B4"/>
    <w:rsid w:val="0018697B"/>
    <w:rsid w:val="0019755B"/>
    <w:rsid w:val="001B417B"/>
    <w:rsid w:val="001B53AE"/>
    <w:rsid w:val="001B761E"/>
    <w:rsid w:val="001D6ABA"/>
    <w:rsid w:val="001E7C63"/>
    <w:rsid w:val="001F2510"/>
    <w:rsid w:val="001F48A1"/>
    <w:rsid w:val="001F7618"/>
    <w:rsid w:val="002135B3"/>
    <w:rsid w:val="00217180"/>
    <w:rsid w:val="002519CF"/>
    <w:rsid w:val="00255A4F"/>
    <w:rsid w:val="00263667"/>
    <w:rsid w:val="00273754"/>
    <w:rsid w:val="00282444"/>
    <w:rsid w:val="00287472"/>
    <w:rsid w:val="00290724"/>
    <w:rsid w:val="002B2D3F"/>
    <w:rsid w:val="002B4DEF"/>
    <w:rsid w:val="002E18D9"/>
    <w:rsid w:val="002F0F78"/>
    <w:rsid w:val="002F7682"/>
    <w:rsid w:val="00314732"/>
    <w:rsid w:val="0034493C"/>
    <w:rsid w:val="00357DED"/>
    <w:rsid w:val="003642BA"/>
    <w:rsid w:val="0037383C"/>
    <w:rsid w:val="0038768C"/>
    <w:rsid w:val="003B6CF5"/>
    <w:rsid w:val="003B7CD0"/>
    <w:rsid w:val="003E17D4"/>
    <w:rsid w:val="003E3CEC"/>
    <w:rsid w:val="003E4138"/>
    <w:rsid w:val="00406873"/>
    <w:rsid w:val="004147F1"/>
    <w:rsid w:val="00427757"/>
    <w:rsid w:val="0045176F"/>
    <w:rsid w:val="004605B4"/>
    <w:rsid w:val="00474674"/>
    <w:rsid w:val="004779CB"/>
    <w:rsid w:val="00477A6C"/>
    <w:rsid w:val="0049403A"/>
    <w:rsid w:val="004A1C15"/>
    <w:rsid w:val="004A6336"/>
    <w:rsid w:val="004B1E22"/>
    <w:rsid w:val="004B31F2"/>
    <w:rsid w:val="004E32BC"/>
    <w:rsid w:val="0051614A"/>
    <w:rsid w:val="005444E0"/>
    <w:rsid w:val="00562D86"/>
    <w:rsid w:val="00574629"/>
    <w:rsid w:val="00574CD8"/>
    <w:rsid w:val="005D7F70"/>
    <w:rsid w:val="005E46F7"/>
    <w:rsid w:val="00602170"/>
    <w:rsid w:val="00603C1D"/>
    <w:rsid w:val="00606AB6"/>
    <w:rsid w:val="0061272D"/>
    <w:rsid w:val="00622D29"/>
    <w:rsid w:val="00650FB2"/>
    <w:rsid w:val="00683ADD"/>
    <w:rsid w:val="00694379"/>
    <w:rsid w:val="00695828"/>
    <w:rsid w:val="006A500C"/>
    <w:rsid w:val="006B1334"/>
    <w:rsid w:val="006C3DE7"/>
    <w:rsid w:val="006C6C8A"/>
    <w:rsid w:val="006D0F2D"/>
    <w:rsid w:val="006E7EFB"/>
    <w:rsid w:val="006F1BEB"/>
    <w:rsid w:val="006F2020"/>
    <w:rsid w:val="00703322"/>
    <w:rsid w:val="0070644D"/>
    <w:rsid w:val="007128EF"/>
    <w:rsid w:val="00726E45"/>
    <w:rsid w:val="00730342"/>
    <w:rsid w:val="00736ABA"/>
    <w:rsid w:val="007558AE"/>
    <w:rsid w:val="00760624"/>
    <w:rsid w:val="00766919"/>
    <w:rsid w:val="007C2AE9"/>
    <w:rsid w:val="007E72C1"/>
    <w:rsid w:val="00801104"/>
    <w:rsid w:val="008219BA"/>
    <w:rsid w:val="00840C8E"/>
    <w:rsid w:val="00843286"/>
    <w:rsid w:val="008618C8"/>
    <w:rsid w:val="008804CE"/>
    <w:rsid w:val="00895E41"/>
    <w:rsid w:val="008D24F9"/>
    <w:rsid w:val="008E3B7C"/>
    <w:rsid w:val="008E5053"/>
    <w:rsid w:val="00920EB3"/>
    <w:rsid w:val="00926155"/>
    <w:rsid w:val="0092708C"/>
    <w:rsid w:val="009325F2"/>
    <w:rsid w:val="00941A66"/>
    <w:rsid w:val="009469F9"/>
    <w:rsid w:val="00957227"/>
    <w:rsid w:val="00983F77"/>
    <w:rsid w:val="00986AD1"/>
    <w:rsid w:val="0099216B"/>
    <w:rsid w:val="009A2FF2"/>
    <w:rsid w:val="009B4E87"/>
    <w:rsid w:val="009B5282"/>
    <w:rsid w:val="009C07C6"/>
    <w:rsid w:val="009C0A5E"/>
    <w:rsid w:val="009C5750"/>
    <w:rsid w:val="009D2211"/>
    <w:rsid w:val="009D234F"/>
    <w:rsid w:val="00A2185D"/>
    <w:rsid w:val="00A27748"/>
    <w:rsid w:val="00A37BDD"/>
    <w:rsid w:val="00A40C90"/>
    <w:rsid w:val="00A40EA1"/>
    <w:rsid w:val="00A45B16"/>
    <w:rsid w:val="00A7473F"/>
    <w:rsid w:val="00A76C39"/>
    <w:rsid w:val="00AF317B"/>
    <w:rsid w:val="00AF38FC"/>
    <w:rsid w:val="00B21606"/>
    <w:rsid w:val="00B24730"/>
    <w:rsid w:val="00B35388"/>
    <w:rsid w:val="00B45625"/>
    <w:rsid w:val="00B45C6D"/>
    <w:rsid w:val="00B65AAA"/>
    <w:rsid w:val="00B8452F"/>
    <w:rsid w:val="00B84831"/>
    <w:rsid w:val="00B9648C"/>
    <w:rsid w:val="00BB5886"/>
    <w:rsid w:val="00BC296C"/>
    <w:rsid w:val="00BC7F08"/>
    <w:rsid w:val="00BD3BC7"/>
    <w:rsid w:val="00BE1867"/>
    <w:rsid w:val="00BE5A80"/>
    <w:rsid w:val="00BF7BD7"/>
    <w:rsid w:val="00C064FA"/>
    <w:rsid w:val="00C22286"/>
    <w:rsid w:val="00C24CBD"/>
    <w:rsid w:val="00C32A17"/>
    <w:rsid w:val="00C34217"/>
    <w:rsid w:val="00C441BD"/>
    <w:rsid w:val="00C50DEC"/>
    <w:rsid w:val="00C5572F"/>
    <w:rsid w:val="00C66C1D"/>
    <w:rsid w:val="00C82371"/>
    <w:rsid w:val="00C87196"/>
    <w:rsid w:val="00C91EDF"/>
    <w:rsid w:val="00C944E2"/>
    <w:rsid w:val="00C97544"/>
    <w:rsid w:val="00CA1C90"/>
    <w:rsid w:val="00CB32C1"/>
    <w:rsid w:val="00CB67E2"/>
    <w:rsid w:val="00CC4010"/>
    <w:rsid w:val="00CE1CFD"/>
    <w:rsid w:val="00D0304E"/>
    <w:rsid w:val="00D4747B"/>
    <w:rsid w:val="00D63001"/>
    <w:rsid w:val="00D66AED"/>
    <w:rsid w:val="00D744A2"/>
    <w:rsid w:val="00DA1CB8"/>
    <w:rsid w:val="00DA3C1D"/>
    <w:rsid w:val="00DB67C4"/>
    <w:rsid w:val="00DB7D88"/>
    <w:rsid w:val="00DC3B7C"/>
    <w:rsid w:val="00DF4B8E"/>
    <w:rsid w:val="00E06291"/>
    <w:rsid w:val="00E14FF2"/>
    <w:rsid w:val="00E26C17"/>
    <w:rsid w:val="00E51BD6"/>
    <w:rsid w:val="00E622D0"/>
    <w:rsid w:val="00E62CB3"/>
    <w:rsid w:val="00E82B99"/>
    <w:rsid w:val="00E96F63"/>
    <w:rsid w:val="00E97898"/>
    <w:rsid w:val="00EC0350"/>
    <w:rsid w:val="00EC70F5"/>
    <w:rsid w:val="00EE098F"/>
    <w:rsid w:val="00EF0370"/>
    <w:rsid w:val="00EF4955"/>
    <w:rsid w:val="00EF518B"/>
    <w:rsid w:val="00EF7047"/>
    <w:rsid w:val="00F1251D"/>
    <w:rsid w:val="00F169B4"/>
    <w:rsid w:val="00F22289"/>
    <w:rsid w:val="00F331D5"/>
    <w:rsid w:val="00F401CA"/>
    <w:rsid w:val="00F57760"/>
    <w:rsid w:val="00F75BF6"/>
    <w:rsid w:val="00F86305"/>
    <w:rsid w:val="00F87DD3"/>
    <w:rsid w:val="00FA2326"/>
    <w:rsid w:val="00FC0150"/>
    <w:rsid w:val="00FF0F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76D7D6"/>
  <w15:chartTrackingRefBased/>
  <w15:docId w15:val="{3E367B34-F9F4-4AFB-9BB9-0328C527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E45"/>
    <w:pPr>
      <w:widowControl w:val="0"/>
      <w:autoSpaceDE w:val="0"/>
      <w:autoSpaceDN w:val="0"/>
      <w:adjustRightInd w:val="0"/>
      <w:spacing w:after="0" w:line="240" w:lineRule="auto"/>
    </w:pPr>
    <w:rPr>
      <w:rFonts w:ascii="Courier" w:eastAsia="Times New Roman" w:hAnsi="Courier" w:cs="Times New Roman"/>
      <w:kern w:val="0"/>
      <w:sz w:val="20"/>
      <w:szCs w:val="24"/>
      <w14:ligatures w14:val="none"/>
    </w:rPr>
  </w:style>
  <w:style w:type="paragraph" w:styleId="Heading1">
    <w:name w:val="heading 1"/>
    <w:basedOn w:val="Normal"/>
    <w:next w:val="Normal"/>
    <w:link w:val="Heading1Char"/>
    <w:uiPriority w:val="9"/>
    <w:qFormat/>
    <w:rsid w:val="00726E45"/>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6E45"/>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6E45"/>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6E45"/>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26E45"/>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26E45"/>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26E45"/>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26E45"/>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26E45"/>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E45"/>
    <w:rPr>
      <w:rFonts w:eastAsiaTheme="majorEastAsia" w:cstheme="majorBidi"/>
      <w:color w:val="272727" w:themeColor="text1" w:themeTint="D8"/>
    </w:rPr>
  </w:style>
  <w:style w:type="paragraph" w:styleId="Title">
    <w:name w:val="Title"/>
    <w:basedOn w:val="Normal"/>
    <w:next w:val="Normal"/>
    <w:link w:val="TitleChar"/>
    <w:uiPriority w:val="10"/>
    <w:qFormat/>
    <w:rsid w:val="00726E45"/>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6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E45"/>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6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E45"/>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26E45"/>
    <w:rPr>
      <w:i/>
      <w:iCs/>
      <w:color w:val="404040" w:themeColor="text1" w:themeTint="BF"/>
    </w:rPr>
  </w:style>
  <w:style w:type="paragraph" w:styleId="ListParagraph">
    <w:name w:val="List Paragraph"/>
    <w:basedOn w:val="Normal"/>
    <w:uiPriority w:val="34"/>
    <w:qFormat/>
    <w:rsid w:val="00726E45"/>
    <w:pPr>
      <w:widowControl/>
      <w:autoSpaceDE/>
      <w:autoSpaceDN/>
      <w:adjustRightInd/>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26E45"/>
    <w:rPr>
      <w:i/>
      <w:iCs/>
      <w:color w:val="0F4761" w:themeColor="accent1" w:themeShade="BF"/>
    </w:rPr>
  </w:style>
  <w:style w:type="paragraph" w:styleId="IntenseQuote">
    <w:name w:val="Intense Quote"/>
    <w:basedOn w:val="Normal"/>
    <w:next w:val="Normal"/>
    <w:link w:val="IntenseQuoteChar"/>
    <w:uiPriority w:val="30"/>
    <w:qFormat/>
    <w:rsid w:val="00726E45"/>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26E45"/>
    <w:rPr>
      <w:i/>
      <w:iCs/>
      <w:color w:val="0F4761" w:themeColor="accent1" w:themeShade="BF"/>
    </w:rPr>
  </w:style>
  <w:style w:type="character" w:styleId="IntenseReference">
    <w:name w:val="Intense Reference"/>
    <w:basedOn w:val="DefaultParagraphFont"/>
    <w:uiPriority w:val="32"/>
    <w:qFormat/>
    <w:rsid w:val="00726E45"/>
    <w:rPr>
      <w:b/>
      <w:bCs/>
      <w:smallCaps/>
      <w:color w:val="0F4761" w:themeColor="accent1" w:themeShade="BF"/>
      <w:spacing w:val="5"/>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sid w:val="00726E45"/>
  </w:style>
  <w:style w:type="paragraph" w:styleId="BodyTextIndent3">
    <w:name w:val="Body Text Indent 3"/>
    <w:basedOn w:val="Normal"/>
    <w:link w:val="BodyTextIndent3Char"/>
    <w:rsid w:val="00726E45"/>
    <w:pPr>
      <w:ind w:left="720"/>
    </w:pPr>
    <w:rPr>
      <w:rFonts w:ascii="Times New Roman" w:hAnsi="Times New Roman"/>
      <w:sz w:val="24"/>
    </w:rPr>
  </w:style>
  <w:style w:type="character" w:customStyle="1" w:styleId="BodyTextIndent3Char">
    <w:name w:val="Body Text Indent 3 Char"/>
    <w:basedOn w:val="DefaultParagraphFont"/>
    <w:link w:val="BodyTextIndent3"/>
    <w:rsid w:val="00726E45"/>
    <w:rPr>
      <w:rFonts w:ascii="Times New Roman" w:eastAsia="Times New Roman" w:hAnsi="Times New Roman" w:cs="Times New Roman"/>
      <w:kern w:val="0"/>
      <w:sz w:val="24"/>
      <w:szCs w:val="24"/>
      <w14:ligatures w14:val="none"/>
    </w:rPr>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rsid w:val="00726E45"/>
    <w:rPr>
      <w:szCs w:val="20"/>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uiPriority w:val="99"/>
    <w:rsid w:val="00726E45"/>
    <w:rPr>
      <w:rFonts w:ascii="Courier" w:eastAsia="Times New Roman" w:hAnsi="Courier" w:cs="Times New Roman"/>
      <w:kern w:val="0"/>
      <w:sz w:val="20"/>
      <w:szCs w:val="20"/>
      <w14:ligatures w14:val="none"/>
    </w:rPr>
  </w:style>
  <w:style w:type="paragraph" w:styleId="Footer">
    <w:name w:val="footer"/>
    <w:basedOn w:val="Normal"/>
    <w:link w:val="FooterChar"/>
    <w:uiPriority w:val="99"/>
    <w:rsid w:val="00726E45"/>
    <w:pPr>
      <w:tabs>
        <w:tab w:val="center" w:pos="4680"/>
        <w:tab w:val="right" w:pos="9360"/>
      </w:tabs>
    </w:pPr>
  </w:style>
  <w:style w:type="character" w:customStyle="1" w:styleId="FooterChar">
    <w:name w:val="Footer Char"/>
    <w:basedOn w:val="DefaultParagraphFont"/>
    <w:link w:val="Footer"/>
    <w:uiPriority w:val="99"/>
    <w:rsid w:val="00726E45"/>
    <w:rPr>
      <w:rFonts w:ascii="Courier" w:eastAsia="Times New Roman" w:hAnsi="Courier" w:cs="Times New Roman"/>
      <w:kern w:val="0"/>
      <w:sz w:val="20"/>
      <w:szCs w:val="24"/>
      <w14:ligatures w14:val="none"/>
    </w:rPr>
  </w:style>
  <w:style w:type="character" w:customStyle="1" w:styleId="normaltextrun">
    <w:name w:val="normaltextrun"/>
    <w:basedOn w:val="DefaultParagraphFont"/>
    <w:rsid w:val="00726E45"/>
  </w:style>
  <w:style w:type="character" w:styleId="CommentReference">
    <w:name w:val="annotation reference"/>
    <w:basedOn w:val="DefaultParagraphFont"/>
    <w:uiPriority w:val="99"/>
    <w:semiHidden/>
    <w:unhideWhenUsed/>
    <w:rsid w:val="00E622D0"/>
    <w:rPr>
      <w:sz w:val="16"/>
      <w:szCs w:val="16"/>
    </w:rPr>
  </w:style>
  <w:style w:type="paragraph" w:styleId="CommentText">
    <w:name w:val="annotation text"/>
    <w:basedOn w:val="Normal"/>
    <w:link w:val="CommentTextChar"/>
    <w:uiPriority w:val="99"/>
    <w:unhideWhenUsed/>
    <w:rsid w:val="00E622D0"/>
    <w:rPr>
      <w:szCs w:val="20"/>
    </w:rPr>
  </w:style>
  <w:style w:type="character" w:customStyle="1" w:styleId="CommentTextChar">
    <w:name w:val="Comment Text Char"/>
    <w:basedOn w:val="DefaultParagraphFont"/>
    <w:link w:val="CommentText"/>
    <w:uiPriority w:val="99"/>
    <w:rsid w:val="00E622D0"/>
    <w:rPr>
      <w:rFonts w:ascii="Courier" w:eastAsia="Times New Roman" w:hAnsi="Courier"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622D0"/>
    <w:rPr>
      <w:b/>
      <w:bCs/>
    </w:rPr>
  </w:style>
  <w:style w:type="character" w:customStyle="1" w:styleId="CommentSubjectChar">
    <w:name w:val="Comment Subject Char"/>
    <w:basedOn w:val="CommentTextChar"/>
    <w:link w:val="CommentSubject"/>
    <w:uiPriority w:val="99"/>
    <w:semiHidden/>
    <w:rsid w:val="00E622D0"/>
    <w:rPr>
      <w:rFonts w:ascii="Courier" w:eastAsia="Times New Roman" w:hAnsi="Courier" w:cs="Times New Roman"/>
      <w:b/>
      <w:bCs/>
      <w:kern w:val="0"/>
      <w:sz w:val="20"/>
      <w:szCs w:val="20"/>
      <w14:ligatures w14:val="none"/>
    </w:rPr>
  </w:style>
  <w:style w:type="paragraph" w:styleId="Header">
    <w:name w:val="header"/>
    <w:basedOn w:val="Normal"/>
    <w:link w:val="HeaderChar"/>
    <w:uiPriority w:val="99"/>
    <w:unhideWhenUsed/>
    <w:rsid w:val="00895E41"/>
    <w:pPr>
      <w:tabs>
        <w:tab w:val="center" w:pos="4680"/>
        <w:tab w:val="right" w:pos="9360"/>
      </w:tabs>
    </w:pPr>
  </w:style>
  <w:style w:type="character" w:customStyle="1" w:styleId="HeaderChar">
    <w:name w:val="Header Char"/>
    <w:basedOn w:val="DefaultParagraphFont"/>
    <w:link w:val="Header"/>
    <w:uiPriority w:val="99"/>
    <w:rsid w:val="00895E41"/>
    <w:rPr>
      <w:rFonts w:ascii="Courier" w:eastAsia="Times New Roman" w:hAnsi="Courier" w:cs="Times New Roman"/>
      <w:kern w:val="0"/>
      <w:sz w:val="20"/>
      <w:szCs w:val="24"/>
      <w14:ligatures w14:val="none"/>
    </w:rPr>
  </w:style>
  <w:style w:type="paragraph" w:styleId="Revision">
    <w:name w:val="Revision"/>
    <w:hidden/>
    <w:uiPriority w:val="99"/>
    <w:semiHidden/>
    <w:rsid w:val="00EF4955"/>
    <w:pPr>
      <w:spacing w:after="0" w:line="240" w:lineRule="auto"/>
    </w:pPr>
    <w:rPr>
      <w:rFonts w:ascii="Courier" w:eastAsia="Times New Roman" w:hAnsi="Courier" w:cs="Times New Roman"/>
      <w:kern w:val="0"/>
      <w:sz w:val="20"/>
      <w:szCs w:val="24"/>
      <w14:ligatures w14:val="none"/>
    </w:rPr>
  </w:style>
  <w:style w:type="character" w:styleId="Hyperlink">
    <w:name w:val="Hyperlink"/>
    <w:basedOn w:val="DefaultParagraphFont"/>
    <w:uiPriority w:val="99"/>
    <w:unhideWhenUsed/>
    <w:rsid w:val="00622D29"/>
    <w:rPr>
      <w:color w:val="467886" w:themeColor="hyperlink"/>
      <w:u w:val="single"/>
    </w:rPr>
  </w:style>
  <w:style w:type="character" w:styleId="UnresolvedMention">
    <w:name w:val="Unresolved Mention"/>
    <w:basedOn w:val="DefaultParagraphFont"/>
    <w:uiPriority w:val="99"/>
    <w:semiHidden/>
    <w:unhideWhenUsed/>
    <w:rsid w:val="00622D29"/>
    <w:rPr>
      <w:color w:val="605E5C"/>
      <w:shd w:val="clear" w:color="auto" w:fill="E1DFDD"/>
    </w:rPr>
  </w:style>
  <w:style w:type="character" w:styleId="FollowedHyperlink">
    <w:name w:val="FollowedHyperlink"/>
    <w:basedOn w:val="DefaultParagraphFont"/>
    <w:uiPriority w:val="99"/>
    <w:semiHidden/>
    <w:unhideWhenUsed/>
    <w:rsid w:val="00B216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fincen.gov/news/news-releases/fincen-renews-real-estate-geographic-targeting-orders" TargetMode="External" /><Relationship Id="rId2" Type="http://schemas.openxmlformats.org/officeDocument/2006/relationships/hyperlink" Target="https://www.federalregister.gov/documents/2022/09/30/2022-21020/beneficial-ownership-information-reporting-requirements" TargetMode="External" /><Relationship Id="rId3" Type="http://schemas.openxmlformats.org/officeDocument/2006/relationships/hyperlink" Target="https://www.whitehouse.gov/wp-content/uploads/2021/12/United-States-Strategy-on-Countering-Corruption.pdf" TargetMode="External" /><Relationship Id="rId4" Type="http://schemas.openxmlformats.org/officeDocument/2006/relationships/hyperlink" Target="https://home.treasury.gov/system/files/136/2022-National-Money-Laundering-Risk-Assessment.pdf" TargetMode="External" /><Relationship Id="rId5" Type="http://schemas.openxmlformats.org/officeDocument/2006/relationships/hyperlink" Target="https://www.fatf-gafi.org/content/dam/fatf-gafi/mer/MER-United-States-2016.pdf.coredownload.inline.pdf" TargetMode="External" /><Relationship Id="rId6" Type="http://schemas.openxmlformats.org/officeDocument/2006/relationships/hyperlink" Target="https://www.wsj.com/articles/fraudulent-covid-aid-drove-up-u-s-house-prices-report-says-bfef67fa" TargetMode="External" /><Relationship Id="rId7" Type="http://schemas.openxmlformats.org/officeDocument/2006/relationships/hyperlink" Target="http://www.regulations.gov" TargetMode="External" /><Relationship Id="rId8" Type="http://schemas.openxmlformats.org/officeDocument/2006/relationships/hyperlink" Target="https://www.regulations.gov/document/FINCEN-2024-0005-0001/com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46937c4e-b425-44c0-84ce-642b25443336">Final</Category>
    <CaseID xmlns="46937c4e-b425-44c0-84ce-642b25443336">20248-TFI-9222</CaseID>
    <DocID xmlns="46937c4e-b425-44c0-84ce-642b25443336">a707780d-c08f-4706-93f9-d75e1e57bbd4</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EB9C9D7C4B24EA66F5D48100AA07C" ma:contentTypeVersion="4" ma:contentTypeDescription="Create a new document." ma:contentTypeScope="" ma:versionID="e12f0ba9d8c2d1ba7a1d2052e5b98696">
  <xsd:schema xmlns:xsd="http://www.w3.org/2001/XMLSchema" xmlns:xs="http://www.w3.org/2001/XMLSchema" xmlns:p="http://schemas.microsoft.com/office/2006/metadata/properties" xmlns:ns2="46937c4e-b425-44c0-84ce-642b25443336" xmlns:ns3="91882c98-ad7c-457b-bb99-16138be0c2aa" targetNamespace="http://schemas.microsoft.com/office/2006/metadata/properties" ma:root="true" ma:fieldsID="87ac0f16d369b3b6fdf2ef7fa9b948bc" ns2:_="" ns3:_="">
    <xsd:import namespace="46937c4e-b425-44c0-84ce-642b25443336"/>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37c4e-b425-44c0-84ce-642b25443336"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256D-31F5-4523-A3F7-58FB82480EE9}">
  <ds:schemaRefs>
    <ds:schemaRef ds:uri="http://schemas.microsoft.com/sharepoint/v3/contenttype/forms"/>
  </ds:schemaRefs>
</ds:datastoreItem>
</file>

<file path=customXml/itemProps2.xml><?xml version="1.0" encoding="utf-8"?>
<ds:datastoreItem xmlns:ds="http://schemas.openxmlformats.org/officeDocument/2006/customXml" ds:itemID="{FFE79CBA-AE63-4055-8770-4808A66BBF13}">
  <ds:schemaRefs>
    <ds:schemaRef ds:uri="http://schemas.microsoft.com/office/2006/metadata/properties"/>
    <ds:schemaRef ds:uri="http://schemas.microsoft.com/office/infopath/2007/PartnerControls"/>
    <ds:schemaRef ds:uri="46937c4e-b425-44c0-84ce-642b25443336"/>
  </ds:schemaRefs>
</ds:datastoreItem>
</file>

<file path=customXml/itemProps3.xml><?xml version="1.0" encoding="utf-8"?>
<ds:datastoreItem xmlns:ds="http://schemas.openxmlformats.org/officeDocument/2006/customXml" ds:itemID="{9ACF8CC9-7D1A-4B00-9B39-84D402579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37c4e-b425-44c0-84ce-642b25443336"/>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B25D4-DC91-40E9-8BE1-40BA4F9C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Mizzi</dc:creator>
  <cp:lastModifiedBy>Stewart, Jaclyn</cp:lastModifiedBy>
  <cp:revision>2</cp:revision>
  <dcterms:created xsi:type="dcterms:W3CDTF">2024-08-29T18:58:00Z</dcterms:created>
  <dcterms:modified xsi:type="dcterms:W3CDTF">2024-08-29T18:58:00Z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0x010100F3AEB9C9D7C4B24EA66F5D48100AA07C</vt:lpwstr>
  </property>
</Properties>
</file>