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3EC" w:rsidP="00D71D03" w14:paraId="7D334AA8" w14:textId="33C40EA3">
      <w:pPr>
        <w:ind w:firstLine="2160"/>
        <w:rPr>
          <w:rFonts w:ascii="Times New Roman" w:hAnsi="Times New Roman"/>
          <w:b/>
          <w:bCs/>
        </w:rPr>
      </w:pPr>
    </w:p>
    <w:p w:rsidR="00EE7FF3" w:rsidRPr="00A32DD9" w:rsidP="00A32DD9" w14:paraId="64F4CE52" w14:textId="4BDEFB6F">
      <w:pPr>
        <w:jc w:val="center"/>
        <w:rPr>
          <w:rFonts w:ascii="Arial" w:hAnsi="Arial" w:cs="Arial"/>
          <w:b/>
          <w:bCs/>
          <w:u w:val="single"/>
        </w:rPr>
      </w:pPr>
      <w:r w:rsidRPr="00A32DD9">
        <w:rPr>
          <w:rFonts w:ascii="Arial" w:hAnsi="Arial" w:cs="Arial"/>
          <w:b/>
          <w:bCs/>
          <w:u w:val="single"/>
        </w:rPr>
        <w:t xml:space="preserve">Justification of </w:t>
      </w:r>
      <w:r w:rsidRPr="00A32DD9" w:rsidR="00A32DD9">
        <w:rPr>
          <w:rFonts w:ascii="Arial" w:hAnsi="Arial" w:cs="Arial"/>
          <w:b/>
          <w:bCs/>
          <w:u w:val="single"/>
        </w:rPr>
        <w:t xml:space="preserve">No Material / </w:t>
      </w:r>
      <w:r w:rsidRPr="00A32DD9" w:rsidR="00A32DD9">
        <w:rPr>
          <w:rFonts w:ascii="Arial" w:hAnsi="Arial" w:cs="Arial"/>
          <w:b/>
          <w:bCs/>
          <w:u w:val="single"/>
        </w:rPr>
        <w:t>Nonsubstantive</w:t>
      </w:r>
      <w:r w:rsidRPr="00A32DD9" w:rsidR="00A32DD9">
        <w:rPr>
          <w:rFonts w:ascii="Arial" w:hAnsi="Arial" w:cs="Arial"/>
          <w:b/>
          <w:bCs/>
          <w:u w:val="single"/>
        </w:rPr>
        <w:t xml:space="preserve"> Change</w:t>
      </w:r>
    </w:p>
    <w:p w:rsidR="009A4D95" w:rsidP="00D71D03" w14:paraId="65C0ADBD" w14:textId="77777777">
      <w:pPr>
        <w:rPr>
          <w:rFonts w:ascii="Times New Roman" w:hAnsi="Times New Roman"/>
        </w:rPr>
      </w:pPr>
    </w:p>
    <w:p w:rsidR="009A4D95" w:rsidRPr="00A753EC" w:rsidP="00D71D03" w14:paraId="4A178C56" w14:textId="5973BC8C">
      <w:pPr>
        <w:rPr>
          <w:rFonts w:ascii="Times New Roman" w:hAnsi="Times New Roman"/>
        </w:rPr>
        <w:sectPr w:rsidSect="00D71D03">
          <w:pgSz w:w="12240" w:h="15840"/>
          <w:pgMar w:top="720" w:right="720" w:bottom="720" w:left="720" w:header="1368" w:footer="1368" w:gutter="0"/>
          <w:cols w:space="720"/>
          <w:noEndnote/>
          <w:docGrid w:linePitch="326"/>
        </w:sectPr>
      </w:pPr>
    </w:p>
    <w:p w:rsidR="002E0A26" w:rsidRPr="009A4D95" w:rsidP="00B9298C" w14:paraId="46F4BBF3" w14:textId="6901FB49">
      <w:pPr>
        <w:ind w:left="360"/>
        <w:rPr>
          <w:rFonts w:ascii="Arial" w:hAnsi="Arial" w:cs="Arial"/>
        </w:rPr>
      </w:pPr>
      <w:r w:rsidRPr="009A4D95">
        <w:rPr>
          <w:rFonts w:ascii="Arial" w:hAnsi="Arial" w:cs="Arial"/>
        </w:rPr>
        <w:t xml:space="preserve">In response to the </w:t>
      </w:r>
      <w:r w:rsidRPr="009A4D95">
        <w:rPr>
          <w:rFonts w:ascii="Arial" w:hAnsi="Arial" w:cs="Arial"/>
          <w:bCs/>
          <w:iCs/>
        </w:rPr>
        <w:t>Federal Register</w:t>
      </w:r>
      <w:r w:rsidRPr="009A4D95">
        <w:rPr>
          <w:rFonts w:ascii="Arial" w:hAnsi="Arial" w:cs="Arial"/>
          <w:bCs/>
          <w:i/>
        </w:rPr>
        <w:t xml:space="preserve"> </w:t>
      </w:r>
      <w:r w:rsidRPr="009A4D95" w:rsidR="004009A6">
        <w:rPr>
          <w:rFonts w:ascii="Arial" w:hAnsi="Arial" w:cs="Arial"/>
          <w:bCs/>
        </w:rPr>
        <w:t>n</w:t>
      </w:r>
      <w:r w:rsidRPr="009A4D95">
        <w:rPr>
          <w:rFonts w:ascii="Arial" w:hAnsi="Arial" w:cs="Arial"/>
          <w:bCs/>
        </w:rPr>
        <w:t>otice</w:t>
      </w:r>
      <w:r w:rsidRPr="009A4D95">
        <w:rPr>
          <w:rFonts w:ascii="Arial" w:hAnsi="Arial" w:cs="Arial"/>
          <w:b/>
          <w:bCs/>
        </w:rPr>
        <w:t xml:space="preserve"> </w:t>
      </w:r>
      <w:r w:rsidRPr="009A4D95">
        <w:rPr>
          <w:rFonts w:ascii="Arial" w:hAnsi="Arial" w:cs="Arial"/>
        </w:rPr>
        <w:t xml:space="preserve">dated </w:t>
      </w:r>
      <w:r w:rsidRPr="009A4D95" w:rsidR="00E436B2">
        <w:rPr>
          <w:rFonts w:ascii="Arial" w:hAnsi="Arial" w:cs="Arial"/>
        </w:rPr>
        <w:t xml:space="preserve">April 29, 2022 </w:t>
      </w:r>
      <w:r w:rsidRPr="009A4D95" w:rsidR="007B2E84">
        <w:rPr>
          <w:rFonts w:ascii="Arial" w:hAnsi="Arial" w:cs="Arial"/>
          <w:bCs/>
        </w:rPr>
        <w:t>(</w:t>
      </w:r>
      <w:r w:rsidRPr="009A4D95" w:rsidR="004B3FFA">
        <w:rPr>
          <w:rFonts w:ascii="Arial" w:hAnsi="Arial" w:cs="Arial"/>
          <w:bCs/>
        </w:rPr>
        <w:t>8</w:t>
      </w:r>
      <w:r w:rsidRPr="009A4D95" w:rsidR="00E436B2">
        <w:rPr>
          <w:rFonts w:ascii="Arial" w:hAnsi="Arial" w:cs="Arial"/>
          <w:bCs/>
        </w:rPr>
        <w:t>7</w:t>
      </w:r>
      <w:r w:rsidRPr="009A4D95" w:rsidR="008429FD">
        <w:rPr>
          <w:rFonts w:ascii="Arial" w:hAnsi="Arial" w:cs="Arial"/>
          <w:bCs/>
        </w:rPr>
        <w:t xml:space="preserve"> FR </w:t>
      </w:r>
      <w:r w:rsidRPr="009A4D95" w:rsidR="00E436B2">
        <w:rPr>
          <w:rFonts w:ascii="Arial" w:hAnsi="Arial" w:cs="Arial"/>
          <w:bCs/>
        </w:rPr>
        <w:t>25568</w:t>
      </w:r>
      <w:r w:rsidRPr="009A4D95" w:rsidR="008429FD">
        <w:rPr>
          <w:rFonts w:ascii="Arial" w:hAnsi="Arial" w:cs="Arial"/>
          <w:bCs/>
        </w:rPr>
        <w:t>)</w:t>
      </w:r>
      <w:r w:rsidRPr="009A4D95">
        <w:rPr>
          <w:rFonts w:ascii="Arial" w:hAnsi="Arial" w:cs="Arial"/>
        </w:rPr>
        <w:t xml:space="preserve">, </w:t>
      </w:r>
      <w:r w:rsidRPr="009A4D95" w:rsidR="009A4D95">
        <w:rPr>
          <w:rFonts w:ascii="Arial" w:hAnsi="Arial" w:cs="Arial"/>
        </w:rPr>
        <w:t>Internal Revenue Service (</w:t>
      </w:r>
      <w:r w:rsidRPr="009A4D95" w:rsidR="00E668CF">
        <w:rPr>
          <w:rFonts w:ascii="Arial" w:hAnsi="Arial" w:cs="Arial"/>
        </w:rPr>
        <w:t>IRS</w:t>
      </w:r>
      <w:r w:rsidRPr="009A4D95" w:rsidR="009A4D95">
        <w:rPr>
          <w:rFonts w:ascii="Arial" w:hAnsi="Arial" w:cs="Arial"/>
        </w:rPr>
        <w:t>)</w:t>
      </w:r>
      <w:r w:rsidRPr="009A4D95" w:rsidR="00E668CF">
        <w:rPr>
          <w:rFonts w:ascii="Arial" w:hAnsi="Arial" w:cs="Arial"/>
        </w:rPr>
        <w:t xml:space="preserve"> received one comment regarding Form 1099-MISC. </w:t>
      </w:r>
      <w:r w:rsidRPr="009A4D95">
        <w:rPr>
          <w:rFonts w:ascii="Arial" w:hAnsi="Arial" w:cs="Arial"/>
        </w:rPr>
        <w:t xml:space="preserve">       </w:t>
      </w:r>
    </w:p>
    <w:p w:rsidR="005D30EC" w:rsidRPr="009A4D95" w:rsidP="00B9298C" w14:paraId="546E8D3E" w14:textId="77777777">
      <w:pPr>
        <w:ind w:left="360"/>
        <w:rPr>
          <w:rFonts w:ascii="Arial" w:hAnsi="Arial" w:cs="Arial"/>
        </w:rPr>
      </w:pPr>
    </w:p>
    <w:p w:rsidR="00E668CF" w:rsidRPr="009A4D95" w:rsidP="009A4D95" w14:paraId="4FD6A84E" w14:textId="6D6BB98F">
      <w:pPr>
        <w:ind w:firstLine="360"/>
        <w:rPr>
          <w:rFonts w:ascii="Arial" w:hAnsi="Arial" w:cs="Arial"/>
        </w:rPr>
      </w:pPr>
      <w:r w:rsidRPr="009A4D95">
        <w:rPr>
          <w:rFonts w:ascii="Arial" w:hAnsi="Arial" w:cs="Arial"/>
        </w:rPr>
        <w:t>The</w:t>
      </w:r>
      <w:r w:rsidRPr="009A4D95" w:rsidR="009A4D95">
        <w:rPr>
          <w:rFonts w:ascii="Arial" w:hAnsi="Arial" w:cs="Arial"/>
        </w:rPr>
        <w:t xml:space="preserve"> </w:t>
      </w:r>
      <w:r w:rsidRPr="009A4D95">
        <w:rPr>
          <w:rFonts w:ascii="Arial" w:hAnsi="Arial" w:cs="Arial"/>
        </w:rPr>
        <w:t>American Payroll Association</w:t>
      </w:r>
      <w:r w:rsidRPr="009A4D95" w:rsidR="009A4D95">
        <w:rPr>
          <w:rFonts w:ascii="Arial" w:hAnsi="Arial" w:cs="Arial"/>
        </w:rPr>
        <w:t xml:space="preserve"> (APA) provided the following suggestions/explanations:</w:t>
      </w:r>
    </w:p>
    <w:p w:rsidR="00E668CF" w:rsidRPr="009A4D95" w:rsidP="00E668CF" w14:paraId="171235D9" w14:textId="77777777">
      <w:pPr>
        <w:pStyle w:val="ListParagraph"/>
        <w:widowControl/>
        <w:ind w:left="1080"/>
        <w:rPr>
          <w:rFonts w:ascii="Arial" w:hAnsi="Arial" w:cs="Arial"/>
        </w:rPr>
      </w:pPr>
    </w:p>
    <w:p w:rsidR="009A4D95" w:rsidRPr="009A4D95" w:rsidP="009A4D95" w14:paraId="54858111" w14:textId="277E2572">
      <w:pPr>
        <w:pStyle w:val="ListParagraph"/>
        <w:widowControl/>
        <w:numPr>
          <w:ilvl w:val="0"/>
          <w:numId w:val="16"/>
        </w:numPr>
        <w:rPr>
          <w:rFonts w:ascii="Arial" w:hAnsi="Arial" w:cs="Arial"/>
          <w:color w:val="000000"/>
        </w:rPr>
      </w:pPr>
      <w:r w:rsidRPr="009A4D95">
        <w:rPr>
          <w:rFonts w:ascii="Arial" w:hAnsi="Arial" w:cs="Arial"/>
          <w:color w:val="000000"/>
        </w:rPr>
        <w:t xml:space="preserve">Move Box 14 (excess golden parachute payments) on Form 1099-MISC to Form 1099-NEC; American Payroll Association – Comments on Forms 1099-MISC and 1099-NEC </w:t>
      </w:r>
    </w:p>
    <w:p w:rsidR="009A4D95" w:rsidRPr="009A4D95" w:rsidP="009A4D95" w14:paraId="66BE8C44" w14:textId="77777777">
      <w:pPr>
        <w:widowControl/>
        <w:rPr>
          <w:rFonts w:ascii="Arial" w:hAnsi="Arial" w:cs="Arial"/>
          <w:color w:val="000000"/>
        </w:rPr>
      </w:pPr>
    </w:p>
    <w:p w:rsidR="009A4D95" w:rsidRPr="009A4D95" w:rsidP="009A4D95" w14:paraId="09F4BDF2" w14:textId="20B54FAE">
      <w:pPr>
        <w:widowControl/>
        <w:ind w:left="360"/>
        <w:rPr>
          <w:rFonts w:ascii="Arial" w:hAnsi="Arial" w:cs="Arial"/>
        </w:rPr>
      </w:pPr>
      <w:r w:rsidRPr="009A4D95">
        <w:rPr>
          <w:rFonts w:ascii="Arial" w:hAnsi="Arial" w:cs="Arial"/>
          <w:b/>
          <w:bCs/>
        </w:rPr>
        <w:t xml:space="preserve">Duplicate Reporting of Golden Parachute Payments </w:t>
      </w:r>
    </w:p>
    <w:p w:rsidR="009A4D95" w:rsidRPr="009A4D95" w:rsidP="009A4D95" w14:paraId="0D27AD22" w14:textId="77777777">
      <w:pPr>
        <w:widowControl/>
        <w:ind w:left="720"/>
        <w:rPr>
          <w:rFonts w:ascii="Arial" w:hAnsi="Arial" w:cs="Arial"/>
        </w:rPr>
      </w:pPr>
      <w:r w:rsidRPr="009A4D95">
        <w:rPr>
          <w:rFonts w:ascii="Arial" w:hAnsi="Arial" w:cs="Arial"/>
        </w:rPr>
        <w:t xml:space="preserve">A nonemployee’s golden parachute payment is currently reported on both Forms 1099-NEC and 1099-MISC when the payment is subject to the excess golden parachute payment excise tax rules. </w:t>
      </w:r>
    </w:p>
    <w:p w:rsidR="009A4D95" w:rsidRPr="009A4D95" w:rsidP="009A4D95" w14:paraId="46299804" w14:textId="3718068A">
      <w:pPr>
        <w:widowControl/>
        <w:ind w:left="720"/>
        <w:rPr>
          <w:rFonts w:ascii="Arial" w:hAnsi="Arial" w:cs="Arial"/>
        </w:rPr>
      </w:pPr>
      <w:r w:rsidRPr="009A4D95">
        <w:rPr>
          <w:rFonts w:ascii="Arial" w:hAnsi="Arial" w:cs="Arial"/>
        </w:rPr>
        <w:t>The following explains this double reporting: Golden parachute payments are reported on Form 1099-NEC, Box 1 (</w:t>
      </w:r>
      <w:r w:rsidRPr="009A4D95">
        <w:rPr>
          <w:rFonts w:ascii="Arial" w:hAnsi="Arial" w:cs="Arial"/>
          <w:i/>
          <w:iCs/>
        </w:rPr>
        <w:t xml:space="preserve">Instructions for Forms 1099-NEC and 1099-MISC, </w:t>
      </w:r>
      <w:r w:rsidRPr="009A4D95">
        <w:rPr>
          <w:rFonts w:ascii="Arial" w:hAnsi="Arial" w:cs="Arial"/>
        </w:rPr>
        <w:t xml:space="preserve">pages 10 and 11). On Form 1099-NEC, “Instructions for Recipient … Box 1. Shows nonemployee compensation. If the amount in this box is SE income, report it on Schedule SE, as well as Schedules C or F (Form 1040) if a sole proprietor, or on Form 1065 and Schedule K-1 (Form 1065) if a partnership, and the recipient/partner completes Schedule SE (Form 1040).” </w:t>
      </w:r>
    </w:p>
    <w:p w:rsidR="009A4D95" w:rsidRPr="009A4D95" w:rsidP="009A4D95" w14:paraId="0262114C" w14:textId="44B9A0CD">
      <w:pPr>
        <w:widowControl/>
        <w:ind w:left="720"/>
        <w:rPr>
          <w:rFonts w:ascii="Arial" w:hAnsi="Arial" w:cs="Arial"/>
        </w:rPr>
      </w:pPr>
      <w:r w:rsidRPr="009A4D95">
        <w:rPr>
          <w:rFonts w:ascii="Arial" w:hAnsi="Arial" w:cs="Arial"/>
        </w:rPr>
        <w:t xml:space="preserve"> Excess golden parachute payments are to be reported on Form 1099-MISC, Box 14 (</w:t>
      </w:r>
      <w:r w:rsidRPr="009A4D95">
        <w:rPr>
          <w:rFonts w:ascii="Arial" w:hAnsi="Arial" w:cs="Arial"/>
          <w:i/>
          <w:iCs/>
        </w:rPr>
        <w:t>Instructions for Forms 1099-NEC</w:t>
      </w:r>
    </w:p>
    <w:p w:rsidR="009A4D95" w:rsidRPr="009A4D95" w:rsidP="009A4D95" w14:paraId="02905A15" w14:textId="77777777">
      <w:pPr>
        <w:widowControl/>
        <w:ind w:left="720"/>
        <w:rPr>
          <w:rFonts w:ascii="Arial" w:hAnsi="Arial" w:cs="Arial"/>
        </w:rPr>
      </w:pPr>
    </w:p>
    <w:p w:rsidR="009A4D95" w:rsidP="009A4D95" w14:paraId="066F7560" w14:textId="3758A07A">
      <w:pPr>
        <w:widowControl/>
        <w:rPr>
          <w:rFonts w:ascii="Arial" w:hAnsi="Arial" w:cs="Arial"/>
        </w:rPr>
      </w:pPr>
      <w:r w:rsidRPr="009A4D95">
        <w:rPr>
          <w:rFonts w:ascii="Arial" w:hAnsi="Arial" w:cs="Arial"/>
        </w:rPr>
        <w:t>After consideration and review the IRS believes that there is currently no duplicate reporting requirement for</w:t>
      </w:r>
      <w:r w:rsidR="00A32DD9">
        <w:rPr>
          <w:rFonts w:ascii="Arial" w:hAnsi="Arial" w:cs="Arial"/>
        </w:rPr>
        <w:t xml:space="preserve"> </w:t>
      </w:r>
      <w:r w:rsidRPr="009A4D95">
        <w:rPr>
          <w:rFonts w:ascii="Arial" w:hAnsi="Arial" w:cs="Arial"/>
        </w:rPr>
        <w:t xml:space="preserve">golden parachute payments (or excess golden parachute payments). However, </w:t>
      </w:r>
      <w:r w:rsidR="00A32DD9">
        <w:rPr>
          <w:rFonts w:ascii="Arial" w:hAnsi="Arial" w:cs="Arial"/>
        </w:rPr>
        <w:t>the IRS</w:t>
      </w:r>
      <w:r w:rsidRPr="009A4D95">
        <w:rPr>
          <w:rFonts w:ascii="Arial" w:hAnsi="Arial" w:cs="Arial"/>
        </w:rPr>
        <w:t xml:space="preserve"> generally agree</w:t>
      </w:r>
      <w:r w:rsidR="00A32DD9">
        <w:rPr>
          <w:rFonts w:ascii="Arial" w:hAnsi="Arial" w:cs="Arial"/>
        </w:rPr>
        <w:t>s</w:t>
      </w:r>
      <w:r w:rsidRPr="009A4D95">
        <w:rPr>
          <w:rFonts w:ascii="Arial" w:hAnsi="Arial" w:cs="Arial"/>
        </w:rPr>
        <w:t xml:space="preserve"> with the APA to the extent it is recommending both that (a) golden parachute payments to nonemployees be reported in Box 1 of Form 1099-NEC; and (b) excess golden parachute payments to nonemployees be reported in a new box on Form 1099-NEC (instead of in Box 14 of Form 1099-MISC). Implementation of that change would appear to simplify taxpayer reporting requirements by having nonemployee parachute payments and excess parachute payments on the same form while not reducing the amount of information collected by the IRS.</w:t>
      </w:r>
    </w:p>
    <w:p w:rsidR="009A4D95" w:rsidP="009A4D95" w14:paraId="1211319C" w14:textId="77777777">
      <w:pPr>
        <w:widowControl/>
        <w:rPr>
          <w:rFonts w:ascii="Arial" w:hAnsi="Arial" w:cs="Arial"/>
        </w:rPr>
      </w:pPr>
    </w:p>
    <w:p w:rsidR="009A4D95" w:rsidRPr="009A4D95" w:rsidP="009A4D95" w14:paraId="420BBDE4" w14:textId="77777777">
      <w:pPr>
        <w:widowControl/>
        <w:rPr>
          <w:rFonts w:ascii="Arial" w:hAnsi="Arial" w:cs="Arial"/>
          <w:color w:val="000000"/>
        </w:rPr>
      </w:pPr>
    </w:p>
    <w:sectPr w:rsidSect="00D71D03">
      <w:type w:val="continuous"/>
      <w:pgSz w:w="12240" w:h="15840"/>
      <w:pgMar w:top="720" w:right="720" w:bottom="720" w:left="720"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E142AA"/>
    <w:multiLevelType w:val="hybridMultilevel"/>
    <w:tmpl w:val="12B3F83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94EE777"/>
    <w:multiLevelType w:val="hybridMultilevel"/>
    <w:tmpl w:val="33275821"/>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393D17E"/>
    <w:multiLevelType w:val="hybridMultilevel"/>
    <w:tmpl w:val="444C755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B6F780D"/>
    <w:multiLevelType w:val="hybridMultilevel"/>
    <w:tmpl w:val="AD83027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EADD3402"/>
    <w:multiLevelType w:val="hybridMultilevel"/>
    <w:tmpl w:val="502BE66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1C04F50"/>
    <w:multiLevelType w:val="hybridMultilevel"/>
    <w:tmpl w:val="0472025E"/>
    <w:lvl w:ilvl="0">
      <w:start w:val="6041"/>
      <w:numFmt w:val="bullet"/>
      <w:lvlText w:val="-"/>
      <w:lvlJc w:val="left"/>
      <w:pPr>
        <w:ind w:left="1080" w:hanging="360"/>
      </w:pPr>
      <w:rPr>
        <w:rFonts w:ascii="Shruti" w:eastAsia="Times New Roman" w:hAnsi="Shruti" w:cs="Shrut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F233F08"/>
    <w:multiLevelType w:val="hybridMultilevel"/>
    <w:tmpl w:val="87CAC70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C94392B"/>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C9B54E2"/>
    <w:multiLevelType w:val="hybridMultilevel"/>
    <w:tmpl w:val="4B5A0A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8093F53"/>
    <w:multiLevelType w:val="hybridMultilevel"/>
    <w:tmpl w:val="4676A6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17AB7D"/>
    <w:multiLevelType w:val="hybridMultilevel"/>
    <w:tmpl w:val="C13583BB"/>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E704B06"/>
    <w:multiLevelType w:val="hybridMultilevel"/>
    <w:tmpl w:val="D0F60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9AA6C0C"/>
    <w:multiLevelType w:val="hybridMultilevel"/>
    <w:tmpl w:val="3392F474"/>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C69F824"/>
    <w:multiLevelType w:val="hybridMultilevel"/>
    <w:tmpl w:val="9EDF15B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70E35E6"/>
    <w:multiLevelType w:val="hybridMultilevel"/>
    <w:tmpl w:val="A9EEAE16"/>
    <w:lvl w:ilvl="0">
      <w:start w:val="6041"/>
      <w:numFmt w:val="bullet"/>
      <w:lvlText w:val="-"/>
      <w:lvlJc w:val="left"/>
      <w:pPr>
        <w:ind w:left="720" w:hanging="360"/>
      </w:pPr>
      <w:rPr>
        <w:rFonts w:ascii="Shruti" w:eastAsia="Times New Roman" w:hAnsi="Shruti" w:cs="Shrut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8281200">
    <w:abstractNumId w:val="14"/>
  </w:num>
  <w:num w:numId="2" w16cid:durableId="1355184750">
    <w:abstractNumId w:val="5"/>
  </w:num>
  <w:num w:numId="3" w16cid:durableId="629021601">
    <w:abstractNumId w:val="11"/>
  </w:num>
  <w:num w:numId="4" w16cid:durableId="1538931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7054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457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272144">
    <w:abstractNumId w:val="0"/>
  </w:num>
  <w:num w:numId="8" w16cid:durableId="682783772">
    <w:abstractNumId w:val="13"/>
  </w:num>
  <w:num w:numId="9" w16cid:durableId="826940262">
    <w:abstractNumId w:val="10"/>
  </w:num>
  <w:num w:numId="10" w16cid:durableId="407926589">
    <w:abstractNumId w:val="1"/>
  </w:num>
  <w:num w:numId="11" w16cid:durableId="139157857">
    <w:abstractNumId w:val="7"/>
  </w:num>
  <w:num w:numId="12" w16cid:durableId="1157383244">
    <w:abstractNumId w:val="8"/>
  </w:num>
  <w:num w:numId="13" w16cid:durableId="95910807">
    <w:abstractNumId w:val="2"/>
  </w:num>
  <w:num w:numId="14" w16cid:durableId="158082408">
    <w:abstractNumId w:val="4"/>
  </w:num>
  <w:num w:numId="15" w16cid:durableId="947273165">
    <w:abstractNumId w:val="3"/>
  </w:num>
  <w:num w:numId="16" w16cid:durableId="1429157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44C33"/>
    <w:rsid w:val="00047E58"/>
    <w:rsid w:val="00076688"/>
    <w:rsid w:val="00081A3E"/>
    <w:rsid w:val="000C413E"/>
    <w:rsid w:val="00113C63"/>
    <w:rsid w:val="00143244"/>
    <w:rsid w:val="00153F06"/>
    <w:rsid w:val="00184524"/>
    <w:rsid w:val="00193265"/>
    <w:rsid w:val="001C2BB3"/>
    <w:rsid w:val="00225045"/>
    <w:rsid w:val="00255A98"/>
    <w:rsid w:val="00265F1C"/>
    <w:rsid w:val="00291F5D"/>
    <w:rsid w:val="002A1545"/>
    <w:rsid w:val="002A63A0"/>
    <w:rsid w:val="002E0A26"/>
    <w:rsid w:val="002F28A9"/>
    <w:rsid w:val="003042E5"/>
    <w:rsid w:val="0031378D"/>
    <w:rsid w:val="003344FF"/>
    <w:rsid w:val="0036591A"/>
    <w:rsid w:val="00384981"/>
    <w:rsid w:val="00396ED8"/>
    <w:rsid w:val="004009A6"/>
    <w:rsid w:val="00411B73"/>
    <w:rsid w:val="00421D9D"/>
    <w:rsid w:val="004366AC"/>
    <w:rsid w:val="004428E6"/>
    <w:rsid w:val="00450051"/>
    <w:rsid w:val="004963C9"/>
    <w:rsid w:val="004A3526"/>
    <w:rsid w:val="004B0344"/>
    <w:rsid w:val="004B3FFA"/>
    <w:rsid w:val="00506740"/>
    <w:rsid w:val="00530ACE"/>
    <w:rsid w:val="005608FF"/>
    <w:rsid w:val="0056266B"/>
    <w:rsid w:val="00584996"/>
    <w:rsid w:val="005944B8"/>
    <w:rsid w:val="005A132C"/>
    <w:rsid w:val="005C1AFC"/>
    <w:rsid w:val="005C6FAD"/>
    <w:rsid w:val="005D30EC"/>
    <w:rsid w:val="005F010F"/>
    <w:rsid w:val="006039BB"/>
    <w:rsid w:val="0062680B"/>
    <w:rsid w:val="00673C14"/>
    <w:rsid w:val="0067750C"/>
    <w:rsid w:val="0068612F"/>
    <w:rsid w:val="006A24CC"/>
    <w:rsid w:val="006B2CE0"/>
    <w:rsid w:val="006D2DFD"/>
    <w:rsid w:val="00704E4C"/>
    <w:rsid w:val="00757603"/>
    <w:rsid w:val="00790BED"/>
    <w:rsid w:val="007A6726"/>
    <w:rsid w:val="007B06E3"/>
    <w:rsid w:val="007B2E84"/>
    <w:rsid w:val="007C620E"/>
    <w:rsid w:val="007F60CB"/>
    <w:rsid w:val="008429FD"/>
    <w:rsid w:val="0087542C"/>
    <w:rsid w:val="008A2966"/>
    <w:rsid w:val="008B7C70"/>
    <w:rsid w:val="008D0F5B"/>
    <w:rsid w:val="008E738F"/>
    <w:rsid w:val="00916890"/>
    <w:rsid w:val="00990E50"/>
    <w:rsid w:val="009A4D95"/>
    <w:rsid w:val="009B5243"/>
    <w:rsid w:val="009C0B56"/>
    <w:rsid w:val="009D34E9"/>
    <w:rsid w:val="00A0444D"/>
    <w:rsid w:val="00A20BCE"/>
    <w:rsid w:val="00A21D8A"/>
    <w:rsid w:val="00A32DD9"/>
    <w:rsid w:val="00A43645"/>
    <w:rsid w:val="00A753EC"/>
    <w:rsid w:val="00A75ED4"/>
    <w:rsid w:val="00A871AD"/>
    <w:rsid w:val="00AB5E5A"/>
    <w:rsid w:val="00AF43E6"/>
    <w:rsid w:val="00B21EBD"/>
    <w:rsid w:val="00B31951"/>
    <w:rsid w:val="00B74889"/>
    <w:rsid w:val="00B9298C"/>
    <w:rsid w:val="00BC49FD"/>
    <w:rsid w:val="00C334FA"/>
    <w:rsid w:val="00C54C2D"/>
    <w:rsid w:val="00C64BD7"/>
    <w:rsid w:val="00C83AD8"/>
    <w:rsid w:val="00C85B97"/>
    <w:rsid w:val="00CA3DBB"/>
    <w:rsid w:val="00CC59DD"/>
    <w:rsid w:val="00D23583"/>
    <w:rsid w:val="00D24EFE"/>
    <w:rsid w:val="00D56EB0"/>
    <w:rsid w:val="00D71D03"/>
    <w:rsid w:val="00D75B20"/>
    <w:rsid w:val="00DC402A"/>
    <w:rsid w:val="00DE21A4"/>
    <w:rsid w:val="00E21EBC"/>
    <w:rsid w:val="00E432D7"/>
    <w:rsid w:val="00E436B2"/>
    <w:rsid w:val="00E44DA0"/>
    <w:rsid w:val="00E50DEB"/>
    <w:rsid w:val="00E56BF8"/>
    <w:rsid w:val="00E668CF"/>
    <w:rsid w:val="00EE7FF3"/>
    <w:rsid w:val="00F26657"/>
    <w:rsid w:val="00F91B7E"/>
    <w:rsid w:val="00FA1223"/>
    <w:rsid w:val="00FC5AA5"/>
    <w:rsid w:val="00FF3A67"/>
    <w:rsid w:val="00FF5A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CBAF52"/>
  <w15:chartTrackingRefBased/>
  <w15:docId w15:val="{34E3EAD3-9612-466A-B87D-F8171CC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B929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F43E6"/>
    <w:rPr>
      <w:color w:val="0000FF"/>
      <w:u w:val="single"/>
    </w:rPr>
  </w:style>
  <w:style w:type="paragraph" w:customStyle="1" w:styleId="Default">
    <w:name w:val="Default"/>
    <w:rsid w:val="00A75ED4"/>
    <w:pPr>
      <w:autoSpaceDE w:val="0"/>
      <w:autoSpaceDN w:val="0"/>
      <w:adjustRightInd w:val="0"/>
    </w:pPr>
    <w:rPr>
      <w:rFonts w:ascii="Arial" w:hAnsi="Arial" w:cs="Arial"/>
      <w:color w:val="000000"/>
      <w:sz w:val="24"/>
      <w:szCs w:val="24"/>
    </w:rPr>
  </w:style>
  <w:style w:type="character" w:styleId="FollowedHyperlink">
    <w:name w:val="FollowedHyperlink"/>
    <w:rsid w:val="007A6726"/>
    <w:rPr>
      <w:color w:val="800080"/>
      <w:u w:val="single"/>
    </w:rPr>
  </w:style>
  <w:style w:type="character" w:styleId="UnresolvedMention">
    <w:name w:val="Unresolved Mention"/>
    <w:uiPriority w:val="99"/>
    <w:semiHidden/>
    <w:unhideWhenUsed/>
    <w:rsid w:val="00AB5E5A"/>
    <w:rPr>
      <w:color w:val="605E5C"/>
      <w:shd w:val="clear" w:color="auto" w:fill="E1DFDD"/>
    </w:rPr>
  </w:style>
  <w:style w:type="paragraph" w:styleId="BalloonText">
    <w:name w:val="Balloon Text"/>
    <w:basedOn w:val="Normal"/>
    <w:link w:val="BalloonTextChar"/>
    <w:rsid w:val="005C6FAD"/>
    <w:rPr>
      <w:rFonts w:ascii="Segoe UI" w:hAnsi="Segoe UI" w:cs="Segoe UI"/>
      <w:sz w:val="18"/>
      <w:szCs w:val="18"/>
    </w:rPr>
  </w:style>
  <w:style w:type="character" w:customStyle="1" w:styleId="BalloonTextChar">
    <w:name w:val="Balloon Text Char"/>
    <w:link w:val="BalloonText"/>
    <w:rsid w:val="005C6FAD"/>
    <w:rPr>
      <w:rFonts w:ascii="Segoe UI" w:hAnsi="Segoe UI" w:cs="Segoe UI"/>
      <w:sz w:val="18"/>
      <w:szCs w:val="18"/>
    </w:rPr>
  </w:style>
  <w:style w:type="character" w:styleId="CommentReference">
    <w:name w:val="annotation reference"/>
    <w:basedOn w:val="DefaultParagraphFont"/>
    <w:rsid w:val="00184524"/>
    <w:rPr>
      <w:sz w:val="16"/>
      <w:szCs w:val="16"/>
    </w:rPr>
  </w:style>
  <w:style w:type="paragraph" w:styleId="CommentText">
    <w:name w:val="annotation text"/>
    <w:basedOn w:val="Normal"/>
    <w:link w:val="CommentTextChar"/>
    <w:rsid w:val="00184524"/>
    <w:rPr>
      <w:sz w:val="20"/>
      <w:szCs w:val="20"/>
    </w:rPr>
  </w:style>
  <w:style w:type="character" w:customStyle="1" w:styleId="CommentTextChar">
    <w:name w:val="Comment Text Char"/>
    <w:basedOn w:val="DefaultParagraphFont"/>
    <w:link w:val="CommentText"/>
    <w:rsid w:val="00184524"/>
    <w:rPr>
      <w:rFonts w:ascii="Shruti" w:hAnsi="Shruti"/>
    </w:rPr>
  </w:style>
  <w:style w:type="paragraph" w:styleId="CommentSubject">
    <w:name w:val="annotation subject"/>
    <w:basedOn w:val="CommentText"/>
    <w:next w:val="CommentText"/>
    <w:link w:val="CommentSubjectChar"/>
    <w:rsid w:val="00184524"/>
    <w:rPr>
      <w:b/>
      <w:bCs/>
    </w:rPr>
  </w:style>
  <w:style w:type="character" w:customStyle="1" w:styleId="CommentSubjectChar">
    <w:name w:val="Comment Subject Char"/>
    <w:basedOn w:val="CommentTextChar"/>
    <w:link w:val="CommentSubject"/>
    <w:rsid w:val="00184524"/>
    <w:rPr>
      <w:rFonts w:ascii="Shruti" w:hAnsi="Shruti"/>
      <w:b/>
      <w:bCs/>
    </w:rPr>
  </w:style>
  <w:style w:type="paragraph" w:styleId="NoSpacing">
    <w:name w:val="No Spacing"/>
    <w:uiPriority w:val="1"/>
    <w:qFormat/>
    <w:rsid w:val="00E668CF"/>
    <w:rPr>
      <w:rFonts w:asciiTheme="minorHAnsi" w:eastAsiaTheme="minorHAnsi" w:hAnsiTheme="minorHAnsi" w:cstheme="minorBidi"/>
      <w:sz w:val="22"/>
      <w:szCs w:val="22"/>
    </w:rPr>
  </w:style>
  <w:style w:type="paragraph" w:styleId="ListParagraph">
    <w:name w:val="List Paragraph"/>
    <w:basedOn w:val="Normal"/>
    <w:uiPriority w:val="34"/>
    <w:qFormat/>
    <w:rsid w:val="00E668CF"/>
    <w:pPr>
      <w:ind w:left="720"/>
      <w:contextualSpacing/>
    </w:pPr>
    <w:rPr>
      <w:rFonts w:ascii="Times New Roman" w:hAnsi="Times New Roman"/>
    </w:rPr>
  </w:style>
  <w:style w:type="table" w:styleId="TableGrid">
    <w:name w:val="Table Grid"/>
    <w:basedOn w:val="TableNormal"/>
    <w:rsid w:val="00E668C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9298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B9298C"/>
    <w:rPr>
      <w:i/>
      <w:iCs/>
    </w:rPr>
  </w:style>
  <w:style w:type="paragraph" w:styleId="Revision">
    <w:name w:val="Revision"/>
    <w:hidden/>
    <w:uiPriority w:val="99"/>
    <w:semiHidden/>
    <w:rsid w:val="009A4D95"/>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313</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XHFNB</dc:creator>
  <cp:lastModifiedBy>Durbala R Joseph</cp:lastModifiedBy>
  <cp:revision>5</cp:revision>
  <dcterms:created xsi:type="dcterms:W3CDTF">2022-07-27T21:12:00Z</dcterms:created>
  <dcterms:modified xsi:type="dcterms:W3CDTF">2024-08-07T23:01:00Z</dcterms:modified>
</cp:coreProperties>
</file>