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573C8" w:rsidRPr="00702B07" w:rsidP="00695940" w14:paraId="448EF09E" w14:textId="77777777">
      <w:pPr>
        <w:ind w:left="-90"/>
        <w:jc w:val="center"/>
        <w:rPr>
          <w:b/>
          <w:bCs/>
        </w:rPr>
      </w:pPr>
      <w:r w:rsidRPr="00702B07">
        <w:rPr>
          <w:b/>
          <w:bCs/>
        </w:rPr>
        <w:t>SUPPORTING STATEMENT</w:t>
      </w:r>
    </w:p>
    <w:p w:rsidR="00BE5210" w:rsidRPr="00702B07" w:rsidP="00695940" w14:paraId="3AB1B225" w14:textId="77777777">
      <w:pPr>
        <w:ind w:left="-90"/>
        <w:jc w:val="center"/>
        <w:rPr>
          <w:bCs/>
        </w:rPr>
      </w:pPr>
      <w:r w:rsidRPr="00702B07">
        <w:rPr>
          <w:bCs/>
        </w:rPr>
        <w:t>Internal Revenue Service</w:t>
      </w:r>
    </w:p>
    <w:p w:rsidR="004D2158" w:rsidP="00695940" w14:paraId="4E0BF9A0" w14:textId="77777777">
      <w:pPr>
        <w:ind w:left="-90"/>
        <w:jc w:val="center"/>
        <w:rPr>
          <w:color w:val="000000"/>
        </w:rPr>
      </w:pPr>
      <w:r w:rsidRPr="004D2158">
        <w:rPr>
          <w:color w:val="000000"/>
        </w:rPr>
        <w:t xml:space="preserve">Repayment of a buyout prior to re-employment with the Federal Government </w:t>
      </w:r>
    </w:p>
    <w:p w:rsidR="00636B94" w:rsidRPr="00702B07" w:rsidP="00695940" w14:paraId="3C745434" w14:textId="181C9D64">
      <w:pPr>
        <w:ind w:left="-90"/>
        <w:jc w:val="center"/>
      </w:pPr>
      <w:r w:rsidRPr="00702B07">
        <w:rPr>
          <w:bCs/>
        </w:rPr>
        <w:t xml:space="preserve">OMB </w:t>
      </w:r>
      <w:r w:rsidR="009A3D84">
        <w:rPr>
          <w:bCs/>
        </w:rPr>
        <w:t>control number</w:t>
      </w:r>
      <w:r w:rsidRPr="00702B07">
        <w:rPr>
          <w:bCs/>
        </w:rPr>
        <w:t xml:space="preserve"> </w:t>
      </w:r>
      <w:r w:rsidRPr="009A3D84">
        <w:t>1545-</w:t>
      </w:r>
      <w:r w:rsidRPr="009A3D84" w:rsidR="004D2158">
        <w:t>1920</w:t>
      </w:r>
    </w:p>
    <w:p w:rsidR="00C573C8" w:rsidRPr="00702B07" w:rsidP="00BE5210" w14:paraId="55CF2A01" w14:textId="64770130">
      <w:pPr>
        <w:ind w:left="-90"/>
      </w:pPr>
    </w:p>
    <w:p w:rsidR="00C573C8" w:rsidRPr="009A3D84" w:rsidP="00AA539A" w14:paraId="078B3D69" w14:textId="14EA888A">
      <w:pPr>
        <w:ind w:right="-72"/>
        <w:rPr>
          <w:b/>
        </w:rPr>
      </w:pPr>
      <w:r w:rsidRPr="009A3D84">
        <w:rPr>
          <w:b/>
        </w:rPr>
        <w:t>1.</w:t>
      </w:r>
      <w:r w:rsidRPr="009A3D84" w:rsidR="009A3D84">
        <w:rPr>
          <w:b/>
        </w:rPr>
        <w:tab/>
      </w:r>
      <w:r w:rsidRPr="009A3D84">
        <w:rPr>
          <w:b/>
          <w:u w:val="single"/>
        </w:rPr>
        <w:t>CIRCUMSTANCES NECESSITATING COLLECTION OF INFORMATION</w:t>
      </w:r>
    </w:p>
    <w:p w:rsidR="00C573C8" w:rsidRPr="00702B07" w14:paraId="03BF9ED8" w14:textId="77777777">
      <w:pPr>
        <w:ind w:left="-72" w:right="-72"/>
      </w:pPr>
    </w:p>
    <w:p w:rsidR="00C573C8" w:rsidP="009A3D84" w14:paraId="693D72B3" w14:textId="77777777">
      <w:pPr>
        <w:ind w:left="720" w:right="-72"/>
      </w:pPr>
      <w:r>
        <w:t>Public Law (PL) 103-226, PL 104-208, and PL 107-296 require an individual who received a buyout at the time of separation from the Federal Government to repay the entire amount of the buyout (including all deductions for taxes) to their former agency, if they are re-employed within 5 years following the effective date of separation on which the payment was based. This requirement applies to any employment, of any length, in any entity of the Federal Government. PL 104-208 and 107-296 requires the repayment be made prior to the employee's first day of employment. PL 103-226 allows for the repayment over an extended period.</w:t>
      </w:r>
    </w:p>
    <w:p w:rsidR="004D2158" w:rsidP="004D2158" w14:paraId="756619A3" w14:textId="77777777">
      <w:pPr>
        <w:ind w:left="360" w:right="-72"/>
      </w:pPr>
    </w:p>
    <w:p w:rsidR="004D2158" w:rsidP="009A3D84" w14:paraId="68F26F88" w14:textId="47D7C4C9">
      <w:pPr>
        <w:ind w:left="720" w:right="-72"/>
      </w:pPr>
      <w:r>
        <w:t>Form 12311</w:t>
      </w:r>
      <w:r w:rsidR="009A3D84">
        <w:t xml:space="preserve"> </w:t>
      </w:r>
      <w:r w:rsidRPr="004D2158">
        <w:t xml:space="preserve">outlines the </w:t>
      </w:r>
      <w:r w:rsidR="00CC5D22">
        <w:t xml:space="preserve">laws and </w:t>
      </w:r>
      <w:r w:rsidRPr="004D2158">
        <w:t>regulations requiring those employees being rehired by the government and received a buyout from their previous job to make repayment of the buyout before they will be hired again.</w:t>
      </w:r>
    </w:p>
    <w:p w:rsidR="004D2158" w:rsidRPr="00702B07" w:rsidP="004D2158" w14:paraId="37ADB535" w14:textId="77777777">
      <w:pPr>
        <w:ind w:left="720" w:right="-72"/>
      </w:pPr>
    </w:p>
    <w:p w:rsidR="00C573C8" w:rsidRPr="009A3D84" w:rsidP="00AA539A" w14:paraId="1E0D9550" w14:textId="26062ECD">
      <w:pPr>
        <w:ind w:right="-72"/>
        <w:rPr>
          <w:b/>
        </w:rPr>
      </w:pPr>
      <w:r w:rsidRPr="009A3D84">
        <w:rPr>
          <w:b/>
        </w:rPr>
        <w:t>2.</w:t>
      </w:r>
      <w:r w:rsidRPr="009A3D84" w:rsidR="009A3D84">
        <w:rPr>
          <w:b/>
        </w:rPr>
        <w:tab/>
      </w:r>
      <w:r w:rsidRPr="009A3D84">
        <w:rPr>
          <w:b/>
          <w:u w:val="single"/>
        </w:rPr>
        <w:t>USE OF DATA</w:t>
      </w:r>
    </w:p>
    <w:p w:rsidR="00C573C8" w:rsidRPr="00702B07" w:rsidP="00702B07" w14:paraId="0A25D67D" w14:textId="77777777"/>
    <w:p w:rsidR="006C11B8" w:rsidP="009A3D84" w14:paraId="68A22444" w14:textId="4386BF35">
      <w:pPr>
        <w:ind w:left="720" w:right="-72"/>
      </w:pPr>
      <w:r>
        <w:t xml:space="preserve">The data will be used by the IRS </w:t>
      </w:r>
      <w:r w:rsidRPr="004D2158" w:rsidR="004D2158">
        <w:t xml:space="preserve">to determine if an applicant was previously employed by the Federal Government, and if they received a Buyout within the last 5 years </w:t>
      </w:r>
      <w:r w:rsidR="004D2158">
        <w:t>prior to employment.</w:t>
      </w:r>
    </w:p>
    <w:p w:rsidR="004D2158" w:rsidRPr="00702B07" w:rsidP="009A3D84" w14:paraId="2F564103" w14:textId="77777777">
      <w:pPr>
        <w:ind w:right="-72"/>
      </w:pPr>
    </w:p>
    <w:p w:rsidR="00C573C8" w:rsidRPr="009A3D84" w:rsidP="00AA539A" w14:paraId="1B08D0AE" w14:textId="5E89F3AB">
      <w:pPr>
        <w:ind w:right="-72"/>
        <w:rPr>
          <w:b/>
        </w:rPr>
      </w:pPr>
      <w:r w:rsidRPr="009A3D84">
        <w:rPr>
          <w:b/>
        </w:rPr>
        <w:t>3.</w:t>
      </w:r>
      <w:r w:rsidRPr="009A3D84" w:rsidR="009A3D84">
        <w:rPr>
          <w:b/>
        </w:rPr>
        <w:tab/>
      </w:r>
      <w:r w:rsidRPr="009A3D84">
        <w:rPr>
          <w:b/>
          <w:u w:val="single"/>
        </w:rPr>
        <w:t>USE OF IMPROVED INFORMATION TECHNOLOGY TO REDUCE BURDEN</w:t>
      </w:r>
    </w:p>
    <w:p w:rsidR="00C573C8" w:rsidRPr="00702B07" w14:paraId="3C3A6CB7" w14:textId="77777777">
      <w:pPr>
        <w:ind w:left="-72" w:right="-72"/>
      </w:pPr>
    </w:p>
    <w:p w:rsidR="006C11B8" w:rsidRPr="006C11B8" w:rsidP="009A3D84" w14:paraId="28698997" w14:textId="3CD0019E">
      <w:pPr>
        <w:ind w:left="720" w:right="-72"/>
      </w:pPr>
      <w:r w:rsidRPr="004D2158">
        <w:t>We have no plans at this time to offer electronic filing because of low volume compared to the cost of electronic enabling</w:t>
      </w:r>
      <w:r w:rsidR="006B2489">
        <w:t>.</w:t>
      </w:r>
    </w:p>
    <w:p w:rsidR="00C573C8" w:rsidRPr="00702B07" w14:paraId="73D028EA" w14:textId="77777777">
      <w:pPr>
        <w:ind w:left="-72" w:right="-72"/>
      </w:pPr>
    </w:p>
    <w:p w:rsidR="00C573C8" w:rsidRPr="009A3D84" w:rsidP="00AA539A" w14:paraId="13BE88A7" w14:textId="68987DAD">
      <w:pPr>
        <w:ind w:right="-72"/>
        <w:rPr>
          <w:b/>
        </w:rPr>
      </w:pPr>
      <w:r w:rsidRPr="009A3D84">
        <w:rPr>
          <w:b/>
        </w:rPr>
        <w:t>4.</w:t>
      </w:r>
      <w:r w:rsidR="009A3D84">
        <w:rPr>
          <w:b/>
        </w:rPr>
        <w:tab/>
      </w:r>
      <w:r w:rsidRPr="009A3D84">
        <w:rPr>
          <w:b/>
          <w:u w:val="single"/>
        </w:rPr>
        <w:t>EFFORTS TO IDENTIFY DUPLICATION</w:t>
      </w:r>
    </w:p>
    <w:p w:rsidR="00C573C8" w:rsidRPr="00702B07" w14:paraId="0F8D3B06" w14:textId="77777777">
      <w:pPr>
        <w:ind w:left="-72" w:right="-72"/>
      </w:pPr>
    </w:p>
    <w:p w:rsidR="00C573C8" w:rsidRPr="00702B07" w:rsidP="009A3D84" w14:paraId="381E0C2E" w14:textId="77777777">
      <w:pPr>
        <w:ind w:left="720" w:right="-72"/>
      </w:pPr>
      <w:r w:rsidRPr="00312D9C">
        <w:t>The information obtained through this collection is unique and is not already available for use or adaptation from another source</w:t>
      </w:r>
      <w:r w:rsidRPr="00702B07">
        <w:t xml:space="preserve">.  </w:t>
      </w:r>
    </w:p>
    <w:p w:rsidR="006B2489" w:rsidP="00AA539A" w14:paraId="73C6009F" w14:textId="77777777">
      <w:pPr>
        <w:ind w:left="360" w:right="-72" w:hanging="360"/>
        <w:rPr>
          <w:bCs/>
        </w:rPr>
      </w:pPr>
    </w:p>
    <w:p w:rsidR="00C573C8" w:rsidRPr="009A3D84" w:rsidP="009A3D84" w14:paraId="0E12D1A5" w14:textId="75CC2057">
      <w:pPr>
        <w:ind w:left="720" w:right="-72" w:hanging="720"/>
        <w:rPr>
          <w:b/>
        </w:rPr>
      </w:pPr>
      <w:r w:rsidRPr="009A3D84">
        <w:rPr>
          <w:b/>
        </w:rPr>
        <w:t>5.</w:t>
      </w:r>
      <w:r w:rsidRPr="009A3D84" w:rsidR="009A3D84">
        <w:rPr>
          <w:b/>
        </w:rPr>
        <w:tab/>
      </w:r>
      <w:r w:rsidRPr="009A3D84">
        <w:rPr>
          <w:b/>
          <w:u w:val="single"/>
        </w:rPr>
        <w:t>METHODS TO MINIMIZE BURDEN ON SMALL BUSINESSES OR OTHER</w:t>
      </w:r>
      <w:r w:rsidRPr="009A3D84" w:rsidR="00CC6C32">
        <w:rPr>
          <w:b/>
          <w:u w:val="single"/>
        </w:rPr>
        <w:t xml:space="preserve"> </w:t>
      </w:r>
      <w:r w:rsidRPr="009A3D84">
        <w:rPr>
          <w:b/>
          <w:u w:val="single"/>
        </w:rPr>
        <w:t>SMALL</w:t>
      </w:r>
      <w:r w:rsidRPr="009A3D84" w:rsidR="00AA539A">
        <w:rPr>
          <w:b/>
          <w:u w:val="single"/>
        </w:rPr>
        <w:t xml:space="preserve"> </w:t>
      </w:r>
      <w:r w:rsidRPr="009A3D84">
        <w:rPr>
          <w:b/>
          <w:u w:val="single"/>
        </w:rPr>
        <w:t>ENTITIES</w:t>
      </w:r>
    </w:p>
    <w:p w:rsidR="00C573C8" w:rsidRPr="00702B07" w14:paraId="0301606A" w14:textId="77777777">
      <w:pPr>
        <w:ind w:left="-72" w:right="-72"/>
      </w:pPr>
    </w:p>
    <w:p w:rsidR="00D05E8B" w:rsidP="009A3D84" w14:paraId="66DC8232" w14:textId="77777777">
      <w:pPr>
        <w:ind w:left="360" w:right="-72" w:firstLine="360"/>
      </w:pPr>
      <w:r w:rsidRPr="00695D49">
        <w:t>There are no small entities affected by this collection.</w:t>
      </w:r>
    </w:p>
    <w:p w:rsidR="00695D49" w:rsidP="009A3D84" w14:paraId="347BA124" w14:textId="77777777">
      <w:pPr>
        <w:ind w:right="-72"/>
      </w:pPr>
    </w:p>
    <w:p w:rsidR="00C573C8" w:rsidRPr="009A3D84" w:rsidP="009A3D84" w14:paraId="05E1BEEB" w14:textId="28D01E47">
      <w:pPr>
        <w:ind w:left="720" w:right="-72" w:hanging="720"/>
        <w:rPr>
          <w:b/>
        </w:rPr>
      </w:pPr>
      <w:r w:rsidRPr="009A3D84">
        <w:rPr>
          <w:b/>
        </w:rPr>
        <w:t>6.</w:t>
      </w:r>
      <w:r w:rsidR="009A3D84">
        <w:rPr>
          <w:b/>
        </w:rPr>
        <w:tab/>
      </w:r>
      <w:r w:rsidRPr="009A3D84">
        <w:rPr>
          <w:b/>
          <w:u w:val="single"/>
        </w:rPr>
        <w:t>CONSEQUENCES OF LESS FREQUENT COLLECTION ON FEDERAL</w:t>
      </w:r>
      <w:r w:rsidRPr="009A3D84" w:rsidR="000A2988">
        <w:rPr>
          <w:b/>
          <w:u w:val="single"/>
        </w:rPr>
        <w:t xml:space="preserve"> </w:t>
      </w:r>
      <w:r w:rsidRPr="009A3D84">
        <w:rPr>
          <w:b/>
          <w:u w:val="single"/>
        </w:rPr>
        <w:t>PROGRAMS</w:t>
      </w:r>
      <w:r w:rsidRPr="009A3D84" w:rsidR="000A2988">
        <w:rPr>
          <w:b/>
          <w:u w:val="single"/>
        </w:rPr>
        <w:t xml:space="preserve"> </w:t>
      </w:r>
      <w:r w:rsidRPr="009A3D84">
        <w:rPr>
          <w:b/>
          <w:u w:val="single"/>
        </w:rPr>
        <w:t>OR POLICY ACTIVITIES</w:t>
      </w:r>
    </w:p>
    <w:p w:rsidR="00C573C8" w:rsidRPr="00702B07" w14:paraId="4065F2DF" w14:textId="77777777">
      <w:pPr>
        <w:ind w:left="-72" w:right="-72"/>
      </w:pPr>
    </w:p>
    <w:p w:rsidR="006C11B8" w:rsidP="00D85B57" w14:paraId="3903074D" w14:textId="5A887AC0">
      <w:pPr>
        <w:ind w:left="720" w:right="-72"/>
      </w:pPr>
      <w:r>
        <w:t>F</w:t>
      </w:r>
      <w:r w:rsidRPr="00895AED" w:rsidR="00895AED">
        <w:t xml:space="preserve">ailure to </w:t>
      </w:r>
      <w:r>
        <w:t xml:space="preserve">collect and retain the information outlined in the regulations </w:t>
      </w:r>
      <w:r w:rsidR="004D2158">
        <w:t>could affect the hiring process and tax obligations to the potential employee (taxpayer)</w:t>
      </w:r>
      <w:r w:rsidR="006B2489">
        <w:t>.  This could result in tax penalties to the taxpayers and inconsistent reporting of data</w:t>
      </w:r>
      <w:r w:rsidR="004D2158">
        <w:t>.</w:t>
      </w:r>
    </w:p>
    <w:p w:rsidR="009A3D84" w:rsidRPr="00702B07" w:rsidP="009A3D84" w14:paraId="07DBD414" w14:textId="77777777">
      <w:pPr>
        <w:ind w:right="-72"/>
      </w:pPr>
    </w:p>
    <w:p w:rsidR="00C573C8" w:rsidRPr="009A3D84" w:rsidP="009A3D84" w14:paraId="443BED50" w14:textId="4D7BF8D7">
      <w:pPr>
        <w:ind w:left="720" w:right="-72" w:hanging="720"/>
        <w:rPr>
          <w:b/>
        </w:rPr>
      </w:pPr>
      <w:r w:rsidRPr="009A3D84">
        <w:rPr>
          <w:b/>
        </w:rPr>
        <w:t>7.</w:t>
      </w:r>
      <w:r w:rsidRPr="009A3D84" w:rsidR="009A3D84">
        <w:rPr>
          <w:b/>
        </w:rPr>
        <w:tab/>
      </w:r>
      <w:r w:rsidRPr="009A3D84">
        <w:rPr>
          <w:b/>
          <w:u w:val="single"/>
        </w:rPr>
        <w:t>SPECIAL CIRCUMSTANCES REQUIRING DATA COLLECTION TO BE INCONSISTENT WITH GUIDELINES IN 5 CFR 1320.5(d)(2)</w:t>
      </w:r>
    </w:p>
    <w:p w:rsidR="00C573C8" w:rsidRPr="00702B07" w:rsidP="009A3D84" w14:paraId="4A0BF5D2" w14:textId="77777777">
      <w:pPr>
        <w:ind w:right="-72"/>
      </w:pPr>
    </w:p>
    <w:p w:rsidR="00C573C8" w:rsidP="009A3D84" w14:paraId="47E2585F" w14:textId="13F27578">
      <w:pPr>
        <w:ind w:left="720" w:right="-72"/>
      </w:pPr>
      <w:r w:rsidRPr="00E47B4F">
        <w:t xml:space="preserve">There are no special circumstances requiring data collection to be inconsistent with </w:t>
      </w:r>
      <w:r w:rsidR="003E1D3D">
        <w:t>g</w:t>
      </w:r>
      <w:r w:rsidRPr="00E47B4F">
        <w:t>uidelines in 5 CFR 1320.5(d)(2).</w:t>
      </w:r>
    </w:p>
    <w:p w:rsidR="00E47B4F" w:rsidRPr="00702B07" w:rsidP="009A3D84" w14:paraId="5165219B" w14:textId="77777777">
      <w:pPr>
        <w:ind w:right="-72"/>
      </w:pPr>
    </w:p>
    <w:p w:rsidR="00C573C8" w:rsidRPr="009A3D84" w:rsidP="009A3D84" w14:paraId="2FC72322" w14:textId="0665525E">
      <w:pPr>
        <w:ind w:left="720" w:right="-72" w:hanging="720"/>
        <w:rPr>
          <w:b/>
        </w:rPr>
      </w:pPr>
      <w:r w:rsidRPr="009A3D84">
        <w:rPr>
          <w:b/>
        </w:rPr>
        <w:t>8.</w:t>
      </w:r>
      <w:r w:rsidRPr="009A3D84" w:rsidR="009A3D84">
        <w:rPr>
          <w:b/>
        </w:rPr>
        <w:tab/>
      </w:r>
      <w:r w:rsidRPr="009A3D84">
        <w:rPr>
          <w:b/>
          <w:u w:val="single"/>
        </w:rPr>
        <w:t>CONSULTATION WITH INDIVIDUALS OUTSIDE OF THE AGENCY ON</w:t>
      </w:r>
      <w:r w:rsidRPr="009A3D84">
        <w:rPr>
          <w:b/>
        </w:rPr>
        <w:t xml:space="preserve">    </w:t>
      </w:r>
      <w:r w:rsidRPr="009A3D84">
        <w:rPr>
          <w:b/>
          <w:u w:val="single"/>
        </w:rPr>
        <w:t>AVAILABILITY OF DATA, FREQUENCY OF COLLECTION, CLARITY</w:t>
      </w:r>
      <w:r w:rsidRPr="009A3D84" w:rsidR="00AA539A">
        <w:rPr>
          <w:b/>
          <w:u w:val="single"/>
        </w:rPr>
        <w:t xml:space="preserve"> </w:t>
      </w:r>
      <w:r w:rsidRPr="009A3D84">
        <w:rPr>
          <w:b/>
          <w:u w:val="single"/>
        </w:rPr>
        <w:t>OF INSTRUCTIONS AND FORMS, AND DATA ELEMENTS</w:t>
      </w:r>
    </w:p>
    <w:p w:rsidR="00C573C8" w:rsidRPr="00702B07" w14:paraId="059B9171" w14:textId="77777777">
      <w:pPr>
        <w:ind w:left="-72" w:right="-72"/>
      </w:pPr>
    </w:p>
    <w:p w:rsidR="00C573C8" w:rsidP="000E3E37" w14:paraId="2864BA07" w14:textId="05817741">
      <w:pPr>
        <w:ind w:left="720"/>
      </w:pPr>
      <w:r w:rsidRPr="000E3E37">
        <w:t>The IRS received no comments during the public comment period in response to the Federal Register notice (89 FR 8198</w:t>
      </w:r>
      <w:r>
        <w:t>8</w:t>
      </w:r>
      <w:r w:rsidRPr="000E3E37">
        <w:t>), dated October 9, 2024</w:t>
      </w:r>
      <w:r>
        <w:t>.</w:t>
      </w:r>
    </w:p>
    <w:p w:rsidR="000E3E37" w:rsidRPr="009A3D84" w:rsidP="009A3D84" w14:paraId="797009A7" w14:textId="77777777">
      <w:pPr>
        <w:rPr>
          <w:b/>
        </w:rPr>
      </w:pPr>
    </w:p>
    <w:p w:rsidR="00C573C8" w:rsidRPr="009A3D84" w:rsidP="009A3D84" w14:paraId="3B416D25" w14:textId="62E2A7AB">
      <w:pPr>
        <w:ind w:left="720" w:hanging="720"/>
        <w:rPr>
          <w:b/>
        </w:rPr>
      </w:pPr>
      <w:r w:rsidRPr="009A3D84">
        <w:rPr>
          <w:b/>
        </w:rPr>
        <w:t>9.</w:t>
      </w:r>
      <w:r w:rsidR="009A3D84">
        <w:rPr>
          <w:b/>
        </w:rPr>
        <w:tab/>
      </w:r>
      <w:r w:rsidRPr="009A3D84">
        <w:rPr>
          <w:b/>
          <w:u w:val="single"/>
        </w:rPr>
        <w:t>EXPLANATION OF DECISION TO PROVIDE ANY PAYMENT OR GIFT TO</w:t>
      </w:r>
      <w:r w:rsidRPr="009A3D84">
        <w:rPr>
          <w:b/>
        </w:rPr>
        <w:t xml:space="preserve"> </w:t>
      </w:r>
      <w:r w:rsidRPr="009A3D84">
        <w:rPr>
          <w:b/>
          <w:u w:val="single"/>
        </w:rPr>
        <w:t>RESPONDENTS</w:t>
      </w:r>
    </w:p>
    <w:p w:rsidR="00C573C8" w:rsidRPr="00702B07" w14:paraId="5804ECAC" w14:textId="77777777"/>
    <w:p w:rsidR="00C573C8" w:rsidP="000E3E37" w14:paraId="0690271A" w14:textId="5E3AC6ED">
      <w:pPr>
        <w:ind w:firstLine="720"/>
      </w:pPr>
      <w:r w:rsidRPr="000E3E37">
        <w:t>No payment or gift has been provided to any respondents.</w:t>
      </w:r>
    </w:p>
    <w:p w:rsidR="000E3E37" w:rsidRPr="00702B07" w:rsidP="000E3E37" w14:paraId="45CCB1E0" w14:textId="77777777"/>
    <w:p w:rsidR="00C573C8" w:rsidRPr="009A3D84" w14:paraId="6338D35B" w14:textId="6297C7CE">
      <w:pPr>
        <w:rPr>
          <w:b/>
        </w:rPr>
      </w:pPr>
      <w:r w:rsidRPr="009A3D84">
        <w:rPr>
          <w:b/>
        </w:rPr>
        <w:t>10.</w:t>
      </w:r>
      <w:r w:rsidRPr="009A3D84" w:rsidR="009A3D84">
        <w:rPr>
          <w:b/>
        </w:rPr>
        <w:tab/>
      </w:r>
      <w:r w:rsidRPr="009A3D84">
        <w:rPr>
          <w:b/>
          <w:u w:val="single"/>
        </w:rPr>
        <w:t>ASSURANCE OF CONFIDENTIALITY OF RESPONSES</w:t>
      </w:r>
    </w:p>
    <w:p w:rsidR="00C573C8" w:rsidRPr="00702B07" w14:paraId="16112BC5" w14:textId="77777777"/>
    <w:p w:rsidR="00C573C8" w:rsidRPr="00702B07" w:rsidP="009A3D84" w14:paraId="2BC8D2A6" w14:textId="3359A338">
      <w:pPr>
        <w:ind w:left="720"/>
      </w:pPr>
      <w:r w:rsidRPr="00702B07">
        <w:t>Generally, tax returns and tax return information are confidential as required by 26 U</w:t>
      </w:r>
      <w:r w:rsidR="003E1D3D">
        <w:t>.</w:t>
      </w:r>
      <w:r w:rsidRPr="00702B07">
        <w:t>S</w:t>
      </w:r>
      <w:r w:rsidR="003E1D3D">
        <w:t>.</w:t>
      </w:r>
      <w:r w:rsidRPr="00702B07">
        <w:t>C</w:t>
      </w:r>
      <w:r w:rsidR="003E1D3D">
        <w:t>.</w:t>
      </w:r>
      <w:r w:rsidRPr="00702B07">
        <w:t xml:space="preserve"> 6103.</w:t>
      </w:r>
    </w:p>
    <w:p w:rsidR="00C573C8" w:rsidRPr="00702B07" w14:paraId="5245F8FB" w14:textId="48D7E402"/>
    <w:p w:rsidR="00C573C8" w:rsidRPr="009A3D84" w14:paraId="616D8462" w14:textId="720D9E37">
      <w:pPr>
        <w:rPr>
          <w:b/>
          <w:u w:val="single"/>
        </w:rPr>
      </w:pPr>
      <w:r w:rsidRPr="009A3D84">
        <w:rPr>
          <w:b/>
        </w:rPr>
        <w:t>11.</w:t>
      </w:r>
      <w:r w:rsidRPr="009A3D84" w:rsidR="009A3D84">
        <w:rPr>
          <w:b/>
        </w:rPr>
        <w:tab/>
      </w:r>
      <w:r w:rsidRPr="009A3D84">
        <w:rPr>
          <w:b/>
          <w:u w:val="single"/>
        </w:rPr>
        <w:t>JUSTIFICATION OF SENSITIVE QUESTIONS</w:t>
      </w:r>
    </w:p>
    <w:p w:rsidR="00C573C8" w:rsidRPr="00702B07" w14:paraId="417C7D37" w14:textId="77777777">
      <w:pPr>
        <w:rPr>
          <w:u w:val="single"/>
        </w:rPr>
      </w:pPr>
    </w:p>
    <w:p w:rsidR="00C85FC1" w:rsidRPr="00C85FC1" w:rsidP="009A3D84" w14:paraId="5FDC8A1C" w14:textId="08F63AFD">
      <w:pPr>
        <w:ind w:left="720"/>
      </w:pPr>
      <w:r w:rsidRPr="00C85FC1">
        <w:t>A privacy impact assessment (PIA) has been conducted for information collected under this request as part of the “</w:t>
      </w:r>
      <w:r w:rsidRPr="003E1D3D" w:rsidR="003E1D3D">
        <w:t>E-Trak Payroll Services</w:t>
      </w:r>
      <w:r w:rsidRPr="00C85FC1">
        <w:t>” system</w:t>
      </w:r>
      <w:r w:rsidR="003E1D3D">
        <w:t>,</w:t>
      </w:r>
      <w:r w:rsidRPr="00C85FC1">
        <w:t xml:space="preserve"> and a Privacy Act System of Records notice (SORN) has been issued for this system under </w:t>
      </w:r>
      <w:r w:rsidR="003E1D3D">
        <w:t>IRS 36.003 – General Personnel and Payroll Records and IRS 34.037 – Audit Trail and Security Records.</w:t>
      </w:r>
      <w:r w:rsidR="00335ED6">
        <w:t xml:space="preserve"> </w:t>
      </w:r>
      <w:r w:rsidRPr="00C85FC1">
        <w:t xml:space="preserve">The Internal Revenue Service PIAs can be found at </w:t>
      </w:r>
      <w:hyperlink r:id="rId4" w:history="1">
        <w:r w:rsidRPr="00C85FC1">
          <w:rPr>
            <w:rStyle w:val="Hyperlink"/>
          </w:rPr>
          <w:t>http://www.irs.gov/uac/Privacy-Impact-Assessments-PIA</w:t>
        </w:r>
      </w:hyperlink>
      <w:r w:rsidRPr="00C85FC1">
        <w:t>.</w:t>
      </w:r>
    </w:p>
    <w:p w:rsidR="00C85FC1" w:rsidRPr="00C85FC1" w:rsidP="009A3D84" w14:paraId="2AAB39ED" w14:textId="77777777"/>
    <w:p w:rsidR="00C85FC1" w:rsidRPr="00C85FC1" w:rsidP="009A3D84" w14:paraId="05DA0634" w14:textId="2F1CAD1A">
      <w:pPr>
        <w:ind w:left="720"/>
      </w:pPr>
      <w:r w:rsidRPr="00C85FC1">
        <w:t>Title 26 U</w:t>
      </w:r>
      <w:r w:rsidR="003E1D3D">
        <w:t>.</w:t>
      </w:r>
      <w:r w:rsidRPr="00C85FC1">
        <w:t>S</w:t>
      </w:r>
      <w:r w:rsidR="003E1D3D">
        <w:t>.</w:t>
      </w:r>
      <w:r w:rsidRPr="00C85FC1">
        <w:t>C</w:t>
      </w:r>
      <w:r w:rsidR="003E1D3D">
        <w:t>.</w:t>
      </w:r>
      <w:r w:rsidRPr="00C85FC1">
        <w:t xml:space="preserve"> 6109 requires inclusion of identifying numbers in returns, statements, or other documents for securing proper identification of persons required to make such returns, statements, or documents and is the authority for social security numbers (SSNs) in IRS systems.</w:t>
      </w:r>
    </w:p>
    <w:p w:rsidR="003F2C5D" w14:paraId="182CA8D9" w14:textId="77777777"/>
    <w:p w:rsidR="00C573C8" w:rsidRPr="009A3D84" w14:paraId="142D4FE9" w14:textId="4655F86B">
      <w:pPr>
        <w:rPr>
          <w:b/>
          <w:u w:val="single"/>
        </w:rPr>
      </w:pPr>
      <w:r w:rsidRPr="009A3D84">
        <w:rPr>
          <w:b/>
        </w:rPr>
        <w:t>12.</w:t>
      </w:r>
      <w:r w:rsidRPr="009A3D84" w:rsidR="009A3D84">
        <w:rPr>
          <w:b/>
        </w:rPr>
        <w:tab/>
      </w:r>
      <w:r w:rsidRPr="009A3D84">
        <w:rPr>
          <w:b/>
          <w:u w:val="single"/>
        </w:rPr>
        <w:t>ESTIMATED BURDEN OF INFORMATION COLLECTION</w:t>
      </w:r>
    </w:p>
    <w:p w:rsidR="00C573C8" w14:paraId="295F4F2D" w14:textId="77777777">
      <w:pPr>
        <w:rPr>
          <w:u w:val="single"/>
        </w:rPr>
      </w:pPr>
    </w:p>
    <w:p w:rsidR="00760B63" w:rsidRPr="00760B63" w:rsidP="009A3D84" w14:paraId="486D274C" w14:textId="77777777">
      <w:pPr>
        <w:ind w:left="720"/>
      </w:pPr>
      <w:r w:rsidRPr="00760B63">
        <w:t>This form outlines the regulations requiring those employees being rehired by the government and received a buyout from their previous job to make repayment of the buyout before they will be hired again.</w:t>
      </w:r>
    </w:p>
    <w:p w:rsidR="00760B63" w:rsidRPr="00702B07" w14:paraId="1E89600F" w14:textId="77777777">
      <w:pPr>
        <w:rPr>
          <w:u w:val="single"/>
        </w:rPr>
      </w:pPr>
    </w:p>
    <w:tbl>
      <w:tblPr>
        <w:tblW w:w="9023" w:type="dxa"/>
        <w:tblInd w:w="4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30"/>
        <w:gridCol w:w="1403"/>
        <w:gridCol w:w="1523"/>
        <w:gridCol w:w="1430"/>
        <w:gridCol w:w="1270"/>
        <w:gridCol w:w="1177"/>
        <w:gridCol w:w="990"/>
      </w:tblGrid>
      <w:tr w14:paraId="6AB044C6" w14:textId="77777777" w:rsidTr="005B1E50">
        <w:tblPrEx>
          <w:tblW w:w="9023" w:type="dxa"/>
          <w:tblInd w:w="4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230" w:type="dxa"/>
            <w:shd w:val="clear" w:color="auto" w:fill="auto"/>
            <w:vAlign w:val="bottom"/>
          </w:tcPr>
          <w:p w:rsidR="005B1E50" w:rsidRPr="005B1E50" w:rsidP="005B1E50" w14:paraId="3E2876AC" w14:textId="77777777">
            <w:pPr>
              <w:jc w:val="center"/>
              <w:rPr>
                <w:b/>
                <w:sz w:val="20"/>
                <w:szCs w:val="20"/>
              </w:rPr>
            </w:pPr>
            <w:r w:rsidRPr="005B1E50">
              <w:rPr>
                <w:b/>
                <w:sz w:val="20"/>
                <w:szCs w:val="20"/>
              </w:rPr>
              <w:t>Authority</w:t>
            </w:r>
          </w:p>
        </w:tc>
        <w:tc>
          <w:tcPr>
            <w:tcW w:w="1403" w:type="dxa"/>
            <w:vAlign w:val="bottom"/>
          </w:tcPr>
          <w:p w:rsidR="005B1E50" w:rsidRPr="005B1E50" w:rsidP="005B1E50" w14:paraId="315D79AE" w14:textId="77777777">
            <w:pPr>
              <w:jc w:val="center"/>
              <w:rPr>
                <w:b/>
                <w:sz w:val="20"/>
                <w:szCs w:val="20"/>
              </w:rPr>
            </w:pPr>
            <w:r w:rsidRPr="005B1E50">
              <w:rPr>
                <w:b/>
                <w:sz w:val="20"/>
                <w:szCs w:val="20"/>
              </w:rPr>
              <w:t>Description</w:t>
            </w:r>
          </w:p>
        </w:tc>
        <w:tc>
          <w:tcPr>
            <w:tcW w:w="1523" w:type="dxa"/>
            <w:vAlign w:val="bottom"/>
          </w:tcPr>
          <w:p w:rsidR="005B1E50" w:rsidRPr="005B1E50" w:rsidP="005B1E50" w14:paraId="6A11CFD7" w14:textId="77777777">
            <w:pPr>
              <w:jc w:val="center"/>
              <w:rPr>
                <w:b/>
                <w:sz w:val="20"/>
                <w:szCs w:val="20"/>
              </w:rPr>
            </w:pPr>
            <w:r w:rsidRPr="005B1E50">
              <w:rPr>
                <w:b/>
                <w:sz w:val="20"/>
                <w:szCs w:val="20"/>
              </w:rPr>
              <w:t># of Respondents</w:t>
            </w:r>
          </w:p>
        </w:tc>
        <w:tc>
          <w:tcPr>
            <w:tcW w:w="1430" w:type="dxa"/>
            <w:vAlign w:val="bottom"/>
          </w:tcPr>
          <w:p w:rsidR="005B1E50" w:rsidRPr="005B1E50" w:rsidP="005B1E50" w14:paraId="485F5DD2" w14:textId="77777777">
            <w:pPr>
              <w:jc w:val="center"/>
              <w:rPr>
                <w:b/>
                <w:sz w:val="20"/>
                <w:szCs w:val="20"/>
              </w:rPr>
            </w:pPr>
            <w:r w:rsidRPr="005B1E50">
              <w:rPr>
                <w:b/>
                <w:sz w:val="20"/>
                <w:szCs w:val="20"/>
              </w:rPr>
              <w:t># Responses per Respondent</w:t>
            </w:r>
          </w:p>
        </w:tc>
        <w:tc>
          <w:tcPr>
            <w:tcW w:w="1270" w:type="dxa"/>
            <w:shd w:val="clear" w:color="auto" w:fill="auto"/>
            <w:vAlign w:val="bottom"/>
          </w:tcPr>
          <w:p w:rsidR="005B1E50" w:rsidRPr="005B1E50" w:rsidP="005B1E50" w14:paraId="0D9F1EA7" w14:textId="77777777">
            <w:pPr>
              <w:jc w:val="center"/>
              <w:rPr>
                <w:b/>
                <w:sz w:val="20"/>
                <w:szCs w:val="20"/>
              </w:rPr>
            </w:pPr>
            <w:r w:rsidRPr="005B1E50">
              <w:rPr>
                <w:b/>
                <w:sz w:val="20"/>
                <w:szCs w:val="20"/>
              </w:rPr>
              <w:t>Annual Responses</w:t>
            </w:r>
          </w:p>
        </w:tc>
        <w:tc>
          <w:tcPr>
            <w:tcW w:w="1177" w:type="dxa"/>
            <w:vAlign w:val="bottom"/>
          </w:tcPr>
          <w:p w:rsidR="005B1E50" w:rsidRPr="005B1E50" w:rsidP="005B1E50" w14:paraId="2C67AC95" w14:textId="77777777">
            <w:pPr>
              <w:jc w:val="center"/>
              <w:rPr>
                <w:b/>
                <w:sz w:val="20"/>
                <w:szCs w:val="20"/>
              </w:rPr>
            </w:pPr>
            <w:r w:rsidRPr="005B1E50">
              <w:rPr>
                <w:b/>
                <w:sz w:val="20"/>
                <w:szCs w:val="20"/>
              </w:rPr>
              <w:t>Hours per Response</w:t>
            </w:r>
          </w:p>
        </w:tc>
        <w:tc>
          <w:tcPr>
            <w:tcW w:w="990" w:type="dxa"/>
            <w:shd w:val="clear" w:color="auto" w:fill="auto"/>
            <w:vAlign w:val="bottom"/>
          </w:tcPr>
          <w:p w:rsidR="005B1E50" w:rsidRPr="005B1E50" w:rsidP="005B1E50" w14:paraId="2054A7A6" w14:textId="77777777">
            <w:pPr>
              <w:jc w:val="center"/>
              <w:rPr>
                <w:b/>
                <w:sz w:val="20"/>
                <w:szCs w:val="20"/>
              </w:rPr>
            </w:pPr>
            <w:r w:rsidRPr="005B1E50">
              <w:rPr>
                <w:b/>
                <w:sz w:val="20"/>
                <w:szCs w:val="20"/>
              </w:rPr>
              <w:t>Total Burden</w:t>
            </w:r>
          </w:p>
        </w:tc>
      </w:tr>
      <w:tr w14:paraId="646AD008" w14:textId="77777777" w:rsidTr="005B1E50">
        <w:tblPrEx>
          <w:tblW w:w="9023" w:type="dxa"/>
          <w:tblInd w:w="473" w:type="dxa"/>
          <w:tblLook w:val="04A0"/>
        </w:tblPrEx>
        <w:tc>
          <w:tcPr>
            <w:tcW w:w="1230" w:type="dxa"/>
            <w:shd w:val="clear" w:color="auto" w:fill="auto"/>
            <w:vAlign w:val="bottom"/>
          </w:tcPr>
          <w:p w:rsidR="005B1E50" w:rsidRPr="005B1E50" w:rsidP="005B1E50" w14:paraId="20195974" w14:textId="77777777">
            <w:pPr>
              <w:rPr>
                <w:sz w:val="20"/>
                <w:szCs w:val="20"/>
              </w:rPr>
            </w:pPr>
            <w:r w:rsidRPr="005B1E50">
              <w:rPr>
                <w:sz w:val="20"/>
                <w:szCs w:val="20"/>
              </w:rPr>
              <w:t xml:space="preserve">PL103-226 </w:t>
            </w:r>
          </w:p>
          <w:p w:rsidR="005B1E50" w:rsidP="005B1E50" w14:paraId="12303EFD" w14:textId="77777777">
            <w:pPr>
              <w:rPr>
                <w:sz w:val="20"/>
                <w:szCs w:val="20"/>
              </w:rPr>
            </w:pPr>
            <w:r w:rsidRPr="005B1E50">
              <w:rPr>
                <w:sz w:val="20"/>
                <w:szCs w:val="20"/>
              </w:rPr>
              <w:t>PL 104-208</w:t>
            </w:r>
          </w:p>
          <w:p w:rsidR="00FC53A6" w:rsidRPr="005B1E50" w:rsidP="005B1E50" w14:paraId="074B45FC" w14:textId="627FBD32">
            <w:pPr>
              <w:rPr>
                <w:sz w:val="20"/>
                <w:szCs w:val="20"/>
              </w:rPr>
            </w:pPr>
            <w:r>
              <w:rPr>
                <w:sz w:val="20"/>
                <w:szCs w:val="20"/>
              </w:rPr>
              <w:t>PL 107-296</w:t>
            </w:r>
          </w:p>
        </w:tc>
        <w:tc>
          <w:tcPr>
            <w:tcW w:w="1403" w:type="dxa"/>
            <w:vAlign w:val="bottom"/>
          </w:tcPr>
          <w:p w:rsidR="005B1E50" w:rsidRPr="005B1E50" w:rsidP="005B1E50" w14:paraId="6DC89728" w14:textId="4DCA880B">
            <w:pPr>
              <w:jc w:val="center"/>
              <w:rPr>
                <w:sz w:val="20"/>
                <w:szCs w:val="20"/>
              </w:rPr>
            </w:pPr>
            <w:r w:rsidRPr="005B1E50">
              <w:rPr>
                <w:sz w:val="20"/>
                <w:szCs w:val="20"/>
              </w:rPr>
              <w:t>Form 12311</w:t>
            </w:r>
          </w:p>
        </w:tc>
        <w:tc>
          <w:tcPr>
            <w:tcW w:w="1523" w:type="dxa"/>
            <w:vAlign w:val="bottom"/>
          </w:tcPr>
          <w:p w:rsidR="005B1E50" w:rsidRPr="005B1E50" w:rsidP="005B1E50" w14:paraId="435BC5BA" w14:textId="1BE17653">
            <w:pPr>
              <w:jc w:val="center"/>
              <w:rPr>
                <w:sz w:val="20"/>
                <w:szCs w:val="20"/>
              </w:rPr>
            </w:pPr>
            <w:r w:rsidRPr="005B1E50">
              <w:rPr>
                <w:sz w:val="20"/>
                <w:szCs w:val="20"/>
              </w:rPr>
              <w:t>6,624</w:t>
            </w:r>
          </w:p>
        </w:tc>
        <w:tc>
          <w:tcPr>
            <w:tcW w:w="1430" w:type="dxa"/>
            <w:vAlign w:val="bottom"/>
          </w:tcPr>
          <w:p w:rsidR="005B1E50" w:rsidRPr="005B1E50" w:rsidP="005B1E50" w14:paraId="32BD5580" w14:textId="77777777">
            <w:pPr>
              <w:jc w:val="center"/>
              <w:rPr>
                <w:sz w:val="20"/>
                <w:szCs w:val="20"/>
              </w:rPr>
            </w:pPr>
            <w:r w:rsidRPr="005B1E50">
              <w:rPr>
                <w:sz w:val="20"/>
                <w:szCs w:val="20"/>
              </w:rPr>
              <w:t>1</w:t>
            </w:r>
          </w:p>
        </w:tc>
        <w:tc>
          <w:tcPr>
            <w:tcW w:w="1270" w:type="dxa"/>
            <w:shd w:val="clear" w:color="auto" w:fill="auto"/>
            <w:vAlign w:val="bottom"/>
          </w:tcPr>
          <w:p w:rsidR="005B1E50" w:rsidRPr="005B1E50" w:rsidP="005B1E50" w14:paraId="2485DCAE" w14:textId="36300E6B">
            <w:pPr>
              <w:jc w:val="center"/>
              <w:rPr>
                <w:sz w:val="20"/>
                <w:szCs w:val="20"/>
              </w:rPr>
            </w:pPr>
            <w:r w:rsidRPr="005B1E50">
              <w:rPr>
                <w:sz w:val="20"/>
                <w:szCs w:val="20"/>
              </w:rPr>
              <w:t>6,624</w:t>
            </w:r>
          </w:p>
        </w:tc>
        <w:tc>
          <w:tcPr>
            <w:tcW w:w="1177" w:type="dxa"/>
            <w:vAlign w:val="bottom"/>
          </w:tcPr>
          <w:p w:rsidR="005B1E50" w:rsidRPr="005B1E50" w:rsidP="005B1E50" w14:paraId="3E6FB622" w14:textId="2B19377D">
            <w:pPr>
              <w:jc w:val="center"/>
              <w:rPr>
                <w:sz w:val="20"/>
                <w:szCs w:val="20"/>
              </w:rPr>
            </w:pPr>
            <w:r w:rsidRPr="005B1E50">
              <w:rPr>
                <w:sz w:val="20"/>
                <w:szCs w:val="20"/>
              </w:rPr>
              <w:t>.08</w:t>
            </w:r>
          </w:p>
        </w:tc>
        <w:tc>
          <w:tcPr>
            <w:tcW w:w="990" w:type="dxa"/>
            <w:shd w:val="clear" w:color="auto" w:fill="auto"/>
            <w:vAlign w:val="bottom"/>
          </w:tcPr>
          <w:p w:rsidR="005B1E50" w:rsidRPr="005B1E50" w:rsidP="005B1E50" w14:paraId="5EAB15A9" w14:textId="4472F97E">
            <w:pPr>
              <w:jc w:val="center"/>
              <w:rPr>
                <w:sz w:val="20"/>
                <w:szCs w:val="20"/>
              </w:rPr>
            </w:pPr>
            <w:r w:rsidRPr="005B1E50">
              <w:rPr>
                <w:sz w:val="20"/>
                <w:szCs w:val="20"/>
              </w:rPr>
              <w:t>530</w:t>
            </w:r>
          </w:p>
        </w:tc>
      </w:tr>
      <w:tr w14:paraId="752B2E6F" w14:textId="77777777" w:rsidTr="005B1E50">
        <w:tblPrEx>
          <w:tblW w:w="9023" w:type="dxa"/>
          <w:tblInd w:w="473" w:type="dxa"/>
          <w:tblLook w:val="04A0"/>
        </w:tblPrEx>
        <w:tc>
          <w:tcPr>
            <w:tcW w:w="1230" w:type="dxa"/>
            <w:shd w:val="clear" w:color="auto" w:fill="auto"/>
            <w:vAlign w:val="bottom"/>
          </w:tcPr>
          <w:p w:rsidR="005B1E50" w:rsidRPr="005B1E50" w:rsidP="005B1E50" w14:paraId="5DFC9389" w14:textId="77777777">
            <w:pPr>
              <w:rPr>
                <w:sz w:val="20"/>
                <w:szCs w:val="20"/>
              </w:rPr>
            </w:pPr>
            <w:r w:rsidRPr="005B1E50">
              <w:rPr>
                <w:sz w:val="20"/>
                <w:szCs w:val="20"/>
              </w:rPr>
              <w:t>Totals</w:t>
            </w:r>
          </w:p>
        </w:tc>
        <w:tc>
          <w:tcPr>
            <w:tcW w:w="1403" w:type="dxa"/>
            <w:vAlign w:val="bottom"/>
          </w:tcPr>
          <w:p w:rsidR="005B1E50" w:rsidRPr="005B1E50" w:rsidP="005B1E50" w14:paraId="3DB4DA84" w14:textId="77777777">
            <w:pPr>
              <w:jc w:val="center"/>
              <w:rPr>
                <w:sz w:val="20"/>
                <w:szCs w:val="20"/>
              </w:rPr>
            </w:pPr>
          </w:p>
        </w:tc>
        <w:tc>
          <w:tcPr>
            <w:tcW w:w="1523" w:type="dxa"/>
            <w:vAlign w:val="bottom"/>
          </w:tcPr>
          <w:p w:rsidR="005B1E50" w:rsidRPr="005B1E50" w:rsidP="005B1E50" w14:paraId="5E2FDB6F" w14:textId="31B7775F">
            <w:pPr>
              <w:jc w:val="center"/>
              <w:rPr>
                <w:sz w:val="20"/>
                <w:szCs w:val="20"/>
              </w:rPr>
            </w:pPr>
            <w:r w:rsidRPr="005B1E50">
              <w:rPr>
                <w:sz w:val="20"/>
                <w:szCs w:val="20"/>
              </w:rPr>
              <w:t>6,624</w:t>
            </w:r>
          </w:p>
        </w:tc>
        <w:tc>
          <w:tcPr>
            <w:tcW w:w="1430" w:type="dxa"/>
            <w:vAlign w:val="bottom"/>
          </w:tcPr>
          <w:p w:rsidR="005B1E50" w:rsidRPr="005B1E50" w:rsidP="005B1E50" w14:paraId="6D021739" w14:textId="77777777">
            <w:pPr>
              <w:jc w:val="center"/>
              <w:rPr>
                <w:sz w:val="20"/>
                <w:szCs w:val="20"/>
              </w:rPr>
            </w:pPr>
          </w:p>
        </w:tc>
        <w:tc>
          <w:tcPr>
            <w:tcW w:w="1270" w:type="dxa"/>
            <w:shd w:val="clear" w:color="auto" w:fill="auto"/>
            <w:vAlign w:val="bottom"/>
          </w:tcPr>
          <w:p w:rsidR="005B1E50" w:rsidRPr="005B1E50" w:rsidP="005B1E50" w14:paraId="0441E71D" w14:textId="64E2F347">
            <w:pPr>
              <w:jc w:val="center"/>
              <w:rPr>
                <w:sz w:val="20"/>
                <w:szCs w:val="20"/>
              </w:rPr>
            </w:pPr>
            <w:r w:rsidRPr="005B1E50">
              <w:rPr>
                <w:sz w:val="20"/>
                <w:szCs w:val="20"/>
              </w:rPr>
              <w:t>6,624</w:t>
            </w:r>
          </w:p>
        </w:tc>
        <w:tc>
          <w:tcPr>
            <w:tcW w:w="1177" w:type="dxa"/>
            <w:vAlign w:val="bottom"/>
          </w:tcPr>
          <w:p w:rsidR="005B1E50" w:rsidRPr="005B1E50" w:rsidP="005B1E50" w14:paraId="6F4BEB52" w14:textId="77777777">
            <w:pPr>
              <w:jc w:val="center"/>
              <w:rPr>
                <w:sz w:val="20"/>
                <w:szCs w:val="20"/>
              </w:rPr>
            </w:pPr>
          </w:p>
        </w:tc>
        <w:tc>
          <w:tcPr>
            <w:tcW w:w="990" w:type="dxa"/>
            <w:shd w:val="clear" w:color="auto" w:fill="auto"/>
            <w:vAlign w:val="bottom"/>
          </w:tcPr>
          <w:p w:rsidR="005B1E50" w:rsidRPr="005B1E50" w:rsidP="005B1E50" w14:paraId="4E8F93F0" w14:textId="1B1867C1">
            <w:pPr>
              <w:jc w:val="center"/>
              <w:rPr>
                <w:sz w:val="20"/>
                <w:szCs w:val="20"/>
              </w:rPr>
            </w:pPr>
            <w:r w:rsidRPr="005B1E50">
              <w:rPr>
                <w:sz w:val="20"/>
                <w:szCs w:val="20"/>
              </w:rPr>
              <w:t>530</w:t>
            </w:r>
          </w:p>
        </w:tc>
      </w:tr>
    </w:tbl>
    <w:p w:rsidR="005B1E50" w14:paraId="4AB934B9" w14:textId="77777777"/>
    <w:p w:rsidR="00DD4327" w:rsidP="00DD4327" w14:paraId="184F3F88" w14:textId="44168C22">
      <w:pPr>
        <w:pStyle w:val="SupportingStatementSTANDARD"/>
        <w:ind w:firstLine="0"/>
      </w:pPr>
      <w:r>
        <w:t>The following regulations impose no additional burden. Please continue to assign OMB number 1545-</w:t>
      </w:r>
      <w:r w:rsidR="00335ED6">
        <w:t>1920</w:t>
      </w:r>
      <w:r>
        <w:t xml:space="preserve"> to these regulations.</w:t>
      </w:r>
    </w:p>
    <w:p w:rsidR="00DD4327" w:rsidP="009A3D84" w14:paraId="334501C6" w14:textId="77777777">
      <w:pPr>
        <w:pStyle w:val="SupportingStatementSTANDARD"/>
      </w:pPr>
    </w:p>
    <w:p w:rsidR="00DD4327" w:rsidP="00007D7B" w14:paraId="7961D9B3" w14:textId="77777777">
      <w:pPr>
        <w:ind w:left="720"/>
      </w:pPr>
      <w:r>
        <w:t>5 CFR 550.710</w:t>
      </w:r>
      <w:r>
        <w:tab/>
      </w:r>
      <w:r>
        <w:tab/>
        <w:t>5 CFR 550.771</w:t>
      </w:r>
    </w:p>
    <w:p w:rsidR="00007D7B" w:rsidRPr="00702B07" w14:paraId="39E9A0E3" w14:textId="77777777"/>
    <w:p w:rsidR="00C573C8" w:rsidRPr="009A3D84" w14:paraId="52CDFDDA" w14:textId="4356079A">
      <w:pPr>
        <w:rPr>
          <w:b/>
        </w:rPr>
      </w:pPr>
      <w:r w:rsidRPr="009A3D84">
        <w:rPr>
          <w:b/>
        </w:rPr>
        <w:t>13.</w:t>
      </w:r>
      <w:r w:rsidR="009A3D84">
        <w:rPr>
          <w:b/>
        </w:rPr>
        <w:tab/>
      </w:r>
      <w:r w:rsidRPr="009A3D84">
        <w:rPr>
          <w:b/>
          <w:u w:val="single"/>
        </w:rPr>
        <w:t>ESTIMATED TOTAL ANNUAL COST BURDEN TO RESPONDENTS</w:t>
      </w:r>
    </w:p>
    <w:p w:rsidR="00C573C8" w:rsidRPr="00702B07" w14:paraId="439088C9" w14:textId="77777777"/>
    <w:p w:rsidR="00D33035" w:rsidP="001530B3" w14:paraId="116041E9" w14:textId="63930F46">
      <w:pPr>
        <w:ind w:left="720"/>
      </w:pPr>
      <w:r w:rsidRPr="001530B3">
        <w:t>There are no start-up or maintenance costs for this collection. The collection does not require respondents to obtain specialized equipment or professional services.</w:t>
      </w:r>
    </w:p>
    <w:p w:rsidR="001530B3" w:rsidRPr="00702B07" w:rsidP="001530B3" w14:paraId="5FC57408" w14:textId="77777777">
      <w:pPr>
        <w:ind w:left="720"/>
      </w:pPr>
    </w:p>
    <w:p w:rsidR="00C573C8" w:rsidRPr="009A3D84" w14:paraId="34CD422A" w14:textId="7B1AA450">
      <w:pPr>
        <w:rPr>
          <w:b/>
        </w:rPr>
      </w:pPr>
      <w:r w:rsidRPr="009A3D84">
        <w:rPr>
          <w:b/>
        </w:rPr>
        <w:t>14.</w:t>
      </w:r>
      <w:r w:rsidRPr="009A3D84" w:rsidR="009A3D84">
        <w:rPr>
          <w:b/>
        </w:rPr>
        <w:tab/>
      </w:r>
      <w:r w:rsidRPr="009A3D84">
        <w:rPr>
          <w:b/>
          <w:u w:val="single"/>
        </w:rPr>
        <w:t>ESTIMATED ANNUALIZED COST TO THE FEDERAL GOVERNMENT</w:t>
      </w:r>
    </w:p>
    <w:p w:rsidR="00C573C8" w:rsidRPr="00702B07" w14:paraId="417019C7" w14:textId="77777777"/>
    <w:p w:rsidR="00C573C8" w:rsidRPr="00702B07" w:rsidP="009A3D84" w14:paraId="0499BCF1" w14:textId="4D124026">
      <w:pPr>
        <w:ind w:left="720"/>
      </w:pPr>
      <w:r w:rsidRPr="00FC53A6">
        <w:t xml:space="preserve">Cost estimate for product development is based on a model that considers the following three cost factors for each information product: aggregate labor costs for development, including annualized startup expenses, operating and maintenance expenses, and distribution of the product that collects the information. The costs to the Federal government will vary depending on whether the IRS will incur </w:t>
      </w:r>
      <w:r w:rsidRPr="00FC53A6">
        <w:t>printing or</w:t>
      </w:r>
      <w:r w:rsidRPr="00FC53A6">
        <w:t xml:space="preserve"> copying costs for all the materials.</w:t>
      </w:r>
      <w:r>
        <w:t xml:space="preserve"> </w:t>
      </w:r>
      <w:r w:rsidRPr="00FC53A6">
        <w:t>These costs do not include any activities such as taxpayer assistance and enforcement. IRS estimates have determined that the cost of developing, printing, distribution and overhead for the form is $</w:t>
      </w:r>
      <w:r>
        <w:t>11,957</w:t>
      </w:r>
      <w:r w:rsidRPr="00FC53A6">
        <w:t>.</w:t>
      </w:r>
    </w:p>
    <w:p w:rsidR="00C573C8" w:rsidRPr="00702B07" w14:paraId="18F20E45" w14:textId="77777777"/>
    <w:p w:rsidR="00C573C8" w:rsidRPr="005064E5" w14:paraId="191A20B2" w14:textId="79DC1BCD">
      <w:pPr>
        <w:rPr>
          <w:b/>
        </w:rPr>
      </w:pPr>
      <w:r w:rsidRPr="005064E5">
        <w:rPr>
          <w:b/>
        </w:rPr>
        <w:t>15.</w:t>
      </w:r>
      <w:r w:rsidRPr="005064E5" w:rsidR="009A3D84">
        <w:rPr>
          <w:b/>
        </w:rPr>
        <w:tab/>
      </w:r>
      <w:r w:rsidRPr="005064E5">
        <w:rPr>
          <w:b/>
          <w:u w:val="single"/>
        </w:rPr>
        <w:t>REASONS FOR CHANGE IN BURDEN</w:t>
      </w:r>
    </w:p>
    <w:p w:rsidR="00C573C8" w:rsidRPr="00702B07" w14:paraId="1A6505E9" w14:textId="7E21A949">
      <w:pPr>
        <w:ind w:left="720" w:hanging="720"/>
        <w:rPr>
          <w:bCs/>
        </w:rPr>
      </w:pPr>
    </w:p>
    <w:p w:rsidR="005064E5" w:rsidRPr="005064E5" w:rsidP="005064E5" w14:paraId="334009C0" w14:textId="72B4C4BB">
      <w:pPr>
        <w:ind w:left="720"/>
      </w:pPr>
      <w:r w:rsidRPr="005064E5">
        <w:t>There is no change in the paperwork burden previously approved by OMB. We are making this submission to renew the OMB approval.</w:t>
      </w:r>
    </w:p>
    <w:p w:rsidR="00C573C8" w:rsidRPr="00702B07" w14:paraId="44B8AF80" w14:textId="77777777">
      <w:pPr>
        <w:rPr>
          <w:bCs/>
        </w:rPr>
      </w:pPr>
    </w:p>
    <w:p w:rsidR="00C573C8" w:rsidRPr="005064E5" w14:paraId="7C31A620" w14:textId="436A46C8">
      <w:pPr>
        <w:rPr>
          <w:b/>
        </w:rPr>
      </w:pPr>
      <w:r w:rsidRPr="005064E5">
        <w:rPr>
          <w:b/>
        </w:rPr>
        <w:t>16.</w:t>
      </w:r>
      <w:r w:rsidRPr="005064E5" w:rsidR="005064E5">
        <w:rPr>
          <w:b/>
        </w:rPr>
        <w:tab/>
      </w:r>
      <w:r w:rsidRPr="005064E5">
        <w:rPr>
          <w:b/>
          <w:u w:val="single"/>
        </w:rPr>
        <w:t>PLANS FOR TABULATION, STATISTICAL ANALYSIS AND PUBLICATION</w:t>
      </w:r>
    </w:p>
    <w:p w:rsidR="00C573C8" w:rsidRPr="00702B07" w14:paraId="17BF17A8" w14:textId="77777777"/>
    <w:p w:rsidR="00C573C8" w:rsidP="005064E5" w14:paraId="18FB4F97" w14:textId="5F2A4D28">
      <w:pPr>
        <w:ind w:left="450" w:firstLine="270"/>
        <w:rPr>
          <w:bCs/>
        </w:rPr>
      </w:pPr>
      <w:r w:rsidRPr="003F2C5D">
        <w:t>There are no plans for tabulation, statistical analysis</w:t>
      </w:r>
      <w:r w:rsidR="005064E5">
        <w:t>,</w:t>
      </w:r>
      <w:r w:rsidRPr="003F2C5D">
        <w:t xml:space="preserve"> and publication</w:t>
      </w:r>
      <w:r w:rsidRPr="00702B07">
        <w:t>.</w:t>
      </w:r>
    </w:p>
    <w:p w:rsidR="001560A0" w:rsidRPr="00702B07" w14:paraId="7C29193C" w14:textId="77777777">
      <w:pPr>
        <w:rPr>
          <w:bCs/>
        </w:rPr>
      </w:pPr>
    </w:p>
    <w:p w:rsidR="00C573C8" w:rsidRPr="005064E5" w:rsidP="005064E5" w14:paraId="4FBA1AA4" w14:textId="7E71A87F">
      <w:pPr>
        <w:ind w:left="720" w:hanging="720"/>
        <w:rPr>
          <w:b/>
        </w:rPr>
      </w:pPr>
      <w:r w:rsidRPr="005064E5">
        <w:rPr>
          <w:b/>
        </w:rPr>
        <w:t>17.</w:t>
      </w:r>
      <w:r w:rsidR="005064E5">
        <w:rPr>
          <w:b/>
        </w:rPr>
        <w:tab/>
      </w:r>
      <w:r w:rsidRPr="005064E5">
        <w:rPr>
          <w:b/>
          <w:u w:val="single"/>
        </w:rPr>
        <w:t>REASONS WHY DISPLAYING THE OMB EXPIRATION DATE IS</w:t>
      </w:r>
      <w:r w:rsidRPr="005064E5" w:rsidR="00AA539A">
        <w:rPr>
          <w:b/>
          <w:u w:val="single"/>
        </w:rPr>
        <w:t xml:space="preserve"> </w:t>
      </w:r>
      <w:r w:rsidRPr="005064E5">
        <w:rPr>
          <w:b/>
          <w:u w:val="single"/>
        </w:rPr>
        <w:t>INAPPROPRIATE</w:t>
      </w:r>
    </w:p>
    <w:p w:rsidR="00D33035" w:rsidP="00D33035" w14:paraId="319CEB8F" w14:textId="77777777"/>
    <w:p w:rsidR="00C573C8" w:rsidP="005064E5" w14:paraId="6C058897" w14:textId="5033D89B">
      <w:pPr>
        <w:ind w:left="720"/>
        <w:rPr>
          <w:bCs/>
        </w:rPr>
      </w:pPr>
      <w:r w:rsidRPr="00952502">
        <w:t xml:space="preserve">IRS believes that displaying the OMB expiration date is inappropriate because it could cause confusion by leading taxpayers to believe that the </w:t>
      </w:r>
      <w:r w:rsidR="000D5ED8">
        <w:t>form expires</w:t>
      </w:r>
      <w:r w:rsidRPr="00952502">
        <w:t xml:space="preserve"> as of the expiration date. Taxpayers are not likely to be aware that the </w:t>
      </w:r>
      <w:r w:rsidR="000E3E37">
        <w:t xml:space="preserve">IRS </w:t>
      </w:r>
      <w:r w:rsidRPr="00952502">
        <w:t>intends to request renewal of OMB approval and obtain a new expiration date before the old one expires.</w:t>
      </w:r>
    </w:p>
    <w:p w:rsidR="00952502" w:rsidRPr="00702B07" w14:paraId="1C44F19E" w14:textId="77777777">
      <w:pPr>
        <w:rPr>
          <w:bCs/>
        </w:rPr>
      </w:pPr>
    </w:p>
    <w:p w:rsidR="00C573C8" w:rsidRPr="005064E5" w14:paraId="1BF5EBB4" w14:textId="48A6BEE6">
      <w:pPr>
        <w:rPr>
          <w:b/>
          <w:u w:val="single"/>
        </w:rPr>
      </w:pPr>
      <w:r w:rsidRPr="005064E5">
        <w:rPr>
          <w:b/>
        </w:rPr>
        <w:t>18.</w:t>
      </w:r>
      <w:r w:rsidR="005064E5">
        <w:rPr>
          <w:b/>
        </w:rPr>
        <w:tab/>
      </w:r>
      <w:r w:rsidRPr="005064E5">
        <w:rPr>
          <w:b/>
          <w:u w:val="single"/>
        </w:rPr>
        <w:t xml:space="preserve">EXCEPTIONS TO THE CERTIFICATION STATEMENT </w:t>
      </w:r>
    </w:p>
    <w:p w:rsidR="00AA539A" w:rsidRPr="00702B07" w14:paraId="44601FCC" w14:textId="77777777"/>
    <w:p w:rsidR="00C573C8" w:rsidRPr="00702B07" w:rsidP="005064E5" w14:paraId="36B0B2EC" w14:textId="42ACEC90">
      <w:pPr>
        <w:ind w:left="360" w:firstLine="360"/>
      </w:pPr>
      <w:r w:rsidRPr="003F2C5D">
        <w:t>There are no exceptions to the certification statement</w:t>
      </w:r>
      <w:r w:rsidRPr="00702B07">
        <w:t xml:space="preserve">. </w:t>
      </w:r>
    </w:p>
    <w:p w:rsidR="00B03E6E" w:rsidRPr="00702B07" w:rsidP="005064E5" w14:paraId="5C237EA4" w14:textId="38D26B53">
      <w:pPr>
        <w:ind w:left="720"/>
      </w:pPr>
    </w:p>
    <w:sectPr w:rsidSect="003F2C5D">
      <w:type w:val="continuous"/>
      <w:pgSz w:w="12240" w:h="15840"/>
      <w:pgMar w:top="1368" w:right="1368" w:bottom="1440" w:left="1368" w:header="1368" w:footer="1368"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5D875ACE"/>
    <w:multiLevelType w:val="multilevel"/>
    <w:tmpl w:val="B1D26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32D7769"/>
    <w:multiLevelType w:val="multilevel"/>
    <w:tmpl w:val="7D2EB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D7A05AA"/>
    <w:multiLevelType w:val="multilevel"/>
    <w:tmpl w:val="03065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35054371">
    <w:abstractNumId w:val="2"/>
  </w:num>
  <w:num w:numId="2" w16cid:durableId="1741827002">
    <w:abstractNumId w:val="0"/>
  </w:num>
  <w:num w:numId="3" w16cid:durableId="1259272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3C8"/>
    <w:rsid w:val="00007D7B"/>
    <w:rsid w:val="00092D6B"/>
    <w:rsid w:val="0009423B"/>
    <w:rsid w:val="000A1B91"/>
    <w:rsid w:val="000A2988"/>
    <w:rsid w:val="000D5ED8"/>
    <w:rsid w:val="000E3E37"/>
    <w:rsid w:val="000F7815"/>
    <w:rsid w:val="001063D5"/>
    <w:rsid w:val="00145362"/>
    <w:rsid w:val="001530B3"/>
    <w:rsid w:val="001560A0"/>
    <w:rsid w:val="001A5F9F"/>
    <w:rsid w:val="001F0B31"/>
    <w:rsid w:val="00204931"/>
    <w:rsid w:val="0028041B"/>
    <w:rsid w:val="002B0E71"/>
    <w:rsid w:val="002F69D6"/>
    <w:rsid w:val="00312D9C"/>
    <w:rsid w:val="0033329E"/>
    <w:rsid w:val="00335ED6"/>
    <w:rsid w:val="003B5334"/>
    <w:rsid w:val="003B5891"/>
    <w:rsid w:val="003B7275"/>
    <w:rsid w:val="003E1D3D"/>
    <w:rsid w:val="003F2C5D"/>
    <w:rsid w:val="00427EF7"/>
    <w:rsid w:val="00444591"/>
    <w:rsid w:val="004D2158"/>
    <w:rsid w:val="004E06B1"/>
    <w:rsid w:val="004E4007"/>
    <w:rsid w:val="005064E5"/>
    <w:rsid w:val="005238E8"/>
    <w:rsid w:val="00576081"/>
    <w:rsid w:val="005853BC"/>
    <w:rsid w:val="00591B4A"/>
    <w:rsid w:val="005B1E50"/>
    <w:rsid w:val="00600101"/>
    <w:rsid w:val="00636B94"/>
    <w:rsid w:val="006642C2"/>
    <w:rsid w:val="00676AA8"/>
    <w:rsid w:val="00695940"/>
    <w:rsid w:val="00695D49"/>
    <w:rsid w:val="006B2489"/>
    <w:rsid w:val="006B7DFC"/>
    <w:rsid w:val="006C11B8"/>
    <w:rsid w:val="00702B07"/>
    <w:rsid w:val="007453AC"/>
    <w:rsid w:val="00760B63"/>
    <w:rsid w:val="007C3E0A"/>
    <w:rsid w:val="00847AA9"/>
    <w:rsid w:val="00870115"/>
    <w:rsid w:val="008708F6"/>
    <w:rsid w:val="00895AED"/>
    <w:rsid w:val="008A283D"/>
    <w:rsid w:val="008C7A16"/>
    <w:rsid w:val="00910116"/>
    <w:rsid w:val="00911A5E"/>
    <w:rsid w:val="00923919"/>
    <w:rsid w:val="00952502"/>
    <w:rsid w:val="0096082C"/>
    <w:rsid w:val="009A3D84"/>
    <w:rsid w:val="00A009E0"/>
    <w:rsid w:val="00A34C7C"/>
    <w:rsid w:val="00A84CA1"/>
    <w:rsid w:val="00A91E00"/>
    <w:rsid w:val="00AA539A"/>
    <w:rsid w:val="00B03E6E"/>
    <w:rsid w:val="00B2589F"/>
    <w:rsid w:val="00B77265"/>
    <w:rsid w:val="00B81690"/>
    <w:rsid w:val="00BC2563"/>
    <w:rsid w:val="00BE2174"/>
    <w:rsid w:val="00BE5210"/>
    <w:rsid w:val="00BF3A51"/>
    <w:rsid w:val="00C358CE"/>
    <w:rsid w:val="00C573C8"/>
    <w:rsid w:val="00C8357C"/>
    <w:rsid w:val="00C85FC1"/>
    <w:rsid w:val="00C96C2D"/>
    <w:rsid w:val="00CA7D73"/>
    <w:rsid w:val="00CC5D22"/>
    <w:rsid w:val="00CC6C32"/>
    <w:rsid w:val="00CE5344"/>
    <w:rsid w:val="00D05E8B"/>
    <w:rsid w:val="00D33035"/>
    <w:rsid w:val="00D84A35"/>
    <w:rsid w:val="00D85B57"/>
    <w:rsid w:val="00DD4327"/>
    <w:rsid w:val="00E04C1E"/>
    <w:rsid w:val="00E3396B"/>
    <w:rsid w:val="00E47B4F"/>
    <w:rsid w:val="00E72196"/>
    <w:rsid w:val="00E86D28"/>
    <w:rsid w:val="00EA028C"/>
    <w:rsid w:val="00F2351F"/>
    <w:rsid w:val="00FC53A6"/>
    <w:rsid w:val="00FE6128"/>
    <w:rsid w:val="00FF7AD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29E60B4A"/>
  <w15:chartTrackingRefBased/>
  <w15:docId w15:val="{4FC05E0B-6417-4196-BDBF-3C9EDCE47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sz w:val="24"/>
      <w:szCs w:val="24"/>
    </w:rPr>
  </w:style>
  <w:style w:type="paragraph" w:styleId="Heading1">
    <w:name w:val="heading 1"/>
    <w:basedOn w:val="Normal"/>
    <w:next w:val="Normal"/>
    <w:link w:val="Heading1Char"/>
    <w:qFormat/>
    <w:rsid w:val="004E06B1"/>
    <w:pPr>
      <w:keepNext/>
      <w:spacing w:before="240" w:after="60"/>
      <w:outlineLvl w:val="0"/>
    </w:pPr>
    <w:rPr>
      <w:rFonts w:ascii="Calibri Light" w:hAnsi="Calibri Light"/>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styleId="Hyperlink">
    <w:name w:val="Hyperlink"/>
    <w:uiPriority w:val="99"/>
    <w:unhideWhenUsed/>
    <w:rsid w:val="003B5891"/>
    <w:rPr>
      <w:color w:val="0000FF"/>
      <w:u w:val="single"/>
    </w:rPr>
  </w:style>
  <w:style w:type="paragraph" w:customStyle="1" w:styleId="Default">
    <w:name w:val="Default"/>
    <w:rsid w:val="003B5891"/>
    <w:pPr>
      <w:autoSpaceDE w:val="0"/>
      <w:autoSpaceDN w:val="0"/>
      <w:adjustRightInd w:val="0"/>
    </w:pPr>
    <w:rPr>
      <w:rFonts w:ascii="Arial" w:hAnsi="Arial" w:cs="Arial"/>
      <w:color w:val="000000"/>
      <w:sz w:val="24"/>
      <w:szCs w:val="24"/>
    </w:rPr>
  </w:style>
  <w:style w:type="character" w:customStyle="1" w:styleId="Heading1Char">
    <w:name w:val="Heading 1 Char"/>
    <w:link w:val="Heading1"/>
    <w:rsid w:val="004E06B1"/>
    <w:rPr>
      <w:rFonts w:ascii="Calibri Light" w:eastAsia="Times New Roman" w:hAnsi="Calibri Light" w:cs="Times New Roman"/>
      <w:b/>
      <w:bCs/>
      <w:kern w:val="32"/>
      <w:sz w:val="32"/>
      <w:szCs w:val="32"/>
    </w:rPr>
  </w:style>
  <w:style w:type="character" w:customStyle="1" w:styleId="SupportingStatementSTANDARDChar">
    <w:name w:val="Supporting Statement STANDARD Char"/>
    <w:link w:val="SupportingStatementSTANDARD"/>
    <w:locked/>
    <w:rsid w:val="00DD4327"/>
    <w:rPr>
      <w:sz w:val="24"/>
      <w:szCs w:val="24"/>
    </w:rPr>
  </w:style>
  <w:style w:type="paragraph" w:customStyle="1" w:styleId="SupportingStatementSTANDARD">
    <w:name w:val="Supporting Statement STANDARD"/>
    <w:basedOn w:val="Normal"/>
    <w:link w:val="SupportingStatementSTANDARDChar"/>
    <w:qFormat/>
    <w:rsid w:val="00DD4327"/>
    <w:pPr>
      <w:tabs>
        <w:tab w:val="left" w:pos="720"/>
      </w:tabs>
      <w:ind w:left="720" w:hanging="720"/>
    </w:pPr>
  </w:style>
  <w:style w:type="character" w:styleId="FollowedHyperlink">
    <w:name w:val="FollowedHyperlink"/>
    <w:basedOn w:val="DefaultParagraphFont"/>
    <w:rsid w:val="005B1E50"/>
    <w:rPr>
      <w:color w:val="954F72" w:themeColor="followedHyperlink"/>
      <w:u w:val="single"/>
    </w:rPr>
  </w:style>
  <w:style w:type="paragraph" w:styleId="Revision">
    <w:name w:val="Revision"/>
    <w:hidden/>
    <w:uiPriority w:val="99"/>
    <w:semiHidden/>
    <w:rsid w:val="003E1D3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irs.gov/uac/Privacy-Impact-Assessments-PIA"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911</Words>
  <Characters>5194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Department of the Treasury</Company>
  <LinksUpToDate>false</LinksUpToDate>
  <CharactersWithSpaces>6093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TQ1FB</dc:creator>
  <cp:lastModifiedBy>Jon R. Callahan</cp:lastModifiedBy>
  <cp:revision>3</cp:revision>
  <cp:lastPrinted>2005-05-18T14:13:00Z</cp:lastPrinted>
  <dcterms:created xsi:type="dcterms:W3CDTF">2025-03-31T15:29:00Z</dcterms:created>
  <dcterms:modified xsi:type="dcterms:W3CDTF">2025-03-31T15:30:00Z</dcterms:modified>
</cp:coreProperties>
</file>