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6544" w:rsidP="00586544" w14:paraId="1729A394" w14:textId="001C3486">
      <w:pPr>
        <w:pStyle w:val="Header"/>
      </w:pPr>
      <w:r>
        <w:t xml:space="preserve"> </w:t>
      </w:r>
    </w:p>
    <w:p w:rsidR="00586544" w:rsidP="00586544" w14:paraId="7B73E0BD" w14:textId="77777777">
      <w:pPr>
        <w:pStyle w:val="Head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10" o:title=""/>
          </v:shape>
          <o:OLEObject Type="Embed" ProgID="Word.Picture.8" ShapeID="_x0000_s1025" DrawAspect="Content" ObjectID="_1787060152" r:id="rId11"/>
        </w:pict>
      </w:r>
    </w:p>
    <w:p w:rsidR="00586544" w:rsidP="00586544" w14:paraId="2781B809" w14:textId="77777777">
      <w:pPr>
        <w:pStyle w:val="Header"/>
        <w:jc w:val="center"/>
        <w:rPr>
          <w:color w:val="000000"/>
          <w:sz w:val="4"/>
        </w:rPr>
      </w:pPr>
      <w:r>
        <w:rPr>
          <w:rFonts w:ascii="Arial" w:hAnsi="Arial"/>
          <w:b/>
          <w:color w:val="008000"/>
          <w:sz w:val="22"/>
        </w:rPr>
        <w:t>DEPARTMENT OF THE TREASURY</w:t>
      </w:r>
    </w:p>
    <w:p w:rsidR="00586544" w:rsidP="00586544" w14:paraId="367DF109" w14:textId="77777777">
      <w:pPr>
        <w:pStyle w:val="Header"/>
        <w:jc w:val="center"/>
        <w:rPr>
          <w:rFonts w:ascii="Arial" w:hAnsi="Arial"/>
          <w:b/>
          <w:color w:val="008000"/>
          <w:sz w:val="16"/>
        </w:rPr>
      </w:pPr>
      <w:r>
        <w:rPr>
          <w:rFonts w:ascii="Arial" w:hAnsi="Arial"/>
          <w:b/>
          <w:color w:val="008000"/>
          <w:sz w:val="16"/>
        </w:rPr>
        <w:t>WASHINGTON, D.C.  20220</w:t>
      </w:r>
    </w:p>
    <w:p w:rsidR="00586544" w:rsidP="00586544" w14:paraId="1894AFDA" w14:textId="77777777"/>
    <w:p w:rsidR="00586544" w:rsidRPr="00FB7D45" w:rsidP="00586544" w14:paraId="1B2AFFE9" w14:textId="77777777">
      <w:pPr>
        <w:jc w:val="center"/>
        <w:rPr>
          <w:b/>
        </w:rPr>
      </w:pPr>
      <w:r>
        <w:rPr>
          <w:b/>
        </w:rPr>
        <w:t>S</w:t>
      </w:r>
      <w:r w:rsidRPr="00FB7D45">
        <w:rPr>
          <w:b/>
        </w:rPr>
        <w:t>upporting Statement</w:t>
      </w:r>
    </w:p>
    <w:p w:rsidR="00586544" w:rsidP="00586544" w14:paraId="5BA84C95" w14:textId="36C11F0A">
      <w:pPr>
        <w:jc w:val="center"/>
        <w:rPr>
          <w:b/>
        </w:rPr>
      </w:pPr>
      <w:r>
        <w:rPr>
          <w:b/>
        </w:rPr>
        <w:t>New Markets Tax Credit (</w:t>
      </w:r>
      <w:r>
        <w:rPr>
          <w:b/>
        </w:rPr>
        <w:t>NMTC</w:t>
      </w:r>
      <w:r>
        <w:rPr>
          <w:b/>
        </w:rPr>
        <w:t>)</w:t>
      </w:r>
      <w:r>
        <w:rPr>
          <w:b/>
        </w:rPr>
        <w:t xml:space="preserve"> </w:t>
      </w:r>
      <w:r w:rsidRPr="00FB7D45">
        <w:rPr>
          <w:b/>
        </w:rPr>
        <w:t>Program Application</w:t>
      </w:r>
    </w:p>
    <w:p w:rsidR="002300E1" w:rsidRPr="00FB7D45" w:rsidP="00586544" w14:paraId="3B9B6C61" w14:textId="26248239">
      <w:pPr>
        <w:jc w:val="center"/>
        <w:rPr>
          <w:b/>
        </w:rPr>
      </w:pPr>
      <w:r>
        <w:rPr>
          <w:b/>
        </w:rPr>
        <w:t>1559-0016</w:t>
      </w:r>
    </w:p>
    <w:p w:rsidR="00586544" w:rsidRPr="00F9665A" w:rsidP="00586544" w14:paraId="628EE025" w14:textId="77777777">
      <w:pPr>
        <w:rPr>
          <w:strike/>
        </w:rPr>
      </w:pPr>
    </w:p>
    <w:p w:rsidR="00586544" w:rsidRPr="003C5AF7" w:rsidP="00586544" w14:paraId="1E39DA7D" w14:textId="77777777">
      <w:r w:rsidRPr="003C5AF7">
        <w:t>A.  Justification</w:t>
      </w:r>
    </w:p>
    <w:p w:rsidR="00586544" w:rsidRPr="00F9665A" w:rsidP="00586544" w14:paraId="2C7FA83B" w14:textId="77777777"/>
    <w:p w:rsidR="00586544" w:rsidRPr="00FB7D45" w:rsidP="00586544" w14:paraId="3865A977" w14:textId="7B3E175C">
      <w:pPr>
        <w:pStyle w:val="ListParagraph"/>
        <w:numPr>
          <w:ilvl w:val="0"/>
          <w:numId w:val="1"/>
        </w:numPr>
        <w:ind w:left="360"/>
        <w:rPr>
          <w:u w:val="single"/>
        </w:rPr>
      </w:pPr>
      <w:r w:rsidRPr="00FB7D45">
        <w:rPr>
          <w:u w:val="single"/>
        </w:rPr>
        <w:t>Circumstances necessitating col</w:t>
      </w:r>
      <w:r w:rsidR="00606404">
        <w:rPr>
          <w:u w:val="single"/>
        </w:rPr>
        <w:t>l</w:t>
      </w:r>
      <w:r w:rsidRPr="00FB7D45">
        <w:rPr>
          <w:u w:val="single"/>
        </w:rPr>
        <w:t xml:space="preserve">ection of </w:t>
      </w:r>
      <w:r w:rsidRPr="00FB7D45">
        <w:rPr>
          <w:u w:val="single"/>
        </w:rPr>
        <w:t>information</w:t>
      </w:r>
    </w:p>
    <w:p w:rsidR="00586544" w:rsidP="00586544" w14:paraId="2F22FF64" w14:textId="07A34BAC">
      <w:pPr>
        <w:pStyle w:val="ListParagraph"/>
        <w:ind w:left="360"/>
      </w:pPr>
      <w:r w:rsidRPr="00624E42">
        <w:t xml:space="preserve">The Department of the Treasury, through the </w:t>
      </w:r>
      <w:r w:rsidRPr="00AA37EF" w:rsidR="007C30A9">
        <w:t>Community Development Financial Institutions Fund (CDFI Fund</w:t>
      </w:r>
      <w:r w:rsidRPr="00AA37EF" w:rsidR="007C30A9">
        <w:t xml:space="preserve">) </w:t>
      </w:r>
      <w:r w:rsidRPr="00624E42">
        <w:t>,</w:t>
      </w:r>
      <w:r w:rsidRPr="00624E42">
        <w:t xml:space="preserve"> Internal Revenue Service, and Office of Tax Policy, administers the </w:t>
      </w:r>
      <w:r w:rsidR="007C30A9">
        <w:t xml:space="preserve">New Markets Tax Credit </w:t>
      </w:r>
      <w:r w:rsidRPr="00AA37EF" w:rsidR="007C30A9">
        <w:t xml:space="preserve">Program </w:t>
      </w:r>
      <w:r w:rsidR="007C30A9">
        <w:t>(NMTC Program)</w:t>
      </w:r>
      <w:r w:rsidRPr="00624E42">
        <w:t>.  In order to claim the NMTC, taxpayers make Qualified Equity Investments (QEIs) in Community Development Entities (CDEs) and substantially all of the QEI proceeds must, in turn, be used by the CDE to provide investments in businesses and real estate developments in low-income communities and other purposes authorized under the statute.</w:t>
      </w:r>
    </w:p>
    <w:p w:rsidR="00586544" w:rsidP="00586544" w14:paraId="6CAC6BE7" w14:textId="77777777">
      <w:pPr>
        <w:pStyle w:val="ListParagraph"/>
        <w:ind w:left="360"/>
      </w:pPr>
    </w:p>
    <w:p w:rsidR="00586544" w:rsidP="00586544" w14:paraId="2DB46F2F" w14:textId="19A81DA6">
      <w:pPr>
        <w:pStyle w:val="ListParagraph"/>
        <w:ind w:left="360"/>
      </w:pPr>
      <w:r>
        <w:t xml:space="preserve">The CDFI Fund collects data from prospective NMTC Program </w:t>
      </w:r>
      <w:r w:rsidR="00D678C3">
        <w:t>A</w:t>
      </w:r>
      <w:r>
        <w:t>pplicants once per allocation round by means of an online NMTC Program Allocation Application (hereby, the Application or Applications).  As required by the Paperwork Reduction Act (PRA), the CDFI Fund invited the general public and other federal agencies to comment on the proposed and/or continuing information collection for the calendar year (CY) 202</w:t>
      </w:r>
      <w:r w:rsidR="00CF007C">
        <w:t>4</w:t>
      </w:r>
      <w:r>
        <w:t xml:space="preserve"> – 202</w:t>
      </w:r>
      <w:r w:rsidR="00CF007C">
        <w:t>6</w:t>
      </w:r>
      <w:r>
        <w:t xml:space="preserve"> allocation rounds.  In response to the request for comment, the</w:t>
      </w:r>
      <w:r w:rsidRPr="00213D7D">
        <w:t xml:space="preserve"> CDFI Fund received </w:t>
      </w:r>
      <w:r w:rsidR="00193DA0">
        <w:t>46 responses</w:t>
      </w:r>
      <w:r>
        <w:t xml:space="preserve"> from </w:t>
      </w:r>
      <w:r w:rsidR="007B5A37">
        <w:t>4</w:t>
      </w:r>
      <w:r w:rsidR="00193DA0">
        <w:t>4</w:t>
      </w:r>
      <w:r w:rsidR="007104F8">
        <w:t xml:space="preserve"> </w:t>
      </w:r>
      <w:r w:rsidRPr="00213D7D">
        <w:t>organizations</w:t>
      </w:r>
      <w:r>
        <w:t>.</w:t>
      </w:r>
      <w:r w:rsidRPr="00213D7D">
        <w:t xml:space="preserve"> </w:t>
      </w:r>
      <w:r>
        <w:t xml:space="preserve">The NMTC Program Application was updated </w:t>
      </w:r>
      <w:r w:rsidRPr="00F9665A">
        <w:t>based upon the CDFI Fund’s review and adjudication of the public comments.</w:t>
      </w:r>
    </w:p>
    <w:p w:rsidR="00586544" w:rsidP="00586544" w14:paraId="7E1A380F" w14:textId="77777777">
      <w:pPr>
        <w:pStyle w:val="ListParagraph"/>
        <w:ind w:left="360"/>
      </w:pPr>
    </w:p>
    <w:p w:rsidR="00586544" w:rsidRPr="00F9665A" w:rsidP="00586544" w14:paraId="4EE59D6C" w14:textId="01AB2718">
      <w:pPr>
        <w:pStyle w:val="ListParagraph"/>
        <w:ind w:left="360"/>
      </w:pPr>
      <w:r w:rsidRPr="00F9665A">
        <w:t xml:space="preserve">Most changes were made to provide more clarity </w:t>
      </w:r>
      <w:r w:rsidR="00A83B47">
        <w:t xml:space="preserve">and reduce burden for </w:t>
      </w:r>
      <w:r w:rsidRPr="00F9665A">
        <w:t>intended users. The information collected will be used to select awardees, based on a merit-b</w:t>
      </w:r>
      <w:r w:rsidR="008D5700">
        <w:t>a</w:t>
      </w:r>
      <w:r w:rsidRPr="00F9665A">
        <w:t xml:space="preserve">sed selection process.  The requested information is required by the </w:t>
      </w:r>
      <w:r>
        <w:t xml:space="preserve">NMTC </w:t>
      </w:r>
      <w:r w:rsidRPr="00F9665A">
        <w:t xml:space="preserve">Program </w:t>
      </w:r>
      <w:r>
        <w:t>Authorization</w:t>
      </w:r>
      <w:r w:rsidRPr="00F9665A">
        <w:t xml:space="preserve"> (</w:t>
      </w:r>
      <w:r w:rsidRPr="00624E42">
        <w:t>26 CFR § 1.45D-1</w:t>
      </w:r>
      <w:r w:rsidRPr="00F9665A">
        <w:t>)</w:t>
      </w:r>
      <w:r>
        <w:t xml:space="preserve"> and respective Notice of Allocation</w:t>
      </w:r>
      <w:r w:rsidRPr="00F9665A">
        <w:t xml:space="preserve"> Availabilit</w:t>
      </w:r>
      <w:r>
        <w:t>y</w:t>
      </w:r>
      <w:r w:rsidR="008143D8">
        <w:t xml:space="preserve"> (NOAA)</w:t>
      </w:r>
      <w:r w:rsidRPr="00F9665A">
        <w:t xml:space="preserve">.  </w:t>
      </w:r>
    </w:p>
    <w:p w:rsidR="00586544" w:rsidRPr="00F9665A" w:rsidP="00586544" w14:paraId="59D50961" w14:textId="77777777"/>
    <w:p w:rsidR="00586544" w:rsidRPr="00FB7D45" w:rsidP="00586544" w14:paraId="5CD5C393" w14:textId="77777777">
      <w:pPr>
        <w:pStyle w:val="ListParagraph"/>
        <w:numPr>
          <w:ilvl w:val="0"/>
          <w:numId w:val="1"/>
        </w:numPr>
        <w:ind w:left="360"/>
        <w:rPr>
          <w:u w:val="single"/>
        </w:rPr>
      </w:pPr>
      <w:r w:rsidRPr="00FB7D45">
        <w:rPr>
          <w:u w:val="single"/>
        </w:rPr>
        <w:t>Method of collection and use of data</w:t>
      </w:r>
    </w:p>
    <w:p w:rsidR="00586544" w:rsidRPr="00F9665A" w:rsidP="00586544" w14:paraId="0FBCC97A" w14:textId="77777777">
      <w:pPr>
        <w:pStyle w:val="ListParagraph"/>
        <w:ind w:left="360"/>
      </w:pPr>
      <w:r w:rsidRPr="00F9665A">
        <w:t xml:space="preserve">The CDFI Fund will collect data once per </w:t>
      </w:r>
      <w:r>
        <w:t>allocation</w:t>
      </w:r>
      <w:r w:rsidRPr="00F9665A">
        <w:t xml:space="preserve"> round by means of </w:t>
      </w:r>
      <w:r>
        <w:t xml:space="preserve">the voluntary submission of </w:t>
      </w:r>
      <w:r w:rsidRPr="00F9665A">
        <w:t xml:space="preserve">an </w:t>
      </w:r>
      <w:r>
        <w:t xml:space="preserve">online </w:t>
      </w:r>
      <w:r w:rsidRPr="00F9665A">
        <w:t>application.  Applicants must complete and upload all applicati</w:t>
      </w:r>
      <w:r>
        <w:t xml:space="preserve">on materials </w:t>
      </w:r>
      <w:r w:rsidRPr="00F9665A">
        <w:t xml:space="preserve">through a CDFI Fund-managed web-based application portal.  The CDFI Fund uses the data collected to </w:t>
      </w:r>
      <w:r>
        <w:t xml:space="preserve">determine Award Recipients and </w:t>
      </w:r>
      <w:r w:rsidRPr="00F9665A">
        <w:t>applicable award amounts</w:t>
      </w:r>
      <w:r>
        <w:t>.  The award selection process and award amount criteria are described in the respective Notice of Allocation</w:t>
      </w:r>
      <w:r w:rsidRPr="00F9665A">
        <w:t xml:space="preserve"> Availabilit</w:t>
      </w:r>
      <w:r>
        <w:t xml:space="preserve">y. </w:t>
      </w:r>
    </w:p>
    <w:p w:rsidR="00586544" w:rsidRPr="00F9665A" w:rsidP="00586544" w14:paraId="588A1673" w14:textId="77777777">
      <w:pPr>
        <w:jc w:val="both"/>
        <w:rPr>
          <w:u w:val="single"/>
        </w:rPr>
      </w:pPr>
    </w:p>
    <w:p w:rsidR="00586544" w:rsidRPr="00FB7D45" w:rsidP="00586544" w14:paraId="448C1E68" w14:textId="77777777">
      <w:pPr>
        <w:pStyle w:val="ListParagraph"/>
        <w:numPr>
          <w:ilvl w:val="0"/>
          <w:numId w:val="1"/>
        </w:numPr>
        <w:ind w:left="360"/>
        <w:jc w:val="both"/>
        <w:rPr>
          <w:u w:val="single"/>
        </w:rPr>
      </w:pPr>
      <w:r w:rsidRPr="00FB7D45">
        <w:rPr>
          <w:u w:val="single"/>
        </w:rPr>
        <w:t>Use of Information Technology</w:t>
      </w:r>
    </w:p>
    <w:p w:rsidR="00586544" w:rsidRPr="00F9665A" w:rsidP="00586544" w14:paraId="4E775372" w14:textId="32AED043">
      <w:pPr>
        <w:pStyle w:val="Header"/>
        <w:tabs>
          <w:tab w:val="clear" w:pos="4320"/>
          <w:tab w:val="clear" w:pos="8640"/>
        </w:tabs>
        <w:ind w:left="360"/>
        <w:rPr>
          <w:szCs w:val="24"/>
        </w:rPr>
      </w:pPr>
      <w:r w:rsidRPr="00F9665A">
        <w:t xml:space="preserve">Only electronic applications are accepted.  </w:t>
      </w:r>
      <w:r w:rsidRPr="00F9665A">
        <w:rPr>
          <w:szCs w:val="24"/>
        </w:rPr>
        <w:t xml:space="preserve">All </w:t>
      </w:r>
      <w:r w:rsidR="001B468B">
        <w:rPr>
          <w:szCs w:val="24"/>
        </w:rPr>
        <w:t>a</w:t>
      </w:r>
      <w:r w:rsidRPr="00F9665A">
        <w:rPr>
          <w:szCs w:val="24"/>
        </w:rPr>
        <w:t xml:space="preserve">pplication materials must be submitted in the CDFI Fund-managed web-based </w:t>
      </w:r>
      <w:r>
        <w:rPr>
          <w:szCs w:val="24"/>
        </w:rPr>
        <w:t xml:space="preserve">application </w:t>
      </w:r>
      <w:r w:rsidRPr="00F9665A">
        <w:rPr>
          <w:szCs w:val="24"/>
        </w:rPr>
        <w:t xml:space="preserve">portal. </w:t>
      </w:r>
    </w:p>
    <w:p w:rsidR="00586544" w:rsidRPr="00F9665A" w:rsidP="00586544" w14:paraId="52C92A2F" w14:textId="77777777">
      <w:pPr>
        <w:jc w:val="both"/>
      </w:pPr>
    </w:p>
    <w:p w:rsidR="00E018B0" w14:paraId="75A8D620" w14:textId="77777777">
      <w:pPr>
        <w:spacing w:after="160" w:line="259" w:lineRule="auto"/>
        <w:rPr>
          <w:u w:val="single"/>
        </w:rPr>
      </w:pPr>
      <w:r>
        <w:rPr>
          <w:u w:val="single"/>
        </w:rPr>
        <w:br w:type="page"/>
      </w:r>
    </w:p>
    <w:p w:rsidR="00586544" w:rsidRPr="00FB7D45" w:rsidP="00586544" w14:paraId="0A642AE3" w14:textId="5BD78226">
      <w:pPr>
        <w:pStyle w:val="ListParagraph"/>
        <w:numPr>
          <w:ilvl w:val="0"/>
          <w:numId w:val="1"/>
        </w:numPr>
        <w:ind w:left="360"/>
        <w:jc w:val="both"/>
        <w:rPr>
          <w:u w:val="single"/>
        </w:rPr>
      </w:pPr>
      <w:r w:rsidRPr="00FB7D45">
        <w:rPr>
          <w:u w:val="single"/>
        </w:rPr>
        <w:t xml:space="preserve">Efforts to identify </w:t>
      </w:r>
      <w:r w:rsidRPr="00FB7D45">
        <w:rPr>
          <w:u w:val="single"/>
        </w:rPr>
        <w:t>duplication</w:t>
      </w:r>
    </w:p>
    <w:p w:rsidR="00586544" w:rsidRPr="00F9665A" w:rsidP="00586544" w14:paraId="3FCE09D3" w14:textId="4E539DB9">
      <w:pPr>
        <w:pStyle w:val="ListParagraph"/>
        <w:ind w:left="360"/>
      </w:pPr>
      <w:r w:rsidRPr="00F9665A">
        <w:t xml:space="preserve">The </w:t>
      </w:r>
      <w:r>
        <w:t xml:space="preserve">NMTC </w:t>
      </w:r>
      <w:r w:rsidRPr="00F9665A">
        <w:t xml:space="preserve">Program </w:t>
      </w:r>
      <w:r>
        <w:t>A</w:t>
      </w:r>
      <w:r w:rsidRPr="00F9665A">
        <w:t xml:space="preserve">pplication </w:t>
      </w:r>
      <w:r>
        <w:t>make</w:t>
      </w:r>
      <w:r w:rsidR="00B81788">
        <w:t>s</w:t>
      </w:r>
      <w:r>
        <w:t xml:space="preserve"> every effort to avoid requesting duplicate data by pulling data from existing organizational profiles such as addresses, Employer Identification Numbers, CDFI and CDE certification information, etc. whenever possible.  </w:t>
      </w:r>
    </w:p>
    <w:p w:rsidR="00586544" w:rsidRPr="00F9665A" w:rsidP="00586544" w14:paraId="5E5BC8CE" w14:textId="77777777"/>
    <w:p w:rsidR="00586544" w:rsidRPr="00FB7D45" w:rsidP="00586544" w14:paraId="023368EC" w14:textId="77777777">
      <w:pPr>
        <w:pStyle w:val="ListParagraph"/>
        <w:numPr>
          <w:ilvl w:val="0"/>
          <w:numId w:val="1"/>
        </w:numPr>
        <w:ind w:left="360"/>
        <w:rPr>
          <w:u w:val="single"/>
        </w:rPr>
      </w:pPr>
      <w:r w:rsidRPr="00FB7D45">
        <w:rPr>
          <w:u w:val="single"/>
        </w:rPr>
        <w:t>Impact on small entities</w:t>
      </w:r>
    </w:p>
    <w:p w:rsidR="00586544" w:rsidRPr="00F9665A" w:rsidP="00586544" w14:paraId="094CD04C" w14:textId="77777777">
      <w:pPr>
        <w:pStyle w:val="ListParagraph"/>
        <w:ind w:left="360"/>
      </w:pPr>
      <w:r w:rsidRPr="00F9665A">
        <w:t xml:space="preserve">This collection of information is not expected to have </w:t>
      </w:r>
      <w:r>
        <w:t xml:space="preserve">a </w:t>
      </w:r>
      <w:r w:rsidRPr="00F9665A">
        <w:t xml:space="preserve">significant impact on small entities. </w:t>
      </w:r>
    </w:p>
    <w:p w:rsidR="00586544" w:rsidRPr="00F9665A" w:rsidP="00586544" w14:paraId="62DFADAE" w14:textId="77777777">
      <w:pPr>
        <w:rPr>
          <w:u w:val="single"/>
        </w:rPr>
      </w:pPr>
    </w:p>
    <w:p w:rsidR="00586544" w:rsidRPr="00FB7D45" w:rsidP="00586544" w14:paraId="3A16D447" w14:textId="77777777">
      <w:pPr>
        <w:pStyle w:val="ListParagraph"/>
        <w:numPr>
          <w:ilvl w:val="0"/>
          <w:numId w:val="1"/>
        </w:numPr>
        <w:ind w:left="360"/>
        <w:rPr>
          <w:u w:val="single"/>
        </w:rPr>
      </w:pPr>
      <w:r w:rsidRPr="00FB7D45">
        <w:rPr>
          <w:u w:val="single"/>
        </w:rPr>
        <w:t>Consequences of less frequent collection and obstacles to burden reduction</w:t>
      </w:r>
    </w:p>
    <w:p w:rsidR="00586544" w:rsidRPr="00F9665A" w:rsidP="00586544" w14:paraId="18DA7DD0" w14:textId="7778680A">
      <w:pPr>
        <w:pStyle w:val="ListParagraph"/>
        <w:ind w:left="360"/>
      </w:pPr>
      <w:r w:rsidRPr="00F9665A">
        <w:t xml:space="preserve">The CDFI Fund cannot meet its statutory requirement to make funding decisions based on data received from </w:t>
      </w:r>
      <w:r w:rsidR="00D678C3">
        <w:t>A</w:t>
      </w:r>
      <w:r w:rsidRPr="00F9665A">
        <w:t xml:space="preserve">pplicants without the </w:t>
      </w:r>
      <w:r>
        <w:t>NMTC Program A</w:t>
      </w:r>
      <w:r w:rsidRPr="00F9665A">
        <w:t xml:space="preserve">pplication form.  </w:t>
      </w:r>
      <w:r>
        <w:t xml:space="preserve">The NMTC </w:t>
      </w:r>
      <w:r w:rsidRPr="00F9665A">
        <w:t xml:space="preserve">Program </w:t>
      </w:r>
      <w:r>
        <w:t xml:space="preserve">Authorization (USC Title </w:t>
      </w:r>
      <w:r w:rsidRPr="00624E42">
        <w:t>26 CFR § 1.45D-1</w:t>
      </w:r>
      <w:r>
        <w:t xml:space="preserve">) </w:t>
      </w:r>
      <w:r w:rsidRPr="00F9665A">
        <w:t>limit</w:t>
      </w:r>
      <w:r>
        <w:t>s</w:t>
      </w:r>
      <w:r w:rsidRPr="00F9665A">
        <w:t xml:space="preserve"> the extent to which the burden can be reduced.</w:t>
      </w:r>
    </w:p>
    <w:p w:rsidR="00586544" w:rsidRPr="00F9665A" w:rsidP="00586544" w14:paraId="11195C1F" w14:textId="77777777"/>
    <w:p w:rsidR="00586544" w:rsidRPr="00FB7D45" w:rsidP="00586544" w14:paraId="14EFD6A6" w14:textId="77777777">
      <w:pPr>
        <w:pStyle w:val="ListParagraph"/>
        <w:numPr>
          <w:ilvl w:val="0"/>
          <w:numId w:val="1"/>
        </w:numPr>
        <w:ind w:left="360"/>
        <w:rPr>
          <w:u w:val="single"/>
        </w:rPr>
      </w:pPr>
      <w:r w:rsidRPr="00FB7D45">
        <w:rPr>
          <w:u w:val="single"/>
        </w:rPr>
        <w:t xml:space="preserve">Circumstances requiring special information </w:t>
      </w:r>
      <w:r w:rsidRPr="00FB7D45">
        <w:rPr>
          <w:u w:val="single"/>
        </w:rPr>
        <w:t>collection</w:t>
      </w:r>
    </w:p>
    <w:p w:rsidR="00586544" w:rsidP="00CE4E75" w14:paraId="38156A23" w14:textId="372B963C">
      <w:pPr>
        <w:ind w:left="360"/>
      </w:pPr>
      <w:r w:rsidRPr="00CE4E75">
        <w:t>There are no special circumstances.  The collection of information is conducted in a manner consistent with the guidelines in 5 CFR 1320.6.</w:t>
      </w:r>
    </w:p>
    <w:p w:rsidR="00CE4E75" w:rsidRPr="00F9665A" w:rsidP="00586544" w14:paraId="1987B94B" w14:textId="77777777"/>
    <w:p w:rsidR="00586544" w:rsidRPr="00FB7D45" w:rsidP="00586544" w14:paraId="28959BC1" w14:textId="77777777">
      <w:pPr>
        <w:pStyle w:val="ListParagraph"/>
        <w:numPr>
          <w:ilvl w:val="0"/>
          <w:numId w:val="1"/>
        </w:numPr>
        <w:ind w:left="360"/>
        <w:rPr>
          <w:u w:val="single"/>
        </w:rPr>
      </w:pPr>
      <w:r w:rsidRPr="00FB7D45">
        <w:rPr>
          <w:u w:val="single"/>
        </w:rPr>
        <w:t>Solicitation of comments on information collection</w:t>
      </w:r>
    </w:p>
    <w:p w:rsidR="00586544" w:rsidRPr="0028705E" w:rsidP="00586544" w14:paraId="0E850931" w14:textId="0E2FE9DB">
      <w:pPr>
        <w:pStyle w:val="ListParagraph"/>
        <w:ind w:left="360"/>
        <w:rPr>
          <w:i/>
          <w:iCs/>
        </w:rPr>
      </w:pPr>
      <w:r w:rsidRPr="00F9665A">
        <w:t xml:space="preserve">Comments on the </w:t>
      </w:r>
      <w:r>
        <w:t>NMTC Program A</w:t>
      </w:r>
      <w:r w:rsidRPr="00F9665A">
        <w:t xml:space="preserve">pplication were solicited in the </w:t>
      </w:r>
      <w:r w:rsidRPr="00CE4E75">
        <w:rPr>
          <w:i/>
          <w:iCs/>
        </w:rPr>
        <w:t>Federal Register</w:t>
      </w:r>
      <w:r w:rsidRPr="00F9665A">
        <w:t xml:space="preserve"> on </w:t>
      </w:r>
      <w:r w:rsidR="00DB55D1">
        <w:t>February 23, 2024</w:t>
      </w:r>
      <w:r w:rsidR="001067C9">
        <w:t xml:space="preserve"> (</w:t>
      </w:r>
      <w:r w:rsidR="00CE4E75">
        <w:t xml:space="preserve">89 </w:t>
      </w:r>
      <w:r w:rsidR="001067C9">
        <w:t xml:space="preserve">FR </w:t>
      </w:r>
      <w:r w:rsidR="00CE4E75">
        <w:t>13801</w:t>
      </w:r>
      <w:r w:rsidR="001067C9">
        <w:t>)</w:t>
      </w:r>
      <w:r w:rsidR="00E27DFA">
        <w:t xml:space="preserve">. </w:t>
      </w:r>
      <w:r w:rsidRPr="00F9665A">
        <w:t>The CDFI Fund received</w:t>
      </w:r>
      <w:r w:rsidR="00A83B47">
        <w:t xml:space="preserve"> </w:t>
      </w:r>
      <w:r w:rsidR="00CE4E75">
        <w:t xml:space="preserve">46 letters from the public, containing </w:t>
      </w:r>
      <w:r w:rsidR="00193DA0">
        <w:t>46</w:t>
      </w:r>
      <w:r w:rsidR="00D90125">
        <w:t>8</w:t>
      </w:r>
      <w:r>
        <w:t xml:space="preserve"> </w:t>
      </w:r>
      <w:r w:rsidR="00CE4E75">
        <w:t xml:space="preserve">individual </w:t>
      </w:r>
      <w:r w:rsidRPr="00F9665A">
        <w:t>comments</w:t>
      </w:r>
      <w:r>
        <w:t xml:space="preserve"> in response to this request</w:t>
      </w:r>
      <w:r w:rsidRPr="00F9665A">
        <w:t>.</w:t>
      </w:r>
      <w:r>
        <w:t xml:space="preserve"> Comments on the NMTC Program Application were specifically requested </w:t>
      </w:r>
      <w:r w:rsidRPr="00E43991">
        <w:t xml:space="preserve">on: (a) the need for the CDFI Fund to collect the information; (b) the burden estimate; (c) ways to enhance the quality, </w:t>
      </w:r>
      <w:r w:rsidRPr="00E43991">
        <w:t>utility</w:t>
      </w:r>
      <w:r w:rsidRPr="00E43991">
        <w:t xml:space="preserve"> and clarity of the information; (d) ways to minimize the burden; and (e) the cost of providing the information.</w:t>
      </w:r>
      <w:r w:rsidR="00CE4E75">
        <w:t xml:space="preserve"> These comments and CDFI Fund responses are included in a separate appendix.</w:t>
      </w:r>
    </w:p>
    <w:p w:rsidR="00586544" w:rsidRPr="00F9665A" w:rsidP="00586544" w14:paraId="20BE5A9E" w14:textId="77777777">
      <w:pPr>
        <w:rPr>
          <w:u w:val="single"/>
        </w:rPr>
      </w:pPr>
    </w:p>
    <w:p w:rsidR="00586544" w:rsidRPr="00FB7D45" w:rsidP="00586544" w14:paraId="41A7339E" w14:textId="77777777">
      <w:pPr>
        <w:pStyle w:val="ListParagraph"/>
        <w:numPr>
          <w:ilvl w:val="0"/>
          <w:numId w:val="1"/>
        </w:numPr>
        <w:ind w:left="360"/>
        <w:rPr>
          <w:u w:val="single"/>
        </w:rPr>
      </w:pPr>
      <w:r w:rsidRPr="00FB7D45">
        <w:rPr>
          <w:u w:val="single"/>
        </w:rPr>
        <w:t>Provision of payment to respondents</w:t>
      </w:r>
    </w:p>
    <w:p w:rsidR="00586544" w:rsidRPr="00F9665A" w:rsidP="00586544" w14:paraId="46741488" w14:textId="77777777">
      <w:pPr>
        <w:pStyle w:val="ListParagraph"/>
        <w:ind w:left="360"/>
      </w:pPr>
      <w:r w:rsidRPr="00F9665A">
        <w:t>No payments or gifts will be made to respondents.</w:t>
      </w:r>
    </w:p>
    <w:p w:rsidR="00586544" w:rsidRPr="00F9665A" w:rsidP="00586544" w14:paraId="6E4480F7" w14:textId="77777777"/>
    <w:p w:rsidR="00586544" w:rsidRPr="00FB7D45" w:rsidP="00586544" w14:paraId="55148295" w14:textId="77777777">
      <w:pPr>
        <w:pStyle w:val="ListParagraph"/>
        <w:numPr>
          <w:ilvl w:val="0"/>
          <w:numId w:val="1"/>
        </w:numPr>
        <w:ind w:left="360"/>
        <w:rPr>
          <w:u w:val="single"/>
        </w:rPr>
      </w:pPr>
      <w:r w:rsidRPr="00FB7D45">
        <w:rPr>
          <w:u w:val="single"/>
        </w:rPr>
        <w:t>Assurance of confidentiality</w:t>
      </w:r>
    </w:p>
    <w:p w:rsidR="00586544" w:rsidRPr="00F9665A" w:rsidP="00586544" w14:paraId="0EE27BE7" w14:textId="46DE2639">
      <w:pPr>
        <w:pStyle w:val="ListParagraph"/>
        <w:ind w:left="360"/>
      </w:pPr>
      <w:r w:rsidRPr="00F9665A">
        <w:t xml:space="preserve">The CDFI Fund is subject to all applicable </w:t>
      </w:r>
      <w:r w:rsidR="00DC2514">
        <w:t>f</w:t>
      </w:r>
      <w:r w:rsidRPr="00F9665A">
        <w:t xml:space="preserve">ederal laws and regulations with respect to confidentiality of information supplied in the </w:t>
      </w:r>
      <w:r>
        <w:t xml:space="preserve">NMTC </w:t>
      </w:r>
      <w:r w:rsidRPr="00F9665A">
        <w:t xml:space="preserve">Program </w:t>
      </w:r>
      <w:r>
        <w:t>A</w:t>
      </w:r>
      <w:r w:rsidRPr="00F9665A">
        <w:t xml:space="preserve">pplication process.  No other assurances of confidentiality have been provided. </w:t>
      </w:r>
    </w:p>
    <w:p w:rsidR="00586544" w:rsidRPr="00F9665A" w:rsidP="00586544" w14:paraId="21B8045E" w14:textId="77777777">
      <w:pPr>
        <w:rPr>
          <w:u w:val="single"/>
        </w:rPr>
      </w:pPr>
    </w:p>
    <w:p w:rsidR="00586544" w:rsidRPr="00FB7D45" w:rsidP="00586544" w14:paraId="2B8C4D83" w14:textId="77777777">
      <w:pPr>
        <w:pStyle w:val="ListParagraph"/>
        <w:numPr>
          <w:ilvl w:val="0"/>
          <w:numId w:val="1"/>
        </w:numPr>
        <w:ind w:left="360"/>
        <w:rPr>
          <w:u w:val="single"/>
        </w:rPr>
      </w:pPr>
      <w:r w:rsidRPr="00FB7D45">
        <w:rPr>
          <w:u w:val="single"/>
        </w:rPr>
        <w:t>Justification of sensitive questions.</w:t>
      </w:r>
    </w:p>
    <w:p w:rsidR="00586544" w:rsidRPr="00F9665A" w:rsidP="00586544" w14:paraId="40865961" w14:textId="2EF3124A">
      <w:pPr>
        <w:pStyle w:val="ListParagraph"/>
        <w:ind w:left="360"/>
      </w:pPr>
      <w:r w:rsidRPr="00F9665A">
        <w:t>No personally identifiable information is collected.</w:t>
      </w:r>
    </w:p>
    <w:p w:rsidR="00586544" w:rsidRPr="00F9665A" w:rsidP="00586544" w14:paraId="7D1FC051" w14:textId="77777777">
      <w:pPr>
        <w:rPr>
          <w:u w:val="single"/>
        </w:rPr>
      </w:pPr>
    </w:p>
    <w:p w:rsidR="00586544" w:rsidRPr="00FB7D45" w:rsidP="00586544" w14:paraId="4621DAB6" w14:textId="77777777">
      <w:pPr>
        <w:pStyle w:val="ListParagraph"/>
        <w:numPr>
          <w:ilvl w:val="0"/>
          <w:numId w:val="1"/>
        </w:numPr>
        <w:ind w:left="360"/>
        <w:rPr>
          <w:u w:val="single"/>
        </w:rPr>
      </w:pPr>
      <w:r w:rsidRPr="00FB7D45">
        <w:rPr>
          <w:u w:val="single"/>
        </w:rPr>
        <w:t>Estimate of the hour burden of information collection.</w:t>
      </w:r>
    </w:p>
    <w:p w:rsidR="00586544" w:rsidP="00586544" w14:paraId="1BD0588D" w14:textId="197DEA1D">
      <w:pPr>
        <w:pStyle w:val="BodyText3"/>
        <w:spacing w:after="0"/>
        <w:ind w:left="360"/>
        <w:rPr>
          <w:sz w:val="24"/>
          <w:szCs w:val="24"/>
        </w:rPr>
      </w:pPr>
      <w:r>
        <w:rPr>
          <w:sz w:val="24"/>
          <w:szCs w:val="24"/>
        </w:rPr>
        <w:t>The estimated total number of burden hours for the CY 202</w:t>
      </w:r>
      <w:r w:rsidR="00CF007C">
        <w:rPr>
          <w:sz w:val="24"/>
          <w:szCs w:val="24"/>
        </w:rPr>
        <w:t>4</w:t>
      </w:r>
      <w:r>
        <w:rPr>
          <w:sz w:val="24"/>
          <w:szCs w:val="24"/>
        </w:rPr>
        <w:t xml:space="preserve"> – 202</w:t>
      </w:r>
      <w:r w:rsidR="00CF007C">
        <w:rPr>
          <w:sz w:val="24"/>
          <w:szCs w:val="24"/>
        </w:rPr>
        <w:t>6</w:t>
      </w:r>
      <w:r>
        <w:rPr>
          <w:sz w:val="24"/>
          <w:szCs w:val="24"/>
        </w:rPr>
        <w:t xml:space="preserve"> NMTC Program Application is </w:t>
      </w:r>
      <w:r w:rsidR="002F10F7">
        <w:rPr>
          <w:sz w:val="24"/>
          <w:szCs w:val="24"/>
        </w:rPr>
        <w:t>6</w:t>
      </w:r>
      <w:r w:rsidR="00D90125">
        <w:rPr>
          <w:sz w:val="24"/>
          <w:szCs w:val="24"/>
        </w:rPr>
        <w:t>0,1</w:t>
      </w:r>
      <w:r w:rsidR="00A22F78">
        <w:rPr>
          <w:sz w:val="24"/>
          <w:szCs w:val="24"/>
        </w:rPr>
        <w:t>2</w:t>
      </w:r>
      <w:r w:rsidR="004B28DE">
        <w:rPr>
          <w:sz w:val="24"/>
          <w:szCs w:val="24"/>
        </w:rPr>
        <w:t>1</w:t>
      </w:r>
      <w:r w:rsidR="001067C9">
        <w:rPr>
          <w:sz w:val="24"/>
          <w:szCs w:val="24"/>
        </w:rPr>
        <w:t xml:space="preserve"> and the estimated cost to </w:t>
      </w:r>
      <w:r w:rsidR="001067C9">
        <w:rPr>
          <w:sz w:val="24"/>
          <w:szCs w:val="24"/>
        </w:rPr>
        <w:t>Applciants</w:t>
      </w:r>
      <w:r w:rsidR="001067C9">
        <w:rPr>
          <w:sz w:val="24"/>
          <w:szCs w:val="24"/>
        </w:rPr>
        <w:t xml:space="preserve"> is a total of </w:t>
      </w:r>
      <w:r w:rsidRPr="00F8213B" w:rsidR="001067C9">
        <w:rPr>
          <w:sz w:val="24"/>
          <w:szCs w:val="24"/>
        </w:rPr>
        <w:t>$4,933,480</w:t>
      </w:r>
      <w:r>
        <w:rPr>
          <w:sz w:val="24"/>
          <w:szCs w:val="24"/>
        </w:rPr>
        <w:t xml:space="preserve">. This estimate is based on </w:t>
      </w:r>
      <w:r w:rsidR="00D90125">
        <w:rPr>
          <w:sz w:val="24"/>
          <w:szCs w:val="24"/>
        </w:rPr>
        <w:t>197</w:t>
      </w:r>
      <w:r>
        <w:rPr>
          <w:sz w:val="24"/>
          <w:szCs w:val="24"/>
        </w:rPr>
        <w:t xml:space="preserve"> </w:t>
      </w:r>
      <w:r w:rsidR="00D678C3">
        <w:rPr>
          <w:sz w:val="24"/>
          <w:szCs w:val="24"/>
        </w:rPr>
        <w:t>A</w:t>
      </w:r>
      <w:r>
        <w:rPr>
          <w:sz w:val="24"/>
          <w:szCs w:val="24"/>
        </w:rPr>
        <w:t xml:space="preserve">pplicants which is the average number of NMTC Program Applications received over the past three years and the average annual hour burden per application of </w:t>
      </w:r>
      <w:r w:rsidRPr="002F10F7">
        <w:rPr>
          <w:sz w:val="24"/>
          <w:szCs w:val="24"/>
        </w:rPr>
        <w:t>30</w:t>
      </w:r>
      <w:r w:rsidR="00D90125">
        <w:rPr>
          <w:sz w:val="24"/>
          <w:szCs w:val="24"/>
        </w:rPr>
        <w:t>5</w:t>
      </w:r>
      <w:r>
        <w:rPr>
          <w:sz w:val="24"/>
          <w:szCs w:val="24"/>
        </w:rPr>
        <w:t xml:space="preserve"> hours per </w:t>
      </w:r>
      <w:r w:rsidR="00D678C3">
        <w:rPr>
          <w:sz w:val="24"/>
          <w:szCs w:val="24"/>
        </w:rPr>
        <w:t>A</w:t>
      </w:r>
      <w:r>
        <w:rPr>
          <w:sz w:val="24"/>
          <w:szCs w:val="24"/>
        </w:rPr>
        <w:t>pplicant.  The estimated hour burden is based on an average of application data collected in the CY 20</w:t>
      </w:r>
      <w:r w:rsidR="00CF007C">
        <w:rPr>
          <w:sz w:val="24"/>
          <w:szCs w:val="24"/>
        </w:rPr>
        <w:t>21</w:t>
      </w:r>
      <w:r w:rsidR="001B468B">
        <w:rPr>
          <w:sz w:val="24"/>
          <w:szCs w:val="24"/>
        </w:rPr>
        <w:t>, 2022</w:t>
      </w:r>
      <w:r>
        <w:rPr>
          <w:sz w:val="24"/>
          <w:szCs w:val="24"/>
        </w:rPr>
        <w:t xml:space="preserve"> and 202</w:t>
      </w:r>
      <w:r w:rsidR="001B468B">
        <w:rPr>
          <w:sz w:val="24"/>
          <w:szCs w:val="24"/>
        </w:rPr>
        <w:t>3</w:t>
      </w:r>
      <w:r>
        <w:rPr>
          <w:sz w:val="24"/>
          <w:szCs w:val="24"/>
        </w:rPr>
        <w:t xml:space="preserve"> NMTC Program Application. </w:t>
      </w:r>
      <w:r w:rsidR="00E059D9">
        <w:rPr>
          <w:sz w:val="24"/>
          <w:szCs w:val="24"/>
        </w:rPr>
        <w:t xml:space="preserve"> </w:t>
      </w:r>
      <w:r w:rsidRPr="006A7CB7">
        <w:rPr>
          <w:sz w:val="24"/>
          <w:szCs w:val="24"/>
        </w:rPr>
        <w:t>The estimated total number of burden hours is based on actual data collected in prior years.</w:t>
      </w:r>
    </w:p>
    <w:p w:rsidR="00586544" w:rsidP="00586544" w14:paraId="22E1EA4C" w14:textId="77777777">
      <w:pPr>
        <w:pStyle w:val="BodyText3"/>
        <w:spacing w:after="0"/>
        <w:ind w:left="360"/>
        <w:rPr>
          <w:sz w:val="24"/>
          <w:szCs w:val="24"/>
        </w:rPr>
      </w:pPr>
    </w:p>
    <w:p w:rsidR="001067C9" w:rsidP="00586544" w14:paraId="6200204D" w14:textId="77777777">
      <w:pPr>
        <w:pStyle w:val="ListParagraph"/>
        <w:ind w:left="360"/>
      </w:pPr>
      <w:r>
        <w:t xml:space="preserve">Of the 197 applicants, 173 were private sector respondents while the remaining 24 were State, Local, or Tribal Government respondents. The estimate </w:t>
      </w:r>
      <w:r w:rsidRPr="006918B9">
        <w:t xml:space="preserve">of </w:t>
      </w:r>
      <w:r>
        <w:t>cost per hour</w:t>
      </w:r>
      <w:r w:rsidRPr="006918B9">
        <w:t xml:space="preserve"> to respondents </w:t>
      </w:r>
      <w:r>
        <w:t xml:space="preserve">is </w:t>
      </w:r>
      <w:r w:rsidRPr="006918B9">
        <w:t xml:space="preserve">based on Bureau of Labor Statistics data for </w:t>
      </w:r>
      <w:r>
        <w:t>Employer Costs for Employee Compensation for private workers and for government workers by occupational and industry group (released March 2024), the total compensation including wages and benefits for management, professional and financial private industry and government workers</w:t>
      </w:r>
      <w:r w:rsidRPr="006918B9">
        <w:t xml:space="preserve"> at</w:t>
      </w:r>
      <w:r>
        <w:t xml:space="preserve"> a</w:t>
      </w:r>
      <w:r w:rsidRPr="006918B9">
        <w:t xml:space="preserve"> total </w:t>
      </w:r>
      <w:r>
        <w:t xml:space="preserve">hourly </w:t>
      </w:r>
      <w:r w:rsidRPr="006918B9">
        <w:t xml:space="preserve">compensation of </w:t>
      </w:r>
      <w:r w:rsidRPr="008F0C8A">
        <w:t>$</w:t>
      </w:r>
      <w:r>
        <w:t>93.30</w:t>
      </w:r>
      <w:r>
        <w:rPr>
          <w:rStyle w:val="FootnoteReference"/>
        </w:rPr>
        <w:footnoteReference w:id="3"/>
      </w:r>
      <w:r>
        <w:t xml:space="preserve"> and $72.72</w:t>
      </w:r>
      <w:r>
        <w:rPr>
          <w:rStyle w:val="FootnoteReference"/>
        </w:rPr>
        <w:footnoteReference w:id="4"/>
      </w:r>
      <w:r>
        <w:t xml:space="preserve">, </w:t>
      </w:r>
      <w:r>
        <w:t>respectively</w:t>
      </w:r>
    </w:p>
    <w:p w:rsidR="001067C9" w:rsidP="00586544" w14:paraId="54D38D69" w14:textId="77777777">
      <w:pPr>
        <w:pStyle w:val="ListParagraph"/>
        <w:ind w:left="360"/>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5"/>
        <w:gridCol w:w="1440"/>
        <w:gridCol w:w="1350"/>
        <w:gridCol w:w="1260"/>
        <w:gridCol w:w="1260"/>
        <w:gridCol w:w="1074"/>
        <w:gridCol w:w="1386"/>
        <w:gridCol w:w="1680"/>
      </w:tblGrid>
      <w:tr w14:paraId="506FD203" w14:textId="77777777" w:rsidTr="00FB727B">
        <w:tblPrEx>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08"/>
        </w:trPr>
        <w:tc>
          <w:tcPr>
            <w:tcW w:w="1075" w:type="dxa"/>
            <w:tcBorders>
              <w:right w:val="single" w:sz="8" w:space="0" w:color="auto"/>
            </w:tcBorders>
            <w:vAlign w:val="center"/>
          </w:tcPr>
          <w:p w:rsidR="001067C9" w:rsidRPr="00152A84" w:rsidP="00FB727B" w14:paraId="7B2A5847" w14:textId="77777777">
            <w:pPr>
              <w:pStyle w:val="BodyText2"/>
              <w:spacing w:after="0" w:line="240" w:lineRule="auto"/>
              <w:jc w:val="center"/>
              <w:rPr>
                <w:b/>
                <w:sz w:val="22"/>
                <w:szCs w:val="22"/>
              </w:rPr>
            </w:pPr>
            <w:r w:rsidRPr="00152A84">
              <w:rPr>
                <w:b/>
                <w:sz w:val="22"/>
                <w:szCs w:val="22"/>
              </w:rPr>
              <w:t>Affected Public</w:t>
            </w:r>
          </w:p>
        </w:tc>
        <w:tc>
          <w:tcPr>
            <w:tcW w:w="1440" w:type="dxa"/>
            <w:tcBorders>
              <w:left w:val="single" w:sz="8" w:space="0" w:color="auto"/>
              <w:bottom w:val="single" w:sz="4" w:space="0" w:color="000000"/>
              <w:right w:val="single" w:sz="8" w:space="0" w:color="auto"/>
            </w:tcBorders>
            <w:vAlign w:val="center"/>
          </w:tcPr>
          <w:p w:rsidR="001067C9" w:rsidRPr="00152A84" w:rsidP="00FB727B" w14:paraId="22899C99" w14:textId="77777777">
            <w:pPr>
              <w:pStyle w:val="BodyText2"/>
              <w:spacing w:after="0" w:line="240" w:lineRule="auto"/>
              <w:jc w:val="center"/>
              <w:rPr>
                <w:b/>
                <w:sz w:val="22"/>
                <w:szCs w:val="22"/>
              </w:rPr>
            </w:pPr>
            <w:r w:rsidRPr="00152A84">
              <w:rPr>
                <w:b/>
                <w:sz w:val="22"/>
                <w:szCs w:val="22"/>
              </w:rPr>
              <w:t># Respondents</w:t>
            </w:r>
          </w:p>
        </w:tc>
        <w:tc>
          <w:tcPr>
            <w:tcW w:w="1350" w:type="dxa"/>
            <w:tcBorders>
              <w:left w:val="single" w:sz="8" w:space="0" w:color="auto"/>
              <w:bottom w:val="single" w:sz="4" w:space="0" w:color="000000"/>
              <w:right w:val="single" w:sz="8" w:space="0" w:color="auto"/>
            </w:tcBorders>
            <w:vAlign w:val="center"/>
          </w:tcPr>
          <w:p w:rsidR="001067C9" w:rsidRPr="00152A84" w:rsidP="00FB727B" w14:paraId="1449565A" w14:textId="77777777">
            <w:pPr>
              <w:pStyle w:val="BodyText2"/>
              <w:spacing w:after="0" w:line="240" w:lineRule="auto"/>
              <w:jc w:val="center"/>
              <w:rPr>
                <w:b/>
                <w:sz w:val="22"/>
                <w:szCs w:val="22"/>
              </w:rPr>
            </w:pPr>
            <w:r w:rsidRPr="00152A84">
              <w:rPr>
                <w:b/>
                <w:sz w:val="22"/>
                <w:szCs w:val="22"/>
              </w:rPr>
              <w:t># Responses Per Respondent</w:t>
            </w:r>
          </w:p>
        </w:tc>
        <w:tc>
          <w:tcPr>
            <w:tcW w:w="1260" w:type="dxa"/>
            <w:tcBorders>
              <w:left w:val="single" w:sz="8" w:space="0" w:color="auto"/>
              <w:bottom w:val="single" w:sz="4" w:space="0" w:color="000000"/>
              <w:right w:val="single" w:sz="8" w:space="0" w:color="auto"/>
            </w:tcBorders>
            <w:vAlign w:val="center"/>
          </w:tcPr>
          <w:p w:rsidR="001067C9" w:rsidRPr="00152A84" w:rsidP="00FB727B" w14:paraId="5C827A15" w14:textId="77777777">
            <w:pPr>
              <w:pStyle w:val="BodyText2"/>
              <w:spacing w:after="0" w:line="240" w:lineRule="auto"/>
              <w:jc w:val="center"/>
              <w:rPr>
                <w:b/>
                <w:sz w:val="22"/>
                <w:szCs w:val="22"/>
              </w:rPr>
            </w:pPr>
            <w:r w:rsidRPr="00152A84">
              <w:rPr>
                <w:b/>
                <w:sz w:val="22"/>
                <w:szCs w:val="22"/>
              </w:rPr>
              <w:t>Total Annual Responses</w:t>
            </w:r>
          </w:p>
        </w:tc>
        <w:tc>
          <w:tcPr>
            <w:tcW w:w="1260" w:type="dxa"/>
            <w:tcBorders>
              <w:left w:val="single" w:sz="8" w:space="0" w:color="auto"/>
              <w:bottom w:val="single" w:sz="4" w:space="0" w:color="000000"/>
              <w:right w:val="single" w:sz="8" w:space="0" w:color="auto"/>
            </w:tcBorders>
            <w:vAlign w:val="center"/>
          </w:tcPr>
          <w:p w:rsidR="001067C9" w:rsidRPr="00152A84" w:rsidP="00FB727B" w14:paraId="14926B19" w14:textId="77777777">
            <w:pPr>
              <w:pStyle w:val="BodyText2"/>
              <w:spacing w:after="0" w:line="240" w:lineRule="auto"/>
              <w:jc w:val="center"/>
              <w:rPr>
                <w:b/>
                <w:sz w:val="22"/>
                <w:szCs w:val="22"/>
              </w:rPr>
            </w:pPr>
            <w:r>
              <w:rPr>
                <w:b/>
                <w:sz w:val="22"/>
                <w:szCs w:val="22"/>
              </w:rPr>
              <w:t xml:space="preserve">Average </w:t>
            </w:r>
            <w:r w:rsidRPr="00152A84">
              <w:rPr>
                <w:b/>
                <w:sz w:val="22"/>
                <w:szCs w:val="22"/>
              </w:rPr>
              <w:t>Hours Per Response</w:t>
            </w:r>
          </w:p>
        </w:tc>
        <w:tc>
          <w:tcPr>
            <w:tcW w:w="1074" w:type="dxa"/>
            <w:tcBorders>
              <w:left w:val="single" w:sz="8" w:space="0" w:color="auto"/>
              <w:bottom w:val="single" w:sz="4" w:space="0" w:color="000000"/>
              <w:right w:val="single" w:sz="8" w:space="0" w:color="auto"/>
            </w:tcBorders>
            <w:vAlign w:val="center"/>
          </w:tcPr>
          <w:p w:rsidR="001067C9" w:rsidRPr="00152A84" w:rsidP="00FB727B" w14:paraId="50234E09" w14:textId="77777777">
            <w:pPr>
              <w:pStyle w:val="BodyText2"/>
              <w:spacing w:after="0" w:line="240" w:lineRule="auto"/>
              <w:jc w:val="center"/>
              <w:rPr>
                <w:b/>
                <w:sz w:val="22"/>
                <w:szCs w:val="22"/>
              </w:rPr>
            </w:pPr>
            <w:r w:rsidRPr="00152A84">
              <w:rPr>
                <w:b/>
                <w:sz w:val="22"/>
                <w:szCs w:val="22"/>
              </w:rPr>
              <w:t>Total Hours</w:t>
            </w:r>
          </w:p>
        </w:tc>
        <w:tc>
          <w:tcPr>
            <w:tcW w:w="1386" w:type="dxa"/>
            <w:tcBorders>
              <w:left w:val="single" w:sz="8" w:space="0" w:color="auto"/>
              <w:bottom w:val="single" w:sz="4" w:space="0" w:color="000000"/>
              <w:right w:val="single" w:sz="8" w:space="0" w:color="auto"/>
            </w:tcBorders>
          </w:tcPr>
          <w:p w:rsidR="001067C9" w:rsidRPr="00152A84" w:rsidP="00FB727B" w14:paraId="757592B2" w14:textId="77777777">
            <w:pPr>
              <w:pStyle w:val="BodyText2"/>
              <w:spacing w:after="0" w:line="240" w:lineRule="auto"/>
              <w:jc w:val="center"/>
              <w:rPr>
                <w:b/>
                <w:sz w:val="22"/>
                <w:szCs w:val="22"/>
              </w:rPr>
            </w:pPr>
            <w:r w:rsidRPr="00152A84">
              <w:rPr>
                <w:b/>
                <w:sz w:val="22"/>
                <w:szCs w:val="22"/>
              </w:rPr>
              <w:t>Time Value (per hour)</w:t>
            </w:r>
          </w:p>
        </w:tc>
        <w:tc>
          <w:tcPr>
            <w:tcW w:w="1680" w:type="dxa"/>
            <w:tcBorders>
              <w:left w:val="single" w:sz="8" w:space="0" w:color="auto"/>
              <w:bottom w:val="single" w:sz="4" w:space="0" w:color="000000"/>
              <w:right w:val="single" w:sz="8" w:space="0" w:color="auto"/>
            </w:tcBorders>
          </w:tcPr>
          <w:p w:rsidR="001067C9" w:rsidRPr="00152A84" w:rsidP="00FB727B" w14:paraId="3A89B84A" w14:textId="77777777">
            <w:pPr>
              <w:pStyle w:val="BodyText2"/>
              <w:spacing w:after="0" w:line="240" w:lineRule="auto"/>
              <w:jc w:val="center"/>
              <w:rPr>
                <w:b/>
                <w:sz w:val="22"/>
                <w:szCs w:val="22"/>
              </w:rPr>
            </w:pPr>
            <w:r w:rsidRPr="00152A84">
              <w:rPr>
                <w:b/>
                <w:sz w:val="22"/>
                <w:szCs w:val="22"/>
              </w:rPr>
              <w:t xml:space="preserve">Monetized Burden Hours </w:t>
            </w:r>
          </w:p>
        </w:tc>
      </w:tr>
      <w:tr w14:paraId="091FFA1E" w14:textId="77777777" w:rsidTr="00FB727B">
        <w:tblPrEx>
          <w:tblW w:w="10525" w:type="dxa"/>
          <w:tblLayout w:type="fixed"/>
          <w:tblLook w:val="04A0"/>
        </w:tblPrEx>
        <w:trPr>
          <w:trHeight w:val="638"/>
        </w:trPr>
        <w:tc>
          <w:tcPr>
            <w:tcW w:w="1075" w:type="dxa"/>
            <w:tcBorders>
              <w:right w:val="single" w:sz="8" w:space="0" w:color="auto"/>
            </w:tcBorders>
          </w:tcPr>
          <w:p w:rsidR="001067C9" w:rsidRPr="00152A84" w:rsidP="00FB727B" w14:paraId="6CD8A2D7" w14:textId="77777777">
            <w:pPr>
              <w:pStyle w:val="BodyText2"/>
              <w:spacing w:after="0" w:line="240" w:lineRule="auto"/>
              <w:jc w:val="center"/>
              <w:rPr>
                <w:b/>
                <w:sz w:val="22"/>
                <w:szCs w:val="22"/>
              </w:rPr>
            </w:pPr>
            <w:r w:rsidRPr="00152A84">
              <w:rPr>
                <w:b/>
                <w:sz w:val="22"/>
                <w:szCs w:val="22"/>
              </w:rPr>
              <w:t>Private Sector</w:t>
            </w:r>
          </w:p>
        </w:tc>
        <w:tc>
          <w:tcPr>
            <w:tcW w:w="1440" w:type="dxa"/>
            <w:tcBorders>
              <w:top w:val="single" w:sz="4" w:space="0" w:color="000000"/>
              <w:left w:val="single" w:sz="8" w:space="0" w:color="auto"/>
              <w:bottom w:val="single" w:sz="8" w:space="0" w:color="auto"/>
              <w:right w:val="single" w:sz="8" w:space="0" w:color="auto"/>
            </w:tcBorders>
            <w:shd w:val="clear" w:color="auto" w:fill="auto"/>
            <w:vAlign w:val="center"/>
          </w:tcPr>
          <w:p w:rsidR="001067C9" w:rsidRPr="009C010A" w:rsidP="00FB727B" w14:paraId="4DEC0592" w14:textId="77777777">
            <w:pPr>
              <w:pStyle w:val="BodyText2"/>
              <w:jc w:val="center"/>
              <w:rPr>
                <w:sz w:val="22"/>
                <w:szCs w:val="22"/>
              </w:rPr>
            </w:pPr>
            <w:r>
              <w:rPr>
                <w:sz w:val="22"/>
                <w:szCs w:val="22"/>
              </w:rPr>
              <w:t>173</w:t>
            </w:r>
          </w:p>
        </w:tc>
        <w:tc>
          <w:tcPr>
            <w:tcW w:w="1350" w:type="dxa"/>
            <w:tcBorders>
              <w:top w:val="single" w:sz="4" w:space="0" w:color="000000"/>
              <w:left w:val="single" w:sz="8" w:space="0" w:color="auto"/>
              <w:bottom w:val="single" w:sz="8" w:space="0" w:color="auto"/>
              <w:right w:val="single" w:sz="8" w:space="0" w:color="auto"/>
            </w:tcBorders>
            <w:shd w:val="clear" w:color="auto" w:fill="auto"/>
            <w:vAlign w:val="center"/>
          </w:tcPr>
          <w:p w:rsidR="001067C9" w:rsidRPr="009C010A" w:rsidP="00FB727B" w14:paraId="729E886E" w14:textId="77777777">
            <w:pPr>
              <w:pStyle w:val="BodyText2"/>
              <w:jc w:val="center"/>
              <w:rPr>
                <w:sz w:val="22"/>
                <w:szCs w:val="22"/>
              </w:rPr>
            </w:pPr>
            <w:r w:rsidRPr="009C010A">
              <w:rPr>
                <w:sz w:val="22"/>
                <w:szCs w:val="22"/>
              </w:rPr>
              <w:t>1</w:t>
            </w:r>
          </w:p>
        </w:tc>
        <w:tc>
          <w:tcPr>
            <w:tcW w:w="1260" w:type="dxa"/>
            <w:tcBorders>
              <w:top w:val="single" w:sz="4" w:space="0" w:color="000000"/>
              <w:left w:val="single" w:sz="8" w:space="0" w:color="auto"/>
              <w:bottom w:val="single" w:sz="8" w:space="0" w:color="auto"/>
              <w:right w:val="single" w:sz="8" w:space="0" w:color="auto"/>
            </w:tcBorders>
            <w:shd w:val="clear" w:color="auto" w:fill="auto"/>
            <w:vAlign w:val="center"/>
          </w:tcPr>
          <w:p w:rsidR="001067C9" w:rsidRPr="009C010A" w:rsidP="00FB727B" w14:paraId="46E4CE5C" w14:textId="77777777">
            <w:pPr>
              <w:pStyle w:val="BodyText2"/>
              <w:jc w:val="center"/>
              <w:rPr>
                <w:sz w:val="22"/>
                <w:szCs w:val="22"/>
              </w:rPr>
            </w:pPr>
            <w:r>
              <w:rPr>
                <w:sz w:val="22"/>
                <w:szCs w:val="22"/>
              </w:rPr>
              <w:t>173</w:t>
            </w:r>
          </w:p>
        </w:tc>
        <w:tc>
          <w:tcPr>
            <w:tcW w:w="1260" w:type="dxa"/>
            <w:tcBorders>
              <w:top w:val="single" w:sz="4" w:space="0" w:color="000000"/>
              <w:left w:val="single" w:sz="8" w:space="0" w:color="auto"/>
              <w:bottom w:val="single" w:sz="8" w:space="0" w:color="auto"/>
              <w:right w:val="single" w:sz="8" w:space="0" w:color="auto"/>
            </w:tcBorders>
            <w:shd w:val="clear" w:color="auto" w:fill="auto"/>
            <w:vAlign w:val="center"/>
          </w:tcPr>
          <w:p w:rsidR="001067C9" w:rsidRPr="009C010A" w:rsidP="00FB727B" w14:paraId="52CD7690" w14:textId="77777777">
            <w:pPr>
              <w:pStyle w:val="BodyText2"/>
              <w:jc w:val="center"/>
              <w:rPr>
                <w:sz w:val="22"/>
                <w:szCs w:val="22"/>
              </w:rPr>
            </w:pPr>
            <w:r>
              <w:rPr>
                <w:sz w:val="22"/>
                <w:szCs w:val="22"/>
              </w:rPr>
              <w:t>306</w:t>
            </w:r>
          </w:p>
        </w:tc>
        <w:tc>
          <w:tcPr>
            <w:tcW w:w="1074" w:type="dxa"/>
            <w:tcBorders>
              <w:top w:val="single" w:sz="4" w:space="0" w:color="000000"/>
              <w:left w:val="single" w:sz="8" w:space="0" w:color="auto"/>
              <w:bottom w:val="single" w:sz="8" w:space="0" w:color="auto"/>
              <w:right w:val="single" w:sz="8" w:space="0" w:color="auto"/>
            </w:tcBorders>
            <w:shd w:val="clear" w:color="auto" w:fill="auto"/>
            <w:vAlign w:val="center"/>
          </w:tcPr>
          <w:p w:rsidR="001067C9" w:rsidRPr="009C010A" w:rsidP="00FB727B" w14:paraId="2F4A55AB" w14:textId="77777777">
            <w:pPr>
              <w:pStyle w:val="BodyText2"/>
              <w:jc w:val="center"/>
              <w:rPr>
                <w:sz w:val="22"/>
                <w:szCs w:val="22"/>
              </w:rPr>
            </w:pPr>
            <w:r>
              <w:rPr>
                <w:sz w:val="22"/>
                <w:szCs w:val="22"/>
              </w:rPr>
              <w:t>53,070</w:t>
            </w:r>
          </w:p>
        </w:tc>
        <w:tc>
          <w:tcPr>
            <w:tcW w:w="1386" w:type="dxa"/>
            <w:tcBorders>
              <w:top w:val="single" w:sz="4" w:space="0" w:color="000000"/>
              <w:left w:val="single" w:sz="8" w:space="0" w:color="auto"/>
              <w:bottom w:val="single" w:sz="8" w:space="0" w:color="auto"/>
              <w:right w:val="single" w:sz="8" w:space="0" w:color="auto"/>
            </w:tcBorders>
          </w:tcPr>
          <w:p w:rsidR="001067C9" w:rsidRPr="009C010A" w:rsidP="00FB727B" w14:paraId="51C5556A" w14:textId="77777777">
            <w:pPr>
              <w:pStyle w:val="BodyText2"/>
              <w:jc w:val="center"/>
              <w:rPr>
                <w:sz w:val="22"/>
                <w:szCs w:val="22"/>
              </w:rPr>
            </w:pPr>
            <w:r>
              <w:rPr>
                <w:sz w:val="22"/>
                <w:szCs w:val="22"/>
              </w:rPr>
              <w:t>$83.30</w:t>
            </w:r>
          </w:p>
        </w:tc>
        <w:tc>
          <w:tcPr>
            <w:tcW w:w="1680" w:type="dxa"/>
            <w:tcBorders>
              <w:top w:val="single" w:sz="4" w:space="0" w:color="000000"/>
              <w:left w:val="single" w:sz="8" w:space="0" w:color="auto"/>
              <w:bottom w:val="single" w:sz="8" w:space="0" w:color="auto"/>
              <w:right w:val="single" w:sz="8" w:space="0" w:color="auto"/>
            </w:tcBorders>
          </w:tcPr>
          <w:p w:rsidR="001067C9" w:rsidRPr="009C010A" w:rsidP="00FB727B" w14:paraId="1A6AAA9D" w14:textId="77777777">
            <w:pPr>
              <w:pStyle w:val="BodyText2"/>
              <w:jc w:val="center"/>
              <w:rPr>
                <w:sz w:val="22"/>
                <w:szCs w:val="22"/>
              </w:rPr>
            </w:pPr>
            <w:r>
              <w:rPr>
                <w:sz w:val="22"/>
                <w:szCs w:val="22"/>
              </w:rPr>
              <w:t>$4,420,731</w:t>
            </w:r>
          </w:p>
        </w:tc>
      </w:tr>
      <w:tr w14:paraId="0C11D96E" w14:textId="77777777" w:rsidTr="00FB727B">
        <w:tblPrEx>
          <w:tblW w:w="10525" w:type="dxa"/>
          <w:tblLayout w:type="fixed"/>
          <w:tblLook w:val="04A0"/>
        </w:tblPrEx>
        <w:trPr>
          <w:trHeight w:val="700"/>
        </w:trPr>
        <w:tc>
          <w:tcPr>
            <w:tcW w:w="1075" w:type="dxa"/>
            <w:tcBorders>
              <w:bottom w:val="double" w:sz="4" w:space="0" w:color="auto"/>
              <w:right w:val="single" w:sz="8" w:space="0" w:color="auto"/>
            </w:tcBorders>
          </w:tcPr>
          <w:p w:rsidR="001067C9" w:rsidRPr="00152A84" w:rsidP="00FB727B" w14:paraId="2ACB0367" w14:textId="77777777">
            <w:pPr>
              <w:pStyle w:val="BodyText2"/>
              <w:spacing w:after="0" w:line="240" w:lineRule="auto"/>
              <w:jc w:val="center"/>
              <w:rPr>
                <w:b/>
                <w:sz w:val="22"/>
                <w:szCs w:val="22"/>
              </w:rPr>
            </w:pPr>
            <w:r w:rsidRPr="00152A84">
              <w:rPr>
                <w:b/>
                <w:sz w:val="22"/>
                <w:szCs w:val="22"/>
              </w:rPr>
              <w:t>State, Local, &amp; Tribal</w:t>
            </w:r>
          </w:p>
        </w:tc>
        <w:tc>
          <w:tcPr>
            <w:tcW w:w="1440" w:type="dxa"/>
            <w:tcBorders>
              <w:top w:val="nil"/>
              <w:left w:val="single" w:sz="8" w:space="0" w:color="auto"/>
              <w:bottom w:val="double" w:sz="6" w:space="0" w:color="auto"/>
              <w:right w:val="single" w:sz="8" w:space="0" w:color="auto"/>
            </w:tcBorders>
            <w:shd w:val="clear" w:color="auto" w:fill="auto"/>
            <w:vAlign w:val="center"/>
          </w:tcPr>
          <w:p w:rsidR="001067C9" w:rsidRPr="009C010A" w:rsidP="00FB727B" w14:paraId="494E4A3A" w14:textId="77777777">
            <w:pPr>
              <w:pStyle w:val="BodyText2"/>
              <w:jc w:val="center"/>
              <w:rPr>
                <w:sz w:val="22"/>
                <w:szCs w:val="22"/>
              </w:rPr>
            </w:pPr>
            <w:r>
              <w:rPr>
                <w:sz w:val="22"/>
                <w:szCs w:val="22"/>
              </w:rPr>
              <w:t>24</w:t>
            </w:r>
          </w:p>
        </w:tc>
        <w:tc>
          <w:tcPr>
            <w:tcW w:w="1350" w:type="dxa"/>
            <w:tcBorders>
              <w:top w:val="nil"/>
              <w:left w:val="single" w:sz="8" w:space="0" w:color="auto"/>
              <w:bottom w:val="double" w:sz="6" w:space="0" w:color="auto"/>
              <w:right w:val="single" w:sz="8" w:space="0" w:color="auto"/>
            </w:tcBorders>
            <w:shd w:val="clear" w:color="auto" w:fill="auto"/>
            <w:vAlign w:val="center"/>
          </w:tcPr>
          <w:p w:rsidR="001067C9" w:rsidRPr="009C010A" w:rsidP="00FB727B" w14:paraId="5B827BAB" w14:textId="77777777">
            <w:pPr>
              <w:pStyle w:val="BodyText2"/>
              <w:jc w:val="center"/>
              <w:rPr>
                <w:sz w:val="22"/>
                <w:szCs w:val="22"/>
              </w:rPr>
            </w:pPr>
            <w:r w:rsidRPr="009C010A">
              <w:rPr>
                <w:sz w:val="22"/>
                <w:szCs w:val="22"/>
              </w:rPr>
              <w:t>1</w:t>
            </w:r>
          </w:p>
        </w:tc>
        <w:tc>
          <w:tcPr>
            <w:tcW w:w="1260" w:type="dxa"/>
            <w:tcBorders>
              <w:top w:val="nil"/>
              <w:left w:val="single" w:sz="8" w:space="0" w:color="auto"/>
              <w:bottom w:val="double" w:sz="6" w:space="0" w:color="auto"/>
              <w:right w:val="single" w:sz="8" w:space="0" w:color="auto"/>
            </w:tcBorders>
            <w:shd w:val="clear" w:color="auto" w:fill="auto"/>
            <w:vAlign w:val="center"/>
          </w:tcPr>
          <w:p w:rsidR="001067C9" w:rsidRPr="009C010A" w:rsidP="00FB727B" w14:paraId="37CF3ED7" w14:textId="77777777">
            <w:pPr>
              <w:pStyle w:val="BodyText2"/>
              <w:jc w:val="center"/>
              <w:rPr>
                <w:sz w:val="22"/>
                <w:szCs w:val="22"/>
              </w:rPr>
            </w:pPr>
            <w:r>
              <w:rPr>
                <w:sz w:val="22"/>
                <w:szCs w:val="22"/>
              </w:rPr>
              <w:t>24</w:t>
            </w:r>
          </w:p>
        </w:tc>
        <w:tc>
          <w:tcPr>
            <w:tcW w:w="1260" w:type="dxa"/>
            <w:tcBorders>
              <w:top w:val="nil"/>
              <w:left w:val="single" w:sz="8" w:space="0" w:color="auto"/>
              <w:bottom w:val="double" w:sz="6" w:space="0" w:color="auto"/>
              <w:right w:val="single" w:sz="8" w:space="0" w:color="auto"/>
            </w:tcBorders>
            <w:shd w:val="clear" w:color="auto" w:fill="auto"/>
            <w:vAlign w:val="center"/>
          </w:tcPr>
          <w:p w:rsidR="001067C9" w:rsidRPr="009C010A" w:rsidP="00FB727B" w14:paraId="24AA9147" w14:textId="77777777">
            <w:pPr>
              <w:pStyle w:val="BodyText2"/>
              <w:jc w:val="center"/>
              <w:rPr>
                <w:sz w:val="22"/>
                <w:szCs w:val="22"/>
              </w:rPr>
            </w:pPr>
            <w:r>
              <w:rPr>
                <w:sz w:val="22"/>
                <w:szCs w:val="22"/>
              </w:rPr>
              <w:t>293</w:t>
            </w:r>
          </w:p>
        </w:tc>
        <w:tc>
          <w:tcPr>
            <w:tcW w:w="1074" w:type="dxa"/>
            <w:tcBorders>
              <w:top w:val="nil"/>
              <w:left w:val="single" w:sz="8" w:space="0" w:color="auto"/>
              <w:bottom w:val="double" w:sz="6" w:space="0" w:color="auto"/>
              <w:right w:val="single" w:sz="8" w:space="0" w:color="auto"/>
            </w:tcBorders>
            <w:shd w:val="clear" w:color="auto" w:fill="auto"/>
            <w:vAlign w:val="center"/>
          </w:tcPr>
          <w:p w:rsidR="001067C9" w:rsidRPr="009C010A" w:rsidP="00FB727B" w14:paraId="3E941C19" w14:textId="77777777">
            <w:pPr>
              <w:pStyle w:val="BodyText2"/>
              <w:jc w:val="center"/>
              <w:rPr>
                <w:sz w:val="22"/>
                <w:szCs w:val="22"/>
              </w:rPr>
            </w:pPr>
            <w:r>
              <w:rPr>
                <w:sz w:val="22"/>
                <w:szCs w:val="22"/>
              </w:rPr>
              <w:t xml:space="preserve">  7, 051</w:t>
            </w:r>
          </w:p>
        </w:tc>
        <w:tc>
          <w:tcPr>
            <w:tcW w:w="1386" w:type="dxa"/>
            <w:tcBorders>
              <w:top w:val="nil"/>
              <w:left w:val="single" w:sz="8" w:space="0" w:color="auto"/>
              <w:bottom w:val="double" w:sz="6" w:space="0" w:color="auto"/>
              <w:right w:val="single" w:sz="8" w:space="0" w:color="auto"/>
            </w:tcBorders>
          </w:tcPr>
          <w:p w:rsidR="001067C9" w:rsidRPr="009C010A" w:rsidP="00FB727B" w14:paraId="5306B39D" w14:textId="77777777">
            <w:pPr>
              <w:pStyle w:val="BodyText2"/>
              <w:jc w:val="center"/>
              <w:rPr>
                <w:sz w:val="22"/>
                <w:szCs w:val="22"/>
              </w:rPr>
            </w:pPr>
            <w:r>
              <w:rPr>
                <w:sz w:val="22"/>
                <w:szCs w:val="22"/>
              </w:rPr>
              <w:t>$72.72</w:t>
            </w:r>
          </w:p>
        </w:tc>
        <w:tc>
          <w:tcPr>
            <w:tcW w:w="1680" w:type="dxa"/>
            <w:tcBorders>
              <w:top w:val="nil"/>
              <w:left w:val="single" w:sz="8" w:space="0" w:color="auto"/>
              <w:bottom w:val="double" w:sz="6" w:space="0" w:color="auto"/>
              <w:right w:val="single" w:sz="8" w:space="0" w:color="auto"/>
            </w:tcBorders>
          </w:tcPr>
          <w:p w:rsidR="001067C9" w:rsidRPr="009C010A" w:rsidP="00FB727B" w14:paraId="43256148" w14:textId="77777777">
            <w:pPr>
              <w:pStyle w:val="BodyText2"/>
              <w:jc w:val="center"/>
              <w:rPr>
                <w:sz w:val="22"/>
                <w:szCs w:val="22"/>
              </w:rPr>
            </w:pPr>
            <w:r>
              <w:rPr>
                <w:sz w:val="22"/>
                <w:szCs w:val="22"/>
              </w:rPr>
              <w:t>$  512,749</w:t>
            </w:r>
          </w:p>
        </w:tc>
      </w:tr>
      <w:tr w14:paraId="3BEDED2C" w14:textId="77777777" w:rsidTr="00FB727B">
        <w:tblPrEx>
          <w:tblW w:w="10525" w:type="dxa"/>
          <w:tblLayout w:type="fixed"/>
          <w:tblLook w:val="04A0"/>
        </w:tblPrEx>
        <w:trPr>
          <w:trHeight w:val="423"/>
        </w:trPr>
        <w:tc>
          <w:tcPr>
            <w:tcW w:w="1075" w:type="dxa"/>
            <w:tcBorders>
              <w:top w:val="double" w:sz="4" w:space="0" w:color="auto"/>
              <w:bottom w:val="single" w:sz="8" w:space="0" w:color="auto"/>
              <w:right w:val="single" w:sz="8" w:space="0" w:color="auto"/>
            </w:tcBorders>
            <w:vAlign w:val="center"/>
          </w:tcPr>
          <w:p w:rsidR="001067C9" w:rsidRPr="009C010A" w:rsidP="00FB727B" w14:paraId="23CF155F" w14:textId="77777777">
            <w:pPr>
              <w:pStyle w:val="BodyText2"/>
              <w:jc w:val="center"/>
              <w:rPr>
                <w:sz w:val="22"/>
                <w:szCs w:val="22"/>
              </w:rPr>
            </w:pPr>
            <w:r w:rsidRPr="009C010A">
              <w:rPr>
                <w:sz w:val="22"/>
                <w:szCs w:val="22"/>
              </w:rPr>
              <w:t>Totals</w:t>
            </w:r>
          </w:p>
        </w:tc>
        <w:tc>
          <w:tcPr>
            <w:tcW w:w="1440" w:type="dxa"/>
            <w:tcBorders>
              <w:top w:val="nil"/>
              <w:left w:val="single" w:sz="8" w:space="0" w:color="auto"/>
              <w:bottom w:val="single" w:sz="4" w:space="0" w:color="000000"/>
              <w:right w:val="single" w:sz="8" w:space="0" w:color="auto"/>
            </w:tcBorders>
            <w:shd w:val="clear" w:color="auto" w:fill="auto"/>
            <w:vAlign w:val="center"/>
          </w:tcPr>
          <w:p w:rsidR="001067C9" w:rsidRPr="009C010A" w:rsidP="00FB727B" w14:paraId="5A73B121" w14:textId="77777777">
            <w:pPr>
              <w:pStyle w:val="BodyText2"/>
              <w:jc w:val="center"/>
              <w:rPr>
                <w:sz w:val="22"/>
                <w:szCs w:val="22"/>
              </w:rPr>
            </w:pPr>
            <w:r>
              <w:rPr>
                <w:sz w:val="22"/>
                <w:szCs w:val="22"/>
              </w:rPr>
              <w:t>197</w:t>
            </w:r>
          </w:p>
        </w:tc>
        <w:tc>
          <w:tcPr>
            <w:tcW w:w="1350" w:type="dxa"/>
            <w:tcBorders>
              <w:top w:val="nil"/>
              <w:left w:val="single" w:sz="8" w:space="0" w:color="auto"/>
              <w:bottom w:val="single" w:sz="4" w:space="0" w:color="000000"/>
              <w:right w:val="single" w:sz="8" w:space="0" w:color="auto"/>
            </w:tcBorders>
            <w:shd w:val="clear" w:color="auto" w:fill="auto"/>
            <w:vAlign w:val="center"/>
          </w:tcPr>
          <w:p w:rsidR="001067C9" w:rsidRPr="009C010A" w:rsidP="00FB727B" w14:paraId="235F341A" w14:textId="77777777">
            <w:pPr>
              <w:pStyle w:val="BodyText2"/>
              <w:jc w:val="center"/>
              <w:rPr>
                <w:sz w:val="22"/>
                <w:szCs w:val="22"/>
              </w:rPr>
            </w:pPr>
            <w:r w:rsidRPr="009C010A">
              <w:rPr>
                <w:sz w:val="22"/>
                <w:szCs w:val="22"/>
              </w:rPr>
              <w:t>1</w:t>
            </w:r>
          </w:p>
        </w:tc>
        <w:tc>
          <w:tcPr>
            <w:tcW w:w="1260" w:type="dxa"/>
            <w:tcBorders>
              <w:top w:val="nil"/>
              <w:left w:val="single" w:sz="8" w:space="0" w:color="auto"/>
              <w:bottom w:val="single" w:sz="4" w:space="0" w:color="000000"/>
              <w:right w:val="single" w:sz="8" w:space="0" w:color="auto"/>
            </w:tcBorders>
            <w:shd w:val="clear" w:color="auto" w:fill="auto"/>
            <w:vAlign w:val="center"/>
          </w:tcPr>
          <w:p w:rsidR="001067C9" w:rsidRPr="009C010A" w:rsidP="00FB727B" w14:paraId="165E9F9E" w14:textId="77777777">
            <w:pPr>
              <w:pStyle w:val="BodyText2"/>
              <w:jc w:val="center"/>
              <w:rPr>
                <w:sz w:val="22"/>
                <w:szCs w:val="22"/>
              </w:rPr>
            </w:pPr>
            <w:r>
              <w:rPr>
                <w:sz w:val="22"/>
                <w:szCs w:val="22"/>
              </w:rPr>
              <w:t>197</w:t>
            </w:r>
          </w:p>
        </w:tc>
        <w:tc>
          <w:tcPr>
            <w:tcW w:w="1260" w:type="dxa"/>
            <w:tcBorders>
              <w:top w:val="double" w:sz="6" w:space="0" w:color="auto"/>
              <w:left w:val="single" w:sz="8" w:space="0" w:color="auto"/>
              <w:bottom w:val="single" w:sz="4" w:space="0" w:color="000000"/>
              <w:right w:val="single" w:sz="8" w:space="0" w:color="auto"/>
            </w:tcBorders>
            <w:shd w:val="clear" w:color="auto" w:fill="BFBFBF" w:themeFill="background1" w:themeFillShade="BF"/>
            <w:vAlign w:val="center"/>
          </w:tcPr>
          <w:p w:rsidR="001067C9" w:rsidRPr="009C010A" w:rsidP="00FB727B" w14:paraId="471E1F87" w14:textId="77777777">
            <w:pPr>
              <w:pStyle w:val="BodyText2"/>
              <w:jc w:val="center"/>
              <w:rPr>
                <w:sz w:val="22"/>
                <w:szCs w:val="22"/>
              </w:rPr>
            </w:pPr>
          </w:p>
        </w:tc>
        <w:tc>
          <w:tcPr>
            <w:tcW w:w="1074" w:type="dxa"/>
            <w:tcBorders>
              <w:top w:val="nil"/>
              <w:left w:val="single" w:sz="8" w:space="0" w:color="auto"/>
              <w:bottom w:val="single" w:sz="4" w:space="0" w:color="000000"/>
              <w:right w:val="single" w:sz="8" w:space="0" w:color="auto"/>
            </w:tcBorders>
            <w:shd w:val="clear" w:color="auto" w:fill="auto"/>
            <w:vAlign w:val="center"/>
          </w:tcPr>
          <w:p w:rsidR="001067C9" w:rsidRPr="009C010A" w:rsidP="00FB727B" w14:paraId="69AC618C" w14:textId="77777777">
            <w:pPr>
              <w:pStyle w:val="BodyText2"/>
              <w:jc w:val="center"/>
              <w:rPr>
                <w:sz w:val="22"/>
                <w:szCs w:val="22"/>
              </w:rPr>
            </w:pPr>
            <w:r>
              <w:rPr>
                <w:sz w:val="22"/>
                <w:szCs w:val="22"/>
              </w:rPr>
              <w:t>60,121</w:t>
            </w:r>
          </w:p>
        </w:tc>
        <w:tc>
          <w:tcPr>
            <w:tcW w:w="1386" w:type="dxa"/>
            <w:tcBorders>
              <w:top w:val="double" w:sz="6" w:space="0" w:color="auto"/>
              <w:left w:val="single" w:sz="8" w:space="0" w:color="auto"/>
              <w:bottom w:val="single" w:sz="4" w:space="0" w:color="000000"/>
              <w:right w:val="single" w:sz="8" w:space="0" w:color="auto"/>
            </w:tcBorders>
            <w:shd w:val="clear" w:color="auto" w:fill="BFBFBF" w:themeFill="background1" w:themeFillShade="BF"/>
          </w:tcPr>
          <w:p w:rsidR="001067C9" w:rsidRPr="009C010A" w:rsidP="00FB727B" w14:paraId="15271A18" w14:textId="77777777">
            <w:pPr>
              <w:pStyle w:val="BodyText2"/>
              <w:tabs>
                <w:tab w:val="left" w:pos="280"/>
              </w:tabs>
              <w:jc w:val="center"/>
              <w:rPr>
                <w:sz w:val="22"/>
                <w:szCs w:val="22"/>
              </w:rPr>
            </w:pPr>
          </w:p>
        </w:tc>
        <w:tc>
          <w:tcPr>
            <w:tcW w:w="1680" w:type="dxa"/>
            <w:tcBorders>
              <w:top w:val="nil"/>
              <w:left w:val="single" w:sz="8" w:space="0" w:color="auto"/>
              <w:bottom w:val="single" w:sz="4" w:space="0" w:color="000000"/>
              <w:right w:val="single" w:sz="8" w:space="0" w:color="auto"/>
            </w:tcBorders>
          </w:tcPr>
          <w:p w:rsidR="001067C9" w:rsidRPr="009C010A" w:rsidP="00FB727B" w14:paraId="1820C338" w14:textId="77777777">
            <w:pPr>
              <w:pStyle w:val="BodyText2"/>
              <w:jc w:val="center"/>
              <w:rPr>
                <w:sz w:val="22"/>
                <w:szCs w:val="22"/>
              </w:rPr>
            </w:pPr>
            <w:r>
              <w:rPr>
                <w:sz w:val="22"/>
                <w:szCs w:val="22"/>
              </w:rPr>
              <w:t>$4,933,480</w:t>
            </w:r>
          </w:p>
        </w:tc>
      </w:tr>
    </w:tbl>
    <w:p w:rsidR="001067C9" w:rsidP="00586544" w14:paraId="6227BA2B" w14:textId="77777777">
      <w:pPr>
        <w:pStyle w:val="ListParagraph"/>
        <w:ind w:left="360"/>
      </w:pPr>
    </w:p>
    <w:p w:rsidR="00586544" w:rsidP="00586544" w14:paraId="4FE62D9D" w14:textId="4541D676">
      <w:pPr>
        <w:pStyle w:val="ListParagraph"/>
        <w:ind w:left="360"/>
      </w:pPr>
      <w:r>
        <w:t xml:space="preserve">The previous estimate of </w:t>
      </w:r>
      <w:r w:rsidR="00CF007C">
        <w:t>64,</w:t>
      </w:r>
      <w:r w:rsidR="001067C9">
        <w:t>614</w:t>
      </w:r>
      <w:r>
        <w:t xml:space="preserve"> was based on receiving an average of </w:t>
      </w:r>
      <w:r w:rsidR="00CF007C">
        <w:t>209</w:t>
      </w:r>
      <w:r>
        <w:t xml:space="preserve"> </w:t>
      </w:r>
      <w:r w:rsidR="00D678C3">
        <w:t>A</w:t>
      </w:r>
      <w:r>
        <w:t xml:space="preserve">pplicants </w:t>
      </w:r>
      <w:r w:rsidR="00A22F78">
        <w:t xml:space="preserve">in CY 2018, 2019 and 2020 NMTC Program Applications </w:t>
      </w:r>
      <w:r>
        <w:t xml:space="preserve">and </w:t>
      </w:r>
      <w:r w:rsidR="00CF007C">
        <w:t>309</w:t>
      </w:r>
      <w:r>
        <w:t xml:space="preserve"> average annual hour burden per </w:t>
      </w:r>
      <w:r w:rsidR="00121A11">
        <w:t>a</w:t>
      </w:r>
      <w:r>
        <w:t xml:space="preserve">pplication. </w:t>
      </w:r>
      <w:r w:rsidR="00E059D9">
        <w:t xml:space="preserve"> </w:t>
      </w:r>
      <w:r>
        <w:t xml:space="preserve">The average number of </w:t>
      </w:r>
      <w:r w:rsidR="00D678C3">
        <w:t>A</w:t>
      </w:r>
      <w:r>
        <w:t xml:space="preserve">pplicants </w:t>
      </w:r>
      <w:r w:rsidR="00A22F78">
        <w:t>and average annual hour burden are</w:t>
      </w:r>
      <w:r>
        <w:t xml:space="preserve"> lower than the prior estimate</w:t>
      </w:r>
      <w:r w:rsidR="00A22F78">
        <w:t>.</w:t>
      </w:r>
      <w:r>
        <w:t xml:space="preserve"> Both averages have stabilized since the last PRA approval. </w:t>
      </w:r>
      <w:r w:rsidR="00E059D9">
        <w:t xml:space="preserve"> </w:t>
      </w:r>
      <w:r>
        <w:t xml:space="preserve">The CDFI Fund </w:t>
      </w:r>
      <w:r w:rsidR="008143D8">
        <w:t>has made</w:t>
      </w:r>
      <w:r w:rsidR="00D930D2">
        <w:t xml:space="preserve"> </w:t>
      </w:r>
      <w:r>
        <w:t>efforts  to</w:t>
      </w:r>
      <w:r>
        <w:t xml:space="preserve"> further minimize </w:t>
      </w:r>
      <w:r w:rsidR="008143D8">
        <w:t>the collection</w:t>
      </w:r>
      <w:r w:rsidR="008A0EEA">
        <w:t xml:space="preserve"> </w:t>
      </w:r>
      <w:r>
        <w:t xml:space="preserve">burden </w:t>
      </w:r>
      <w:r w:rsidR="00A22F78">
        <w:t xml:space="preserve">following the 2020 Paperwork Reduction Act (PRA) review of the application </w:t>
      </w:r>
      <w:r>
        <w:t>by updating the 20</w:t>
      </w:r>
      <w:r w:rsidR="00CF007C">
        <w:t>21</w:t>
      </w:r>
      <w:r>
        <w:t xml:space="preserve"> </w:t>
      </w:r>
      <w:r w:rsidR="00D930D2">
        <w:t>A</w:t>
      </w:r>
      <w:r>
        <w:t xml:space="preserve">pplication, clarifying guidance and instructions, improving the </w:t>
      </w:r>
      <w:r w:rsidR="00D678C3">
        <w:t>a</w:t>
      </w:r>
      <w:r>
        <w:t xml:space="preserve">pplication submission process, and by implementing technological changes.  </w:t>
      </w:r>
    </w:p>
    <w:p w:rsidR="00586544" w:rsidRPr="00F9665A" w:rsidP="00586544" w14:paraId="4C70CF3A" w14:textId="77777777">
      <w:pPr>
        <w:pStyle w:val="ListParagraph"/>
        <w:ind w:left="360"/>
      </w:pPr>
    </w:p>
    <w:p w:rsidR="00586544" w:rsidP="00586544" w14:paraId="1ECAD331" w14:textId="767DC198">
      <w:pPr>
        <w:pStyle w:val="BodyText3"/>
        <w:spacing w:after="0"/>
        <w:ind w:left="360"/>
        <w:rPr>
          <w:sz w:val="24"/>
          <w:szCs w:val="24"/>
        </w:rPr>
      </w:pPr>
      <w:r>
        <w:rPr>
          <w:sz w:val="24"/>
          <w:szCs w:val="24"/>
        </w:rPr>
        <w:t>The frequency of response is one time per calendar year</w:t>
      </w:r>
      <w:r w:rsidR="008143D8">
        <w:rPr>
          <w:sz w:val="24"/>
          <w:szCs w:val="24"/>
        </w:rPr>
        <w:t>,</w:t>
      </w:r>
      <w:r>
        <w:rPr>
          <w:sz w:val="24"/>
          <w:szCs w:val="24"/>
        </w:rPr>
        <w:t xml:space="preserve"> per </w:t>
      </w:r>
      <w:r w:rsidR="00D678C3">
        <w:rPr>
          <w:sz w:val="24"/>
          <w:szCs w:val="24"/>
        </w:rPr>
        <w:t>A</w:t>
      </w:r>
      <w:r>
        <w:rPr>
          <w:sz w:val="24"/>
          <w:szCs w:val="24"/>
        </w:rPr>
        <w:t xml:space="preserve">pplicant.  The CDFI Fund notes that hour burden per application can vary based on the resources an Applicant allocates to application preparation and how they chose to respond to questions in the application.    </w:t>
      </w:r>
    </w:p>
    <w:p w:rsidR="00586544" w:rsidRPr="00F9665A" w:rsidP="00586544" w14:paraId="6614C096" w14:textId="77777777">
      <w:pPr>
        <w:pStyle w:val="BodyText3"/>
        <w:spacing w:after="0"/>
        <w:rPr>
          <w:bCs/>
          <w:iCs/>
          <w:sz w:val="24"/>
          <w:szCs w:val="24"/>
        </w:rPr>
      </w:pPr>
    </w:p>
    <w:p w:rsidR="00586544" w:rsidRPr="00FB7D45" w:rsidP="00586544" w14:paraId="452D26C3" w14:textId="77777777">
      <w:pPr>
        <w:pStyle w:val="ListParagraph"/>
        <w:numPr>
          <w:ilvl w:val="0"/>
          <w:numId w:val="1"/>
        </w:numPr>
        <w:ind w:left="360"/>
        <w:rPr>
          <w:u w:val="single"/>
        </w:rPr>
      </w:pPr>
      <w:r w:rsidRPr="00FB7D45">
        <w:rPr>
          <w:u w:val="single"/>
        </w:rPr>
        <w:t>Estimate of total annual cost burden to respondents</w:t>
      </w:r>
    </w:p>
    <w:p w:rsidR="00586544" w:rsidRPr="00F9665A" w:rsidP="00586544" w14:paraId="7034F2BC" w14:textId="546E16EF">
      <w:pPr>
        <w:pStyle w:val="ListParagraph"/>
        <w:ind w:left="360"/>
      </w:pPr>
      <w:r w:rsidRPr="00F9665A">
        <w:t xml:space="preserve">It is not expected that this information collection will have a cost burden to respondents other than the hour burden described in item number 12.  </w:t>
      </w:r>
      <w:r>
        <w:t>The CDFI Fund notes that n</w:t>
      </w:r>
      <w:r w:rsidRPr="00F9665A">
        <w:t xml:space="preserve">o purchase of equipment or services </w:t>
      </w:r>
      <w:r>
        <w:t xml:space="preserve">is required in order to </w:t>
      </w:r>
      <w:r w:rsidRPr="00F9665A">
        <w:t>complet</w:t>
      </w:r>
      <w:r>
        <w:t>e</w:t>
      </w:r>
      <w:r w:rsidRPr="00F9665A">
        <w:t xml:space="preserve"> the application.</w:t>
      </w:r>
    </w:p>
    <w:p w:rsidR="00586544" w:rsidP="00586544" w14:paraId="3A5105B7" w14:textId="77777777">
      <w:pPr>
        <w:rPr>
          <w:u w:val="single"/>
        </w:rPr>
      </w:pPr>
    </w:p>
    <w:p w:rsidR="00E018B0" w:rsidRPr="00F9665A" w:rsidP="00586544" w14:paraId="35603AA8" w14:textId="77777777">
      <w:pPr>
        <w:rPr>
          <w:u w:val="single"/>
        </w:rPr>
      </w:pPr>
    </w:p>
    <w:p w:rsidR="00586544" w:rsidRPr="00FB7D45" w:rsidP="00586544" w14:paraId="51551B37" w14:textId="692B8029">
      <w:pPr>
        <w:pStyle w:val="ListParagraph"/>
        <w:numPr>
          <w:ilvl w:val="0"/>
          <w:numId w:val="1"/>
        </w:numPr>
        <w:ind w:left="360"/>
        <w:rPr>
          <w:u w:val="single"/>
        </w:rPr>
      </w:pPr>
      <w:r w:rsidRPr="00FB7D45">
        <w:rPr>
          <w:u w:val="single"/>
        </w:rPr>
        <w:t>Estimate of annualized cost to the Government</w:t>
      </w:r>
    </w:p>
    <w:p w:rsidR="00586544" w:rsidRPr="00F9665A" w:rsidP="00586544" w14:paraId="4901EFBC" w14:textId="1D544FCD">
      <w:pPr>
        <w:pStyle w:val="ListParagraph"/>
        <w:ind w:left="360"/>
      </w:pPr>
      <w:r w:rsidRPr="00F9665A">
        <w:t xml:space="preserve">The cost to the </w:t>
      </w:r>
      <w:r w:rsidR="00650D30">
        <w:t xml:space="preserve">federal </w:t>
      </w:r>
      <w:r w:rsidR="00DC2514">
        <w:t>g</w:t>
      </w:r>
      <w:r w:rsidRPr="00F9665A">
        <w:t>overnment is the CDFI Fund staff and contractor time required to develop</w:t>
      </w:r>
      <w:r>
        <w:t xml:space="preserve"> </w:t>
      </w:r>
      <w:r w:rsidRPr="00F9665A">
        <w:t>the application, review submitted applications, and report the results.</w:t>
      </w:r>
      <w:r>
        <w:t xml:space="preserve">  The estimate of annualized cost to the </w:t>
      </w:r>
      <w:r w:rsidR="00DC2514">
        <w:t>f</w:t>
      </w:r>
      <w:r>
        <w:t xml:space="preserve">ederal government is </w:t>
      </w:r>
      <w:r w:rsidRPr="0016782C">
        <w:t>$</w:t>
      </w:r>
      <w:r w:rsidRPr="0016782C" w:rsidR="00FC1C8B">
        <w:t>2,</w:t>
      </w:r>
      <w:r w:rsidRPr="0016782C" w:rsidR="0016782C">
        <w:t>730,315</w:t>
      </w:r>
      <w:r w:rsidRPr="0016782C">
        <w:t>.</w:t>
      </w:r>
      <w:r w:rsidRPr="0016782C" w:rsidR="00E059D9">
        <w:t xml:space="preserve"> </w:t>
      </w:r>
      <w:r w:rsidRPr="0016782C">
        <w:t xml:space="preserve"> This estimate is based on projected </w:t>
      </w:r>
      <w:r w:rsidRPr="0016782C" w:rsidR="008143D8">
        <w:t>f</w:t>
      </w:r>
      <w:r w:rsidRPr="0016782C">
        <w:t>ederal employee labor costs of $</w:t>
      </w:r>
      <w:r w:rsidRPr="0016782C" w:rsidR="00FC1C8B">
        <w:t>1,</w:t>
      </w:r>
      <w:r w:rsidRPr="0016782C" w:rsidR="0016782C">
        <w:t>659,560</w:t>
      </w:r>
      <w:r w:rsidRPr="0016782C">
        <w:t xml:space="preserve"> and </w:t>
      </w:r>
      <w:r w:rsidRPr="0016782C" w:rsidR="008143D8">
        <w:t>f</w:t>
      </w:r>
      <w:r w:rsidRPr="0016782C">
        <w:t>ederal contractor services of $</w:t>
      </w:r>
      <w:r w:rsidRPr="0016782C" w:rsidR="00FC1C8B">
        <w:t>1,070,7</w:t>
      </w:r>
      <w:r w:rsidRPr="00D678C3" w:rsidR="0016782C">
        <w:t>5</w:t>
      </w:r>
      <w:r w:rsidRPr="0016782C" w:rsidR="00FC1C8B">
        <w:t>5</w:t>
      </w:r>
      <w:r w:rsidRPr="0016782C">
        <w:t xml:space="preserve">.  The </w:t>
      </w:r>
      <w:r w:rsidRPr="0016782C" w:rsidR="008143D8">
        <w:t>f</w:t>
      </w:r>
      <w:r w:rsidRPr="0016782C">
        <w:t>ederal employee labor costs reflect loaded rates by GS level and based on an estimated 1</w:t>
      </w:r>
      <w:r w:rsidRPr="0016782C" w:rsidR="0016782C">
        <w:t>5,810</w:t>
      </w:r>
      <w:r w:rsidRPr="0016782C">
        <w:t xml:space="preserve"> labor hours</w:t>
      </w:r>
      <w:r>
        <w:t>.  Federal contractor services consist of an Information Technology contract expected to be approximately $</w:t>
      </w:r>
      <w:r w:rsidR="00FC1C8B">
        <w:t>641,710</w:t>
      </w:r>
      <w:r>
        <w:t xml:space="preserve"> and an Application Reviewer Services contract of $</w:t>
      </w:r>
      <w:r w:rsidR="00662768">
        <w:t>429,0</w:t>
      </w:r>
      <w:r w:rsidR="00D678C3">
        <w:t>4</w:t>
      </w:r>
      <w:r w:rsidR="00662768">
        <w:t>5</w:t>
      </w:r>
      <w:r>
        <w:t xml:space="preserve">. </w:t>
      </w:r>
      <w:r w:rsidR="00E059D9">
        <w:t xml:space="preserve"> </w:t>
      </w:r>
      <w:r>
        <w:t>Federal contractor services estimates reflect most recent (Fiscal Year 202</w:t>
      </w:r>
      <w:r w:rsidR="00CF007C">
        <w:t>3</w:t>
      </w:r>
      <w:r>
        <w:t xml:space="preserve">) amounts and are not expected to change.  </w:t>
      </w:r>
    </w:p>
    <w:p w:rsidR="00586544" w:rsidRPr="00F9665A" w:rsidP="00586544" w14:paraId="6A56E892" w14:textId="77777777">
      <w:pPr>
        <w:rPr>
          <w:u w:val="single"/>
        </w:rPr>
      </w:pPr>
    </w:p>
    <w:p w:rsidR="00586544" w:rsidRPr="00FB7D45" w:rsidP="00586544" w14:paraId="23250ABF" w14:textId="77777777">
      <w:pPr>
        <w:pStyle w:val="ListParagraph"/>
        <w:numPr>
          <w:ilvl w:val="0"/>
          <w:numId w:val="1"/>
        </w:numPr>
        <w:ind w:left="360"/>
        <w:rPr>
          <w:u w:val="single"/>
        </w:rPr>
      </w:pPr>
      <w:r w:rsidRPr="00FB7D45">
        <w:rPr>
          <w:u w:val="single"/>
        </w:rPr>
        <w:t>Any program changes or adjustments</w:t>
      </w:r>
    </w:p>
    <w:p w:rsidR="00586544" w:rsidP="00586544" w14:paraId="5F1A15D4" w14:textId="46862D7C">
      <w:pPr>
        <w:pStyle w:val="ListParagraph"/>
        <w:ind w:left="360"/>
      </w:pPr>
      <w:r>
        <w:t>The NMTC Program has proposed minor changes to the CY 202</w:t>
      </w:r>
      <w:r w:rsidR="00CF007C">
        <w:t>4</w:t>
      </w:r>
      <w:r>
        <w:t xml:space="preserve"> – 202</w:t>
      </w:r>
      <w:r w:rsidR="00CF007C">
        <w:t>6</w:t>
      </w:r>
      <w:r>
        <w:t xml:space="preserve"> NMTC Program Application</w:t>
      </w:r>
      <w:r w:rsidR="000A6943">
        <w:t>, compared to t</w:t>
      </w:r>
      <w:r w:rsidR="001871AC">
        <w:t>he NMTC Program Application approved in 20</w:t>
      </w:r>
      <w:r w:rsidR="00CF007C">
        <w:t>21</w:t>
      </w:r>
      <w:r w:rsidR="001871AC">
        <w:t>,</w:t>
      </w:r>
      <w:r>
        <w:t xml:space="preserve"> to collect necessary information for the CDFI Fund to make allocation award determinations.  Aside from these changes, the CY 202</w:t>
      </w:r>
      <w:r w:rsidR="00CF007C">
        <w:t>4</w:t>
      </w:r>
      <w:r>
        <w:t xml:space="preserve"> – 202</w:t>
      </w:r>
      <w:r w:rsidR="00CF007C">
        <w:t>6</w:t>
      </w:r>
      <w:r>
        <w:t xml:space="preserve"> NMTC Program Application is similar to what was approved in 20</w:t>
      </w:r>
      <w:r w:rsidR="00763EB8">
        <w:t>20</w:t>
      </w:r>
      <w:r>
        <w:t xml:space="preserve"> for use in the CY 20</w:t>
      </w:r>
      <w:r w:rsidR="00CF007C">
        <w:t>2</w:t>
      </w:r>
      <w:r>
        <w:t xml:space="preserve">1 </w:t>
      </w:r>
      <w:r w:rsidR="00E059D9">
        <w:t>–</w:t>
      </w:r>
      <w:r>
        <w:t xml:space="preserve"> 202</w:t>
      </w:r>
      <w:r w:rsidR="00CF007C">
        <w:t>3</w:t>
      </w:r>
      <w:r>
        <w:t xml:space="preserve"> </w:t>
      </w:r>
      <w:r w:rsidR="001B468B">
        <w:t>A</w:t>
      </w:r>
      <w:r>
        <w:t xml:space="preserve">pplication rounds.  </w:t>
      </w:r>
    </w:p>
    <w:p w:rsidR="00586544" w:rsidP="00586544" w14:paraId="06C45B0F" w14:textId="77777777">
      <w:pPr>
        <w:pStyle w:val="ListParagraph"/>
        <w:ind w:left="360"/>
      </w:pPr>
    </w:p>
    <w:p w:rsidR="00586544" w:rsidP="00586544" w14:paraId="35E5F749" w14:textId="4886C41E">
      <w:pPr>
        <w:pStyle w:val="ListParagraph"/>
        <w:ind w:left="360"/>
      </w:pPr>
      <w:r>
        <w:t xml:space="preserve">Revisions to the NMTC Program Application include: </w:t>
      </w:r>
      <w:r w:rsidR="0027658B">
        <w:t>(1) updates to targeted areas of higher distress</w:t>
      </w:r>
      <w:r w:rsidR="00476745">
        <w:t>;</w:t>
      </w:r>
      <w:r w:rsidR="0027658B">
        <w:t xml:space="preserve"> (2)</w:t>
      </w:r>
      <w:r w:rsidR="00B06345">
        <w:t xml:space="preserve"> revisions to </w:t>
      </w:r>
      <w:r w:rsidR="0027658B">
        <w:t xml:space="preserve">existing questions to </w:t>
      </w:r>
      <w:r w:rsidR="00B06345">
        <w:t xml:space="preserve">better </w:t>
      </w:r>
      <w:r w:rsidR="0027658B">
        <w:t xml:space="preserve">understand </w:t>
      </w:r>
      <w:r w:rsidR="001E0809">
        <w:t xml:space="preserve">how </w:t>
      </w:r>
      <w:r w:rsidR="0027658B">
        <w:t xml:space="preserve">and the extent to which </w:t>
      </w:r>
      <w:r w:rsidR="00D678C3">
        <w:t>A</w:t>
      </w:r>
      <w:r w:rsidR="001E0809">
        <w:t>pplicant</w:t>
      </w:r>
      <w:r w:rsidR="0027658B">
        <w:t>s</w:t>
      </w:r>
      <w:r w:rsidR="0033390A">
        <w:t xml:space="preserve"> </w:t>
      </w:r>
      <w:r w:rsidR="0027658B">
        <w:t xml:space="preserve">are accountable to the communities they serve and engage them in making </w:t>
      </w:r>
      <w:r w:rsidR="001E0809">
        <w:t>investment decisions</w:t>
      </w:r>
      <w:r w:rsidR="00DE5D69">
        <w:t>;</w:t>
      </w:r>
      <w:r>
        <w:t xml:space="preserve"> </w:t>
      </w:r>
      <w:r w:rsidR="0027658B">
        <w:t xml:space="preserve">(3) </w:t>
      </w:r>
      <w:r w:rsidR="00476745">
        <w:t xml:space="preserve">additional </w:t>
      </w:r>
      <w:r>
        <w:t xml:space="preserve">clarifications </w:t>
      </w:r>
      <w:r w:rsidR="00B06345">
        <w:t xml:space="preserve">for </w:t>
      </w:r>
      <w:r w:rsidR="00D678C3">
        <w:t>A</w:t>
      </w:r>
      <w:r w:rsidR="00B06345">
        <w:t xml:space="preserve">pplicants </w:t>
      </w:r>
      <w:r w:rsidR="00476745">
        <w:t xml:space="preserve">that </w:t>
      </w:r>
      <w:r w:rsidR="00307467">
        <w:t xml:space="preserve">intend to </w:t>
      </w:r>
      <w:r w:rsidR="00B06345">
        <w:t xml:space="preserve">invest in or provide loans to </w:t>
      </w:r>
      <w:r w:rsidR="00307467">
        <w:t>other Community Development Entities</w:t>
      </w:r>
      <w:r w:rsidR="00DE5D69">
        <w:t>;</w:t>
      </w:r>
      <w:r>
        <w:t xml:space="preserve"> </w:t>
      </w:r>
      <w:r w:rsidR="00307467">
        <w:t xml:space="preserve">(4) reduction in the number and scope of questions, and the elimination of </w:t>
      </w:r>
      <w:r w:rsidR="0033390A">
        <w:t>two</w:t>
      </w:r>
      <w:r w:rsidR="00307467">
        <w:t xml:space="preserve"> table</w:t>
      </w:r>
      <w:r w:rsidR="0033390A">
        <w:t>s</w:t>
      </w:r>
      <w:r w:rsidR="00307467">
        <w:t xml:space="preserve"> in the Capitalization Strategy section in order to streamline it and reduce </w:t>
      </w:r>
      <w:r w:rsidR="00D678C3">
        <w:t>A</w:t>
      </w:r>
      <w:r w:rsidR="00307467">
        <w:t xml:space="preserve">pplicant </w:t>
      </w:r>
      <w:r w:rsidR="00476745">
        <w:t xml:space="preserve">and administrative </w:t>
      </w:r>
      <w:r w:rsidR="00307467">
        <w:t>burden; (5)</w:t>
      </w:r>
      <w:r w:rsidR="001E0809">
        <w:t xml:space="preserve"> </w:t>
      </w:r>
      <w:r w:rsidR="00307467">
        <w:t>reduction in character limits and question scope for several questions in the Management Capacity section also to reduc</w:t>
      </w:r>
      <w:r w:rsidR="0033390A">
        <w:t>e</w:t>
      </w:r>
      <w:r w:rsidR="00307467">
        <w:t xml:space="preserve"> </w:t>
      </w:r>
      <w:r w:rsidR="00D678C3">
        <w:t>A</w:t>
      </w:r>
      <w:r w:rsidR="00307467">
        <w:t xml:space="preserve">pplicant and </w:t>
      </w:r>
      <w:r w:rsidR="00307467">
        <w:t>admininstrative</w:t>
      </w:r>
      <w:r w:rsidR="00307467">
        <w:t xml:space="preserve"> </w:t>
      </w:r>
      <w:r w:rsidR="00307467">
        <w:t>burdern</w:t>
      </w:r>
      <w:r w:rsidR="00307467">
        <w:t xml:space="preserve">; (6) the elimination of a question about past </w:t>
      </w:r>
      <w:r w:rsidR="00476745">
        <w:t xml:space="preserve">underwriting and </w:t>
      </w:r>
      <w:r w:rsidR="00307467">
        <w:t xml:space="preserve">due diligence activities </w:t>
      </w:r>
      <w:r w:rsidR="00476745">
        <w:t xml:space="preserve">that was included in the </w:t>
      </w:r>
      <w:r w:rsidR="00307467">
        <w:t>previous version of the application</w:t>
      </w:r>
      <w:r w:rsidR="00051864">
        <w:t xml:space="preserve">; </w:t>
      </w:r>
      <w:r w:rsidR="00476745">
        <w:t xml:space="preserve">and </w:t>
      </w:r>
      <w:r w:rsidR="00051864">
        <w:t xml:space="preserve">(7) </w:t>
      </w:r>
      <w:r w:rsidR="00476745">
        <w:t xml:space="preserve">updated CDE Certification requirements which now would </w:t>
      </w:r>
      <w:r w:rsidR="00051864">
        <w:t xml:space="preserve">only </w:t>
      </w:r>
      <w:r w:rsidR="00476745">
        <w:t xml:space="preserve">allow </w:t>
      </w:r>
      <w:r w:rsidR="00051864">
        <w:t xml:space="preserve">Applicants, who </w:t>
      </w:r>
      <w:r w:rsidR="008143D8">
        <w:t>are</w:t>
      </w:r>
      <w:r w:rsidR="00051864">
        <w:t xml:space="preserve"> certified as </w:t>
      </w:r>
      <w:r w:rsidR="008143D8">
        <w:t xml:space="preserve">a </w:t>
      </w:r>
      <w:r w:rsidR="00051864">
        <w:t xml:space="preserve">CDE </w:t>
      </w:r>
      <w:r w:rsidR="008143D8">
        <w:t>as of the date the</w:t>
      </w:r>
      <w:r w:rsidR="00A74FFC">
        <w:t xml:space="preserve"> </w:t>
      </w:r>
      <w:r w:rsidR="00051864">
        <w:t>NOAA is published</w:t>
      </w:r>
      <w:r w:rsidR="008143D8">
        <w:t xml:space="preserve"> in the Federal Register</w:t>
      </w:r>
      <w:r w:rsidR="00051864">
        <w:t xml:space="preserve">, </w:t>
      </w:r>
      <w:r w:rsidR="00476745">
        <w:t xml:space="preserve">to apply for an allocation. </w:t>
      </w:r>
    </w:p>
    <w:p w:rsidR="00586544" w:rsidP="00586544" w14:paraId="524C8522" w14:textId="77777777">
      <w:pPr>
        <w:pStyle w:val="ListParagraph"/>
        <w:ind w:left="360"/>
      </w:pPr>
    </w:p>
    <w:p w:rsidR="00586544" w:rsidRPr="00FB7D45" w:rsidP="00586544" w14:paraId="5C9C4C7B" w14:textId="77777777">
      <w:pPr>
        <w:pStyle w:val="ListParagraph"/>
        <w:numPr>
          <w:ilvl w:val="0"/>
          <w:numId w:val="1"/>
        </w:numPr>
        <w:ind w:left="360"/>
        <w:rPr>
          <w:u w:val="single"/>
        </w:rPr>
      </w:pPr>
      <w:r w:rsidRPr="00FB7D45">
        <w:rPr>
          <w:u w:val="single"/>
        </w:rPr>
        <w:t>Plans for information tabulation and publication</w:t>
      </w:r>
    </w:p>
    <w:p w:rsidR="00586544" w:rsidRPr="00F9665A" w:rsidP="00586544" w14:paraId="732EF06F" w14:textId="77777777">
      <w:pPr>
        <w:pStyle w:val="ListParagraph"/>
        <w:ind w:left="360"/>
      </w:pPr>
      <w:r w:rsidRPr="00F9665A">
        <w:t>Confidential or proprietary information collected through the application will not be published.</w:t>
      </w:r>
    </w:p>
    <w:p w:rsidR="00586544" w:rsidRPr="00F9665A" w:rsidP="00586544" w14:paraId="6ACAC5C9" w14:textId="77777777">
      <w:pPr>
        <w:rPr>
          <w:u w:val="single"/>
        </w:rPr>
      </w:pPr>
    </w:p>
    <w:p w:rsidR="00586544" w:rsidRPr="00F9665A" w:rsidP="00586544" w14:paraId="0012ACC8" w14:textId="77777777">
      <w:pPr>
        <w:pStyle w:val="ListParagraph"/>
        <w:numPr>
          <w:ilvl w:val="0"/>
          <w:numId w:val="1"/>
        </w:numPr>
        <w:ind w:left="360"/>
      </w:pPr>
      <w:r w:rsidRPr="00FB7D45">
        <w:rPr>
          <w:u w:val="single"/>
        </w:rPr>
        <w:t xml:space="preserve">Reasons for not displaying expiration date of OMB </w:t>
      </w:r>
      <w:r w:rsidRPr="00FB7D45">
        <w:rPr>
          <w:u w:val="single"/>
        </w:rPr>
        <w:t>approval</w:t>
      </w:r>
    </w:p>
    <w:p w:rsidR="00586544" w:rsidRPr="00F9665A" w:rsidP="00586544" w14:paraId="677B1267" w14:textId="77777777">
      <w:pPr>
        <w:pStyle w:val="ListParagraph"/>
        <w:ind w:left="360"/>
      </w:pPr>
      <w:r w:rsidRPr="00F9665A">
        <w:t>The CDFI Fund will display the expiration date of the OMB approval on the application form.</w:t>
      </w:r>
    </w:p>
    <w:p w:rsidR="00586544" w:rsidRPr="00F9665A" w:rsidP="00586544" w14:paraId="777DD787" w14:textId="77777777">
      <w:pPr>
        <w:rPr>
          <w:u w:val="single"/>
        </w:rPr>
      </w:pPr>
    </w:p>
    <w:p w:rsidR="00586544" w:rsidRPr="00FB7D45" w:rsidP="00586544" w14:paraId="31C242EA" w14:textId="77777777">
      <w:pPr>
        <w:pStyle w:val="ListParagraph"/>
        <w:numPr>
          <w:ilvl w:val="0"/>
          <w:numId w:val="1"/>
        </w:numPr>
        <w:ind w:left="360"/>
        <w:rPr>
          <w:u w:val="single"/>
        </w:rPr>
      </w:pPr>
      <w:r w:rsidRPr="00FB7D45">
        <w:rPr>
          <w:u w:val="single"/>
        </w:rPr>
        <w:t>Explanation of exceptions to certification statement</w:t>
      </w:r>
    </w:p>
    <w:p w:rsidR="00586544" w:rsidRPr="00F9665A" w:rsidP="00586544" w14:paraId="048DE201" w14:textId="052BF21C">
      <w:pPr>
        <w:pStyle w:val="ListParagraph"/>
        <w:ind w:left="360"/>
      </w:pPr>
      <w:r>
        <w:t>There are no exceptions to the certification statement.</w:t>
      </w:r>
    </w:p>
    <w:p w:rsidR="00586544" w:rsidP="00CE4E75" w14:paraId="5223EF6B" w14:textId="77777777"/>
    <w:sectPr w:rsidSect="00CE4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6544" w:rsidP="00586544" w14:paraId="5BCD2572" w14:textId="77777777">
      <w:r>
        <w:separator/>
      </w:r>
    </w:p>
  </w:footnote>
  <w:footnote w:type="continuationSeparator" w:id="1">
    <w:p w:rsidR="00586544" w:rsidP="00586544" w14:paraId="0D8DC45A" w14:textId="77777777">
      <w:r>
        <w:continuationSeparator/>
      </w:r>
    </w:p>
  </w:footnote>
  <w:footnote w:type="continuationNotice" w:id="2">
    <w:p w:rsidR="00A52849" w14:paraId="6943B90E" w14:textId="77777777"/>
  </w:footnote>
  <w:footnote w:id="3">
    <w:p w:rsidR="001067C9" w:rsidP="001067C9" w14:paraId="79202CFA" w14:textId="77777777">
      <w:pPr>
        <w:pStyle w:val="FootnoteText"/>
      </w:pPr>
      <w:r>
        <w:rPr>
          <w:rStyle w:val="FootnoteReference"/>
        </w:rPr>
        <w:footnoteRef/>
      </w:r>
      <w:r>
        <w:t xml:space="preserve"> </w:t>
      </w:r>
      <w:r w:rsidRPr="00684D3A">
        <w:rPr>
          <w:iCs/>
        </w:rPr>
        <w:t>The hourly rate is based on the</w:t>
      </w:r>
      <w:r>
        <w:rPr>
          <w:iCs/>
        </w:rPr>
        <w:t xml:space="preserve"> </w:t>
      </w:r>
      <w:r>
        <w:t xml:space="preserve">Bureau of Labor Statistics “Table 4. Employer Costs for Employee Compensation for private </w:t>
      </w:r>
      <w:r w:rsidRPr="001E3DFE">
        <w:t>workers by occupational and industry group</w:t>
      </w:r>
      <w:r>
        <w:t xml:space="preserve">” (released March 2024), the total compensation including wages and benefits for management, professional and financial private industry workers is $83.30. Link to the Bureau of Labor Statistics wage data report:  </w:t>
      </w:r>
      <w:hyperlink r:id="rId1" w:history="1">
        <w:r w:rsidRPr="00721697">
          <w:rPr>
            <w:rStyle w:val="Hyperlink"/>
          </w:rPr>
          <w:t>https://www.bls.gov/news.release/ecec.t04.htm</w:t>
        </w:r>
      </w:hyperlink>
    </w:p>
  </w:footnote>
  <w:footnote w:id="4">
    <w:p w:rsidR="001067C9" w:rsidP="001067C9" w14:paraId="626A7B1D" w14:textId="77777777">
      <w:pPr>
        <w:pStyle w:val="FootnoteText"/>
      </w:pPr>
      <w:r>
        <w:rPr>
          <w:rStyle w:val="FootnoteReference"/>
        </w:rPr>
        <w:footnoteRef/>
      </w:r>
      <w:r>
        <w:t xml:space="preserve"> </w:t>
      </w:r>
      <w:r w:rsidRPr="00684D3A">
        <w:rPr>
          <w:iCs/>
        </w:rPr>
        <w:t xml:space="preserve">The hourly rate is based on the </w:t>
      </w:r>
      <w:r>
        <w:rPr>
          <w:iCs/>
        </w:rPr>
        <w:t>b</w:t>
      </w:r>
      <w:r>
        <w:t xml:space="preserve">ased on Bureau of Labor Statistics “Table 3. State and Local government workers </w:t>
      </w:r>
      <w:r w:rsidRPr="001E3DFE">
        <w:t>by occupational and industry group</w:t>
      </w:r>
      <w:r>
        <w:t xml:space="preserve">” (released March 2024), the total compensation including wages and benefits for management, professional and financial private industry workers is $72.72. Link to the Bureau of Labor Statistics wage data report:  </w:t>
      </w:r>
      <w:hyperlink r:id="rId2" w:history="1">
        <w:r w:rsidRPr="00987678">
          <w:rPr>
            <w:rStyle w:val="Hyperlink"/>
          </w:rPr>
          <w:t>https://www.bls.gov/news.release/ecec.t03.htm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BF6773"/>
    <w:multiLevelType w:val="hybridMultilevel"/>
    <w:tmpl w:val="F0CC560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9673444">
    <w:abstractNumId w:val="1"/>
  </w:num>
  <w:num w:numId="2" w16cid:durableId="60654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44"/>
    <w:rsid w:val="0001431C"/>
    <w:rsid w:val="00051864"/>
    <w:rsid w:val="00076293"/>
    <w:rsid w:val="000A6943"/>
    <w:rsid w:val="000F23F3"/>
    <w:rsid w:val="001067C9"/>
    <w:rsid w:val="001172A6"/>
    <w:rsid w:val="00121A11"/>
    <w:rsid w:val="00152A84"/>
    <w:rsid w:val="0016782C"/>
    <w:rsid w:val="001871AC"/>
    <w:rsid w:val="00193DA0"/>
    <w:rsid w:val="00196C4C"/>
    <w:rsid w:val="001B468B"/>
    <w:rsid w:val="001C7CA9"/>
    <w:rsid w:val="001E0809"/>
    <w:rsid w:val="001E3DFE"/>
    <w:rsid w:val="001E773C"/>
    <w:rsid w:val="001F54C0"/>
    <w:rsid w:val="00213D7D"/>
    <w:rsid w:val="002300E1"/>
    <w:rsid w:val="0027658B"/>
    <w:rsid w:val="0028705E"/>
    <w:rsid w:val="002F10F7"/>
    <w:rsid w:val="00307467"/>
    <w:rsid w:val="0033390A"/>
    <w:rsid w:val="00371772"/>
    <w:rsid w:val="003C5AF7"/>
    <w:rsid w:val="00476745"/>
    <w:rsid w:val="004B28DE"/>
    <w:rsid w:val="00514D52"/>
    <w:rsid w:val="00520329"/>
    <w:rsid w:val="00547D45"/>
    <w:rsid w:val="00560DB3"/>
    <w:rsid w:val="0057163B"/>
    <w:rsid w:val="00586544"/>
    <w:rsid w:val="00590D88"/>
    <w:rsid w:val="005A5D82"/>
    <w:rsid w:val="005D608A"/>
    <w:rsid w:val="005E1E9C"/>
    <w:rsid w:val="005E5DCB"/>
    <w:rsid w:val="005F6757"/>
    <w:rsid w:val="006053A3"/>
    <w:rsid w:val="00606404"/>
    <w:rsid w:val="00624E42"/>
    <w:rsid w:val="006271C9"/>
    <w:rsid w:val="00627C90"/>
    <w:rsid w:val="00650D30"/>
    <w:rsid w:val="00662768"/>
    <w:rsid w:val="00684D3A"/>
    <w:rsid w:val="006918B9"/>
    <w:rsid w:val="006A7CB7"/>
    <w:rsid w:val="006B6658"/>
    <w:rsid w:val="007104F8"/>
    <w:rsid w:val="00721697"/>
    <w:rsid w:val="00763EB8"/>
    <w:rsid w:val="00794D62"/>
    <w:rsid w:val="007B5A37"/>
    <w:rsid w:val="007C30A9"/>
    <w:rsid w:val="00806932"/>
    <w:rsid w:val="008143D8"/>
    <w:rsid w:val="0084058B"/>
    <w:rsid w:val="00865244"/>
    <w:rsid w:val="00871CCB"/>
    <w:rsid w:val="008A0EEA"/>
    <w:rsid w:val="008D5700"/>
    <w:rsid w:val="008F0C8A"/>
    <w:rsid w:val="00957A73"/>
    <w:rsid w:val="00987678"/>
    <w:rsid w:val="009C010A"/>
    <w:rsid w:val="00A22F78"/>
    <w:rsid w:val="00A40541"/>
    <w:rsid w:val="00A52849"/>
    <w:rsid w:val="00A74FFC"/>
    <w:rsid w:val="00A83B47"/>
    <w:rsid w:val="00AA37EF"/>
    <w:rsid w:val="00AE2A8C"/>
    <w:rsid w:val="00AE3204"/>
    <w:rsid w:val="00AF34E3"/>
    <w:rsid w:val="00B06345"/>
    <w:rsid w:val="00B2308D"/>
    <w:rsid w:val="00B67852"/>
    <w:rsid w:val="00B81788"/>
    <w:rsid w:val="00BD131F"/>
    <w:rsid w:val="00C1179F"/>
    <w:rsid w:val="00C179BE"/>
    <w:rsid w:val="00C82DD2"/>
    <w:rsid w:val="00CE3890"/>
    <w:rsid w:val="00CE4E75"/>
    <w:rsid w:val="00CF007C"/>
    <w:rsid w:val="00D300DD"/>
    <w:rsid w:val="00D54BD7"/>
    <w:rsid w:val="00D60EAE"/>
    <w:rsid w:val="00D6427A"/>
    <w:rsid w:val="00D678C3"/>
    <w:rsid w:val="00D90125"/>
    <w:rsid w:val="00D930D2"/>
    <w:rsid w:val="00DB55D1"/>
    <w:rsid w:val="00DC2514"/>
    <w:rsid w:val="00DE5D69"/>
    <w:rsid w:val="00DE612F"/>
    <w:rsid w:val="00E018B0"/>
    <w:rsid w:val="00E059D9"/>
    <w:rsid w:val="00E27DFA"/>
    <w:rsid w:val="00E43991"/>
    <w:rsid w:val="00E4527C"/>
    <w:rsid w:val="00EE3ABF"/>
    <w:rsid w:val="00F03A50"/>
    <w:rsid w:val="00F3151B"/>
    <w:rsid w:val="00F40B88"/>
    <w:rsid w:val="00F6297B"/>
    <w:rsid w:val="00F8213B"/>
    <w:rsid w:val="00F9665A"/>
    <w:rsid w:val="00FB727B"/>
    <w:rsid w:val="00FB7D45"/>
    <w:rsid w:val="00FC1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7936D"/>
  <w15:chartTrackingRefBased/>
  <w15:docId w15:val="{384A5F2E-4F1A-4258-9CD1-78B0B3F2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5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6544"/>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586544"/>
    <w:rPr>
      <w:rFonts w:ascii="Times New Roman" w:eastAsia="Times New Roman" w:hAnsi="Times New Roman" w:cs="Times New Roman"/>
      <w:snapToGrid w:val="0"/>
      <w:sz w:val="24"/>
      <w:szCs w:val="20"/>
    </w:rPr>
  </w:style>
  <w:style w:type="paragraph" w:styleId="BodyText3">
    <w:name w:val="Body Text 3"/>
    <w:basedOn w:val="Normal"/>
    <w:link w:val="BodyText3Char"/>
    <w:rsid w:val="00586544"/>
    <w:pPr>
      <w:spacing w:after="120"/>
    </w:pPr>
    <w:rPr>
      <w:sz w:val="16"/>
      <w:szCs w:val="16"/>
    </w:rPr>
  </w:style>
  <w:style w:type="character" w:customStyle="1" w:styleId="BodyText3Char">
    <w:name w:val="Body Text 3 Char"/>
    <w:basedOn w:val="DefaultParagraphFont"/>
    <w:link w:val="BodyText3"/>
    <w:rsid w:val="00586544"/>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586544"/>
    <w:rPr>
      <w:sz w:val="16"/>
      <w:szCs w:val="16"/>
    </w:rPr>
  </w:style>
  <w:style w:type="paragraph" w:styleId="CommentText">
    <w:name w:val="annotation text"/>
    <w:basedOn w:val="Normal"/>
    <w:link w:val="CommentTextChar"/>
    <w:unhideWhenUsed/>
    <w:rsid w:val="00586544"/>
    <w:rPr>
      <w:sz w:val="20"/>
      <w:szCs w:val="20"/>
    </w:rPr>
  </w:style>
  <w:style w:type="character" w:customStyle="1" w:styleId="CommentTextChar">
    <w:name w:val="Comment Text Char"/>
    <w:basedOn w:val="DefaultParagraphFont"/>
    <w:link w:val="CommentText"/>
    <w:rsid w:val="00586544"/>
    <w:rPr>
      <w:rFonts w:ascii="Times New Roman" w:eastAsia="Times New Roman" w:hAnsi="Times New Roman" w:cs="Times New Roman"/>
      <w:sz w:val="20"/>
      <w:szCs w:val="20"/>
    </w:rPr>
  </w:style>
  <w:style w:type="paragraph" w:styleId="ListParagraph">
    <w:name w:val="List Paragraph"/>
    <w:basedOn w:val="Normal"/>
    <w:uiPriority w:val="34"/>
    <w:qFormat/>
    <w:rsid w:val="00586544"/>
    <w:pPr>
      <w:ind w:left="720"/>
      <w:contextualSpacing/>
    </w:pPr>
  </w:style>
  <w:style w:type="paragraph" w:styleId="FootnoteText">
    <w:name w:val="footnote text"/>
    <w:basedOn w:val="Normal"/>
    <w:link w:val="FootnoteTextChar"/>
    <w:uiPriority w:val="99"/>
    <w:semiHidden/>
    <w:unhideWhenUsed/>
    <w:rsid w:val="00586544"/>
    <w:rPr>
      <w:sz w:val="20"/>
      <w:szCs w:val="20"/>
    </w:rPr>
  </w:style>
  <w:style w:type="character" w:customStyle="1" w:styleId="FootnoteTextChar">
    <w:name w:val="Footnote Text Char"/>
    <w:basedOn w:val="DefaultParagraphFont"/>
    <w:link w:val="FootnoteText"/>
    <w:uiPriority w:val="99"/>
    <w:semiHidden/>
    <w:rsid w:val="005865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544"/>
    <w:rPr>
      <w:vertAlign w:val="superscript"/>
    </w:rPr>
  </w:style>
  <w:style w:type="paragraph" w:styleId="Footer">
    <w:name w:val="footer"/>
    <w:basedOn w:val="Normal"/>
    <w:link w:val="FooterChar"/>
    <w:uiPriority w:val="99"/>
    <w:unhideWhenUsed/>
    <w:rsid w:val="00586544"/>
    <w:pPr>
      <w:tabs>
        <w:tab w:val="center" w:pos="4680"/>
        <w:tab w:val="right" w:pos="9360"/>
      </w:tabs>
    </w:pPr>
  </w:style>
  <w:style w:type="character" w:customStyle="1" w:styleId="FooterChar">
    <w:name w:val="Footer Char"/>
    <w:basedOn w:val="DefaultParagraphFont"/>
    <w:link w:val="Footer"/>
    <w:uiPriority w:val="99"/>
    <w:rsid w:val="00586544"/>
    <w:rPr>
      <w:rFonts w:ascii="Times New Roman" w:eastAsia="Times New Roman" w:hAnsi="Times New Roman" w:cs="Times New Roman"/>
      <w:sz w:val="24"/>
      <w:szCs w:val="24"/>
    </w:rPr>
  </w:style>
  <w:style w:type="table" w:styleId="TableGrid">
    <w:name w:val="Table Grid"/>
    <w:basedOn w:val="TableNormal"/>
    <w:uiPriority w:val="59"/>
    <w:rsid w:val="00586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544"/>
    <w:rPr>
      <w:color w:val="0563C1" w:themeColor="hyperlink"/>
      <w:u w:val="single"/>
    </w:rPr>
  </w:style>
  <w:style w:type="paragraph" w:styleId="BalloonText">
    <w:name w:val="Balloon Text"/>
    <w:basedOn w:val="Normal"/>
    <w:link w:val="BalloonTextChar"/>
    <w:uiPriority w:val="99"/>
    <w:semiHidden/>
    <w:unhideWhenUsed/>
    <w:rsid w:val="00586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4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E1E9C"/>
    <w:rPr>
      <w:b/>
      <w:bCs/>
    </w:rPr>
  </w:style>
  <w:style w:type="character" w:customStyle="1" w:styleId="CommentSubjectChar">
    <w:name w:val="Comment Subject Char"/>
    <w:basedOn w:val="CommentTextChar"/>
    <w:link w:val="CommentSubject"/>
    <w:uiPriority w:val="99"/>
    <w:semiHidden/>
    <w:rsid w:val="005E1E9C"/>
    <w:rPr>
      <w:rFonts w:ascii="Times New Roman" w:eastAsia="Times New Roman" w:hAnsi="Times New Roman" w:cs="Times New Roman"/>
      <w:b/>
      <w:bCs/>
      <w:sz w:val="20"/>
      <w:szCs w:val="20"/>
    </w:rPr>
  </w:style>
  <w:style w:type="paragraph" w:styleId="Revision">
    <w:name w:val="Revision"/>
    <w:hidden/>
    <w:uiPriority w:val="99"/>
    <w:semiHidden/>
    <w:rsid w:val="001C7CA9"/>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067C9"/>
    <w:pPr>
      <w:spacing w:after="120" w:line="480" w:lineRule="auto"/>
    </w:pPr>
  </w:style>
  <w:style w:type="character" w:customStyle="1" w:styleId="BodyText2Char">
    <w:name w:val="Body Text 2 Char"/>
    <w:basedOn w:val="DefaultParagraphFont"/>
    <w:link w:val="BodyText2"/>
    <w:uiPriority w:val="99"/>
    <w:rsid w:val="001067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bls.gov/news.release/ecec.t0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3a7a3061e5fe19962ef89768bb1646b5">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8d2faff1e96483b9d3a7a78e2e88c9bc"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1ebe05a5-f381-48af-bc27-8e5e2442db3e">
      <UserInfo>
        <DisplayName>Leung, Karen</DisplayName>
        <AccountId>15171</AccountId>
        <AccountType/>
      </UserInfo>
    </Document_x0020_Owner>
    <Business_x0020_Unit xmlns="8f418ccd-e58d-4230-bf28-9ba4dc663030">Program: NMTC</Business_x0020_Unit>
    <IconOverlay xmlns="http://schemas.microsoft.com/sharepoint/v4" xsi:nil="true"/>
    <General_x0020_Notes xmlns="1ebe05a5-f381-48af-bc27-8e5e2442db3e">Request Comment: CCME, CIO, FS&amp;R, OLC, &amp; NMTC</General_x0020_Notes>
    <_dlc_DocId xmlns="52222ef0-b167-44f5-92f7-438fda0857cd">DOCDFI-176-1259</_dlc_DocId>
    <Deadline xmlns="1ebe05a5-f381-48af-bc27-8e5e2442db3e">2021-02-17T05:00:00+00:00</Deadline>
    <Send_x0020_Email_x0020_to_x0020_Reviewers xmlns="1ebe05a5-f381-48af-bc27-8e5e2442db3e">false</Send_x0020_Email_x0020_to_x0020_Reviewers>
    <_x0035_08_x0020_Compliant xmlns="1ebe05a5-f381-48af-bc27-8e5e2442db3e">false</_x0035_08_x0020_Compliant>
    <Document_x0020_Type xmlns="1ebe05a5-f381-48af-bc27-8e5e2442db3e">Programs - Internal</Document_x0020_Type>
    <_dlc_DocIdUrl xmlns="52222ef0-b167-44f5-92f7-438fda0857cd">
      <Url>https://my.treas.gov/collab/CDFI/clearance/_layouts/15/DocIdRedir.aspx?ID=DOCDFI-176-1259</Url>
      <Description>DOCDFI-176-1259</Description>
    </_dlc_DocIdUrl>
    <Business_x0020_Unit_x0020_Notes xmlns="1ebe05a5-f381-48af-bc27-8e5e2442db3e">Request Comment: CCME, CIO, FS&amp;R, OLC, &amp; NMTC</Business_x0020_Unit_x0020_Note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DD4DDE-1A82-4733-98D8-F1E23F0A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E23D-7B8C-4F60-A1E8-0B599F72334A}">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sharepoint/v3"/>
    <ds:schemaRef ds:uri="52222ef0-b167-44f5-92f7-438fda0857cd"/>
    <ds:schemaRef ds:uri="http://schemas.openxmlformats.org/package/2006/metadata/core-properties"/>
    <ds:schemaRef ds:uri="1ebe05a5-f381-48af-bc27-8e5e2442db3e"/>
    <ds:schemaRef ds:uri="f5740cfc-b89d-4d23-a0f5-9255a28a5e32"/>
    <ds:schemaRef ds:uri="http://purl.org/dc/terms/"/>
    <ds:schemaRef ds:uri="http://schemas.microsoft.com/sharepoint/v4"/>
    <ds:schemaRef ds:uri="8f418ccd-e58d-4230-bf28-9ba4dc663030"/>
    <ds:schemaRef ds:uri="http://schemas.microsoft.com/office/2006/metadata/properties"/>
  </ds:schemaRefs>
</ds:datastoreItem>
</file>

<file path=customXml/itemProps3.xml><?xml version="1.0" encoding="utf-8"?>
<ds:datastoreItem xmlns:ds="http://schemas.openxmlformats.org/officeDocument/2006/customXml" ds:itemID="{DB8D4C51-C509-4DEF-BC9B-25E920B60295}">
  <ds:schemaRefs>
    <ds:schemaRef ds:uri="http://schemas.openxmlformats.org/officeDocument/2006/bibliography"/>
  </ds:schemaRefs>
</ds:datastoreItem>
</file>

<file path=customXml/itemProps4.xml><?xml version="1.0" encoding="utf-8"?>
<ds:datastoreItem xmlns:ds="http://schemas.openxmlformats.org/officeDocument/2006/customXml" ds:itemID="{669350A3-341C-400C-89FB-E8CE64453743}">
  <ds:schemaRefs>
    <ds:schemaRef ds:uri="http://schemas.microsoft.com/sharepoint/v3/contenttype/forms"/>
  </ds:schemaRefs>
</ds:datastoreItem>
</file>

<file path=customXml/itemProps5.xml><?xml version="1.0" encoding="utf-8"?>
<ds:datastoreItem xmlns:ds="http://schemas.openxmlformats.org/officeDocument/2006/customXml" ds:itemID="{6A0B8AE6-1F0B-4DA2-BB29-290908ECD3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5699</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	New Markets Tax Credit Supporting Statement – Paperwork Reduction Act Renewal</vt:lpstr>
    </vt:vector>
  </TitlesOfParts>
  <Company>TTB</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New Markets Tax Credit Supporting Statement – Paperwork Reduction Act Renewal</dc:title>
  <dc:creator>Ware, Bridget</dc:creator>
  <cp:lastModifiedBy>Clark, Spencer</cp:lastModifiedBy>
  <cp:revision>4</cp:revision>
  <dcterms:created xsi:type="dcterms:W3CDTF">2024-08-30T16:17:00Z</dcterms:created>
  <dcterms:modified xsi:type="dcterms:W3CDTF">2024-09-05T20:49:00Z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WorkflowChangePath">
    <vt:lpwstr>0e591819-1940-4855-aab8-7436297f8f3d,5;0e591819-1940-4855-aab8-7436297f8f3d,9;0e591819-1940-4855-aab8-7436297f8f3d,18;0e591819-1940-4855-aab8-7436297f8f3d,22;0e591819-1940-4855-aab8-7436297f8f3d,25;0e591819-1940-4855-aab8-7436297f8f3d,30;0e591819-1940-485</vt:lpwstr>
  </property>
  <property fmtid="{D5CDD505-2E9C-101B-9397-08002B2CF9AE}" pid="4" name="_dlc_DocIdItemGuid">
    <vt:lpwstr>5644b7bd-3106-48a3-bae8-594d03dbd5ff</vt:lpwstr>
  </property>
</Properties>
</file>