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00D73BBC" w14:paraId="4E99A699" w14:textId="16DE8F5B">
      <w:pPr>
        <w:tabs>
          <w:tab w:val="left" w:pos="-720"/>
        </w:tabs>
        <w:suppressAutoHyphens/>
        <w:jc w:val="center"/>
        <w:rPr>
          <w:b/>
        </w:rPr>
      </w:pPr>
      <w:r w:rsidRPr="00596A43">
        <w:rPr>
          <w:b/>
        </w:rPr>
        <w:t>Title:</w:t>
      </w:r>
      <w:r w:rsidR="00FF5DDF">
        <w:rPr>
          <w:b/>
        </w:rPr>
        <w:t xml:space="preserve"> </w:t>
      </w:r>
    </w:p>
    <w:p w:rsidR="00EB5E96" w:rsidRPr="00596A43" w:rsidP="00D73BBC" w14:paraId="77992B39" w14:textId="77777777">
      <w:pPr>
        <w:tabs>
          <w:tab w:val="left" w:pos="-720"/>
        </w:tabs>
        <w:suppressAutoHyphens/>
        <w:jc w:val="center"/>
        <w:rPr>
          <w:b/>
        </w:rPr>
      </w:pPr>
    </w:p>
    <w:p w:rsidR="00EB5E96" w:rsidP="00D73BBC" w14:paraId="4A1C1C46" w14:textId="4FAEAAE0">
      <w:pPr>
        <w:tabs>
          <w:tab w:val="left" w:pos="-720"/>
        </w:tabs>
        <w:suppressAutoHyphens/>
        <w:jc w:val="center"/>
        <w:rPr>
          <w:b/>
        </w:rPr>
      </w:pPr>
      <w:r w:rsidRPr="00596A43">
        <w:rPr>
          <w:b/>
        </w:rPr>
        <w:t xml:space="preserve">OMB Control Number:  </w:t>
      </w:r>
    </w:p>
    <w:p w:rsidR="00D96E97" w:rsidP="00D73BBC" w14:paraId="7ADE30E2" w14:textId="39064251">
      <w:pPr>
        <w:tabs>
          <w:tab w:val="left" w:pos="-720"/>
        </w:tabs>
        <w:suppressAutoHyphens/>
        <w:jc w:val="center"/>
        <w:rPr>
          <w:b/>
        </w:rPr>
      </w:pPr>
    </w:p>
    <w:p w:rsidR="00D96E97" w:rsidRPr="00596A43" w:rsidP="00D73BBC" w14:paraId="402AECC6" w14:textId="46BC780F">
      <w:pPr>
        <w:tabs>
          <w:tab w:val="left" w:pos="-720"/>
        </w:tabs>
        <w:suppressAutoHyphens/>
        <w:jc w:val="center"/>
        <w:rPr>
          <w:b/>
        </w:rPr>
      </w:pPr>
      <w:r>
        <w:rPr>
          <w:b/>
        </w:rPr>
        <w:t>Service Request Form for Enterprise Assessment Services</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00D73BBC" w:rsidP="41FC8495" w14:paraId="34AB42C4" w14:textId="4577DD2F">
      <w:pPr>
        <w:suppressAutoHyphens/>
        <w:jc w:val="both"/>
      </w:pPr>
      <w:r w:rsidRPr="41FC8495">
        <w:rPr>
          <w:spacing w:val="-3"/>
        </w:rPr>
        <w:t xml:space="preserve">The </w:t>
      </w:r>
      <w:r w:rsidRPr="41FC8495" w:rsidR="49B3A092">
        <w:rPr>
          <w:spacing w:val="-3"/>
        </w:rPr>
        <w:t xml:space="preserve">Cybersecurity and Infrastructure Security Agency (CISA) </w:t>
      </w:r>
      <w:r w:rsidRPr="41FC8495" w:rsidR="7D1A40CF">
        <w:rPr>
          <w:spacing w:val="-3"/>
        </w:rPr>
        <w:t xml:space="preserve">Cybersecurity Division </w:t>
      </w:r>
      <w:r w:rsidRPr="41FC8495" w:rsidR="1378694F">
        <w:rPr>
          <w:spacing w:val="-3"/>
        </w:rPr>
        <w:t xml:space="preserve">(CSD) </w:t>
      </w:r>
      <w:r w:rsidRPr="41FC8495" w:rsidR="7D1A40CF">
        <w:rPr>
          <w:spacing w:val="-3"/>
        </w:rPr>
        <w:t xml:space="preserve">offers cybersecurity assessments to help reduce risk for federal, state, local, tribal, </w:t>
      </w:r>
      <w:r w:rsidRPr="41FC8495" w:rsidR="36FA35EF">
        <w:rPr>
          <w:spacing w:val="-3"/>
        </w:rPr>
        <w:t>territorial</w:t>
      </w:r>
      <w:r w:rsidRPr="41FC8495" w:rsidR="7D1A40CF">
        <w:rPr>
          <w:spacing w:val="-3"/>
        </w:rPr>
        <w:t xml:space="preserve"> and private sector critical infrastructure partners. </w:t>
      </w:r>
      <w:r w:rsidRPr="41FC8495" w:rsidR="734F3EDE">
        <w:rPr>
          <w:spacing w:val="-3"/>
        </w:rPr>
        <w:t xml:space="preserve">The </w:t>
      </w:r>
      <w:r w:rsidRPr="41FC8495">
        <w:rPr>
          <w:spacing w:val="-3"/>
        </w:rPr>
        <w:t xml:space="preserve">information collected is required for CISA Vulnerability Management staff to engage with customers and </w:t>
      </w:r>
      <w:r w:rsidRPr="41FC8495" w:rsidR="6A54D88A">
        <w:rPr>
          <w:spacing w:val="-3"/>
        </w:rPr>
        <w:t>determine the appropriate</w:t>
      </w:r>
      <w:r w:rsidRPr="41FC8495" w:rsidR="3373BFAB">
        <w:rPr>
          <w:spacing w:val="-3"/>
        </w:rPr>
        <w:t xml:space="preserve"> </w:t>
      </w:r>
      <w:r w:rsidRPr="41FC8495">
        <w:rPr>
          <w:spacing w:val="-3"/>
        </w:rPr>
        <w:t>cybersecurity assessment service</w:t>
      </w:r>
      <w:r w:rsidRPr="41FC8495" w:rsidR="333A8511">
        <w:rPr>
          <w:spacing w:val="-3"/>
        </w:rPr>
        <w:t xml:space="preserve"> </w:t>
      </w:r>
      <w:r w:rsidRPr="41FC8495" w:rsidR="7984178F">
        <w:rPr>
          <w:spacing w:val="-3"/>
        </w:rPr>
        <w:t>for customers</w:t>
      </w:r>
      <w:r w:rsidR="21FC81AD">
        <w:rPr>
          <w:bCs/>
          <w:spacing w:val="-3"/>
        </w:rPr>
        <w:t>.</w:t>
      </w:r>
    </w:p>
    <w:p w:rsidR="002A0CB8" w:rsidRPr="003C6338" w:rsidP="003C6338" w14:paraId="30C8BC03" w14:textId="1FE18334">
      <w:pPr>
        <w:pStyle w:val="Default"/>
        <w:rPr>
          <w:bCs/>
          <w:iCs/>
        </w:rPr>
      </w:pPr>
    </w:p>
    <w:p w:rsidR="002A0CB8" w:rsidRPr="003C6338" w:rsidP="7AD27608" w14:paraId="3FAB6173" w14:textId="25BDFB42">
      <w:pPr>
        <w:pStyle w:val="Default"/>
      </w:pPr>
      <w:r>
        <w:t>Pursuan</w:t>
      </w:r>
      <w:r w:rsidR="003C6338">
        <w:t>t</w:t>
      </w:r>
      <w:r>
        <w:t xml:space="preserve"> to </w:t>
      </w:r>
      <w:r>
        <w:t>6 U.S.C. § 659(c)(6</w:t>
      </w:r>
      <w:r>
        <w:t>),</w:t>
      </w:r>
      <w:r>
        <w:t xml:space="preserve"> CISA</w:t>
      </w:r>
      <w:r>
        <w:t xml:space="preserve"> ha</w:t>
      </w:r>
      <w:r>
        <w:t>s authority to</w:t>
      </w:r>
      <w:r w:rsidR="32B91E27">
        <w:t xml:space="preserve"> provide,</w:t>
      </w:r>
      <w:r>
        <w:t xml:space="preserve"> “…timely technical assistance, risk management support, and incident response capabilities to Federal and non-Federal entities with respect to cyber threat indicators, defensive measures, cybersecurity risks, and incidents, which may include attribution, mitigation, and remediation…”</w:t>
      </w:r>
      <w:r w:rsidR="34E5355A">
        <w:t xml:space="preserve">  The entities seeking these services must request them.  </w:t>
      </w:r>
    </w:p>
    <w:p w:rsidR="00775631" w:rsidP="000C4293" w14:paraId="31D2727D" w14:textId="717EE060">
      <w:pPr>
        <w:tabs>
          <w:tab w:val="left" w:pos="-720"/>
        </w:tabs>
        <w:suppressAutoHyphens/>
        <w:jc w:val="both"/>
        <w:rPr>
          <w:b/>
          <w:spacing w:val="-3"/>
          <w:u w:val="single"/>
        </w:rPr>
      </w:pPr>
    </w:p>
    <w:p w:rsidR="00775631" w:rsidRPr="00596A43" w:rsidP="000C4293" w14:paraId="2B72C135"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00E151DA" w:rsidP="00E151DA" w14:paraId="0F4B179D" w14:textId="763C092C">
      <w:pPr>
        <w:pStyle w:val="Default"/>
      </w:pPr>
      <w:r>
        <w:t xml:space="preserve">This is a new collection.  </w:t>
      </w:r>
      <w:r w:rsidR="1378694F">
        <w:t>The instrument that comprises this collection is the Service Request Form for Enterprise Assessment Services.</w:t>
      </w:r>
    </w:p>
    <w:p w:rsidR="0085678E" w:rsidP="00E151DA" w14:paraId="49967018" w14:textId="2B5721CF">
      <w:pPr>
        <w:pStyle w:val="Default"/>
        <w:rPr>
          <w:bCs/>
          <w:iCs/>
        </w:rPr>
      </w:pPr>
    </w:p>
    <w:p w:rsidR="0085678E" w:rsidRPr="003C6338" w:rsidP="00E151DA" w14:paraId="48B8DAEA" w14:textId="42D93201">
      <w:pPr>
        <w:pStyle w:val="Default"/>
      </w:pPr>
      <w:r>
        <w:t xml:space="preserve">All information collected supports CISA’s effort </w:t>
      </w:r>
      <w:r w:rsidR="00625A37">
        <w:t xml:space="preserve">to help organizations reduce the risk and exposure of federal, SLTT, and private critical infrastructure stakeholders to cyber threats by taking a proactive approach to mitigating attack vectors. CISA offers several scanning and testing </w:t>
      </w:r>
      <w:r w:rsidR="003C6338">
        <w:t>services,</w:t>
      </w:r>
      <w:r w:rsidR="00625A37">
        <w:t xml:space="preserve"> and they are provided at no cost.  </w:t>
      </w:r>
      <w:r w:rsidR="00777D48">
        <w:t xml:space="preserve">The Service Request Form is the primary vehicle through which stakeholders </w:t>
      </w:r>
      <w:r w:rsidR="00270462">
        <w:t xml:space="preserve">request specific assessment services from CISA and provide information allowing CISA to properly </w:t>
      </w:r>
      <w:r w:rsidR="00CD7D2F">
        <w:t xml:space="preserve">prioritize </w:t>
      </w:r>
      <w:r w:rsidR="009E0540">
        <w:t>and evaluate</w:t>
      </w:r>
      <w:r w:rsidR="00CD7D2F">
        <w:t xml:space="preserve"> requests for CISA’s very limited </w:t>
      </w:r>
      <w:r w:rsidR="001F0F3B">
        <w:t>assessment resources</w:t>
      </w:r>
      <w:r w:rsidR="00CD7D2F">
        <w:t>.</w:t>
      </w:r>
    </w:p>
    <w:p w:rsidR="0037322A" w:rsidP="004C5DDB" w14:paraId="4ED59B21" w14:textId="77777777">
      <w:pPr>
        <w:pStyle w:val="Default"/>
        <w:rPr>
          <w:bCs/>
          <w:iCs/>
        </w:rPr>
      </w:pPr>
    </w:p>
    <w:p w:rsidR="0037322A" w:rsidP="004C5DDB" w14:paraId="73AD2A8F" w14:textId="77777777">
      <w:pPr>
        <w:pStyle w:val="Default"/>
        <w:rPr>
          <w:bCs/>
          <w:iCs/>
        </w:rPr>
      </w:pPr>
    </w:p>
    <w:p w:rsidR="002F49E0" w:rsidRPr="002451D9" w:rsidP="002F49E0" w14:paraId="5546AD87" w14:textId="77777777">
      <w:pPr>
        <w:pStyle w:val="Default"/>
        <w:rPr>
          <w:color w:val="auto"/>
          <w:sz w:val="22"/>
          <w:szCs w:val="22"/>
        </w:rPr>
      </w:pPr>
    </w:p>
    <w:p w:rsidR="00EB5E96" w:rsidRPr="00596A43" w:rsidP="000C4293" w14:paraId="137BFE5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596A43" w:rsidP="000C4293" w14:paraId="16DA2C53" w14:textId="77777777">
      <w:pPr>
        <w:tabs>
          <w:tab w:val="left" w:pos="-720"/>
        </w:tabs>
        <w:suppressAutoHyphens/>
        <w:jc w:val="both"/>
      </w:pPr>
    </w:p>
    <w:p w:rsidR="0015593C" w:rsidP="0015593C" w14:paraId="4AE32D44" w14:textId="739BE019">
      <w:pPr>
        <w:pStyle w:val="Default"/>
      </w:pPr>
      <w:r>
        <w:t>CISA collects information primarily in electronic format. Efforts are in process to reduce the paperwork bur</w:t>
      </w:r>
      <w:r w:rsidR="4EB76689">
        <w:t>den</w:t>
      </w:r>
      <w:r>
        <w:t xml:space="preserve"> for potential partners and provide a </w:t>
      </w:r>
      <w:r w:rsidR="4EB76689">
        <w:t>publicly accessible</w:t>
      </w:r>
      <w:r>
        <w:t xml:space="preserve"> service portal to request cyber assessments</w:t>
      </w:r>
      <w:r w:rsidR="169F2AAB">
        <w:t xml:space="preserve">. </w:t>
      </w:r>
      <w:r w:rsidR="19AEF0B1">
        <w:t xml:space="preserve">We </w:t>
      </w:r>
      <w:r w:rsidR="3DAAADC5">
        <w:t xml:space="preserve">will </w:t>
      </w:r>
      <w:r w:rsidR="19AEF0B1">
        <w:t xml:space="preserve">collect PDF </w:t>
      </w:r>
      <w:r w:rsidR="1418583D">
        <w:t>files</w:t>
      </w:r>
      <w:r w:rsidR="0ADB3D3F">
        <w:t xml:space="preserve"> until the launch of the system, or when a customer is unable to use the portal.</w:t>
      </w:r>
    </w:p>
    <w:p w:rsidR="00CD2CBD" w:rsidP="0015593C" w14:paraId="135C8978" w14:textId="77777777">
      <w:pPr>
        <w:pStyle w:val="Default"/>
      </w:pPr>
    </w:p>
    <w:p w:rsidR="00CD2CBD" w:rsidP="0015593C" w14:paraId="00340391" w14:textId="2B35B521">
      <w:pPr>
        <w:pStyle w:val="Default"/>
      </w:pPr>
      <w:r>
        <w:t xml:space="preserve">CISA conducted usability testing on all forms to help with the verification of the burden hours and to verify the ease of use.  Usability testing participants had no difficulty traversing through the documents. Based on their suggestions, CISA did not need to adjust the </w:t>
      </w:r>
      <w:r w:rsidR="00B85B84">
        <w:t xml:space="preserve">initial </w:t>
      </w:r>
      <w:r w:rsidR="0004144D">
        <w:t xml:space="preserve">estimate of </w:t>
      </w:r>
      <w:r>
        <w:t>burden hours f</w:t>
      </w:r>
      <w:r w:rsidR="0004144D">
        <w:t xml:space="preserve">or </w:t>
      </w:r>
      <w:r>
        <w:t>this collection.</w:t>
      </w:r>
    </w:p>
    <w:p w:rsidR="0015593C" w:rsidP="00FF5DDF" w14:paraId="084C5DA0" w14:textId="77777777">
      <w:pPr>
        <w:tabs>
          <w:tab w:val="left" w:pos="-720"/>
        </w:tabs>
        <w:suppressAutoHyphens/>
        <w:contextualSpacing/>
      </w:pPr>
    </w:p>
    <w:p w:rsidR="00EB5E96" w:rsidRPr="00596A43" w:rsidP="000C4293" w14:paraId="74B0876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rsidRPr="00596A43">
        <w:fldChar w:fldCharType="begin"/>
      </w:r>
      <w:r w:rsidRPr="00596A43">
        <w:instrText>ADVANCE \R 0.95</w:instrText>
      </w:r>
      <w:r w:rsidRPr="00596A43">
        <w:fldChar w:fldCharType="end"/>
      </w:r>
    </w:p>
    <w:p w:rsidR="00FB283D" w:rsidP="41FC8495" w14:paraId="37218C7C" w14:textId="02F00DF9">
      <w:pPr>
        <w:suppressAutoHyphens/>
        <w:jc w:val="both"/>
      </w:pPr>
      <w:r>
        <w:t xml:space="preserve">This is a new collection.  </w:t>
      </w:r>
      <w:r w:rsidRPr="41FC8495" w:rsidR="2E386231">
        <w:rPr>
          <w:spacing w:val="-3"/>
        </w:rPr>
        <w:t>CISA CSD</w:t>
      </w:r>
      <w:r w:rsidR="3E6915B4">
        <w:rPr>
          <w:bCs/>
          <w:spacing w:val="-3"/>
        </w:rPr>
        <w:t xml:space="preserve"> </w:t>
      </w:r>
      <w:r w:rsidRPr="41FC8495" w:rsidR="4B47E2A9">
        <w:rPr>
          <w:spacing w:val="-3"/>
        </w:rPr>
        <w:t>is the</w:t>
      </w:r>
      <w:r w:rsidR="3E6915B4">
        <w:rPr>
          <w:bCs/>
          <w:spacing w:val="-3"/>
        </w:rPr>
        <w:t xml:space="preserve"> </w:t>
      </w:r>
      <w:r w:rsidRPr="41FC8495" w:rsidR="56546AA0">
        <w:rPr>
          <w:spacing w:val="-3"/>
        </w:rPr>
        <w:t xml:space="preserve">primary </w:t>
      </w:r>
      <w:r w:rsidRPr="41FC8495" w:rsidR="4606CD89">
        <w:rPr>
          <w:spacing w:val="-3"/>
        </w:rPr>
        <w:t xml:space="preserve">provider </w:t>
      </w:r>
      <w:r w:rsidRPr="41FC8495" w:rsidR="56546AA0">
        <w:rPr>
          <w:spacing w:val="-3"/>
        </w:rPr>
        <w:t xml:space="preserve">of </w:t>
      </w:r>
      <w:r w:rsidRPr="41FC8495" w:rsidR="3E6915B4">
        <w:rPr>
          <w:spacing w:val="-3"/>
        </w:rPr>
        <w:t xml:space="preserve">cybersecurity assessments </w:t>
      </w:r>
      <w:r w:rsidRPr="41FC8495" w:rsidR="4606CD89">
        <w:rPr>
          <w:spacing w:val="-3"/>
        </w:rPr>
        <w:t xml:space="preserve">offered by CISA. </w:t>
      </w:r>
      <w:r>
        <w:t xml:space="preserve">This </w:t>
      </w:r>
      <w:r w:rsidR="22EEAB44">
        <w:t xml:space="preserve">information collection obtains information </w:t>
      </w:r>
      <w:r w:rsidR="22EEAB44">
        <w:t>in order to</w:t>
      </w:r>
      <w:r w:rsidR="22EEAB44">
        <w:t xml:space="preserve"> support </w:t>
      </w:r>
      <w:r w:rsidR="26DE2EDE">
        <w:t>decisions to provide free assessment services.</w:t>
      </w:r>
      <w:r w:rsidR="22EEAB44">
        <w:t xml:space="preserve">   </w:t>
      </w:r>
    </w:p>
    <w:p w:rsidR="00FB283D" w:rsidRPr="003C6338" w:rsidP="00FB283D" w14:paraId="1D175527" w14:textId="77777777">
      <w:pPr>
        <w:pStyle w:val="Default"/>
        <w:rPr>
          <w:bCs/>
          <w:iCs/>
        </w:rPr>
      </w:pPr>
    </w:p>
    <w:p w:rsidR="00C83C2E" w:rsidRPr="003C6338" w:rsidP="00FB283D" w14:paraId="42C98C26" w14:textId="5FED4E03">
      <w:pPr>
        <w:pStyle w:val="Default"/>
      </w:pPr>
      <w:r>
        <w:t xml:space="preserve">CISA is not aware of any separate sources </w:t>
      </w:r>
      <w:r w:rsidR="0E87669A">
        <w:t>for this information, whether within the agency or within the federal government.</w:t>
      </w:r>
    </w:p>
    <w:p w:rsidR="00AA3F82" w:rsidRPr="00596A43" w:rsidP="000C4293" w14:paraId="1DA65EDD" w14:textId="77777777">
      <w:pPr>
        <w:tabs>
          <w:tab w:val="left" w:pos="-720"/>
        </w:tabs>
        <w:suppressAutoHyphens/>
        <w:jc w:val="both"/>
      </w:pPr>
    </w:p>
    <w:p w:rsidR="00EB5E96" w:rsidRPr="00596A43" w:rsidP="000C4293" w14:paraId="1292050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06D78EA0" w14:textId="77777777">
      <w:pPr>
        <w:tabs>
          <w:tab w:val="left" w:pos="-720"/>
        </w:tabs>
        <w:suppressAutoHyphens/>
        <w:jc w:val="both"/>
        <w:rPr>
          <w:spacing w:val="-3"/>
        </w:rPr>
      </w:pPr>
    </w:p>
    <w:p w:rsidR="00FF5DDF" w:rsidRPr="00AB5A92" w:rsidP="3BC03212" w14:paraId="168742A1" w14:textId="00D430FE">
      <w:pPr>
        <w:suppressAutoHyphens/>
        <w:contextualSpacing/>
      </w:pPr>
      <w:r>
        <w:rPr>
          <w:spacing w:val="-3"/>
        </w:rPr>
        <w:t>No unique methods will be used to minimize the burden to small businesses.</w:t>
      </w:r>
      <w:r w:rsidR="76A9A73B">
        <w:rPr>
          <w:spacing w:val="-3"/>
        </w:rPr>
        <w:t xml:space="preserve"> </w:t>
      </w: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38AFCAF9" w14:textId="77777777">
      <w:pPr>
        <w:tabs>
          <w:tab w:val="left" w:pos="-720"/>
        </w:tabs>
        <w:suppressAutoHyphens/>
        <w:jc w:val="both"/>
        <w:rPr>
          <w:spacing w:val="-3"/>
        </w:rPr>
      </w:pPr>
    </w:p>
    <w:p w:rsidR="00FF5DDF" w:rsidRPr="00AB5A92" w:rsidP="289C55F9" w14:paraId="4B0A85A1" w14:textId="4A8D836D">
      <w:pPr>
        <w:suppressAutoHyphens/>
        <w:contextualSpacing/>
      </w:pPr>
      <w:r>
        <w:rPr>
          <w:spacing w:val="-3"/>
        </w:rPr>
        <w:t>Th</w:t>
      </w:r>
      <w:r w:rsidR="2C09911C">
        <w:rPr>
          <w:spacing w:val="-3"/>
        </w:rPr>
        <w:t xml:space="preserve">e collection of information allows </w:t>
      </w:r>
      <w:r w:rsidR="2CC005F0">
        <w:rPr>
          <w:spacing w:val="-3"/>
        </w:rPr>
        <w:t>CISA CSD</w:t>
      </w:r>
      <w:r w:rsidR="2C09911C">
        <w:rPr>
          <w:spacing w:val="-3"/>
        </w:rPr>
        <w:t xml:space="preserve"> to provide </w:t>
      </w:r>
      <w:r w:rsidR="55F6267C">
        <w:rPr>
          <w:spacing w:val="-3"/>
        </w:rPr>
        <w:t>relevant</w:t>
      </w:r>
      <w:r w:rsidRPr="7AD27608" w:rsidR="2CF1A347">
        <w:rPr>
          <w:i/>
          <w:iCs/>
          <w:spacing w:val="-3"/>
        </w:rPr>
        <w:t xml:space="preserve"> </w:t>
      </w:r>
      <w:r w:rsidR="2CF1A347">
        <w:rPr>
          <w:spacing w:val="-3"/>
        </w:rPr>
        <w:t xml:space="preserve">assessment offerings to critical infrastructure entities. </w:t>
      </w:r>
      <w:r w:rsidR="40EF5E70">
        <w:rPr>
          <w:spacing w:val="-3"/>
        </w:rPr>
        <w:t xml:space="preserve"> </w:t>
      </w:r>
      <w:r w:rsidR="16EEE1CA">
        <w:t>Because these are voluntary services, c</w:t>
      </w:r>
      <w:r w:rsidR="1191B218">
        <w:t>ritical infrastructure entities</w:t>
      </w:r>
      <w:r w:rsidR="16EEE1CA">
        <w:t xml:space="preserve"> </w:t>
      </w:r>
      <w:r w:rsidR="018B0A5D">
        <w:t xml:space="preserve">will </w:t>
      </w:r>
      <w:r w:rsidR="16EEE1CA">
        <w:t xml:space="preserve">only </w:t>
      </w:r>
      <w:r w:rsidR="018B0A5D">
        <w:t xml:space="preserve">provide </w:t>
      </w:r>
      <w:r w:rsidR="653C6C67">
        <w:t>the requested</w:t>
      </w:r>
      <w:r w:rsidR="018B0A5D">
        <w:t xml:space="preserve"> information </w:t>
      </w:r>
      <w:r w:rsidR="16EEE1CA">
        <w:t>if they stand to benefit</w:t>
      </w:r>
      <w:r w:rsidR="018B0A5D">
        <w:t xml:space="preserve"> from the assessment services</w:t>
      </w:r>
      <w:r w:rsidR="16EEE1CA">
        <w:t xml:space="preserve">.  </w:t>
      </w:r>
      <w:r w:rsidR="1191B218">
        <w:t xml:space="preserve"> </w:t>
      </w:r>
      <w:r w:rsidR="40EF5E70">
        <w:rPr>
          <w:spacing w:val="-3"/>
        </w:rPr>
        <w:t xml:space="preserve">If the collection were not conducted, </w:t>
      </w:r>
      <w:r w:rsidR="730C4A56">
        <w:rPr>
          <w:spacing w:val="-3"/>
        </w:rPr>
        <w:t>CISA CSD</w:t>
      </w:r>
      <w:r w:rsidR="3762E256">
        <w:rPr>
          <w:spacing w:val="-3"/>
        </w:rPr>
        <w:t xml:space="preserve"> would not be able to</w:t>
      </w:r>
      <w:r w:rsidR="00501964">
        <w:rPr>
          <w:spacing w:val="-3"/>
        </w:rPr>
        <w:t xml:space="preserve"> </w:t>
      </w:r>
      <w:r w:rsidR="3762E256">
        <w:rPr>
          <w:spacing w:val="-3"/>
        </w:rPr>
        <w:t>provide</w:t>
      </w:r>
      <w:r w:rsidR="54322793">
        <w:rPr>
          <w:spacing w:val="-3"/>
        </w:rPr>
        <w:t xml:space="preserve"> statutorily authorized</w:t>
      </w:r>
      <w:r w:rsidR="3762E256">
        <w:rPr>
          <w:spacing w:val="-3"/>
        </w:rPr>
        <w:t xml:space="preserve"> assessment services to requesters in a prioritized </w:t>
      </w:r>
      <w:r w:rsidR="0AE54898">
        <w:rPr>
          <w:spacing w:val="-3"/>
        </w:rPr>
        <w:t>or efficient manner.</w:t>
      </w:r>
      <w:r w:rsidR="2A17D26C">
        <w:rPr>
          <w:spacing w:val="-3"/>
        </w:rPr>
        <w:t xml:space="preserve"> </w:t>
      </w:r>
      <w:r w:rsidR="43698782">
        <w:t>Fewer entities would benefit.</w:t>
      </w:r>
    </w:p>
    <w:p w:rsidR="00AA3F82" w:rsidRPr="00596A43" w:rsidP="000C4293" w14:paraId="6DB53CCA" w14:textId="77777777">
      <w:pPr>
        <w:tabs>
          <w:tab w:val="left" w:pos="-720"/>
        </w:tabs>
        <w:suppressAutoHyphens/>
        <w:jc w:val="both"/>
        <w:rPr>
          <w:spacing w:val="-3"/>
        </w:rPr>
      </w:pPr>
    </w:p>
    <w:p w:rsidR="00EB5E96" w:rsidRPr="00596A43" w:rsidP="000C4293" w14:paraId="5CEA004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5C472E" w:rsidRPr="00596A43" w:rsidP="009E5907" w14:paraId="082D3C38" w14:textId="2B899698">
      <w:pPr>
        <w:numPr>
          <w:ilvl w:val="0"/>
          <w:numId w:val="26"/>
        </w:numPr>
        <w:shd w:val="clear" w:color="auto" w:fill="C0C0C0"/>
        <w:tabs>
          <w:tab w:val="left" w:pos="-720"/>
        </w:tabs>
        <w:suppressAutoHyphens/>
        <w:ind w:left="360"/>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RPr="00596A43" w:rsidP="009E5907" w14:paraId="6B23AE7A" w14:textId="6AADED60">
      <w:pPr>
        <w:numPr>
          <w:ilvl w:val="0"/>
          <w:numId w:val="26"/>
        </w:numPr>
        <w:shd w:val="clear" w:color="auto" w:fill="C0C0C0"/>
        <w:ind w:left="36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receipt of it.</w:t>
      </w:r>
    </w:p>
    <w:p w:rsidR="005C472E" w:rsidRPr="00596A43" w:rsidP="009E5907" w14:paraId="2F6FAF2A" w14:textId="242905CE">
      <w:pPr>
        <w:numPr>
          <w:ilvl w:val="0"/>
          <w:numId w:val="26"/>
        </w:numPr>
        <w:shd w:val="pct25" w:color="auto" w:fill="auto"/>
        <w:tabs>
          <w:tab w:val="left" w:pos="-720"/>
        </w:tabs>
        <w:suppressAutoHyphens/>
        <w:ind w:left="360"/>
        <w:jc w:val="both"/>
      </w:pPr>
      <w:r w:rsidRPr="00596A43">
        <w:fldChar w:fldCharType="begin"/>
      </w:r>
      <w:r w:rsidRPr="00596A43">
        <w:instrText>ADVANCE \R 0.95</w:instrText>
      </w:r>
      <w:r w:rsidRPr="00596A43">
        <w:fldChar w:fldCharType="end"/>
      </w:r>
      <w:r w:rsidRPr="00596A43">
        <w:t>Requiring respondents to submit more than an original and two copies of any document.</w:t>
      </w:r>
    </w:p>
    <w:p w:rsidR="005C472E" w:rsidRPr="00596A43" w:rsidP="009E5907" w14:paraId="643C8D71" w14:textId="6E78F068">
      <w:pPr>
        <w:numPr>
          <w:ilvl w:val="0"/>
          <w:numId w:val="26"/>
        </w:numPr>
        <w:shd w:val="clear" w:color="auto" w:fill="C0C0C0"/>
        <w:tabs>
          <w:tab w:val="left" w:pos="-720"/>
        </w:tabs>
        <w:suppressAutoHyphens/>
        <w:ind w:left="360"/>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RPr="00596A43" w:rsidP="009E5907" w14:paraId="4B9DAE6D" w14:textId="5C0A6A73">
      <w:pPr>
        <w:numPr>
          <w:ilvl w:val="0"/>
          <w:numId w:val="26"/>
        </w:numPr>
        <w:shd w:val="clear" w:color="auto" w:fill="C0C0C0"/>
        <w:tabs>
          <w:tab w:val="left" w:pos="-720"/>
        </w:tabs>
        <w:suppressAutoHyphens/>
        <w:ind w:left="360"/>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RPr="00596A43" w:rsidP="009E5907" w14:paraId="61497592" w14:textId="19CC87CD">
      <w:pPr>
        <w:numPr>
          <w:ilvl w:val="0"/>
          <w:numId w:val="26"/>
        </w:numPr>
        <w:shd w:val="clear" w:color="auto" w:fill="C0C0C0"/>
        <w:tabs>
          <w:tab w:val="left" w:pos="-720"/>
        </w:tabs>
        <w:suppressAutoHyphens/>
        <w:ind w:left="360"/>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00DB0386" w:rsidP="009E5907" w14:paraId="0A06F3AA" w14:textId="77777777">
      <w:pPr>
        <w:numPr>
          <w:ilvl w:val="0"/>
          <w:numId w:val="26"/>
        </w:numPr>
        <w:shd w:val="clear" w:color="auto" w:fill="C0C0C0"/>
        <w:tabs>
          <w:tab w:val="left" w:pos="-720"/>
        </w:tabs>
        <w:suppressAutoHyphens/>
        <w:ind w:left="360"/>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DB0386" w:rsidP="009E5907" w14:paraId="2A9EE2BF" w14:textId="54382C43">
      <w:pPr>
        <w:numPr>
          <w:ilvl w:val="0"/>
          <w:numId w:val="26"/>
        </w:numPr>
        <w:shd w:val="clear" w:color="auto" w:fill="C0C0C0"/>
        <w:tabs>
          <w:tab w:val="left" w:pos="-720"/>
        </w:tabs>
        <w:suppressAutoHyphens/>
        <w:ind w:left="360"/>
        <w:jc w:val="both"/>
      </w:pPr>
      <w:r w:rsidRPr="00DB0386">
        <w:rPr>
          <w:shd w:val="clear" w:color="auto" w:fill="C0C0C0"/>
        </w:rPr>
        <w:t>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F861A5" w:rsidRPr="00AB5A92" w:rsidP="00F861A5" w14:paraId="01B61542" w14:textId="61A889DF">
      <w:pPr>
        <w:tabs>
          <w:tab w:val="left" w:pos="-720"/>
        </w:tabs>
        <w:suppressAutoHyphens/>
        <w:contextualSpacing/>
        <w:jc w:val="both"/>
      </w:pPr>
      <w:r>
        <w:t>No special circumstances are involved with this collection.</w:t>
      </w:r>
    </w:p>
    <w:p w:rsidR="00AE41B7" w:rsidRPr="00596A43" w:rsidP="000C4293" w14:paraId="415A2725" w14:textId="77777777">
      <w:pPr>
        <w:tabs>
          <w:tab w:val="left" w:pos="-720"/>
        </w:tabs>
        <w:suppressAutoHyphens/>
        <w:jc w:val="both"/>
      </w:pPr>
    </w:p>
    <w:p w:rsidR="00EB5E96" w:rsidP="004C21F8" w14:paraId="3A9C89B1" w14:textId="47BE74C2">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DB0386" w:rsidRPr="00596A43" w:rsidP="004C21F8" w14:paraId="70921290" w14:textId="77777777">
      <w:pPr>
        <w:shd w:val="pct25" w:color="auto" w:fill="auto"/>
        <w:tabs>
          <w:tab w:val="left" w:pos="-720"/>
        </w:tabs>
        <w:suppressAutoHyphens/>
        <w:jc w:val="both"/>
      </w:pPr>
    </w:p>
    <w:p w:rsidR="00EB5E96" w:rsidRPr="00596A43" w:rsidP="004C21F8" w14:paraId="225B0E37"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Provide a copy and identify the date and page number of </w:t>
      </w:r>
      <w:r w:rsidRPr="00596A43">
        <w:t>publication</w:t>
      </w:r>
      <w:r w:rsidRPr="00596A43">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27DA4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hemeFill="text1"/>
          </w:tcPr>
          <w:p w:rsidR="00B67664" w:rsidP="00D3411B" w14:paraId="02EDAE2E" w14:textId="77777777">
            <w:pPr>
              <w:tabs>
                <w:tab w:val="left" w:pos="-720"/>
              </w:tabs>
              <w:suppressAutoHyphens/>
              <w:jc w:val="both"/>
            </w:pPr>
          </w:p>
        </w:tc>
        <w:tc>
          <w:tcPr>
            <w:tcW w:w="2700" w:type="dxa"/>
            <w:shd w:val="clear" w:color="auto" w:fill="BFBFBF" w:themeFill="background1" w:themeFillShade="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themeFill="background1" w:themeFillShade="BF"/>
            <w:vAlign w:val="center"/>
          </w:tcPr>
          <w:p w:rsidR="00B67664" w:rsidRPr="00AC063E" w:rsidP="00D3411B" w14:paraId="71CD397F" w14:textId="77777777">
            <w:pPr>
              <w:tabs>
                <w:tab w:val="left" w:pos="-720"/>
              </w:tabs>
              <w:suppressAutoHyphens/>
              <w:jc w:val="center"/>
              <w:rPr>
                <w:b/>
              </w:rPr>
            </w:pPr>
            <w:r w:rsidRPr="00AC063E">
              <w:rPr>
                <w:b/>
              </w:rPr>
              <w:t>Volume #</w:t>
            </w:r>
          </w:p>
        </w:tc>
        <w:tc>
          <w:tcPr>
            <w:tcW w:w="1080" w:type="dxa"/>
            <w:shd w:val="clear" w:color="auto" w:fill="BFBFBF" w:themeFill="background1" w:themeFillShade="BF"/>
            <w:vAlign w:val="center"/>
          </w:tcPr>
          <w:p w:rsidR="00B67664" w:rsidRPr="00AC063E" w:rsidP="00D3411B" w14:paraId="6923B9E4" w14:textId="77777777">
            <w:pPr>
              <w:tabs>
                <w:tab w:val="left" w:pos="-720"/>
              </w:tabs>
              <w:suppressAutoHyphens/>
              <w:jc w:val="center"/>
              <w:rPr>
                <w:b/>
              </w:rPr>
            </w:pPr>
            <w:r w:rsidRPr="00AC063E">
              <w:rPr>
                <w:b/>
              </w:rPr>
              <w:t>Number #</w:t>
            </w:r>
          </w:p>
        </w:tc>
        <w:tc>
          <w:tcPr>
            <w:tcW w:w="900" w:type="dxa"/>
            <w:shd w:val="clear" w:color="auto" w:fill="BFBFBF" w:themeFill="background1" w:themeFillShade="BF"/>
            <w:vAlign w:val="center"/>
          </w:tcPr>
          <w:p w:rsidR="00B67664" w:rsidRPr="00AC063E" w:rsidP="00D3411B" w14:paraId="1A9F4A4E" w14:textId="77777777">
            <w:pPr>
              <w:tabs>
                <w:tab w:val="left" w:pos="-720"/>
              </w:tabs>
              <w:suppressAutoHyphens/>
              <w:jc w:val="center"/>
              <w:rPr>
                <w:b/>
              </w:rPr>
            </w:pPr>
            <w:r w:rsidRPr="00AC063E">
              <w:rPr>
                <w:b/>
              </w:rPr>
              <w:t>Page #</w:t>
            </w:r>
          </w:p>
        </w:tc>
        <w:tc>
          <w:tcPr>
            <w:tcW w:w="1532" w:type="dxa"/>
            <w:shd w:val="clear" w:color="auto" w:fill="BFBFBF" w:themeFill="background1" w:themeFillShade="BF"/>
          </w:tcPr>
          <w:p w:rsidR="00B67664" w:rsidRPr="00AC063E" w:rsidP="00D3411B" w14:paraId="6BF24A15" w14:textId="77777777">
            <w:pPr>
              <w:tabs>
                <w:tab w:val="left" w:pos="-720"/>
              </w:tabs>
              <w:suppressAutoHyphens/>
              <w:jc w:val="center"/>
              <w:rPr>
                <w:b/>
              </w:rPr>
            </w:pPr>
            <w:r w:rsidRPr="00AC063E">
              <w:rPr>
                <w:b/>
              </w:rPr>
              <w:t>Comments Addressed</w:t>
            </w:r>
          </w:p>
        </w:tc>
      </w:tr>
      <w:tr w14:paraId="196416DF" w14:textId="77777777" w:rsidTr="027DA466">
        <w:tblPrEx>
          <w:tblW w:w="0" w:type="auto"/>
          <w:tblLayout w:type="fixed"/>
          <w:tblLook w:val="04A0"/>
        </w:tblPrEx>
        <w:tc>
          <w:tcPr>
            <w:tcW w:w="2268" w:type="dxa"/>
            <w:vAlign w:val="center"/>
          </w:tcPr>
          <w:p w:rsidR="00B67664" w:rsidRPr="00D3411B" w:rsidP="7ADF42E9" w14:paraId="28758108" w14:textId="77777777">
            <w:pPr>
              <w:suppressAutoHyphens/>
              <w:jc w:val="center"/>
              <w:rPr>
                <w:i/>
                <w:iCs/>
              </w:rPr>
            </w:pPr>
            <w:r w:rsidRPr="7ADF42E9">
              <w:rPr>
                <w:i/>
                <w:iCs/>
              </w:rPr>
              <w:t>60</w:t>
            </w:r>
            <w:r w:rsidRPr="7ADF42E9" w:rsidR="2B086E8A">
              <w:rPr>
                <w:i/>
                <w:iCs/>
              </w:rPr>
              <w:t>-</w:t>
            </w:r>
            <w:r w:rsidRPr="7ADF42E9">
              <w:rPr>
                <w:i/>
                <w:iCs/>
              </w:rPr>
              <w:t>Day Federal Register Notice:</w:t>
            </w:r>
          </w:p>
        </w:tc>
        <w:tc>
          <w:tcPr>
            <w:tcW w:w="2700" w:type="dxa"/>
            <w:vAlign w:val="center"/>
          </w:tcPr>
          <w:p w:rsidR="00B67664" w:rsidRPr="000F69A9" w:rsidP="027DA466" w14:paraId="3EE3D417" w14:textId="00840DF4">
            <w:pPr>
              <w:suppressAutoHyphens/>
              <w:jc w:val="center"/>
            </w:pPr>
            <w:r w:rsidRPr="000F69A9">
              <w:t>02/15/2024</w:t>
            </w:r>
          </w:p>
        </w:tc>
        <w:tc>
          <w:tcPr>
            <w:tcW w:w="1080" w:type="dxa"/>
            <w:vAlign w:val="center"/>
          </w:tcPr>
          <w:p w:rsidR="00B67664" w:rsidRPr="000F69A9" w:rsidP="0029007F" w14:paraId="454C5B6F" w14:textId="6C05BD5E">
            <w:pPr>
              <w:tabs>
                <w:tab w:val="left" w:pos="-720"/>
              </w:tabs>
              <w:suppressAutoHyphens/>
              <w:jc w:val="center"/>
            </w:pPr>
            <w:r w:rsidRPr="000F69A9">
              <w:t>89</w:t>
            </w:r>
          </w:p>
        </w:tc>
        <w:tc>
          <w:tcPr>
            <w:tcW w:w="1080" w:type="dxa"/>
            <w:vAlign w:val="center"/>
          </w:tcPr>
          <w:p w:rsidR="00B67664" w:rsidRPr="000F69A9" w:rsidP="434DCAA9" w14:paraId="1D5C8C71" w14:textId="4C0A0285">
            <w:pPr>
              <w:suppressAutoHyphens/>
              <w:jc w:val="center"/>
            </w:pPr>
            <w:r w:rsidRPr="000F69A9">
              <w:t>32</w:t>
            </w:r>
          </w:p>
        </w:tc>
        <w:tc>
          <w:tcPr>
            <w:tcW w:w="900" w:type="dxa"/>
            <w:vAlign w:val="center"/>
          </w:tcPr>
          <w:p w:rsidR="00B67664" w:rsidRPr="000F69A9" w:rsidP="434DCAA9" w14:paraId="028479BC" w14:textId="78CF55DB">
            <w:pPr>
              <w:suppressAutoHyphens/>
              <w:jc w:val="center"/>
            </w:pPr>
            <w:r w:rsidRPr="000F69A9">
              <w:t>11861</w:t>
            </w:r>
            <w:r w:rsidRPr="000F69A9" w:rsidR="009E285D">
              <w:t>-11862</w:t>
            </w:r>
          </w:p>
        </w:tc>
        <w:tc>
          <w:tcPr>
            <w:tcW w:w="1532" w:type="dxa"/>
            <w:vAlign w:val="center"/>
          </w:tcPr>
          <w:p w:rsidR="00B67664" w:rsidRPr="000F69A9" w:rsidP="0029007F" w14:paraId="2F3EDAFE" w14:textId="4BD3EAA7">
            <w:pPr>
              <w:tabs>
                <w:tab w:val="left" w:pos="-720"/>
              </w:tabs>
              <w:suppressAutoHyphens/>
              <w:jc w:val="center"/>
            </w:pPr>
            <w:r w:rsidRPr="000F69A9">
              <w:t>0</w:t>
            </w:r>
          </w:p>
        </w:tc>
      </w:tr>
      <w:tr w14:paraId="1AEC9597" w14:textId="77777777" w:rsidTr="027DA466">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64868A59">
            <w:pPr>
              <w:tabs>
                <w:tab w:val="left" w:pos="-720"/>
              </w:tabs>
              <w:suppressAutoHyphens/>
              <w:jc w:val="center"/>
            </w:pPr>
            <w:r>
              <w:t>10/22/2024</w:t>
            </w:r>
          </w:p>
        </w:tc>
        <w:tc>
          <w:tcPr>
            <w:tcW w:w="1080" w:type="dxa"/>
            <w:vAlign w:val="center"/>
          </w:tcPr>
          <w:p w:rsidR="00B67664" w:rsidRPr="00A42E47" w:rsidP="0029007F" w14:paraId="6A927E67" w14:textId="4CFF3D35">
            <w:pPr>
              <w:tabs>
                <w:tab w:val="left" w:pos="-720"/>
              </w:tabs>
              <w:suppressAutoHyphens/>
              <w:jc w:val="center"/>
              <w:rPr>
                <w:highlight w:val="yellow"/>
              </w:rPr>
            </w:pPr>
            <w:r>
              <w:rPr>
                <w:highlight w:val="yellow"/>
              </w:rPr>
              <w:t>89</w:t>
            </w:r>
          </w:p>
        </w:tc>
        <w:tc>
          <w:tcPr>
            <w:tcW w:w="1080" w:type="dxa"/>
            <w:vAlign w:val="center"/>
          </w:tcPr>
          <w:p w:rsidR="00B67664" w:rsidRPr="00A42E47" w:rsidP="0029007F" w14:paraId="110837CC" w14:textId="76066501">
            <w:pPr>
              <w:tabs>
                <w:tab w:val="left" w:pos="-720"/>
              </w:tabs>
              <w:suppressAutoHyphens/>
              <w:jc w:val="center"/>
              <w:rPr>
                <w:highlight w:val="yellow"/>
              </w:rPr>
            </w:pPr>
            <w:r>
              <w:rPr>
                <w:highlight w:val="yellow"/>
              </w:rPr>
              <w:t>204</w:t>
            </w:r>
          </w:p>
        </w:tc>
        <w:tc>
          <w:tcPr>
            <w:tcW w:w="900" w:type="dxa"/>
            <w:vAlign w:val="center"/>
          </w:tcPr>
          <w:p w:rsidR="00B67664" w:rsidRPr="00A42E47" w:rsidP="0029007F" w14:paraId="035142B0" w14:textId="3B71C5A0">
            <w:pPr>
              <w:tabs>
                <w:tab w:val="left" w:pos="-720"/>
              </w:tabs>
              <w:suppressAutoHyphens/>
              <w:jc w:val="center"/>
              <w:rPr>
                <w:highlight w:val="yellow"/>
              </w:rPr>
            </w:pPr>
            <w:r>
              <w:rPr>
                <w:highlight w:val="yellow"/>
              </w:rPr>
              <w:t>84372-</w:t>
            </w:r>
          </w:p>
        </w:tc>
        <w:tc>
          <w:tcPr>
            <w:tcW w:w="1532" w:type="dxa"/>
            <w:vAlign w:val="center"/>
          </w:tcPr>
          <w:p w:rsidR="00B67664" w:rsidRPr="00A42E47" w:rsidP="0029007F" w14:paraId="5F78088B" w14:textId="187D10EF">
            <w:pPr>
              <w:tabs>
                <w:tab w:val="left" w:pos="-720"/>
              </w:tabs>
              <w:suppressAutoHyphens/>
              <w:jc w:val="center"/>
              <w:rPr>
                <w:highlight w:val="yellow"/>
              </w:rPr>
            </w:pPr>
            <w:r>
              <w:rPr>
                <w:highlight w:val="yellow"/>
              </w:rPr>
              <w:t>0</w:t>
            </w: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CC2508" w:rsidP="23519FD6" w14:paraId="409735B0" w14:textId="3C6C1E12">
      <w:pPr>
        <w:suppressAutoHyphens/>
        <w:jc w:val="both"/>
      </w:pPr>
      <w:r>
        <w:t>A 60</w:t>
      </w:r>
      <w:r w:rsidR="00B261E1">
        <w:t>-</w:t>
      </w:r>
      <w:r>
        <w:t>day notice for comments was published in the Federal Register on</w:t>
      </w:r>
      <w:r w:rsidR="00FD3AB4">
        <w:t xml:space="preserve"> </w:t>
      </w:r>
      <w:r w:rsidR="0C001EEE">
        <w:t>February 15, 2024</w:t>
      </w:r>
      <w:r w:rsidR="00E51012">
        <w:t xml:space="preserve">. </w:t>
      </w:r>
      <w:r w:rsidR="00CC6143">
        <w:t>0 comment were received</w:t>
      </w:r>
      <w:r w:rsidR="003500B2">
        <w:t xml:space="preserve"> related to the </w:t>
      </w:r>
      <w:r w:rsidR="00FE0033">
        <w:t>60-day</w:t>
      </w:r>
      <w:r w:rsidR="00BA726F">
        <w:t xml:space="preserve"> notice</w:t>
      </w:r>
      <w:r w:rsidR="00E64FE7">
        <w:t>.</w:t>
      </w:r>
      <w:r w:rsidR="00FE0033">
        <w:t xml:space="preserve"> </w:t>
      </w:r>
      <w:r w:rsidR="0C001EEE">
        <w:t xml:space="preserve"> </w:t>
      </w:r>
    </w:p>
    <w:p w:rsidR="00CC2508" w:rsidP="000C4293" w14:paraId="03F374F9" w14:textId="77777777">
      <w:pPr>
        <w:tabs>
          <w:tab w:val="left" w:pos="-720"/>
        </w:tabs>
        <w:suppressAutoHyphens/>
        <w:jc w:val="both"/>
      </w:pPr>
    </w:p>
    <w:p w:rsidR="00CC2508" w:rsidP="000C4293" w14:paraId="2DDB2FF4" w14:textId="041B72CD">
      <w:pPr>
        <w:tabs>
          <w:tab w:val="left" w:pos="-720"/>
        </w:tabs>
        <w:suppressAutoHyphens/>
        <w:jc w:val="both"/>
      </w:pPr>
      <w:r>
        <w:t>A 30</w:t>
      </w:r>
      <w:r w:rsidR="005C6EA3">
        <w:t>-</w:t>
      </w:r>
      <w:r>
        <w:t>day notice for comments was publis</w:t>
      </w:r>
      <w:r w:rsidR="0085645B">
        <w:t>hed in the Federal Register on</w:t>
      </w:r>
      <w:r w:rsidR="0030795B">
        <w:t xml:space="preserve"> 10/22/2024</w:t>
      </w:r>
      <w:r>
        <w:t xml:space="preserve">.  </w:t>
      </w:r>
      <w:r w:rsidRPr="00AC063E">
        <w:t>0</w:t>
      </w:r>
      <w:r>
        <w:t xml:space="preserve"> comments were received related to the </w:t>
      </w:r>
      <w:r w:rsidR="00EA72FD">
        <w:t>30-day</w:t>
      </w:r>
      <w:r>
        <w:t xml:space="preserve"> notice.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00EB5E96" w:rsidP="00A57406" w14:paraId="58C36867" w14:textId="08E831C5">
      <w:pPr>
        <w:tabs>
          <w:tab w:val="left" w:pos="-720"/>
        </w:tabs>
        <w:suppressAutoHyphens/>
        <w:contextualSpacing/>
        <w:rPr>
          <w:spacing w:val="-3"/>
        </w:rPr>
      </w:pPr>
      <w:r>
        <w:t>No payment or gift of any kind is provided to any respondents.</w:t>
      </w:r>
    </w:p>
    <w:p w:rsidR="00A57406" w:rsidRPr="00596A43" w:rsidP="00A57406" w14:paraId="1C10D90F" w14:textId="77777777">
      <w:pPr>
        <w:tabs>
          <w:tab w:val="left" w:pos="-720"/>
        </w:tabs>
        <w:suppressAutoHyphens/>
        <w:contextualSpacing/>
      </w:pPr>
    </w:p>
    <w:p w:rsidR="00EB5E96" w:rsidRPr="00596A43" w:rsidP="000C4293" w14:paraId="5B892E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00EB5E96" w:rsidRPr="00596A43" w:rsidP="000C4293" w14:paraId="38D74F91" w14:textId="77777777">
      <w:pPr>
        <w:tabs>
          <w:tab w:val="left" w:pos="-720"/>
        </w:tabs>
        <w:suppressAutoHyphens/>
        <w:jc w:val="both"/>
      </w:pPr>
      <w:r w:rsidRPr="00596A43">
        <w:fldChar w:fldCharType="begin"/>
      </w:r>
      <w:r w:rsidRPr="00596A43">
        <w:instrText>ADVANCE \R 0.95</w:instrText>
      </w:r>
      <w:r w:rsidRPr="00596A43">
        <w:fldChar w:fldCharType="end"/>
      </w:r>
    </w:p>
    <w:p w:rsidR="00FE6D0D" w:rsidRPr="0094395B" w:rsidP="289C55F9" w14:paraId="121518D0" w14:textId="58E89C05">
      <w:pPr>
        <w:pStyle w:val="Default"/>
        <w:rPr>
          <w:i/>
          <w:iCs/>
          <w:spacing w:val="-3"/>
        </w:rPr>
      </w:pPr>
      <w:r>
        <w:t xml:space="preserve">Apart from the </w:t>
      </w:r>
      <w:r w:rsidR="00EC62D2">
        <w:t xml:space="preserve">scoping of </w:t>
      </w:r>
      <w:r>
        <w:t xml:space="preserve">routine uses disclosed in the applicable SORN, </w:t>
      </w:r>
      <w:r w:rsidR="0089520F">
        <w:t>CISA provides n</w:t>
      </w:r>
      <w:r w:rsidR="007112A5">
        <w:t xml:space="preserve">o </w:t>
      </w:r>
      <w:r>
        <w:t xml:space="preserve">additional </w:t>
      </w:r>
      <w:r w:rsidR="007112A5">
        <w:t xml:space="preserve">assurances of privacy </w:t>
      </w:r>
      <w:r w:rsidR="00F3774B">
        <w:t>for information collected through the Service Request Form.</w:t>
      </w:r>
      <w:r w:rsidR="0089520F">
        <w:t xml:space="preserve">  However, if CISA moves forward with approving </w:t>
      </w:r>
      <w:r w:rsidR="00327417">
        <w:t xml:space="preserve">and fulfilling </w:t>
      </w:r>
      <w:r w:rsidR="0089520F">
        <w:t>certain requests</w:t>
      </w:r>
      <w:r w:rsidR="00327417">
        <w:t xml:space="preserve"> for assessment services made by stakeholders in the Service Request Form,</w:t>
      </w:r>
      <w:r w:rsidR="0022099A">
        <w:t xml:space="preserve"> then the fact that a stakeholder </w:t>
      </w:r>
      <w:r w:rsidR="00967548">
        <w:t xml:space="preserve">is receiving or has received a CISA Assessment may be protected </w:t>
      </w:r>
      <w:r w:rsidR="00C957C3">
        <w:t xml:space="preserve">under the cognizant assessment legal agreement that is </w:t>
      </w:r>
      <w:r w:rsidR="00A85406">
        <w:t xml:space="preserve">put into place </w:t>
      </w:r>
      <w:r w:rsidR="00C957C3">
        <w:t>between the stakeholder and CISA.</w:t>
      </w:r>
      <w:r w:rsidR="00967548">
        <w:t xml:space="preserve"> </w:t>
      </w:r>
      <w:r w:rsidR="00327417">
        <w:t xml:space="preserve"> </w:t>
      </w:r>
    </w:p>
    <w:p w:rsidR="00A57406" w:rsidRPr="00596A43" w:rsidP="00A57406" w14:paraId="0186E627" w14:textId="77777777">
      <w:pPr>
        <w:pStyle w:val="Default"/>
      </w:pPr>
    </w:p>
    <w:p w:rsidR="00EB5E96" w:rsidRPr="00596A43" w:rsidP="000C4293" w14:paraId="7289D4B3"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003A49C6" w:rsidRPr="00417CAB" w:rsidP="003A49C6" w14:paraId="231711D4" w14:textId="77777777">
      <w:r w:rsidRPr="00417CAB">
        <w:t>The instrument described in this collection does not request any information of a personally sensitive nature.</w:t>
      </w:r>
    </w:p>
    <w:p w:rsidR="00A57406" w:rsidP="000C4293" w14:paraId="7B856486" w14:textId="232CB56E">
      <w:pPr>
        <w:shd w:val="clear" w:color="auto" w:fill="FFFFFF"/>
        <w:tabs>
          <w:tab w:val="left" w:pos="-720"/>
        </w:tabs>
        <w:suppressAutoHyphens/>
        <w:jc w:val="both"/>
        <w:rPr>
          <w:spacing w:val="-3"/>
        </w:rPr>
      </w:pPr>
    </w:p>
    <w:p w:rsidR="00A57406" w:rsidRPr="00596A43" w:rsidP="000C4293" w14:paraId="0538FA7B" w14:textId="77777777">
      <w:pPr>
        <w:shd w:val="clear" w:color="auto" w:fill="FFFFFF"/>
        <w:tabs>
          <w:tab w:val="left" w:pos="-720"/>
        </w:tabs>
        <w:suppressAutoHyphens/>
        <w:jc w:val="both"/>
      </w:pPr>
    </w:p>
    <w:p w:rsidR="00EB5E96" w:rsidRPr="00596A43" w:rsidP="000C4293" w14:paraId="5AEDC439"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6E8DA07C"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F861A5" w14:paraId="4A52B6D3" w14:textId="77777777">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RPr="007C7D11" w:rsidP="00F861A5" w14:paraId="623C8734" w14:textId="77777777">
      <w:pPr>
        <w:widowControl w:val="0"/>
        <w:tabs>
          <w:tab w:val="left" w:pos="720"/>
          <w:tab w:val="left" w:pos="1440"/>
        </w:tabs>
        <w:spacing w:before="120"/>
        <w:ind w:left="765"/>
        <w:contextualSpacing/>
        <w:rPr>
          <w:i/>
          <w:iCs/>
        </w:rPr>
      </w:pPr>
    </w:p>
    <w:p w:rsidR="001E0B3F" w:rsidP="289C55F9" w14:paraId="084B6222" w14:textId="38C734D8">
      <w:pPr>
        <w:widowControl w:val="0"/>
        <w:tabs>
          <w:tab w:val="left" w:pos="720"/>
          <w:tab w:val="left" w:pos="1440"/>
        </w:tabs>
        <w:spacing w:before="120"/>
        <w:contextualSpacing/>
      </w:pPr>
      <w:r>
        <w:rPr>
          <w:spacing w:val="-3"/>
        </w:rPr>
        <w:t>To estimate the average annual reporting burden associated with his collection, CISA multiplies the number of responde</w:t>
      </w:r>
      <w:r w:rsidR="5724DD1A">
        <w:rPr>
          <w:spacing w:val="-3"/>
        </w:rPr>
        <w:t>nts by the annual number of responses per respondent and the estimated time needed to respond</w:t>
      </w:r>
      <w:r w:rsidR="2ED24B75">
        <w:t xml:space="preserve">. For </w:t>
      </w:r>
      <w:r w:rsidR="00501964">
        <w:t>these collections</w:t>
      </w:r>
      <w:r w:rsidR="2ED24B75">
        <w:rPr>
          <w:spacing w:val="-3"/>
        </w:rPr>
        <w:t>, CISA estimates that there will be 5,000 respondents per year, and that each respondent will submit an average of 1.5 responses per year</w:t>
      </w:r>
      <w:r w:rsidR="2EB1176A">
        <w:t xml:space="preserve">, for a total </w:t>
      </w:r>
      <w:r w:rsidR="2EB1176A">
        <w:rPr>
          <w:spacing w:val="-3"/>
        </w:rPr>
        <w:t xml:space="preserve">of </w:t>
      </w:r>
      <w:r w:rsidR="2EB1176A">
        <w:t>7,500</w:t>
      </w:r>
      <w:r w:rsidR="2EB1176A">
        <w:rPr>
          <w:spacing w:val="-3"/>
        </w:rPr>
        <w:t xml:space="preserve"> responses</w:t>
      </w:r>
      <w:r w:rsidR="2ED24B75">
        <w:rPr>
          <w:spacing w:val="-3"/>
        </w:rPr>
        <w:t>.</w:t>
      </w:r>
      <w:r w:rsidR="2EB1176A">
        <w:rPr>
          <w:spacing w:val="-3"/>
        </w:rPr>
        <w:t xml:space="preserve"> Using an average burden per response or 0.11 hours (6.6 minutes), CISA estimates the total burden </w:t>
      </w:r>
      <w:r w:rsidR="547A18EA">
        <w:rPr>
          <w:spacing w:val="-3"/>
        </w:rPr>
        <w:t xml:space="preserve">of 825 hours (7,500 responses x 0.11 hours). </w:t>
      </w:r>
    </w:p>
    <w:p w:rsidR="001E0B3F" w:rsidP="289C55F9" w14:paraId="241E93F1" w14:textId="77777777">
      <w:pPr>
        <w:widowControl w:val="0"/>
        <w:tabs>
          <w:tab w:val="left" w:pos="720"/>
          <w:tab w:val="left" w:pos="1440"/>
        </w:tabs>
        <w:spacing w:before="120"/>
        <w:contextualSpacing/>
      </w:pPr>
    </w:p>
    <w:p w:rsidR="00B128D9" w:rsidP="289C55F9" w14:paraId="6C191D2B" w14:textId="3739440E">
      <w:pPr>
        <w:widowControl w:val="0"/>
        <w:tabs>
          <w:tab w:val="left" w:pos="720"/>
          <w:tab w:val="left" w:pos="1440"/>
        </w:tabs>
        <w:spacing w:before="120"/>
        <w:contextualSpacing/>
      </w:pPr>
      <w:r>
        <w:rPr>
          <w:spacing w:val="-3"/>
        </w:rPr>
        <w:t>To estimate the cost associated with this collection, CISA multiplies the total burden hours (825) by the average fully loaded wage rate of the respondents. For this collection,</w:t>
      </w:r>
      <w:r w:rsidR="2ED24B75">
        <w:rPr>
          <w:spacing w:val="-3"/>
        </w:rPr>
        <w:t xml:space="preserve"> </w:t>
      </w:r>
      <w:r w:rsidR="119ACF82">
        <w:rPr>
          <w:spacing w:val="-3"/>
        </w:rPr>
        <w:t xml:space="preserve">CISA assumes </w:t>
      </w:r>
      <w:r w:rsidR="119ACF82">
        <w:rPr>
          <w:spacing w:val="-3"/>
        </w:rPr>
        <w:t>the majority of</w:t>
      </w:r>
      <w:r w:rsidR="119ACF82">
        <w:rPr>
          <w:spacing w:val="-3"/>
        </w:rPr>
        <w:t xml:space="preserve"> individuals who will complete this form are </w:t>
      </w:r>
      <w:r w:rsidR="49928431">
        <w:rPr>
          <w:spacing w:val="-3"/>
        </w:rPr>
        <w:t>CIOs</w:t>
      </w:r>
      <w:r w:rsidR="02FAF5D0">
        <w:rPr>
          <w:spacing w:val="-3"/>
        </w:rPr>
        <w:t xml:space="preserve"> or equivalent</w:t>
      </w:r>
      <w:r w:rsidR="32427A8A">
        <w:rPr>
          <w:spacing w:val="-3"/>
        </w:rPr>
        <w:t>.</w:t>
      </w:r>
      <w:r w:rsidR="5FC2D0E7">
        <w:rPr>
          <w:spacing w:val="-3"/>
        </w:rPr>
        <w:t xml:space="preserve"> Using Bureau of Labor Statistics OES data, </w:t>
      </w:r>
      <w:r w:rsidR="31D35BA8">
        <w:rPr>
          <w:spacing w:val="-3"/>
        </w:rPr>
        <w:t xml:space="preserve">CISA identifies an average hourly wage of a computer and information systems manager </w:t>
      </w:r>
      <w:r w:rsidR="20CCE08A">
        <w:rPr>
          <w:spacing w:val="-3"/>
        </w:rPr>
        <w:t>of $83.49</w:t>
      </w:r>
      <w:r>
        <w:rPr>
          <w:rStyle w:val="FootnoteReference"/>
          <w:spacing w:val="-3"/>
        </w:rPr>
        <w:footnoteReference w:id="3"/>
      </w:r>
      <w:r w:rsidR="20CCE08A">
        <w:rPr>
          <w:spacing w:val="-3"/>
        </w:rPr>
        <w:t>. To account for benefits and other non-wage compensation, CISA multiplies the wage by a load factor of 1.41805</w:t>
      </w:r>
      <w:r>
        <w:rPr>
          <w:rStyle w:val="FootnoteReference"/>
          <w:spacing w:val="-3"/>
        </w:rPr>
        <w:footnoteReference w:id="4"/>
      </w:r>
      <w:r w:rsidR="20CCE08A">
        <w:rPr>
          <w:spacing w:val="-3"/>
        </w:rPr>
        <w:t xml:space="preserve"> to obtain a fully loaded wage rate of </w:t>
      </w:r>
      <w:r w:rsidR="7BB1D225">
        <w:rPr>
          <w:spacing w:val="-3"/>
        </w:rPr>
        <w:t>$118.39.</w:t>
      </w:r>
      <w:r w:rsidR="31D35BA8">
        <w:rPr>
          <w:spacing w:val="-3"/>
        </w:rPr>
        <w:t xml:space="preserve"> </w:t>
      </w:r>
      <w:r w:rsidR="32427A8A">
        <w:rPr>
          <w:spacing w:val="-3"/>
        </w:rPr>
        <w:t xml:space="preserve"> </w:t>
      </w:r>
    </w:p>
    <w:p w:rsidR="007031EB" w:rsidP="289C55F9" w14:paraId="7C2B2797" w14:textId="77777777">
      <w:pPr>
        <w:widowControl w:val="0"/>
        <w:tabs>
          <w:tab w:val="left" w:pos="720"/>
          <w:tab w:val="left" w:pos="1440"/>
        </w:tabs>
        <w:spacing w:before="120"/>
        <w:contextualSpacing/>
      </w:pPr>
    </w:p>
    <w:p w:rsidR="007031EB" w:rsidRPr="007C7D11" w:rsidP="3BC03212" w14:paraId="3E9F8192" w14:textId="6336B3B1">
      <w:pPr>
        <w:widowControl w:val="0"/>
        <w:tabs>
          <w:tab w:val="left" w:pos="720"/>
          <w:tab w:val="left" w:pos="1440"/>
        </w:tabs>
        <w:spacing w:before="120"/>
        <w:contextualSpacing/>
        <w:rPr>
          <w:i/>
          <w:iCs/>
          <w:spacing w:val="-3"/>
        </w:rPr>
      </w:pPr>
      <w:r>
        <w:rPr>
          <w:spacing w:val="-3"/>
        </w:rPr>
        <w:t xml:space="preserve">As presented in Table 1, CISA estimates </w:t>
      </w:r>
      <w:r w:rsidR="264923E5">
        <w:rPr>
          <w:spacing w:val="-3"/>
        </w:rPr>
        <w:t>a total annual cost of $97,674.</w:t>
      </w:r>
    </w:p>
    <w:p w:rsidR="00A57406" w:rsidP="00B128D9" w14:paraId="6003CF54" w14:textId="77777777">
      <w:pPr>
        <w:widowControl w:val="0"/>
        <w:tabs>
          <w:tab w:val="left" w:pos="720"/>
          <w:tab w:val="left" w:pos="1440"/>
        </w:tabs>
        <w:spacing w:before="120"/>
        <w:ind w:left="360"/>
        <w:contextualSpacing/>
      </w:pPr>
    </w:p>
    <w:tbl>
      <w:tblPr>
        <w:tblW w:w="9085" w:type="dxa"/>
        <w:tblInd w:w="113" w:type="dxa"/>
        <w:tblLayout w:type="fixed"/>
        <w:tblLook w:val="04A0"/>
      </w:tblPr>
      <w:tblGrid>
        <w:gridCol w:w="2065"/>
        <w:gridCol w:w="1170"/>
        <w:gridCol w:w="1080"/>
        <w:gridCol w:w="1170"/>
        <w:gridCol w:w="1080"/>
        <w:gridCol w:w="990"/>
        <w:gridCol w:w="1530"/>
      </w:tblGrid>
      <w:tr w14:paraId="4918C022" w14:textId="77777777" w:rsidTr="3BC03212">
        <w:tblPrEx>
          <w:tblW w:w="9085" w:type="dxa"/>
          <w:tblInd w:w="113" w:type="dxa"/>
          <w:tblLayout w:type="fixed"/>
          <w:tblLook w:val="04A0"/>
        </w:tblPrEx>
        <w:trPr>
          <w:trHeight w:val="1275"/>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205" w:rsidP="00E70205" w14:paraId="641E7EBD" w14:textId="77777777">
            <w:pPr>
              <w:jc w:val="center"/>
              <w:rPr>
                <w:color w:val="000000"/>
                <w:sz w:val="20"/>
                <w:szCs w:val="20"/>
              </w:rPr>
            </w:pPr>
            <w:r>
              <w:rPr>
                <w:color w:val="000000"/>
                <w:sz w:val="20"/>
                <w:szCs w:val="20"/>
              </w:rPr>
              <w:t xml:space="preserve">Form </w:t>
            </w:r>
          </w:p>
          <w:p w:rsidR="00B24910" w:rsidP="00E70205" w14:paraId="00F0FB0C" w14:textId="77777777">
            <w:pPr>
              <w:jc w:val="center"/>
              <w:rPr>
                <w:color w:val="000000"/>
                <w:sz w:val="20"/>
                <w:szCs w:val="20"/>
              </w:rPr>
            </w:pPr>
            <w:r>
              <w:rPr>
                <w:color w:val="000000"/>
                <w:sz w:val="20"/>
                <w:szCs w:val="20"/>
              </w:rPr>
              <w:t>Name &amp; Number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RPr="004B0AEC" w:rsidP="289C55F9" w14:paraId="5BF37D8D" w14:textId="77777777">
            <w:pPr>
              <w:jc w:val="center"/>
              <w:rPr>
                <w:i/>
                <w:iCs/>
                <w:color w:val="000000"/>
                <w:sz w:val="20"/>
                <w:szCs w:val="20"/>
              </w:rPr>
            </w:pPr>
            <w:r w:rsidRPr="289C55F9">
              <w:rPr>
                <w:i/>
                <w:iCs/>
                <w:color w:val="000000" w:themeColor="text1"/>
                <w:sz w:val="20"/>
                <w:szCs w:val="20"/>
              </w:rPr>
              <w:t>Total Annual Burden (in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3BC03212">
        <w:tblPrEx>
          <w:tblW w:w="9085" w:type="dxa"/>
          <w:tblInd w:w="113" w:type="dxa"/>
          <w:tblLayout w:type="fixed"/>
          <w:tblLook w:val="04A0"/>
        </w:tblPrEx>
        <w:trPr>
          <w:trHeight w:val="1020"/>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24910" w:rsidP="00B24910" w14:paraId="065D4056" w14:textId="1B7791C6">
            <w:pPr>
              <w:jc w:val="center"/>
              <w:rPr>
                <w:color w:val="000000"/>
                <w:sz w:val="20"/>
                <w:szCs w:val="20"/>
              </w:rPr>
            </w:pPr>
            <w:r w:rsidRPr="289C55F9">
              <w:rPr>
                <w:color w:val="000000" w:themeColor="text1"/>
                <w:sz w:val="20"/>
                <w:szCs w:val="20"/>
              </w:rPr>
              <w:t>Service Request Form for En</w:t>
            </w:r>
            <w:r w:rsidRPr="289C55F9" w:rsidR="00DB4E1C">
              <w:rPr>
                <w:color w:val="000000" w:themeColor="text1"/>
                <w:sz w:val="20"/>
                <w:szCs w:val="20"/>
              </w:rPr>
              <w:t xml:space="preserve">terprise </w:t>
            </w:r>
            <w:r w:rsidRPr="289C55F9" w:rsidR="009F32AA">
              <w:rPr>
                <w:color w:val="000000" w:themeColor="text1"/>
                <w:sz w:val="20"/>
                <w:szCs w:val="20"/>
              </w:rPr>
              <w:t>Assessment Services</w:t>
            </w:r>
          </w:p>
          <w:p w:rsidR="00B24910" w:rsidP="006D5EB7" w14:paraId="4279DA2A" w14:textId="77777777">
            <w:pPr>
              <w:jc w:val="center"/>
              <w:rPr>
                <w:color w:val="000000"/>
                <w:sz w:val="20"/>
                <w:szCs w:val="20"/>
              </w:rPr>
            </w:pPr>
          </w:p>
          <w:p w:rsidR="00B24910" w:rsidP="00B24910" w14:paraId="57B35C91" w14:textId="77777777">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B24910" w:rsidRPr="00B85FFF" w:rsidP="289C55F9" w14:paraId="16F30251" w14:textId="188F78B5">
            <w:pPr>
              <w:jc w:val="center"/>
              <w:rPr>
                <w:color w:val="000000"/>
                <w:sz w:val="20"/>
                <w:szCs w:val="20"/>
              </w:rPr>
            </w:pPr>
            <w:r w:rsidRPr="3BC03212">
              <w:rPr>
                <w:color w:val="000000" w:themeColor="text1"/>
                <w:sz w:val="20"/>
                <w:szCs w:val="20"/>
              </w:rPr>
              <w:t>5,</w:t>
            </w:r>
            <w:r w:rsidRPr="3BC03212" w:rsidR="2A451228">
              <w:rPr>
                <w:color w:val="000000" w:themeColor="text1"/>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rsidR="00B24910" w:rsidP="3BC03212" w14:paraId="03AC9686" w14:textId="3DAC8388">
            <w:pPr>
              <w:jc w:val="center"/>
              <w:rPr>
                <w:color w:val="000000"/>
                <w:sz w:val="20"/>
                <w:szCs w:val="20"/>
              </w:rPr>
            </w:pPr>
            <w:r w:rsidRPr="3BC03212">
              <w:rPr>
                <w:color w:val="000000" w:themeColor="text1"/>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0F1755E5" w14:textId="61237F3F">
            <w:pPr>
              <w:jc w:val="center"/>
              <w:rPr>
                <w:color w:val="000000"/>
                <w:sz w:val="20"/>
                <w:szCs w:val="20"/>
              </w:rPr>
            </w:pPr>
            <w:r w:rsidRPr="3BC03212">
              <w:rPr>
                <w:color w:val="000000" w:themeColor="text1"/>
                <w:sz w:val="20"/>
                <w:szCs w:val="20"/>
              </w:rPr>
              <w:t>0</w:t>
            </w:r>
            <w:r w:rsidRPr="3BC03212" w:rsidR="4EC0B26A">
              <w:rPr>
                <w:color w:val="000000" w:themeColor="text1"/>
                <w:sz w:val="20"/>
                <w:szCs w:val="20"/>
              </w:rPr>
              <w:t>.</w:t>
            </w:r>
            <w:r w:rsidRPr="3BC03212" w:rsidR="1E435FFD">
              <w:rPr>
                <w:color w:val="000000" w:themeColor="text1"/>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rsidR="00B24910" w:rsidP="006D5EB7" w14:paraId="0D46E30C" w14:textId="482AF8C8">
            <w:pPr>
              <w:jc w:val="center"/>
              <w:rPr>
                <w:color w:val="000000"/>
                <w:sz w:val="20"/>
                <w:szCs w:val="20"/>
              </w:rPr>
            </w:pPr>
            <w:r w:rsidRPr="3BC03212">
              <w:rPr>
                <w:color w:val="000000" w:themeColor="text1"/>
                <w:sz w:val="20"/>
                <w:szCs w:val="20"/>
              </w:rPr>
              <w:t>825</w:t>
            </w:r>
          </w:p>
        </w:tc>
        <w:tc>
          <w:tcPr>
            <w:tcW w:w="990" w:type="dxa"/>
            <w:tcBorders>
              <w:top w:val="nil"/>
              <w:left w:val="nil"/>
              <w:bottom w:val="single" w:sz="4" w:space="0" w:color="auto"/>
              <w:right w:val="single" w:sz="4" w:space="0" w:color="auto"/>
            </w:tcBorders>
            <w:shd w:val="clear" w:color="auto" w:fill="auto"/>
            <w:vAlign w:val="center"/>
            <w:hideMark/>
          </w:tcPr>
          <w:p w:rsidR="00B24910" w:rsidP="006D5EB7" w14:paraId="73810751" w14:textId="3665525D">
            <w:pPr>
              <w:jc w:val="center"/>
              <w:rPr>
                <w:color w:val="000000"/>
                <w:sz w:val="20"/>
                <w:szCs w:val="20"/>
              </w:rPr>
            </w:pPr>
            <w:r w:rsidRPr="3BC03212">
              <w:rPr>
                <w:color w:val="000000" w:themeColor="text1"/>
                <w:sz w:val="20"/>
                <w:szCs w:val="20"/>
              </w:rPr>
              <w:t>$118.39</w:t>
            </w:r>
          </w:p>
        </w:tc>
        <w:tc>
          <w:tcPr>
            <w:tcW w:w="1530" w:type="dxa"/>
            <w:tcBorders>
              <w:top w:val="nil"/>
              <w:left w:val="nil"/>
              <w:bottom w:val="single" w:sz="4" w:space="0" w:color="auto"/>
              <w:right w:val="single" w:sz="4" w:space="0" w:color="auto"/>
            </w:tcBorders>
            <w:shd w:val="clear" w:color="auto" w:fill="auto"/>
            <w:vAlign w:val="center"/>
            <w:hideMark/>
          </w:tcPr>
          <w:p w:rsidR="00B24910" w:rsidP="006D5EB7" w14:paraId="3802A4F7" w14:textId="00863203">
            <w:pPr>
              <w:jc w:val="center"/>
              <w:rPr>
                <w:color w:val="000000"/>
                <w:sz w:val="20"/>
                <w:szCs w:val="20"/>
              </w:rPr>
            </w:pPr>
            <w:r w:rsidRPr="3BC03212">
              <w:rPr>
                <w:color w:val="000000" w:themeColor="text1"/>
                <w:sz w:val="20"/>
                <w:szCs w:val="20"/>
              </w:rPr>
              <w:t>$97,674.03</w:t>
            </w:r>
          </w:p>
        </w:tc>
      </w:tr>
    </w:tbl>
    <w:p w:rsidR="00B128D9" w:rsidP="00B128D9" w14:paraId="2885EA22" w14:textId="1B4398D4">
      <w:pPr>
        <w:widowControl w:val="0"/>
        <w:tabs>
          <w:tab w:val="left" w:pos="720"/>
          <w:tab w:val="left" w:pos="1440"/>
        </w:tabs>
        <w:spacing w:before="120"/>
        <w:ind w:left="360"/>
        <w:contextualSpacing/>
      </w:pPr>
    </w:p>
    <w:p w:rsidR="00B128D9" w:rsidP="00F861A5" w14:paraId="3473D65F" w14:textId="77777777">
      <w:pPr>
        <w:widowControl w:val="0"/>
        <w:tabs>
          <w:tab w:val="left" w:pos="720"/>
          <w:tab w:val="left" w:pos="1440"/>
        </w:tabs>
        <w:spacing w:before="120"/>
        <w:ind w:left="765"/>
        <w:contextualSpacing/>
      </w:pPr>
    </w:p>
    <w:p w:rsidR="00B128D9" w:rsidP="00F861A5" w14:paraId="5AF3C0F1" w14:textId="77777777">
      <w:pPr>
        <w:widowControl w:val="0"/>
        <w:tabs>
          <w:tab w:val="left" w:pos="720"/>
          <w:tab w:val="left" w:pos="1440"/>
        </w:tabs>
        <w:spacing w:before="120"/>
        <w:ind w:left="765"/>
        <w:contextualSpacing/>
      </w:pPr>
    </w:p>
    <w:p w:rsidR="00FE5661" w:rsidP="000C4293" w14:paraId="543DD3D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FE5661" w:rsidP="39FDA7C1" w14:paraId="6F5AFD9A" w14:textId="3EC69D3E">
      <w:pPr>
        <w:suppressAutoHyphens/>
        <w:contextualSpacing/>
        <w:rPr>
          <w:i/>
          <w:iCs/>
        </w:rPr>
      </w:pPr>
      <w:r w:rsidRPr="39FDA7C1">
        <w:rPr>
          <w:i/>
          <w:iCs/>
        </w:rPr>
        <w:t>There are no recordkeeping, capital, or maintenance costs associated with this information collection.</w:t>
      </w:r>
    </w:p>
    <w:p w:rsidR="00333D1E" w:rsidRPr="00596A43" w:rsidP="000C4293" w14:paraId="10BFF390" w14:textId="77777777">
      <w:pPr>
        <w:shd w:val="clear" w:color="auto" w:fill="FFFFFF"/>
        <w:tabs>
          <w:tab w:val="left" w:pos="-720"/>
        </w:tabs>
        <w:suppressAutoHyphens/>
        <w:jc w:val="both"/>
      </w:pPr>
    </w:p>
    <w:p w:rsidR="00EB5E96" w:rsidP="24E30AFE" w14:paraId="2EEF9409" w14:textId="5A7902AF">
      <w:pPr>
        <w:suppressAutoHyphens/>
        <w:jc w:val="both"/>
      </w:pPr>
      <w:r>
        <w:fldChar w:fldCharType="begin"/>
      </w:r>
      <w:r>
        <w:instrText>ADVANCE \R 0.95</w:instrText>
      </w:r>
      <w:r>
        <w:fldChar w:fldCharType="end"/>
      </w:r>
      <w:r w:rsidR="092A5E19">
        <w:t xml:space="preserve">14.  Provide estimates of annualized cost to the Federal Government.  </w:t>
      </w:r>
      <w:r w:rsidR="746310CE">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092A5E19">
        <w:t xml:space="preserve">You may also aggregate cost estimates for Items 12, 13, and 14 in a single table.  </w:t>
      </w:r>
    </w:p>
    <w:p w:rsidR="00EA0781" w:rsidP="24E30AFE" w14:paraId="1B1F8813" w14:textId="77777777">
      <w:pPr>
        <w:suppressAutoHyphens/>
        <w:jc w:val="both"/>
      </w:pPr>
    </w:p>
    <w:p w:rsidR="00AA74A1" w:rsidRPr="00596A43" w:rsidP="00AA74A1" w14:paraId="7C154977" w14:textId="705922C9">
      <w:pPr>
        <w:suppressAutoHyphens/>
        <w:jc w:val="both"/>
      </w:pPr>
      <w:r>
        <w:fldChar w:fldCharType="begin"/>
      </w:r>
      <w:r>
        <w:instrText>ADVANCE \R 0.95</w:instrText>
      </w:r>
      <w:r>
        <w:fldChar w:fldCharType="end"/>
      </w:r>
      <w:r w:rsidRPr="00AA74A1" w:rsidR="360BD6C8">
        <w:t xml:space="preserve"> </w:t>
      </w:r>
      <w:r w:rsidR="360BD6C8">
        <w:t>The Federal Government will rely on an existing contract to process the forms that are submitted under this collection. CISA estimates that it will take 0.333 hours (20 minutes) for a junior or mid-level contractor analyst to process the forms at an average loaded hourly wage rate of $65.26. Based on a total number of 7,500 submissions, CISA estimates a cost to the Federal Government of $163,150.</w:t>
      </w:r>
      <w:r>
        <w:rPr>
          <w:rStyle w:val="FootnoteReference"/>
        </w:rPr>
        <w:footnoteReference w:id="5"/>
      </w:r>
    </w:p>
    <w:p w:rsidR="00EB5E96" w:rsidRPr="00596A43" w:rsidP="000C4293" w14:paraId="380EE401" w14:textId="57B0551D">
      <w:pPr>
        <w:suppressAutoHyphens/>
        <w:jc w:val="both"/>
      </w:pPr>
    </w:p>
    <w:p w:rsidR="39FDA7C1" w:rsidP="39FDA7C1" w14:paraId="15E68491" w14:textId="2BF302F6">
      <w:pPr>
        <w:jc w:val="both"/>
        <w:rPr>
          <w:i/>
          <w:iCs/>
        </w:rPr>
      </w:pPr>
    </w:p>
    <w:p w:rsidR="00EB5E96" w:rsidRPr="00596A43" w:rsidP="000C4293" w14:paraId="52960B71" w14:textId="77777777">
      <w:pPr>
        <w:suppressAutoHyphens/>
        <w:jc w:val="both"/>
      </w:pPr>
    </w:p>
    <w:p w:rsidR="00EB5E96" w:rsidRPr="000D0877" w:rsidP="000C4293" w14:paraId="6141C989" w14:textId="77777777">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FE5661" w:rsidP="000C4293" w14:paraId="33DD84A8" w14:textId="77777777">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00EB5E96" w:rsidP="000C4293" w14:paraId="0A5DCB6C" w14:textId="1D59A1B2">
      <w:pPr>
        <w:tabs>
          <w:tab w:val="left" w:pos="-720"/>
        </w:tabs>
        <w:suppressAutoHyphens/>
        <w:jc w:val="both"/>
        <w:rPr>
          <w:spacing w:val="-3"/>
        </w:rPr>
      </w:pPr>
      <w:r>
        <w:rPr>
          <w:spacing w:val="-3"/>
        </w:rPr>
        <w:t>There are no program changes or adjustments</w:t>
      </w:r>
      <w:r w:rsidR="00BE677E">
        <w:rPr>
          <w:spacing w:val="-3"/>
        </w:rPr>
        <w:t xml:space="preserve"> reported </w:t>
      </w:r>
      <w:r w:rsidR="00F26EDE">
        <w:rPr>
          <w:spacing w:val="-3"/>
        </w:rPr>
        <w:t>in Items 13 or 14</w:t>
      </w:r>
      <w:r w:rsidR="00A57406">
        <w:rPr>
          <w:spacing w:val="-3"/>
        </w:rPr>
        <w:t>.</w:t>
      </w:r>
    </w:p>
    <w:p w:rsidR="00A57406" w:rsidRPr="00596A43" w:rsidP="000C4293" w14:paraId="451DC515" w14:textId="77777777">
      <w:pPr>
        <w:tabs>
          <w:tab w:val="left" w:pos="-720"/>
        </w:tabs>
        <w:suppressAutoHyphens/>
        <w:jc w:val="both"/>
      </w:pPr>
    </w:p>
    <w:p w:rsidR="00EB5E96" w:rsidRPr="00596A43" w:rsidP="000C4293" w14:paraId="4B519A5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rsidRPr="00596A43">
        <w:fldChar w:fldCharType="begin"/>
      </w:r>
      <w:r w:rsidRPr="00596A43">
        <w:instrText>ADVANCE \R 0.95</w:instrText>
      </w:r>
      <w:r w:rsidRPr="00596A43">
        <w:fldChar w:fldCharType="end"/>
      </w:r>
    </w:p>
    <w:p w:rsidR="00EB5E96" w:rsidP="000C4293" w14:paraId="0E371C20" w14:textId="3C9A5EC3">
      <w:pPr>
        <w:suppressAutoHyphens/>
        <w:jc w:val="both"/>
        <w:rPr>
          <w:spacing w:val="-3"/>
        </w:rPr>
      </w:pPr>
      <w:r>
        <w:rPr>
          <w:spacing w:val="-3"/>
        </w:rPr>
        <w:t xml:space="preserve">No plans </w:t>
      </w:r>
      <w:r w:rsidR="00E240F4">
        <w:rPr>
          <w:spacing w:val="-3"/>
        </w:rPr>
        <w:t>exist for the use of statistical analysis or to publish this information</w:t>
      </w:r>
      <w:r w:rsidR="00A57406">
        <w:rPr>
          <w:spacing w:val="-3"/>
        </w:rPr>
        <w:t>.</w:t>
      </w:r>
    </w:p>
    <w:p w:rsidR="00A57406" w:rsidP="000C4293" w14:paraId="7DCDFE34" w14:textId="629E1BA8">
      <w:pPr>
        <w:suppressAutoHyphens/>
        <w:jc w:val="both"/>
        <w:rPr>
          <w:spacing w:val="-3"/>
        </w:rPr>
      </w:pPr>
    </w:p>
    <w:p w:rsidR="00EB5E96" w:rsidRPr="00596A43" w:rsidP="000C4293" w14:paraId="733EB5A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rsidRPr="00596A43">
        <w:fldChar w:fldCharType="begin"/>
      </w:r>
      <w:r w:rsidRPr="00596A43">
        <w:instrText>ADVANCE \R 0.95</w:instrText>
      </w:r>
      <w:r w:rsidRPr="00596A43">
        <w:fldChar w:fldCharType="end"/>
      </w:r>
    </w:p>
    <w:p w:rsidR="00447C3A" w:rsidP="000C4293" w14:paraId="1B8BEF92" w14:textId="1A118684">
      <w:pPr>
        <w:tabs>
          <w:tab w:val="left" w:pos="-720"/>
        </w:tabs>
        <w:suppressAutoHyphens/>
        <w:jc w:val="both"/>
        <w:rPr>
          <w:spacing w:val="-3"/>
        </w:rPr>
      </w:pPr>
      <w:r>
        <w:rPr>
          <w:spacing w:val="-3"/>
        </w:rPr>
        <w:t>The expiration date will be displayed in the instruments.</w:t>
      </w:r>
    </w:p>
    <w:p w:rsidR="00A57406" w:rsidP="000C4293" w14:paraId="51D78A65" w14:textId="54E521E7">
      <w:pPr>
        <w:tabs>
          <w:tab w:val="left" w:pos="-720"/>
        </w:tabs>
        <w:suppressAutoHyphens/>
        <w:jc w:val="both"/>
        <w:rPr>
          <w:spacing w:val="-3"/>
        </w:rPr>
      </w:pPr>
    </w:p>
    <w:p w:rsidR="00A57406" w:rsidRPr="00596A43" w:rsidP="000C4293" w14:paraId="1D032D88" w14:textId="77777777">
      <w:pPr>
        <w:tabs>
          <w:tab w:val="left" w:pos="-720"/>
        </w:tabs>
        <w:suppressAutoHyphens/>
        <w:jc w:val="both"/>
      </w:pPr>
    </w:p>
    <w:p w:rsidR="0077056F" w:rsidRPr="00596A43" w:rsidP="000C4293" w14:paraId="62727DF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5D585DD3" w14:textId="77777777">
      <w:pPr>
        <w:tabs>
          <w:tab w:val="left" w:pos="-720"/>
        </w:tabs>
        <w:suppressAutoHyphens/>
        <w:jc w:val="both"/>
      </w:pPr>
    </w:p>
    <w:p w:rsidR="0077056F" w:rsidRPr="00596A43" w:rsidP="0077056F" w14:paraId="02825E03" w14:textId="3A64E553">
      <w:pPr>
        <w:tabs>
          <w:tab w:val="left" w:pos="-720"/>
        </w:tabs>
        <w:suppressAutoHyphens/>
        <w:jc w:val="both"/>
      </w:pPr>
      <w:r>
        <w:rPr>
          <w:spacing w:val="-3"/>
        </w:rPr>
        <w:t>No exceptions have been requested.</w:t>
      </w:r>
    </w:p>
    <w:sectPr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500D" w14:paraId="5A1B7523" w14:textId="77777777">
      <w:r>
        <w:separator/>
      </w:r>
    </w:p>
  </w:footnote>
  <w:footnote w:type="continuationSeparator" w:id="1">
    <w:p w:rsidR="007C500D" w14:paraId="741181C4" w14:textId="77777777">
      <w:r>
        <w:continuationSeparator/>
      </w:r>
    </w:p>
  </w:footnote>
  <w:footnote w:type="continuationNotice" w:id="2">
    <w:p w:rsidR="007C500D" w14:paraId="10C9F134" w14:textId="77777777"/>
  </w:footnote>
  <w:footnote w:id="3">
    <w:p w:rsidR="00492536" w:rsidRPr="00E605F5" w14:paraId="2AF491F3" w14:textId="16242C37">
      <w:pPr>
        <w:pStyle w:val="FootnoteText"/>
        <w:rPr>
          <w:rFonts w:ascii="Times New Roman" w:hAnsi="Times New Roman"/>
          <w:lang w:val="en-US"/>
        </w:rPr>
      </w:pPr>
      <w:r w:rsidRPr="00E605F5">
        <w:rPr>
          <w:rStyle w:val="FootnoteReference"/>
          <w:rFonts w:ascii="Times New Roman" w:hAnsi="Times New Roman"/>
        </w:rPr>
        <w:footnoteRef/>
      </w:r>
      <w:r w:rsidRPr="00E605F5" w:rsidR="3BC03212">
        <w:rPr>
          <w:rFonts w:ascii="Times New Roman" w:hAnsi="Times New Roman"/>
        </w:rPr>
        <w:t xml:space="preserve"> https://www.bls.gov/oes/2022/may/oes_nat.htm#11-0000</w:t>
      </w:r>
    </w:p>
  </w:footnote>
  <w:footnote w:id="4">
    <w:p w:rsidR="006E5ED1" w:rsidRPr="00AA74A1" w14:paraId="50E69534" w14:textId="19AAF66C">
      <w:pPr>
        <w:pStyle w:val="FootnoteText"/>
        <w:rPr>
          <w:lang w:val="en-US"/>
        </w:rPr>
      </w:pPr>
      <w:r w:rsidRPr="00E605F5">
        <w:rPr>
          <w:rStyle w:val="FootnoteReference"/>
          <w:rFonts w:ascii="Times New Roman" w:hAnsi="Times New Roman"/>
        </w:rPr>
        <w:footnoteRef/>
      </w:r>
      <w:r w:rsidRPr="00E605F5" w:rsidR="3BC03212">
        <w:rPr>
          <w:rFonts w:ascii="Times New Roman" w:hAnsi="Times New Roman"/>
        </w:rPr>
        <w:t xml:space="preserve"> </w:t>
      </w:r>
      <w:r w:rsidRPr="00E605F5" w:rsidR="3BC03212">
        <w:rPr>
          <w:rFonts w:ascii="Times New Roman" w:hAnsi="Times New Roman"/>
          <w:lang w:val="en-US"/>
        </w:rPr>
        <w:t xml:space="preserve">The load factor is estimated by dividing total compensation by salaries and wages. Using the BLS Employer Cost for Employee Compensation, CISA estimates the load factor of 1.41805 by dividing total compensation of $40.23 by salaries and wages of $28.37, based on the values for private industry workers presented in Table 4. </w:t>
      </w:r>
      <w:hyperlink r:id="rId1" w:history="1">
        <w:r w:rsidRPr="00E605F5" w:rsidR="3BC03212">
          <w:rPr>
            <w:rStyle w:val="Hyperlink"/>
            <w:rFonts w:ascii="Times New Roman" w:hAnsi="Times New Roman"/>
          </w:rPr>
          <w:t>Employer Costs for Employee Compensation News Release - 2022 Q04 Results (bls.gov)</w:t>
        </w:r>
      </w:hyperlink>
      <w:r w:rsidRPr="3BC03212" w:rsidR="3BC03212">
        <w:rPr>
          <w:rFonts w:ascii="Times New Roman" w:hAnsi="Times New Roman"/>
          <w:lang w:val="en-US"/>
        </w:rPr>
        <w:t>, released March 17, 2023</w:t>
      </w:r>
      <w:r w:rsidRPr="00E605F5" w:rsidR="3BC03212">
        <w:rPr>
          <w:rFonts w:ascii="Times New Roman" w:hAnsi="Times New Roman"/>
          <w:lang w:val="en-US"/>
        </w:rPr>
        <w:t xml:space="preserve"> using December 2022 data.</w:t>
      </w:r>
    </w:p>
  </w:footnote>
  <w:footnote w:id="5">
    <w:p w:rsidR="00AA74A1" w:rsidRPr="00C63E3D" w:rsidP="00AA74A1" w14:paraId="22BE0F2E" w14:textId="77777777">
      <w:pPr>
        <w:pStyle w:val="FootnoteText"/>
        <w:rPr>
          <w:lang w:val="en-US"/>
        </w:rPr>
      </w:pPr>
      <w:r>
        <w:rPr>
          <w:rStyle w:val="FootnoteReference"/>
        </w:rPr>
        <w:footnoteRef/>
      </w:r>
      <w:r w:rsidR="3BC03212">
        <w:t xml:space="preserve"> </w:t>
      </w:r>
      <w:r w:rsidRPr="00AA74A1" w:rsidR="3BC03212">
        <w:rPr>
          <w:rFonts w:ascii="Times New Roman" w:hAnsi="Times New Roman"/>
          <w:lang w:val="en-US"/>
        </w:rPr>
        <w:t>7,500 forms x .333 hours x $65.26 = $163,150.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8239358">
    <w:abstractNumId w:val="6"/>
  </w:num>
  <w:num w:numId="2" w16cid:durableId="1258058436">
    <w:abstractNumId w:val="19"/>
  </w:num>
  <w:num w:numId="3" w16cid:durableId="823472654">
    <w:abstractNumId w:val="22"/>
  </w:num>
  <w:num w:numId="4" w16cid:durableId="1064109410">
    <w:abstractNumId w:val="11"/>
  </w:num>
  <w:num w:numId="5" w16cid:durableId="518129730">
    <w:abstractNumId w:val="14"/>
  </w:num>
  <w:num w:numId="6" w16cid:durableId="1640770868">
    <w:abstractNumId w:val="20"/>
  </w:num>
  <w:num w:numId="7" w16cid:durableId="105541089">
    <w:abstractNumId w:val="21"/>
  </w:num>
  <w:num w:numId="8" w16cid:durableId="813838997">
    <w:abstractNumId w:val="16"/>
  </w:num>
  <w:num w:numId="9" w16cid:durableId="744184401">
    <w:abstractNumId w:val="8"/>
  </w:num>
  <w:num w:numId="10" w16cid:durableId="268894260">
    <w:abstractNumId w:val="25"/>
  </w:num>
  <w:num w:numId="11" w16cid:durableId="1928879395">
    <w:abstractNumId w:val="13"/>
  </w:num>
  <w:num w:numId="12" w16cid:durableId="1788740103">
    <w:abstractNumId w:val="7"/>
  </w:num>
  <w:num w:numId="13" w16cid:durableId="1434012696">
    <w:abstractNumId w:val="26"/>
  </w:num>
  <w:num w:numId="14" w16cid:durableId="1846674654">
    <w:abstractNumId w:val="5"/>
  </w:num>
  <w:num w:numId="15" w16cid:durableId="2088183836">
    <w:abstractNumId w:val="15"/>
  </w:num>
  <w:num w:numId="16" w16cid:durableId="211774759">
    <w:abstractNumId w:val="10"/>
  </w:num>
  <w:num w:numId="17" w16cid:durableId="249583273">
    <w:abstractNumId w:val="24"/>
  </w:num>
  <w:num w:numId="18" w16cid:durableId="1914852752">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117023359">
    <w:abstractNumId w:val="18"/>
  </w:num>
  <w:num w:numId="20" w16cid:durableId="1610970699">
    <w:abstractNumId w:val="23"/>
  </w:num>
  <w:num w:numId="21" w16cid:durableId="1679037206">
    <w:abstractNumId w:val="17"/>
  </w:num>
  <w:num w:numId="22" w16cid:durableId="892615931">
    <w:abstractNumId w:val="12"/>
  </w:num>
  <w:num w:numId="23" w16cid:durableId="499543973">
    <w:abstractNumId w:val="3"/>
  </w:num>
  <w:num w:numId="24" w16cid:durableId="1230456536">
    <w:abstractNumId w:val="2"/>
  </w:num>
  <w:num w:numId="25" w16cid:durableId="605623857">
    <w:abstractNumId w:val="1"/>
  </w:num>
  <w:num w:numId="26" w16cid:durableId="1526745777">
    <w:abstractNumId w:val="4"/>
  </w:num>
  <w:num w:numId="27" w16cid:durableId="2055501244">
    <w:abstractNumId w:val="9"/>
  </w:num>
  <w:num w:numId="28" w16cid:durableId="948702900">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24CF9"/>
    <w:rsid w:val="000319C5"/>
    <w:rsid w:val="00031ED5"/>
    <w:rsid w:val="000335C8"/>
    <w:rsid w:val="0004144D"/>
    <w:rsid w:val="00042924"/>
    <w:rsid w:val="000431F8"/>
    <w:rsid w:val="00044951"/>
    <w:rsid w:val="00046AE5"/>
    <w:rsid w:val="00047173"/>
    <w:rsid w:val="00051FDA"/>
    <w:rsid w:val="00053802"/>
    <w:rsid w:val="00053E80"/>
    <w:rsid w:val="000667AD"/>
    <w:rsid w:val="00076EF2"/>
    <w:rsid w:val="0008205F"/>
    <w:rsid w:val="0009313B"/>
    <w:rsid w:val="00093CA8"/>
    <w:rsid w:val="000963AA"/>
    <w:rsid w:val="000A4358"/>
    <w:rsid w:val="000A4447"/>
    <w:rsid w:val="000A6FC5"/>
    <w:rsid w:val="000B3214"/>
    <w:rsid w:val="000B399B"/>
    <w:rsid w:val="000C2103"/>
    <w:rsid w:val="000C4293"/>
    <w:rsid w:val="000C584E"/>
    <w:rsid w:val="000D0877"/>
    <w:rsid w:val="000D107B"/>
    <w:rsid w:val="000D26F2"/>
    <w:rsid w:val="000E7B5C"/>
    <w:rsid w:val="000F300F"/>
    <w:rsid w:val="000F4D35"/>
    <w:rsid w:val="000F69A9"/>
    <w:rsid w:val="0010054B"/>
    <w:rsid w:val="00113732"/>
    <w:rsid w:val="001137C6"/>
    <w:rsid w:val="0012502A"/>
    <w:rsid w:val="00127672"/>
    <w:rsid w:val="001305EB"/>
    <w:rsid w:val="001335DE"/>
    <w:rsid w:val="00134135"/>
    <w:rsid w:val="001348B2"/>
    <w:rsid w:val="001359DA"/>
    <w:rsid w:val="001408DE"/>
    <w:rsid w:val="00141549"/>
    <w:rsid w:val="00141C5C"/>
    <w:rsid w:val="0015593C"/>
    <w:rsid w:val="00182211"/>
    <w:rsid w:val="0019076D"/>
    <w:rsid w:val="00191158"/>
    <w:rsid w:val="00191A41"/>
    <w:rsid w:val="0019489F"/>
    <w:rsid w:val="00194A62"/>
    <w:rsid w:val="00197B49"/>
    <w:rsid w:val="001A199D"/>
    <w:rsid w:val="001A2C95"/>
    <w:rsid w:val="001A32FD"/>
    <w:rsid w:val="001A5162"/>
    <w:rsid w:val="001B2714"/>
    <w:rsid w:val="001B6DF0"/>
    <w:rsid w:val="001C18B1"/>
    <w:rsid w:val="001C4B22"/>
    <w:rsid w:val="001C4CC1"/>
    <w:rsid w:val="001D613E"/>
    <w:rsid w:val="001D6C31"/>
    <w:rsid w:val="001E0B3F"/>
    <w:rsid w:val="001E25FC"/>
    <w:rsid w:val="001F0F3B"/>
    <w:rsid w:val="001F56CB"/>
    <w:rsid w:val="001F652F"/>
    <w:rsid w:val="002030D4"/>
    <w:rsid w:val="00203848"/>
    <w:rsid w:val="00205739"/>
    <w:rsid w:val="0022099A"/>
    <w:rsid w:val="00222489"/>
    <w:rsid w:val="0022269B"/>
    <w:rsid w:val="0022399E"/>
    <w:rsid w:val="0022626A"/>
    <w:rsid w:val="00232278"/>
    <w:rsid w:val="00235123"/>
    <w:rsid w:val="002366B4"/>
    <w:rsid w:val="00237711"/>
    <w:rsid w:val="002451D9"/>
    <w:rsid w:val="00251725"/>
    <w:rsid w:val="002523B9"/>
    <w:rsid w:val="00252E0E"/>
    <w:rsid w:val="002578EC"/>
    <w:rsid w:val="00263E01"/>
    <w:rsid w:val="00264251"/>
    <w:rsid w:val="00264743"/>
    <w:rsid w:val="0026788F"/>
    <w:rsid w:val="00270462"/>
    <w:rsid w:val="00272CF0"/>
    <w:rsid w:val="0028088B"/>
    <w:rsid w:val="002840AB"/>
    <w:rsid w:val="0029007F"/>
    <w:rsid w:val="002900C5"/>
    <w:rsid w:val="00290AAB"/>
    <w:rsid w:val="00292D20"/>
    <w:rsid w:val="00295B47"/>
    <w:rsid w:val="00297C37"/>
    <w:rsid w:val="002A0CB8"/>
    <w:rsid w:val="002A7031"/>
    <w:rsid w:val="002B0649"/>
    <w:rsid w:val="002B17F1"/>
    <w:rsid w:val="002B4BF6"/>
    <w:rsid w:val="002C05B0"/>
    <w:rsid w:val="002C24CE"/>
    <w:rsid w:val="002D14EC"/>
    <w:rsid w:val="002D6219"/>
    <w:rsid w:val="002D65E3"/>
    <w:rsid w:val="002E0D70"/>
    <w:rsid w:val="002F105D"/>
    <w:rsid w:val="002F2A01"/>
    <w:rsid w:val="002F2BC7"/>
    <w:rsid w:val="002F49E0"/>
    <w:rsid w:val="002F5FDA"/>
    <w:rsid w:val="0030795B"/>
    <w:rsid w:val="00320157"/>
    <w:rsid w:val="00320E95"/>
    <w:rsid w:val="00323850"/>
    <w:rsid w:val="00323CBE"/>
    <w:rsid w:val="00327417"/>
    <w:rsid w:val="00327C7D"/>
    <w:rsid w:val="00333D1E"/>
    <w:rsid w:val="00335687"/>
    <w:rsid w:val="00341049"/>
    <w:rsid w:val="0034148A"/>
    <w:rsid w:val="003500B2"/>
    <w:rsid w:val="00350700"/>
    <w:rsid w:val="00355EBB"/>
    <w:rsid w:val="00360B5A"/>
    <w:rsid w:val="00364EE8"/>
    <w:rsid w:val="0037322A"/>
    <w:rsid w:val="00377D10"/>
    <w:rsid w:val="00381F93"/>
    <w:rsid w:val="00383A50"/>
    <w:rsid w:val="0039325E"/>
    <w:rsid w:val="00394081"/>
    <w:rsid w:val="003A221C"/>
    <w:rsid w:val="003A3B94"/>
    <w:rsid w:val="003A4655"/>
    <w:rsid w:val="003A49C6"/>
    <w:rsid w:val="003A513D"/>
    <w:rsid w:val="003A5DD1"/>
    <w:rsid w:val="003B1574"/>
    <w:rsid w:val="003B5E20"/>
    <w:rsid w:val="003B68FA"/>
    <w:rsid w:val="003B6BC6"/>
    <w:rsid w:val="003C01C9"/>
    <w:rsid w:val="003C4DEC"/>
    <w:rsid w:val="003C6338"/>
    <w:rsid w:val="003D2D93"/>
    <w:rsid w:val="003D64C9"/>
    <w:rsid w:val="003E0D23"/>
    <w:rsid w:val="003E2CC1"/>
    <w:rsid w:val="003E4418"/>
    <w:rsid w:val="003E6DD8"/>
    <w:rsid w:val="003F056D"/>
    <w:rsid w:val="003F0E07"/>
    <w:rsid w:val="003F2C89"/>
    <w:rsid w:val="003F3F6D"/>
    <w:rsid w:val="00405F8C"/>
    <w:rsid w:val="004076BD"/>
    <w:rsid w:val="00413E8E"/>
    <w:rsid w:val="00417CAB"/>
    <w:rsid w:val="004265B8"/>
    <w:rsid w:val="00434D08"/>
    <w:rsid w:val="00447C3A"/>
    <w:rsid w:val="00460234"/>
    <w:rsid w:val="00462C47"/>
    <w:rsid w:val="00462F0F"/>
    <w:rsid w:val="00467E0E"/>
    <w:rsid w:val="00482F9B"/>
    <w:rsid w:val="00485CA3"/>
    <w:rsid w:val="004917DF"/>
    <w:rsid w:val="00492536"/>
    <w:rsid w:val="00496F6D"/>
    <w:rsid w:val="004A0A30"/>
    <w:rsid w:val="004A0DE6"/>
    <w:rsid w:val="004A42B4"/>
    <w:rsid w:val="004A5AE1"/>
    <w:rsid w:val="004B0AEC"/>
    <w:rsid w:val="004B62D9"/>
    <w:rsid w:val="004C15CA"/>
    <w:rsid w:val="004C21F8"/>
    <w:rsid w:val="004C2DB8"/>
    <w:rsid w:val="004C5DDB"/>
    <w:rsid w:val="004C73D5"/>
    <w:rsid w:val="004D7408"/>
    <w:rsid w:val="004F19C6"/>
    <w:rsid w:val="00501964"/>
    <w:rsid w:val="00502D04"/>
    <w:rsid w:val="00503C69"/>
    <w:rsid w:val="00507A4E"/>
    <w:rsid w:val="0051005D"/>
    <w:rsid w:val="00513942"/>
    <w:rsid w:val="005202D4"/>
    <w:rsid w:val="00523CC5"/>
    <w:rsid w:val="0053530B"/>
    <w:rsid w:val="005416F5"/>
    <w:rsid w:val="005420D3"/>
    <w:rsid w:val="005441EB"/>
    <w:rsid w:val="005452D5"/>
    <w:rsid w:val="00546CE1"/>
    <w:rsid w:val="00550B78"/>
    <w:rsid w:val="00572C94"/>
    <w:rsid w:val="00573B59"/>
    <w:rsid w:val="00580711"/>
    <w:rsid w:val="005817B5"/>
    <w:rsid w:val="00582F4C"/>
    <w:rsid w:val="00585AF4"/>
    <w:rsid w:val="00590524"/>
    <w:rsid w:val="005924FE"/>
    <w:rsid w:val="0059437F"/>
    <w:rsid w:val="00596A43"/>
    <w:rsid w:val="005A0C14"/>
    <w:rsid w:val="005A30A6"/>
    <w:rsid w:val="005C34AE"/>
    <w:rsid w:val="005C3DCA"/>
    <w:rsid w:val="005C472E"/>
    <w:rsid w:val="005C6343"/>
    <w:rsid w:val="005C6EA3"/>
    <w:rsid w:val="005C7058"/>
    <w:rsid w:val="005D0717"/>
    <w:rsid w:val="005D0E97"/>
    <w:rsid w:val="005D6EC2"/>
    <w:rsid w:val="005D7769"/>
    <w:rsid w:val="005D781B"/>
    <w:rsid w:val="005E30CC"/>
    <w:rsid w:val="005E5F0E"/>
    <w:rsid w:val="006145D1"/>
    <w:rsid w:val="00615DFD"/>
    <w:rsid w:val="0061608E"/>
    <w:rsid w:val="00620FAA"/>
    <w:rsid w:val="00625391"/>
    <w:rsid w:val="00625A37"/>
    <w:rsid w:val="00634A66"/>
    <w:rsid w:val="00636364"/>
    <w:rsid w:val="00640FCF"/>
    <w:rsid w:val="00654C9F"/>
    <w:rsid w:val="00657687"/>
    <w:rsid w:val="00657E7C"/>
    <w:rsid w:val="00663440"/>
    <w:rsid w:val="006651B2"/>
    <w:rsid w:val="00670988"/>
    <w:rsid w:val="006749D4"/>
    <w:rsid w:val="0068258B"/>
    <w:rsid w:val="00684774"/>
    <w:rsid w:val="00687BBD"/>
    <w:rsid w:val="006A0B1C"/>
    <w:rsid w:val="006A14F0"/>
    <w:rsid w:val="006A7FF1"/>
    <w:rsid w:val="006B2887"/>
    <w:rsid w:val="006B4994"/>
    <w:rsid w:val="006B56B1"/>
    <w:rsid w:val="006D0E62"/>
    <w:rsid w:val="006D5CCE"/>
    <w:rsid w:val="006D5EB7"/>
    <w:rsid w:val="006D785E"/>
    <w:rsid w:val="006E0C78"/>
    <w:rsid w:val="006E32D9"/>
    <w:rsid w:val="006E4F17"/>
    <w:rsid w:val="006E5ED1"/>
    <w:rsid w:val="007031EB"/>
    <w:rsid w:val="007112A5"/>
    <w:rsid w:val="00711E43"/>
    <w:rsid w:val="00712A0B"/>
    <w:rsid w:val="00716AE5"/>
    <w:rsid w:val="007277A8"/>
    <w:rsid w:val="00741381"/>
    <w:rsid w:val="00741B83"/>
    <w:rsid w:val="00742F2D"/>
    <w:rsid w:val="007443F3"/>
    <w:rsid w:val="00746691"/>
    <w:rsid w:val="00752C78"/>
    <w:rsid w:val="00752D76"/>
    <w:rsid w:val="00756C0A"/>
    <w:rsid w:val="0075772E"/>
    <w:rsid w:val="00760399"/>
    <w:rsid w:val="00762809"/>
    <w:rsid w:val="0077056F"/>
    <w:rsid w:val="007740A8"/>
    <w:rsid w:val="00775631"/>
    <w:rsid w:val="00777D48"/>
    <w:rsid w:val="00784B44"/>
    <w:rsid w:val="00785A9A"/>
    <w:rsid w:val="007967F0"/>
    <w:rsid w:val="00796AB1"/>
    <w:rsid w:val="007A2706"/>
    <w:rsid w:val="007A2C55"/>
    <w:rsid w:val="007A66B5"/>
    <w:rsid w:val="007B5D9D"/>
    <w:rsid w:val="007C0E87"/>
    <w:rsid w:val="007C23C8"/>
    <w:rsid w:val="007C3B0D"/>
    <w:rsid w:val="007C3EBF"/>
    <w:rsid w:val="007C500D"/>
    <w:rsid w:val="007C7D11"/>
    <w:rsid w:val="007D0399"/>
    <w:rsid w:val="007D6212"/>
    <w:rsid w:val="007F61EC"/>
    <w:rsid w:val="007F79EE"/>
    <w:rsid w:val="00802F28"/>
    <w:rsid w:val="00804556"/>
    <w:rsid w:val="00814C40"/>
    <w:rsid w:val="00825E87"/>
    <w:rsid w:val="008350A1"/>
    <w:rsid w:val="00835B42"/>
    <w:rsid w:val="00836C7D"/>
    <w:rsid w:val="00837A56"/>
    <w:rsid w:val="00840338"/>
    <w:rsid w:val="008419A6"/>
    <w:rsid w:val="0084685B"/>
    <w:rsid w:val="00847C44"/>
    <w:rsid w:val="008500FB"/>
    <w:rsid w:val="00851BF1"/>
    <w:rsid w:val="0085645B"/>
    <w:rsid w:val="0085678E"/>
    <w:rsid w:val="008571DF"/>
    <w:rsid w:val="008719E8"/>
    <w:rsid w:val="008724DE"/>
    <w:rsid w:val="00875586"/>
    <w:rsid w:val="00877753"/>
    <w:rsid w:val="008804CB"/>
    <w:rsid w:val="00887178"/>
    <w:rsid w:val="008924F0"/>
    <w:rsid w:val="0089520F"/>
    <w:rsid w:val="0089711A"/>
    <w:rsid w:val="008A165F"/>
    <w:rsid w:val="008A221D"/>
    <w:rsid w:val="008A698A"/>
    <w:rsid w:val="008B38A9"/>
    <w:rsid w:val="008B4728"/>
    <w:rsid w:val="008B6056"/>
    <w:rsid w:val="008B6F0E"/>
    <w:rsid w:val="008B7403"/>
    <w:rsid w:val="008B7F2B"/>
    <w:rsid w:val="008C27C3"/>
    <w:rsid w:val="008C293E"/>
    <w:rsid w:val="008C4812"/>
    <w:rsid w:val="008D14B8"/>
    <w:rsid w:val="008D5A33"/>
    <w:rsid w:val="008D61ED"/>
    <w:rsid w:val="008D744F"/>
    <w:rsid w:val="008E2061"/>
    <w:rsid w:val="008E4152"/>
    <w:rsid w:val="008F2F44"/>
    <w:rsid w:val="008F5FC2"/>
    <w:rsid w:val="00913A27"/>
    <w:rsid w:val="00913E97"/>
    <w:rsid w:val="00917288"/>
    <w:rsid w:val="0091750F"/>
    <w:rsid w:val="00917BAF"/>
    <w:rsid w:val="009224A1"/>
    <w:rsid w:val="00924C84"/>
    <w:rsid w:val="0093542A"/>
    <w:rsid w:val="009361D5"/>
    <w:rsid w:val="00942617"/>
    <w:rsid w:val="0094389A"/>
    <w:rsid w:val="0094395B"/>
    <w:rsid w:val="00944494"/>
    <w:rsid w:val="00945106"/>
    <w:rsid w:val="00946B58"/>
    <w:rsid w:val="009501B2"/>
    <w:rsid w:val="009520D2"/>
    <w:rsid w:val="009539A8"/>
    <w:rsid w:val="00954901"/>
    <w:rsid w:val="00961FD6"/>
    <w:rsid w:val="0096453F"/>
    <w:rsid w:val="0096736F"/>
    <w:rsid w:val="00967548"/>
    <w:rsid w:val="00973F65"/>
    <w:rsid w:val="0097514C"/>
    <w:rsid w:val="00980FBA"/>
    <w:rsid w:val="00987EC2"/>
    <w:rsid w:val="00993095"/>
    <w:rsid w:val="00993801"/>
    <w:rsid w:val="00993F06"/>
    <w:rsid w:val="00995211"/>
    <w:rsid w:val="009A17A9"/>
    <w:rsid w:val="009A7B24"/>
    <w:rsid w:val="009B1774"/>
    <w:rsid w:val="009B4A68"/>
    <w:rsid w:val="009C4719"/>
    <w:rsid w:val="009D0EDC"/>
    <w:rsid w:val="009E0540"/>
    <w:rsid w:val="009E285D"/>
    <w:rsid w:val="009E5907"/>
    <w:rsid w:val="009F06EB"/>
    <w:rsid w:val="009F25F0"/>
    <w:rsid w:val="009F32AA"/>
    <w:rsid w:val="009F5E5D"/>
    <w:rsid w:val="00A00007"/>
    <w:rsid w:val="00A0781B"/>
    <w:rsid w:val="00A2037D"/>
    <w:rsid w:val="00A211E4"/>
    <w:rsid w:val="00A320CA"/>
    <w:rsid w:val="00A37C39"/>
    <w:rsid w:val="00A42911"/>
    <w:rsid w:val="00A42A18"/>
    <w:rsid w:val="00A42E47"/>
    <w:rsid w:val="00A457EC"/>
    <w:rsid w:val="00A476E8"/>
    <w:rsid w:val="00A57406"/>
    <w:rsid w:val="00A626C7"/>
    <w:rsid w:val="00A75AF7"/>
    <w:rsid w:val="00A85317"/>
    <w:rsid w:val="00A85406"/>
    <w:rsid w:val="00A921F0"/>
    <w:rsid w:val="00A9528D"/>
    <w:rsid w:val="00A968B2"/>
    <w:rsid w:val="00AA09F9"/>
    <w:rsid w:val="00AA3F82"/>
    <w:rsid w:val="00AA6813"/>
    <w:rsid w:val="00AA74A1"/>
    <w:rsid w:val="00AA7ABF"/>
    <w:rsid w:val="00AB0B91"/>
    <w:rsid w:val="00AB5A92"/>
    <w:rsid w:val="00AC063E"/>
    <w:rsid w:val="00AC215C"/>
    <w:rsid w:val="00AC2315"/>
    <w:rsid w:val="00AD45BF"/>
    <w:rsid w:val="00AD6EE6"/>
    <w:rsid w:val="00AE0D1F"/>
    <w:rsid w:val="00AE2606"/>
    <w:rsid w:val="00AE36BA"/>
    <w:rsid w:val="00AE41B7"/>
    <w:rsid w:val="00AF1764"/>
    <w:rsid w:val="00AF4918"/>
    <w:rsid w:val="00AF71FB"/>
    <w:rsid w:val="00B020E0"/>
    <w:rsid w:val="00B02152"/>
    <w:rsid w:val="00B066FA"/>
    <w:rsid w:val="00B109D4"/>
    <w:rsid w:val="00B10BA1"/>
    <w:rsid w:val="00B128D9"/>
    <w:rsid w:val="00B139CF"/>
    <w:rsid w:val="00B17D05"/>
    <w:rsid w:val="00B23792"/>
    <w:rsid w:val="00B24910"/>
    <w:rsid w:val="00B261E1"/>
    <w:rsid w:val="00B31B75"/>
    <w:rsid w:val="00B35A9A"/>
    <w:rsid w:val="00B410FE"/>
    <w:rsid w:val="00B418CB"/>
    <w:rsid w:val="00B51142"/>
    <w:rsid w:val="00B57157"/>
    <w:rsid w:val="00B6016F"/>
    <w:rsid w:val="00B61001"/>
    <w:rsid w:val="00B67664"/>
    <w:rsid w:val="00B7522C"/>
    <w:rsid w:val="00B77E3C"/>
    <w:rsid w:val="00B83D4C"/>
    <w:rsid w:val="00B85B84"/>
    <w:rsid w:val="00B85FFF"/>
    <w:rsid w:val="00B91395"/>
    <w:rsid w:val="00BA11D1"/>
    <w:rsid w:val="00BA1948"/>
    <w:rsid w:val="00BA2768"/>
    <w:rsid w:val="00BA726F"/>
    <w:rsid w:val="00BB27FA"/>
    <w:rsid w:val="00BB2886"/>
    <w:rsid w:val="00BB5DC8"/>
    <w:rsid w:val="00BC0228"/>
    <w:rsid w:val="00BC3136"/>
    <w:rsid w:val="00BC342D"/>
    <w:rsid w:val="00BC37FD"/>
    <w:rsid w:val="00BC4542"/>
    <w:rsid w:val="00BC79CD"/>
    <w:rsid w:val="00BD1AE6"/>
    <w:rsid w:val="00BE3542"/>
    <w:rsid w:val="00BE387A"/>
    <w:rsid w:val="00BE4B9B"/>
    <w:rsid w:val="00BE59CC"/>
    <w:rsid w:val="00BE677E"/>
    <w:rsid w:val="00BF1091"/>
    <w:rsid w:val="00BF1853"/>
    <w:rsid w:val="00C10ACB"/>
    <w:rsid w:val="00C234A4"/>
    <w:rsid w:val="00C3419E"/>
    <w:rsid w:val="00C36614"/>
    <w:rsid w:val="00C40A7F"/>
    <w:rsid w:val="00C443A2"/>
    <w:rsid w:val="00C458E1"/>
    <w:rsid w:val="00C520DC"/>
    <w:rsid w:val="00C528D1"/>
    <w:rsid w:val="00C6068E"/>
    <w:rsid w:val="00C62A39"/>
    <w:rsid w:val="00C62E33"/>
    <w:rsid w:val="00C63E3D"/>
    <w:rsid w:val="00C75797"/>
    <w:rsid w:val="00C77539"/>
    <w:rsid w:val="00C77C49"/>
    <w:rsid w:val="00C815D5"/>
    <w:rsid w:val="00C83710"/>
    <w:rsid w:val="00C83C2E"/>
    <w:rsid w:val="00C860B7"/>
    <w:rsid w:val="00C957C3"/>
    <w:rsid w:val="00CA241A"/>
    <w:rsid w:val="00CA3099"/>
    <w:rsid w:val="00CA51E1"/>
    <w:rsid w:val="00CA7AF8"/>
    <w:rsid w:val="00CB5356"/>
    <w:rsid w:val="00CB6507"/>
    <w:rsid w:val="00CB7B83"/>
    <w:rsid w:val="00CC096F"/>
    <w:rsid w:val="00CC1F99"/>
    <w:rsid w:val="00CC2508"/>
    <w:rsid w:val="00CC6143"/>
    <w:rsid w:val="00CD2CBD"/>
    <w:rsid w:val="00CD2DFE"/>
    <w:rsid w:val="00CD4654"/>
    <w:rsid w:val="00CD466A"/>
    <w:rsid w:val="00CD7D2F"/>
    <w:rsid w:val="00CE3D0D"/>
    <w:rsid w:val="00CE45F2"/>
    <w:rsid w:val="00CF45CF"/>
    <w:rsid w:val="00CF6CDE"/>
    <w:rsid w:val="00D00291"/>
    <w:rsid w:val="00D04C05"/>
    <w:rsid w:val="00D052F3"/>
    <w:rsid w:val="00D12C7A"/>
    <w:rsid w:val="00D202C1"/>
    <w:rsid w:val="00D219B0"/>
    <w:rsid w:val="00D24E50"/>
    <w:rsid w:val="00D253AC"/>
    <w:rsid w:val="00D27628"/>
    <w:rsid w:val="00D3411B"/>
    <w:rsid w:val="00D34639"/>
    <w:rsid w:val="00D363AB"/>
    <w:rsid w:val="00D363AD"/>
    <w:rsid w:val="00D450C8"/>
    <w:rsid w:val="00D52F48"/>
    <w:rsid w:val="00D5640C"/>
    <w:rsid w:val="00D6268A"/>
    <w:rsid w:val="00D676EE"/>
    <w:rsid w:val="00D73BBC"/>
    <w:rsid w:val="00D74AB2"/>
    <w:rsid w:val="00D76886"/>
    <w:rsid w:val="00D855D4"/>
    <w:rsid w:val="00D93841"/>
    <w:rsid w:val="00D94254"/>
    <w:rsid w:val="00D96E97"/>
    <w:rsid w:val="00DA0968"/>
    <w:rsid w:val="00DB0386"/>
    <w:rsid w:val="00DB0392"/>
    <w:rsid w:val="00DB0532"/>
    <w:rsid w:val="00DB4E1C"/>
    <w:rsid w:val="00DB6BCE"/>
    <w:rsid w:val="00DB6F30"/>
    <w:rsid w:val="00DB7F82"/>
    <w:rsid w:val="00DC6E79"/>
    <w:rsid w:val="00DD300E"/>
    <w:rsid w:val="00DD6682"/>
    <w:rsid w:val="00DE10DB"/>
    <w:rsid w:val="00DF72FC"/>
    <w:rsid w:val="00E10867"/>
    <w:rsid w:val="00E11244"/>
    <w:rsid w:val="00E12104"/>
    <w:rsid w:val="00E13E78"/>
    <w:rsid w:val="00E151DA"/>
    <w:rsid w:val="00E17198"/>
    <w:rsid w:val="00E240F4"/>
    <w:rsid w:val="00E2481E"/>
    <w:rsid w:val="00E4446E"/>
    <w:rsid w:val="00E476EF"/>
    <w:rsid w:val="00E51012"/>
    <w:rsid w:val="00E534D7"/>
    <w:rsid w:val="00E56E74"/>
    <w:rsid w:val="00E605F5"/>
    <w:rsid w:val="00E64FE7"/>
    <w:rsid w:val="00E70205"/>
    <w:rsid w:val="00E711A1"/>
    <w:rsid w:val="00E77073"/>
    <w:rsid w:val="00E82517"/>
    <w:rsid w:val="00EA0781"/>
    <w:rsid w:val="00EA6294"/>
    <w:rsid w:val="00EA72FD"/>
    <w:rsid w:val="00EB5E96"/>
    <w:rsid w:val="00EC2392"/>
    <w:rsid w:val="00EC45DE"/>
    <w:rsid w:val="00EC62D2"/>
    <w:rsid w:val="00EE29AA"/>
    <w:rsid w:val="00EE5272"/>
    <w:rsid w:val="00EF73D7"/>
    <w:rsid w:val="00F049F5"/>
    <w:rsid w:val="00F14D2C"/>
    <w:rsid w:val="00F14DE0"/>
    <w:rsid w:val="00F239D7"/>
    <w:rsid w:val="00F26EDE"/>
    <w:rsid w:val="00F320FD"/>
    <w:rsid w:val="00F33B1A"/>
    <w:rsid w:val="00F3774B"/>
    <w:rsid w:val="00F37F32"/>
    <w:rsid w:val="00F415B7"/>
    <w:rsid w:val="00F4411A"/>
    <w:rsid w:val="00F47875"/>
    <w:rsid w:val="00F52FE5"/>
    <w:rsid w:val="00F55C02"/>
    <w:rsid w:val="00F65069"/>
    <w:rsid w:val="00F7152E"/>
    <w:rsid w:val="00F72C2C"/>
    <w:rsid w:val="00F750A3"/>
    <w:rsid w:val="00F861A5"/>
    <w:rsid w:val="00F91358"/>
    <w:rsid w:val="00F92107"/>
    <w:rsid w:val="00F930EE"/>
    <w:rsid w:val="00FB283D"/>
    <w:rsid w:val="00FB3215"/>
    <w:rsid w:val="00FC7086"/>
    <w:rsid w:val="00FD2846"/>
    <w:rsid w:val="00FD3AB4"/>
    <w:rsid w:val="00FE0033"/>
    <w:rsid w:val="00FE3535"/>
    <w:rsid w:val="00FE5661"/>
    <w:rsid w:val="00FE5940"/>
    <w:rsid w:val="00FE6D0D"/>
    <w:rsid w:val="00FF02DE"/>
    <w:rsid w:val="00FF1073"/>
    <w:rsid w:val="00FF39AE"/>
    <w:rsid w:val="00FF5DDF"/>
    <w:rsid w:val="018B0A5D"/>
    <w:rsid w:val="027DA466"/>
    <w:rsid w:val="02ED52AE"/>
    <w:rsid w:val="02FAF5D0"/>
    <w:rsid w:val="06147F19"/>
    <w:rsid w:val="07ADDC38"/>
    <w:rsid w:val="092A5E19"/>
    <w:rsid w:val="099F5C00"/>
    <w:rsid w:val="09ECE861"/>
    <w:rsid w:val="0A407B68"/>
    <w:rsid w:val="0ADB3D3F"/>
    <w:rsid w:val="0AE54898"/>
    <w:rsid w:val="0AF8A5BB"/>
    <w:rsid w:val="0C001EEE"/>
    <w:rsid w:val="0D9312A1"/>
    <w:rsid w:val="0E87669A"/>
    <w:rsid w:val="0ED668DD"/>
    <w:rsid w:val="0FC0B0DC"/>
    <w:rsid w:val="10C768E5"/>
    <w:rsid w:val="1191B218"/>
    <w:rsid w:val="119ACF82"/>
    <w:rsid w:val="1286A280"/>
    <w:rsid w:val="12ABE2F1"/>
    <w:rsid w:val="1378694F"/>
    <w:rsid w:val="1418583D"/>
    <w:rsid w:val="15B948B8"/>
    <w:rsid w:val="169F2AAB"/>
    <w:rsid w:val="16EEE1CA"/>
    <w:rsid w:val="1718A302"/>
    <w:rsid w:val="190991DE"/>
    <w:rsid w:val="19AEF0B1"/>
    <w:rsid w:val="1A1E3063"/>
    <w:rsid w:val="1A2BA364"/>
    <w:rsid w:val="1BB1EF17"/>
    <w:rsid w:val="1BE105BC"/>
    <w:rsid w:val="1D30F6ED"/>
    <w:rsid w:val="1D663DF2"/>
    <w:rsid w:val="1E435FFD"/>
    <w:rsid w:val="1E931ECD"/>
    <w:rsid w:val="1EE8AAF3"/>
    <w:rsid w:val="1F7611D9"/>
    <w:rsid w:val="20CCE08A"/>
    <w:rsid w:val="21762BB9"/>
    <w:rsid w:val="21FC81AD"/>
    <w:rsid w:val="22EEAB44"/>
    <w:rsid w:val="22FFA13C"/>
    <w:rsid w:val="2327E6C2"/>
    <w:rsid w:val="23519FD6"/>
    <w:rsid w:val="2394D2EC"/>
    <w:rsid w:val="23C770F6"/>
    <w:rsid w:val="24E30AFE"/>
    <w:rsid w:val="264923E5"/>
    <w:rsid w:val="26DE2EDE"/>
    <w:rsid w:val="2845D779"/>
    <w:rsid w:val="289C55F9"/>
    <w:rsid w:val="2A17D26C"/>
    <w:rsid w:val="2A451228"/>
    <w:rsid w:val="2ADB9B07"/>
    <w:rsid w:val="2B086E8A"/>
    <w:rsid w:val="2BA85787"/>
    <w:rsid w:val="2C09911C"/>
    <w:rsid w:val="2C0C1346"/>
    <w:rsid w:val="2CC005F0"/>
    <w:rsid w:val="2CF1A347"/>
    <w:rsid w:val="2CF5FC79"/>
    <w:rsid w:val="2D1829F8"/>
    <w:rsid w:val="2E386231"/>
    <w:rsid w:val="2EB1176A"/>
    <w:rsid w:val="2ED24B75"/>
    <w:rsid w:val="2F43B408"/>
    <w:rsid w:val="300A1871"/>
    <w:rsid w:val="304A6285"/>
    <w:rsid w:val="3175A8F6"/>
    <w:rsid w:val="31D35BA8"/>
    <w:rsid w:val="32427A8A"/>
    <w:rsid w:val="32B91E27"/>
    <w:rsid w:val="333A8511"/>
    <w:rsid w:val="3373BFAB"/>
    <w:rsid w:val="34E5355A"/>
    <w:rsid w:val="360BD6C8"/>
    <w:rsid w:val="36FA35EF"/>
    <w:rsid w:val="3762E256"/>
    <w:rsid w:val="39FDA7C1"/>
    <w:rsid w:val="3A54C3CA"/>
    <w:rsid w:val="3BC03212"/>
    <w:rsid w:val="3C01FB0A"/>
    <w:rsid w:val="3CB909A7"/>
    <w:rsid w:val="3D8F8BBA"/>
    <w:rsid w:val="3DAAADC5"/>
    <w:rsid w:val="3E6915B4"/>
    <w:rsid w:val="40869693"/>
    <w:rsid w:val="40EF5E70"/>
    <w:rsid w:val="41A19A49"/>
    <w:rsid w:val="41FC8495"/>
    <w:rsid w:val="43284B2B"/>
    <w:rsid w:val="432BF683"/>
    <w:rsid w:val="434DCAA9"/>
    <w:rsid w:val="43698782"/>
    <w:rsid w:val="43C9DA44"/>
    <w:rsid w:val="44382417"/>
    <w:rsid w:val="44C7F897"/>
    <w:rsid w:val="4581E535"/>
    <w:rsid w:val="4606CD89"/>
    <w:rsid w:val="47BDE3C5"/>
    <w:rsid w:val="47F682DD"/>
    <w:rsid w:val="486B1262"/>
    <w:rsid w:val="48A7DB2D"/>
    <w:rsid w:val="48AB0529"/>
    <w:rsid w:val="48EB1747"/>
    <w:rsid w:val="49928431"/>
    <w:rsid w:val="49ABDC0F"/>
    <w:rsid w:val="49B3A092"/>
    <w:rsid w:val="4A12A0F1"/>
    <w:rsid w:val="4B47E2A9"/>
    <w:rsid w:val="4B9884F8"/>
    <w:rsid w:val="4BC7C2E6"/>
    <w:rsid w:val="4C0E4603"/>
    <w:rsid w:val="4C1A1CE9"/>
    <w:rsid w:val="4C2BF724"/>
    <w:rsid w:val="4DA926CD"/>
    <w:rsid w:val="4E515B9E"/>
    <w:rsid w:val="4EB76689"/>
    <w:rsid w:val="4EC0B26A"/>
    <w:rsid w:val="4FB22F60"/>
    <w:rsid w:val="4FD97BE0"/>
    <w:rsid w:val="50451DEB"/>
    <w:rsid w:val="505CA521"/>
    <w:rsid w:val="51212434"/>
    <w:rsid w:val="51423F99"/>
    <w:rsid w:val="5184D43E"/>
    <w:rsid w:val="52CA97A8"/>
    <w:rsid w:val="54322793"/>
    <w:rsid w:val="547A18EA"/>
    <w:rsid w:val="55F6267C"/>
    <w:rsid w:val="56546AA0"/>
    <w:rsid w:val="5724DD1A"/>
    <w:rsid w:val="5784AA88"/>
    <w:rsid w:val="587E1512"/>
    <w:rsid w:val="5ACCAC77"/>
    <w:rsid w:val="5B01D2FB"/>
    <w:rsid w:val="5CCA126A"/>
    <w:rsid w:val="5D3FE103"/>
    <w:rsid w:val="5E5C068B"/>
    <w:rsid w:val="5EE05D01"/>
    <w:rsid w:val="5FC2D0E7"/>
    <w:rsid w:val="6067C393"/>
    <w:rsid w:val="607A3679"/>
    <w:rsid w:val="62F884DC"/>
    <w:rsid w:val="65323324"/>
    <w:rsid w:val="653C6C67"/>
    <w:rsid w:val="65656CE3"/>
    <w:rsid w:val="67D524D7"/>
    <w:rsid w:val="68966CD6"/>
    <w:rsid w:val="68F17903"/>
    <w:rsid w:val="691FB18B"/>
    <w:rsid w:val="6A54D88A"/>
    <w:rsid w:val="6B28D727"/>
    <w:rsid w:val="6BB2A352"/>
    <w:rsid w:val="6BC31911"/>
    <w:rsid w:val="6BFDB2A8"/>
    <w:rsid w:val="6D001CDC"/>
    <w:rsid w:val="6D998309"/>
    <w:rsid w:val="6DDF0CC4"/>
    <w:rsid w:val="70E8A061"/>
    <w:rsid w:val="70ECCCF1"/>
    <w:rsid w:val="71416BE0"/>
    <w:rsid w:val="71CB0235"/>
    <w:rsid w:val="72BECD06"/>
    <w:rsid w:val="72F356CB"/>
    <w:rsid w:val="730C4A56"/>
    <w:rsid w:val="734F3EDE"/>
    <w:rsid w:val="746310CE"/>
    <w:rsid w:val="75F6A367"/>
    <w:rsid w:val="76A9A73B"/>
    <w:rsid w:val="7984178F"/>
    <w:rsid w:val="7A722CE5"/>
    <w:rsid w:val="7AD27608"/>
    <w:rsid w:val="7ADF42E9"/>
    <w:rsid w:val="7AFE1939"/>
    <w:rsid w:val="7B0EEEE6"/>
    <w:rsid w:val="7BB0431C"/>
    <w:rsid w:val="7BB1D225"/>
    <w:rsid w:val="7D1A40CF"/>
    <w:rsid w:val="7E37ED1C"/>
    <w:rsid w:val="7E432FB7"/>
    <w:rsid w:val="7EFBB56F"/>
    <w:rsid w:val="7F2BF5E3"/>
    <w:rsid w:val="7F5364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F9197A9D-EBDB-4249-B28B-0066649C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character" w:styleId="Mention">
    <w:name w:val="Mention"/>
    <w:basedOn w:val="DefaultParagraphFont"/>
    <w:uiPriority w:val="99"/>
    <w:unhideWhenUsed/>
    <w:rsid w:val="00327C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44300f-dcb0-4b1c-8c9d-9638cd345996">
      <UserInfo>
        <DisplayName>Kamenjar, Craig (He/Him)</DisplayName>
        <AccountId>1980</AccountId>
        <AccountType/>
      </UserInfo>
    </SharedWithUsers>
    <TaxCatchAll xmlns="5444300f-dcb0-4b1c-8c9d-9638cd345996" xsi:nil="true"/>
    <lcf76f155ced4ddcb4097134ff3c332f xmlns="d41082d1-5c33-4eeb-bb4b-e0809e7250a2">
      <Terms xmlns="http://schemas.microsoft.com/office/infopath/2007/PartnerControls"/>
    </lcf76f155ced4ddcb4097134ff3c332f>
    <EntityID xmlns="5444300f-dcb0-4b1c-8c9d-9638cd345996">c51505ea-405b-ef11-bfe3-001dd806b5c1</Entity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428B3F3222E24FAA1D59BA4BDB6354" ma:contentTypeVersion="57" ma:contentTypeDescription="Create a new document." ma:contentTypeScope="" ma:versionID="03a7efa7ad11eb86340fde9054d2e478">
  <xsd:schema xmlns:xsd="http://www.w3.org/2001/XMLSchema" xmlns:xs="http://www.w3.org/2001/XMLSchema" xmlns:p="http://schemas.microsoft.com/office/2006/metadata/properties" xmlns:ns2="5444300f-dcb0-4b1c-8c9d-9638cd345996" xmlns:ns3="d41082d1-5c33-4eeb-bb4b-e0809e7250a2" targetNamespace="http://schemas.microsoft.com/office/2006/metadata/properties" ma:root="true" ma:fieldsID="1e70a680783ff58e742e900e7be9b1ca" ns2:_="" ns3:_="">
    <xsd:import namespace="5444300f-dcb0-4b1c-8c9d-9638cd345996"/>
    <xsd:import namespace="d41082d1-5c33-4eeb-bb4b-e0809e7250a2"/>
    <xsd:element name="properties">
      <xsd:complexType>
        <xsd:sequence>
          <xsd:element name="documentManagement">
            <xsd:complexType>
              <xsd:all>
                <xsd:element ref="ns2:Entity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4300f-dcb0-4b1c-8c9d-9638cd345996" elementFormDefault="qualified">
    <xsd:import namespace="http://schemas.microsoft.com/office/2006/documentManagement/types"/>
    <xsd:import namespace="http://schemas.microsoft.com/office/infopath/2007/PartnerControls"/>
    <xsd:element name="EntityID" ma:index="8" nillable="true" ma:displayName="Entity ID" ma:internalName="EntityID"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665c185-d550-4ada-9da0-ebd763853713}" ma:internalName="TaxCatchAll" ma:showField="CatchAllData" ma:web="5444300f-dcb0-4b1c-8c9d-9638cd345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082d1-5c33-4eeb-bb4b-e0809e7250a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35ed0374-b151-4ae4-94a0-04f0fe261645"/>
    <ds:schemaRef ds:uri="bb9c4385-f00e-424a-8666-326e0b072e9d"/>
    <ds:schemaRef ds:uri="5444300f-dcb0-4b1c-8c9d-9638cd345996"/>
    <ds:schemaRef ds:uri="d41082d1-5c33-4eeb-bb4b-e0809e7250a2"/>
  </ds:schemaRefs>
</ds:datastoreItem>
</file>

<file path=customXml/itemProps2.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3.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4.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5.xml><?xml version="1.0" encoding="utf-8"?>
<ds:datastoreItem xmlns:ds="http://schemas.openxmlformats.org/officeDocument/2006/customXml" ds:itemID="{2F48FBD2-C2B8-40B6-A2C1-471F4268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4300f-dcb0-4b1c-8c9d-9638cd345996"/>
    <ds:schemaRef ds:uri="d41082d1-5c33-4eeb-bb4b-e0809e725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2158</Words>
  <Characters>12873</Characters>
  <Application>Microsoft Office Word</Application>
  <DocSecurity>0</DocSecurity>
  <Lines>107</Lines>
  <Paragraphs>30</Paragraphs>
  <ScaleCrop>false</ScaleCrop>
  <Company>FEMA</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170</cp:revision>
  <cp:lastPrinted>2014-02-10T23:56:00Z</cp:lastPrinted>
  <dcterms:created xsi:type="dcterms:W3CDTF">2023-01-24T19:01:00Z</dcterms:created>
  <dcterms:modified xsi:type="dcterms:W3CDTF">2024-10-24T18:57:00Z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0x010100D0428B3F3222E24FAA1D59BA4BDB6354</vt:lpwstr>
  </property>
  <property fmtid="{D5CDD505-2E9C-101B-9397-08002B2CF9AE}" pid="7" name="Document Type">
    <vt:lpwstr>ICR Forms &amp; Templates</vt:lpwstr>
  </property>
  <property fmtid="{D5CDD505-2E9C-101B-9397-08002B2CF9AE}" pid="8" name="ICR Element">
    <vt:lpwstr>Supporting Statement A</vt:lpwstr>
  </property>
  <property fmtid="{D5CDD505-2E9C-101B-9397-08002B2CF9AE}" pid="9" name="MediaServiceImageTags">
    <vt:lpwstr/>
  </property>
  <property fmtid="{D5CDD505-2E9C-101B-9397-08002B2CF9AE}" pid="10" name="MSIP_Label_a2eef23d-2e95-4428-9a3c-2526d95b164a_ActionId">
    <vt:lpwstr>7d023c0b-3d0d-42bb-a7fa-174207722881</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2022-02-28T18:52:21Z</vt:lpwstr>
  </property>
  <property fmtid="{D5CDD505-2E9C-101B-9397-08002B2CF9AE}" pid="16" name="MSIP_Label_a2eef23d-2e95-4428-9a3c-2526d95b164a_SiteId">
    <vt:lpwstr>3ccde76c-946d-4a12-bb7a-fc9d0842354a</vt:lpwstr>
  </property>
  <property fmtid="{D5CDD505-2E9C-101B-9397-08002B2CF9AE}" pid="17" name="OCCApprovalLink">
    <vt:lpwstr>, </vt:lpwstr>
  </property>
  <property fmtid="{D5CDD505-2E9C-101B-9397-08002B2CF9AE}" pid="18" name="OCCRegulatoryApprovalLink">
    <vt:lpwstr>, </vt:lpwstr>
  </property>
  <property fmtid="{D5CDD505-2E9C-101B-9397-08002B2CF9AE}" pid="19" name="OCCRegulatoryResubmitLink">
    <vt:lpwstr>, </vt:lpwstr>
  </property>
  <property fmtid="{D5CDD505-2E9C-101B-9397-08002B2CF9AE}" pid="20" name="OCCResubmitLink">
    <vt:lpwstr>, </vt:lpwstr>
  </property>
  <property fmtid="{D5CDD505-2E9C-101B-9397-08002B2CF9AE}" pid="21" name="OCEApprovalLink">
    <vt:lpwstr>, </vt:lpwstr>
  </property>
  <property fmtid="{D5CDD505-2E9C-101B-9397-08002B2CF9AE}" pid="22" name="OCEResubmitLink">
    <vt:lpwstr>, </vt:lpwstr>
  </property>
  <property fmtid="{D5CDD505-2E9C-101B-9397-08002B2CF9AE}" pid="23" name="OCIOApprovalLink">
    <vt:lpwstr>, </vt:lpwstr>
  </property>
  <property fmtid="{D5CDD505-2E9C-101B-9397-08002B2CF9AE}" pid="24" name="OCIOResubmitLink">
    <vt:lpwstr>, </vt:lpwstr>
  </property>
  <property fmtid="{D5CDD505-2E9C-101B-9397-08002B2CF9AE}" pid="25" name="OCPOApprovalLink">
    <vt:lpwstr>, </vt:lpwstr>
  </property>
  <property fmtid="{D5CDD505-2E9C-101B-9397-08002B2CF9AE}" pid="26" name="OCPOResubmitLink">
    <vt:lpwstr>, </vt:lpwstr>
  </property>
  <property fmtid="{D5CDD505-2E9C-101B-9397-08002B2CF9AE}" pid="27" name="_dlc_DocId">
    <vt:lpwstr>5YJZXJV6V4SC-902-312</vt:lpwstr>
  </property>
  <property fmtid="{D5CDD505-2E9C-101B-9397-08002B2CF9AE}" pid="28" name="_dlc_DocIdItemGuid">
    <vt:lpwstr>42b35e46-5230-4290-9062-b9b6e6cccfda</vt:lpwstr>
  </property>
  <property fmtid="{D5CDD505-2E9C-101B-9397-08002B2CF9AE}" pid="29" name="_dlc_DocIdUrl">
    <vt:lpwstr>http://sptapp.dhs.gov/ESTT/CIO_PRA/_layouts/DocIdRedir.aspx?ID=5YJZXJV6V4SC-902-312, 5YJZXJV6V4SC-902-312</vt:lpwstr>
  </property>
</Properties>
</file>