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1F72BE" w:rsidP="00F74288" w14:paraId="75AF5C35" w14:textId="77777777">
      <w:pPr>
        <w:jc w:val="center"/>
        <w:rPr>
          <w:rFonts w:asciiTheme="minorHAnsi" w:hAnsiTheme="minorHAnsi" w:cstheme="minorHAnsi"/>
          <w:szCs w:val="24"/>
        </w:rPr>
      </w:pPr>
    </w:p>
    <w:p w:rsidR="005F4E11" w:rsidRPr="002356C8" w:rsidP="00F74288" w14:paraId="05DA5314" w14:textId="25DEF6D0">
      <w:pPr>
        <w:jc w:val="center"/>
        <w:rPr>
          <w:rFonts w:asciiTheme="minorHAnsi" w:hAnsiTheme="minorHAnsi" w:cstheme="minorHAnsi"/>
          <w:szCs w:val="24"/>
        </w:rPr>
      </w:pPr>
      <w:r w:rsidRPr="003C05AE">
        <w:rPr>
          <w:rFonts w:asciiTheme="minorHAnsi" w:hAnsiTheme="minorHAnsi" w:cstheme="minorHAnsi"/>
          <w:szCs w:val="24"/>
        </w:rPr>
        <w:t>Student Aid Internet Gateway (SAIG) Enrollment Document</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AE7170" w:rsidP="003D2485" w14:paraId="1B780B12" w14:textId="7F7B40C7">
      <w:pPr>
        <w:pStyle w:val="BodyText2"/>
        <w:ind w:left="720"/>
        <w:rPr>
          <w:rFonts w:asciiTheme="minorHAnsi" w:hAnsiTheme="minorHAnsi" w:cstheme="minorHAnsi"/>
          <w:sz w:val="24"/>
          <w:szCs w:val="24"/>
          <w:lang w:val="en-US"/>
        </w:rPr>
      </w:pPr>
      <w:r w:rsidRPr="00AE7170">
        <w:rPr>
          <w:rFonts w:asciiTheme="minorHAnsi" w:hAnsiTheme="minorHAnsi" w:cstheme="minorHAnsi"/>
          <w:sz w:val="24"/>
          <w:szCs w:val="24"/>
        </w:rPr>
        <w:t xml:space="preserve">This is a request for </w:t>
      </w:r>
      <w:r w:rsidR="005968C8">
        <w:rPr>
          <w:rFonts w:asciiTheme="minorHAnsi" w:hAnsiTheme="minorHAnsi" w:cstheme="minorHAnsi"/>
          <w:sz w:val="24"/>
          <w:szCs w:val="24"/>
          <w:lang w:val="en-US"/>
        </w:rPr>
        <w:t>a</w:t>
      </w:r>
      <w:r w:rsidR="00EB3C6E">
        <w:rPr>
          <w:rFonts w:asciiTheme="minorHAnsi" w:hAnsiTheme="minorHAnsi" w:cstheme="minorHAnsi"/>
          <w:sz w:val="24"/>
          <w:szCs w:val="24"/>
          <w:lang w:val="en-US"/>
        </w:rPr>
        <w:t>n extension</w:t>
      </w:r>
      <w:r w:rsidR="005968C8">
        <w:rPr>
          <w:rFonts w:asciiTheme="minorHAnsi" w:hAnsiTheme="minorHAnsi" w:cstheme="minorHAnsi"/>
          <w:sz w:val="24"/>
          <w:szCs w:val="24"/>
          <w:lang w:val="en-US"/>
        </w:rPr>
        <w:t xml:space="preserve"> </w:t>
      </w:r>
      <w:r w:rsidRPr="00AE7170">
        <w:rPr>
          <w:rFonts w:asciiTheme="minorHAnsi" w:hAnsiTheme="minorHAnsi" w:cstheme="minorHAnsi"/>
          <w:sz w:val="24"/>
          <w:szCs w:val="24"/>
        </w:rPr>
        <w:t>of the current</w:t>
      </w:r>
      <w:r w:rsidR="002356C8">
        <w:rPr>
          <w:rFonts w:asciiTheme="minorHAnsi" w:hAnsiTheme="minorHAnsi" w:cstheme="minorHAnsi"/>
          <w:sz w:val="24"/>
          <w:szCs w:val="24"/>
          <w:lang w:val="en-US"/>
        </w:rPr>
        <w:t>ly approved</w:t>
      </w:r>
      <w:r w:rsidRPr="00AE7170">
        <w:rPr>
          <w:rFonts w:asciiTheme="minorHAnsi" w:hAnsiTheme="minorHAnsi" w:cstheme="minorHAnsi"/>
          <w:sz w:val="24"/>
          <w:szCs w:val="24"/>
        </w:rPr>
        <w:t xml:space="preserve"> information collection package</w:t>
      </w:r>
      <w:r>
        <w:rPr>
          <w:rFonts w:asciiTheme="minorHAnsi" w:hAnsiTheme="minorHAnsi" w:cstheme="minorHAnsi"/>
          <w:sz w:val="24"/>
          <w:szCs w:val="24"/>
          <w:lang w:val="en-US"/>
        </w:rPr>
        <w:t>, 1845-0002</w:t>
      </w:r>
      <w:r w:rsidRPr="00AE7170">
        <w:rPr>
          <w:rFonts w:asciiTheme="minorHAnsi" w:hAnsiTheme="minorHAnsi" w:cstheme="minorHAnsi"/>
          <w:sz w:val="24"/>
          <w:szCs w:val="24"/>
          <w:lang w:val="en-US"/>
        </w:rPr>
        <w:t>.</w:t>
      </w:r>
      <w:r w:rsidR="002356C8">
        <w:rPr>
          <w:rFonts w:asciiTheme="minorHAnsi" w:hAnsiTheme="minorHAnsi" w:cstheme="minorHAnsi"/>
          <w:sz w:val="24"/>
          <w:szCs w:val="24"/>
          <w:lang w:val="en-US"/>
        </w:rPr>
        <w:t xml:space="preserve">  </w:t>
      </w:r>
      <w:r w:rsidRPr="002356C8" w:rsidR="002356C8">
        <w:rPr>
          <w:rFonts w:asciiTheme="minorHAnsi" w:hAnsiTheme="minorHAnsi" w:cstheme="minorHAnsi"/>
          <w:sz w:val="24"/>
          <w:szCs w:val="24"/>
          <w:lang w:val="en-US"/>
        </w:rPr>
        <w:t>No new data is being collected.</w:t>
      </w:r>
      <w:r w:rsidR="00A4646F">
        <w:rPr>
          <w:rFonts w:asciiTheme="minorHAnsi" w:hAnsiTheme="minorHAnsi" w:cstheme="minorHAnsi"/>
          <w:sz w:val="24"/>
          <w:szCs w:val="24"/>
          <w:lang w:val="en-US"/>
        </w:rPr>
        <w:t xml:space="preserve">  There is no change to the currently approved forms. </w:t>
      </w:r>
      <w:r w:rsidRPr="002356C8" w:rsidR="002356C8">
        <w:rPr>
          <w:rFonts w:asciiTheme="minorHAnsi" w:hAnsiTheme="minorHAnsi" w:cstheme="minorHAnsi"/>
          <w:sz w:val="24"/>
          <w:szCs w:val="24"/>
          <w:lang w:val="en-US"/>
        </w:rPr>
        <w:t xml:space="preserve"> </w:t>
      </w:r>
      <w:r w:rsidR="00A4646F">
        <w:rPr>
          <w:rFonts w:asciiTheme="minorHAnsi" w:hAnsiTheme="minorHAnsi" w:cstheme="minorHAnsi"/>
          <w:sz w:val="24"/>
          <w:szCs w:val="24"/>
          <w:lang w:val="en-US"/>
        </w:rPr>
        <w:t xml:space="preserve"> </w:t>
      </w:r>
    </w:p>
    <w:p w:rsidR="00AE7170" w:rsidP="003D2485" w14:paraId="20B00A8A" w14:textId="77777777">
      <w:pPr>
        <w:pStyle w:val="BodyText2"/>
        <w:ind w:left="720"/>
        <w:rPr>
          <w:rFonts w:asciiTheme="minorHAnsi" w:hAnsiTheme="minorHAnsi" w:cstheme="minorHAnsi"/>
          <w:sz w:val="24"/>
          <w:szCs w:val="24"/>
          <w:lang w:val="en-US"/>
        </w:rPr>
      </w:pPr>
    </w:p>
    <w:p w:rsidR="003D2485" w:rsidRPr="005877D4" w:rsidP="003D2485" w14:paraId="531C029D" w14:textId="674D6F34">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In order to manage the Title IV, HEA assistance programs, authorized by the Higher Education Act of 1965, as amended (HEA); 20 U.S.C. 1070 </w:t>
      </w:r>
      <w:r w:rsidRPr="005877D4">
        <w:rPr>
          <w:rFonts w:asciiTheme="minorHAnsi" w:hAnsiTheme="minorHAnsi" w:cstheme="minorHAnsi"/>
          <w:i/>
          <w:iCs/>
          <w:color w:val="000000" w:themeColor="text1"/>
          <w:sz w:val="24"/>
          <w:szCs w:val="24"/>
        </w:rPr>
        <w:t>et seq.,</w:t>
      </w:r>
      <w:r w:rsidRPr="005877D4">
        <w:rPr>
          <w:rFonts w:asciiTheme="minorHAnsi" w:hAnsiTheme="minorHAnsi" w:cstheme="minorHAnsi"/>
          <w:color w:val="000000" w:themeColor="text1"/>
          <w:sz w:val="24"/>
          <w:szCs w:val="24"/>
        </w:rPr>
        <w:t xml:space="preserve"> Federal Student Aid (FSA) must electronically transact business with the following FSA systems and institutions that include, but are not limited to the following:</w:t>
      </w:r>
    </w:p>
    <w:p w:rsidR="003D2485" w:rsidRPr="005877D4" w:rsidP="003D2485" w14:paraId="749D2523" w14:textId="77777777">
      <w:pPr>
        <w:pStyle w:val="BodyText2"/>
        <w:ind w:left="720"/>
        <w:rPr>
          <w:rFonts w:asciiTheme="minorHAnsi" w:hAnsiTheme="minorHAnsi" w:cstheme="minorHAnsi"/>
          <w:color w:val="000000" w:themeColor="text1"/>
          <w:sz w:val="24"/>
          <w:szCs w:val="24"/>
        </w:rPr>
      </w:pPr>
    </w:p>
    <w:p w:rsidR="003D2485" w:rsidRPr="005877D4" w:rsidP="003D2485" w14:paraId="4BA6A35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Common Origination and Disbursement (COD) system</w:t>
      </w:r>
    </w:p>
    <w:p w:rsidR="003D2485" w:rsidRPr="005877D4" w:rsidP="003D2485" w14:paraId="52D4B1D8"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Central Processing (CPS) system</w:t>
      </w:r>
    </w:p>
    <w:p w:rsidR="003D2485" w:rsidRPr="005877D4" w:rsidP="003D2485" w14:paraId="44B78DA0"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National Student Loan Data System (NSLDS)</w:t>
      </w:r>
    </w:p>
    <w:p w:rsidR="003D2485" w:rsidRPr="005877D4" w:rsidP="003D2485" w14:paraId="50C10B0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Enterprise Complaint System (ECS)</w:t>
      </w:r>
    </w:p>
    <w:p w:rsidR="003D2485" w:rsidRPr="005877D4" w:rsidP="003D2485" w14:paraId="18D074C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Financial Management System (FMS)</w:t>
      </w:r>
    </w:p>
    <w:p w:rsidR="003D2485" w:rsidRPr="005877D4" w:rsidP="003D2485" w14:paraId="101C54A7" w14:textId="77777777">
      <w:pPr>
        <w:widowControl w:val="0"/>
        <w:numPr>
          <w:ilvl w:val="0"/>
          <w:numId w:val="8"/>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lang w:val="en"/>
        </w:rPr>
        <w:t>Total and Permanent Disability (TPD) System (Total and Permanent Disability (TPD) Loan Holder Notification)</w:t>
      </w:r>
    </w:p>
    <w:p w:rsidR="003D2485" w:rsidRPr="005877D4" w:rsidP="003D2485" w14:paraId="29E84F27"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Common Services for Borrowers (CSB)</w:t>
      </w:r>
    </w:p>
    <w:p w:rsidR="003D2485" w:rsidRPr="005877D4" w:rsidP="003D2485" w14:paraId="503165C1"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Debt Management Collection System (DMCS), under CSB</w:t>
      </w:r>
    </w:p>
    <w:p w:rsidR="003D2485" w:rsidRPr="005877D4" w:rsidP="003D2485" w14:paraId="12198E1C"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Federal Loan  Servicers (FLS)</w:t>
      </w:r>
    </w:p>
    <w:p w:rsidR="003D2485" w:rsidRPr="005877D4" w:rsidP="003D2485" w14:paraId="796D7859"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and Identity Management System (AIMS)</w:t>
      </w:r>
    </w:p>
    <w:p w:rsidR="003D2485" w:rsidRPr="005877D4" w:rsidP="003D2485" w14:paraId="77AEE6AA"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Postsecondary Educational Participants System (PEPS)</w:t>
      </w:r>
    </w:p>
    <w:p w:rsidR="003D2485" w:rsidRPr="005877D4" w:rsidP="00610364" w14:paraId="0BD3FD2D" w14:textId="77777777">
      <w:pPr>
        <w:widowControl w:val="0"/>
        <w:numPr>
          <w:ilvl w:val="0"/>
          <w:numId w:val="8"/>
        </w:numPr>
        <w:tabs>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Institutions of higher education that participate in Title IV, HEA assistance programs.</w:t>
      </w:r>
    </w:p>
    <w:p w:rsidR="003D2485" w:rsidRPr="005877D4" w:rsidP="00610364" w14:paraId="5EA44CBC" w14:textId="77777777">
      <w:pPr>
        <w:widowControl w:val="0"/>
        <w:numPr>
          <w:ilvl w:val="0"/>
          <w:numId w:val="8"/>
        </w:numPr>
        <w:tabs>
          <w:tab w:val="clear" w:pos="720"/>
          <w:tab w:val="num" w:pos="14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Third-party servicers that provide services to eligible institutions of higher education. </w:t>
      </w:r>
    </w:p>
    <w:p w:rsidR="003D2485" w:rsidRPr="005877D4" w:rsidP="003D2485" w14:paraId="6020BAA3"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State Scholarship and Grant Agencies</w:t>
      </w:r>
    </w:p>
    <w:p w:rsidR="003D2485" w:rsidRPr="005877D4" w:rsidP="003D2485" w14:paraId="62A4E018" w14:textId="77777777">
      <w:pPr>
        <w:widowControl w:val="0"/>
        <w:numPr>
          <w:ilvl w:val="0"/>
          <w:numId w:val="8"/>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Guaranty agencies for the Federal Family Education Loan (FFEL) Program or their third-party servicers</w:t>
      </w:r>
    </w:p>
    <w:p w:rsidR="003D2485" w:rsidRPr="005877D4" w:rsidP="003D2485" w14:paraId="6A35F399" w14:textId="77777777">
      <w:pPr>
        <w:widowControl w:val="0"/>
        <w:numPr>
          <w:ilvl w:val="0"/>
          <w:numId w:val="8"/>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Lenders for the Federal Family Education Loan (FFEL) Program or their third-party servicers</w:t>
      </w:r>
    </w:p>
    <w:p w:rsidR="003D2485" w:rsidRPr="005877D4" w:rsidP="003D2485" w14:paraId="32CF3097"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Others approved by the U.S. Department of Education</w:t>
      </w:r>
    </w:p>
    <w:p w:rsidR="003D2485" w:rsidRPr="005877D4" w:rsidP="003D2485" w14:paraId="5187DBEF" w14:textId="77777777">
      <w:pPr>
        <w:ind w:left="720"/>
        <w:rPr>
          <w:rFonts w:asciiTheme="minorHAnsi" w:hAnsiTheme="minorHAnsi" w:cstheme="minorHAnsi"/>
          <w:color w:val="000000" w:themeColor="text1"/>
          <w:szCs w:val="24"/>
        </w:rPr>
      </w:pPr>
    </w:p>
    <w:p w:rsidR="003D2485" w:rsidRPr="005877D4" w:rsidP="003D2485" w14:paraId="640D39D0" w14:textId="77777777">
      <w:pPr>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U.S. Department of Education, FFEL lenders and their third-party servicers, guaranty agencies and their third-party servicers, Federal Loan Servicers (FLS), local educational agencies (LEAs), public secondary schools, private secondary schools, State agencies and their third-party servicers, and institutions of higher education and their third-party servicers use the Student Aid Internet Gateway (SAIG) to electronically transmit and receive data with the Department’s contracted processors for Title IV, HEA assistance programs.  The entities described above (the Entities) that need access to the SAIG and online Federal Student Aid (FSA) systems must enroll with FSA through the SAIG Participation Management System, at the </w:t>
      </w:r>
      <w:hyperlink r:id="rId9" w:history="1">
        <w:r w:rsidRPr="005877D4">
          <w:rPr>
            <w:rStyle w:val="Hyperlink"/>
            <w:rFonts w:asciiTheme="minorHAnsi" w:hAnsiTheme="minorHAnsi" w:cstheme="minorHAnsi"/>
            <w:color w:val="000000" w:themeColor="text1"/>
            <w:szCs w:val="24"/>
          </w:rPr>
          <w:t>https://fsawebenroll.ed.gov</w:t>
        </w:r>
      </w:hyperlink>
      <w:r w:rsidRPr="005877D4">
        <w:rPr>
          <w:rFonts w:asciiTheme="minorHAnsi" w:hAnsiTheme="minorHAnsi" w:cstheme="minorHAnsi"/>
          <w:color w:val="000000" w:themeColor="text1"/>
          <w:szCs w:val="24"/>
        </w:rPr>
        <w:t xml:space="preserve"> Web site, or by using the paper SAIG Enrollment Form, to establish a location, called a Destination Point (which is identified by a TG Number), from which to transact business electronically with FSA. </w:t>
      </w:r>
    </w:p>
    <w:p w:rsidR="003D2485" w:rsidRPr="005877D4" w:rsidP="003D2485" w14:paraId="6A6FC02B" w14:textId="77777777">
      <w:pPr>
        <w:ind w:left="720"/>
        <w:rPr>
          <w:rFonts w:asciiTheme="minorHAnsi" w:hAnsiTheme="minorHAnsi" w:cstheme="minorHAnsi"/>
          <w:color w:val="000000" w:themeColor="text1"/>
          <w:szCs w:val="24"/>
        </w:rPr>
      </w:pPr>
    </w:p>
    <w:p w:rsidR="003D2485" w:rsidRPr="005877D4" w:rsidP="003D2485" w14:paraId="5C2C2921" w14:textId="77777777">
      <w:pPr>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In order to protect privacy information contained in the FSA systems, FSA has established security procedures that include requiring the Entities that need access to FSA systems to designate individuals to serve as a Primary Destination Point Administrator (Primary DPA) in order to conduct transactions on behalf of the Entities.  Once a Primary DPA is established, he or she may enroll additional Destination Point Administrators (Non-Primary DPAs) for selected electronic services and for access to FSA systems.</w:t>
      </w:r>
    </w:p>
    <w:p w:rsidR="003D2485" w:rsidRPr="005877D4" w:rsidP="003D2485" w14:paraId="2532CC54" w14:textId="77777777">
      <w:pPr>
        <w:ind w:left="720"/>
        <w:rPr>
          <w:rFonts w:asciiTheme="minorHAnsi" w:hAnsiTheme="minorHAnsi" w:cstheme="minorHAnsi"/>
          <w:color w:val="000000" w:themeColor="text1"/>
          <w:szCs w:val="24"/>
        </w:rPr>
      </w:pPr>
    </w:p>
    <w:p w:rsidR="003D2485" w:rsidRPr="005877D4" w:rsidP="003D2485" w14:paraId="28D5773A" w14:textId="77777777">
      <w:pPr>
        <w:pStyle w:val="BodyText2"/>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 xml:space="preserve">Before a Primary DPA is granted access to the SAIG, the individual must enroll with FSA by providing his or her name, date of birth, address, email address, telephone number, Social Security Number, certain confidential information that only the Primary DPA knows, the name of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 xml:space="preserve">ntity the Primary DPA represents and by indicating the specific services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ntity wishes to participate in through the Primary DPA.</w:t>
      </w:r>
    </w:p>
    <w:p w:rsidR="003D2485" w:rsidRPr="005877D4" w:rsidP="003D2485" w14:paraId="204BB534" w14:textId="77777777">
      <w:pPr>
        <w:pStyle w:val="BodyText2"/>
        <w:ind w:left="720"/>
        <w:rPr>
          <w:rFonts w:asciiTheme="minorHAnsi" w:hAnsiTheme="minorHAnsi" w:cstheme="minorHAnsi"/>
          <w:color w:val="000000" w:themeColor="text1"/>
          <w:sz w:val="24"/>
          <w:szCs w:val="24"/>
          <w:lang w:val="en-US"/>
        </w:rPr>
      </w:pPr>
    </w:p>
    <w:p w:rsidR="003D2485" w:rsidRPr="005877D4" w:rsidP="003D2485" w14:paraId="13734A29" w14:textId="77777777">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Most of the enrollment process can be completed from the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xml:space="preserve"> Web site; however, enrollment is not considered complete until FSA receives a hard-copy certification page </w:t>
      </w:r>
      <w:r w:rsidRPr="005877D4">
        <w:rPr>
          <w:rFonts w:asciiTheme="minorHAnsi" w:hAnsiTheme="minorHAnsi" w:cstheme="minorHAnsi"/>
          <w:color w:val="000000" w:themeColor="text1"/>
          <w:sz w:val="24"/>
          <w:szCs w:val="24"/>
          <w:lang w:val="en-US"/>
        </w:rPr>
        <w:t xml:space="preserve">of </w:t>
      </w:r>
      <w:r w:rsidRPr="005877D4">
        <w:rPr>
          <w:rFonts w:asciiTheme="minorHAnsi" w:hAnsiTheme="minorHAnsi" w:cstheme="minorHAnsi"/>
          <w:color w:val="000000" w:themeColor="text1"/>
          <w:sz w:val="24"/>
          <w:szCs w:val="24"/>
        </w:rPr>
        <w:t xml:space="preserve">the Primary DPA’s enrollment agreement signed by the Primary DPA and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 xml:space="preserve">ntity’s chief operating officer authorized to enter into written agreements for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ntity.  Only the Primary DPA may enroll additional organizational members and select the specific services to be conducted by each of those individuals.  Each Primary DPA that enrolls other Non-</w:t>
      </w:r>
      <w:r w:rsidRPr="005877D4">
        <w:rPr>
          <w:rFonts w:asciiTheme="minorHAnsi" w:hAnsiTheme="minorHAnsi" w:cstheme="minorHAnsi"/>
          <w:color w:val="000000" w:themeColor="text1"/>
          <w:sz w:val="24"/>
          <w:szCs w:val="24"/>
          <w:lang w:val="en-US"/>
        </w:rPr>
        <w:t>P</w:t>
      </w:r>
      <w:r w:rsidRPr="005877D4">
        <w:rPr>
          <w:rFonts w:asciiTheme="minorHAnsi" w:hAnsiTheme="minorHAnsi" w:cstheme="minorHAnsi"/>
          <w:color w:val="000000" w:themeColor="text1"/>
          <w:sz w:val="24"/>
          <w:szCs w:val="24"/>
        </w:rPr>
        <w:t xml:space="preserve">rimary DPAs must provide the same personally identifiable information about each of those individuals that he or she provided (e.g., name, Social Security </w:t>
      </w:r>
      <w:r w:rsidRPr="005877D4">
        <w:rPr>
          <w:rFonts w:asciiTheme="minorHAnsi" w:hAnsiTheme="minorHAnsi" w:cstheme="minorHAnsi"/>
          <w:color w:val="000000" w:themeColor="text1"/>
          <w:sz w:val="24"/>
          <w:szCs w:val="24"/>
          <w:lang w:val="en-US"/>
        </w:rPr>
        <w:t>n</w:t>
      </w:r>
      <w:r w:rsidRPr="005877D4">
        <w:rPr>
          <w:rFonts w:asciiTheme="minorHAnsi" w:hAnsiTheme="minorHAnsi" w:cstheme="minorHAnsi"/>
          <w:color w:val="000000" w:themeColor="text1"/>
          <w:sz w:val="24"/>
          <w:szCs w:val="24"/>
        </w:rPr>
        <w:t xml:space="preserve">umber, etc.). </w:t>
      </w:r>
    </w:p>
    <w:p w:rsidR="003D2485" w:rsidRPr="005877D4" w:rsidP="003D2485" w14:paraId="48F0B832" w14:textId="77777777">
      <w:pPr>
        <w:pStyle w:val="BodyText2"/>
        <w:spacing w:before="240" w:line="268" w:lineRule="exact"/>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An enrolled Primary DPA is able to –</w:t>
      </w:r>
    </w:p>
    <w:p w:rsidR="003D2485" w:rsidRPr="005877D4" w:rsidP="003D2485" w14:paraId="55D743EF" w14:textId="77777777">
      <w:pPr>
        <w:widowControl w:val="0"/>
        <w:numPr>
          <w:ilvl w:val="0"/>
          <w:numId w:val="6"/>
        </w:numPr>
        <w:spacing w:line="316"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Electronically exchange files of financial aid data </w:t>
      </w:r>
    </w:p>
    <w:p w:rsidR="003D2485" w:rsidRPr="005877D4" w:rsidP="003D2485" w14:paraId="3E5605A3" w14:textId="77777777">
      <w:pPr>
        <w:widowControl w:val="0"/>
        <w:numPr>
          <w:ilvl w:val="0"/>
          <w:numId w:val="6"/>
        </w:numPr>
        <w:spacing w:line="316"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services of the Federal Direct Loan Program</w:t>
      </w:r>
    </w:p>
    <w:p w:rsidR="003D2485" w:rsidRPr="005877D4" w:rsidP="003D2485" w14:paraId="05230194" w14:textId="77777777">
      <w:pPr>
        <w:widowControl w:val="0"/>
        <w:numPr>
          <w:ilvl w:val="0"/>
          <w:numId w:val="6"/>
        </w:numPr>
        <w:tabs>
          <w:tab w:val="num" w:pos="27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Grant services of the Federal Pell Grant program and the Teacher Education Assistance for College and Higher Education (TEACH) Grant program</w:t>
      </w:r>
    </w:p>
    <w:p w:rsidR="003D2485" w:rsidRPr="005877D4" w:rsidP="003D2485" w14:paraId="2B00498F" w14:textId="77777777">
      <w:pPr>
        <w:widowControl w:val="0"/>
        <w:numPr>
          <w:ilvl w:val="0"/>
          <w:numId w:val="6"/>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Access the Central Processing System (CPS) database or Web-based systems </w:t>
      </w:r>
      <w:r w:rsidRPr="005877D4">
        <w:rPr>
          <w:rFonts w:asciiTheme="minorHAnsi" w:hAnsiTheme="minorHAnsi" w:cstheme="minorHAnsi"/>
          <w:color w:val="000000" w:themeColor="text1"/>
          <w:szCs w:val="24"/>
        </w:rPr>
        <w:t>through FAA Access to CPS Online</w:t>
      </w:r>
    </w:p>
    <w:p w:rsidR="003D2485" w:rsidRPr="005877D4" w:rsidP="003D2485" w14:paraId="4512AEAB"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National Student Loan Data System (NSLDS) and receive cohort default rate (eCDR) notification packages</w:t>
      </w:r>
    </w:p>
    <w:p w:rsidR="003D2485" w:rsidRPr="005877D4" w:rsidP="003D2485" w14:paraId="78C3A70A" w14:textId="77777777">
      <w:pPr>
        <w:widowControl w:val="0"/>
        <w:numPr>
          <w:ilvl w:val="0"/>
          <w:numId w:val="6"/>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Lender Reporting System (LaRS) to send financial reporting information to Federal Student Aid’s Financial Management System (FMS)</w:t>
      </w:r>
    </w:p>
    <w:p w:rsidR="003D2485" w:rsidRPr="005877D4" w:rsidP="003D2485" w14:paraId="04EC316F"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Access the online NSLDS </w:t>
      </w:r>
      <w:r w:rsidRPr="005877D4">
        <w:rPr>
          <w:rFonts w:asciiTheme="minorHAnsi" w:hAnsiTheme="minorHAnsi" w:cstheme="minorHAnsi"/>
          <w:iCs/>
          <w:color w:val="000000" w:themeColor="text1"/>
          <w:szCs w:val="24"/>
        </w:rPr>
        <w:t>Enrollment Reporting (</w:t>
      </w:r>
      <w:r w:rsidRPr="005877D4">
        <w:rPr>
          <w:rFonts w:asciiTheme="minorHAnsi" w:hAnsiTheme="minorHAnsi" w:cstheme="minorHAnsi"/>
          <w:color w:val="000000" w:themeColor="text1"/>
          <w:szCs w:val="24"/>
        </w:rPr>
        <w:t xml:space="preserve">formerly SSCR) function for updating student enrollment and </w:t>
      </w:r>
      <w:r w:rsidRPr="005877D4">
        <w:rPr>
          <w:rFonts w:asciiTheme="minorHAnsi" w:hAnsiTheme="minorHAnsi" w:cstheme="minorHAnsi"/>
          <w:iCs/>
          <w:color w:val="000000" w:themeColor="text1"/>
          <w:szCs w:val="24"/>
        </w:rPr>
        <w:t xml:space="preserve">Gainful Employment </w:t>
      </w:r>
      <w:r w:rsidRPr="005877D4">
        <w:rPr>
          <w:rFonts w:asciiTheme="minorHAnsi" w:hAnsiTheme="minorHAnsi" w:cstheme="minorHAnsi"/>
          <w:color w:val="000000" w:themeColor="text1"/>
          <w:szCs w:val="24"/>
        </w:rPr>
        <w:t xml:space="preserve">data and </w:t>
      </w:r>
      <w:r w:rsidRPr="005877D4">
        <w:rPr>
          <w:rFonts w:asciiTheme="minorHAnsi" w:hAnsiTheme="minorHAnsi" w:cstheme="minorHAnsi"/>
          <w:iCs/>
          <w:color w:val="000000" w:themeColor="text1"/>
          <w:szCs w:val="24"/>
        </w:rPr>
        <w:t>Gainful Employment rates.</w:t>
      </w:r>
      <w:r w:rsidRPr="005877D4">
        <w:rPr>
          <w:rFonts w:asciiTheme="minorHAnsi" w:hAnsiTheme="minorHAnsi" w:cstheme="minorHAnsi"/>
          <w:color w:val="000000" w:themeColor="text1"/>
          <w:szCs w:val="24"/>
        </w:rPr>
        <w:t xml:space="preserve"> </w:t>
      </w:r>
    </w:p>
    <w:p w:rsidR="003D2485" w:rsidRPr="005877D4" w:rsidP="003D2485" w14:paraId="74311A1B"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COD Website to create and modify loan and disbursement data or receive Electronic Income-Based Repayment (IBR)/Pay As You Earn/Income-Contingent Repayment (ICR) Plan Request.</w:t>
      </w:r>
    </w:p>
    <w:p w:rsidR="003D2485" w:rsidRPr="005877D4" w:rsidP="003D2485" w14:paraId="1AC37326"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Re-disclose student’s Free Application for Federal Student Aid (FAFSA) filing status to a state, local, or private entity designated by the Secretary of Education per written agreement. </w:t>
      </w:r>
    </w:p>
    <w:p w:rsidR="003D2485" w:rsidRPr="005877D4" w:rsidP="003D2485" w14:paraId="57253DAA" w14:textId="77777777">
      <w:pPr>
        <w:pStyle w:val="Header"/>
        <w:spacing w:line="302" w:lineRule="exact"/>
        <w:ind w:left="720"/>
        <w:rPr>
          <w:rFonts w:asciiTheme="minorHAnsi" w:hAnsiTheme="minorHAnsi" w:cstheme="minorHAnsi"/>
          <w:color w:val="000000" w:themeColor="text1"/>
          <w:szCs w:val="24"/>
        </w:rPr>
      </w:pPr>
    </w:p>
    <w:p w:rsidR="003D2485" w:rsidRPr="005877D4" w:rsidP="003D2485" w14:paraId="4ABB79D3" w14:textId="77777777">
      <w:pPr>
        <w:pStyle w:val="Header"/>
        <w:spacing w:line="302"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With access to FSA systems, a Primary DPA can –</w:t>
      </w:r>
    </w:p>
    <w:p w:rsidR="003D2485" w:rsidRPr="005877D4" w:rsidP="003D2485" w14:paraId="153D700B" w14:textId="77777777">
      <w:pPr>
        <w:widowControl w:val="0"/>
        <w:numPr>
          <w:ilvl w:val="0"/>
          <w:numId w:val="7"/>
        </w:numPr>
        <w:tabs>
          <w:tab w:val="num" w:pos="450"/>
          <w:tab w:val="clear" w:pos="720"/>
        </w:tabs>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Complete and send electronic initial and renewal financial aid (FAFSA) applications to the CPS</w:t>
      </w:r>
    </w:p>
    <w:p w:rsidR="003D2485" w:rsidRPr="005877D4" w:rsidP="003D2485" w14:paraId="7100080C"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electronic Institutional Student Information Records (ISIRs) from the CPS</w:t>
      </w:r>
    </w:p>
    <w:p w:rsidR="003D2485" w:rsidRPr="005877D4" w:rsidP="003D2485" w14:paraId="29419B16"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Send electronic corrections of applicant data to the CPS</w:t>
      </w:r>
    </w:p>
    <w:p w:rsidR="003D2485" w:rsidRPr="005877D4" w:rsidP="003D2485" w14:paraId="54E77607" w14:textId="77777777">
      <w:pPr>
        <w:widowControl w:val="0"/>
        <w:numPr>
          <w:ilvl w:val="0"/>
          <w:numId w:val="6"/>
        </w:numPr>
        <w:tabs>
          <w:tab w:val="num" w:pos="540"/>
          <w:tab w:val="clear" w:pos="720"/>
        </w:tabs>
        <w:spacing w:before="20"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payment and required reporting information from the Federal Pell Grant program and the TEACH Grant program</w:t>
      </w:r>
    </w:p>
    <w:p w:rsidR="003D2485" w:rsidRPr="005877D4" w:rsidP="00610364" w14:paraId="4EA7DEFB" w14:textId="77777777">
      <w:pPr>
        <w:widowControl w:val="0"/>
        <w:numPr>
          <w:ilvl w:val="0"/>
          <w:numId w:val="7"/>
        </w:numPr>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Electronic Statements of Accounts (ESOA) from the Federal Pell Grant Program</w:t>
      </w:r>
    </w:p>
    <w:p w:rsidR="003D2485" w:rsidRPr="005877D4" w:rsidP="003D2485" w14:paraId="1922275E" w14:textId="77777777">
      <w:pPr>
        <w:widowControl w:val="0"/>
        <w:numPr>
          <w:ilvl w:val="0"/>
          <w:numId w:val="7"/>
        </w:numPr>
        <w:tabs>
          <w:tab w:val="num" w:pos="450"/>
          <w:tab w:val="clear" w:pos="720"/>
        </w:tabs>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data with the Federal Direct Loan Program to originate loans; draw down, disburse, and reconcile loan funds; and report student status.</w:t>
      </w:r>
    </w:p>
    <w:p w:rsidR="003D2485" w:rsidRPr="005877D4" w:rsidP="003D2485" w14:paraId="4E4CEF01"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data with the NSLDS</w:t>
      </w:r>
    </w:p>
    <w:p w:rsidR="003D2485" w:rsidRPr="005877D4" w:rsidP="003D2485" w14:paraId="7879D97E"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eCDR Rate Reports from Default Management</w:t>
      </w:r>
    </w:p>
    <w:p w:rsidR="003D2485" w:rsidRPr="005877D4" w:rsidP="003D2485" w14:paraId="7599B8B2" w14:textId="77777777">
      <w:pPr>
        <w:spacing w:before="235" w:line="278"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On November 29, 1996, the Secretary published final regulations in the </w:t>
      </w:r>
      <w:r w:rsidRPr="005877D4">
        <w:rPr>
          <w:rFonts w:asciiTheme="minorHAnsi" w:hAnsiTheme="minorHAnsi" w:cstheme="minorHAnsi"/>
          <w:color w:val="000000" w:themeColor="text1"/>
          <w:szCs w:val="24"/>
          <w:u w:val="single"/>
        </w:rPr>
        <w:t>Federal</w:t>
      </w:r>
      <w:r w:rsidRPr="005877D4">
        <w:rPr>
          <w:rFonts w:asciiTheme="minorHAnsi" w:hAnsiTheme="minorHAnsi" w:cstheme="minorHAnsi"/>
          <w:color w:val="000000" w:themeColor="text1"/>
          <w:szCs w:val="24"/>
        </w:rPr>
        <w:t xml:space="preserve"> </w:t>
      </w:r>
      <w:r w:rsidRPr="005877D4">
        <w:rPr>
          <w:rFonts w:asciiTheme="minorHAnsi" w:hAnsiTheme="minorHAnsi" w:cstheme="minorHAnsi"/>
          <w:color w:val="000000" w:themeColor="text1"/>
          <w:szCs w:val="24"/>
          <w:u w:val="single"/>
        </w:rPr>
        <w:t>Register</w:t>
      </w:r>
      <w:r w:rsidRPr="005877D4">
        <w:rPr>
          <w:rFonts w:asciiTheme="minorHAnsi" w:hAnsiTheme="minorHAnsi" w:cstheme="minorHAnsi"/>
          <w:color w:val="000000" w:themeColor="text1"/>
          <w:szCs w:val="24"/>
        </w:rPr>
        <w:t xml:space="preserve"> (61 FR 60603) that required institutions to participate in the electronic processes identified by the Secretary in order to improve the administration and delivery of FSA program funds to students and institutions and to protect Federal fiscal interests. Institutions must use software developed by the institution, or its</w:t>
      </w:r>
      <w:r w:rsidRPr="005877D4">
        <w:rPr>
          <w:rFonts w:asciiTheme="minorHAnsi" w:hAnsiTheme="minorHAnsi" w:cstheme="minorHAnsi"/>
          <w:i/>
          <w:color w:val="000000" w:themeColor="text1"/>
          <w:szCs w:val="24"/>
        </w:rPr>
        <w:t xml:space="preserve"> </w:t>
      </w:r>
      <w:r w:rsidRPr="005877D4">
        <w:rPr>
          <w:rFonts w:asciiTheme="minorHAnsi" w:hAnsiTheme="minorHAnsi" w:cstheme="minorHAnsi"/>
          <w:color w:val="000000" w:themeColor="text1"/>
          <w:szCs w:val="24"/>
        </w:rPr>
        <w:t xml:space="preserve">vendor, in accordance with the specifications provided by the Secretary in the regulations.  The Secretary believes that the savings and benefits from these electronic business processes are more than offset by any necessary initial investments by both the U.S. Department of Education and by institutions. </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3D2485" w:rsidRPr="005877D4" w:rsidP="003D2485" w14:paraId="3D7C4EC3" w14:textId="77777777">
      <w:pPr>
        <w:pStyle w:val="BodyText2"/>
        <w:spacing w:line="278" w:lineRule="exact"/>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The Participant Management System manages a participant database, which is a collection of data from the SAIG Enrollment Form. The enrollment process enables entities to receive, transmit, view, and update student financial aid data available </w:t>
      </w:r>
      <w:r w:rsidRPr="005877D4">
        <w:rPr>
          <w:rFonts w:asciiTheme="minorHAnsi" w:hAnsiTheme="minorHAnsi" w:cstheme="minorHAnsi"/>
          <w:color w:val="000000" w:themeColor="text1"/>
          <w:sz w:val="24"/>
          <w:szCs w:val="24"/>
        </w:rPr>
        <w:t xml:space="preserve">through the SAIG Mailbox system and other FSA online Web services (e.g. NSLDS online and FAA Access).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The enrollment form is available on the Internet at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Information collected via the enrollment form is used to assign entities a SAIG Mailbox ID (TG Number) and associate the application services selected to that entity and its Primary DPA, as well as its non-Primary DPAs.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3D2485" w:rsidRPr="005877D4" w:rsidP="003D2485" w14:paraId="74402638" w14:textId="77777777">
      <w:pPr>
        <w:pStyle w:val="BodyText2"/>
        <w:spacing w:line="278" w:lineRule="exact"/>
        <w:ind w:left="720"/>
        <w:rPr>
          <w:rFonts w:asciiTheme="minorHAnsi" w:hAnsiTheme="minorHAnsi" w:cstheme="minorHAnsi"/>
          <w:strike/>
          <w:color w:val="000000" w:themeColor="text1"/>
          <w:sz w:val="24"/>
          <w:szCs w:val="24"/>
        </w:rPr>
      </w:pPr>
      <w:r w:rsidRPr="005877D4">
        <w:rPr>
          <w:rFonts w:asciiTheme="minorHAnsi" w:hAnsiTheme="minorHAnsi" w:cstheme="minorHAnsi"/>
          <w:color w:val="000000" w:themeColor="text1"/>
          <w:sz w:val="24"/>
          <w:szCs w:val="24"/>
        </w:rPr>
        <w:t xml:space="preserve">The enrollment process for electronic services and access to FSA systems is on the Internet, and the design of the Web site is based on the SAIG Enrollment Form (paper).  Customers can enroll and change services via the SAIG enrollment Web site at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xml:space="preserve">.  This Web site reduces and virtually eliminates paper collection for enrollment (the paper enrollment form and process will continue to be available upon request for entities having difficulties accessing the Internet).  Entities may use the Web enrollment process to complete and submit applications to participate in the FSA electronic services currently available.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The U.S. Department of Education is sensitive to the concerns of entities and individuals regarding the security of their application data.  Users will be prompted to enter confidential authentication identifiers in order to validate their identity before being allowed to change or update FSA services.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In addition, users will be advised via the Web site to check the security configuration of their browser to ensure that the information they transmit to ED is protected.</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3D2485" w:rsidRPr="005877D4" w:rsidP="003D2485" w14:paraId="4D63BA37" w14:textId="77777777">
      <w:pPr>
        <w:pStyle w:val="BodyText2"/>
        <w:widowControl/>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The SAIG enrollment form is the only means that Title IV</w:t>
      </w:r>
      <w:r w:rsidRPr="005877D4">
        <w:rPr>
          <w:rFonts w:asciiTheme="minorHAnsi" w:hAnsiTheme="minorHAnsi" w:cstheme="minorHAnsi"/>
          <w:color w:val="000000" w:themeColor="text1"/>
          <w:sz w:val="24"/>
          <w:szCs w:val="24"/>
          <w:lang w:val="en-US"/>
        </w:rPr>
        <w:t>, HEA</w:t>
      </w:r>
      <w:r w:rsidRPr="005877D4">
        <w:rPr>
          <w:rFonts w:asciiTheme="minorHAnsi" w:hAnsiTheme="minorHAnsi" w:cstheme="minorHAnsi"/>
          <w:color w:val="000000" w:themeColor="text1"/>
          <w:sz w:val="24"/>
          <w:szCs w:val="24"/>
        </w:rPr>
        <w:t xml:space="preserve"> participating schools and other eligible entities can use to enroll for the previously mentioned data exchange services.</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3D2485" w:rsidP="00AD381B" w14:paraId="3F808274" w14:textId="67E24AFD">
      <w:pPr>
        <w:pStyle w:val="ListParagraph"/>
        <w:contextualSpacing w:val="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No small businesses are affected by this information collection.</w:t>
      </w:r>
    </w:p>
    <w:p w:rsidR="002356C8" w:rsidRPr="005F4E11" w:rsidP="00AD381B" w14:paraId="6F63AF7D"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3D2485" w:rsidRPr="005877D4" w:rsidP="003D2485" w14:paraId="4F278DCD" w14:textId="77777777">
      <w:pPr>
        <w:pStyle w:val="BodyText2"/>
        <w:widowControl/>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 xml:space="preserve">If </w:t>
      </w:r>
      <w:r w:rsidRPr="005877D4">
        <w:rPr>
          <w:rFonts w:asciiTheme="minorHAnsi" w:hAnsiTheme="minorHAnsi" w:cstheme="minorHAnsi"/>
          <w:color w:val="000000" w:themeColor="text1"/>
          <w:sz w:val="24"/>
          <w:szCs w:val="24"/>
          <w:lang w:val="en-US"/>
        </w:rPr>
        <w:t xml:space="preserve">this </w:t>
      </w:r>
      <w:r w:rsidRPr="005877D4">
        <w:rPr>
          <w:rFonts w:asciiTheme="minorHAnsi" w:hAnsiTheme="minorHAnsi" w:cstheme="minorHAnsi"/>
          <w:color w:val="000000" w:themeColor="text1"/>
          <w:sz w:val="24"/>
          <w:szCs w:val="24"/>
        </w:rPr>
        <w:t>collection is not conducted, no new participants will be able to enroll for electronic services</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and access FSA systems.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Existing participants will not be able to change their existing services, including deactivating individuals who no longer need access to the services, or who are no longer employed</w:t>
      </w:r>
      <w:r w:rsidRPr="005877D4">
        <w:rPr>
          <w:rFonts w:asciiTheme="minorHAnsi" w:hAnsiTheme="minorHAnsi" w:cstheme="minorHAnsi"/>
          <w:color w:val="000000" w:themeColor="text1"/>
          <w:sz w:val="24"/>
          <w:szCs w:val="24"/>
          <w:lang w:val="en-US"/>
        </w:rPr>
        <w:t xml:space="preserve"> by an Entity</w:t>
      </w:r>
      <w:r w:rsidRPr="005877D4">
        <w:rPr>
          <w:rFonts w:asciiTheme="minorHAnsi" w:hAnsiTheme="minorHAnsi" w:cstheme="minorHAnsi"/>
          <w:color w:val="000000" w:themeColor="text1"/>
          <w:sz w:val="24"/>
          <w:szCs w:val="24"/>
        </w:rPr>
        <w: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P="00AD381B" w14:paraId="64280E68" w14:textId="7E87C409">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3D2485" w:rsidRPr="00AD381B" w:rsidP="003D2485" w14:paraId="39788156" w14:textId="17A8D377">
      <w:pPr>
        <w:tabs>
          <w:tab w:val="left" w:pos="-720"/>
        </w:tabs>
        <w:suppressAutoHyphens/>
        <w:ind w:left="1440"/>
        <w:rPr>
          <w:rFonts w:ascii="Times New Roman" w:hAnsi="Times New Roman"/>
          <w:b/>
          <w:szCs w:val="24"/>
        </w:rPr>
      </w:pPr>
      <w:r w:rsidRPr="005877D4">
        <w:rPr>
          <w:rFonts w:asciiTheme="minorHAnsi" w:hAnsiTheme="minorHAnsi" w:cstheme="minorHAnsi"/>
          <w:color w:val="000000" w:themeColor="text1"/>
          <w:szCs w:val="24"/>
        </w:rPr>
        <w:t>N/A – Respondents report as needed.</w:t>
      </w:r>
    </w:p>
    <w:p w:rsidR="00043C32" w:rsidP="00AD381B" w14:paraId="64280E6A" w14:textId="31044A8D">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72248" w:rsidRPr="005877D4" w:rsidP="00072248" w14:paraId="664F9C70" w14:textId="77777777">
      <w:pPr>
        <w:pStyle w:val="ListParagraph"/>
        <w:spacing w:line="259"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Respondents report as they need to enroll or make changes to an enrollment.</w:t>
      </w:r>
    </w:p>
    <w:p w:rsidR="00043C32" w:rsidP="00AD381B" w14:paraId="64280E6C" w14:textId="5D2571F1">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72248" w:rsidP="00072248" w14:paraId="3B8B890D" w14:textId="60A343D0">
      <w:pPr>
        <w:pStyle w:val="ListParagraph"/>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Only the originals are submitted.</w:t>
      </w:r>
    </w:p>
    <w:p w:rsidR="00043C32" w:rsidP="00AD381B" w14:paraId="64280E6E" w14:textId="3194A5F3">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72248" w:rsidP="00072248" w14:paraId="43F4091D" w14:textId="66ED4D26">
      <w:pPr>
        <w:pStyle w:val="ListParagraph"/>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The Office of Inspector General periodically audits schools.  Schools must keep copies of the participation information with signatures for review as well as the FSA User of Electronic Services Statement with original signature.  These documents are required to protect the security of the FSA’s systems of records.</w:t>
      </w:r>
    </w:p>
    <w:p w:rsidR="00043C32" w:rsidP="00AD381B" w14:paraId="64280E70" w14:textId="0F68162C">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72248" w:rsidRPr="005877D4" w:rsidP="00072248" w14:paraId="6541C228" w14:textId="374F274F">
      <w:pPr>
        <w:pStyle w:val="BodyText0"/>
        <w:spacing w:after="0" w:line="264"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These data are not collected to conduct statistical surveys.</w:t>
      </w:r>
    </w:p>
    <w:p w:rsidR="00043C32" w:rsidP="00AD381B" w14:paraId="64280E72" w14:textId="06BD2C78">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72248" w:rsidP="00072248" w14:paraId="0BCCFCFC" w14:textId="308E9D0C">
      <w:pPr>
        <w:pStyle w:val="BodyText0"/>
        <w:spacing w:after="0" w:line="302"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These data are not collected to conduct statistical surveys.</w:t>
      </w:r>
    </w:p>
    <w:p w:rsidR="00043C32" w:rsidP="00AD381B" w14:paraId="64280E74" w14:textId="5C7929B8">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72248" w:rsidRPr="00072248" w:rsidP="00072248" w14:paraId="5411F3D1" w14:textId="77777777">
      <w:pPr>
        <w:pStyle w:val="ListParagraph"/>
        <w:tabs>
          <w:tab w:val="left" w:pos="-720"/>
        </w:tabs>
        <w:suppressAutoHyphens/>
        <w:ind w:left="1440"/>
        <w:rPr>
          <w:rFonts w:asciiTheme="minorHAnsi" w:hAnsiTheme="minorHAnsi" w:cstheme="minorHAnsi"/>
          <w:color w:val="000000" w:themeColor="text1"/>
          <w:szCs w:val="24"/>
        </w:rPr>
      </w:pPr>
      <w:r w:rsidRPr="00072248">
        <w:rPr>
          <w:rFonts w:asciiTheme="minorHAnsi" w:hAnsiTheme="minorHAnsi" w:cstheme="minorHAnsi"/>
          <w:color w:val="000000" w:themeColor="text1"/>
          <w:szCs w:val="24"/>
        </w:rPr>
        <w:t>N/A – These data collection is supported by disclosure and data security polices consistent with the pledge.</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72248" w:rsidRPr="005877D4" w:rsidP="00072248" w14:paraId="268D0C22" w14:textId="675AA472">
      <w:pPr>
        <w:pStyle w:val="BodyText0"/>
        <w:tabs>
          <w:tab w:val="left" w:pos="2520"/>
          <w:tab w:val="left" w:pos="3600"/>
          <w:tab w:val="left" w:pos="5220"/>
          <w:tab w:val="left" w:pos="6480"/>
          <w:tab w:val="left" w:pos="7840"/>
          <w:tab w:val="decimal" w:pos="8640"/>
        </w:tabs>
        <w:spacing w:after="0" w:line="278"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SAIG Enrollment Form collects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Social Security </w:t>
      </w:r>
      <w:r w:rsidRPr="005877D4">
        <w:rPr>
          <w:rFonts w:asciiTheme="minorHAnsi" w:hAnsiTheme="minorHAnsi" w:cstheme="minorHAnsi"/>
          <w:color w:val="000000" w:themeColor="text1"/>
          <w:szCs w:val="24"/>
          <w:lang w:val="en-US"/>
        </w:rPr>
        <w:t>n</w:t>
      </w:r>
      <w:r w:rsidRPr="005877D4">
        <w:rPr>
          <w:rFonts w:asciiTheme="minorHAnsi" w:hAnsiTheme="minorHAnsi" w:cstheme="minorHAnsi"/>
          <w:color w:val="000000" w:themeColor="text1"/>
          <w:szCs w:val="24"/>
        </w:rPr>
        <w:t xml:space="preserve">umber,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date of birth, and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mother's maiden name from every Destination Point Administrator.  Two of these identifiers (Social Security </w:t>
      </w:r>
      <w:r w:rsidRPr="005877D4">
        <w:rPr>
          <w:rFonts w:asciiTheme="minorHAnsi" w:hAnsiTheme="minorHAnsi" w:cstheme="minorHAnsi"/>
          <w:color w:val="000000" w:themeColor="text1"/>
          <w:szCs w:val="24"/>
          <w:lang w:val="en-US"/>
        </w:rPr>
        <w:t>n</w:t>
      </w:r>
      <w:r w:rsidRPr="005877D4">
        <w:rPr>
          <w:rFonts w:asciiTheme="minorHAnsi" w:hAnsiTheme="minorHAnsi" w:cstheme="minorHAnsi"/>
          <w:color w:val="000000" w:themeColor="text1"/>
          <w:szCs w:val="24"/>
        </w:rPr>
        <w:t xml:space="preserve">umber and date of birth) are used to authenticate the customer when they request a password reset from the SAIG/CPS Technical Support Help Line.  Electronic authentication is now </w:t>
      </w:r>
      <w:r w:rsidRPr="005877D4">
        <w:rPr>
          <w:rFonts w:asciiTheme="minorHAnsi" w:hAnsiTheme="minorHAnsi" w:cstheme="minorHAnsi"/>
          <w:color w:val="000000" w:themeColor="text1"/>
          <w:szCs w:val="24"/>
          <w:lang w:val="en-US"/>
        </w:rPr>
        <w:t>conducted</w:t>
      </w:r>
      <w:r w:rsidRPr="005877D4">
        <w:rPr>
          <w:rFonts w:asciiTheme="minorHAnsi" w:hAnsiTheme="minorHAnsi" w:cstheme="minorHAnsi"/>
          <w:color w:val="000000" w:themeColor="text1"/>
          <w:szCs w:val="24"/>
        </w:rPr>
        <w:t xml:space="preserve"> through</w:t>
      </w:r>
      <w:r w:rsidRPr="005877D4">
        <w:rPr>
          <w:rFonts w:asciiTheme="minorHAnsi" w:hAnsiTheme="minorHAnsi" w:cstheme="minorHAnsi"/>
          <w:color w:val="000000" w:themeColor="text1"/>
          <w:szCs w:val="24"/>
          <w:lang w:val="en-US"/>
        </w:rPr>
        <w:t xml:space="preserve"> the Access and Identity Management System (AIMS</w:t>
      </w:r>
      <w:r w:rsidRPr="005877D4">
        <w:rPr>
          <w:rFonts w:asciiTheme="minorHAnsi" w:hAnsiTheme="minorHAnsi" w:cstheme="minorHAnsi"/>
          <w:color w:val="000000" w:themeColor="text1"/>
          <w:szCs w:val="24"/>
        </w:rPr>
        <w:t>) and users are required to enter their FSA User ID to use protected pages on the Web enrollment site.</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4E5A3D" w:rsidP="00072248" w14:paraId="7886A7C1" w14:textId="77777777">
      <w:pPr>
        <w:spacing w:line="268" w:lineRule="exact"/>
        <w:ind w:left="720"/>
        <w:rPr>
          <w:rFonts w:asciiTheme="minorHAnsi" w:hAnsiTheme="minorHAnsi" w:cstheme="minorHAnsi"/>
          <w:szCs w:val="24"/>
        </w:rPr>
      </w:pPr>
      <w:r w:rsidRPr="005877D4">
        <w:rPr>
          <w:rFonts w:asciiTheme="minorHAnsi" w:hAnsiTheme="minorHAnsi" w:cstheme="minorHAnsi"/>
          <w:szCs w:val="24"/>
        </w:rPr>
        <w:t>FSA consults with all applicable application systems during the requirements phase to solicit comments and suggestions for improving the enrollment form.  These meetings address problems and enhancements to the existing form.  FSA has enhanced the enrollment form to simplify the enrollment process for all participating institutions.</w:t>
      </w:r>
    </w:p>
    <w:p w:rsidR="004E5A3D" w:rsidP="00072248" w14:paraId="530736B6" w14:textId="77777777">
      <w:pPr>
        <w:spacing w:line="268" w:lineRule="exact"/>
        <w:ind w:left="720"/>
        <w:rPr>
          <w:rFonts w:asciiTheme="minorHAnsi" w:hAnsiTheme="minorHAnsi" w:cstheme="minorHAnsi"/>
          <w:szCs w:val="24"/>
        </w:rPr>
      </w:pPr>
    </w:p>
    <w:p w:rsidR="004F4391" w:rsidP="00072248" w14:paraId="2E85326D" w14:textId="743321B3">
      <w:pPr>
        <w:spacing w:line="268" w:lineRule="exact"/>
        <w:ind w:left="720"/>
        <w:rPr>
          <w:rFonts w:asciiTheme="minorHAnsi" w:hAnsiTheme="minorHAnsi" w:cstheme="minorHAnsi"/>
          <w:szCs w:val="24"/>
        </w:rPr>
      </w:pPr>
      <w:r>
        <w:rPr>
          <w:rFonts w:asciiTheme="minorHAnsi" w:hAnsiTheme="minorHAnsi" w:cstheme="minorHAnsi"/>
          <w:szCs w:val="24"/>
        </w:rPr>
        <w:t>On August 12, 2024 a notice was published in the Federal Register (89 FR 65615) inviting public comment on this information collection.  The 60-day comment period expired October 11, 2024 and received three comments.  The comments and the responses to those comments are attached.  No changes have been made to the collection instrument or to the burden associated with this information collection</w:t>
      </w:r>
      <w:r w:rsidR="00432C5F">
        <w:rPr>
          <w:rFonts w:asciiTheme="minorHAnsi" w:hAnsiTheme="minorHAnsi" w:cstheme="minorHAnsi"/>
          <w:szCs w:val="24"/>
        </w:rPr>
        <w:t>.</w:t>
      </w:r>
      <w:r w:rsidRPr="005877D4" w:rsidR="00072248">
        <w:rPr>
          <w:rFonts w:asciiTheme="minorHAnsi" w:hAnsiTheme="minorHAnsi" w:cstheme="minorHAnsi"/>
          <w:szCs w:val="24"/>
        </w:rPr>
        <w:t xml:space="preserve">  </w:t>
      </w:r>
    </w:p>
    <w:p w:rsidR="004F4391" w:rsidP="00072248" w14:paraId="732D3AFF" w14:textId="77777777">
      <w:pPr>
        <w:spacing w:line="268" w:lineRule="exact"/>
        <w:ind w:left="720"/>
        <w:rPr>
          <w:rFonts w:asciiTheme="minorHAnsi" w:hAnsiTheme="minorHAnsi" w:cstheme="minorHAnsi"/>
          <w:szCs w:val="24"/>
        </w:rPr>
      </w:pPr>
    </w:p>
    <w:p w:rsidR="00E45F9B" w:rsidRPr="005877D4" w:rsidP="00E45F9B" w14:paraId="7FEB0577" w14:textId="5CABEE0B">
      <w:pPr>
        <w:spacing w:line="268" w:lineRule="exact"/>
        <w:ind w:left="720"/>
        <w:rPr>
          <w:rFonts w:asciiTheme="minorHAnsi" w:hAnsiTheme="minorHAnsi" w:cstheme="minorHAnsi"/>
          <w:szCs w:val="24"/>
        </w:rPr>
      </w:pPr>
      <w:r w:rsidRPr="005877D4">
        <w:rPr>
          <w:rFonts w:asciiTheme="minorHAnsi" w:hAnsiTheme="minorHAnsi" w:cstheme="minorHAnsi"/>
          <w:szCs w:val="24"/>
        </w:rPr>
        <w:t xml:space="preserve"> A 30-day Federal Register notice </w:t>
      </w:r>
      <w:r w:rsidR="00432C5F">
        <w:rPr>
          <w:rFonts w:asciiTheme="minorHAnsi" w:hAnsiTheme="minorHAnsi" w:cstheme="minorHAnsi"/>
          <w:szCs w:val="24"/>
        </w:rPr>
        <w:t xml:space="preserve">is now requested </w:t>
      </w:r>
      <w:r w:rsidRPr="005877D4">
        <w:rPr>
          <w:rFonts w:asciiTheme="minorHAnsi" w:hAnsiTheme="minorHAnsi" w:cstheme="minorHAnsi"/>
          <w:szCs w:val="24"/>
        </w:rPr>
        <w:t>seeking public comment.</w:t>
      </w:r>
    </w:p>
    <w:p w:rsidR="005F4E11" w:rsidP="00AD381B" w14:paraId="477C84F0" w14:textId="763DABE6">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072248" w:rsidRPr="005877D4" w:rsidP="00072248" w14:paraId="76563DDA" w14:textId="77777777">
      <w:pPr>
        <w:spacing w:line="273"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Department of Education does not allow any payments or gifts to respondents. </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072248" w:rsidRPr="005877D4" w:rsidP="00072248" w14:paraId="60771500" w14:textId="012E8BFC">
      <w:pPr>
        <w:tabs>
          <w:tab w:val="left" w:pos="-720"/>
        </w:tabs>
        <w:suppressAutoHyphens/>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The confidentiality of the data on the enrollment form is discussed in the enrollment procedures.  The citations that authorize the collection of the information are Executive Order 9397 and Executive Order 13478.</w:t>
      </w:r>
      <w:r w:rsidR="00AE7170">
        <w:rPr>
          <w:rFonts w:asciiTheme="minorHAnsi" w:hAnsiTheme="minorHAnsi" w:cstheme="minorHAnsi"/>
          <w:color w:val="000000" w:themeColor="text1"/>
          <w:szCs w:val="24"/>
        </w:rPr>
        <w:t xml:space="preserve">  The System of Record Notice for the </w:t>
      </w:r>
      <w:hyperlink r:id="rId10" w:history="1">
        <w:r w:rsidRPr="00AE7170" w:rsidR="00AE7170">
          <w:rPr>
            <w:rStyle w:val="Hyperlink"/>
            <w:rFonts w:asciiTheme="minorHAnsi" w:hAnsiTheme="minorHAnsi" w:cstheme="minorHAnsi"/>
            <w:szCs w:val="24"/>
          </w:rPr>
          <w:t>SAIG</w:t>
        </w:r>
      </w:hyperlink>
      <w:r w:rsidR="00AE7170">
        <w:rPr>
          <w:rFonts w:asciiTheme="minorHAnsi" w:hAnsiTheme="minorHAnsi" w:cstheme="minorHAnsi"/>
          <w:color w:val="000000" w:themeColor="text1"/>
          <w:szCs w:val="24"/>
        </w:rPr>
        <w:t xml:space="preserve"> is under 18-11-10, as defined in the Federal Register, Vol. 83, No. 41, March 1, 2018, pages 8855-8859.</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072248" w:rsidRPr="005877D4" w:rsidP="00072248" w14:paraId="7EF4A929" w14:textId="77777777">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There are no questions of a sensitive nature.  </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072248" w:rsidRPr="00426E29" w:rsidP="00072248" w14:paraId="7EAFA919" w14:textId="45124C03">
      <w:pPr>
        <w:spacing w:line="278" w:lineRule="exact"/>
        <w:rPr>
          <w:rFonts w:asciiTheme="minorHAnsi" w:hAnsiTheme="minorHAnsi" w:cstheme="minorHAnsi"/>
          <w:szCs w:val="24"/>
          <w:u w:val="single"/>
        </w:rPr>
      </w:pPr>
      <w:r w:rsidRPr="00426E29">
        <w:rPr>
          <w:rFonts w:asciiTheme="minorHAnsi" w:hAnsiTheme="minorHAnsi" w:cstheme="minorHAnsi"/>
          <w:szCs w:val="24"/>
          <w:u w:val="single"/>
        </w:rPr>
        <w:t xml:space="preserve">Frequency of response when an institution wants to enroll or change services.  </w:t>
      </w:r>
    </w:p>
    <w:p w:rsidR="00072248" w:rsidRPr="005877D4" w:rsidP="00072248" w14:paraId="33F71141" w14:textId="77777777">
      <w:pPr>
        <w:spacing w:line="278" w:lineRule="exact"/>
        <w:rPr>
          <w:rFonts w:asciiTheme="minorHAnsi" w:hAnsiTheme="minorHAnsi" w:cstheme="minorHAnsi"/>
          <w:szCs w:val="24"/>
        </w:rPr>
      </w:pPr>
    </w:p>
    <w:p w:rsidR="00072248" w:rsidRPr="005877D4" w:rsidP="00072248" w14:paraId="285DB71E" w14:textId="77777777">
      <w:pPr>
        <w:autoSpaceDE w:val="0"/>
        <w:autoSpaceDN w:val="0"/>
        <w:adjustRightInd w:val="0"/>
        <w:rPr>
          <w:rFonts w:asciiTheme="minorHAnsi" w:hAnsiTheme="minorHAnsi" w:cstheme="minorHAnsi"/>
          <w:szCs w:val="24"/>
        </w:rPr>
      </w:pPr>
      <w:r w:rsidRPr="005877D4">
        <w:rPr>
          <w:rFonts w:asciiTheme="minorHAnsi" w:hAnsiTheme="minorHAnsi" w:cstheme="minorHAnsi"/>
          <w:szCs w:val="24"/>
        </w:rPr>
        <w:t xml:space="preserve">Based on intrinsic and past experience in completing enrollment forms, we estimate that it takes a respondent approximately 20 minutes (.33 hours) to complete the online enrollment form, and 40 minutes (.66 hours) to complete a paper enrollment form, as noted earlier, nearly all initial enrollments are completed via the Web (98.8%). We also estimate that it takes a respondent approximately 10 minutes (.16 hours) to complete online enrollment updates and 15 minutes (.25 hours) to complete a paper enrollment update and 97.2% of enrollment updates are completed via the Web.   </w:t>
      </w:r>
    </w:p>
    <w:p w:rsidR="00AF579E" w:rsidP="00072248" w14:paraId="42E19A0F" w14:textId="77777777">
      <w:pPr>
        <w:autoSpaceDE w:val="0"/>
        <w:autoSpaceDN w:val="0"/>
        <w:adjustRightInd w:val="0"/>
        <w:rPr>
          <w:rFonts w:asciiTheme="minorHAnsi" w:hAnsiTheme="minorHAnsi" w:cstheme="minorHAnsi"/>
          <w:szCs w:val="24"/>
        </w:rPr>
      </w:pPr>
    </w:p>
    <w:p w:rsidR="00072248" w:rsidRPr="005877D4" w:rsidP="00072248" w14:paraId="6B13CF69" w14:textId="5BCC2CDA">
      <w:pPr>
        <w:autoSpaceDE w:val="0"/>
        <w:autoSpaceDN w:val="0"/>
        <w:adjustRightInd w:val="0"/>
        <w:rPr>
          <w:rFonts w:asciiTheme="minorHAnsi" w:hAnsiTheme="minorHAnsi" w:cstheme="minorHAnsi"/>
          <w:szCs w:val="24"/>
        </w:rPr>
      </w:pPr>
      <w:r w:rsidRPr="005877D4">
        <w:rPr>
          <w:rFonts w:asciiTheme="minorHAnsi" w:hAnsiTheme="minorHAnsi" w:cstheme="minorHAnsi"/>
          <w:szCs w:val="24"/>
        </w:rPr>
        <w:t>The following is a breakdown of the amount of reporting burden by respondent type:</w:t>
      </w:r>
    </w:p>
    <w:p w:rsidR="00072248" w:rsidRPr="005877D4" w:rsidP="00072248" w14:paraId="7208EDC5" w14:textId="77777777">
      <w:pPr>
        <w:autoSpaceDE w:val="0"/>
        <w:autoSpaceDN w:val="0"/>
        <w:adjustRightInd w:val="0"/>
        <w:rPr>
          <w:rFonts w:asciiTheme="minorHAnsi" w:hAnsiTheme="minorHAnsi" w:cstheme="minorHAnsi"/>
          <w:b/>
          <w:i/>
          <w:szCs w:val="24"/>
        </w:rPr>
      </w:pPr>
    </w:p>
    <w:p w:rsidR="00072248" w:rsidRPr="005877D4" w:rsidP="00072248" w14:paraId="5B969DDE"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 xml:space="preserve">Private Sector - Business or Other For-Profit: </w:t>
      </w:r>
      <w:r w:rsidRPr="00426E29">
        <w:rPr>
          <w:rFonts w:asciiTheme="minorHAnsi" w:hAnsiTheme="minorHAnsi" w:cstheme="minorHAnsi"/>
          <w:bCs/>
          <w:i/>
          <w:szCs w:val="24"/>
        </w:rPr>
        <w:t>Institutions of Higher Education, Institutional Third-Party Servicers, FFELP Lenders and Lender Servicers</w:t>
      </w:r>
      <w:r w:rsidRPr="005877D4">
        <w:rPr>
          <w:rFonts w:asciiTheme="minorHAnsi" w:hAnsiTheme="minorHAnsi" w:cstheme="minorHAnsi"/>
          <w:b/>
          <w:i/>
          <w:szCs w:val="24"/>
        </w:rPr>
        <w:t xml:space="preserve"> </w:t>
      </w:r>
    </w:p>
    <w:tbl>
      <w:tblPr>
        <w:tblW w:w="8730" w:type="dxa"/>
        <w:tblInd w:w="1008" w:type="dxa"/>
        <w:tblCellMar>
          <w:left w:w="0" w:type="dxa"/>
          <w:right w:w="0" w:type="dxa"/>
        </w:tblCellMar>
        <w:tblLook w:val="0000"/>
      </w:tblPr>
      <w:tblGrid>
        <w:gridCol w:w="4500"/>
        <w:gridCol w:w="4230"/>
      </w:tblGrid>
      <w:tr w14:paraId="51ECBDBE" w14:textId="77777777" w:rsidTr="00F72371">
        <w:tblPrEx>
          <w:tblW w:w="8730" w:type="dxa"/>
          <w:tblInd w:w="1008" w:type="dxa"/>
          <w:tblCellMar>
            <w:left w:w="0" w:type="dxa"/>
            <w:right w:w="0" w:type="dxa"/>
          </w:tblCellMar>
          <w:tblLook w:val="0000"/>
        </w:tblPrEx>
        <w:trPr>
          <w:trHeight w:val="321"/>
        </w:trPr>
        <w:tc>
          <w:tcPr>
            <w:tcW w:w="4500" w:type="dxa"/>
            <w:noWrap/>
            <w:tcMar>
              <w:top w:w="0" w:type="dxa"/>
              <w:left w:w="108" w:type="dxa"/>
              <w:bottom w:w="0" w:type="dxa"/>
              <w:right w:w="108" w:type="dxa"/>
            </w:tcMar>
            <w:vAlign w:val="bottom"/>
          </w:tcPr>
          <w:p w:rsidR="00072248" w:rsidRPr="005877D4" w:rsidP="00F72371" w14:paraId="7A4EDA89"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230" w:type="dxa"/>
          </w:tcPr>
          <w:p w:rsidR="00072248" w:rsidRPr="005877D4" w:rsidP="00F72371" w14:paraId="3E22A3A5"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023802D6" w14:textId="180F4454">
      <w:pPr>
        <w:pStyle w:val="ListParagraph"/>
        <w:autoSpaceDE w:val="0"/>
        <w:autoSpaceDN w:val="0"/>
        <w:adjustRightInd w:val="0"/>
        <w:rPr>
          <w:rFonts w:asciiTheme="minorHAnsi" w:hAnsiTheme="minorHAnsi" w:cstheme="minorHAnsi"/>
          <w:bCs/>
          <w:iCs/>
          <w:szCs w:val="24"/>
        </w:rPr>
      </w:pPr>
      <w:r w:rsidRPr="005877D4">
        <w:rPr>
          <w:rFonts w:asciiTheme="minorHAnsi" w:hAnsiTheme="minorHAnsi" w:cstheme="minorHAnsi"/>
          <w:b/>
          <w:i/>
          <w:szCs w:val="24"/>
        </w:rPr>
        <w:tab/>
        <w:t xml:space="preserve">    </w:t>
      </w:r>
      <w:r w:rsidR="003C05AE">
        <w:rPr>
          <w:rFonts w:asciiTheme="minorHAnsi" w:hAnsiTheme="minorHAnsi" w:cstheme="minorHAnsi"/>
          <w:b/>
          <w:i/>
          <w:szCs w:val="24"/>
        </w:rPr>
        <w:tab/>
      </w:r>
      <w:r w:rsidR="003C05AE">
        <w:rPr>
          <w:rFonts w:asciiTheme="minorHAnsi" w:hAnsiTheme="minorHAnsi" w:cstheme="minorHAnsi"/>
          <w:b/>
          <w:i/>
          <w:szCs w:val="24"/>
        </w:rPr>
        <w:tab/>
      </w:r>
      <w:r w:rsidR="002356C8">
        <w:rPr>
          <w:rFonts w:asciiTheme="minorHAnsi" w:hAnsiTheme="minorHAnsi" w:cstheme="minorHAnsi"/>
          <w:szCs w:val="24"/>
        </w:rPr>
        <w:t>29,92</w:t>
      </w:r>
      <w:r w:rsidR="00F82E82">
        <w:rPr>
          <w:rFonts w:asciiTheme="minorHAnsi" w:hAnsiTheme="minorHAnsi" w:cstheme="minorHAnsi"/>
          <w:szCs w:val="24"/>
        </w:rPr>
        <w:t>6</w:t>
      </w:r>
      <w:r w:rsidRPr="005877D4">
        <w:rPr>
          <w:rFonts w:asciiTheme="minorHAnsi" w:hAnsiTheme="minorHAnsi" w:cstheme="minorHAnsi"/>
          <w:szCs w:val="24"/>
        </w:rPr>
        <w:tab/>
        <w:t xml:space="preserve">        </w:t>
      </w:r>
      <w:r w:rsidR="003C05AE">
        <w:rPr>
          <w:rFonts w:asciiTheme="minorHAnsi" w:hAnsiTheme="minorHAnsi" w:cstheme="minorHAnsi"/>
          <w:szCs w:val="24"/>
        </w:rPr>
        <w:tab/>
      </w:r>
      <w:r w:rsidR="003C05AE">
        <w:rPr>
          <w:rFonts w:asciiTheme="minorHAnsi" w:hAnsiTheme="minorHAnsi" w:cstheme="minorHAnsi"/>
          <w:szCs w:val="24"/>
        </w:rPr>
        <w:tab/>
      </w:r>
      <w:r w:rsidR="003C05AE">
        <w:rPr>
          <w:rFonts w:asciiTheme="minorHAnsi" w:hAnsiTheme="minorHAnsi" w:cstheme="minorHAnsi"/>
          <w:szCs w:val="24"/>
        </w:rPr>
        <w:tab/>
      </w:r>
      <w:r w:rsidR="003C05AE">
        <w:rPr>
          <w:rFonts w:asciiTheme="minorHAnsi" w:hAnsiTheme="minorHAnsi" w:cstheme="minorHAnsi"/>
          <w:szCs w:val="24"/>
        </w:rPr>
        <w:tab/>
      </w:r>
      <w:r w:rsidR="003C05AE">
        <w:rPr>
          <w:rFonts w:asciiTheme="minorHAnsi" w:hAnsiTheme="minorHAnsi" w:cstheme="minorHAnsi"/>
          <w:szCs w:val="24"/>
        </w:rPr>
        <w:tab/>
      </w:r>
      <w:r w:rsidR="002356C8">
        <w:rPr>
          <w:rFonts w:asciiTheme="minorHAnsi" w:hAnsiTheme="minorHAnsi" w:cstheme="minorHAnsi"/>
          <w:szCs w:val="24"/>
        </w:rPr>
        <w:t>7,024</w:t>
      </w:r>
    </w:p>
    <w:p w:rsidR="00072248" w:rsidRPr="005877D4" w:rsidP="00072248" w14:paraId="39D172EE" w14:textId="77777777">
      <w:pPr>
        <w:autoSpaceDE w:val="0"/>
        <w:autoSpaceDN w:val="0"/>
        <w:adjustRightInd w:val="0"/>
        <w:rPr>
          <w:rStyle w:val="WKS"/>
          <w:rFonts w:asciiTheme="minorHAnsi" w:hAnsiTheme="minorHAnsi" w:cstheme="minorHAnsi"/>
          <w:sz w:val="24"/>
          <w:szCs w:val="24"/>
          <w:u w:val="single"/>
        </w:rPr>
      </w:pPr>
    </w:p>
    <w:p w:rsidR="00072248" w:rsidRPr="00426E29" w:rsidP="00072248" w14:paraId="3332EE3A" w14:textId="77777777">
      <w:pPr>
        <w:autoSpaceDE w:val="0"/>
        <w:autoSpaceDN w:val="0"/>
        <w:adjustRightInd w:val="0"/>
        <w:rPr>
          <w:rFonts w:asciiTheme="minorHAnsi" w:hAnsiTheme="minorHAnsi" w:cstheme="minorHAnsi"/>
          <w:bCs/>
          <w:i/>
          <w:szCs w:val="24"/>
        </w:rPr>
      </w:pPr>
      <w:r w:rsidRPr="005877D4">
        <w:rPr>
          <w:rStyle w:val="WKS"/>
          <w:rFonts w:asciiTheme="minorHAnsi" w:hAnsiTheme="minorHAnsi" w:cstheme="minorHAnsi"/>
          <w:sz w:val="24"/>
          <w:szCs w:val="24"/>
          <w:u w:val="single"/>
        </w:rPr>
        <w:t>Private Sector – Not-For-Profit:</w:t>
      </w:r>
      <w:r w:rsidRPr="00426E29">
        <w:rPr>
          <w:rFonts w:asciiTheme="minorHAnsi" w:hAnsiTheme="minorHAnsi" w:cstheme="minorHAnsi"/>
          <w:bCs/>
          <w:i/>
          <w:szCs w:val="24"/>
        </w:rPr>
        <w:t xml:space="preserve"> Institutions of Higher Education, FFELP Guaranty Agencies and Guaranty Agency Servicers, Federal Loan Servicers</w:t>
      </w:r>
    </w:p>
    <w:tbl>
      <w:tblPr>
        <w:tblW w:w="9090" w:type="dxa"/>
        <w:tblInd w:w="1098" w:type="dxa"/>
        <w:tblCellMar>
          <w:left w:w="0" w:type="dxa"/>
          <w:right w:w="0" w:type="dxa"/>
        </w:tblCellMar>
        <w:tblLook w:val="0000"/>
      </w:tblPr>
      <w:tblGrid>
        <w:gridCol w:w="4590"/>
        <w:gridCol w:w="4500"/>
      </w:tblGrid>
      <w:tr w14:paraId="330FE0A9" w14:textId="77777777" w:rsidTr="00F72371">
        <w:tblPrEx>
          <w:tblW w:w="9090" w:type="dxa"/>
          <w:tblInd w:w="1098" w:type="dxa"/>
          <w:tblCellMar>
            <w:left w:w="0" w:type="dxa"/>
            <w:right w:w="0" w:type="dxa"/>
          </w:tblCellMar>
          <w:tblLook w:val="0000"/>
        </w:tblPrEx>
        <w:trPr>
          <w:trHeight w:val="308"/>
        </w:trPr>
        <w:tc>
          <w:tcPr>
            <w:tcW w:w="4590" w:type="dxa"/>
            <w:noWrap/>
            <w:tcMar>
              <w:top w:w="0" w:type="dxa"/>
              <w:left w:w="108" w:type="dxa"/>
              <w:bottom w:w="0" w:type="dxa"/>
              <w:right w:w="108" w:type="dxa"/>
            </w:tcMar>
            <w:vAlign w:val="bottom"/>
          </w:tcPr>
          <w:p w:rsidR="00072248" w:rsidRPr="005877D4" w:rsidP="00F72371" w14:paraId="0EF959E4" w14:textId="1D745FA1">
            <w:pPr>
              <w:spacing w:before="120"/>
              <w:jc w:val="center"/>
              <w:rPr>
                <w:rFonts w:asciiTheme="minorHAnsi" w:hAnsiTheme="minorHAnsi" w:cstheme="minorHAnsi"/>
                <w:bCs/>
                <w:szCs w:val="24"/>
                <w:u w:val="single"/>
              </w:rPr>
            </w:pPr>
            <w:r>
              <w:rPr>
                <w:rFonts w:asciiTheme="minorHAnsi" w:hAnsiTheme="minorHAnsi" w:cstheme="minorHAnsi"/>
                <w:bCs/>
                <w:szCs w:val="24"/>
                <w:u w:val="single"/>
              </w:rPr>
              <w:t>#</w:t>
            </w:r>
            <w:r w:rsidRPr="005877D4">
              <w:rPr>
                <w:rFonts w:asciiTheme="minorHAnsi" w:hAnsiTheme="minorHAnsi" w:cstheme="minorHAnsi"/>
                <w:bCs/>
                <w:szCs w:val="24"/>
                <w:u w:val="single"/>
              </w:rPr>
              <w:t xml:space="preserve"> of Respondents/Responses</w:t>
            </w:r>
          </w:p>
        </w:tc>
        <w:tc>
          <w:tcPr>
            <w:tcW w:w="4500" w:type="dxa"/>
          </w:tcPr>
          <w:p w:rsidR="00072248" w:rsidRPr="005877D4" w:rsidP="00F72371" w14:paraId="0EFA4AAF"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032A7902" w14:textId="2DC4289E">
      <w:pPr>
        <w:autoSpaceDE w:val="0"/>
        <w:autoSpaceDN w:val="0"/>
        <w:adjustRightInd w:val="0"/>
        <w:rPr>
          <w:rFonts w:asciiTheme="minorHAnsi" w:hAnsiTheme="minorHAnsi" w:cstheme="minorHAnsi"/>
          <w:bCs/>
          <w:iCs/>
          <w:szCs w:val="24"/>
        </w:rPr>
      </w:pPr>
      <w:r w:rsidRPr="005877D4">
        <w:rPr>
          <w:rFonts w:asciiTheme="minorHAnsi" w:hAnsiTheme="minorHAnsi" w:cstheme="minorHAnsi"/>
          <w:b/>
          <w:i/>
          <w:szCs w:val="24"/>
        </w:rPr>
        <w:tab/>
      </w:r>
      <w:r w:rsidRPr="005877D4">
        <w:rPr>
          <w:rFonts w:asciiTheme="minorHAnsi" w:hAnsiTheme="minorHAnsi" w:cstheme="minorHAnsi"/>
          <w:b/>
          <w:i/>
          <w:szCs w:val="24"/>
        </w:rPr>
        <w:tab/>
        <w:t xml:space="preserve">     </w:t>
      </w:r>
      <w:r w:rsidR="003C05AE">
        <w:rPr>
          <w:rFonts w:asciiTheme="minorHAnsi" w:hAnsiTheme="minorHAnsi" w:cstheme="minorHAnsi"/>
          <w:b/>
          <w:i/>
          <w:szCs w:val="24"/>
        </w:rPr>
        <w:tab/>
      </w:r>
      <w:r w:rsidR="00F440D9">
        <w:rPr>
          <w:rFonts w:asciiTheme="minorHAnsi" w:hAnsiTheme="minorHAnsi" w:cstheme="minorHAnsi"/>
          <w:b/>
          <w:i/>
          <w:szCs w:val="24"/>
        </w:rPr>
        <w:tab/>
      </w:r>
      <w:r w:rsidR="002356C8">
        <w:rPr>
          <w:rFonts w:asciiTheme="minorHAnsi" w:hAnsiTheme="minorHAnsi" w:cstheme="minorHAnsi"/>
          <w:bCs/>
          <w:iCs/>
          <w:szCs w:val="24"/>
        </w:rPr>
        <w:t>13,81</w:t>
      </w:r>
      <w:r w:rsidR="00F82E82">
        <w:rPr>
          <w:rFonts w:asciiTheme="minorHAnsi" w:hAnsiTheme="minorHAnsi" w:cstheme="minorHAnsi"/>
          <w:bCs/>
          <w:iCs/>
          <w:szCs w:val="24"/>
        </w:rPr>
        <w:t>4</w:t>
      </w:r>
      <w:r w:rsidRPr="005877D4">
        <w:rPr>
          <w:rFonts w:asciiTheme="minorHAnsi" w:hAnsiTheme="minorHAnsi" w:cstheme="minorHAnsi"/>
          <w:b/>
          <w:i/>
          <w:szCs w:val="24"/>
        </w:rPr>
        <w:t xml:space="preserve"> </w:t>
      </w:r>
      <w:r w:rsidRPr="005877D4">
        <w:rPr>
          <w:rFonts w:asciiTheme="minorHAnsi" w:hAnsiTheme="minorHAnsi" w:cstheme="minorHAnsi"/>
          <w:b/>
          <w:i/>
          <w:szCs w:val="24"/>
        </w:rPr>
        <w:tab/>
      </w:r>
      <w:r>
        <w:rPr>
          <w:rFonts w:asciiTheme="minorHAnsi" w:hAnsiTheme="minorHAnsi" w:cstheme="minorHAnsi"/>
          <w:b/>
          <w:i/>
          <w:szCs w:val="24"/>
        </w:rPr>
        <w:t xml:space="preserve">           </w:t>
      </w:r>
      <w:r w:rsidR="003C05AE">
        <w:rPr>
          <w:rFonts w:asciiTheme="minorHAnsi" w:hAnsiTheme="minorHAnsi" w:cstheme="minorHAnsi"/>
          <w:b/>
          <w:i/>
          <w:szCs w:val="24"/>
        </w:rPr>
        <w:tab/>
      </w:r>
      <w:r w:rsidR="003C05AE">
        <w:rPr>
          <w:rFonts w:asciiTheme="minorHAnsi" w:hAnsiTheme="minorHAnsi" w:cstheme="minorHAnsi"/>
          <w:b/>
          <w:i/>
          <w:szCs w:val="24"/>
        </w:rPr>
        <w:tab/>
      </w:r>
      <w:r w:rsidR="003C05AE">
        <w:rPr>
          <w:rFonts w:asciiTheme="minorHAnsi" w:hAnsiTheme="minorHAnsi" w:cstheme="minorHAnsi"/>
          <w:b/>
          <w:i/>
          <w:szCs w:val="24"/>
        </w:rPr>
        <w:tab/>
      </w:r>
      <w:r w:rsidR="003C05AE">
        <w:rPr>
          <w:rFonts w:asciiTheme="minorHAnsi" w:hAnsiTheme="minorHAnsi" w:cstheme="minorHAnsi"/>
          <w:b/>
          <w:i/>
          <w:szCs w:val="24"/>
        </w:rPr>
        <w:tab/>
      </w:r>
      <w:r>
        <w:rPr>
          <w:rFonts w:asciiTheme="minorHAnsi" w:hAnsiTheme="minorHAnsi" w:cstheme="minorHAnsi"/>
          <w:b/>
          <w:i/>
          <w:szCs w:val="24"/>
        </w:rPr>
        <w:t xml:space="preserve"> </w:t>
      </w:r>
      <w:r w:rsidRPr="003C05AE" w:rsidR="002356C8">
        <w:rPr>
          <w:rFonts w:asciiTheme="minorHAnsi" w:hAnsiTheme="minorHAnsi" w:cstheme="minorHAnsi"/>
          <w:bCs/>
          <w:iCs/>
          <w:szCs w:val="24"/>
        </w:rPr>
        <w:t>3,24</w:t>
      </w:r>
      <w:r w:rsidR="00F82E82">
        <w:rPr>
          <w:rFonts w:asciiTheme="minorHAnsi" w:hAnsiTheme="minorHAnsi" w:cstheme="minorHAnsi"/>
          <w:bCs/>
          <w:iCs/>
          <w:szCs w:val="24"/>
        </w:rPr>
        <w:t>2</w:t>
      </w:r>
    </w:p>
    <w:p w:rsidR="00072248" w:rsidRPr="005877D4" w:rsidP="00072248" w14:paraId="0F70EB64" w14:textId="77777777">
      <w:pPr>
        <w:autoSpaceDE w:val="0"/>
        <w:autoSpaceDN w:val="0"/>
        <w:adjustRightInd w:val="0"/>
        <w:rPr>
          <w:rFonts w:asciiTheme="minorHAnsi" w:hAnsiTheme="minorHAnsi" w:cstheme="minorHAnsi"/>
          <w:bCs/>
          <w:iCs/>
          <w:szCs w:val="24"/>
        </w:rPr>
      </w:pPr>
    </w:p>
    <w:p w:rsidR="00072248" w:rsidRPr="00426E29" w:rsidP="00072248" w14:paraId="4034136D" w14:textId="77777777">
      <w:pPr>
        <w:autoSpaceDE w:val="0"/>
        <w:autoSpaceDN w:val="0"/>
        <w:adjustRightInd w:val="0"/>
        <w:rPr>
          <w:rFonts w:asciiTheme="minorHAnsi" w:hAnsiTheme="minorHAnsi" w:cstheme="minorHAnsi"/>
          <w:bCs/>
          <w:i/>
          <w:szCs w:val="24"/>
        </w:rPr>
      </w:pPr>
      <w:r w:rsidRPr="005877D4">
        <w:rPr>
          <w:rStyle w:val="WKS"/>
          <w:rFonts w:asciiTheme="minorHAnsi" w:hAnsiTheme="minorHAnsi" w:cstheme="minorHAnsi"/>
          <w:sz w:val="24"/>
          <w:szCs w:val="24"/>
          <w:u w:val="single"/>
        </w:rPr>
        <w:t>Public Sector – State, Local, Tribal Government</w:t>
      </w:r>
      <w:r w:rsidRPr="005877D4">
        <w:rPr>
          <w:rFonts w:asciiTheme="minorHAnsi" w:hAnsiTheme="minorHAnsi" w:cstheme="minorHAnsi"/>
          <w:b/>
          <w:i/>
          <w:szCs w:val="24"/>
        </w:rPr>
        <w:t>:</w:t>
      </w:r>
      <w:r w:rsidRPr="00426E29">
        <w:rPr>
          <w:rFonts w:asciiTheme="minorHAnsi" w:hAnsiTheme="minorHAnsi" w:cstheme="minorHAnsi"/>
          <w:bCs/>
          <w:i/>
          <w:szCs w:val="24"/>
        </w:rPr>
        <w:t xml:space="preserve"> Institutions of Higher Education, State Scholarship and Grant Agencies </w:t>
      </w:r>
    </w:p>
    <w:tbl>
      <w:tblPr>
        <w:tblW w:w="9090" w:type="dxa"/>
        <w:tblInd w:w="1008" w:type="dxa"/>
        <w:tblCellMar>
          <w:left w:w="0" w:type="dxa"/>
          <w:right w:w="0" w:type="dxa"/>
        </w:tblCellMar>
        <w:tblLook w:val="0000"/>
      </w:tblPr>
      <w:tblGrid>
        <w:gridCol w:w="4500"/>
        <w:gridCol w:w="4590"/>
      </w:tblGrid>
      <w:tr w14:paraId="57679F34" w14:textId="77777777" w:rsidTr="00F72371">
        <w:tblPrEx>
          <w:tblW w:w="9090" w:type="dxa"/>
          <w:tblInd w:w="1008" w:type="dxa"/>
          <w:tblCellMar>
            <w:left w:w="0" w:type="dxa"/>
            <w:right w:w="0" w:type="dxa"/>
          </w:tblCellMar>
          <w:tblLook w:val="0000"/>
        </w:tblPrEx>
        <w:trPr>
          <w:trHeight w:val="301"/>
        </w:trPr>
        <w:tc>
          <w:tcPr>
            <w:tcW w:w="4500" w:type="dxa"/>
            <w:noWrap/>
            <w:tcMar>
              <w:top w:w="0" w:type="dxa"/>
              <w:left w:w="108" w:type="dxa"/>
              <w:bottom w:w="0" w:type="dxa"/>
              <w:right w:w="108" w:type="dxa"/>
            </w:tcMar>
            <w:vAlign w:val="bottom"/>
          </w:tcPr>
          <w:p w:rsidR="00072248" w:rsidRPr="005877D4" w:rsidP="00F72371" w14:paraId="73806C55"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590" w:type="dxa"/>
          </w:tcPr>
          <w:p w:rsidR="00072248" w:rsidRPr="005877D4" w:rsidP="00F72371" w14:paraId="20C8EE38"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3D5364F5" w14:textId="7C137436">
      <w:pPr>
        <w:tabs>
          <w:tab w:val="left" w:pos="49"/>
          <w:tab w:val="left" w:pos="2856"/>
        </w:tabs>
        <w:ind w:left="720"/>
        <w:rPr>
          <w:rStyle w:val="WKS"/>
          <w:rFonts w:asciiTheme="minorHAnsi" w:hAnsiTheme="minorHAnsi" w:cstheme="minorHAnsi"/>
          <w:sz w:val="24"/>
          <w:szCs w:val="24"/>
        </w:rPr>
      </w:pPr>
      <w:r>
        <w:rPr>
          <w:rStyle w:val="WKS"/>
          <w:rFonts w:asciiTheme="minorHAnsi" w:hAnsiTheme="minorHAnsi" w:cstheme="minorHAnsi"/>
          <w:sz w:val="24"/>
          <w:szCs w:val="24"/>
        </w:rPr>
        <w:tab/>
      </w:r>
      <w:r w:rsidR="002356C8">
        <w:rPr>
          <w:rStyle w:val="WKS"/>
          <w:rFonts w:asciiTheme="minorHAnsi" w:hAnsiTheme="minorHAnsi" w:cstheme="minorHAnsi"/>
          <w:sz w:val="24"/>
          <w:szCs w:val="24"/>
        </w:rPr>
        <w:t>13,8</w:t>
      </w:r>
      <w:r w:rsidR="00F82E82">
        <w:rPr>
          <w:rStyle w:val="WKS"/>
          <w:rFonts w:asciiTheme="minorHAnsi" w:hAnsiTheme="minorHAnsi" w:cstheme="minorHAnsi"/>
          <w:sz w:val="24"/>
          <w:szCs w:val="24"/>
        </w:rPr>
        <w:t>03</w:t>
      </w:r>
      <w:r w:rsidRPr="005877D4">
        <w:rPr>
          <w:rStyle w:val="WKS"/>
          <w:rFonts w:asciiTheme="minorHAnsi" w:hAnsiTheme="minorHAnsi" w:cstheme="minorHAnsi"/>
          <w:sz w:val="24"/>
          <w:szCs w:val="24"/>
        </w:rPr>
        <w:t xml:space="preserve">                          </w:t>
      </w:r>
      <w:r w:rsidR="003C05AE">
        <w:rPr>
          <w:rStyle w:val="WKS"/>
          <w:rFonts w:asciiTheme="minorHAnsi" w:hAnsiTheme="minorHAnsi" w:cstheme="minorHAnsi"/>
          <w:sz w:val="24"/>
          <w:szCs w:val="24"/>
        </w:rPr>
        <w:tab/>
      </w:r>
      <w:r w:rsidR="003C05AE">
        <w:rPr>
          <w:rStyle w:val="WKS"/>
          <w:rFonts w:asciiTheme="minorHAnsi" w:hAnsiTheme="minorHAnsi" w:cstheme="minorHAnsi"/>
          <w:sz w:val="24"/>
          <w:szCs w:val="24"/>
        </w:rPr>
        <w:tab/>
      </w:r>
      <w:r w:rsidR="003C05AE">
        <w:rPr>
          <w:rStyle w:val="WKS"/>
          <w:rFonts w:asciiTheme="minorHAnsi" w:hAnsiTheme="minorHAnsi" w:cstheme="minorHAnsi"/>
          <w:sz w:val="24"/>
          <w:szCs w:val="24"/>
        </w:rPr>
        <w:tab/>
      </w:r>
      <w:r w:rsidR="003C05AE">
        <w:rPr>
          <w:rStyle w:val="WKS"/>
          <w:rFonts w:asciiTheme="minorHAnsi" w:hAnsiTheme="minorHAnsi" w:cstheme="minorHAnsi"/>
          <w:sz w:val="24"/>
          <w:szCs w:val="24"/>
        </w:rPr>
        <w:tab/>
      </w:r>
      <w:r w:rsidRPr="005877D4">
        <w:rPr>
          <w:rStyle w:val="WKS"/>
          <w:rFonts w:asciiTheme="minorHAnsi" w:hAnsiTheme="minorHAnsi" w:cstheme="minorHAnsi"/>
          <w:sz w:val="24"/>
          <w:szCs w:val="24"/>
        </w:rPr>
        <w:t xml:space="preserve"> </w:t>
      </w:r>
      <w:r w:rsidR="002356C8">
        <w:rPr>
          <w:rStyle w:val="WKS"/>
          <w:rFonts w:asciiTheme="minorHAnsi" w:hAnsiTheme="minorHAnsi" w:cstheme="minorHAnsi"/>
          <w:sz w:val="24"/>
          <w:szCs w:val="24"/>
        </w:rPr>
        <w:t>3,2</w:t>
      </w:r>
      <w:r w:rsidR="00F82E82">
        <w:rPr>
          <w:rStyle w:val="WKS"/>
          <w:rFonts w:asciiTheme="minorHAnsi" w:hAnsiTheme="minorHAnsi" w:cstheme="minorHAnsi"/>
          <w:sz w:val="24"/>
          <w:szCs w:val="24"/>
        </w:rPr>
        <w:t>40</w:t>
      </w:r>
    </w:p>
    <w:p w:rsidR="00072248" w:rsidRPr="005877D4" w:rsidP="00072248" w14:paraId="4354E764" w14:textId="77777777">
      <w:pPr>
        <w:tabs>
          <w:tab w:val="left" w:pos="49"/>
          <w:tab w:val="left" w:pos="2856"/>
        </w:tabs>
        <w:ind w:left="720"/>
        <w:rPr>
          <w:rStyle w:val="WKS"/>
          <w:rFonts w:asciiTheme="minorHAnsi" w:hAnsiTheme="minorHAnsi" w:cstheme="minorHAnsi"/>
          <w:sz w:val="24"/>
          <w:szCs w:val="24"/>
          <w:u w:val="single"/>
        </w:rPr>
      </w:pPr>
    </w:p>
    <w:p w:rsidR="00072248" w:rsidRPr="005877D4" w:rsidP="00072248" w14:paraId="2B3DBFBF" w14:textId="77777777">
      <w:pPr>
        <w:tabs>
          <w:tab w:val="left" w:pos="49"/>
          <w:tab w:val="left" w:pos="2856"/>
        </w:tabs>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Total of Respondents and Burden Hours for All Institutions</w:t>
      </w:r>
    </w:p>
    <w:tbl>
      <w:tblPr>
        <w:tblW w:w="9477" w:type="dxa"/>
        <w:tblInd w:w="720" w:type="dxa"/>
        <w:tblCellMar>
          <w:left w:w="0" w:type="dxa"/>
          <w:right w:w="0" w:type="dxa"/>
        </w:tblCellMar>
        <w:tblLook w:val="0000"/>
      </w:tblPr>
      <w:tblGrid>
        <w:gridCol w:w="4608"/>
        <w:gridCol w:w="4869"/>
      </w:tblGrid>
      <w:tr w14:paraId="6912A5BC" w14:textId="77777777" w:rsidTr="00F72371">
        <w:tblPrEx>
          <w:tblW w:w="9477" w:type="dxa"/>
          <w:tblInd w:w="720" w:type="dxa"/>
          <w:tblCellMar>
            <w:left w:w="0" w:type="dxa"/>
            <w:right w:w="0" w:type="dxa"/>
          </w:tblCellMar>
          <w:tblLook w:val="0000"/>
        </w:tblPrEx>
        <w:trPr>
          <w:trHeight w:val="255"/>
        </w:trPr>
        <w:tc>
          <w:tcPr>
            <w:tcW w:w="4608" w:type="dxa"/>
            <w:noWrap/>
            <w:tcMar>
              <w:top w:w="0" w:type="dxa"/>
              <w:left w:w="108" w:type="dxa"/>
              <w:bottom w:w="0" w:type="dxa"/>
              <w:right w:w="108" w:type="dxa"/>
            </w:tcMar>
            <w:vAlign w:val="bottom"/>
          </w:tcPr>
          <w:p w:rsidR="00072248" w:rsidRPr="005877D4" w:rsidP="00F72371" w14:paraId="7AF1C2BF"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869" w:type="dxa"/>
          </w:tcPr>
          <w:p w:rsidR="00072248" w:rsidRPr="005877D4" w:rsidP="00F72371" w14:paraId="27C91AB7"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r w14:paraId="02E981F4" w14:textId="77777777" w:rsidTr="00F72371">
        <w:tblPrEx>
          <w:tblW w:w="9477" w:type="dxa"/>
          <w:tblInd w:w="720" w:type="dxa"/>
          <w:tblCellMar>
            <w:left w:w="0" w:type="dxa"/>
            <w:right w:w="0" w:type="dxa"/>
          </w:tblCellMar>
          <w:tblLook w:val="0000"/>
        </w:tblPrEx>
        <w:trPr>
          <w:trHeight w:val="255"/>
        </w:trPr>
        <w:tc>
          <w:tcPr>
            <w:tcW w:w="4608" w:type="dxa"/>
            <w:noWrap/>
            <w:tcMar>
              <w:top w:w="0" w:type="dxa"/>
              <w:left w:w="108" w:type="dxa"/>
              <w:bottom w:w="0" w:type="dxa"/>
              <w:right w:w="108" w:type="dxa"/>
            </w:tcMar>
            <w:vAlign w:val="bottom"/>
          </w:tcPr>
          <w:p w:rsidR="00072248" w:rsidRPr="005877D4" w:rsidP="00F440D9" w14:paraId="153332EB" w14:textId="5929AE8F">
            <w:pPr>
              <w:jc w:val="center"/>
              <w:rPr>
                <w:rFonts w:asciiTheme="minorHAnsi" w:hAnsiTheme="minorHAnsi" w:cstheme="minorHAnsi"/>
                <w:szCs w:val="24"/>
              </w:rPr>
            </w:pPr>
            <w:r w:rsidRPr="002356C8">
              <w:rPr>
                <w:rFonts w:asciiTheme="minorHAnsi" w:hAnsiTheme="minorHAnsi" w:cstheme="minorHAnsi"/>
                <w:szCs w:val="24"/>
              </w:rPr>
              <w:t>5</w:t>
            </w:r>
            <w:r w:rsidRPr="003C05AE">
              <w:rPr>
                <w:rFonts w:asciiTheme="minorHAnsi" w:hAnsiTheme="minorHAnsi" w:cstheme="minorHAnsi"/>
              </w:rPr>
              <w:t>7,54</w:t>
            </w:r>
            <w:r w:rsidR="00F746F2">
              <w:rPr>
                <w:rFonts w:asciiTheme="minorHAnsi" w:hAnsiTheme="minorHAnsi" w:cstheme="minorHAnsi"/>
              </w:rPr>
              <w:t>3*</w:t>
            </w:r>
            <w:r w:rsidRPr="002356C8">
              <w:rPr>
                <w:rFonts w:asciiTheme="minorHAnsi" w:hAnsiTheme="minorHAnsi" w:cstheme="minorHAnsi"/>
                <w:szCs w:val="24"/>
              </w:rPr>
              <w:t xml:space="preserve"> </w:t>
            </w:r>
            <w:r w:rsidRPr="005877D4">
              <w:rPr>
                <w:rFonts w:asciiTheme="minorHAnsi" w:hAnsiTheme="minorHAnsi" w:cstheme="minorHAnsi"/>
                <w:szCs w:val="24"/>
              </w:rPr>
              <w:t xml:space="preserve">                </w:t>
            </w:r>
          </w:p>
        </w:tc>
        <w:tc>
          <w:tcPr>
            <w:tcW w:w="4869" w:type="dxa"/>
          </w:tcPr>
          <w:p w:rsidR="00072248" w:rsidRPr="005877D4" w:rsidP="00F72371" w14:paraId="59B8001F" w14:textId="58BC465B">
            <w:pPr>
              <w:jc w:val="center"/>
              <w:rPr>
                <w:rFonts w:asciiTheme="minorHAnsi" w:hAnsiTheme="minorHAnsi" w:cstheme="minorHAnsi"/>
                <w:szCs w:val="24"/>
              </w:rPr>
            </w:pPr>
            <w:r w:rsidRPr="002356C8">
              <w:rPr>
                <w:rFonts w:asciiTheme="minorHAnsi" w:hAnsiTheme="minorHAnsi" w:cstheme="minorHAnsi"/>
                <w:szCs w:val="24"/>
              </w:rPr>
              <w:t>1</w:t>
            </w:r>
            <w:r w:rsidRPr="003C05AE">
              <w:rPr>
                <w:rFonts w:asciiTheme="minorHAnsi" w:hAnsiTheme="minorHAnsi" w:cstheme="minorHAnsi"/>
              </w:rPr>
              <w:t>3,506</w:t>
            </w:r>
          </w:p>
        </w:tc>
      </w:tr>
    </w:tbl>
    <w:p w:rsidR="00604112" w:rsidP="00604112" w14:paraId="15C0E483" w14:textId="240B3E0C">
      <w:pPr>
        <w:spacing w:before="240" w:line="278" w:lineRule="exact"/>
        <w:rPr>
          <w:rFonts w:asciiTheme="minorHAnsi" w:hAnsiTheme="minorHAnsi" w:cstheme="minorHAnsi"/>
          <w:szCs w:val="24"/>
        </w:rPr>
      </w:pPr>
      <w:r>
        <w:rPr>
          <w:rFonts w:asciiTheme="minorHAnsi" w:hAnsiTheme="minorHAnsi" w:cstheme="minorHAnsi"/>
          <w:szCs w:val="24"/>
        </w:rPr>
        <w:t>*This corrects the prior miscalculation of 57,542.</w:t>
      </w:r>
    </w:p>
    <w:p w:rsidR="00072248" w:rsidRPr="005877D4" w:rsidP="00072248" w14:paraId="532B1534" w14:textId="785FFEDA">
      <w:pPr>
        <w:spacing w:before="240" w:line="278" w:lineRule="exact"/>
        <w:rPr>
          <w:rFonts w:asciiTheme="minorHAnsi" w:hAnsiTheme="minorHAnsi" w:cstheme="minorHAnsi"/>
          <w:szCs w:val="24"/>
        </w:rPr>
      </w:pPr>
      <w:r w:rsidRPr="005877D4">
        <w:rPr>
          <w:rFonts w:asciiTheme="minorHAnsi" w:hAnsiTheme="minorHAnsi" w:cstheme="minorHAnsi"/>
          <w:szCs w:val="24"/>
        </w:rPr>
        <w:t xml:space="preserve">The annualized cost to respondents was estimated using the above figures to complete a form and </w:t>
      </w:r>
      <w:r w:rsidRPr="005877D4" w:rsidR="00DE7310">
        <w:rPr>
          <w:rFonts w:asciiTheme="minorHAnsi" w:hAnsiTheme="minorHAnsi" w:cstheme="minorHAnsi"/>
          <w:szCs w:val="24"/>
        </w:rPr>
        <w:t>an</w:t>
      </w:r>
      <w:r w:rsidRPr="005877D4">
        <w:rPr>
          <w:rFonts w:asciiTheme="minorHAnsi" w:hAnsiTheme="minorHAnsi" w:cstheme="minorHAnsi"/>
          <w:szCs w:val="24"/>
        </w:rPr>
        <w:t xml:space="preserve"> average annual salary of $44,637 ($22.32 per hour) for a Financial Aid Counselor (obtained from </w:t>
      </w:r>
      <w:hyperlink r:id="rId12" w:history="1">
        <w:r w:rsidRPr="005877D4">
          <w:rPr>
            <w:rStyle w:val="Hyperlink"/>
            <w:rFonts w:asciiTheme="minorHAnsi" w:hAnsiTheme="minorHAnsi" w:cstheme="minorHAnsi"/>
            <w:color w:val="auto"/>
            <w:szCs w:val="24"/>
          </w:rPr>
          <w:t>https://salary.com</w:t>
        </w:r>
      </w:hyperlink>
      <w:r w:rsidRPr="005877D4">
        <w:rPr>
          <w:rFonts w:asciiTheme="minorHAnsi" w:hAnsiTheme="minorHAnsi" w:cstheme="minorHAnsi"/>
          <w:szCs w:val="24"/>
        </w:rPr>
        <w:t xml:space="preserve">).  </w:t>
      </w:r>
      <w:r w:rsidR="00A365DE">
        <w:rPr>
          <w:rFonts w:asciiTheme="minorHAnsi" w:hAnsiTheme="minorHAnsi" w:cstheme="minorHAnsi"/>
          <w:szCs w:val="24"/>
        </w:rPr>
        <w:t>13,506</w:t>
      </w:r>
      <w:r w:rsidRPr="005877D4">
        <w:rPr>
          <w:rFonts w:asciiTheme="minorHAnsi" w:hAnsiTheme="minorHAnsi" w:cstheme="minorHAnsi"/>
          <w:szCs w:val="24"/>
        </w:rPr>
        <w:t xml:space="preserve"> hours (calculated above) x $22.32 per hour = $</w:t>
      </w:r>
      <w:r w:rsidR="00A365DE">
        <w:rPr>
          <w:rFonts w:asciiTheme="minorHAnsi" w:hAnsiTheme="minorHAnsi" w:cstheme="minorHAnsi"/>
          <w:szCs w:val="24"/>
        </w:rPr>
        <w:t>301,454</w:t>
      </w:r>
      <w:r w:rsidRPr="005877D4">
        <w:rPr>
          <w:rFonts w:asciiTheme="minorHAnsi" w:hAnsiTheme="minorHAnsi" w:cstheme="minorHAnsi"/>
          <w:szCs w:val="24"/>
        </w:rPr>
        <w:t xml:space="preserve"> annualized cost.</w:t>
      </w:r>
    </w:p>
    <w:p w:rsidR="00ED7195" w:rsidRPr="00920F63" w:rsidP="00756FD3" w14:paraId="64280E96" w14:textId="5FDEBAC3">
      <w:pPr>
        <w:pStyle w:val="Caption"/>
        <w:jc w:val="center"/>
        <w:rPr>
          <w:rFonts w:ascii="Times New Roman" w:hAnsi="Times New Roman"/>
          <w:color w:val="000000" w:themeColor="text1"/>
          <w:sz w:val="24"/>
          <w:szCs w:val="24"/>
        </w:rPr>
      </w:pP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1260"/>
        <w:gridCol w:w="1170"/>
        <w:gridCol w:w="1350"/>
      </w:tblGrid>
      <w:tr w14:paraId="64280EAE" w14:textId="77777777" w:rsidTr="00F1788E">
        <w:tblPrEx>
          <w:tblW w:w="8815" w:type="dxa"/>
          <w:tblLayout w:type="fixed"/>
          <w:tblLook w:val="0020"/>
        </w:tblPrEx>
        <w:trPr>
          <w:tblHeader/>
        </w:trPr>
        <w:tc>
          <w:tcPr>
            <w:tcW w:w="1345" w:type="dxa"/>
          </w:tcPr>
          <w:p w:rsidR="00E22FD3" w:rsidRPr="007F6104" w:rsidP="00F1788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22FD3" w:rsidRPr="007F6104" w:rsidP="00F1788E" w14:paraId="64280EA0" w14:textId="082E88A4">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RPr="007F6104" w:rsidP="00F1788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RPr="007F6104" w:rsidP="00F1788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E22FD3" w:rsidRPr="007F6104" w:rsidP="00F1788E" w14:paraId="64280EA7"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E22FD3" w:rsidRPr="007F6104" w:rsidP="00F1788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RPr="007F6104" w:rsidP="00F1788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C2" w14:textId="77777777" w:rsidTr="00F1788E">
        <w:tblPrEx>
          <w:tblW w:w="8815" w:type="dxa"/>
          <w:tblLayout w:type="fixed"/>
          <w:tblLook w:val="0020"/>
        </w:tblPrEx>
        <w:tc>
          <w:tcPr>
            <w:tcW w:w="1345" w:type="dxa"/>
          </w:tcPr>
          <w:p w:rsidR="00865528" w:rsidRPr="00AA5138" w:rsidP="0086552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865528" w:rsidRPr="00AA5138" w:rsidP="00865528" w14:paraId="64280EBC" w14:textId="1CBAF40F">
            <w:pPr>
              <w:jc w:val="right"/>
              <w:rPr>
                <w:rFonts w:asciiTheme="minorHAnsi" w:hAnsiTheme="minorHAnsi" w:cstheme="minorHAnsi"/>
                <w:szCs w:val="24"/>
              </w:rPr>
            </w:pPr>
            <w:r>
              <w:rPr>
                <w:rFonts w:asciiTheme="minorHAnsi" w:hAnsiTheme="minorHAnsi" w:cstheme="minorHAnsi"/>
                <w:szCs w:val="24"/>
              </w:rPr>
              <w:t>29,</w:t>
            </w:r>
            <w:r w:rsidR="00F746F2">
              <w:rPr>
                <w:rFonts w:asciiTheme="minorHAnsi" w:hAnsiTheme="minorHAnsi" w:cstheme="minorHAnsi"/>
                <w:szCs w:val="24"/>
              </w:rPr>
              <w:t>926</w:t>
            </w:r>
          </w:p>
        </w:tc>
        <w:tc>
          <w:tcPr>
            <w:tcW w:w="1080" w:type="dxa"/>
          </w:tcPr>
          <w:p w:rsidR="00865528" w:rsidRPr="00AA5138" w:rsidP="00865528" w14:paraId="64280EBD" w14:textId="4B31B6C5">
            <w:pPr>
              <w:jc w:val="right"/>
              <w:rPr>
                <w:rFonts w:asciiTheme="minorHAnsi" w:hAnsiTheme="minorHAnsi" w:cstheme="minorHAnsi"/>
                <w:szCs w:val="24"/>
              </w:rPr>
            </w:pPr>
            <w:r>
              <w:rPr>
                <w:rFonts w:asciiTheme="minorHAnsi" w:hAnsiTheme="minorHAnsi" w:cstheme="minorHAnsi"/>
                <w:szCs w:val="24"/>
              </w:rPr>
              <w:t>29,</w:t>
            </w:r>
            <w:r w:rsidR="00F746F2">
              <w:rPr>
                <w:rFonts w:asciiTheme="minorHAnsi" w:hAnsiTheme="minorHAnsi" w:cstheme="minorHAnsi"/>
                <w:szCs w:val="24"/>
              </w:rPr>
              <w:t>926</w:t>
            </w:r>
          </w:p>
        </w:tc>
        <w:tc>
          <w:tcPr>
            <w:tcW w:w="1335" w:type="dxa"/>
          </w:tcPr>
          <w:p w:rsidR="00865528" w:rsidRPr="00AA5138" w:rsidP="00865528" w14:paraId="64280EBE" w14:textId="2007105B">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BF" w14:textId="62B2B169">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7,024</w:t>
            </w:r>
          </w:p>
        </w:tc>
        <w:tc>
          <w:tcPr>
            <w:tcW w:w="1170" w:type="dxa"/>
          </w:tcPr>
          <w:p w:rsidR="00865528" w:rsidRPr="00AA5138" w:rsidP="00865528" w14:paraId="64280EC0" w14:textId="716A1477">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C1" w14:textId="7C4CF44A">
            <w:pPr>
              <w:jc w:val="right"/>
              <w:rPr>
                <w:rFonts w:asciiTheme="minorHAnsi" w:hAnsiTheme="minorHAnsi" w:cstheme="minorHAnsi"/>
                <w:szCs w:val="24"/>
              </w:rPr>
            </w:pPr>
            <w:r>
              <w:rPr>
                <w:rFonts w:asciiTheme="minorHAnsi" w:hAnsiTheme="minorHAnsi" w:cstheme="minorHAnsi"/>
                <w:szCs w:val="24"/>
              </w:rPr>
              <w:t>$</w:t>
            </w:r>
            <w:r w:rsidR="002356C8">
              <w:rPr>
                <w:rFonts w:asciiTheme="minorHAnsi" w:hAnsiTheme="minorHAnsi" w:cstheme="minorHAnsi"/>
                <w:szCs w:val="24"/>
              </w:rPr>
              <w:t>156,776</w:t>
            </w:r>
          </w:p>
        </w:tc>
      </w:tr>
      <w:tr w14:paraId="64280ECC" w14:textId="77777777" w:rsidTr="00F1788E">
        <w:tblPrEx>
          <w:tblW w:w="8815" w:type="dxa"/>
          <w:tblLayout w:type="fixed"/>
          <w:tblLook w:val="0020"/>
        </w:tblPrEx>
        <w:tc>
          <w:tcPr>
            <w:tcW w:w="1345" w:type="dxa"/>
          </w:tcPr>
          <w:p w:rsidR="00865528" w:rsidRPr="00AA5138" w:rsidP="0086552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865528" w:rsidRPr="00AA5138" w:rsidP="00865528" w14:paraId="64280EC6" w14:textId="4D3D7CCE">
            <w:pPr>
              <w:jc w:val="right"/>
              <w:rPr>
                <w:rFonts w:asciiTheme="minorHAnsi" w:hAnsiTheme="minorHAnsi" w:cstheme="minorHAnsi"/>
                <w:szCs w:val="24"/>
              </w:rPr>
            </w:pPr>
            <w:r>
              <w:rPr>
                <w:rFonts w:asciiTheme="minorHAnsi" w:hAnsiTheme="minorHAnsi" w:cstheme="minorHAnsi"/>
                <w:szCs w:val="24"/>
              </w:rPr>
              <w:t>13,</w:t>
            </w:r>
            <w:r w:rsidR="00F746F2">
              <w:rPr>
                <w:rFonts w:asciiTheme="minorHAnsi" w:hAnsiTheme="minorHAnsi" w:cstheme="minorHAnsi"/>
                <w:szCs w:val="24"/>
              </w:rPr>
              <w:t>814</w:t>
            </w:r>
          </w:p>
        </w:tc>
        <w:tc>
          <w:tcPr>
            <w:tcW w:w="1080" w:type="dxa"/>
          </w:tcPr>
          <w:p w:rsidR="00865528" w:rsidRPr="00AA5138" w:rsidP="00865528" w14:paraId="64280EC7" w14:textId="4AE9D17D">
            <w:pPr>
              <w:jc w:val="right"/>
              <w:rPr>
                <w:rFonts w:asciiTheme="minorHAnsi" w:hAnsiTheme="minorHAnsi" w:cstheme="minorHAnsi"/>
                <w:szCs w:val="24"/>
              </w:rPr>
            </w:pPr>
            <w:r>
              <w:rPr>
                <w:rFonts w:asciiTheme="minorHAnsi" w:hAnsiTheme="minorHAnsi" w:cstheme="minorHAnsi"/>
                <w:szCs w:val="24"/>
              </w:rPr>
              <w:t>13,</w:t>
            </w:r>
            <w:r w:rsidR="00F746F2">
              <w:rPr>
                <w:rFonts w:asciiTheme="minorHAnsi" w:hAnsiTheme="minorHAnsi" w:cstheme="minorHAnsi"/>
                <w:szCs w:val="24"/>
              </w:rPr>
              <w:t>814</w:t>
            </w:r>
          </w:p>
        </w:tc>
        <w:tc>
          <w:tcPr>
            <w:tcW w:w="1335" w:type="dxa"/>
          </w:tcPr>
          <w:p w:rsidR="00865528" w:rsidRPr="00AA5138" w:rsidP="00865528" w14:paraId="64280EC8" w14:textId="2D47541A">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C9" w14:textId="759C299B">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3,24</w:t>
            </w:r>
            <w:r w:rsidR="00604112">
              <w:rPr>
                <w:rFonts w:asciiTheme="minorHAnsi" w:hAnsiTheme="minorHAnsi" w:cstheme="minorHAnsi"/>
                <w:szCs w:val="24"/>
              </w:rPr>
              <w:t>2</w:t>
            </w:r>
          </w:p>
        </w:tc>
        <w:tc>
          <w:tcPr>
            <w:tcW w:w="1170" w:type="dxa"/>
          </w:tcPr>
          <w:p w:rsidR="00865528" w:rsidRPr="00AA5138" w:rsidP="00865528" w14:paraId="64280ECA" w14:textId="505FCE06">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CB" w14:textId="1E9E6592">
            <w:pPr>
              <w:jc w:val="right"/>
              <w:rPr>
                <w:rFonts w:asciiTheme="minorHAnsi" w:hAnsiTheme="minorHAnsi" w:cstheme="minorHAnsi"/>
                <w:szCs w:val="24"/>
              </w:rPr>
            </w:pPr>
            <w:r>
              <w:rPr>
                <w:rFonts w:asciiTheme="minorHAnsi" w:hAnsiTheme="minorHAnsi" w:cstheme="minorHAnsi"/>
                <w:szCs w:val="24"/>
              </w:rPr>
              <w:t>$</w:t>
            </w:r>
            <w:r w:rsidR="002356C8">
              <w:rPr>
                <w:rFonts w:asciiTheme="minorHAnsi" w:hAnsiTheme="minorHAnsi" w:cstheme="minorHAnsi"/>
                <w:szCs w:val="24"/>
              </w:rPr>
              <w:t>72,3</w:t>
            </w:r>
            <w:r w:rsidR="00604112">
              <w:rPr>
                <w:rFonts w:asciiTheme="minorHAnsi" w:hAnsiTheme="minorHAnsi" w:cstheme="minorHAnsi"/>
                <w:szCs w:val="24"/>
              </w:rPr>
              <w:t>61</w:t>
            </w:r>
          </w:p>
        </w:tc>
      </w:tr>
      <w:tr w14:paraId="64280ED6" w14:textId="77777777" w:rsidTr="00F1788E">
        <w:tblPrEx>
          <w:tblW w:w="8815" w:type="dxa"/>
          <w:tblLayout w:type="fixed"/>
          <w:tblLook w:val="0020"/>
        </w:tblPrEx>
        <w:tc>
          <w:tcPr>
            <w:tcW w:w="1345" w:type="dxa"/>
          </w:tcPr>
          <w:p w:rsidR="00865528" w:rsidRPr="00AA5138" w:rsidP="0086552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865528" w:rsidRPr="00AA5138" w:rsidP="00865528" w14:paraId="64280ED0" w14:textId="07167C69">
            <w:pPr>
              <w:jc w:val="right"/>
              <w:rPr>
                <w:rFonts w:asciiTheme="minorHAnsi" w:hAnsiTheme="minorHAnsi" w:cstheme="minorHAnsi"/>
                <w:szCs w:val="24"/>
              </w:rPr>
            </w:pPr>
            <w:r>
              <w:rPr>
                <w:rFonts w:asciiTheme="minorHAnsi" w:hAnsiTheme="minorHAnsi" w:cstheme="minorHAnsi"/>
                <w:szCs w:val="24"/>
              </w:rPr>
              <w:t>13,</w:t>
            </w:r>
            <w:r w:rsidR="00F746F2">
              <w:rPr>
                <w:rFonts w:asciiTheme="minorHAnsi" w:hAnsiTheme="minorHAnsi" w:cstheme="minorHAnsi"/>
                <w:szCs w:val="24"/>
              </w:rPr>
              <w:t>803</w:t>
            </w:r>
          </w:p>
        </w:tc>
        <w:tc>
          <w:tcPr>
            <w:tcW w:w="1080" w:type="dxa"/>
          </w:tcPr>
          <w:p w:rsidR="00865528" w:rsidRPr="00AA5138" w:rsidP="00865528" w14:paraId="64280ED1" w14:textId="04AF6D03">
            <w:pPr>
              <w:jc w:val="right"/>
              <w:rPr>
                <w:rFonts w:asciiTheme="minorHAnsi" w:hAnsiTheme="minorHAnsi" w:cstheme="minorHAnsi"/>
                <w:szCs w:val="24"/>
              </w:rPr>
            </w:pPr>
            <w:r>
              <w:rPr>
                <w:rFonts w:asciiTheme="minorHAnsi" w:hAnsiTheme="minorHAnsi" w:cstheme="minorHAnsi"/>
                <w:szCs w:val="24"/>
              </w:rPr>
              <w:t>13,</w:t>
            </w:r>
            <w:r w:rsidR="00F746F2">
              <w:rPr>
                <w:rFonts w:asciiTheme="minorHAnsi" w:hAnsiTheme="minorHAnsi" w:cstheme="minorHAnsi"/>
                <w:szCs w:val="24"/>
              </w:rPr>
              <w:t>803</w:t>
            </w:r>
          </w:p>
        </w:tc>
        <w:tc>
          <w:tcPr>
            <w:tcW w:w="1335" w:type="dxa"/>
          </w:tcPr>
          <w:p w:rsidR="00865528" w:rsidRPr="00AA5138" w:rsidP="00865528" w14:paraId="64280ED2" w14:textId="24722A09">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D3" w14:textId="0D823BE6">
            <w:pPr>
              <w:jc w:val="right"/>
              <w:rPr>
                <w:rFonts w:asciiTheme="minorHAnsi" w:hAnsiTheme="minorHAnsi" w:cstheme="minorHAnsi"/>
                <w:szCs w:val="24"/>
              </w:rPr>
            </w:pPr>
            <w:r>
              <w:rPr>
                <w:rFonts w:asciiTheme="minorHAnsi" w:hAnsiTheme="minorHAnsi" w:cstheme="minorHAnsi"/>
                <w:szCs w:val="24"/>
              </w:rPr>
              <w:t>3,24</w:t>
            </w:r>
            <w:r w:rsidR="00604112">
              <w:rPr>
                <w:rFonts w:asciiTheme="minorHAnsi" w:hAnsiTheme="minorHAnsi" w:cstheme="minorHAnsi"/>
                <w:szCs w:val="24"/>
              </w:rPr>
              <w:t>0</w:t>
            </w:r>
          </w:p>
        </w:tc>
        <w:tc>
          <w:tcPr>
            <w:tcW w:w="1170" w:type="dxa"/>
          </w:tcPr>
          <w:p w:rsidR="00865528" w:rsidRPr="00AA5138" w:rsidP="00865528" w14:paraId="64280ED4" w14:textId="066F8CA8">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D5" w14:textId="1955E5D0">
            <w:pPr>
              <w:jc w:val="right"/>
              <w:rPr>
                <w:rFonts w:asciiTheme="minorHAnsi" w:hAnsiTheme="minorHAnsi" w:cstheme="minorHAnsi"/>
                <w:szCs w:val="24"/>
              </w:rPr>
            </w:pPr>
            <w:r>
              <w:rPr>
                <w:rFonts w:asciiTheme="minorHAnsi" w:hAnsiTheme="minorHAnsi" w:cstheme="minorHAnsi"/>
                <w:szCs w:val="24"/>
              </w:rPr>
              <w:t>$</w:t>
            </w:r>
            <w:r w:rsidR="002356C8">
              <w:rPr>
                <w:rFonts w:asciiTheme="minorHAnsi" w:hAnsiTheme="minorHAnsi" w:cstheme="minorHAnsi"/>
                <w:szCs w:val="24"/>
              </w:rPr>
              <w:t>72,3</w:t>
            </w:r>
            <w:r w:rsidR="00604112">
              <w:rPr>
                <w:rFonts w:asciiTheme="minorHAnsi" w:hAnsiTheme="minorHAnsi" w:cstheme="minorHAnsi"/>
                <w:szCs w:val="24"/>
              </w:rPr>
              <w:t>17</w:t>
            </w:r>
          </w:p>
        </w:tc>
      </w:tr>
      <w:tr w14:paraId="64280EE0" w14:textId="77777777" w:rsidTr="00F1788E">
        <w:tblPrEx>
          <w:tblW w:w="8815" w:type="dxa"/>
          <w:tblLayout w:type="fixed"/>
          <w:tblLook w:val="0020"/>
        </w:tblPrEx>
        <w:tc>
          <w:tcPr>
            <w:tcW w:w="1345" w:type="dxa"/>
          </w:tcPr>
          <w:p w:rsidR="00865528" w:rsidRPr="00442E07" w:rsidP="0086552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865528" w:rsidRPr="00AA5138" w:rsidP="00865528" w14:paraId="64280EDA" w14:textId="58F5CDA7">
            <w:pPr>
              <w:jc w:val="right"/>
              <w:rPr>
                <w:rFonts w:asciiTheme="minorHAnsi" w:hAnsiTheme="minorHAnsi" w:cstheme="minorHAnsi"/>
                <w:b/>
                <w:bCs/>
                <w:szCs w:val="24"/>
              </w:rPr>
            </w:pPr>
            <w:r>
              <w:rPr>
                <w:rFonts w:asciiTheme="minorHAnsi" w:hAnsiTheme="minorHAnsi" w:cstheme="minorHAnsi"/>
                <w:b/>
                <w:bCs/>
                <w:szCs w:val="24"/>
              </w:rPr>
              <w:t>57,</w:t>
            </w:r>
            <w:r w:rsidR="00F746F2">
              <w:rPr>
                <w:rFonts w:asciiTheme="minorHAnsi" w:hAnsiTheme="minorHAnsi" w:cstheme="minorHAnsi"/>
                <w:b/>
                <w:bCs/>
                <w:szCs w:val="24"/>
              </w:rPr>
              <w:t>543</w:t>
            </w:r>
          </w:p>
        </w:tc>
        <w:tc>
          <w:tcPr>
            <w:tcW w:w="1080" w:type="dxa"/>
          </w:tcPr>
          <w:p w:rsidR="00865528" w:rsidRPr="00AA5138" w:rsidP="00865528" w14:paraId="64280EDB" w14:textId="6808DA03">
            <w:pPr>
              <w:jc w:val="right"/>
              <w:rPr>
                <w:rFonts w:asciiTheme="minorHAnsi" w:hAnsiTheme="minorHAnsi" w:cstheme="minorHAnsi"/>
                <w:b/>
                <w:bCs/>
                <w:szCs w:val="24"/>
              </w:rPr>
            </w:pPr>
            <w:r>
              <w:rPr>
                <w:rFonts w:asciiTheme="minorHAnsi" w:hAnsiTheme="minorHAnsi" w:cstheme="minorHAnsi"/>
                <w:b/>
                <w:bCs/>
                <w:szCs w:val="24"/>
              </w:rPr>
              <w:t>57,</w:t>
            </w:r>
            <w:r w:rsidR="00F746F2">
              <w:rPr>
                <w:rFonts w:asciiTheme="minorHAnsi" w:hAnsiTheme="minorHAnsi" w:cstheme="minorHAnsi"/>
                <w:b/>
                <w:bCs/>
                <w:szCs w:val="24"/>
              </w:rPr>
              <w:t>543</w:t>
            </w:r>
          </w:p>
        </w:tc>
        <w:tc>
          <w:tcPr>
            <w:tcW w:w="1335" w:type="dxa"/>
          </w:tcPr>
          <w:p w:rsidR="00865528" w:rsidRPr="00CF7945" w:rsidP="00865528" w14:paraId="64280EDC" w14:textId="0DA00834">
            <w:pPr>
              <w:jc w:val="right"/>
              <w:rPr>
                <w:rFonts w:asciiTheme="minorHAnsi" w:hAnsiTheme="minorHAnsi" w:cstheme="minorHAnsi"/>
                <w:b/>
                <w:bCs/>
                <w:szCs w:val="24"/>
              </w:rPr>
            </w:pPr>
          </w:p>
        </w:tc>
        <w:tc>
          <w:tcPr>
            <w:tcW w:w="1260" w:type="dxa"/>
          </w:tcPr>
          <w:p w:rsidR="00865528" w:rsidRPr="00AA5138" w:rsidP="00865528" w14:paraId="64280EDD" w14:textId="0D93369A">
            <w:pPr>
              <w:jc w:val="right"/>
              <w:rPr>
                <w:rFonts w:asciiTheme="minorHAnsi" w:hAnsiTheme="minorHAnsi" w:cstheme="minorHAnsi"/>
                <w:b/>
                <w:bCs/>
                <w:szCs w:val="24"/>
              </w:rPr>
            </w:pPr>
            <w:r>
              <w:rPr>
                <w:rFonts w:asciiTheme="minorHAnsi" w:hAnsiTheme="minorHAnsi" w:cstheme="minorHAnsi"/>
                <w:b/>
                <w:bCs/>
                <w:szCs w:val="24"/>
              </w:rPr>
              <w:t>13,506</w:t>
            </w:r>
          </w:p>
        </w:tc>
        <w:tc>
          <w:tcPr>
            <w:tcW w:w="1170" w:type="dxa"/>
          </w:tcPr>
          <w:p w:rsidR="00865528" w:rsidRPr="00AA5138" w:rsidP="00865528" w14:paraId="64280EDE" w14:textId="77777777">
            <w:pPr>
              <w:jc w:val="right"/>
              <w:rPr>
                <w:rFonts w:asciiTheme="minorHAnsi" w:hAnsiTheme="minorHAnsi" w:cstheme="minorHAnsi"/>
                <w:b/>
                <w:bCs/>
                <w:szCs w:val="24"/>
              </w:rPr>
            </w:pPr>
          </w:p>
        </w:tc>
        <w:tc>
          <w:tcPr>
            <w:tcW w:w="1350" w:type="dxa"/>
          </w:tcPr>
          <w:p w:rsidR="00865528" w:rsidRPr="00AA5138" w:rsidP="00865528" w14:paraId="64280EDF" w14:textId="63A273E2">
            <w:pPr>
              <w:jc w:val="right"/>
              <w:rPr>
                <w:rFonts w:asciiTheme="minorHAnsi" w:hAnsiTheme="minorHAnsi" w:cstheme="minorHAnsi"/>
                <w:b/>
                <w:bCs/>
                <w:szCs w:val="24"/>
              </w:rPr>
            </w:pPr>
            <w:r>
              <w:rPr>
                <w:rFonts w:asciiTheme="minorHAnsi" w:hAnsiTheme="minorHAnsi" w:cstheme="minorHAnsi"/>
                <w:b/>
                <w:bCs/>
                <w:szCs w:val="24"/>
              </w:rPr>
              <w:t>$</w:t>
            </w:r>
            <w:r w:rsidR="002356C8">
              <w:rPr>
                <w:rFonts w:asciiTheme="minorHAnsi" w:hAnsiTheme="minorHAnsi" w:cstheme="minorHAnsi"/>
                <w:b/>
                <w:bCs/>
                <w:szCs w:val="24"/>
              </w:rPr>
              <w:t>301,454</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w:t>
      </w:r>
      <w:r w:rsidRPr="00ED7195">
        <w:rPr>
          <w:rFonts w:ascii="Times New Roman" w:hAnsi="Times New Roman"/>
          <w:b/>
          <w:szCs w:val="24"/>
        </w:rPr>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34F676BA">
      <w:pPr>
        <w:tabs>
          <w:tab w:val="left" w:pos="-720"/>
        </w:tabs>
        <w:suppressAutoHyphens/>
        <w:rPr>
          <w:rFonts w:ascii="Times New Roman" w:hAnsi="Times New Roman"/>
          <w:szCs w:val="24"/>
        </w:rPr>
      </w:pPr>
    </w:p>
    <w:p w:rsidR="00865528" w:rsidRPr="00865528" w:rsidP="00865528" w14:paraId="01B34AC9" w14:textId="77777777">
      <w:pPr>
        <w:tabs>
          <w:tab w:val="left" w:pos="-720"/>
        </w:tabs>
        <w:suppressAutoHyphens/>
        <w:ind w:left="720"/>
        <w:rPr>
          <w:rFonts w:asciiTheme="minorHAnsi" w:hAnsiTheme="minorHAnsi" w:cstheme="minorHAnsi"/>
          <w:color w:val="000000" w:themeColor="text1"/>
          <w:szCs w:val="24"/>
        </w:rPr>
      </w:pPr>
      <w:r w:rsidRPr="00865528">
        <w:rPr>
          <w:rFonts w:asciiTheme="minorHAnsi" w:hAnsiTheme="minorHAnsi" w:cstheme="minorHAnsi"/>
          <w:color w:val="000000" w:themeColor="text1"/>
          <w:szCs w:val="24"/>
        </w:rPr>
        <w:t xml:space="preserve">There are no start-up costs.  </w:t>
      </w:r>
    </w:p>
    <w:p w:rsidR="00865528" w:rsidP="00AD381B" w14:paraId="4DCD0037"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865528" w:rsidRPr="003133D7" w:rsidP="00865528" w14:paraId="1375E90B" w14:textId="77777777">
      <w:pPr>
        <w:pStyle w:val="BodyText2"/>
        <w:widowControl/>
        <w:tabs>
          <w:tab w:val="left" w:pos="360"/>
          <w:tab w:val="right" w:pos="4626"/>
          <w:tab w:val="right" w:pos="6699"/>
          <w:tab w:val="right" w:pos="8529"/>
        </w:tabs>
        <w:ind w:left="360"/>
        <w:rPr>
          <w:rFonts w:asciiTheme="minorHAnsi" w:hAnsiTheme="minorHAnsi" w:cstheme="minorHAnsi"/>
          <w:sz w:val="24"/>
          <w:szCs w:val="24"/>
        </w:rPr>
      </w:pPr>
      <w:r w:rsidRPr="003133D7">
        <w:rPr>
          <w:rFonts w:asciiTheme="minorHAnsi" w:hAnsiTheme="minorHAnsi" w:cstheme="minorHAnsi"/>
          <w:sz w:val="24"/>
          <w:szCs w:val="24"/>
        </w:rPr>
        <w:t>The following is a breakdown of estimated costs to the Federal government to produce, process, and update the 201</w:t>
      </w:r>
      <w:r w:rsidRPr="003133D7">
        <w:rPr>
          <w:rFonts w:asciiTheme="minorHAnsi" w:hAnsiTheme="minorHAnsi" w:cstheme="minorHAnsi"/>
          <w:sz w:val="24"/>
          <w:szCs w:val="24"/>
          <w:lang w:val="en-US"/>
        </w:rPr>
        <w:t>9</w:t>
      </w:r>
      <w:r w:rsidRPr="003133D7">
        <w:rPr>
          <w:rFonts w:asciiTheme="minorHAnsi" w:hAnsiTheme="minorHAnsi" w:cstheme="minorHAnsi"/>
          <w:sz w:val="24"/>
          <w:szCs w:val="24"/>
        </w:rPr>
        <w:t>-20</w:t>
      </w:r>
      <w:r w:rsidRPr="003133D7">
        <w:rPr>
          <w:rFonts w:asciiTheme="minorHAnsi" w:hAnsiTheme="minorHAnsi" w:cstheme="minorHAnsi"/>
          <w:sz w:val="24"/>
          <w:szCs w:val="24"/>
          <w:lang w:val="en-US"/>
        </w:rPr>
        <w:t>20</w:t>
      </w:r>
      <w:r w:rsidRPr="003133D7">
        <w:rPr>
          <w:rFonts w:asciiTheme="minorHAnsi" w:hAnsiTheme="minorHAnsi" w:cstheme="minorHAnsi"/>
          <w:sz w:val="24"/>
          <w:szCs w:val="24"/>
        </w:rPr>
        <w:t xml:space="preserve"> Student Aid Internet Gateway Enrollment Form.  The estimated costs are based on the actual costs incurred for the most recent completed cycle year.</w:t>
      </w:r>
    </w:p>
    <w:p w:rsidR="00865528" w:rsidRPr="00865528" w:rsidP="00865528" w14:paraId="2D7A1554" w14:textId="77777777">
      <w:pPr>
        <w:tabs>
          <w:tab w:val="left" w:pos="720"/>
        </w:tabs>
        <w:ind w:left="720"/>
        <w:rPr>
          <w:rFonts w:asciiTheme="minorHAnsi" w:hAnsiTheme="minorHAnsi" w:cstheme="minorHAnsi"/>
          <w:bCs/>
          <w:szCs w:val="24"/>
        </w:rPr>
      </w:pPr>
    </w:p>
    <w:p w:rsidR="00865528" w:rsidRPr="00865528" w:rsidP="00865528" w14:paraId="36A7D788" w14:textId="01788E1B">
      <w:pPr>
        <w:pStyle w:val="Heading2"/>
        <w:numPr>
          <w:ilvl w:val="0"/>
          <w:numId w:val="9"/>
        </w:numPr>
        <w:tabs>
          <w:tab w:val="left" w:pos="72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 xml:space="preserve">Projected Cost for the NGDC to host Participation Management </w:t>
      </w:r>
    </w:p>
    <w:tbl>
      <w:tblPr>
        <w:tblW w:w="0" w:type="auto"/>
        <w:tblInd w:w="18" w:type="dxa"/>
        <w:tblLayout w:type="fixed"/>
        <w:tblLook w:val="0000"/>
      </w:tblPr>
      <w:tblGrid>
        <w:gridCol w:w="5490"/>
        <w:gridCol w:w="1800"/>
      </w:tblGrid>
      <w:tr w14:paraId="0015212D" w14:textId="77777777" w:rsidTr="00F72371">
        <w:tblPrEx>
          <w:tblW w:w="0" w:type="auto"/>
          <w:tblInd w:w="18" w:type="dxa"/>
          <w:tblLayout w:type="fixed"/>
          <w:tblLook w:val="0000"/>
        </w:tblPrEx>
        <w:tc>
          <w:tcPr>
            <w:tcW w:w="5490" w:type="dxa"/>
            <w:tcBorders>
              <w:right w:val="single" w:sz="4" w:space="0" w:color="auto"/>
            </w:tcBorders>
          </w:tcPr>
          <w:p w:rsidR="00865528" w:rsidRPr="00865528" w:rsidP="00865528" w14:paraId="1F905607" w14:textId="77777777">
            <w:pPr>
              <w:pStyle w:val="Header"/>
              <w:tabs>
                <w:tab w:val="clear" w:pos="0"/>
                <w:tab w:val="left" w:pos="678"/>
                <w:tab w:val="left" w:pos="720"/>
              </w:tabs>
              <w:ind w:left="768" w:hanging="18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7F411D7C" w14:textId="77777777">
            <w:pPr>
              <w:tabs>
                <w:tab w:val="left" w:pos="252"/>
              </w:tabs>
              <w:ind w:left="252"/>
              <w:rPr>
                <w:rFonts w:asciiTheme="minorHAnsi" w:hAnsiTheme="minorHAnsi" w:cstheme="minorHAnsi"/>
                <w:bCs/>
                <w:szCs w:val="24"/>
              </w:rPr>
            </w:pPr>
            <w:r w:rsidRPr="00865528">
              <w:rPr>
                <w:rFonts w:asciiTheme="minorHAnsi" w:hAnsiTheme="minorHAnsi" w:cstheme="minorHAnsi"/>
                <w:bCs/>
                <w:szCs w:val="24"/>
              </w:rPr>
              <w:t>$55,000</w:t>
            </w:r>
          </w:p>
        </w:tc>
      </w:tr>
    </w:tbl>
    <w:p w:rsidR="00865528" w:rsidRPr="00865528" w:rsidP="00865528" w14:paraId="2225EC2E" w14:textId="57ACB19B">
      <w:pPr>
        <w:pStyle w:val="Heading2"/>
        <w:numPr>
          <w:ilvl w:val="0"/>
          <w:numId w:val="9"/>
        </w:numPr>
        <w:tabs>
          <w:tab w:val="left" w:pos="1440"/>
          <w:tab w:val="left" w:pos="2520"/>
          <w:tab w:val="left" w:pos="3600"/>
          <w:tab w:val="left" w:pos="5220"/>
          <w:tab w:val="left" w:pos="6480"/>
          <w:tab w:val="left" w:pos="7840"/>
          <w:tab w:val="decimal" w:pos="864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Cost for Development/Annual Rollover Updates</w:t>
      </w:r>
    </w:p>
    <w:tbl>
      <w:tblPr>
        <w:tblW w:w="0" w:type="auto"/>
        <w:tblLayout w:type="fixed"/>
        <w:tblLook w:val="0000"/>
      </w:tblPr>
      <w:tblGrid>
        <w:gridCol w:w="5508"/>
        <w:gridCol w:w="1800"/>
      </w:tblGrid>
      <w:tr w14:paraId="36EDCD3D" w14:textId="77777777" w:rsidTr="00F72371">
        <w:tblPrEx>
          <w:tblW w:w="0" w:type="auto"/>
          <w:tblLayout w:type="fixed"/>
          <w:tblLook w:val="0000"/>
        </w:tblPrEx>
        <w:trPr>
          <w:trHeight w:val="161"/>
        </w:trPr>
        <w:tc>
          <w:tcPr>
            <w:tcW w:w="5508" w:type="dxa"/>
          </w:tcPr>
          <w:p w:rsidR="00865528" w:rsidRPr="00865528" w:rsidP="00865528" w14:paraId="23E25935" w14:textId="77777777">
            <w:pPr>
              <w:pStyle w:val="Heading1"/>
              <w:tabs>
                <w:tab w:val="left" w:pos="720"/>
                <w:tab w:val="left" w:pos="2520"/>
                <w:tab w:val="left" w:pos="3600"/>
                <w:tab w:val="left" w:pos="5220"/>
                <w:tab w:val="left" w:pos="6480"/>
                <w:tab w:val="left" w:pos="7840"/>
                <w:tab w:val="decimal" w:pos="8640"/>
              </w:tabs>
              <w:ind w:left="720"/>
              <w:jc w:val="left"/>
              <w:rPr>
                <w:rFonts w:asciiTheme="minorHAnsi" w:hAnsiTheme="minorHAnsi" w:cstheme="minorHAnsi"/>
                <w:bCs/>
                <w:sz w:val="24"/>
                <w:szCs w:val="24"/>
              </w:rPr>
            </w:pPr>
          </w:p>
        </w:tc>
        <w:tc>
          <w:tcPr>
            <w:tcW w:w="1800" w:type="dxa"/>
            <w:tcBorders>
              <w:top w:val="single" w:sz="4" w:space="0" w:color="auto"/>
              <w:left w:val="single" w:sz="4" w:space="0" w:color="auto"/>
              <w:bottom w:val="single" w:sz="4" w:space="0" w:color="auto"/>
              <w:right w:val="single" w:sz="4" w:space="0" w:color="auto"/>
            </w:tcBorders>
            <w:shd w:val="pct20" w:color="000000" w:fill="FFFFFF"/>
          </w:tcPr>
          <w:p w:rsidR="00865528" w:rsidRPr="00865528" w:rsidP="00865528" w14:paraId="3D851E72"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$406,265</w:t>
            </w:r>
          </w:p>
        </w:tc>
      </w:tr>
    </w:tbl>
    <w:p w:rsidR="00865528" w:rsidRPr="00865528" w:rsidP="00865528" w14:paraId="5612B79B" w14:textId="77777777">
      <w:pPr>
        <w:pStyle w:val="Heading2"/>
        <w:numPr>
          <w:ilvl w:val="0"/>
          <w:numId w:val="9"/>
        </w:numPr>
        <w:tabs>
          <w:tab w:val="left" w:pos="144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Cost to provide Maintenance/System Support</w:t>
      </w:r>
    </w:p>
    <w:tbl>
      <w:tblPr>
        <w:tblW w:w="0" w:type="auto"/>
        <w:tblLayout w:type="fixed"/>
        <w:tblLook w:val="0000"/>
      </w:tblPr>
      <w:tblGrid>
        <w:gridCol w:w="5508"/>
        <w:gridCol w:w="1800"/>
      </w:tblGrid>
      <w:tr w14:paraId="6B6A5B10" w14:textId="77777777" w:rsidTr="00F72371">
        <w:tblPrEx>
          <w:tblW w:w="0" w:type="auto"/>
          <w:tblLayout w:type="fixed"/>
          <w:tblLook w:val="0000"/>
        </w:tblPrEx>
        <w:tc>
          <w:tcPr>
            <w:tcW w:w="5508" w:type="dxa"/>
            <w:tcBorders>
              <w:right w:val="single" w:sz="4" w:space="0" w:color="auto"/>
            </w:tcBorders>
          </w:tcPr>
          <w:p w:rsidR="00865528" w:rsidRPr="00865528" w:rsidP="00865528" w14:paraId="44B28B48" w14:textId="77777777">
            <w:pPr>
              <w:tabs>
                <w:tab w:val="left" w:pos="720"/>
                <w:tab w:val="left" w:pos="2520"/>
                <w:tab w:val="left" w:pos="3600"/>
                <w:tab w:val="left" w:pos="5220"/>
                <w:tab w:val="left" w:pos="6480"/>
                <w:tab w:val="left" w:pos="7840"/>
                <w:tab w:val="decimal" w:pos="8640"/>
              </w:tabs>
              <w:ind w:left="72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pct20" w:color="000000" w:fill="FFFFFF"/>
          </w:tcPr>
          <w:p w:rsidR="00865528" w:rsidRPr="00865528" w:rsidP="00865528" w14:paraId="10962732"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$1,852,794</w:t>
            </w:r>
          </w:p>
        </w:tc>
      </w:tr>
    </w:tbl>
    <w:p w:rsidR="00865528" w:rsidRPr="00865528" w:rsidP="00865528" w14:paraId="7951AE02" w14:textId="77777777">
      <w:pPr>
        <w:pStyle w:val="Heading2"/>
        <w:numPr>
          <w:ilvl w:val="0"/>
          <w:numId w:val="9"/>
        </w:numPr>
        <w:tabs>
          <w:tab w:val="left" w:pos="72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Processing Cost</w:t>
      </w:r>
    </w:p>
    <w:tbl>
      <w:tblPr>
        <w:tblW w:w="0" w:type="auto"/>
        <w:tblLayout w:type="fixed"/>
        <w:tblLook w:val="0000"/>
      </w:tblPr>
      <w:tblGrid>
        <w:gridCol w:w="5508"/>
        <w:gridCol w:w="1800"/>
      </w:tblGrid>
      <w:tr w14:paraId="539C6863" w14:textId="77777777" w:rsidTr="00F72371">
        <w:tblPrEx>
          <w:tblW w:w="0" w:type="auto"/>
          <w:tblLayout w:type="fixed"/>
          <w:tblLook w:val="0000"/>
        </w:tblPrEx>
        <w:tc>
          <w:tcPr>
            <w:tcW w:w="5508" w:type="dxa"/>
            <w:tcBorders>
              <w:right w:val="single" w:sz="4" w:space="0" w:color="auto"/>
            </w:tcBorders>
          </w:tcPr>
          <w:p w:rsidR="00865528" w:rsidRPr="00865528" w:rsidP="00865528" w14:paraId="4704ABBB" w14:textId="77777777">
            <w:pPr>
              <w:tabs>
                <w:tab w:val="left" w:pos="720"/>
                <w:tab w:val="left" w:pos="2520"/>
                <w:tab w:val="left" w:pos="3600"/>
                <w:tab w:val="left" w:pos="5220"/>
                <w:tab w:val="left" w:pos="6480"/>
                <w:tab w:val="left" w:pos="7840"/>
                <w:tab w:val="decimal" w:pos="8640"/>
              </w:tabs>
              <w:ind w:left="72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193CFC01"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$295,000</w:t>
            </w:r>
          </w:p>
        </w:tc>
      </w:tr>
    </w:tbl>
    <w:p w:rsidR="00865528" w:rsidRPr="00865528" w:rsidP="00865528" w14:paraId="325D7662" w14:textId="77777777">
      <w:pPr>
        <w:tabs>
          <w:tab w:val="left" w:pos="720"/>
          <w:tab w:val="right" w:pos="2700"/>
          <w:tab w:val="right" w:pos="4320"/>
          <w:tab w:val="decimal" w:pos="5310"/>
          <w:tab w:val="decimal" w:pos="6660"/>
          <w:tab w:val="decimal" w:pos="8640"/>
        </w:tabs>
        <w:ind w:left="720"/>
        <w:rPr>
          <w:rFonts w:asciiTheme="minorHAnsi" w:hAnsiTheme="minorHAnsi" w:cstheme="minorHAnsi"/>
          <w:bCs/>
          <w:szCs w:val="24"/>
        </w:rPr>
      </w:pPr>
    </w:p>
    <w:tbl>
      <w:tblPr>
        <w:tblW w:w="0" w:type="auto"/>
        <w:tblLayout w:type="fixed"/>
        <w:tblLook w:val="0000"/>
      </w:tblPr>
      <w:tblGrid>
        <w:gridCol w:w="5508"/>
        <w:gridCol w:w="1800"/>
      </w:tblGrid>
      <w:tr w14:paraId="7FB98EC4" w14:textId="77777777" w:rsidTr="00F72371">
        <w:tblPrEx>
          <w:tblW w:w="0" w:type="auto"/>
          <w:tblLayout w:type="fixed"/>
          <w:tblLook w:val="0000"/>
        </w:tblPrEx>
        <w:tc>
          <w:tcPr>
            <w:tcW w:w="5508" w:type="dxa"/>
            <w:tcBorders>
              <w:right w:val="single" w:sz="4" w:space="0" w:color="auto"/>
            </w:tcBorders>
          </w:tcPr>
          <w:p w:rsidR="00865528" w:rsidRPr="00865528" w:rsidP="00865528" w14:paraId="46934DF7" w14:textId="77777777">
            <w:pPr>
              <w:pStyle w:val="Heading5"/>
              <w:tabs>
                <w:tab w:val="left" w:pos="720"/>
              </w:tabs>
              <w:ind w:left="720"/>
              <w:rPr>
                <w:rFonts w:asciiTheme="minorHAnsi" w:hAnsiTheme="minorHAnsi" w:cstheme="minorHAnsi"/>
                <w:b w:val="0"/>
                <w:sz w:val="24"/>
                <w:szCs w:val="24"/>
              </w:rPr>
            </w:pPr>
            <w:r w:rsidRPr="00865528">
              <w:rPr>
                <w:rFonts w:asciiTheme="minorHAnsi" w:hAnsiTheme="minorHAnsi" w:cstheme="minorHAnsi"/>
                <w:b w:val="0"/>
                <w:sz w:val="24"/>
                <w:szCs w:val="24"/>
              </w:rPr>
              <w:t>Total Costs</w:t>
            </w: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1C22D7B2" w14:textId="77777777">
            <w:pPr>
              <w:tabs>
                <w:tab w:val="left" w:pos="162"/>
                <w:tab w:val="left" w:pos="2520"/>
                <w:tab w:val="left" w:pos="3600"/>
                <w:tab w:val="left" w:pos="5220"/>
                <w:tab w:val="left" w:pos="6480"/>
                <w:tab w:val="left" w:pos="7840"/>
                <w:tab w:val="decimal" w:pos="8640"/>
              </w:tabs>
              <w:ind w:left="162"/>
              <w:rPr>
                <w:rFonts w:asciiTheme="minorHAnsi" w:hAnsiTheme="minorHAnsi" w:cstheme="minorHAnsi"/>
                <w:bCs/>
                <w:szCs w:val="24"/>
              </w:rPr>
            </w:pPr>
            <w:r w:rsidRPr="00865528">
              <w:rPr>
                <w:rFonts w:asciiTheme="minorHAnsi" w:hAnsiTheme="minorHAnsi" w:cstheme="minorHAnsi"/>
                <w:bCs/>
                <w:szCs w:val="24"/>
              </w:rPr>
              <w:t>$2,609,059</w:t>
            </w:r>
          </w:p>
        </w:tc>
      </w:tr>
    </w:tbl>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A365DE" w:rsidP="00A365D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A365DE" w:rsidP="00A365DE" w14:paraId="64280EFD" w14:textId="77777777">
            <w:pPr>
              <w:tabs>
                <w:tab w:val="left" w:pos="-720"/>
              </w:tabs>
              <w:suppressAutoHyphens/>
              <w:rPr>
                <w:rFonts w:ascii="Times New Roman" w:hAnsi="Times New Roman"/>
                <w:b/>
                <w:szCs w:val="24"/>
              </w:rPr>
            </w:pPr>
          </w:p>
        </w:tc>
        <w:tc>
          <w:tcPr>
            <w:tcW w:w="2829" w:type="dxa"/>
          </w:tcPr>
          <w:p w:rsidR="00A365DE" w:rsidP="00A365DE" w14:paraId="64280EFE" w14:textId="7FC1EB90">
            <w:pPr>
              <w:tabs>
                <w:tab w:val="left" w:pos="-720"/>
              </w:tabs>
              <w:suppressAutoHyphens/>
              <w:rPr>
                <w:rFonts w:ascii="Times New Roman" w:hAnsi="Times New Roman"/>
                <w:b/>
                <w:szCs w:val="24"/>
              </w:rPr>
            </w:pPr>
          </w:p>
        </w:tc>
        <w:tc>
          <w:tcPr>
            <w:tcW w:w="2520" w:type="dxa"/>
          </w:tcPr>
          <w:p w:rsidR="00A365DE" w:rsidP="00A365DE" w14:paraId="64280EFF" w14:textId="36A0A07F">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A365DE" w:rsidP="00A365D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A365DE" w:rsidP="00A365DE" w14:paraId="64280F02" w14:textId="77777777">
            <w:pPr>
              <w:tabs>
                <w:tab w:val="left" w:pos="-720"/>
              </w:tabs>
              <w:suppressAutoHyphens/>
              <w:rPr>
                <w:rFonts w:ascii="Times New Roman" w:hAnsi="Times New Roman"/>
                <w:b/>
                <w:szCs w:val="24"/>
              </w:rPr>
            </w:pPr>
          </w:p>
        </w:tc>
        <w:tc>
          <w:tcPr>
            <w:tcW w:w="2829" w:type="dxa"/>
          </w:tcPr>
          <w:p w:rsidR="00A365DE" w:rsidP="00A365DE" w14:paraId="64280F03" w14:textId="4D76F8FC">
            <w:pPr>
              <w:tabs>
                <w:tab w:val="left" w:pos="-720"/>
              </w:tabs>
              <w:suppressAutoHyphens/>
              <w:rPr>
                <w:rFonts w:ascii="Times New Roman" w:hAnsi="Times New Roman"/>
                <w:b/>
                <w:szCs w:val="24"/>
              </w:rPr>
            </w:pPr>
          </w:p>
        </w:tc>
        <w:tc>
          <w:tcPr>
            <w:tcW w:w="2520" w:type="dxa"/>
          </w:tcPr>
          <w:p w:rsidR="00A365DE" w:rsidP="00A365DE" w14:paraId="64280F04" w14:textId="4B3A0832">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A365DE" w:rsidP="00A365D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A365DE" w:rsidP="00A365DE" w14:paraId="64280F07" w14:textId="77777777">
            <w:pPr>
              <w:tabs>
                <w:tab w:val="left" w:pos="-720"/>
              </w:tabs>
              <w:suppressAutoHyphens/>
              <w:rPr>
                <w:rFonts w:ascii="Times New Roman" w:hAnsi="Times New Roman"/>
                <w:b/>
                <w:szCs w:val="24"/>
              </w:rPr>
            </w:pPr>
          </w:p>
        </w:tc>
        <w:tc>
          <w:tcPr>
            <w:tcW w:w="2829" w:type="dxa"/>
          </w:tcPr>
          <w:p w:rsidR="00A365DE" w:rsidP="00A365DE" w14:paraId="64280F08" w14:textId="77777777">
            <w:pPr>
              <w:tabs>
                <w:tab w:val="left" w:pos="-720"/>
              </w:tabs>
              <w:suppressAutoHyphens/>
              <w:rPr>
                <w:rFonts w:ascii="Times New Roman" w:hAnsi="Times New Roman"/>
                <w:b/>
                <w:szCs w:val="24"/>
              </w:rPr>
            </w:pPr>
          </w:p>
        </w:tc>
        <w:tc>
          <w:tcPr>
            <w:tcW w:w="2520" w:type="dxa"/>
          </w:tcPr>
          <w:p w:rsidR="00A365DE" w:rsidP="00A365DE"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865528" w:rsidRPr="00A365DE" w:rsidP="00865528" w14:paraId="5A0E82A5" w14:textId="296E80B7">
      <w:pPr>
        <w:autoSpaceDE w:val="0"/>
        <w:autoSpaceDN w:val="0"/>
        <w:adjustRightInd w:val="0"/>
        <w:ind w:left="720"/>
        <w:rPr>
          <w:rFonts w:asciiTheme="minorHAnsi" w:hAnsiTheme="minorHAnsi" w:cstheme="minorHAnsi"/>
          <w:bCs/>
          <w:szCs w:val="24"/>
        </w:rPr>
      </w:pPr>
      <w:r w:rsidRPr="003133D7">
        <w:rPr>
          <w:rFonts w:asciiTheme="minorHAnsi" w:hAnsiTheme="minorHAnsi" w:cstheme="minorHAnsi"/>
          <w:szCs w:val="24"/>
        </w:rPr>
        <w:t xml:space="preserve">This is a request for </w:t>
      </w:r>
      <w:r w:rsidR="003223C7">
        <w:rPr>
          <w:rFonts w:asciiTheme="minorHAnsi" w:hAnsiTheme="minorHAnsi" w:cstheme="minorHAnsi"/>
          <w:szCs w:val="24"/>
        </w:rPr>
        <w:t>a</w:t>
      </w:r>
      <w:r w:rsidR="00DE4804">
        <w:rPr>
          <w:rFonts w:asciiTheme="minorHAnsi" w:hAnsiTheme="minorHAnsi" w:cstheme="minorHAnsi"/>
          <w:szCs w:val="24"/>
        </w:rPr>
        <w:t xml:space="preserve">n extension </w:t>
      </w:r>
      <w:r w:rsidRPr="003133D7">
        <w:rPr>
          <w:rFonts w:asciiTheme="minorHAnsi" w:hAnsiTheme="minorHAnsi" w:cstheme="minorHAnsi"/>
          <w:szCs w:val="24"/>
        </w:rPr>
        <w:t>of the current information collection</w:t>
      </w:r>
      <w:r w:rsidR="00E45F9B">
        <w:rPr>
          <w:rFonts w:asciiTheme="minorHAnsi" w:hAnsiTheme="minorHAnsi" w:cstheme="minorHAnsi"/>
          <w:szCs w:val="24"/>
        </w:rPr>
        <w:t>.</w:t>
      </w:r>
      <w:r w:rsidRPr="003133D7">
        <w:rPr>
          <w:rFonts w:asciiTheme="minorHAnsi" w:hAnsiTheme="minorHAnsi" w:cstheme="minorHAnsi"/>
          <w:szCs w:val="24"/>
        </w:rPr>
        <w:t xml:space="preserve"> </w:t>
      </w:r>
      <w:r w:rsidR="00604112">
        <w:rPr>
          <w:rFonts w:asciiTheme="minorHAnsi" w:hAnsiTheme="minorHAnsi" w:cstheme="minorHAnsi"/>
          <w:szCs w:val="24"/>
        </w:rPr>
        <w:t xml:space="preserve"> </w:t>
      </w:r>
      <w:r w:rsidR="00E45F9B">
        <w:rPr>
          <w:rFonts w:asciiTheme="minorHAnsi" w:hAnsiTheme="minorHAnsi" w:cstheme="minorHAnsi"/>
          <w:szCs w:val="24"/>
        </w:rPr>
        <w:t>The number of respondents</w:t>
      </w:r>
      <w:r w:rsidR="0080646D">
        <w:rPr>
          <w:rFonts w:asciiTheme="minorHAnsi" w:hAnsiTheme="minorHAnsi" w:cstheme="minorHAnsi"/>
          <w:szCs w:val="24"/>
        </w:rPr>
        <w:t>/</w:t>
      </w:r>
      <w:r w:rsidR="00E45F9B">
        <w:rPr>
          <w:rFonts w:asciiTheme="minorHAnsi" w:hAnsiTheme="minorHAnsi" w:cstheme="minorHAnsi"/>
          <w:szCs w:val="24"/>
        </w:rPr>
        <w:t>responses remains 57</w:t>
      </w:r>
      <w:r w:rsidR="0080646D">
        <w:rPr>
          <w:rFonts w:asciiTheme="minorHAnsi" w:hAnsiTheme="minorHAnsi" w:cstheme="minorHAnsi"/>
          <w:szCs w:val="24"/>
        </w:rPr>
        <w:t>,</w:t>
      </w:r>
      <w:r w:rsidR="00E45F9B">
        <w:rPr>
          <w:rFonts w:asciiTheme="minorHAnsi" w:hAnsiTheme="minorHAnsi" w:cstheme="minorHAnsi"/>
          <w:szCs w:val="24"/>
        </w:rPr>
        <w:t>543, and the number of burden hours remains 13,506.</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865528" w:rsidRPr="003133D7" w:rsidP="00865528" w14:paraId="77A50418" w14:textId="77777777">
      <w:pPr>
        <w:spacing w:line="273" w:lineRule="exact"/>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 xml:space="preserve">Results of this collection of information will not be published. </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865528" w:rsidRPr="003133D7" w:rsidP="00865528" w14:paraId="1983D65D" w14:textId="77777777">
      <w:pPr>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The OMB expiration date will be displayed on the form together with the standard request for comments.</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865528" w:rsidRPr="003133D7" w:rsidP="00865528" w14:paraId="25B6B418" w14:textId="77777777">
      <w:pPr>
        <w:tabs>
          <w:tab w:val="left" w:pos="-720"/>
        </w:tabs>
        <w:suppressAutoHyphens/>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The Department is not requesting any exemption, the certification statement will be included on the form.</w:t>
      </w:r>
    </w:p>
    <w:p w:rsidR="00AA5138" w:rsidRPr="00AA5138" w:rsidP="00AA5138" w14:paraId="1D395179" w14:textId="77777777">
      <w:pPr>
        <w:tabs>
          <w:tab w:val="left" w:pos="-720"/>
        </w:tabs>
        <w:suppressAutoHyphens/>
        <w:ind w:left="720"/>
        <w:rPr>
          <w:rFonts w:ascii="Times New Roman" w:hAnsi="Times New Roman"/>
          <w:bCs/>
          <w:szCs w:val="24"/>
        </w:rPr>
      </w:pPr>
    </w:p>
    <w:sectPr w:rsidSect="002356C8">
      <w:headerReference w:type="default" r:id="rId13"/>
      <w:footerReference w:type="default" r:id="rId14"/>
      <w:endnotePr>
        <w:numFmt w:val="decimal"/>
      </w:endnotePr>
      <w:pgSz w:w="12240" w:h="15840" w:code="1"/>
      <w:pgMar w:top="127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4F3" w14:paraId="64280F18" w14:textId="77777777">
    <w:pPr>
      <w:spacing w:before="140" w:line="100" w:lineRule="exact"/>
      <w:rPr>
        <w:sz w:val="10"/>
      </w:rPr>
    </w:pPr>
  </w:p>
  <w:p w:rsidR="00EB04F3" w14:paraId="64280F19" w14:textId="77777777">
    <w:pPr>
      <w:tabs>
        <w:tab w:val="left" w:pos="0"/>
      </w:tabs>
      <w:suppressAutoHyphens/>
    </w:pPr>
  </w:p>
  <w:p w:rsidR="00EB04F3"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B04F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B04F3"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604F07C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D2485">
      <w:rPr>
        <w:rFonts w:ascii="Times New Roman" w:hAnsi="Times New Roman"/>
        <w:szCs w:val="24"/>
      </w:rPr>
      <w:t>1845-0002</w:t>
    </w:r>
    <w:r w:rsidR="00E22FD3">
      <w:rPr>
        <w:rFonts w:ascii="Times New Roman" w:hAnsi="Times New Roman"/>
        <w:szCs w:val="24"/>
      </w:rPr>
      <w:tab/>
    </w:r>
    <w:r w:rsidRPr="00C875E8">
      <w:rPr>
        <w:rFonts w:ascii="Times New Roman" w:hAnsi="Times New Roman"/>
        <w:szCs w:val="24"/>
      </w:rPr>
      <w:t xml:space="preserve">Revised: </w:t>
    </w:r>
    <w:r w:rsidR="004E5A3D">
      <w:rPr>
        <w:rFonts w:ascii="Times New Roman" w:hAnsi="Times New Roman"/>
        <w:szCs w:val="24"/>
      </w:rPr>
      <w:t>10/24</w:t>
    </w:r>
    <w:r w:rsidR="005968C8">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41F72A5"/>
    <w:multiLevelType w:val="hybridMultilevel"/>
    <w:tmpl w:val="CBECAF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1FA71D4"/>
    <w:multiLevelType w:val="hybridMultilevel"/>
    <w:tmpl w:val="2B4451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42124FE"/>
    <w:multiLevelType w:val="singleLevel"/>
    <w:tmpl w:val="04090019"/>
    <w:lvl w:ilvl="0">
      <w:start w:val="1"/>
      <w:numFmt w:val="lowerLetter"/>
      <w:lvlText w:val="%1."/>
      <w:lvlJc w:val="left"/>
      <w:pPr>
        <w:tabs>
          <w:tab w:val="num" w:pos="360"/>
        </w:tabs>
        <w:ind w:left="360" w:hanging="360"/>
      </w:pPr>
    </w:lvl>
  </w:abstractNum>
  <w:abstractNum w:abstractNumId="6">
    <w:nsid w:val="6C4F4F5F"/>
    <w:multiLevelType w:val="hybridMultilevel"/>
    <w:tmpl w:val="5E7AC6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7685711">
    <w:abstractNumId w:val="0"/>
  </w:num>
  <w:num w:numId="2" w16cid:durableId="1317220106">
    <w:abstractNumId w:val="2"/>
  </w:num>
  <w:num w:numId="3" w16cid:durableId="1728647085">
    <w:abstractNumId w:val="1"/>
  </w:num>
  <w:num w:numId="4" w16cid:durableId="2137605756">
    <w:abstractNumId w:val="7"/>
  </w:num>
  <w:num w:numId="5" w16cid:durableId="1601254175">
    <w:abstractNumId w:val="8"/>
  </w:num>
  <w:num w:numId="6" w16cid:durableId="1271737836">
    <w:abstractNumId w:val="6"/>
  </w:num>
  <w:num w:numId="7" w16cid:durableId="1414668436">
    <w:abstractNumId w:val="3"/>
  </w:num>
  <w:num w:numId="8" w16cid:durableId="888996358">
    <w:abstractNumId w:val="4"/>
  </w:num>
  <w:num w:numId="9" w16cid:durableId="506212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72248"/>
    <w:rsid w:val="00093017"/>
    <w:rsid w:val="001824F3"/>
    <w:rsid w:val="001A6AE0"/>
    <w:rsid w:val="001B4BB7"/>
    <w:rsid w:val="001C73C0"/>
    <w:rsid w:val="001E79BD"/>
    <w:rsid w:val="001F72BE"/>
    <w:rsid w:val="002225CC"/>
    <w:rsid w:val="00224A3B"/>
    <w:rsid w:val="002356C8"/>
    <w:rsid w:val="00240A39"/>
    <w:rsid w:val="00246BCC"/>
    <w:rsid w:val="00246FE9"/>
    <w:rsid w:val="00250100"/>
    <w:rsid w:val="00262A69"/>
    <w:rsid w:val="00270AF7"/>
    <w:rsid w:val="002A3221"/>
    <w:rsid w:val="002C3520"/>
    <w:rsid w:val="002E14E0"/>
    <w:rsid w:val="002F55E5"/>
    <w:rsid w:val="003133D7"/>
    <w:rsid w:val="0032078A"/>
    <w:rsid w:val="003223C7"/>
    <w:rsid w:val="0032539E"/>
    <w:rsid w:val="003860E4"/>
    <w:rsid w:val="003B1545"/>
    <w:rsid w:val="003C05AE"/>
    <w:rsid w:val="003C2113"/>
    <w:rsid w:val="003D2485"/>
    <w:rsid w:val="00412915"/>
    <w:rsid w:val="00426E29"/>
    <w:rsid w:val="00432C5F"/>
    <w:rsid w:val="00442E07"/>
    <w:rsid w:val="00443477"/>
    <w:rsid w:val="00453151"/>
    <w:rsid w:val="004E5A3D"/>
    <w:rsid w:val="004F4391"/>
    <w:rsid w:val="0052073E"/>
    <w:rsid w:val="00534B4A"/>
    <w:rsid w:val="00575DDA"/>
    <w:rsid w:val="00581C11"/>
    <w:rsid w:val="005877D4"/>
    <w:rsid w:val="005968C8"/>
    <w:rsid w:val="005F4E11"/>
    <w:rsid w:val="00604112"/>
    <w:rsid w:val="00610364"/>
    <w:rsid w:val="00652F6B"/>
    <w:rsid w:val="0068567A"/>
    <w:rsid w:val="006A292A"/>
    <w:rsid w:val="006A38F7"/>
    <w:rsid w:val="006A4EBB"/>
    <w:rsid w:val="006B4172"/>
    <w:rsid w:val="00713B69"/>
    <w:rsid w:val="00755D99"/>
    <w:rsid w:val="00756FD3"/>
    <w:rsid w:val="007621B7"/>
    <w:rsid w:val="00765392"/>
    <w:rsid w:val="00790E3E"/>
    <w:rsid w:val="007B345E"/>
    <w:rsid w:val="007C0A4C"/>
    <w:rsid w:val="007F6104"/>
    <w:rsid w:val="00800D30"/>
    <w:rsid w:val="00805F87"/>
    <w:rsid w:val="0080646D"/>
    <w:rsid w:val="00807D1A"/>
    <w:rsid w:val="00834A62"/>
    <w:rsid w:val="00865528"/>
    <w:rsid w:val="00874EFE"/>
    <w:rsid w:val="00882126"/>
    <w:rsid w:val="008933F1"/>
    <w:rsid w:val="00895855"/>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365DE"/>
    <w:rsid w:val="00A4001C"/>
    <w:rsid w:val="00A40AAB"/>
    <w:rsid w:val="00A4646F"/>
    <w:rsid w:val="00A46D01"/>
    <w:rsid w:val="00A70816"/>
    <w:rsid w:val="00A73590"/>
    <w:rsid w:val="00A7636D"/>
    <w:rsid w:val="00A9138E"/>
    <w:rsid w:val="00AA5138"/>
    <w:rsid w:val="00AC1C89"/>
    <w:rsid w:val="00AD381B"/>
    <w:rsid w:val="00AD6FE5"/>
    <w:rsid w:val="00AE016A"/>
    <w:rsid w:val="00AE7170"/>
    <w:rsid w:val="00AF579E"/>
    <w:rsid w:val="00AF5B5B"/>
    <w:rsid w:val="00AF5D1A"/>
    <w:rsid w:val="00B017F9"/>
    <w:rsid w:val="00B07213"/>
    <w:rsid w:val="00B10A05"/>
    <w:rsid w:val="00B54167"/>
    <w:rsid w:val="00B62E06"/>
    <w:rsid w:val="00B64B1D"/>
    <w:rsid w:val="00B9671B"/>
    <w:rsid w:val="00BA1D31"/>
    <w:rsid w:val="00BC1A67"/>
    <w:rsid w:val="00BD4966"/>
    <w:rsid w:val="00C164D3"/>
    <w:rsid w:val="00C20670"/>
    <w:rsid w:val="00C224FD"/>
    <w:rsid w:val="00C86713"/>
    <w:rsid w:val="00C875E8"/>
    <w:rsid w:val="00C92035"/>
    <w:rsid w:val="00CC2A72"/>
    <w:rsid w:val="00CC3FB5"/>
    <w:rsid w:val="00CD2067"/>
    <w:rsid w:val="00CD47BC"/>
    <w:rsid w:val="00CF7945"/>
    <w:rsid w:val="00D043C8"/>
    <w:rsid w:val="00D12F30"/>
    <w:rsid w:val="00D34984"/>
    <w:rsid w:val="00D36C35"/>
    <w:rsid w:val="00D75313"/>
    <w:rsid w:val="00D97F4C"/>
    <w:rsid w:val="00DE4804"/>
    <w:rsid w:val="00DE7310"/>
    <w:rsid w:val="00E16ACD"/>
    <w:rsid w:val="00E17134"/>
    <w:rsid w:val="00E22FD3"/>
    <w:rsid w:val="00E25EBC"/>
    <w:rsid w:val="00E33142"/>
    <w:rsid w:val="00E45F9B"/>
    <w:rsid w:val="00E66550"/>
    <w:rsid w:val="00E877BF"/>
    <w:rsid w:val="00EA1767"/>
    <w:rsid w:val="00EB04F3"/>
    <w:rsid w:val="00EB0929"/>
    <w:rsid w:val="00EB0FA5"/>
    <w:rsid w:val="00EB3C6E"/>
    <w:rsid w:val="00EC01DD"/>
    <w:rsid w:val="00EC1C76"/>
    <w:rsid w:val="00EC35E3"/>
    <w:rsid w:val="00ED7195"/>
    <w:rsid w:val="00F0414F"/>
    <w:rsid w:val="00F070F3"/>
    <w:rsid w:val="00F1788E"/>
    <w:rsid w:val="00F27AAF"/>
    <w:rsid w:val="00F31BEC"/>
    <w:rsid w:val="00F440D9"/>
    <w:rsid w:val="00F5782B"/>
    <w:rsid w:val="00F72371"/>
    <w:rsid w:val="00F73131"/>
    <w:rsid w:val="00F74288"/>
    <w:rsid w:val="00F746F2"/>
    <w:rsid w:val="00F82E82"/>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rsid w:val="003D2485"/>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D2485"/>
    <w:rPr>
      <w:snapToGrid w:val="0"/>
      <w:lang w:val="x-none" w:eastAsia="x-none"/>
    </w:rPr>
  </w:style>
  <w:style w:type="paragraph" w:styleId="BodyText0">
    <w:name w:val="Body Text"/>
    <w:basedOn w:val="Normal"/>
    <w:link w:val="BodyTextChar0"/>
    <w:rsid w:val="00072248"/>
    <w:pPr>
      <w:spacing w:after="120"/>
    </w:pPr>
    <w:rPr>
      <w:lang w:val="x-none" w:eastAsia="x-none"/>
    </w:rPr>
  </w:style>
  <w:style w:type="character" w:customStyle="1" w:styleId="BodyTextChar0">
    <w:name w:val="Body Text Char"/>
    <w:basedOn w:val="DefaultParagraphFont"/>
    <w:link w:val="BodyText0"/>
    <w:rsid w:val="00072248"/>
    <w:rPr>
      <w:rFonts w:ascii="Courier" w:hAnsi="Courier"/>
      <w:sz w:val="24"/>
      <w:lang w:val="x-none" w:eastAsia="x-none"/>
    </w:rPr>
  </w:style>
  <w:style w:type="character" w:customStyle="1" w:styleId="WKS">
    <w:name w:val="WKS"/>
    <w:rsid w:val="00072248"/>
    <w:rPr>
      <w:rFonts w:ascii="Times" w:hAnsi="Times"/>
      <w:sz w:val="20"/>
    </w:rPr>
  </w:style>
  <w:style w:type="character" w:styleId="FollowedHyperlink">
    <w:name w:val="FollowedHyperlink"/>
    <w:basedOn w:val="DefaultParagraphFont"/>
    <w:uiPriority w:val="99"/>
    <w:semiHidden/>
    <w:unhideWhenUsed/>
    <w:rsid w:val="00AF579E"/>
    <w:rPr>
      <w:color w:val="800080" w:themeColor="followedHyperlink"/>
      <w:u w:val="single"/>
    </w:rPr>
  </w:style>
  <w:style w:type="paragraph" w:styleId="Revision">
    <w:name w:val="Revision"/>
    <w:hidden/>
    <w:uiPriority w:val="99"/>
    <w:semiHidden/>
    <w:rsid w:val="005968C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18/03/01/2018-04141/privacy-act-of-1974-system-of-records" TargetMode="External" /><Relationship Id="rId11" Type="http://schemas.openxmlformats.org/officeDocument/2006/relationships/hyperlink" Target="https://www.bls.gov/oes/current/oes_nat.html" TargetMode="External" /><Relationship Id="rId12" Type="http://schemas.openxmlformats.org/officeDocument/2006/relationships/hyperlink" Target="https://salary.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sawebenroll.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712E21DE-FBF3-4F76-9F08-982D3D8D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purl.org/dc/elements/1.1/"/>
    <ds:schemaRef ds:uri="http://purl.org/dc/dcmitype/"/>
    <ds:schemaRef ds:uri="02e41e38-1731-4866-b09a-6257d8bc047f"/>
    <ds:schemaRef ds:uri="http://www.w3.org/XML/1998/namespace"/>
    <ds:schemaRef ds:uri="http://schemas.microsoft.com/office/infopath/2007/PartnerControls"/>
    <ds:schemaRef ds:uri="http://schemas.microsoft.com/office/2006/documentManagement/types"/>
    <ds:schemaRef ds:uri="f87c7b8b-c0e7-4b77-a067-2c707fd1239f"/>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2024-10-24T19:08:00Z</dcterms:created>
  <dcterms:modified xsi:type="dcterms:W3CDTF">2024-10-24T19:08:00Z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