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5D780A" w:rsidP="00E74C5D" w14:paraId="411C0931" w14:textId="63A03F67">
      <w:pPr>
        <w:pStyle w:val="BodyText3"/>
        <w:tabs>
          <w:tab w:val="right" w:pos="10260"/>
        </w:tabs>
        <w:spacing w:line="276" w:lineRule="auto"/>
        <w:rPr>
          <w:rFonts w:ascii="Garamond" w:hAnsi="Garamond"/>
          <w:b/>
          <w:bCs/>
          <w:sz w:val="24"/>
          <w:szCs w:val="24"/>
        </w:rPr>
      </w:pPr>
      <w:r w:rsidRPr="005D780A">
        <w:rPr>
          <w:rFonts w:ascii="Garamond" w:hAnsi="Garamond"/>
          <w:b/>
          <w:bCs/>
          <w:sz w:val="24"/>
          <w:szCs w:val="24"/>
        </w:rPr>
        <w:t>Memorandum</w:t>
      </w:r>
      <w:r w:rsidRPr="005D780A">
        <w:rPr>
          <w:rFonts w:ascii="Garamond" w:hAnsi="Garamond"/>
          <w:b/>
          <w:bCs/>
          <w:sz w:val="24"/>
          <w:szCs w:val="24"/>
        </w:rPr>
        <w:tab/>
        <w:t>United States Department of Education</w:t>
      </w:r>
    </w:p>
    <w:p w:rsidR="00C2153D" w:rsidRPr="005D780A" w:rsidP="00E74C5D" w14:paraId="6B9969D3" w14:textId="77777777">
      <w:pPr>
        <w:pStyle w:val="BodyText3"/>
        <w:tabs>
          <w:tab w:val="right" w:pos="10260"/>
        </w:tabs>
        <w:spacing w:line="276" w:lineRule="auto"/>
        <w:ind w:left="3600" w:firstLine="720"/>
        <w:rPr>
          <w:rFonts w:ascii="Garamond" w:hAnsi="Garamond"/>
          <w:b/>
          <w:bCs/>
          <w:sz w:val="24"/>
          <w:szCs w:val="24"/>
        </w:rPr>
      </w:pPr>
      <w:r w:rsidRPr="005D780A">
        <w:rPr>
          <w:rFonts w:ascii="Garamond" w:hAnsi="Garamond"/>
          <w:b/>
          <w:bCs/>
          <w:sz w:val="24"/>
          <w:szCs w:val="24"/>
        </w:rPr>
        <w:tab/>
        <w:t>Institute of Education Sciences</w:t>
      </w:r>
    </w:p>
    <w:p w:rsidR="00C2153D" w:rsidRPr="005D780A" w:rsidP="00E74C5D" w14:paraId="777DB95D" w14:textId="405183A5">
      <w:pPr>
        <w:pBdr>
          <w:bottom w:val="single" w:sz="24" w:space="1" w:color="auto"/>
        </w:pBdr>
        <w:rPr>
          <w:rFonts w:ascii="Garamond" w:hAnsi="Garamond"/>
          <w:b/>
          <w:bCs/>
        </w:rPr>
      </w:pPr>
      <w:r w:rsidRPr="005D780A">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r>
      <w:r w:rsidRPr="005D780A" w:rsidR="00DC5C82">
        <w:rPr>
          <w:rFonts w:ascii="Garamond" w:hAnsi="Garamond"/>
          <w:b/>
          <w:bCs/>
        </w:rPr>
        <w:tab/>
        <w:t xml:space="preserve">       </w:t>
      </w:r>
      <w:r w:rsidRPr="005D780A">
        <w:rPr>
          <w:rFonts w:ascii="Garamond" w:hAnsi="Garamond"/>
          <w:b/>
          <w:bCs/>
        </w:rPr>
        <w:t>National Center for Education Statistics</w:t>
      </w:r>
    </w:p>
    <w:p w:rsidR="00C2153D" w:rsidRPr="005D780A" w:rsidP="00E74C5D" w14:paraId="2D3D0C6A" w14:textId="77777777">
      <w:pPr>
        <w:spacing w:line="276" w:lineRule="auto"/>
        <w:rPr>
          <w:rFonts w:ascii="Garamond" w:hAnsi="Garamond"/>
        </w:rPr>
      </w:pPr>
    </w:p>
    <w:p w:rsidR="00D90962" w:rsidRPr="005D780A" w:rsidP="00E74C5D" w14:paraId="1A11FA14" w14:textId="35ED09AE">
      <w:pPr>
        <w:spacing w:line="276" w:lineRule="auto"/>
        <w:rPr>
          <w:rFonts w:ascii="Garamond" w:hAnsi="Garamond"/>
        </w:rPr>
      </w:pPr>
      <w:r w:rsidRPr="005D780A">
        <w:rPr>
          <w:rFonts w:ascii="Garamond" w:hAnsi="Garamond"/>
        </w:rPr>
        <w:t>DATE:</w:t>
      </w:r>
      <w:r w:rsidRPr="005D780A">
        <w:rPr>
          <w:rFonts w:ascii="Garamond" w:hAnsi="Garamond"/>
        </w:rPr>
        <w:tab/>
      </w:r>
      <w:r w:rsidRPr="005D780A" w:rsidR="00A14445">
        <w:rPr>
          <w:rFonts w:ascii="Garamond" w:hAnsi="Garamond"/>
        </w:rPr>
        <w:tab/>
      </w:r>
      <w:r w:rsidRPr="008E3D96" w:rsidR="001905D4">
        <w:rPr>
          <w:rFonts w:ascii="Garamond" w:hAnsi="Garamond"/>
        </w:rPr>
        <w:t xml:space="preserve">July </w:t>
      </w:r>
      <w:r w:rsidR="00E40483">
        <w:rPr>
          <w:rFonts w:ascii="Garamond" w:hAnsi="Garamond"/>
        </w:rPr>
        <w:t>1</w:t>
      </w:r>
      <w:r w:rsidRPr="008E3D96" w:rsidR="00DC473B">
        <w:rPr>
          <w:rFonts w:ascii="Garamond" w:hAnsi="Garamond"/>
        </w:rPr>
        <w:t>8</w:t>
      </w:r>
      <w:r w:rsidRPr="008E3D96" w:rsidR="00A75CBE">
        <w:rPr>
          <w:rFonts w:ascii="Garamond" w:hAnsi="Garamond"/>
        </w:rPr>
        <w:t>, 2024</w:t>
      </w:r>
    </w:p>
    <w:p w:rsidR="00C2153D" w:rsidRPr="005D780A" w:rsidP="00E74C5D" w14:paraId="3EB39440" w14:textId="77777777">
      <w:pPr>
        <w:rPr>
          <w:rFonts w:ascii="Garamond" w:hAnsi="Garamond"/>
        </w:rPr>
      </w:pPr>
    </w:p>
    <w:p w:rsidR="00D018C6" w:rsidRPr="005D780A" w:rsidP="00E74C5D" w14:paraId="0A4B43EE" w14:textId="0FB635DD">
      <w:pPr>
        <w:spacing w:line="276" w:lineRule="auto"/>
        <w:rPr>
          <w:rFonts w:ascii="Garamond" w:hAnsi="Garamond"/>
        </w:rPr>
      </w:pPr>
      <w:r w:rsidRPr="005D780A">
        <w:rPr>
          <w:rFonts w:ascii="Garamond" w:hAnsi="Garamond"/>
        </w:rPr>
        <w:t>TO:</w:t>
      </w:r>
      <w:r w:rsidRPr="005D780A">
        <w:rPr>
          <w:rFonts w:ascii="Garamond" w:hAnsi="Garamond"/>
        </w:rPr>
        <w:tab/>
      </w:r>
      <w:r w:rsidRPr="005D780A">
        <w:rPr>
          <w:rFonts w:ascii="Garamond" w:hAnsi="Garamond"/>
        </w:rPr>
        <w:tab/>
      </w:r>
      <w:r w:rsidRPr="005D780A" w:rsidR="009B7C7B">
        <w:rPr>
          <w:rFonts w:ascii="Garamond" w:hAnsi="Garamond"/>
        </w:rPr>
        <w:t>Beverly Pratt</w:t>
      </w:r>
      <w:r w:rsidRPr="005D780A">
        <w:rPr>
          <w:rFonts w:ascii="Garamond" w:hAnsi="Garamond"/>
        </w:rPr>
        <w:t>, OMB</w:t>
      </w:r>
    </w:p>
    <w:p w:rsidR="009B4A44" w:rsidRPr="005D780A" w:rsidP="00E74C5D" w14:paraId="0479AB6D" w14:textId="77777777">
      <w:pPr>
        <w:rPr>
          <w:rFonts w:ascii="Garamond" w:hAnsi="Garamond"/>
        </w:rPr>
      </w:pPr>
    </w:p>
    <w:p w:rsidR="00C2153D" w:rsidRPr="005D780A" w:rsidP="00E74C5D" w14:paraId="4AB21D49" w14:textId="2AA6D1C1">
      <w:pPr>
        <w:spacing w:line="276" w:lineRule="auto"/>
        <w:rPr>
          <w:rFonts w:ascii="Garamond" w:hAnsi="Garamond"/>
        </w:rPr>
      </w:pPr>
      <w:r w:rsidRPr="005D780A">
        <w:rPr>
          <w:rFonts w:ascii="Garamond" w:hAnsi="Garamond"/>
        </w:rPr>
        <w:t>THROUGH</w:t>
      </w:r>
      <w:r w:rsidRPr="005D780A">
        <w:rPr>
          <w:rFonts w:ascii="Garamond" w:hAnsi="Garamond"/>
        </w:rPr>
        <w:t>:</w:t>
      </w:r>
      <w:r w:rsidRPr="005D780A">
        <w:rPr>
          <w:rFonts w:ascii="Garamond" w:hAnsi="Garamond"/>
        </w:rPr>
        <w:tab/>
      </w:r>
      <w:r w:rsidRPr="005D780A" w:rsidR="007A78D0">
        <w:rPr>
          <w:rFonts w:ascii="Garamond" w:hAnsi="Garamond"/>
        </w:rPr>
        <w:t>Carrie Clarady</w:t>
      </w:r>
      <w:r w:rsidRPr="005D780A" w:rsidR="007D64A0">
        <w:rPr>
          <w:rFonts w:ascii="Garamond" w:hAnsi="Garamond"/>
        </w:rPr>
        <w:t xml:space="preserve">, </w:t>
      </w:r>
      <w:r w:rsidRPr="005D780A" w:rsidR="006C77DD">
        <w:rPr>
          <w:rFonts w:ascii="Garamond" w:hAnsi="Garamond"/>
        </w:rPr>
        <w:t xml:space="preserve">OMB Liaison, </w:t>
      </w:r>
      <w:r w:rsidRPr="005D780A" w:rsidR="008F18E9">
        <w:rPr>
          <w:rFonts w:ascii="Garamond" w:hAnsi="Garamond"/>
        </w:rPr>
        <w:t>IES</w:t>
      </w:r>
    </w:p>
    <w:p w:rsidR="009B4A44" w:rsidRPr="005D780A" w:rsidP="00E74C5D" w14:paraId="2E1A4533" w14:textId="77777777">
      <w:pPr>
        <w:rPr>
          <w:rFonts w:ascii="Garamond" w:hAnsi="Garamond"/>
        </w:rPr>
      </w:pPr>
    </w:p>
    <w:p w:rsidR="00092D40" w:rsidRPr="005D780A" w:rsidP="00E74C5D" w14:paraId="40DD7A89" w14:textId="235A5E7A">
      <w:pPr>
        <w:spacing w:line="276" w:lineRule="auto"/>
        <w:rPr>
          <w:rFonts w:ascii="Garamond" w:hAnsi="Garamond"/>
        </w:rPr>
      </w:pPr>
      <w:r w:rsidRPr="005D780A">
        <w:rPr>
          <w:rFonts w:ascii="Garamond" w:hAnsi="Garamond"/>
        </w:rPr>
        <w:t>FROM:</w:t>
      </w:r>
      <w:r w:rsidRPr="005D780A">
        <w:rPr>
          <w:rFonts w:ascii="Garamond" w:hAnsi="Garamond"/>
        </w:rPr>
        <w:tab/>
      </w:r>
      <w:r w:rsidRPr="005D780A" w:rsidR="007D6DCD">
        <w:rPr>
          <w:rFonts w:ascii="Garamond" w:hAnsi="Garamond"/>
        </w:rPr>
        <w:t>Tracy Hunt-White</w:t>
      </w:r>
      <w:r w:rsidRPr="005D780A" w:rsidR="007D64A0">
        <w:rPr>
          <w:rFonts w:ascii="Garamond" w:hAnsi="Garamond"/>
        </w:rPr>
        <w:t xml:space="preserve">, </w:t>
      </w:r>
      <w:r w:rsidRPr="005D780A">
        <w:rPr>
          <w:rFonts w:ascii="Garamond" w:hAnsi="Garamond"/>
        </w:rPr>
        <w:t>NCES</w:t>
      </w:r>
    </w:p>
    <w:p w:rsidR="009B4A44" w:rsidRPr="005D780A" w:rsidP="00E74C5D" w14:paraId="634D8613" w14:textId="77777777">
      <w:pPr>
        <w:rPr>
          <w:rFonts w:ascii="Garamond" w:hAnsi="Garamond"/>
        </w:rPr>
      </w:pPr>
    </w:p>
    <w:p w:rsidR="007D6DCD" w:rsidRPr="005D780A" w:rsidP="00E74C5D" w14:paraId="301D6011" w14:textId="5E24D42A">
      <w:pPr>
        <w:pStyle w:val="Cov-Title"/>
        <w:spacing w:after="240"/>
        <w:ind w:left="1440" w:hanging="1440"/>
        <w:jc w:val="left"/>
        <w:rPr>
          <w:rFonts w:ascii="Garamond" w:hAnsi="Garamond"/>
          <w:sz w:val="24"/>
          <w:szCs w:val="24"/>
        </w:rPr>
      </w:pPr>
      <w:r w:rsidRPr="00306950">
        <w:rPr>
          <w:rFonts w:ascii="Garamond" w:hAnsi="Garamond"/>
          <w:sz w:val="24"/>
          <w:szCs w:val="24"/>
        </w:rPr>
        <w:t>SUBJECT:</w:t>
      </w:r>
      <w:r w:rsidRPr="00306950">
        <w:rPr>
          <w:rFonts w:ascii="Garamond" w:hAnsi="Garamond"/>
          <w:sz w:val="24"/>
          <w:szCs w:val="24"/>
        </w:rPr>
        <w:tab/>
      </w:r>
      <w:r w:rsidRPr="00306950" w:rsidR="00F93E2B">
        <w:rPr>
          <w:rFonts w:ascii="Garamond" w:hAnsi="Garamond"/>
          <w:sz w:val="24"/>
          <w:szCs w:val="24"/>
        </w:rPr>
        <w:t>20</w:t>
      </w:r>
      <w:r w:rsidRPr="00306950" w:rsidR="009B7C7B">
        <w:rPr>
          <w:rFonts w:ascii="Garamond" w:hAnsi="Garamond"/>
          <w:sz w:val="24"/>
          <w:szCs w:val="24"/>
        </w:rPr>
        <w:t>23</w:t>
      </w:r>
      <w:r w:rsidRPr="00306950" w:rsidR="00F93E2B">
        <w:rPr>
          <w:rFonts w:ascii="Garamond" w:hAnsi="Garamond"/>
          <w:sz w:val="24"/>
          <w:szCs w:val="24"/>
        </w:rPr>
        <w:t>–2</w:t>
      </w:r>
      <w:r w:rsidRPr="00306950" w:rsidR="009B7C7B">
        <w:rPr>
          <w:rFonts w:ascii="Garamond" w:hAnsi="Garamond"/>
          <w:sz w:val="24"/>
          <w:szCs w:val="24"/>
        </w:rPr>
        <w:t>4</w:t>
      </w:r>
      <w:r w:rsidRPr="00306950" w:rsidR="00F93E2B">
        <w:rPr>
          <w:rFonts w:ascii="Garamond" w:hAnsi="Garamond"/>
          <w:sz w:val="24"/>
          <w:szCs w:val="24"/>
        </w:rPr>
        <w:t xml:space="preserve"> National Postsecondary Student Aid Study (NPSAS:2</w:t>
      </w:r>
      <w:r w:rsidRPr="00306950" w:rsidR="009B7C7B">
        <w:rPr>
          <w:rFonts w:ascii="Garamond" w:hAnsi="Garamond"/>
          <w:sz w:val="24"/>
          <w:szCs w:val="24"/>
        </w:rPr>
        <w:t>4</w:t>
      </w:r>
      <w:r w:rsidRPr="00306950" w:rsidR="00F93E2B">
        <w:rPr>
          <w:rFonts w:ascii="Garamond" w:hAnsi="Garamond"/>
          <w:sz w:val="24"/>
          <w:szCs w:val="24"/>
        </w:rPr>
        <w:t xml:space="preserve">) </w:t>
      </w:r>
      <w:r w:rsidRPr="00306950" w:rsidR="00C80A9B">
        <w:rPr>
          <w:rFonts w:ascii="Garamond" w:hAnsi="Garamond"/>
          <w:sz w:val="24"/>
          <w:szCs w:val="24"/>
        </w:rPr>
        <w:t>Shorter versus Longer Emails, Data Collection Pause, and Incentive Boost for Key Sample Groups</w:t>
      </w:r>
      <w:r w:rsidR="008D297D">
        <w:rPr>
          <w:rFonts w:ascii="Garamond" w:hAnsi="Garamond"/>
          <w:sz w:val="24"/>
          <w:szCs w:val="24"/>
        </w:rPr>
        <w:t xml:space="preserve"> Change Request</w:t>
      </w:r>
      <w:r w:rsidRPr="00306950" w:rsidR="00F93E2B">
        <w:rPr>
          <w:rFonts w:ascii="Garamond" w:hAnsi="Garamond"/>
          <w:sz w:val="24"/>
          <w:szCs w:val="24"/>
        </w:rPr>
        <w:t xml:space="preserve"> </w:t>
      </w:r>
      <w:r w:rsidRPr="00306950" w:rsidR="00302A69">
        <w:rPr>
          <w:rFonts w:ascii="Garamond" w:hAnsi="Garamond"/>
          <w:sz w:val="24"/>
          <w:szCs w:val="24"/>
        </w:rPr>
        <w:t>(OMB# 1850-0666 v</w:t>
      </w:r>
      <w:r w:rsidRPr="00306950" w:rsidR="003248A7">
        <w:rPr>
          <w:rFonts w:ascii="Garamond" w:hAnsi="Garamond"/>
          <w:sz w:val="24"/>
          <w:szCs w:val="24"/>
        </w:rPr>
        <w:t>.</w:t>
      </w:r>
      <w:r w:rsidRPr="00306950" w:rsidR="00C9437F">
        <w:rPr>
          <w:rFonts w:ascii="Garamond" w:hAnsi="Garamond"/>
          <w:sz w:val="24"/>
          <w:szCs w:val="24"/>
        </w:rPr>
        <w:t>3</w:t>
      </w:r>
      <w:r w:rsidRPr="00306950" w:rsidR="00C80A9B">
        <w:rPr>
          <w:rFonts w:ascii="Garamond" w:hAnsi="Garamond"/>
          <w:sz w:val="24"/>
          <w:szCs w:val="24"/>
        </w:rPr>
        <w:t>8</w:t>
      </w:r>
      <w:r w:rsidRPr="00306950" w:rsidR="00302A69">
        <w:rPr>
          <w:rFonts w:ascii="Garamond" w:hAnsi="Garamond"/>
          <w:sz w:val="24"/>
          <w:szCs w:val="24"/>
        </w:rPr>
        <w:t>)</w:t>
      </w:r>
    </w:p>
    <w:p w:rsidR="00DA0ABB" w:rsidRPr="005D780A" w:rsidP="00E74C5D" w14:paraId="52148FF7" w14:textId="75DD9938">
      <w:pPr>
        <w:widowControl w:val="0"/>
        <w:rPr>
          <w:rFonts w:ascii="Garamond" w:hAnsi="Garamond"/>
        </w:rPr>
      </w:pPr>
      <w:r w:rsidRPr="005D780A">
        <w:rPr>
          <w:rFonts w:ascii="Garamond" w:hAnsi="Garamond"/>
        </w:rPr>
        <w:t xml:space="preserve">The </w:t>
      </w:r>
      <w:r w:rsidRPr="005D780A" w:rsidR="001E5DB6">
        <w:rPr>
          <w:rFonts w:ascii="Garamond" w:hAnsi="Garamond"/>
        </w:rPr>
        <w:t>2023-24</w:t>
      </w:r>
      <w:r w:rsidRPr="005D780A">
        <w:rPr>
          <w:rFonts w:ascii="Garamond" w:hAnsi="Garamond"/>
        </w:rPr>
        <w:t xml:space="preserve"> National Postsecondary Student Aid Study (NPSAS:2</w:t>
      </w:r>
      <w:r w:rsidRPr="005D780A" w:rsidR="001E5DB6">
        <w:rPr>
          <w:rFonts w:ascii="Garamond" w:hAnsi="Garamond"/>
        </w:rPr>
        <w:t>4</w:t>
      </w:r>
      <w:r w:rsidRPr="005D780A">
        <w:rPr>
          <w:rFonts w:ascii="Garamond" w:hAnsi="Garamond"/>
        </w:rPr>
        <w:t>)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w:t>
      </w:r>
      <w:r w:rsidRPr="005D780A" w:rsidR="001715AA">
        <w:rPr>
          <w:rFonts w:ascii="Garamond" w:hAnsi="Garamond"/>
        </w:rPr>
        <w:t>2</w:t>
      </w:r>
      <w:r w:rsidRPr="005D780A">
        <w:rPr>
          <w:rFonts w:ascii="Garamond" w:hAnsi="Garamond"/>
        </w:rPr>
        <w:t xml:space="preserve">th cycle in the NPSAS series </w:t>
      </w:r>
      <w:r w:rsidRPr="005D780A" w:rsidR="001715AA">
        <w:rPr>
          <w:rFonts w:ascii="Garamond" w:hAnsi="Garamond"/>
        </w:rPr>
        <w:t xml:space="preserve">being </w:t>
      </w:r>
      <w:r w:rsidRPr="005D780A">
        <w:rPr>
          <w:rFonts w:ascii="Garamond" w:hAnsi="Garamond"/>
        </w:rPr>
        <w:t>conducted during the 20</w:t>
      </w:r>
      <w:r w:rsidRPr="005D780A" w:rsidR="001715AA">
        <w:rPr>
          <w:rFonts w:ascii="Garamond" w:hAnsi="Garamond"/>
        </w:rPr>
        <w:t>23</w:t>
      </w:r>
      <w:r w:rsidRPr="005D780A">
        <w:rPr>
          <w:rFonts w:ascii="Garamond" w:hAnsi="Garamond"/>
        </w:rPr>
        <w:t>–2</w:t>
      </w:r>
      <w:r w:rsidRPr="005D780A" w:rsidR="001715AA">
        <w:rPr>
          <w:rFonts w:ascii="Garamond" w:hAnsi="Garamond"/>
        </w:rPr>
        <w:t>4</w:t>
      </w:r>
      <w:r w:rsidRPr="005D780A">
        <w:rPr>
          <w:rFonts w:ascii="Garamond" w:hAnsi="Garamond"/>
        </w:rPr>
        <w:t xml:space="preserve"> academic year. </w:t>
      </w:r>
      <w:r w:rsidRPr="005D780A" w:rsidR="001E5DB6">
        <w:rPr>
          <w:rFonts w:ascii="Garamond" w:hAnsi="Garamond"/>
        </w:rPr>
        <w:t>NPSAS:24</w:t>
      </w:r>
      <w:r w:rsidRPr="005D780A">
        <w:rPr>
          <w:rFonts w:ascii="Garamond" w:hAnsi="Garamond"/>
        </w:rPr>
        <w:t xml:space="preserve"> will consist of a nationally representative sample of undergraduate and graduate students, and a nationally representative sample of </w:t>
      </w:r>
      <w:r w:rsidRPr="005D780A" w:rsidR="001715AA">
        <w:rPr>
          <w:rFonts w:ascii="Garamond" w:hAnsi="Garamond"/>
        </w:rPr>
        <w:t>bachelor’s degree completers</w:t>
      </w:r>
      <w:r w:rsidRPr="005D780A">
        <w:rPr>
          <w:rFonts w:ascii="Garamond" w:hAnsi="Garamond"/>
        </w:rPr>
        <w:t xml:space="preserve">. Subsets of questions in the </w:t>
      </w:r>
      <w:r w:rsidRPr="005D780A" w:rsidR="001E5DB6">
        <w:rPr>
          <w:rFonts w:ascii="Garamond" w:hAnsi="Garamond"/>
        </w:rPr>
        <w:t>NPSAS:24</w:t>
      </w:r>
      <w:r w:rsidRPr="005D780A">
        <w:rPr>
          <w:rFonts w:ascii="Garamond" w:hAnsi="Garamond"/>
        </w:rPr>
        <w:t xml:space="preserve"> student </w:t>
      </w:r>
      <w:r w:rsidRPr="005D780A" w:rsidR="001E5DB6">
        <w:rPr>
          <w:rFonts w:ascii="Garamond" w:hAnsi="Garamond"/>
        </w:rPr>
        <w:t>survey</w:t>
      </w:r>
      <w:r w:rsidRPr="005D780A">
        <w:rPr>
          <w:rFonts w:ascii="Garamond" w:hAnsi="Garamond"/>
        </w:rPr>
        <w:t xml:space="preserve"> focus on describing aspects of the experience of </w:t>
      </w:r>
      <w:r w:rsidRPr="005D780A" w:rsidR="0037674F">
        <w:rPr>
          <w:rFonts w:ascii="Garamond" w:hAnsi="Garamond"/>
        </w:rPr>
        <w:t xml:space="preserve">bachelor’s completers </w:t>
      </w:r>
      <w:r w:rsidRPr="005D780A">
        <w:rPr>
          <w:rFonts w:ascii="Garamond" w:hAnsi="Garamond"/>
        </w:rPr>
        <w:t xml:space="preserve">in their </w:t>
      </w:r>
      <w:r w:rsidRPr="005D780A" w:rsidR="0037674F">
        <w:rPr>
          <w:rFonts w:ascii="Garamond" w:hAnsi="Garamond"/>
        </w:rPr>
        <w:t xml:space="preserve">last </w:t>
      </w:r>
      <w:r w:rsidRPr="005D780A">
        <w:rPr>
          <w:rFonts w:ascii="Garamond" w:hAnsi="Garamond"/>
        </w:rPr>
        <w:t>year of postsecondary education.</w:t>
      </w:r>
    </w:p>
    <w:p w:rsidR="008F18E9" w:rsidRPr="005D780A" w:rsidP="00E74C5D" w14:paraId="3F9E200D" w14:textId="77777777">
      <w:pPr>
        <w:widowControl w:val="0"/>
        <w:rPr>
          <w:rFonts w:ascii="Garamond" w:hAnsi="Garamond"/>
        </w:rPr>
      </w:pPr>
    </w:p>
    <w:p w:rsidR="00DA0ABB" w:rsidRPr="005D780A" w:rsidP="00E74C5D" w14:paraId="79E3E459" w14:textId="620ADF4E">
      <w:pPr>
        <w:widowControl w:val="0"/>
        <w:rPr>
          <w:rFonts w:ascii="Garamond" w:hAnsi="Garamond"/>
        </w:rPr>
      </w:pPr>
      <w:r w:rsidRPr="005D780A">
        <w:rPr>
          <w:rFonts w:ascii="Garamond" w:hAnsi="Garamond"/>
        </w:rPr>
        <w:t xml:space="preserve">The request is to conduct all activities related to </w:t>
      </w:r>
      <w:r w:rsidRPr="005D780A" w:rsidR="001E5DB6">
        <w:rPr>
          <w:rFonts w:ascii="Garamond" w:hAnsi="Garamond"/>
        </w:rPr>
        <w:t>NPSAS:24</w:t>
      </w:r>
      <w:r w:rsidRPr="005D780A">
        <w:rPr>
          <w:rFonts w:ascii="Garamond" w:hAnsi="Garamond"/>
        </w:rPr>
        <w:t xml:space="preserve">, including materials and procedures related to the </w:t>
      </w:r>
      <w:r w:rsidRPr="005D780A" w:rsidR="001E5DB6">
        <w:rPr>
          <w:rFonts w:ascii="Garamond" w:hAnsi="Garamond"/>
        </w:rPr>
        <w:t>NPSAS:24</w:t>
      </w:r>
      <w:r w:rsidRPr="005D780A">
        <w:rPr>
          <w:rFonts w:ascii="Garamond" w:hAnsi="Garamond"/>
        </w:rPr>
        <w:t xml:space="preserve"> student data collection, consisting of abstraction of student data from institutions and a student survey</w:t>
      </w:r>
      <w:r w:rsidRPr="005D780A" w:rsidR="0037674F">
        <w:rPr>
          <w:rFonts w:ascii="Garamond" w:hAnsi="Garamond"/>
        </w:rPr>
        <w:t xml:space="preserve"> </w:t>
      </w:r>
      <w:r w:rsidR="00F76F14">
        <w:rPr>
          <w:rFonts w:ascii="Garamond" w:hAnsi="Garamond"/>
        </w:rPr>
        <w:t xml:space="preserve">was </w:t>
      </w:r>
      <w:r w:rsidRPr="005D780A" w:rsidR="00764FB7">
        <w:rPr>
          <w:rFonts w:ascii="Garamond" w:hAnsi="Garamond"/>
        </w:rPr>
        <w:t>approved by OMB in December 2023</w:t>
      </w:r>
      <w:r w:rsidR="00F76F14">
        <w:rPr>
          <w:rFonts w:ascii="Garamond" w:hAnsi="Garamond"/>
        </w:rPr>
        <w:t>,</w:t>
      </w:r>
      <w:r w:rsidR="00B61C7C">
        <w:rPr>
          <w:rFonts w:ascii="Garamond" w:hAnsi="Garamond"/>
        </w:rPr>
        <w:t xml:space="preserve"> </w:t>
      </w:r>
      <w:r w:rsidR="0097467E">
        <w:rPr>
          <w:rFonts w:ascii="Garamond" w:hAnsi="Garamond"/>
        </w:rPr>
        <w:t xml:space="preserve">with updates approved in </w:t>
      </w:r>
      <w:r w:rsidR="00B61C7C">
        <w:rPr>
          <w:rFonts w:ascii="Garamond" w:hAnsi="Garamond"/>
        </w:rPr>
        <w:t>January 2024</w:t>
      </w:r>
      <w:r w:rsidRPr="005D780A" w:rsidR="00764FB7">
        <w:rPr>
          <w:rFonts w:ascii="Garamond" w:hAnsi="Garamond"/>
        </w:rPr>
        <w:t xml:space="preserve"> (OMB#1859-0666 v. 36</w:t>
      </w:r>
      <w:r w:rsidR="00B61C7C">
        <w:rPr>
          <w:rFonts w:ascii="Garamond" w:hAnsi="Garamond"/>
        </w:rPr>
        <w:t xml:space="preserve"> and 37, respectively</w:t>
      </w:r>
      <w:r w:rsidRPr="005D780A" w:rsidR="00764FB7">
        <w:rPr>
          <w:rFonts w:ascii="Garamond" w:hAnsi="Garamond"/>
        </w:rPr>
        <w:t xml:space="preserve">) </w:t>
      </w:r>
      <w:r w:rsidRPr="005D780A">
        <w:rPr>
          <w:rFonts w:ascii="Garamond" w:hAnsi="Garamond"/>
        </w:rPr>
        <w:t xml:space="preserve">and carried over respondent burden, procedures, and materials related to the </w:t>
      </w:r>
      <w:r w:rsidRPr="005D780A" w:rsidR="001E5DB6">
        <w:rPr>
          <w:rFonts w:ascii="Garamond" w:hAnsi="Garamond"/>
        </w:rPr>
        <w:t>NPSAS:24</w:t>
      </w:r>
      <w:r w:rsidRPr="005D780A">
        <w:rPr>
          <w:rFonts w:ascii="Garamond" w:hAnsi="Garamond"/>
        </w:rPr>
        <w:t xml:space="preserve"> institution sampling, enrollment list collection, and matching to administrative data files </w:t>
      </w:r>
      <w:r w:rsidR="00CD0410">
        <w:rPr>
          <w:rFonts w:ascii="Garamond" w:hAnsi="Garamond"/>
        </w:rPr>
        <w:t>as</w:t>
      </w:r>
      <w:r w:rsidRPr="005D780A" w:rsidR="00CD0410">
        <w:rPr>
          <w:rFonts w:ascii="Garamond" w:hAnsi="Garamond"/>
        </w:rPr>
        <w:t xml:space="preserve"> </w:t>
      </w:r>
      <w:r w:rsidRPr="005D780A">
        <w:rPr>
          <w:rFonts w:ascii="Garamond" w:hAnsi="Garamond"/>
        </w:rPr>
        <w:t xml:space="preserve">approved by OMB in </w:t>
      </w:r>
      <w:r w:rsidRPr="005D780A" w:rsidR="0037674F">
        <w:rPr>
          <w:rFonts w:ascii="Garamond" w:hAnsi="Garamond"/>
        </w:rPr>
        <w:t xml:space="preserve">September 2023 </w:t>
      </w:r>
      <w:r w:rsidRPr="005D780A">
        <w:rPr>
          <w:rFonts w:ascii="Garamond" w:hAnsi="Garamond"/>
        </w:rPr>
        <w:t>(OMB#1859-0666 v.</w:t>
      </w:r>
      <w:r w:rsidRPr="005D780A" w:rsidR="0037674F">
        <w:rPr>
          <w:rFonts w:ascii="Garamond" w:hAnsi="Garamond"/>
        </w:rPr>
        <w:t xml:space="preserve"> 3</w:t>
      </w:r>
      <w:r w:rsidRPr="005D780A">
        <w:rPr>
          <w:rFonts w:ascii="Garamond" w:hAnsi="Garamond"/>
        </w:rPr>
        <w:t xml:space="preserve">5). The </w:t>
      </w:r>
      <w:r w:rsidRPr="005D780A" w:rsidR="001E5DB6">
        <w:rPr>
          <w:rFonts w:ascii="Garamond" w:hAnsi="Garamond"/>
        </w:rPr>
        <w:t>NPSAS:24</w:t>
      </w:r>
      <w:r w:rsidRPr="005D780A">
        <w:rPr>
          <w:rFonts w:ascii="Garamond" w:hAnsi="Garamond"/>
        </w:rPr>
        <w:t xml:space="preserve"> enrollment list collection from institutions </w:t>
      </w:r>
      <w:r w:rsidRPr="005D780A" w:rsidR="001153AB">
        <w:rPr>
          <w:rFonts w:ascii="Garamond" w:hAnsi="Garamond"/>
        </w:rPr>
        <w:t>t</w:t>
      </w:r>
      <w:r w:rsidRPr="005D780A" w:rsidR="00C40833">
        <w:rPr>
          <w:rFonts w:ascii="Garamond" w:hAnsi="Garamond"/>
        </w:rPr>
        <w:t>akes</w:t>
      </w:r>
      <w:r w:rsidRPr="005D780A" w:rsidR="001153AB">
        <w:rPr>
          <w:rFonts w:ascii="Garamond" w:hAnsi="Garamond"/>
        </w:rPr>
        <w:t xml:space="preserve"> </w:t>
      </w:r>
      <w:r w:rsidRPr="005D780A">
        <w:rPr>
          <w:rFonts w:ascii="Garamond" w:hAnsi="Garamond"/>
        </w:rPr>
        <w:t>place from October 20</w:t>
      </w:r>
      <w:r w:rsidRPr="005D780A" w:rsidR="00E338DE">
        <w:rPr>
          <w:rFonts w:ascii="Garamond" w:hAnsi="Garamond"/>
        </w:rPr>
        <w:t>23</w:t>
      </w:r>
      <w:r w:rsidRPr="005D780A">
        <w:rPr>
          <w:rFonts w:ascii="Garamond" w:hAnsi="Garamond"/>
        </w:rPr>
        <w:t xml:space="preserve"> </w:t>
      </w:r>
      <w:r w:rsidRPr="005D780A" w:rsidR="00FC53C2">
        <w:rPr>
          <w:rFonts w:ascii="Garamond" w:hAnsi="Garamond"/>
        </w:rPr>
        <w:t xml:space="preserve">to </w:t>
      </w:r>
      <w:r w:rsidRPr="005D780A" w:rsidR="00E338DE">
        <w:rPr>
          <w:rFonts w:ascii="Garamond" w:hAnsi="Garamond"/>
        </w:rPr>
        <w:t xml:space="preserve">October </w:t>
      </w:r>
      <w:r w:rsidRPr="005D780A">
        <w:rPr>
          <w:rFonts w:ascii="Garamond" w:hAnsi="Garamond"/>
        </w:rPr>
        <w:t>202</w:t>
      </w:r>
      <w:r w:rsidRPr="005D780A" w:rsidR="00E338DE">
        <w:rPr>
          <w:rFonts w:ascii="Garamond" w:hAnsi="Garamond"/>
        </w:rPr>
        <w:t>4</w:t>
      </w:r>
      <w:r w:rsidRPr="005D780A">
        <w:rPr>
          <w:rFonts w:ascii="Garamond" w:hAnsi="Garamond"/>
        </w:rPr>
        <w:t>, the student records</w:t>
      </w:r>
      <w:r w:rsidRPr="005D780A" w:rsidR="00764FB7">
        <w:rPr>
          <w:rFonts w:ascii="Garamond" w:hAnsi="Garamond"/>
        </w:rPr>
        <w:t xml:space="preserve"> and student survey data</w:t>
      </w:r>
      <w:r w:rsidRPr="005D780A">
        <w:rPr>
          <w:rFonts w:ascii="Garamond" w:hAnsi="Garamond"/>
        </w:rPr>
        <w:t xml:space="preserve"> collection</w:t>
      </w:r>
      <w:r w:rsidRPr="005D780A" w:rsidR="00764FB7">
        <w:rPr>
          <w:rFonts w:ascii="Garamond" w:hAnsi="Garamond"/>
        </w:rPr>
        <w:t>s</w:t>
      </w:r>
      <w:r w:rsidRPr="005D780A">
        <w:rPr>
          <w:rFonts w:ascii="Garamond" w:hAnsi="Garamond"/>
        </w:rPr>
        <w:t xml:space="preserve"> take place from </w:t>
      </w:r>
      <w:r w:rsidRPr="005D780A" w:rsidR="00E338DE">
        <w:rPr>
          <w:rFonts w:ascii="Garamond" w:hAnsi="Garamond"/>
        </w:rPr>
        <w:t xml:space="preserve">February </w:t>
      </w:r>
      <w:r w:rsidRPr="005D780A" w:rsidR="00F7444B">
        <w:rPr>
          <w:rFonts w:ascii="Garamond" w:hAnsi="Garamond"/>
        </w:rPr>
        <w:t>202</w:t>
      </w:r>
      <w:r w:rsidRPr="005D780A" w:rsidR="00E338DE">
        <w:rPr>
          <w:rFonts w:ascii="Garamond" w:hAnsi="Garamond"/>
        </w:rPr>
        <w:t>4</w:t>
      </w:r>
      <w:r w:rsidRPr="005D780A">
        <w:rPr>
          <w:rFonts w:ascii="Garamond" w:hAnsi="Garamond"/>
        </w:rPr>
        <w:t xml:space="preserve"> through </w:t>
      </w:r>
      <w:r w:rsidRPr="005D780A" w:rsidR="00E338DE">
        <w:rPr>
          <w:rFonts w:ascii="Garamond" w:hAnsi="Garamond"/>
        </w:rPr>
        <w:t xml:space="preserve">November </w:t>
      </w:r>
      <w:r w:rsidRPr="005D780A" w:rsidR="006F4B91">
        <w:rPr>
          <w:rFonts w:ascii="Garamond" w:hAnsi="Garamond"/>
        </w:rPr>
        <w:t>202</w:t>
      </w:r>
      <w:r w:rsidRPr="005D780A" w:rsidR="00E338DE">
        <w:rPr>
          <w:rFonts w:ascii="Garamond" w:hAnsi="Garamond"/>
        </w:rPr>
        <w:t>4</w:t>
      </w:r>
      <w:r w:rsidRPr="005D780A">
        <w:rPr>
          <w:rFonts w:ascii="Garamond" w:hAnsi="Garamond"/>
        </w:rPr>
        <w:t>.</w:t>
      </w:r>
    </w:p>
    <w:p w:rsidR="00DA0ABB" w:rsidRPr="005D780A" w:rsidP="00E74C5D" w14:paraId="70740A0B" w14:textId="77777777">
      <w:pPr>
        <w:widowControl w:val="0"/>
        <w:rPr>
          <w:rFonts w:ascii="Garamond" w:hAnsi="Garamond"/>
        </w:rPr>
      </w:pPr>
    </w:p>
    <w:p w:rsidR="009123CC" w:rsidRPr="005D780A" w:rsidP="00E74C5D" w14:paraId="147F0CBD" w14:textId="3103CBAF">
      <w:pPr>
        <w:widowControl w:val="0"/>
        <w:rPr>
          <w:rFonts w:ascii="Garamond" w:hAnsi="Garamond"/>
        </w:rPr>
      </w:pPr>
      <w:r w:rsidRPr="005D780A">
        <w:rPr>
          <w:rFonts w:ascii="Garamond" w:hAnsi="Garamond"/>
        </w:rPr>
        <w:t xml:space="preserve">This request </w:t>
      </w:r>
      <w:r w:rsidRPr="005D780A" w:rsidR="00091FAE">
        <w:rPr>
          <w:rFonts w:ascii="Garamond" w:hAnsi="Garamond"/>
        </w:rPr>
        <w:t xml:space="preserve">is </w:t>
      </w:r>
      <w:r w:rsidRPr="005D780A" w:rsidR="004A5C64">
        <w:rPr>
          <w:rFonts w:ascii="Garamond" w:hAnsi="Garamond"/>
        </w:rPr>
        <w:t xml:space="preserve">to </w:t>
      </w:r>
      <w:r w:rsidRPr="005D780A" w:rsidR="00854706">
        <w:rPr>
          <w:rFonts w:ascii="Garamond" w:hAnsi="Garamond"/>
        </w:rPr>
        <w:t xml:space="preserve">(1) </w:t>
      </w:r>
      <w:r w:rsidR="00CC2BF4">
        <w:rPr>
          <w:rFonts w:ascii="Garamond" w:hAnsi="Garamond"/>
        </w:rPr>
        <w:t xml:space="preserve">test experimentally a modification of </w:t>
      </w:r>
      <w:r w:rsidRPr="005D780A" w:rsidR="00FB53E5">
        <w:rPr>
          <w:rFonts w:ascii="Garamond" w:hAnsi="Garamond"/>
        </w:rPr>
        <w:t xml:space="preserve">a subset of prompting emails; </w:t>
      </w:r>
      <w:r w:rsidRPr="005D780A" w:rsidR="00854706">
        <w:rPr>
          <w:rFonts w:ascii="Garamond" w:hAnsi="Garamond"/>
        </w:rPr>
        <w:t xml:space="preserve">(2) </w:t>
      </w:r>
      <w:r w:rsidRPr="005D780A" w:rsidR="00FB53E5">
        <w:rPr>
          <w:rFonts w:ascii="Garamond" w:hAnsi="Garamond"/>
        </w:rPr>
        <w:t xml:space="preserve">define the schedule for planned “no contact” periods; and </w:t>
      </w:r>
      <w:r w:rsidRPr="005D780A" w:rsidR="00854706">
        <w:rPr>
          <w:rFonts w:ascii="Garamond" w:hAnsi="Garamond"/>
        </w:rPr>
        <w:t xml:space="preserve">(3) </w:t>
      </w:r>
      <w:r w:rsidRPr="005D780A" w:rsidR="00FB53E5">
        <w:rPr>
          <w:rFonts w:ascii="Garamond" w:hAnsi="Garamond"/>
        </w:rPr>
        <w:t xml:space="preserve">share the results of logistic regression </w:t>
      </w:r>
      <w:r w:rsidRPr="005D780A" w:rsidR="00F46181">
        <w:rPr>
          <w:rFonts w:ascii="Garamond" w:hAnsi="Garamond"/>
        </w:rPr>
        <w:t>model</w:t>
      </w:r>
      <w:r w:rsidRPr="005D780A" w:rsidR="00854706">
        <w:rPr>
          <w:rFonts w:ascii="Garamond" w:hAnsi="Garamond"/>
        </w:rPr>
        <w:t>ing</w:t>
      </w:r>
      <w:r w:rsidRPr="005D780A" w:rsidR="00F46181">
        <w:rPr>
          <w:rFonts w:ascii="Garamond" w:hAnsi="Garamond"/>
        </w:rPr>
        <w:t xml:space="preserve"> </w:t>
      </w:r>
      <w:r w:rsidRPr="005D780A" w:rsidR="00FB53E5">
        <w:rPr>
          <w:rFonts w:ascii="Garamond" w:hAnsi="Garamond"/>
        </w:rPr>
        <w:t xml:space="preserve">to determine whether or not a $10 boost offered to </w:t>
      </w:r>
      <w:r w:rsidRPr="005D780A" w:rsidR="00AA0B63">
        <w:rPr>
          <w:rFonts w:ascii="Garamond" w:hAnsi="Garamond"/>
        </w:rPr>
        <w:t xml:space="preserve">historically underrepresented student subgroups will increase their likelihood of participation in the survey. </w:t>
      </w:r>
      <w:r w:rsidR="00CD3598">
        <w:rPr>
          <w:rFonts w:ascii="Garamond" w:hAnsi="Garamond"/>
        </w:rPr>
        <w:t xml:space="preserve">We have also added language to the Supporting Statement Part A to inform OMB of NCES’s plans for NPSAS with respect to the newly revised SPD 15 standards for race and ethnicity data. </w:t>
      </w:r>
      <w:r w:rsidRPr="005D780A" w:rsidR="00AA0A93">
        <w:rPr>
          <w:rFonts w:ascii="Garamond" w:hAnsi="Garamond"/>
        </w:rPr>
        <w:t xml:space="preserve">This request does not introduce significant changes to the estimated respondent burden or the costs to the federal government. </w:t>
      </w:r>
    </w:p>
    <w:p w:rsidR="003942E2" w:rsidRPr="005D780A" w:rsidP="00E74C5D" w14:paraId="55FA98F2" w14:textId="77777777">
      <w:pPr>
        <w:widowControl w:val="0"/>
        <w:rPr>
          <w:rFonts w:ascii="Garamond" w:hAnsi="Garamond"/>
          <w:color w:val="FF0000"/>
        </w:rPr>
      </w:pPr>
    </w:p>
    <w:p w:rsidR="00AA0A93" w:rsidRPr="005D780A" w:rsidP="00E74C5D" w14:paraId="0E2BAB19" w14:textId="77777777">
      <w:pPr>
        <w:rPr>
          <w:rFonts w:ascii="Garamond" w:hAnsi="Garamond"/>
          <w:b/>
          <w:bCs/>
          <w:u w:val="single"/>
        </w:rPr>
      </w:pPr>
      <w:r w:rsidRPr="005D780A">
        <w:rPr>
          <w:rFonts w:ascii="Garamond" w:hAnsi="Garamond"/>
          <w:b/>
          <w:bCs/>
          <w:u w:val="single"/>
        </w:rPr>
        <w:br w:type="page"/>
      </w:r>
    </w:p>
    <w:p w:rsidR="00ED4A3B" w:rsidRPr="005D780A" w:rsidP="00E74C5D" w14:paraId="2F50CFD1" w14:textId="340EB973">
      <w:pPr>
        <w:pStyle w:val="Heading1"/>
        <w:rPr>
          <w:rFonts w:ascii="Garamond" w:hAnsi="Garamond"/>
        </w:rPr>
      </w:pPr>
      <w:r>
        <w:rPr>
          <w:rFonts w:ascii="Garamond" w:hAnsi="Garamond"/>
        </w:rPr>
        <w:t xml:space="preserve">Appendix J: </w:t>
      </w:r>
      <w:r w:rsidRPr="005D780A" w:rsidR="004A5CC9">
        <w:rPr>
          <w:rFonts w:ascii="Garamond" w:hAnsi="Garamond"/>
        </w:rPr>
        <w:t xml:space="preserve">Modifications to </w:t>
      </w:r>
      <w:r w:rsidRPr="005D780A" w:rsidR="001003BB">
        <w:rPr>
          <w:rFonts w:ascii="Garamond" w:hAnsi="Garamond"/>
        </w:rPr>
        <w:t xml:space="preserve">Student </w:t>
      </w:r>
      <w:r w:rsidRPr="005D780A" w:rsidR="00DE3242">
        <w:rPr>
          <w:rFonts w:ascii="Garamond" w:hAnsi="Garamond"/>
        </w:rPr>
        <w:t>Follow-up Emails</w:t>
      </w:r>
    </w:p>
    <w:p w:rsidR="001003BB" w:rsidRPr="005D780A" w:rsidP="00E74C5D" w14:paraId="0D65C8FD" w14:textId="14DC3A4D">
      <w:pPr>
        <w:rPr>
          <w:rFonts w:ascii="Garamond" w:hAnsi="Garamond"/>
        </w:rPr>
      </w:pPr>
    </w:p>
    <w:p w:rsidR="00891BF9" w:rsidRPr="005D780A" w:rsidP="00891BF9" w14:paraId="2D4C858F" w14:textId="221504CB">
      <w:pPr>
        <w:pStyle w:val="BodyText"/>
        <w:jc w:val="left"/>
        <w:rPr>
          <w:rFonts w:ascii="Garamond" w:hAnsi="Garamond"/>
          <w:b w:val="0"/>
          <w:bCs w:val="0"/>
        </w:rPr>
      </w:pPr>
      <w:bookmarkStart w:id="0" w:name="_Hlk170377210"/>
      <w:r w:rsidRPr="005D780A">
        <w:rPr>
          <w:rFonts w:ascii="Garamond" w:hAnsi="Garamond"/>
          <w:b w:val="0"/>
          <w:bCs w:val="0"/>
          <w:color w:val="1D1C1D"/>
          <w:shd w:val="clear" w:color="auto" w:fill="FFFFFF"/>
        </w:rPr>
        <w:t xml:space="preserve">A set of follow-up emails was provided in appendix J, Student Data Collection Materials, of </w:t>
      </w:r>
      <w:r w:rsidRPr="005D780A">
        <w:rPr>
          <w:rFonts w:ascii="Garamond" w:hAnsi="Garamond"/>
          <w:b w:val="0"/>
          <w:bCs w:val="0"/>
        </w:rPr>
        <w:t>the NPSAS:24 student data collection forms clearance package (OMB#1859-0666 v. 3</w:t>
      </w:r>
      <w:r w:rsidR="001F79CB">
        <w:rPr>
          <w:rFonts w:ascii="Garamond" w:hAnsi="Garamond"/>
          <w:b w:val="0"/>
          <w:bCs w:val="0"/>
        </w:rPr>
        <w:t>7</w:t>
      </w:r>
      <w:r w:rsidRPr="005D780A">
        <w:rPr>
          <w:rFonts w:ascii="Garamond" w:hAnsi="Garamond"/>
          <w:b w:val="0"/>
          <w:bCs w:val="0"/>
        </w:rPr>
        <w:t xml:space="preserve">). While effective in increasing the likelihood of participation, particularly on or after the date sent, a recent </w:t>
      </w:r>
      <w:r w:rsidRPr="005D780A">
        <w:rPr>
          <w:rFonts w:ascii="Garamond" w:hAnsi="Garamond"/>
          <w:b w:val="0"/>
          <w:bCs w:val="0"/>
        </w:rPr>
        <w:t xml:space="preserve">experiment </w:t>
      </w:r>
      <w:r w:rsidR="008C2B83">
        <w:rPr>
          <w:rFonts w:ascii="Garamond" w:hAnsi="Garamond"/>
          <w:b w:val="0"/>
          <w:bCs w:val="0"/>
        </w:rPr>
        <w:t xml:space="preserve">as part of a National Science Foundation survey, </w:t>
      </w:r>
      <w:r w:rsidRPr="005D780A">
        <w:rPr>
          <w:rFonts w:ascii="Garamond" w:hAnsi="Garamond"/>
          <w:b w:val="0"/>
          <w:bCs w:val="0"/>
        </w:rPr>
        <w:t xml:space="preserve">found that shorter </w:t>
      </w:r>
      <w:r w:rsidRPr="005D780A">
        <w:rPr>
          <w:rFonts w:ascii="Garamond" w:hAnsi="Garamond"/>
          <w:b w:val="0"/>
          <w:bCs w:val="0"/>
        </w:rPr>
        <w:t xml:space="preserve">(140 word) </w:t>
      </w:r>
      <w:r w:rsidRPr="005D780A">
        <w:rPr>
          <w:rFonts w:ascii="Garamond" w:hAnsi="Garamond"/>
          <w:b w:val="0"/>
          <w:bCs w:val="0"/>
        </w:rPr>
        <w:t xml:space="preserve">emails </w:t>
      </w:r>
      <w:r w:rsidRPr="005D780A">
        <w:rPr>
          <w:rFonts w:ascii="Garamond" w:hAnsi="Garamond"/>
          <w:b w:val="0"/>
          <w:bCs w:val="0"/>
        </w:rPr>
        <w:t xml:space="preserve">to follow up with nonrespondents </w:t>
      </w:r>
      <w:r w:rsidRPr="005D780A">
        <w:rPr>
          <w:rFonts w:ascii="Garamond" w:hAnsi="Garamond"/>
          <w:b w:val="0"/>
          <w:bCs w:val="0"/>
        </w:rPr>
        <w:t xml:space="preserve">were more likely to elicit a response </w:t>
      </w:r>
      <w:r w:rsidRPr="005D780A">
        <w:rPr>
          <w:rFonts w:ascii="Garamond" w:hAnsi="Garamond"/>
          <w:b w:val="0"/>
          <w:bCs w:val="0"/>
        </w:rPr>
        <w:t>than longer (212 word) emails.</w:t>
      </w:r>
      <w:r w:rsidRPr="005D780A">
        <w:rPr>
          <w:rStyle w:val="FootnoteReference"/>
          <w:rFonts w:ascii="Garamond" w:hAnsi="Garamond"/>
          <w:b w:val="0"/>
          <w:bCs w:val="0"/>
          <w:sz w:val="24"/>
          <w:szCs w:val="24"/>
        </w:rPr>
        <w:t xml:space="preserve"> </w:t>
      </w:r>
      <w:r>
        <w:rPr>
          <w:rStyle w:val="FootnoteReference"/>
          <w:rFonts w:ascii="Garamond" w:hAnsi="Garamond"/>
          <w:b w:val="0"/>
          <w:bCs w:val="0"/>
          <w:sz w:val="24"/>
          <w:szCs w:val="24"/>
        </w:rPr>
        <w:footnoteReference w:id="3"/>
      </w:r>
      <w:r w:rsidRPr="005D780A">
        <w:rPr>
          <w:rStyle w:val="FootnoteReference"/>
          <w:rFonts w:ascii="Garamond" w:hAnsi="Garamond"/>
          <w:b w:val="0"/>
          <w:bCs w:val="0"/>
        </w:rPr>
        <w:t xml:space="preserve"> </w:t>
      </w:r>
      <w:r w:rsidRPr="005D780A">
        <w:rPr>
          <w:rFonts w:ascii="Garamond" w:hAnsi="Garamond"/>
          <w:b w:val="0"/>
          <w:bCs w:val="0"/>
        </w:rPr>
        <w:t xml:space="preserve">After the first 4 weeks of data collection, response rates were </w:t>
      </w:r>
      <w:r w:rsidR="008C2B83">
        <w:rPr>
          <w:rFonts w:ascii="Garamond" w:hAnsi="Garamond"/>
          <w:b w:val="0"/>
          <w:bCs w:val="0"/>
        </w:rPr>
        <w:t xml:space="preserve">observed to be </w:t>
      </w:r>
      <w:r w:rsidRPr="005D780A">
        <w:rPr>
          <w:rFonts w:ascii="Garamond" w:hAnsi="Garamond"/>
          <w:b w:val="0"/>
          <w:bCs w:val="0"/>
        </w:rPr>
        <w:t>statistically significantly higher for those who had received the shorter email (18 percent</w:t>
      </w:r>
      <w:r w:rsidRPr="005D780A" w:rsidR="0075210D">
        <w:rPr>
          <w:rFonts w:ascii="Garamond" w:hAnsi="Garamond"/>
          <w:b w:val="0"/>
          <w:bCs w:val="0"/>
        </w:rPr>
        <w:t xml:space="preserve">; </w:t>
      </w:r>
      <w:r w:rsidRPr="005D780A" w:rsidR="0075210D">
        <w:rPr>
          <w:rFonts w:ascii="Garamond" w:hAnsi="Garamond"/>
          <w:b w:val="0"/>
          <w:bCs w:val="0"/>
          <w:i/>
          <w:iCs/>
        </w:rPr>
        <w:t>p</w:t>
      </w:r>
      <w:r w:rsidRPr="005D780A" w:rsidR="0075210D">
        <w:rPr>
          <w:rFonts w:ascii="Garamond" w:hAnsi="Garamond"/>
          <w:b w:val="0"/>
          <w:bCs w:val="0"/>
          <w:i/>
          <w:iCs/>
          <w:u w:val="single"/>
        </w:rPr>
        <w:t>&lt;</w:t>
      </w:r>
      <w:r w:rsidRPr="005D780A" w:rsidR="0075210D">
        <w:rPr>
          <w:rFonts w:ascii="Garamond" w:hAnsi="Garamond"/>
          <w:b w:val="0"/>
          <w:bCs w:val="0"/>
          <w:i/>
          <w:iCs/>
        </w:rPr>
        <w:t xml:space="preserve"> 0.05</w:t>
      </w:r>
      <w:r w:rsidRPr="005D780A">
        <w:rPr>
          <w:rFonts w:ascii="Garamond" w:hAnsi="Garamond"/>
          <w:b w:val="0"/>
          <w:bCs w:val="0"/>
        </w:rPr>
        <w:t xml:space="preserve">) than the longer email (16 percent) after the first reminder. According to the authors, this 2 percent difference was </w:t>
      </w:r>
      <w:r w:rsidRPr="005D780A" w:rsidR="0075210D">
        <w:rPr>
          <w:rFonts w:ascii="Garamond" w:hAnsi="Garamond"/>
          <w:b w:val="0"/>
          <w:bCs w:val="0"/>
        </w:rPr>
        <w:t xml:space="preserve">maintained through to </w:t>
      </w:r>
      <w:r w:rsidRPr="005D780A">
        <w:rPr>
          <w:rFonts w:ascii="Garamond" w:hAnsi="Garamond"/>
          <w:b w:val="0"/>
          <w:bCs w:val="0"/>
        </w:rPr>
        <w:t xml:space="preserve">the end of data collection </w:t>
      </w:r>
      <w:r w:rsidRPr="005D780A" w:rsidR="0075210D">
        <w:rPr>
          <w:rFonts w:ascii="Garamond" w:hAnsi="Garamond"/>
          <w:b w:val="0"/>
          <w:bCs w:val="0"/>
        </w:rPr>
        <w:t xml:space="preserve">although </w:t>
      </w:r>
      <w:r w:rsidRPr="005D780A">
        <w:rPr>
          <w:rFonts w:ascii="Garamond" w:hAnsi="Garamond"/>
          <w:b w:val="0"/>
          <w:bCs w:val="0"/>
        </w:rPr>
        <w:t xml:space="preserve">at the </w:t>
      </w:r>
      <w:r w:rsidRPr="005D780A" w:rsidR="0075210D">
        <w:rPr>
          <w:rFonts w:ascii="Garamond" w:hAnsi="Garamond"/>
          <w:b w:val="0"/>
          <w:bCs w:val="0"/>
          <w:i/>
          <w:iCs/>
        </w:rPr>
        <w:t xml:space="preserve">p </w:t>
      </w:r>
      <w:r w:rsidRPr="005D780A" w:rsidR="0075210D">
        <w:rPr>
          <w:rFonts w:ascii="Garamond" w:hAnsi="Garamond"/>
          <w:b w:val="0"/>
          <w:bCs w:val="0"/>
          <w:i/>
          <w:iCs/>
          <w:u w:val="single"/>
        </w:rPr>
        <w:t>&lt;</w:t>
      </w:r>
      <w:r w:rsidRPr="005D780A" w:rsidR="0075210D">
        <w:rPr>
          <w:rFonts w:ascii="Garamond" w:hAnsi="Garamond"/>
          <w:b w:val="0"/>
          <w:bCs w:val="0"/>
          <w:i/>
          <w:iCs/>
        </w:rPr>
        <w:t xml:space="preserve"> </w:t>
      </w:r>
      <w:r w:rsidRPr="005D780A">
        <w:rPr>
          <w:rFonts w:ascii="Garamond" w:hAnsi="Garamond"/>
          <w:b w:val="0"/>
          <w:bCs w:val="0"/>
          <w:i/>
          <w:iCs/>
        </w:rPr>
        <w:t>0.075</w:t>
      </w:r>
      <w:r w:rsidRPr="005D780A">
        <w:rPr>
          <w:rFonts w:ascii="Garamond" w:hAnsi="Garamond"/>
          <w:b w:val="0"/>
          <w:bCs w:val="0"/>
        </w:rPr>
        <w:t xml:space="preserve"> level. </w:t>
      </w:r>
    </w:p>
    <w:p w:rsidR="005D780A" w:rsidRPr="005D780A" w:rsidP="00891BF9" w14:paraId="78327355" w14:textId="77777777">
      <w:pPr>
        <w:pStyle w:val="BodyText"/>
        <w:jc w:val="left"/>
        <w:rPr>
          <w:rFonts w:ascii="Garamond" w:hAnsi="Garamond"/>
          <w:b w:val="0"/>
          <w:bCs w:val="0"/>
        </w:rPr>
      </w:pPr>
    </w:p>
    <w:p w:rsidR="005D780A" w:rsidP="00891BF9" w14:paraId="30D58D22" w14:textId="00CA0FA9">
      <w:pPr>
        <w:pStyle w:val="BodyText"/>
        <w:jc w:val="left"/>
        <w:rPr>
          <w:rFonts w:ascii="Garamond" w:hAnsi="Garamond"/>
          <w:b w:val="0"/>
          <w:bCs w:val="0"/>
          <w:color w:val="1D1C1D"/>
          <w:shd w:val="clear" w:color="auto" w:fill="FFFFFF"/>
        </w:rPr>
      </w:pPr>
      <w:r>
        <w:rPr>
          <w:rFonts w:ascii="Garamond" w:hAnsi="Garamond"/>
          <w:b w:val="0"/>
          <w:bCs w:val="0"/>
          <w:color w:val="1D1C1D"/>
          <w:shd w:val="clear" w:color="auto" w:fill="FFFFFF"/>
        </w:rPr>
        <w:t xml:space="preserve">Given this finding, we have </w:t>
      </w:r>
      <w:r w:rsidR="0043355E">
        <w:rPr>
          <w:rFonts w:ascii="Garamond" w:hAnsi="Garamond"/>
          <w:b w:val="0"/>
          <w:bCs w:val="0"/>
          <w:color w:val="1D1C1D"/>
          <w:shd w:val="clear" w:color="auto" w:fill="FFFFFF"/>
        </w:rPr>
        <w:t xml:space="preserve">created a set of </w:t>
      </w:r>
      <w:r w:rsidR="001A6A68">
        <w:rPr>
          <w:rFonts w:ascii="Garamond" w:hAnsi="Garamond"/>
          <w:b w:val="0"/>
          <w:bCs w:val="0"/>
          <w:color w:val="1D1C1D"/>
          <w:shd w:val="clear" w:color="auto" w:fill="FFFFFF"/>
        </w:rPr>
        <w:t xml:space="preserve">shortened </w:t>
      </w:r>
      <w:r>
        <w:rPr>
          <w:rFonts w:ascii="Garamond" w:hAnsi="Garamond"/>
          <w:b w:val="0"/>
          <w:bCs w:val="0"/>
          <w:color w:val="1D1C1D"/>
          <w:shd w:val="clear" w:color="auto" w:fill="FFFFFF"/>
        </w:rPr>
        <w:t>NPSAS:24 nonrespondent reminder emails</w:t>
      </w:r>
      <w:r w:rsidR="0043355E">
        <w:rPr>
          <w:rFonts w:ascii="Garamond" w:hAnsi="Garamond"/>
          <w:b w:val="0"/>
          <w:bCs w:val="0"/>
          <w:color w:val="1D1C1D"/>
          <w:shd w:val="clear" w:color="auto" w:fill="FFFFFF"/>
        </w:rPr>
        <w:t>, removing all but the most essential text from emails</w:t>
      </w:r>
      <w:r>
        <w:rPr>
          <w:rFonts w:ascii="Garamond" w:hAnsi="Garamond"/>
          <w:b w:val="0"/>
          <w:bCs w:val="0"/>
          <w:color w:val="1D1C1D"/>
          <w:shd w:val="clear" w:color="auto" w:fill="FFFFFF"/>
        </w:rPr>
        <w:t xml:space="preserve"> 1, 2,</w:t>
      </w:r>
      <w:r w:rsidR="001A6A68">
        <w:rPr>
          <w:rFonts w:ascii="Garamond" w:hAnsi="Garamond"/>
          <w:b w:val="0"/>
          <w:bCs w:val="0"/>
          <w:color w:val="1D1C1D"/>
          <w:shd w:val="clear" w:color="auto" w:fill="FFFFFF"/>
        </w:rPr>
        <w:t xml:space="preserve"> </w:t>
      </w:r>
      <w:r>
        <w:rPr>
          <w:rFonts w:ascii="Garamond" w:hAnsi="Garamond"/>
          <w:b w:val="0"/>
          <w:bCs w:val="0"/>
          <w:color w:val="1D1C1D"/>
          <w:shd w:val="clear" w:color="auto" w:fill="FFFFFF"/>
        </w:rPr>
        <w:t xml:space="preserve">3, 4, </w:t>
      </w:r>
      <w:r w:rsidR="001A6A68">
        <w:rPr>
          <w:rFonts w:ascii="Garamond" w:hAnsi="Garamond"/>
          <w:b w:val="0"/>
          <w:bCs w:val="0"/>
          <w:color w:val="1D1C1D"/>
          <w:shd w:val="clear" w:color="auto" w:fill="FFFFFF"/>
        </w:rPr>
        <w:t xml:space="preserve">and </w:t>
      </w:r>
      <w:r>
        <w:rPr>
          <w:rFonts w:ascii="Garamond" w:hAnsi="Garamond"/>
          <w:b w:val="0"/>
          <w:bCs w:val="0"/>
          <w:color w:val="1D1C1D"/>
          <w:shd w:val="clear" w:color="auto" w:fill="FFFFFF"/>
        </w:rPr>
        <w:t>8</w:t>
      </w:r>
      <w:r w:rsidR="0043355E">
        <w:rPr>
          <w:rFonts w:ascii="Garamond" w:hAnsi="Garamond"/>
          <w:b w:val="0"/>
          <w:bCs w:val="0"/>
          <w:color w:val="1D1C1D"/>
          <w:shd w:val="clear" w:color="auto" w:fill="FFFFFF"/>
        </w:rPr>
        <w:t xml:space="preserve"> as</w:t>
      </w:r>
      <w:r w:rsidR="001A6A68">
        <w:rPr>
          <w:rFonts w:ascii="Garamond" w:hAnsi="Garamond"/>
          <w:b w:val="0"/>
          <w:bCs w:val="0"/>
          <w:color w:val="1D1C1D"/>
          <w:shd w:val="clear" w:color="auto" w:fill="FFFFFF"/>
        </w:rPr>
        <w:t xml:space="preserve"> shown below and in revised appendix J</w:t>
      </w:r>
      <w:r w:rsidR="008A03AA">
        <w:rPr>
          <w:rFonts w:ascii="Garamond" w:hAnsi="Garamond"/>
          <w:b w:val="0"/>
          <w:bCs w:val="0"/>
          <w:color w:val="1D1C1D"/>
          <w:shd w:val="clear" w:color="auto" w:fill="FFFFFF"/>
        </w:rPr>
        <w:t xml:space="preserve"> attached</w:t>
      </w:r>
      <w:r w:rsidR="001A6A68">
        <w:rPr>
          <w:rFonts w:ascii="Garamond" w:hAnsi="Garamond"/>
          <w:b w:val="0"/>
          <w:bCs w:val="0"/>
          <w:color w:val="1D1C1D"/>
          <w:shd w:val="clear" w:color="auto" w:fill="FFFFFF"/>
        </w:rPr>
        <w:t>.</w:t>
      </w:r>
      <w:r w:rsidR="00443A95">
        <w:rPr>
          <w:rFonts w:ascii="Garamond" w:hAnsi="Garamond"/>
          <w:b w:val="0"/>
          <w:bCs w:val="0"/>
          <w:color w:val="1D1C1D"/>
          <w:shd w:val="clear" w:color="auto" w:fill="FFFFFF"/>
        </w:rPr>
        <w:t xml:space="preserve"> Nonrespondents within the last or last two (depending on timing of approval) data collection waves will be split at random into two groups with one receiving the original, longer follow-up emails </w:t>
      </w:r>
      <w:r w:rsidR="00B861EF">
        <w:rPr>
          <w:rFonts w:ascii="Garamond" w:hAnsi="Garamond"/>
          <w:b w:val="0"/>
          <w:bCs w:val="0"/>
          <w:color w:val="1D1C1D"/>
          <w:shd w:val="clear" w:color="auto" w:fill="FFFFFF"/>
        </w:rPr>
        <w:t xml:space="preserve">(the Control group) </w:t>
      </w:r>
      <w:r w:rsidR="00443A95">
        <w:rPr>
          <w:rFonts w:ascii="Garamond" w:hAnsi="Garamond"/>
          <w:b w:val="0"/>
          <w:bCs w:val="0"/>
          <w:color w:val="1D1C1D"/>
          <w:shd w:val="clear" w:color="auto" w:fill="FFFFFF"/>
        </w:rPr>
        <w:t>and the other receiving the new, shorter emails</w:t>
      </w:r>
      <w:r w:rsidR="00B861EF">
        <w:rPr>
          <w:rFonts w:ascii="Garamond" w:hAnsi="Garamond"/>
          <w:b w:val="0"/>
          <w:bCs w:val="0"/>
          <w:color w:val="1D1C1D"/>
          <w:shd w:val="clear" w:color="auto" w:fill="FFFFFF"/>
        </w:rPr>
        <w:t xml:space="preserve"> (the Experimental group)</w:t>
      </w:r>
      <w:r w:rsidR="00443A95">
        <w:rPr>
          <w:rFonts w:ascii="Garamond" w:hAnsi="Garamond"/>
          <w:b w:val="0"/>
          <w:bCs w:val="0"/>
          <w:color w:val="1D1C1D"/>
          <w:shd w:val="clear" w:color="auto" w:fill="FFFFFF"/>
        </w:rPr>
        <w:t>. Participation rates will be compared immediately before the next follow-up email is scheduled to be sent for the wave.</w:t>
      </w:r>
    </w:p>
    <w:p w:rsidR="00443A95" w:rsidRPr="005D780A" w:rsidP="00891BF9" w14:paraId="222D5CD1" w14:textId="77777777">
      <w:pPr>
        <w:pStyle w:val="BodyText"/>
        <w:jc w:val="left"/>
        <w:rPr>
          <w:rFonts w:ascii="Garamond" w:hAnsi="Garamond"/>
          <w:b w:val="0"/>
          <w:bCs w:val="0"/>
          <w:color w:val="1D1C1D"/>
          <w:shd w:val="clear" w:color="auto" w:fill="FFFFFF"/>
        </w:rPr>
      </w:pPr>
    </w:p>
    <w:tbl>
      <w:tblPr>
        <w:tblStyle w:val="TableGrid"/>
        <w:tblW w:w="0" w:type="auto"/>
        <w:tblLook w:val="04A0"/>
      </w:tblPr>
      <w:tblGrid>
        <w:gridCol w:w="10502"/>
      </w:tblGrid>
      <w:tr w14:paraId="5FB629D8" w14:textId="77777777" w:rsidTr="001A6A68">
        <w:tblPrEx>
          <w:tblW w:w="0" w:type="auto"/>
          <w:tblLook w:val="04A0"/>
        </w:tblPrEx>
        <w:tc>
          <w:tcPr>
            <w:tcW w:w="10502" w:type="dxa"/>
          </w:tcPr>
          <w:bookmarkEnd w:id="0"/>
          <w:p w:rsidR="001A6A68" w:rsidP="00E74C5D" w14:paraId="1752D4B0" w14:textId="41FA7389">
            <w:pPr>
              <w:pStyle w:val="Heading1"/>
              <w:rPr>
                <w:rFonts w:ascii="Garamond" w:hAnsi="Garamond"/>
              </w:rPr>
            </w:pPr>
            <w:r w:rsidRPr="001A6A68">
              <w:rPr>
                <w:rFonts w:ascii="Garamond" w:hAnsi="Garamond"/>
                <w:noProof/>
              </w:rPr>
              <w:drawing>
                <wp:inline distT="0" distB="0" distL="0" distR="0">
                  <wp:extent cx="6675120" cy="5010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6675120" cy="5010785"/>
                          </a:xfrm>
                          <a:prstGeom prst="rect">
                            <a:avLst/>
                          </a:prstGeom>
                        </pic:spPr>
                      </pic:pic>
                    </a:graphicData>
                  </a:graphic>
                </wp:inline>
              </w:drawing>
            </w:r>
          </w:p>
        </w:tc>
      </w:tr>
      <w:tr w14:paraId="6CD5F233" w14:textId="77777777" w:rsidTr="001A6A68">
        <w:tblPrEx>
          <w:tblW w:w="0" w:type="auto"/>
          <w:tblLook w:val="04A0"/>
        </w:tblPrEx>
        <w:tc>
          <w:tcPr>
            <w:tcW w:w="10502" w:type="dxa"/>
          </w:tcPr>
          <w:p w:rsidR="001A6A68" w:rsidP="00B861EF" w14:paraId="6A702F5D" w14:textId="632E48EB">
            <w:pPr>
              <w:pStyle w:val="Heading1"/>
              <w:rPr>
                <w:rFonts w:ascii="Garamond" w:hAnsi="Garamond"/>
              </w:rPr>
            </w:pPr>
            <w:r w:rsidRPr="00CE77F8">
              <w:rPr>
                <w:rFonts w:ascii="Garamond" w:hAnsi="Garamond"/>
                <w:noProof/>
              </w:rPr>
              <w:drawing>
                <wp:inline distT="0" distB="0" distL="0" distR="0">
                  <wp:extent cx="6675120" cy="5533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0"/>
                          <a:stretch>
                            <a:fillRect/>
                          </a:stretch>
                        </pic:blipFill>
                        <pic:spPr>
                          <a:xfrm>
                            <a:off x="0" y="0"/>
                            <a:ext cx="6675120" cy="5533390"/>
                          </a:xfrm>
                          <a:prstGeom prst="rect">
                            <a:avLst/>
                          </a:prstGeom>
                        </pic:spPr>
                      </pic:pic>
                    </a:graphicData>
                  </a:graphic>
                </wp:inline>
              </w:drawing>
            </w:r>
          </w:p>
        </w:tc>
      </w:tr>
      <w:tr w14:paraId="78380728" w14:textId="77777777" w:rsidTr="001A6A68">
        <w:tblPrEx>
          <w:tblW w:w="0" w:type="auto"/>
          <w:tblLook w:val="04A0"/>
        </w:tblPrEx>
        <w:tc>
          <w:tcPr>
            <w:tcW w:w="10502" w:type="dxa"/>
          </w:tcPr>
          <w:p w:rsidR="001A6A68" w:rsidP="00B861EF" w14:paraId="66B9928D" w14:textId="7B08DF10">
            <w:pPr>
              <w:pStyle w:val="Heading1"/>
              <w:rPr>
                <w:rFonts w:ascii="Garamond" w:hAnsi="Garamond"/>
              </w:rPr>
            </w:pPr>
            <w:r w:rsidRPr="00B861EF">
              <w:rPr>
                <w:rFonts w:ascii="Garamond" w:hAnsi="Garamond"/>
                <w:noProof/>
              </w:rPr>
              <w:drawing>
                <wp:inline distT="0" distB="0" distL="0" distR="0">
                  <wp:extent cx="6675120" cy="58273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6675120" cy="5827395"/>
                          </a:xfrm>
                          <a:prstGeom prst="rect">
                            <a:avLst/>
                          </a:prstGeom>
                        </pic:spPr>
                      </pic:pic>
                    </a:graphicData>
                  </a:graphic>
                </wp:inline>
              </w:drawing>
            </w:r>
          </w:p>
        </w:tc>
      </w:tr>
      <w:tr w14:paraId="3C30EB86" w14:textId="77777777" w:rsidTr="001A6A68">
        <w:tblPrEx>
          <w:tblW w:w="0" w:type="auto"/>
          <w:tblLook w:val="04A0"/>
        </w:tblPrEx>
        <w:tc>
          <w:tcPr>
            <w:tcW w:w="10502" w:type="dxa"/>
          </w:tcPr>
          <w:p w:rsidR="001A6A68" w:rsidP="00E74C5D" w14:paraId="187784DE" w14:textId="78F485FA">
            <w:pPr>
              <w:pStyle w:val="Heading1"/>
              <w:rPr>
                <w:rFonts w:ascii="Garamond" w:hAnsi="Garamond"/>
              </w:rPr>
            </w:pPr>
            <w:r w:rsidRPr="00CE77F8">
              <w:rPr>
                <w:rFonts w:ascii="Garamond" w:hAnsi="Garamond"/>
                <w:noProof/>
              </w:rPr>
              <w:drawing>
                <wp:inline distT="0" distB="0" distL="0" distR="0">
                  <wp:extent cx="6675120" cy="5565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2"/>
                          <a:stretch>
                            <a:fillRect/>
                          </a:stretch>
                        </pic:blipFill>
                        <pic:spPr>
                          <a:xfrm>
                            <a:off x="0" y="0"/>
                            <a:ext cx="6675120" cy="5565140"/>
                          </a:xfrm>
                          <a:prstGeom prst="rect">
                            <a:avLst/>
                          </a:prstGeom>
                        </pic:spPr>
                      </pic:pic>
                    </a:graphicData>
                  </a:graphic>
                </wp:inline>
              </w:drawing>
            </w:r>
          </w:p>
        </w:tc>
      </w:tr>
      <w:tr w14:paraId="103E42E0" w14:textId="77777777" w:rsidTr="001A6A68">
        <w:tblPrEx>
          <w:tblW w:w="0" w:type="auto"/>
          <w:tblLook w:val="04A0"/>
        </w:tblPrEx>
        <w:tc>
          <w:tcPr>
            <w:tcW w:w="10502" w:type="dxa"/>
          </w:tcPr>
          <w:p w:rsidR="001A6A68" w:rsidP="00E74C5D" w14:paraId="3BC85A55" w14:textId="2D06971B">
            <w:pPr>
              <w:pStyle w:val="Heading1"/>
              <w:rPr>
                <w:rFonts w:ascii="Garamond" w:hAnsi="Garamond"/>
              </w:rPr>
            </w:pPr>
            <w:r w:rsidRPr="00CE77F8">
              <w:rPr>
                <w:rFonts w:ascii="Garamond" w:hAnsi="Garamond"/>
                <w:noProof/>
              </w:rPr>
              <w:drawing>
                <wp:inline distT="0" distB="0" distL="0" distR="0">
                  <wp:extent cx="6675120" cy="54330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3"/>
                          <a:stretch>
                            <a:fillRect/>
                          </a:stretch>
                        </pic:blipFill>
                        <pic:spPr>
                          <a:xfrm>
                            <a:off x="0" y="0"/>
                            <a:ext cx="6675120" cy="5433060"/>
                          </a:xfrm>
                          <a:prstGeom prst="rect">
                            <a:avLst/>
                          </a:prstGeom>
                        </pic:spPr>
                      </pic:pic>
                    </a:graphicData>
                  </a:graphic>
                </wp:inline>
              </w:drawing>
            </w:r>
          </w:p>
        </w:tc>
      </w:tr>
    </w:tbl>
    <w:p w:rsidR="00B861EF" w:rsidP="00B861EF" w14:paraId="5AA3B860" w14:textId="77777777">
      <w:pPr>
        <w:pStyle w:val="BodyText"/>
        <w:widowControl w:val="0"/>
        <w:rPr>
          <w:rFonts w:ascii="Garamond" w:hAnsi="Garamond"/>
          <w:b w:val="0"/>
          <w:bCs w:val="0"/>
        </w:rPr>
      </w:pPr>
    </w:p>
    <w:p w:rsidR="00B861EF" w:rsidRPr="00B861EF" w:rsidP="003D70CE" w14:paraId="2DC96317" w14:textId="38E3E554">
      <w:pPr>
        <w:pStyle w:val="BodyText"/>
        <w:widowControl w:val="0"/>
        <w:jc w:val="left"/>
        <w:rPr>
          <w:rFonts w:ascii="Garamond" w:hAnsi="Garamond"/>
          <w:b w:val="0"/>
          <w:bCs w:val="0"/>
        </w:rPr>
      </w:pPr>
      <w:r w:rsidRPr="00B861EF">
        <w:rPr>
          <w:rFonts w:ascii="Garamond" w:hAnsi="Garamond"/>
          <w:b w:val="0"/>
          <w:bCs w:val="0"/>
        </w:rPr>
        <w:t xml:space="preserve">The proposed experimental design will allow us to test the </w:t>
      </w:r>
      <w:r w:rsidR="00903BFF">
        <w:rPr>
          <w:rFonts w:ascii="Garamond" w:hAnsi="Garamond"/>
          <w:b w:val="0"/>
          <w:bCs w:val="0"/>
        </w:rPr>
        <w:t xml:space="preserve">null </w:t>
      </w:r>
      <w:r w:rsidRPr="00B861EF">
        <w:rPr>
          <w:rFonts w:ascii="Garamond" w:hAnsi="Garamond"/>
          <w:b w:val="0"/>
          <w:bCs w:val="0"/>
        </w:rPr>
        <w:t>hypothes</w:t>
      </w:r>
      <w:r w:rsidR="003D70CE">
        <w:rPr>
          <w:rFonts w:ascii="Garamond" w:hAnsi="Garamond"/>
          <w:b w:val="0"/>
          <w:bCs w:val="0"/>
        </w:rPr>
        <w:t>is that t</w:t>
      </w:r>
      <w:r w:rsidRPr="00B861EF">
        <w:rPr>
          <w:rFonts w:ascii="Garamond" w:hAnsi="Garamond"/>
          <w:b w:val="0"/>
          <w:bCs w:val="0"/>
        </w:rPr>
        <w:t xml:space="preserve">here is no statistically significant difference in </w:t>
      </w:r>
      <w:r>
        <w:rPr>
          <w:rFonts w:ascii="Garamond" w:hAnsi="Garamond"/>
          <w:b w:val="0"/>
          <w:bCs w:val="0"/>
        </w:rPr>
        <w:t xml:space="preserve">participation </w:t>
      </w:r>
      <w:r w:rsidRPr="00B861EF">
        <w:rPr>
          <w:rFonts w:ascii="Garamond" w:hAnsi="Garamond"/>
          <w:b w:val="0"/>
          <w:bCs w:val="0"/>
        </w:rPr>
        <w:t xml:space="preserve">rates between </w:t>
      </w:r>
      <w:r>
        <w:rPr>
          <w:rFonts w:ascii="Garamond" w:hAnsi="Garamond"/>
          <w:b w:val="0"/>
          <w:bCs w:val="0"/>
        </w:rPr>
        <w:t xml:space="preserve">the Control and the Experimental groups </w:t>
      </w:r>
      <w:r w:rsidRPr="00B861EF">
        <w:rPr>
          <w:rFonts w:ascii="Garamond" w:hAnsi="Garamond"/>
          <w:b w:val="0"/>
          <w:bCs w:val="0"/>
        </w:rPr>
        <w:t xml:space="preserve">(effect of </w:t>
      </w:r>
      <w:r>
        <w:rPr>
          <w:rFonts w:ascii="Garamond" w:hAnsi="Garamond"/>
          <w:b w:val="0"/>
          <w:bCs w:val="0"/>
        </w:rPr>
        <w:t>shorter email</w:t>
      </w:r>
      <w:r w:rsidRPr="00B861EF">
        <w:rPr>
          <w:rFonts w:ascii="Garamond" w:hAnsi="Garamond"/>
          <w:b w:val="0"/>
          <w:bCs w:val="0"/>
        </w:rPr>
        <w:t>).</w:t>
      </w:r>
    </w:p>
    <w:p w:rsidR="00B861EF" w:rsidRPr="00B861EF" w:rsidP="00B861EF" w14:paraId="21EB4119" w14:textId="37DB62AA">
      <w:pPr>
        <w:pStyle w:val="BodyText"/>
        <w:widowControl w:val="0"/>
        <w:ind w:left="720"/>
        <w:jc w:val="left"/>
        <w:rPr>
          <w:rFonts w:ascii="Garamond" w:hAnsi="Garamond"/>
          <w:b w:val="0"/>
          <w:bCs w:val="0"/>
        </w:rPr>
      </w:pPr>
    </w:p>
    <w:p w:rsidR="00844F5D" w:rsidRPr="005D780A" w:rsidP="00E74C5D" w14:paraId="288A47DF" w14:textId="2EA7AA10">
      <w:pPr>
        <w:pStyle w:val="Heading1"/>
        <w:rPr>
          <w:rFonts w:ascii="Garamond" w:hAnsi="Garamond"/>
        </w:rPr>
      </w:pPr>
      <w:r>
        <w:rPr>
          <w:rFonts w:ascii="Garamond" w:hAnsi="Garamond"/>
        </w:rPr>
        <w:t xml:space="preserve">Part B: </w:t>
      </w:r>
      <w:r w:rsidR="003D70CE">
        <w:rPr>
          <w:rFonts w:ascii="Garamond" w:hAnsi="Garamond"/>
        </w:rPr>
        <w:t>Expected Scheduling and Duration of Sample Member “Time Out”</w:t>
      </w:r>
    </w:p>
    <w:p w:rsidR="00844F5D" w:rsidP="00E74C5D" w14:paraId="315655FE" w14:textId="77777777">
      <w:pPr>
        <w:rPr>
          <w:rFonts w:ascii="Garamond" w:hAnsi="Garamond"/>
          <w:sz w:val="22"/>
          <w:szCs w:val="22"/>
        </w:rPr>
      </w:pPr>
    </w:p>
    <w:p w:rsidR="00FD79D5" w:rsidRPr="00E344F7" w:rsidP="00FD79D5" w14:paraId="7D2C8DA3" w14:textId="1276015B">
      <w:pPr>
        <w:rPr>
          <w:rFonts w:ascii="Garamond" w:hAnsi="Garamond" w:cs="Arial"/>
        </w:rPr>
      </w:pPr>
      <w:r w:rsidRPr="00E344F7">
        <w:rPr>
          <w:rFonts w:ascii="Garamond" w:hAnsi="Garamond" w:cs="Arial"/>
        </w:rPr>
        <w:t xml:space="preserve">To encourage survey participation and decrease the potential for nonresponse bias, </w:t>
      </w:r>
      <w:r>
        <w:rPr>
          <w:rFonts w:ascii="Garamond" w:hAnsi="Garamond" w:cs="Arial"/>
        </w:rPr>
        <w:t xml:space="preserve">as discussed in the original package submission, </w:t>
      </w:r>
      <w:r w:rsidRPr="00E344F7">
        <w:rPr>
          <w:rFonts w:ascii="Garamond" w:hAnsi="Garamond" w:cs="Arial"/>
        </w:rPr>
        <w:t xml:space="preserve">we plan to </w:t>
      </w:r>
      <w:r>
        <w:rPr>
          <w:rFonts w:ascii="Garamond" w:hAnsi="Garamond" w:cs="Arial"/>
        </w:rPr>
        <w:t xml:space="preserve">offer </w:t>
      </w:r>
      <w:r w:rsidRPr="00E344F7">
        <w:rPr>
          <w:rFonts w:ascii="Garamond" w:hAnsi="Garamond" w:cs="Arial"/>
        </w:rPr>
        <w:t xml:space="preserve">nonresponding sample members in </w:t>
      </w:r>
      <w:r>
        <w:rPr>
          <w:rFonts w:ascii="Garamond" w:hAnsi="Garamond" w:cs="Arial"/>
        </w:rPr>
        <w:t xml:space="preserve">Data Collection </w:t>
      </w:r>
      <w:r w:rsidRPr="00E344F7">
        <w:rPr>
          <w:rFonts w:ascii="Garamond" w:hAnsi="Garamond" w:cs="Arial"/>
        </w:rPr>
        <w:t xml:space="preserve">Waves 1 - 3 either: 1) a $10 promised incentive boost </w:t>
      </w:r>
      <w:r>
        <w:rPr>
          <w:rFonts w:ascii="Garamond" w:hAnsi="Garamond" w:cs="Arial"/>
        </w:rPr>
        <w:t xml:space="preserve">if determined to be </w:t>
      </w:r>
      <w:r w:rsidRPr="00E344F7">
        <w:rPr>
          <w:rFonts w:ascii="Garamond" w:hAnsi="Garamond" w:cs="Arial"/>
        </w:rPr>
        <w:t xml:space="preserve">a high priority (see Incentive Boost section below), or 2) an abbreviated survey </w:t>
      </w:r>
      <w:r>
        <w:rPr>
          <w:rFonts w:ascii="Garamond" w:hAnsi="Garamond" w:cs="Arial"/>
        </w:rPr>
        <w:t xml:space="preserve">if </w:t>
      </w:r>
      <w:r w:rsidRPr="00E344F7">
        <w:rPr>
          <w:rFonts w:ascii="Garamond" w:hAnsi="Garamond" w:cs="Arial"/>
        </w:rPr>
        <w:t xml:space="preserve">not eligible for the boost. </w:t>
      </w:r>
      <w:r>
        <w:rPr>
          <w:rFonts w:ascii="Garamond" w:hAnsi="Garamond" w:cs="Arial"/>
        </w:rPr>
        <w:t>S</w:t>
      </w:r>
      <w:r w:rsidRPr="00E344F7">
        <w:rPr>
          <w:rFonts w:ascii="Garamond" w:hAnsi="Garamond" w:cs="Arial"/>
        </w:rPr>
        <w:t>ample members</w:t>
      </w:r>
      <w:r>
        <w:rPr>
          <w:rFonts w:ascii="Garamond" w:hAnsi="Garamond" w:cs="Arial"/>
        </w:rPr>
        <w:t xml:space="preserve"> in these earliest waves</w:t>
      </w:r>
      <w:r w:rsidRPr="00E344F7">
        <w:rPr>
          <w:rFonts w:ascii="Garamond" w:hAnsi="Garamond" w:cs="Arial"/>
        </w:rPr>
        <w:t xml:space="preserve">, however, have received multiple contacts (e.g., emails, texts) over the course of the </w:t>
      </w:r>
      <w:r>
        <w:rPr>
          <w:rFonts w:ascii="Garamond" w:hAnsi="Garamond" w:cs="Arial"/>
        </w:rPr>
        <w:t xml:space="preserve">data collection </w:t>
      </w:r>
      <w:r w:rsidRPr="00E344F7">
        <w:rPr>
          <w:rFonts w:ascii="Garamond" w:hAnsi="Garamond" w:cs="Arial"/>
        </w:rPr>
        <w:t>period. Repetition of this nature can cause “</w:t>
      </w:r>
      <w:r w:rsidRPr="00E344F7">
        <w:rPr>
          <w:rFonts w:ascii="Garamond" w:hAnsi="Garamond" w:cs="Arial"/>
        </w:rPr>
        <w:t>wearout</w:t>
      </w:r>
      <w:r w:rsidRPr="00E344F7">
        <w:rPr>
          <w:rFonts w:ascii="Garamond" w:hAnsi="Garamond" w:cs="Arial"/>
        </w:rPr>
        <w:t>” (</w:t>
      </w:r>
      <w:r w:rsidRPr="00E344F7">
        <w:rPr>
          <w:rFonts w:ascii="Garamond" w:hAnsi="Garamond" w:cs="Arial"/>
        </w:rPr>
        <w:t>Pechmann</w:t>
      </w:r>
      <w:r w:rsidRPr="00E344F7">
        <w:rPr>
          <w:rFonts w:ascii="Garamond" w:hAnsi="Garamond" w:cs="Arial"/>
        </w:rPr>
        <w:t xml:space="preserve"> &amp; Stewart, 1988), which reduces sensitivity and attention to communications.</w:t>
      </w:r>
      <w:r>
        <w:rPr>
          <w:rStyle w:val="FootnoteReference"/>
        </w:rPr>
        <w:footnoteReference w:id="4"/>
      </w:r>
      <w:r w:rsidRPr="00E344F7">
        <w:rPr>
          <w:rFonts w:ascii="Garamond" w:hAnsi="Garamond" w:cs="Arial"/>
        </w:rPr>
        <w:t xml:space="preserve"> Over time, sample members may become desensitized to the content of study communication </w:t>
      </w:r>
      <w:r w:rsidRPr="00E344F7">
        <w:rPr>
          <w:rFonts w:ascii="Garamond" w:hAnsi="Garamond" w:cs="Arial"/>
        </w:rPr>
        <w:t>materials, and</w:t>
      </w:r>
      <w:r w:rsidRPr="00E344F7">
        <w:rPr>
          <w:rFonts w:ascii="Garamond" w:hAnsi="Garamond" w:cs="Arial"/>
        </w:rPr>
        <w:t xml:space="preserve"> may be unlikely to notice the </w:t>
      </w:r>
      <w:r>
        <w:rPr>
          <w:rFonts w:ascii="Garamond" w:hAnsi="Garamond" w:cs="Arial"/>
        </w:rPr>
        <w:t xml:space="preserve">offer of a </w:t>
      </w:r>
      <w:r w:rsidRPr="00E344F7">
        <w:rPr>
          <w:rFonts w:ascii="Garamond" w:hAnsi="Garamond" w:cs="Arial"/>
        </w:rPr>
        <w:t>boost</w:t>
      </w:r>
      <w:r>
        <w:rPr>
          <w:rFonts w:ascii="Garamond" w:hAnsi="Garamond" w:cs="Arial"/>
        </w:rPr>
        <w:t xml:space="preserve"> incentive or </w:t>
      </w:r>
      <w:r w:rsidRPr="00E344F7">
        <w:rPr>
          <w:rFonts w:ascii="Garamond" w:hAnsi="Garamond" w:cs="Arial"/>
        </w:rPr>
        <w:t xml:space="preserve">abbreviated survey. </w:t>
      </w:r>
      <w:r>
        <w:rPr>
          <w:rFonts w:ascii="Garamond" w:hAnsi="Garamond" w:cs="Arial"/>
        </w:rPr>
        <w:t>Consequently, w</w:t>
      </w:r>
      <w:r w:rsidRPr="00E344F7">
        <w:rPr>
          <w:rFonts w:ascii="Garamond" w:hAnsi="Garamond" w:cs="Arial"/>
        </w:rPr>
        <w:t>e plan to pause reminders for nonresponding sample members in Waves 1 - 3 for a period of four weeks (weeks of 7/8 to 7/29)</w:t>
      </w:r>
      <w:r>
        <w:rPr>
          <w:rFonts w:ascii="Garamond" w:hAnsi="Garamond" w:cs="Arial"/>
        </w:rPr>
        <w:t xml:space="preserve"> as noted </w:t>
      </w:r>
      <w:r>
        <w:rPr>
          <w:rFonts w:ascii="Garamond" w:hAnsi="Garamond" w:cs="Arial"/>
        </w:rPr>
        <w:t>below in table 1</w:t>
      </w:r>
      <w:r w:rsidRPr="00E344F7">
        <w:rPr>
          <w:rFonts w:ascii="Garamond" w:hAnsi="Garamond" w:cs="Arial"/>
        </w:rPr>
        <w:t xml:space="preserve">. After this pause, we </w:t>
      </w:r>
      <w:r>
        <w:rPr>
          <w:rFonts w:ascii="Garamond" w:hAnsi="Garamond" w:cs="Arial"/>
        </w:rPr>
        <w:t xml:space="preserve">will </w:t>
      </w:r>
      <w:r w:rsidRPr="00E344F7">
        <w:rPr>
          <w:rFonts w:ascii="Garamond" w:hAnsi="Garamond" w:cs="Arial"/>
        </w:rPr>
        <w:t>re-engage with these sample members with either the incentive boost or the abbreviated survey. We expect that the pause in data collection result</w:t>
      </w:r>
      <w:r>
        <w:rPr>
          <w:rFonts w:ascii="Garamond" w:hAnsi="Garamond" w:cs="Arial"/>
        </w:rPr>
        <w:t>s</w:t>
      </w:r>
      <w:r w:rsidRPr="00E344F7">
        <w:rPr>
          <w:rFonts w:ascii="Garamond" w:hAnsi="Garamond" w:cs="Arial"/>
        </w:rPr>
        <w:t xml:space="preserve"> in an increased salience of the boost/abbreviated survey offer</w:t>
      </w:r>
      <w:r>
        <w:rPr>
          <w:rFonts w:ascii="Garamond" w:hAnsi="Garamond" w:cs="Arial"/>
        </w:rPr>
        <w:t xml:space="preserve"> when it arrives</w:t>
      </w:r>
      <w:r w:rsidRPr="00E344F7">
        <w:rPr>
          <w:rFonts w:ascii="Garamond" w:hAnsi="Garamond" w:cs="Arial"/>
        </w:rPr>
        <w:t xml:space="preserve">, thereby increasing the propensity of response to the new request (Groves, </w:t>
      </w:r>
      <w:r w:rsidRPr="00E344F7">
        <w:rPr>
          <w:rFonts w:ascii="Garamond" w:hAnsi="Garamond" w:cs="Arial"/>
        </w:rPr>
        <w:t>Singer</w:t>
      </w:r>
      <w:r w:rsidRPr="00E344F7">
        <w:rPr>
          <w:rFonts w:ascii="Garamond" w:hAnsi="Garamond" w:cs="Arial"/>
        </w:rPr>
        <w:t xml:space="preserve"> and Corning, 2000).</w:t>
      </w:r>
      <w:r>
        <w:rPr>
          <w:rStyle w:val="FootnoteReference"/>
        </w:rPr>
        <w:footnoteReference w:id="5"/>
      </w:r>
    </w:p>
    <w:p w:rsidR="00A17304" w:rsidRPr="00903BFF" w:rsidP="00E74C5D" w14:paraId="37964739" w14:textId="77777777">
      <w:pPr>
        <w:rPr>
          <w:rFonts w:ascii="Garamond" w:hAnsi="Garamond"/>
        </w:rPr>
      </w:pPr>
    </w:p>
    <w:p w:rsidR="0061442C" w:rsidRPr="00903BFF" w:rsidP="00E74C5D" w14:paraId="3F1FEC16" w14:textId="77777777">
      <w:pPr>
        <w:rPr>
          <w:rFonts w:ascii="Garamond" w:hAnsi="Garamond"/>
        </w:rPr>
      </w:pPr>
      <w:r w:rsidRPr="00903BFF">
        <w:rPr>
          <w:rFonts w:ascii="Garamond" w:hAnsi="Garamond"/>
        </w:rPr>
        <w:t>NPSAS</w:t>
      </w:r>
      <w:r w:rsidRPr="00903BFF" w:rsidR="00A17304">
        <w:rPr>
          <w:rFonts w:ascii="Garamond" w:hAnsi="Garamond"/>
        </w:rPr>
        <w:t xml:space="preserve">:24 </w:t>
      </w:r>
      <w:r w:rsidRPr="00903BFF">
        <w:rPr>
          <w:rFonts w:ascii="Garamond" w:hAnsi="Garamond"/>
        </w:rPr>
        <w:t xml:space="preserve">data collection </w:t>
      </w:r>
      <w:r w:rsidRPr="00903BFF" w:rsidR="00A17304">
        <w:rPr>
          <w:rFonts w:ascii="Garamond" w:hAnsi="Garamond"/>
        </w:rPr>
        <w:t>comprises a total of 9 sample waves which correspond to time in data collection, as shown below</w:t>
      </w:r>
      <w:r w:rsidRPr="00903BFF" w:rsidR="006C2EA0">
        <w:rPr>
          <w:rFonts w:ascii="Garamond" w:hAnsi="Garamond"/>
        </w:rPr>
        <w:t xml:space="preserve"> in table 1</w:t>
      </w:r>
      <w:r w:rsidRPr="00903BFF" w:rsidR="00A17304">
        <w:rPr>
          <w:rFonts w:ascii="Garamond" w:hAnsi="Garamond"/>
        </w:rPr>
        <w:t xml:space="preserve">. </w:t>
      </w:r>
      <w:r w:rsidRPr="00903BFF">
        <w:rPr>
          <w:rFonts w:ascii="Garamond" w:hAnsi="Garamond"/>
        </w:rPr>
        <w:t xml:space="preserve">We will offer </w:t>
      </w:r>
      <w:r w:rsidRPr="00903BFF" w:rsidR="006511A6">
        <w:rPr>
          <w:rFonts w:ascii="Garamond" w:hAnsi="Garamond"/>
        </w:rPr>
        <w:t xml:space="preserve">4-week </w:t>
      </w:r>
      <w:r w:rsidRPr="00903BFF">
        <w:rPr>
          <w:rFonts w:ascii="Garamond" w:hAnsi="Garamond"/>
        </w:rPr>
        <w:t xml:space="preserve">breaks in communications according to the wave of data collection, </w:t>
      </w:r>
      <w:r w:rsidRPr="00903BFF" w:rsidR="00D972A3">
        <w:rPr>
          <w:rFonts w:ascii="Garamond" w:hAnsi="Garamond"/>
        </w:rPr>
        <w:t xml:space="preserve">as </w:t>
      </w:r>
      <w:r w:rsidRPr="00903BFF">
        <w:rPr>
          <w:rFonts w:ascii="Garamond" w:hAnsi="Garamond"/>
        </w:rPr>
        <w:t xml:space="preserve">noted in red in the table. </w:t>
      </w:r>
      <w:r w:rsidRPr="00903BFF" w:rsidR="006511A6">
        <w:rPr>
          <w:rFonts w:ascii="Garamond" w:hAnsi="Garamond"/>
        </w:rPr>
        <w:t>In addition, a</w:t>
      </w:r>
      <w:r w:rsidRPr="00903BFF">
        <w:rPr>
          <w:rFonts w:ascii="Garamond" w:hAnsi="Garamond"/>
        </w:rPr>
        <w:t>ll waves will receive a break of almost 2 weeks ahead of the United States Presidential Election on November 5, 2024.</w:t>
      </w:r>
    </w:p>
    <w:p w:rsidR="0061442C" w:rsidP="00E74C5D" w14:paraId="0A1102D9" w14:textId="77777777">
      <w:pPr>
        <w:rPr>
          <w:rFonts w:ascii="Garamond" w:hAnsi="Garamond"/>
          <w:sz w:val="22"/>
          <w:szCs w:val="22"/>
        </w:rPr>
      </w:pPr>
    </w:p>
    <w:p w:rsidR="0061442C" w:rsidP="00E74C5D" w14:paraId="2659BEF9" w14:textId="77777777">
      <w:pPr>
        <w:rPr>
          <w:rFonts w:ascii="Garamond" w:hAnsi="Garamond"/>
          <w:sz w:val="22"/>
          <w:szCs w:val="22"/>
        </w:rPr>
      </w:pPr>
    </w:p>
    <w:p w:rsidR="006C2EA0" w:rsidP="00E74C5D" w14:paraId="6E2DED12" w14:textId="49A6FD8C">
      <w:pPr>
        <w:rPr>
          <w:rFonts w:ascii="Garamond" w:hAnsi="Garamond"/>
          <w:b/>
          <w:bCs/>
          <w:sz w:val="22"/>
          <w:szCs w:val="22"/>
        </w:rPr>
      </w:pPr>
      <w:r>
        <w:rPr>
          <w:rFonts w:ascii="Garamond" w:hAnsi="Garamond"/>
          <w:b/>
          <w:bCs/>
          <w:sz w:val="22"/>
          <w:szCs w:val="22"/>
        </w:rPr>
        <w:t>Table 1. Weeks in NPSAS:24 data collection, by data collection wave</w:t>
      </w:r>
    </w:p>
    <w:p w:rsidR="006C2EA0" w:rsidRPr="006C2EA0" w:rsidP="00E74C5D" w14:paraId="26DE64F3" w14:textId="77777777">
      <w:pPr>
        <w:rPr>
          <w:rFonts w:ascii="Garamond" w:hAnsi="Garamond"/>
          <w:b/>
          <w:bCs/>
          <w:sz w:val="22"/>
          <w:szCs w:val="22"/>
        </w:rPr>
      </w:pPr>
    </w:p>
    <w:tbl>
      <w:tblPr>
        <w:tblW w:w="4907" w:type="dxa"/>
        <w:jc w:val="center"/>
        <w:tblLook w:val="04A0"/>
      </w:tblPr>
      <w:tblGrid>
        <w:gridCol w:w="625"/>
        <w:gridCol w:w="921"/>
        <w:gridCol w:w="379"/>
        <w:gridCol w:w="379"/>
        <w:gridCol w:w="379"/>
        <w:gridCol w:w="379"/>
        <w:gridCol w:w="379"/>
        <w:gridCol w:w="379"/>
        <w:gridCol w:w="379"/>
        <w:gridCol w:w="379"/>
        <w:gridCol w:w="379"/>
      </w:tblGrid>
      <w:tr w14:paraId="758F33CC" w14:textId="77777777" w:rsidTr="00AD4D1B">
        <w:tblPrEx>
          <w:tblW w:w="4907" w:type="dxa"/>
          <w:jc w:val="center"/>
          <w:tblLook w:val="04A0"/>
        </w:tblPrEx>
        <w:trPr>
          <w:trHeight w:val="300"/>
          <w:jc w:val="center"/>
        </w:trPr>
        <w:tc>
          <w:tcPr>
            <w:tcW w:w="625"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1B7E6E" w14:paraId="7499E1AE" w14:textId="77777777">
            <w:pPr>
              <w:jc w:val="center"/>
              <w:rPr>
                <w:rFonts w:ascii="Calibri" w:hAnsi="Calibri" w:cs="Calibri"/>
                <w:b/>
                <w:bCs/>
                <w:color w:val="000000"/>
                <w:sz w:val="16"/>
                <w:szCs w:val="16"/>
              </w:rPr>
            </w:pPr>
            <w:r>
              <w:rPr>
                <w:rFonts w:ascii="Calibri" w:hAnsi="Calibri" w:cs="Calibri"/>
                <w:b/>
                <w:bCs/>
                <w:color w:val="000000"/>
                <w:sz w:val="16"/>
                <w:szCs w:val="16"/>
              </w:rPr>
              <w:t>Week</w:t>
            </w:r>
          </w:p>
        </w:tc>
        <w:tc>
          <w:tcPr>
            <w:tcW w:w="871"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C62304" w:rsidP="00AC4D07" w14:paraId="4E73B67D" w14:textId="5382504C">
            <w:pPr>
              <w:jc w:val="center"/>
              <w:rPr>
                <w:rFonts w:ascii="Calibri" w:hAnsi="Calibri" w:cs="Calibri"/>
                <w:b/>
                <w:bCs/>
                <w:color w:val="000000"/>
                <w:sz w:val="16"/>
                <w:szCs w:val="16"/>
              </w:rPr>
            </w:pPr>
            <w:r>
              <w:rPr>
                <w:rFonts w:ascii="Calibri" w:hAnsi="Calibri" w:cs="Calibri"/>
                <w:b/>
                <w:bCs/>
                <w:color w:val="000000"/>
                <w:sz w:val="16"/>
                <w:szCs w:val="16"/>
              </w:rPr>
              <w:t>Date beginning</w:t>
            </w:r>
            <w:r w:rsidRPr="00AC4D07" w:rsidR="00AC4D07">
              <w:rPr>
                <w:rFonts w:ascii="Calibri" w:hAnsi="Calibri" w:cs="Calibri"/>
                <w:b/>
                <w:bCs/>
                <w:color w:val="000000"/>
                <w:sz w:val="16"/>
                <w:szCs w:val="16"/>
                <w:vertAlign w:val="superscript"/>
              </w:rPr>
              <w:t>1</w:t>
            </w:r>
          </w:p>
        </w:tc>
        <w:tc>
          <w:tcPr>
            <w:tcW w:w="3411" w:type="dxa"/>
            <w:gridSpan w:val="9"/>
            <w:tcBorders>
              <w:top w:val="single" w:sz="4" w:space="0" w:color="auto"/>
              <w:left w:val="nil"/>
              <w:bottom w:val="single" w:sz="4" w:space="0" w:color="auto"/>
              <w:right w:val="single" w:sz="4" w:space="0" w:color="auto"/>
            </w:tcBorders>
            <w:shd w:val="clear" w:color="000000" w:fill="D9D9D9"/>
            <w:noWrap/>
            <w:vAlign w:val="bottom"/>
            <w:hideMark/>
          </w:tcPr>
          <w:p w:rsidR="001B7E6E" w:rsidP="001B7E6E" w14:paraId="482CB100" w14:textId="00FEE6D6">
            <w:pPr>
              <w:keepNext/>
              <w:keepLines/>
              <w:jc w:val="center"/>
              <w:rPr>
                <w:rFonts w:ascii="Calibri" w:hAnsi="Calibri" w:cs="Calibri"/>
                <w:b/>
                <w:bCs/>
                <w:color w:val="000000"/>
                <w:sz w:val="16"/>
                <w:szCs w:val="16"/>
              </w:rPr>
            </w:pPr>
            <w:r>
              <w:rPr>
                <w:rFonts w:ascii="Calibri" w:hAnsi="Calibri" w:cs="Calibri"/>
                <w:b/>
                <w:bCs/>
                <w:color w:val="000000"/>
                <w:sz w:val="16"/>
                <w:szCs w:val="16"/>
              </w:rPr>
              <w:t>W</w:t>
            </w:r>
            <w:r w:rsidR="006C2EA0">
              <w:rPr>
                <w:rFonts w:ascii="Calibri" w:hAnsi="Calibri" w:cs="Calibri"/>
                <w:b/>
                <w:bCs/>
                <w:color w:val="000000"/>
                <w:sz w:val="16"/>
                <w:szCs w:val="16"/>
              </w:rPr>
              <w:t>ave</w:t>
            </w:r>
          </w:p>
        </w:tc>
      </w:tr>
      <w:tr w14:paraId="28461330" w14:textId="77777777" w:rsidTr="00AD4D1B">
        <w:tblPrEx>
          <w:tblW w:w="4907" w:type="dxa"/>
          <w:jc w:val="center"/>
          <w:tblLook w:val="04A0"/>
        </w:tblPrEx>
        <w:trPr>
          <w:trHeight w:val="660"/>
          <w:jc w:val="center"/>
        </w:trPr>
        <w:tc>
          <w:tcPr>
            <w:tcW w:w="625" w:type="dxa"/>
            <w:vMerge/>
            <w:tcBorders>
              <w:top w:val="single" w:sz="4" w:space="0" w:color="auto"/>
              <w:left w:val="single" w:sz="4" w:space="0" w:color="auto"/>
              <w:bottom w:val="single" w:sz="4" w:space="0" w:color="000000"/>
              <w:right w:val="single" w:sz="4" w:space="0" w:color="auto"/>
            </w:tcBorders>
            <w:vAlign w:val="center"/>
            <w:hideMark/>
          </w:tcPr>
          <w:p w:rsidR="001B7E6E" w14:paraId="11C32168" w14:textId="77777777">
            <w:pPr>
              <w:rPr>
                <w:rFonts w:ascii="Calibri" w:hAnsi="Calibri" w:cs="Calibri"/>
                <w:b/>
                <w:bCs/>
                <w:color w:val="000000"/>
                <w:sz w:val="16"/>
                <w:szCs w:val="16"/>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rsidR="001B7E6E" w14:paraId="05E555D9" w14:textId="77777777">
            <w:pPr>
              <w:rPr>
                <w:rFonts w:ascii="Calibri" w:hAnsi="Calibri" w:cs="Calibri"/>
                <w:b/>
                <w:bCs/>
                <w:color w:val="000000"/>
                <w:sz w:val="16"/>
                <w:szCs w:val="16"/>
              </w:rPr>
            </w:pPr>
          </w:p>
        </w:tc>
        <w:tc>
          <w:tcPr>
            <w:tcW w:w="379" w:type="dxa"/>
            <w:tcBorders>
              <w:top w:val="nil"/>
              <w:left w:val="nil"/>
              <w:bottom w:val="single" w:sz="4" w:space="0" w:color="auto"/>
              <w:right w:val="single" w:sz="4" w:space="0" w:color="auto"/>
            </w:tcBorders>
            <w:shd w:val="clear" w:color="000000" w:fill="D9D9D9"/>
            <w:vAlign w:val="bottom"/>
            <w:hideMark/>
          </w:tcPr>
          <w:p w:rsidR="001B7E6E" w:rsidP="001B7E6E" w14:paraId="4A1B08C0" w14:textId="77777777">
            <w:pPr>
              <w:keepNext/>
              <w:keepLines/>
              <w:jc w:val="center"/>
              <w:rPr>
                <w:rFonts w:ascii="Calibri" w:hAnsi="Calibri" w:cs="Calibri"/>
                <w:b/>
                <w:bCs/>
                <w:color w:val="000000"/>
                <w:sz w:val="16"/>
                <w:szCs w:val="16"/>
              </w:rPr>
            </w:pPr>
            <w:r>
              <w:rPr>
                <w:rFonts w:ascii="Calibri" w:hAnsi="Calibri" w:cs="Calibri"/>
                <w:b/>
                <w:bCs/>
                <w:color w:val="000000"/>
                <w:sz w:val="16"/>
                <w:szCs w:val="16"/>
              </w:rPr>
              <w:t>1</w:t>
            </w:r>
          </w:p>
        </w:tc>
        <w:tc>
          <w:tcPr>
            <w:tcW w:w="379" w:type="dxa"/>
            <w:tcBorders>
              <w:top w:val="nil"/>
              <w:left w:val="nil"/>
              <w:bottom w:val="single" w:sz="4" w:space="0" w:color="auto"/>
              <w:right w:val="single" w:sz="4" w:space="0" w:color="auto"/>
            </w:tcBorders>
            <w:shd w:val="clear" w:color="000000" w:fill="D9D9D9"/>
            <w:vAlign w:val="bottom"/>
            <w:hideMark/>
          </w:tcPr>
          <w:p w:rsidR="001B7E6E" w14:paraId="0A2B79F5" w14:textId="77777777">
            <w:pPr>
              <w:jc w:val="center"/>
              <w:rPr>
                <w:rFonts w:ascii="Calibri" w:hAnsi="Calibri" w:cs="Calibri"/>
                <w:b/>
                <w:bCs/>
                <w:color w:val="000000"/>
                <w:sz w:val="16"/>
                <w:szCs w:val="16"/>
              </w:rPr>
            </w:pPr>
            <w:r>
              <w:rPr>
                <w:rFonts w:ascii="Calibri" w:hAnsi="Calibri" w:cs="Calibri"/>
                <w:b/>
                <w:bCs/>
                <w:color w:val="000000"/>
                <w:sz w:val="16"/>
                <w:szCs w:val="16"/>
              </w:rPr>
              <w:t>2</w:t>
            </w:r>
          </w:p>
        </w:tc>
        <w:tc>
          <w:tcPr>
            <w:tcW w:w="379" w:type="dxa"/>
            <w:tcBorders>
              <w:top w:val="nil"/>
              <w:left w:val="nil"/>
              <w:bottom w:val="single" w:sz="4" w:space="0" w:color="auto"/>
              <w:right w:val="single" w:sz="4" w:space="0" w:color="auto"/>
            </w:tcBorders>
            <w:shd w:val="clear" w:color="000000" w:fill="D9D9D9"/>
            <w:vAlign w:val="bottom"/>
            <w:hideMark/>
          </w:tcPr>
          <w:p w:rsidR="001B7E6E" w14:paraId="40F25511" w14:textId="77777777">
            <w:pPr>
              <w:jc w:val="center"/>
              <w:rPr>
                <w:rFonts w:ascii="Calibri" w:hAnsi="Calibri" w:cs="Calibri"/>
                <w:b/>
                <w:bCs/>
                <w:color w:val="000000"/>
                <w:sz w:val="16"/>
                <w:szCs w:val="16"/>
              </w:rPr>
            </w:pPr>
            <w:r>
              <w:rPr>
                <w:rFonts w:ascii="Calibri" w:hAnsi="Calibri" w:cs="Calibri"/>
                <w:b/>
                <w:bCs/>
                <w:color w:val="000000"/>
                <w:sz w:val="16"/>
                <w:szCs w:val="16"/>
              </w:rPr>
              <w:t>3</w:t>
            </w:r>
          </w:p>
        </w:tc>
        <w:tc>
          <w:tcPr>
            <w:tcW w:w="379" w:type="dxa"/>
            <w:tcBorders>
              <w:top w:val="nil"/>
              <w:left w:val="nil"/>
              <w:bottom w:val="single" w:sz="4" w:space="0" w:color="auto"/>
              <w:right w:val="single" w:sz="4" w:space="0" w:color="auto"/>
            </w:tcBorders>
            <w:shd w:val="clear" w:color="000000" w:fill="D9D9D9"/>
            <w:vAlign w:val="bottom"/>
            <w:hideMark/>
          </w:tcPr>
          <w:p w:rsidR="001B7E6E" w14:paraId="2BB63555" w14:textId="77777777">
            <w:pPr>
              <w:jc w:val="center"/>
              <w:rPr>
                <w:rFonts w:ascii="Calibri" w:hAnsi="Calibri" w:cs="Calibri"/>
                <w:b/>
                <w:bCs/>
                <w:color w:val="000000"/>
                <w:sz w:val="16"/>
                <w:szCs w:val="16"/>
              </w:rPr>
            </w:pPr>
            <w:r>
              <w:rPr>
                <w:rFonts w:ascii="Calibri" w:hAnsi="Calibri" w:cs="Calibri"/>
                <w:b/>
                <w:bCs/>
                <w:color w:val="000000"/>
                <w:sz w:val="16"/>
                <w:szCs w:val="16"/>
              </w:rPr>
              <w:t>4</w:t>
            </w:r>
          </w:p>
        </w:tc>
        <w:tc>
          <w:tcPr>
            <w:tcW w:w="379" w:type="dxa"/>
            <w:tcBorders>
              <w:top w:val="nil"/>
              <w:left w:val="nil"/>
              <w:bottom w:val="single" w:sz="4" w:space="0" w:color="auto"/>
              <w:right w:val="single" w:sz="4" w:space="0" w:color="auto"/>
            </w:tcBorders>
            <w:shd w:val="clear" w:color="000000" w:fill="D9D9D9"/>
            <w:vAlign w:val="bottom"/>
            <w:hideMark/>
          </w:tcPr>
          <w:p w:rsidR="001B7E6E" w14:paraId="0828D4A6" w14:textId="77777777">
            <w:pPr>
              <w:jc w:val="center"/>
              <w:rPr>
                <w:rFonts w:ascii="Calibri" w:hAnsi="Calibri" w:cs="Calibri"/>
                <w:b/>
                <w:bCs/>
                <w:color w:val="000000"/>
                <w:sz w:val="16"/>
                <w:szCs w:val="16"/>
              </w:rPr>
            </w:pPr>
            <w:r>
              <w:rPr>
                <w:rFonts w:ascii="Calibri" w:hAnsi="Calibri" w:cs="Calibri"/>
                <w:b/>
                <w:bCs/>
                <w:color w:val="000000"/>
                <w:sz w:val="16"/>
                <w:szCs w:val="16"/>
              </w:rPr>
              <w:t>5</w:t>
            </w:r>
          </w:p>
        </w:tc>
        <w:tc>
          <w:tcPr>
            <w:tcW w:w="379" w:type="dxa"/>
            <w:tcBorders>
              <w:top w:val="nil"/>
              <w:left w:val="nil"/>
              <w:bottom w:val="single" w:sz="4" w:space="0" w:color="auto"/>
              <w:right w:val="single" w:sz="4" w:space="0" w:color="auto"/>
            </w:tcBorders>
            <w:shd w:val="clear" w:color="000000" w:fill="D9D9D9"/>
            <w:vAlign w:val="bottom"/>
            <w:hideMark/>
          </w:tcPr>
          <w:p w:rsidR="001B7E6E" w14:paraId="2172A4D2" w14:textId="77777777">
            <w:pPr>
              <w:jc w:val="center"/>
              <w:rPr>
                <w:rFonts w:ascii="Calibri" w:hAnsi="Calibri" w:cs="Calibri"/>
                <w:b/>
                <w:bCs/>
                <w:color w:val="000000"/>
                <w:sz w:val="16"/>
                <w:szCs w:val="16"/>
              </w:rPr>
            </w:pPr>
            <w:r>
              <w:rPr>
                <w:rFonts w:ascii="Calibri" w:hAnsi="Calibri" w:cs="Calibri"/>
                <w:b/>
                <w:bCs/>
                <w:color w:val="000000"/>
                <w:sz w:val="16"/>
                <w:szCs w:val="16"/>
              </w:rPr>
              <w:t>6</w:t>
            </w:r>
          </w:p>
        </w:tc>
        <w:tc>
          <w:tcPr>
            <w:tcW w:w="379" w:type="dxa"/>
            <w:tcBorders>
              <w:top w:val="nil"/>
              <w:left w:val="nil"/>
              <w:bottom w:val="single" w:sz="4" w:space="0" w:color="auto"/>
              <w:right w:val="single" w:sz="4" w:space="0" w:color="auto"/>
            </w:tcBorders>
            <w:shd w:val="clear" w:color="000000" w:fill="D9D9D9"/>
            <w:vAlign w:val="bottom"/>
            <w:hideMark/>
          </w:tcPr>
          <w:p w:rsidR="001B7E6E" w14:paraId="4629CED3" w14:textId="77777777">
            <w:pPr>
              <w:jc w:val="center"/>
              <w:rPr>
                <w:rFonts w:ascii="Calibri" w:hAnsi="Calibri" w:cs="Calibri"/>
                <w:b/>
                <w:bCs/>
                <w:color w:val="000000"/>
                <w:sz w:val="16"/>
                <w:szCs w:val="16"/>
              </w:rPr>
            </w:pPr>
            <w:r>
              <w:rPr>
                <w:rFonts w:ascii="Calibri" w:hAnsi="Calibri" w:cs="Calibri"/>
                <w:b/>
                <w:bCs/>
                <w:color w:val="000000"/>
                <w:sz w:val="16"/>
                <w:szCs w:val="16"/>
              </w:rPr>
              <w:t>7</w:t>
            </w:r>
          </w:p>
        </w:tc>
        <w:tc>
          <w:tcPr>
            <w:tcW w:w="379" w:type="dxa"/>
            <w:tcBorders>
              <w:top w:val="nil"/>
              <w:left w:val="nil"/>
              <w:bottom w:val="single" w:sz="4" w:space="0" w:color="auto"/>
              <w:right w:val="single" w:sz="4" w:space="0" w:color="auto"/>
            </w:tcBorders>
            <w:shd w:val="clear" w:color="000000" w:fill="D9D9D9"/>
            <w:vAlign w:val="bottom"/>
            <w:hideMark/>
          </w:tcPr>
          <w:p w:rsidR="001B7E6E" w14:paraId="4CF059E1" w14:textId="77777777">
            <w:pPr>
              <w:jc w:val="center"/>
              <w:rPr>
                <w:rFonts w:ascii="Calibri" w:hAnsi="Calibri" w:cs="Calibri"/>
                <w:b/>
                <w:bCs/>
                <w:color w:val="000000"/>
                <w:sz w:val="16"/>
                <w:szCs w:val="16"/>
              </w:rPr>
            </w:pPr>
            <w:r>
              <w:rPr>
                <w:rFonts w:ascii="Calibri" w:hAnsi="Calibri" w:cs="Calibri"/>
                <w:b/>
                <w:bCs/>
                <w:color w:val="000000"/>
                <w:sz w:val="16"/>
                <w:szCs w:val="16"/>
              </w:rPr>
              <w:t>8</w:t>
            </w:r>
          </w:p>
        </w:tc>
        <w:tc>
          <w:tcPr>
            <w:tcW w:w="379" w:type="dxa"/>
            <w:tcBorders>
              <w:top w:val="nil"/>
              <w:left w:val="nil"/>
              <w:bottom w:val="single" w:sz="4" w:space="0" w:color="auto"/>
              <w:right w:val="single" w:sz="4" w:space="0" w:color="auto"/>
            </w:tcBorders>
            <w:shd w:val="clear" w:color="000000" w:fill="D9D9D9"/>
            <w:vAlign w:val="bottom"/>
            <w:hideMark/>
          </w:tcPr>
          <w:p w:rsidR="001B7E6E" w14:paraId="3BB4F5CA" w14:textId="77777777">
            <w:pPr>
              <w:jc w:val="center"/>
              <w:rPr>
                <w:rFonts w:ascii="Calibri" w:hAnsi="Calibri" w:cs="Calibri"/>
                <w:b/>
                <w:bCs/>
                <w:color w:val="000000"/>
                <w:sz w:val="16"/>
                <w:szCs w:val="16"/>
              </w:rPr>
            </w:pPr>
            <w:r>
              <w:rPr>
                <w:rFonts w:ascii="Calibri" w:hAnsi="Calibri" w:cs="Calibri"/>
                <w:b/>
                <w:bCs/>
                <w:color w:val="000000"/>
                <w:sz w:val="16"/>
                <w:szCs w:val="16"/>
              </w:rPr>
              <w:t>9</w:t>
            </w:r>
          </w:p>
        </w:tc>
      </w:tr>
      <w:tr w14:paraId="1DEC8025"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235AD2E2" w14:textId="77777777">
            <w:pPr>
              <w:jc w:val="center"/>
              <w:rPr>
                <w:rFonts w:ascii="Calibri" w:hAnsi="Calibri" w:cs="Calibri"/>
                <w:b/>
                <w:bCs/>
                <w:color w:val="000000"/>
                <w:sz w:val="16"/>
                <w:szCs w:val="16"/>
              </w:rPr>
            </w:pPr>
            <w:r>
              <w:rPr>
                <w:rFonts w:ascii="Calibri" w:hAnsi="Calibri" w:cs="Calibri"/>
                <w:b/>
                <w:bCs/>
                <w:color w:val="000000"/>
                <w:sz w:val="16"/>
                <w:szCs w:val="16"/>
              </w:rPr>
              <w:t>1</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6E58F5A6" w14:textId="77777777">
            <w:pPr>
              <w:jc w:val="right"/>
              <w:rPr>
                <w:rFonts w:ascii="Calibri" w:hAnsi="Calibri" w:cs="Calibri"/>
                <w:b/>
                <w:bCs/>
                <w:color w:val="000000"/>
                <w:sz w:val="16"/>
                <w:szCs w:val="16"/>
              </w:rPr>
            </w:pPr>
            <w:r>
              <w:rPr>
                <w:rFonts w:ascii="Calibri" w:hAnsi="Calibri" w:cs="Calibri"/>
                <w:b/>
                <w:bCs/>
                <w:color w:val="000000"/>
                <w:sz w:val="16"/>
                <w:szCs w:val="16"/>
              </w:rPr>
              <w:t>26-Feb</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65D4E16E" w14:textId="77777777">
            <w:pPr>
              <w:keepNext/>
              <w:keepLines/>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2D92A2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033EBC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2E9B6B7"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B1380D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6439E3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B18739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4179E7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926BB4E" w14:textId="77777777">
            <w:pPr>
              <w:jc w:val="center"/>
              <w:rPr>
                <w:rFonts w:ascii="Calibri" w:hAnsi="Calibri" w:cs="Calibri"/>
                <w:color w:val="000000"/>
                <w:sz w:val="16"/>
                <w:szCs w:val="16"/>
              </w:rPr>
            </w:pPr>
            <w:r>
              <w:rPr>
                <w:rFonts w:ascii="Calibri" w:hAnsi="Calibri" w:cs="Calibri"/>
                <w:color w:val="000000"/>
                <w:sz w:val="16"/>
                <w:szCs w:val="16"/>
              </w:rPr>
              <w:t> </w:t>
            </w:r>
          </w:p>
        </w:tc>
      </w:tr>
      <w:tr w14:paraId="1CD6B6CD"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14FCD8FF" w14:textId="77777777">
            <w:pPr>
              <w:jc w:val="center"/>
              <w:rPr>
                <w:rFonts w:ascii="Calibri" w:hAnsi="Calibri" w:cs="Calibri"/>
                <w:b/>
                <w:bCs/>
                <w:color w:val="000000"/>
                <w:sz w:val="16"/>
                <w:szCs w:val="16"/>
              </w:rPr>
            </w:pPr>
            <w:r>
              <w:rPr>
                <w:rFonts w:ascii="Calibri" w:hAnsi="Calibri" w:cs="Calibri"/>
                <w:b/>
                <w:bCs/>
                <w:color w:val="000000"/>
                <w:sz w:val="16"/>
                <w:szCs w:val="16"/>
              </w:rPr>
              <w:t>2</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431D620A" w14:textId="77777777">
            <w:pPr>
              <w:jc w:val="right"/>
              <w:rPr>
                <w:rFonts w:ascii="Calibri" w:hAnsi="Calibri" w:cs="Calibri"/>
                <w:b/>
                <w:bCs/>
                <w:color w:val="000000"/>
                <w:sz w:val="16"/>
                <w:szCs w:val="16"/>
              </w:rPr>
            </w:pPr>
            <w:r>
              <w:rPr>
                <w:rFonts w:ascii="Calibri" w:hAnsi="Calibri" w:cs="Calibri"/>
                <w:b/>
                <w:bCs/>
                <w:color w:val="000000"/>
                <w:sz w:val="16"/>
                <w:szCs w:val="16"/>
              </w:rPr>
              <w:t>4-Mar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5946E456" w14:textId="77777777">
            <w:pPr>
              <w:keepNext/>
              <w:keepLines/>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FB294C2"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1017DF7"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14A3C0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7ECD2F2"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3656CED"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5107FD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5060ADD"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3DBA85D" w14:textId="77777777">
            <w:pPr>
              <w:jc w:val="center"/>
              <w:rPr>
                <w:rFonts w:ascii="Calibri" w:hAnsi="Calibri" w:cs="Calibri"/>
                <w:color w:val="000000"/>
                <w:sz w:val="16"/>
                <w:szCs w:val="16"/>
              </w:rPr>
            </w:pPr>
            <w:r>
              <w:rPr>
                <w:rFonts w:ascii="Calibri" w:hAnsi="Calibri" w:cs="Calibri"/>
                <w:color w:val="000000"/>
                <w:sz w:val="16"/>
                <w:szCs w:val="16"/>
              </w:rPr>
              <w:t> </w:t>
            </w:r>
          </w:p>
        </w:tc>
      </w:tr>
      <w:tr w14:paraId="3E8F6282"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42FA718" w14:textId="77777777">
            <w:pPr>
              <w:jc w:val="center"/>
              <w:rPr>
                <w:rFonts w:ascii="Calibri" w:hAnsi="Calibri" w:cs="Calibri"/>
                <w:b/>
                <w:bCs/>
                <w:color w:val="000000"/>
                <w:sz w:val="16"/>
                <w:szCs w:val="16"/>
              </w:rPr>
            </w:pPr>
            <w:r>
              <w:rPr>
                <w:rFonts w:ascii="Calibri" w:hAnsi="Calibri" w:cs="Calibri"/>
                <w:b/>
                <w:bCs/>
                <w:color w:val="000000"/>
                <w:sz w:val="16"/>
                <w:szCs w:val="16"/>
              </w:rPr>
              <w:t>3</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632A2EA4" w14:textId="77777777">
            <w:pPr>
              <w:jc w:val="right"/>
              <w:rPr>
                <w:rFonts w:ascii="Calibri" w:hAnsi="Calibri" w:cs="Calibri"/>
                <w:b/>
                <w:bCs/>
                <w:color w:val="000000"/>
                <w:sz w:val="16"/>
                <w:szCs w:val="16"/>
              </w:rPr>
            </w:pPr>
            <w:r>
              <w:rPr>
                <w:rFonts w:ascii="Calibri" w:hAnsi="Calibri" w:cs="Calibri"/>
                <w:b/>
                <w:bCs/>
                <w:color w:val="000000"/>
                <w:sz w:val="16"/>
                <w:szCs w:val="16"/>
              </w:rPr>
              <w:t>11-Mar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644C2B35" w14:textId="77777777">
            <w:pPr>
              <w:keepNext/>
              <w:keepLines/>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9228418"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C325F84"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38719C7"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0F4C46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920815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F0E7DC2"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9FB65A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C7779FA" w14:textId="77777777">
            <w:pPr>
              <w:jc w:val="center"/>
              <w:rPr>
                <w:rFonts w:ascii="Calibri" w:hAnsi="Calibri" w:cs="Calibri"/>
                <w:color w:val="000000"/>
                <w:sz w:val="16"/>
                <w:szCs w:val="16"/>
              </w:rPr>
            </w:pPr>
            <w:r>
              <w:rPr>
                <w:rFonts w:ascii="Calibri" w:hAnsi="Calibri" w:cs="Calibri"/>
                <w:color w:val="000000"/>
                <w:sz w:val="16"/>
                <w:szCs w:val="16"/>
              </w:rPr>
              <w:t> </w:t>
            </w:r>
          </w:p>
        </w:tc>
      </w:tr>
      <w:tr w14:paraId="46EB4003"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1DC2E447" w14:textId="77777777">
            <w:pPr>
              <w:jc w:val="center"/>
              <w:rPr>
                <w:rFonts w:ascii="Calibri" w:hAnsi="Calibri" w:cs="Calibri"/>
                <w:b/>
                <w:bCs/>
                <w:color w:val="000000"/>
                <w:sz w:val="16"/>
                <w:szCs w:val="16"/>
              </w:rPr>
            </w:pPr>
            <w:r>
              <w:rPr>
                <w:rFonts w:ascii="Calibri" w:hAnsi="Calibri" w:cs="Calibri"/>
                <w:b/>
                <w:bCs/>
                <w:color w:val="000000"/>
                <w:sz w:val="16"/>
                <w:szCs w:val="16"/>
              </w:rPr>
              <w:t>4</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8BC4378" w14:textId="77777777">
            <w:pPr>
              <w:jc w:val="right"/>
              <w:rPr>
                <w:rFonts w:ascii="Calibri" w:hAnsi="Calibri" w:cs="Calibri"/>
                <w:b/>
                <w:bCs/>
                <w:color w:val="000000"/>
                <w:sz w:val="16"/>
                <w:szCs w:val="16"/>
              </w:rPr>
            </w:pPr>
            <w:r>
              <w:rPr>
                <w:rFonts w:ascii="Calibri" w:hAnsi="Calibri" w:cs="Calibri"/>
                <w:b/>
                <w:bCs/>
                <w:color w:val="000000"/>
                <w:sz w:val="16"/>
                <w:szCs w:val="16"/>
              </w:rPr>
              <w:t>18-Mar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49753DF7" w14:textId="77777777">
            <w:pPr>
              <w:keepNext/>
              <w:keepLines/>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1D711B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2D02D72"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76C2138"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A431AA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B62C3D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701333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4172398"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6BD4ACC" w14:textId="77777777">
            <w:pPr>
              <w:jc w:val="center"/>
              <w:rPr>
                <w:rFonts w:ascii="Calibri" w:hAnsi="Calibri" w:cs="Calibri"/>
                <w:color w:val="000000"/>
                <w:sz w:val="16"/>
                <w:szCs w:val="16"/>
              </w:rPr>
            </w:pPr>
            <w:r>
              <w:rPr>
                <w:rFonts w:ascii="Calibri" w:hAnsi="Calibri" w:cs="Calibri"/>
                <w:color w:val="000000"/>
                <w:sz w:val="16"/>
                <w:szCs w:val="16"/>
              </w:rPr>
              <w:t> </w:t>
            </w:r>
          </w:p>
        </w:tc>
      </w:tr>
      <w:tr w14:paraId="78403BCD"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A038D01" w14:textId="77777777">
            <w:pPr>
              <w:jc w:val="center"/>
              <w:rPr>
                <w:rFonts w:ascii="Calibri" w:hAnsi="Calibri" w:cs="Calibri"/>
                <w:b/>
                <w:bCs/>
                <w:color w:val="000000"/>
                <w:sz w:val="16"/>
                <w:szCs w:val="16"/>
              </w:rPr>
            </w:pPr>
            <w:r>
              <w:rPr>
                <w:rFonts w:ascii="Calibri" w:hAnsi="Calibri" w:cs="Calibri"/>
                <w:b/>
                <w:bCs/>
                <w:color w:val="000000"/>
                <w:sz w:val="16"/>
                <w:szCs w:val="16"/>
              </w:rPr>
              <w:t>5</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05453802" w14:textId="77777777">
            <w:pPr>
              <w:jc w:val="right"/>
              <w:rPr>
                <w:rFonts w:ascii="Calibri" w:hAnsi="Calibri" w:cs="Calibri"/>
                <w:b/>
                <w:bCs/>
                <w:color w:val="000000"/>
                <w:sz w:val="16"/>
                <w:szCs w:val="16"/>
              </w:rPr>
            </w:pPr>
            <w:r>
              <w:rPr>
                <w:rFonts w:ascii="Calibri" w:hAnsi="Calibri" w:cs="Calibri"/>
                <w:b/>
                <w:bCs/>
                <w:color w:val="000000"/>
                <w:sz w:val="16"/>
                <w:szCs w:val="16"/>
              </w:rPr>
              <w:t>25-Mar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4B8253A2" w14:textId="77777777">
            <w:pPr>
              <w:keepNext/>
              <w:keepLines/>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1CF3C73"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64EF65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E4E783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367EBA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4C7DC00"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24FDBA4"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CAA152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3F9FBDE" w14:textId="77777777">
            <w:pPr>
              <w:jc w:val="center"/>
              <w:rPr>
                <w:rFonts w:ascii="Calibri" w:hAnsi="Calibri" w:cs="Calibri"/>
                <w:color w:val="000000"/>
                <w:sz w:val="16"/>
                <w:szCs w:val="16"/>
              </w:rPr>
            </w:pPr>
            <w:r>
              <w:rPr>
                <w:rFonts w:ascii="Calibri" w:hAnsi="Calibri" w:cs="Calibri"/>
                <w:color w:val="000000"/>
                <w:sz w:val="16"/>
                <w:szCs w:val="16"/>
              </w:rPr>
              <w:t> </w:t>
            </w:r>
          </w:p>
        </w:tc>
      </w:tr>
      <w:tr w14:paraId="44DB025C"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5343249A" w14:textId="77777777">
            <w:pPr>
              <w:jc w:val="center"/>
              <w:rPr>
                <w:rFonts w:ascii="Calibri" w:hAnsi="Calibri" w:cs="Calibri"/>
                <w:b/>
                <w:bCs/>
                <w:color w:val="000000"/>
                <w:sz w:val="16"/>
                <w:szCs w:val="16"/>
              </w:rPr>
            </w:pPr>
            <w:r>
              <w:rPr>
                <w:rFonts w:ascii="Calibri" w:hAnsi="Calibri" w:cs="Calibri"/>
                <w:b/>
                <w:bCs/>
                <w:color w:val="000000"/>
                <w:sz w:val="16"/>
                <w:szCs w:val="16"/>
              </w:rPr>
              <w:t>6</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1E00EF9" w14:textId="77777777">
            <w:pPr>
              <w:jc w:val="right"/>
              <w:rPr>
                <w:rFonts w:ascii="Calibri" w:hAnsi="Calibri" w:cs="Calibri"/>
                <w:b/>
                <w:bCs/>
                <w:color w:val="000000"/>
                <w:sz w:val="16"/>
                <w:szCs w:val="16"/>
              </w:rPr>
            </w:pPr>
            <w:r>
              <w:rPr>
                <w:rFonts w:ascii="Calibri" w:hAnsi="Calibri" w:cs="Calibri"/>
                <w:b/>
                <w:bCs/>
                <w:color w:val="000000"/>
                <w:sz w:val="16"/>
                <w:szCs w:val="16"/>
              </w:rPr>
              <w:t>1-Apr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1BAB36EF" w14:textId="77777777">
            <w:pPr>
              <w:keepNext/>
              <w:keepLines/>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2672573"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A147037"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D21B3B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0F9379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3D7A00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2243C5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32C784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C0E1F7D" w14:textId="77777777">
            <w:pPr>
              <w:jc w:val="center"/>
              <w:rPr>
                <w:rFonts w:ascii="Calibri" w:hAnsi="Calibri" w:cs="Calibri"/>
                <w:color w:val="000000"/>
                <w:sz w:val="16"/>
                <w:szCs w:val="16"/>
              </w:rPr>
            </w:pPr>
            <w:r>
              <w:rPr>
                <w:rFonts w:ascii="Calibri" w:hAnsi="Calibri" w:cs="Calibri"/>
                <w:color w:val="000000"/>
                <w:sz w:val="16"/>
                <w:szCs w:val="16"/>
              </w:rPr>
              <w:t> </w:t>
            </w:r>
          </w:p>
        </w:tc>
      </w:tr>
      <w:tr w14:paraId="3FA4A018"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20F65851" w14:textId="77777777">
            <w:pPr>
              <w:jc w:val="center"/>
              <w:rPr>
                <w:rFonts w:ascii="Calibri" w:hAnsi="Calibri" w:cs="Calibri"/>
                <w:b/>
                <w:bCs/>
                <w:color w:val="000000"/>
                <w:sz w:val="16"/>
                <w:szCs w:val="16"/>
              </w:rPr>
            </w:pPr>
            <w:r>
              <w:rPr>
                <w:rFonts w:ascii="Calibri" w:hAnsi="Calibri" w:cs="Calibri"/>
                <w:b/>
                <w:bCs/>
                <w:color w:val="000000"/>
                <w:sz w:val="16"/>
                <w:szCs w:val="16"/>
              </w:rPr>
              <w:t>7</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25A6ED8D" w14:textId="77777777">
            <w:pPr>
              <w:jc w:val="right"/>
              <w:rPr>
                <w:rFonts w:ascii="Calibri" w:hAnsi="Calibri" w:cs="Calibri"/>
                <w:b/>
                <w:bCs/>
                <w:color w:val="000000"/>
                <w:sz w:val="16"/>
                <w:szCs w:val="16"/>
              </w:rPr>
            </w:pPr>
            <w:r>
              <w:rPr>
                <w:rFonts w:ascii="Calibri" w:hAnsi="Calibri" w:cs="Calibri"/>
                <w:b/>
                <w:bCs/>
                <w:color w:val="000000"/>
                <w:sz w:val="16"/>
                <w:szCs w:val="16"/>
              </w:rPr>
              <w:t>8-Apr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0FF3F0B3" w14:textId="77777777">
            <w:pPr>
              <w:keepNext/>
              <w:keepLines/>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C65B887"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564E10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A1A403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C1E099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762EBF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903B4E7"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E3FEF04"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5C131E9" w14:textId="77777777">
            <w:pPr>
              <w:jc w:val="center"/>
              <w:rPr>
                <w:rFonts w:ascii="Calibri" w:hAnsi="Calibri" w:cs="Calibri"/>
                <w:color w:val="000000"/>
                <w:sz w:val="16"/>
                <w:szCs w:val="16"/>
              </w:rPr>
            </w:pPr>
            <w:r>
              <w:rPr>
                <w:rFonts w:ascii="Calibri" w:hAnsi="Calibri" w:cs="Calibri"/>
                <w:color w:val="000000"/>
                <w:sz w:val="16"/>
                <w:szCs w:val="16"/>
              </w:rPr>
              <w:t> </w:t>
            </w:r>
          </w:p>
        </w:tc>
      </w:tr>
      <w:tr w14:paraId="2290448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299E9A80" w14:textId="77777777">
            <w:pPr>
              <w:jc w:val="center"/>
              <w:rPr>
                <w:rFonts w:ascii="Calibri" w:hAnsi="Calibri" w:cs="Calibri"/>
                <w:b/>
                <w:bCs/>
                <w:color w:val="000000"/>
                <w:sz w:val="16"/>
                <w:szCs w:val="16"/>
              </w:rPr>
            </w:pPr>
            <w:r>
              <w:rPr>
                <w:rFonts w:ascii="Calibri" w:hAnsi="Calibri" w:cs="Calibri"/>
                <w:b/>
                <w:bCs/>
                <w:color w:val="000000"/>
                <w:sz w:val="16"/>
                <w:szCs w:val="16"/>
              </w:rPr>
              <w:t>8</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4499FBEA" w14:textId="77777777">
            <w:pPr>
              <w:jc w:val="right"/>
              <w:rPr>
                <w:rFonts w:ascii="Calibri" w:hAnsi="Calibri" w:cs="Calibri"/>
                <w:b/>
                <w:bCs/>
                <w:color w:val="000000"/>
                <w:sz w:val="16"/>
                <w:szCs w:val="16"/>
              </w:rPr>
            </w:pPr>
            <w:r>
              <w:rPr>
                <w:rFonts w:ascii="Calibri" w:hAnsi="Calibri" w:cs="Calibri"/>
                <w:b/>
                <w:bCs/>
                <w:color w:val="000000"/>
                <w:sz w:val="16"/>
                <w:szCs w:val="16"/>
              </w:rPr>
              <w:t>15-Apr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62620A8F" w14:textId="77777777">
            <w:pPr>
              <w:keepNext/>
              <w:keepLines/>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63C05E2"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7BAAB8F"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F545B7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246189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629EDF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19BBEE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EF876F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CF8DF02" w14:textId="77777777">
            <w:pPr>
              <w:jc w:val="center"/>
              <w:rPr>
                <w:rFonts w:ascii="Calibri" w:hAnsi="Calibri" w:cs="Calibri"/>
                <w:color w:val="000000"/>
                <w:sz w:val="16"/>
                <w:szCs w:val="16"/>
              </w:rPr>
            </w:pPr>
            <w:r>
              <w:rPr>
                <w:rFonts w:ascii="Calibri" w:hAnsi="Calibri" w:cs="Calibri"/>
                <w:color w:val="000000"/>
                <w:sz w:val="16"/>
                <w:szCs w:val="16"/>
              </w:rPr>
              <w:t> </w:t>
            </w:r>
          </w:p>
        </w:tc>
      </w:tr>
      <w:tr w14:paraId="05696259"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13A242DE" w14:textId="77777777">
            <w:pPr>
              <w:jc w:val="center"/>
              <w:rPr>
                <w:rFonts w:ascii="Calibri" w:hAnsi="Calibri" w:cs="Calibri"/>
                <w:b/>
                <w:bCs/>
                <w:color w:val="000000"/>
                <w:sz w:val="16"/>
                <w:szCs w:val="16"/>
              </w:rPr>
            </w:pPr>
            <w:r>
              <w:rPr>
                <w:rFonts w:ascii="Calibri" w:hAnsi="Calibri" w:cs="Calibri"/>
                <w:b/>
                <w:bCs/>
                <w:color w:val="000000"/>
                <w:sz w:val="16"/>
                <w:szCs w:val="16"/>
              </w:rPr>
              <w:t>9</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2EC053B" w14:textId="77777777">
            <w:pPr>
              <w:jc w:val="right"/>
              <w:rPr>
                <w:rFonts w:ascii="Calibri" w:hAnsi="Calibri" w:cs="Calibri"/>
                <w:b/>
                <w:bCs/>
                <w:color w:val="000000"/>
                <w:sz w:val="16"/>
                <w:szCs w:val="16"/>
              </w:rPr>
            </w:pPr>
            <w:r>
              <w:rPr>
                <w:rFonts w:ascii="Calibri" w:hAnsi="Calibri" w:cs="Calibri"/>
                <w:b/>
                <w:bCs/>
                <w:color w:val="000000"/>
                <w:sz w:val="16"/>
                <w:szCs w:val="16"/>
              </w:rPr>
              <w:t>22-Apr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43918652" w14:textId="77777777">
            <w:pPr>
              <w:keepNext/>
              <w:keepLines/>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0DAC21E"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355D9EF"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F9661E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73741C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DE314C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BA0296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A61F0F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A673BAF" w14:textId="77777777">
            <w:pPr>
              <w:jc w:val="center"/>
              <w:rPr>
                <w:rFonts w:ascii="Calibri" w:hAnsi="Calibri" w:cs="Calibri"/>
                <w:color w:val="000000"/>
                <w:sz w:val="16"/>
                <w:szCs w:val="16"/>
              </w:rPr>
            </w:pPr>
            <w:r>
              <w:rPr>
                <w:rFonts w:ascii="Calibri" w:hAnsi="Calibri" w:cs="Calibri"/>
                <w:color w:val="000000"/>
                <w:sz w:val="16"/>
                <w:szCs w:val="16"/>
              </w:rPr>
              <w:t> </w:t>
            </w:r>
          </w:p>
        </w:tc>
      </w:tr>
      <w:tr w14:paraId="73B9FB90"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36EEA588" w14:textId="77777777">
            <w:pPr>
              <w:jc w:val="center"/>
              <w:rPr>
                <w:rFonts w:ascii="Calibri" w:hAnsi="Calibri" w:cs="Calibri"/>
                <w:b/>
                <w:bCs/>
                <w:color w:val="000000"/>
                <w:sz w:val="16"/>
                <w:szCs w:val="16"/>
              </w:rPr>
            </w:pPr>
            <w:r>
              <w:rPr>
                <w:rFonts w:ascii="Calibri" w:hAnsi="Calibri" w:cs="Calibri"/>
                <w:b/>
                <w:bCs/>
                <w:color w:val="000000"/>
                <w:sz w:val="16"/>
                <w:szCs w:val="16"/>
              </w:rPr>
              <w:t>10</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7C512AE5" w14:textId="77777777">
            <w:pPr>
              <w:jc w:val="right"/>
              <w:rPr>
                <w:rFonts w:ascii="Calibri" w:hAnsi="Calibri" w:cs="Calibri"/>
                <w:b/>
                <w:bCs/>
                <w:color w:val="000000"/>
                <w:sz w:val="16"/>
                <w:szCs w:val="16"/>
              </w:rPr>
            </w:pPr>
            <w:r>
              <w:rPr>
                <w:rFonts w:ascii="Calibri" w:hAnsi="Calibri" w:cs="Calibri"/>
                <w:b/>
                <w:bCs/>
                <w:color w:val="000000"/>
                <w:sz w:val="16"/>
                <w:szCs w:val="16"/>
              </w:rPr>
              <w:t>29-Apr</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rsidP="001B7E6E" w14:paraId="50E780E3" w14:textId="77777777">
            <w:pPr>
              <w:keepNext/>
              <w:keepLines/>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C485B4E"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EE3AD2E"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F77A27D"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BA17B04"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CF9079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8A616F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6CB97A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B86F6E2" w14:textId="77777777">
            <w:pPr>
              <w:jc w:val="center"/>
              <w:rPr>
                <w:rFonts w:ascii="Calibri" w:hAnsi="Calibri" w:cs="Calibri"/>
                <w:color w:val="000000"/>
                <w:sz w:val="16"/>
                <w:szCs w:val="16"/>
              </w:rPr>
            </w:pPr>
            <w:r>
              <w:rPr>
                <w:rFonts w:ascii="Calibri" w:hAnsi="Calibri" w:cs="Calibri"/>
                <w:color w:val="000000"/>
                <w:sz w:val="16"/>
                <w:szCs w:val="16"/>
              </w:rPr>
              <w:t> </w:t>
            </w:r>
          </w:p>
        </w:tc>
      </w:tr>
      <w:tr w14:paraId="147E20AF"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0F4BDBF" w14:textId="77777777">
            <w:pPr>
              <w:jc w:val="center"/>
              <w:rPr>
                <w:rFonts w:ascii="Calibri" w:hAnsi="Calibri" w:cs="Calibri"/>
                <w:b/>
                <w:bCs/>
                <w:color w:val="000000"/>
                <w:sz w:val="16"/>
                <w:szCs w:val="16"/>
              </w:rPr>
            </w:pPr>
            <w:r>
              <w:rPr>
                <w:rFonts w:ascii="Calibri" w:hAnsi="Calibri" w:cs="Calibri"/>
                <w:b/>
                <w:bCs/>
                <w:color w:val="000000"/>
                <w:sz w:val="16"/>
                <w:szCs w:val="16"/>
              </w:rPr>
              <w:t>11</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08201ABD" w14:textId="77777777">
            <w:pPr>
              <w:jc w:val="right"/>
              <w:rPr>
                <w:rFonts w:ascii="Calibri" w:hAnsi="Calibri" w:cs="Calibri"/>
                <w:b/>
                <w:bCs/>
                <w:color w:val="000000"/>
                <w:sz w:val="16"/>
                <w:szCs w:val="16"/>
              </w:rPr>
            </w:pPr>
            <w:r>
              <w:rPr>
                <w:rFonts w:ascii="Calibri" w:hAnsi="Calibri" w:cs="Calibri"/>
                <w:b/>
                <w:bCs/>
                <w:color w:val="000000"/>
                <w:sz w:val="16"/>
                <w:szCs w:val="16"/>
              </w:rPr>
              <w:t>6-May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2AE69AD"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818E15A"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D89E275"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DC17526"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1B81A0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ECC709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409159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B8E4B0C"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CE1FB9A" w14:textId="77777777">
            <w:pPr>
              <w:jc w:val="center"/>
              <w:rPr>
                <w:rFonts w:ascii="Calibri" w:hAnsi="Calibri" w:cs="Calibri"/>
                <w:color w:val="000000"/>
                <w:sz w:val="16"/>
                <w:szCs w:val="16"/>
              </w:rPr>
            </w:pPr>
            <w:r>
              <w:rPr>
                <w:rFonts w:ascii="Calibri" w:hAnsi="Calibri" w:cs="Calibri"/>
                <w:color w:val="000000"/>
                <w:sz w:val="16"/>
                <w:szCs w:val="16"/>
              </w:rPr>
              <w:t> </w:t>
            </w:r>
          </w:p>
        </w:tc>
      </w:tr>
      <w:tr w14:paraId="28D9C9D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5B895F7" w14:textId="77777777">
            <w:pPr>
              <w:jc w:val="center"/>
              <w:rPr>
                <w:rFonts w:ascii="Calibri" w:hAnsi="Calibri" w:cs="Calibri"/>
                <w:b/>
                <w:bCs/>
                <w:color w:val="000000"/>
                <w:sz w:val="16"/>
                <w:szCs w:val="16"/>
              </w:rPr>
            </w:pPr>
            <w:r>
              <w:rPr>
                <w:rFonts w:ascii="Calibri" w:hAnsi="Calibri" w:cs="Calibri"/>
                <w:b/>
                <w:bCs/>
                <w:color w:val="000000"/>
                <w:sz w:val="16"/>
                <w:szCs w:val="16"/>
              </w:rPr>
              <w:t>12</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55E0E01" w14:textId="77777777">
            <w:pPr>
              <w:jc w:val="right"/>
              <w:rPr>
                <w:rFonts w:ascii="Calibri" w:hAnsi="Calibri" w:cs="Calibri"/>
                <w:b/>
                <w:bCs/>
                <w:color w:val="000000"/>
                <w:sz w:val="16"/>
                <w:szCs w:val="16"/>
              </w:rPr>
            </w:pPr>
            <w:r>
              <w:rPr>
                <w:rFonts w:ascii="Calibri" w:hAnsi="Calibri" w:cs="Calibri"/>
                <w:b/>
                <w:bCs/>
                <w:color w:val="000000"/>
                <w:sz w:val="16"/>
                <w:szCs w:val="16"/>
              </w:rPr>
              <w:t>13-May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44C1E13"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72A6CFC"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1A3CE39"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42B2FE8"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7D9B0E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5642453"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DD2438A"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675F89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6CEDBF9" w14:textId="77777777">
            <w:pPr>
              <w:jc w:val="center"/>
              <w:rPr>
                <w:rFonts w:ascii="Calibri" w:hAnsi="Calibri" w:cs="Calibri"/>
                <w:color w:val="000000"/>
                <w:sz w:val="16"/>
                <w:szCs w:val="16"/>
              </w:rPr>
            </w:pPr>
            <w:r>
              <w:rPr>
                <w:rFonts w:ascii="Calibri" w:hAnsi="Calibri" w:cs="Calibri"/>
                <w:color w:val="000000"/>
                <w:sz w:val="16"/>
                <w:szCs w:val="16"/>
              </w:rPr>
              <w:t> </w:t>
            </w:r>
          </w:p>
        </w:tc>
      </w:tr>
      <w:tr w14:paraId="019F111C"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621ADB3" w14:textId="77777777">
            <w:pPr>
              <w:jc w:val="center"/>
              <w:rPr>
                <w:rFonts w:ascii="Calibri" w:hAnsi="Calibri" w:cs="Calibri"/>
                <w:b/>
                <w:bCs/>
                <w:color w:val="000000"/>
                <w:sz w:val="16"/>
                <w:szCs w:val="16"/>
              </w:rPr>
            </w:pPr>
            <w:r>
              <w:rPr>
                <w:rFonts w:ascii="Calibri" w:hAnsi="Calibri" w:cs="Calibri"/>
                <w:b/>
                <w:bCs/>
                <w:color w:val="000000"/>
                <w:sz w:val="16"/>
                <w:szCs w:val="16"/>
              </w:rPr>
              <w:t>13</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5118F63" w14:textId="77777777">
            <w:pPr>
              <w:jc w:val="right"/>
              <w:rPr>
                <w:rFonts w:ascii="Calibri" w:hAnsi="Calibri" w:cs="Calibri"/>
                <w:b/>
                <w:bCs/>
                <w:color w:val="000000"/>
                <w:sz w:val="16"/>
                <w:szCs w:val="16"/>
              </w:rPr>
            </w:pPr>
            <w:r>
              <w:rPr>
                <w:rFonts w:ascii="Calibri" w:hAnsi="Calibri" w:cs="Calibri"/>
                <w:b/>
                <w:bCs/>
                <w:color w:val="000000"/>
                <w:sz w:val="16"/>
                <w:szCs w:val="16"/>
              </w:rPr>
              <w:t>20-May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DB676E5"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BFC164B"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0F012B0"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509C2CE"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02831CA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AEECE8A"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67673D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9475C5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1AF6AC0" w14:textId="77777777">
            <w:pPr>
              <w:jc w:val="center"/>
              <w:rPr>
                <w:rFonts w:ascii="Calibri" w:hAnsi="Calibri" w:cs="Calibri"/>
                <w:color w:val="000000"/>
                <w:sz w:val="16"/>
                <w:szCs w:val="16"/>
              </w:rPr>
            </w:pPr>
            <w:r>
              <w:rPr>
                <w:rFonts w:ascii="Calibri" w:hAnsi="Calibri" w:cs="Calibri"/>
                <w:color w:val="000000"/>
                <w:sz w:val="16"/>
                <w:szCs w:val="16"/>
              </w:rPr>
              <w:t> </w:t>
            </w:r>
          </w:p>
        </w:tc>
      </w:tr>
      <w:tr w14:paraId="2F6EC6DF"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E600BFA" w14:textId="77777777">
            <w:pPr>
              <w:jc w:val="center"/>
              <w:rPr>
                <w:rFonts w:ascii="Calibri" w:hAnsi="Calibri" w:cs="Calibri"/>
                <w:b/>
                <w:bCs/>
                <w:color w:val="000000"/>
                <w:sz w:val="16"/>
                <w:szCs w:val="16"/>
              </w:rPr>
            </w:pPr>
            <w:r>
              <w:rPr>
                <w:rFonts w:ascii="Calibri" w:hAnsi="Calibri" w:cs="Calibri"/>
                <w:b/>
                <w:bCs/>
                <w:color w:val="000000"/>
                <w:sz w:val="16"/>
                <w:szCs w:val="16"/>
              </w:rPr>
              <w:t>14</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5B8677D" w14:textId="77777777">
            <w:pPr>
              <w:jc w:val="right"/>
              <w:rPr>
                <w:rFonts w:ascii="Calibri" w:hAnsi="Calibri" w:cs="Calibri"/>
                <w:b/>
                <w:bCs/>
                <w:color w:val="000000"/>
                <w:sz w:val="16"/>
                <w:szCs w:val="16"/>
              </w:rPr>
            </w:pPr>
            <w:r>
              <w:rPr>
                <w:rFonts w:ascii="Calibri" w:hAnsi="Calibri" w:cs="Calibri"/>
                <w:b/>
                <w:bCs/>
                <w:color w:val="000000"/>
                <w:sz w:val="16"/>
                <w:szCs w:val="16"/>
              </w:rPr>
              <w:t>27-May</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E66FA68"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FA13302"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62EBBA8"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9E1CD1D"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686840A"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184377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84FD2A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9511A0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7602B6D" w14:textId="77777777">
            <w:pPr>
              <w:jc w:val="center"/>
              <w:rPr>
                <w:rFonts w:ascii="Calibri" w:hAnsi="Calibri" w:cs="Calibri"/>
                <w:color w:val="000000"/>
                <w:sz w:val="16"/>
                <w:szCs w:val="16"/>
              </w:rPr>
            </w:pPr>
            <w:r>
              <w:rPr>
                <w:rFonts w:ascii="Calibri" w:hAnsi="Calibri" w:cs="Calibri"/>
                <w:color w:val="000000"/>
                <w:sz w:val="16"/>
                <w:szCs w:val="16"/>
              </w:rPr>
              <w:t> </w:t>
            </w:r>
          </w:p>
        </w:tc>
      </w:tr>
      <w:tr w14:paraId="4D9C25D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7D01D6C" w14:textId="77777777">
            <w:pPr>
              <w:jc w:val="center"/>
              <w:rPr>
                <w:rFonts w:ascii="Calibri" w:hAnsi="Calibri" w:cs="Calibri"/>
                <w:b/>
                <w:bCs/>
                <w:color w:val="000000"/>
                <w:sz w:val="16"/>
                <w:szCs w:val="16"/>
              </w:rPr>
            </w:pPr>
            <w:r>
              <w:rPr>
                <w:rFonts w:ascii="Calibri" w:hAnsi="Calibri" w:cs="Calibri"/>
                <w:b/>
                <w:bCs/>
                <w:color w:val="000000"/>
                <w:sz w:val="16"/>
                <w:szCs w:val="16"/>
              </w:rPr>
              <w:t>15</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6058BDB" w14:textId="77777777">
            <w:pPr>
              <w:jc w:val="right"/>
              <w:rPr>
                <w:rFonts w:ascii="Calibri" w:hAnsi="Calibri" w:cs="Calibri"/>
                <w:b/>
                <w:bCs/>
                <w:color w:val="000000"/>
                <w:sz w:val="16"/>
                <w:szCs w:val="16"/>
              </w:rPr>
            </w:pPr>
            <w:r>
              <w:rPr>
                <w:rFonts w:ascii="Calibri" w:hAnsi="Calibri" w:cs="Calibri"/>
                <w:b/>
                <w:bCs/>
                <w:color w:val="000000"/>
                <w:sz w:val="16"/>
                <w:szCs w:val="16"/>
              </w:rPr>
              <w:t>3-Jun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DD31F4E"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764EFDE"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652ED4A"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6662153"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7194724"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FCB0FAF"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C25A416"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B14AF0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38C04AD" w14:textId="77777777">
            <w:pPr>
              <w:jc w:val="center"/>
              <w:rPr>
                <w:rFonts w:ascii="Calibri" w:hAnsi="Calibri" w:cs="Calibri"/>
                <w:color w:val="000000"/>
                <w:sz w:val="16"/>
                <w:szCs w:val="16"/>
              </w:rPr>
            </w:pPr>
            <w:r>
              <w:rPr>
                <w:rFonts w:ascii="Calibri" w:hAnsi="Calibri" w:cs="Calibri"/>
                <w:color w:val="000000"/>
                <w:sz w:val="16"/>
                <w:szCs w:val="16"/>
              </w:rPr>
              <w:t> </w:t>
            </w:r>
          </w:p>
        </w:tc>
      </w:tr>
      <w:tr w14:paraId="0949DAC4"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A65278F" w14:textId="77777777">
            <w:pPr>
              <w:jc w:val="center"/>
              <w:rPr>
                <w:rFonts w:ascii="Calibri" w:hAnsi="Calibri" w:cs="Calibri"/>
                <w:b/>
                <w:bCs/>
                <w:color w:val="000000"/>
                <w:sz w:val="16"/>
                <w:szCs w:val="16"/>
              </w:rPr>
            </w:pPr>
            <w:r>
              <w:rPr>
                <w:rFonts w:ascii="Calibri" w:hAnsi="Calibri" w:cs="Calibri"/>
                <w:b/>
                <w:bCs/>
                <w:color w:val="000000"/>
                <w:sz w:val="16"/>
                <w:szCs w:val="16"/>
              </w:rPr>
              <w:t>16</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5AB9376" w14:textId="77777777">
            <w:pPr>
              <w:jc w:val="right"/>
              <w:rPr>
                <w:rFonts w:ascii="Calibri" w:hAnsi="Calibri" w:cs="Calibri"/>
                <w:b/>
                <w:bCs/>
                <w:color w:val="000000"/>
                <w:sz w:val="16"/>
                <w:szCs w:val="16"/>
              </w:rPr>
            </w:pPr>
            <w:r>
              <w:rPr>
                <w:rFonts w:ascii="Calibri" w:hAnsi="Calibri" w:cs="Calibri"/>
                <w:b/>
                <w:bCs/>
                <w:color w:val="000000"/>
                <w:sz w:val="16"/>
                <w:szCs w:val="16"/>
              </w:rPr>
              <w:t>10-Jun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244C8BE" w14:textId="77777777">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3D607AD"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4F14BFE"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7FD2870"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605305F"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01D84A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775DF58"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005F80D"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009F6B2" w14:textId="77777777">
            <w:pPr>
              <w:jc w:val="center"/>
              <w:rPr>
                <w:rFonts w:ascii="Calibri" w:hAnsi="Calibri" w:cs="Calibri"/>
                <w:color w:val="000000"/>
                <w:sz w:val="16"/>
                <w:szCs w:val="16"/>
              </w:rPr>
            </w:pPr>
            <w:r>
              <w:rPr>
                <w:rFonts w:ascii="Calibri" w:hAnsi="Calibri" w:cs="Calibri"/>
                <w:color w:val="000000"/>
                <w:sz w:val="16"/>
                <w:szCs w:val="16"/>
              </w:rPr>
              <w:t> </w:t>
            </w:r>
          </w:p>
        </w:tc>
      </w:tr>
      <w:tr w14:paraId="4BCE791E"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15A4B58" w14:textId="77777777">
            <w:pPr>
              <w:jc w:val="center"/>
              <w:rPr>
                <w:rFonts w:ascii="Calibri" w:hAnsi="Calibri" w:cs="Calibri"/>
                <w:b/>
                <w:bCs/>
                <w:color w:val="000000"/>
                <w:sz w:val="16"/>
                <w:szCs w:val="16"/>
              </w:rPr>
            </w:pPr>
            <w:r>
              <w:rPr>
                <w:rFonts w:ascii="Calibri" w:hAnsi="Calibri" w:cs="Calibri"/>
                <w:b/>
                <w:bCs/>
                <w:color w:val="000000"/>
                <w:sz w:val="16"/>
                <w:szCs w:val="16"/>
              </w:rPr>
              <w:t>17</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30096D60" w14:textId="77777777">
            <w:pPr>
              <w:jc w:val="right"/>
              <w:rPr>
                <w:rFonts w:ascii="Calibri" w:hAnsi="Calibri" w:cs="Calibri"/>
                <w:b/>
                <w:bCs/>
                <w:color w:val="000000"/>
                <w:sz w:val="16"/>
                <w:szCs w:val="16"/>
              </w:rPr>
            </w:pPr>
            <w:r>
              <w:rPr>
                <w:rFonts w:ascii="Calibri" w:hAnsi="Calibri" w:cs="Calibri"/>
                <w:b/>
                <w:bCs/>
                <w:color w:val="000000"/>
                <w:sz w:val="16"/>
                <w:szCs w:val="16"/>
              </w:rPr>
              <w:t>17-Jun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4B5BFD5"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B8D44EA"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599ACA1"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380A4C9"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93E7615"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C44CCEA"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675D2D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1269E42"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1921222" w14:textId="77777777">
            <w:pPr>
              <w:jc w:val="center"/>
              <w:rPr>
                <w:rFonts w:ascii="Calibri" w:hAnsi="Calibri" w:cs="Calibri"/>
                <w:color w:val="000000"/>
                <w:sz w:val="16"/>
                <w:szCs w:val="16"/>
              </w:rPr>
            </w:pPr>
            <w:r>
              <w:rPr>
                <w:rFonts w:ascii="Calibri" w:hAnsi="Calibri" w:cs="Calibri"/>
                <w:color w:val="000000"/>
                <w:sz w:val="16"/>
                <w:szCs w:val="16"/>
              </w:rPr>
              <w:t> </w:t>
            </w:r>
          </w:p>
        </w:tc>
      </w:tr>
      <w:tr w14:paraId="6DBF0BF2"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B095AC6" w14:textId="77777777">
            <w:pPr>
              <w:jc w:val="center"/>
              <w:rPr>
                <w:rFonts w:ascii="Calibri" w:hAnsi="Calibri" w:cs="Calibri"/>
                <w:b/>
                <w:bCs/>
                <w:color w:val="000000"/>
                <w:sz w:val="16"/>
                <w:szCs w:val="16"/>
              </w:rPr>
            </w:pPr>
            <w:r>
              <w:rPr>
                <w:rFonts w:ascii="Calibri" w:hAnsi="Calibri" w:cs="Calibri"/>
                <w:b/>
                <w:bCs/>
                <w:color w:val="000000"/>
                <w:sz w:val="16"/>
                <w:szCs w:val="16"/>
              </w:rPr>
              <w:t>18</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40EC46D4" w14:textId="77777777">
            <w:pPr>
              <w:jc w:val="right"/>
              <w:rPr>
                <w:rFonts w:ascii="Calibri" w:hAnsi="Calibri" w:cs="Calibri"/>
                <w:b/>
                <w:bCs/>
                <w:color w:val="000000"/>
                <w:sz w:val="16"/>
                <w:szCs w:val="16"/>
              </w:rPr>
            </w:pPr>
            <w:r>
              <w:rPr>
                <w:rFonts w:ascii="Calibri" w:hAnsi="Calibri" w:cs="Calibri"/>
                <w:b/>
                <w:bCs/>
                <w:color w:val="000000"/>
                <w:sz w:val="16"/>
                <w:szCs w:val="16"/>
              </w:rPr>
              <w:t>24-Jun</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366183E"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EBCEB93"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0A63334"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30732B3"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630CA94"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8D86989"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155511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1157CAE"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05D136C" w14:textId="77777777">
            <w:pPr>
              <w:jc w:val="center"/>
              <w:rPr>
                <w:rFonts w:ascii="Calibri" w:hAnsi="Calibri" w:cs="Calibri"/>
                <w:color w:val="000000"/>
                <w:sz w:val="16"/>
                <w:szCs w:val="16"/>
              </w:rPr>
            </w:pPr>
            <w:r>
              <w:rPr>
                <w:rFonts w:ascii="Calibri" w:hAnsi="Calibri" w:cs="Calibri"/>
                <w:color w:val="000000"/>
                <w:sz w:val="16"/>
                <w:szCs w:val="16"/>
              </w:rPr>
              <w:t> </w:t>
            </w:r>
          </w:p>
        </w:tc>
      </w:tr>
      <w:tr w14:paraId="177F2186"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553A2A77" w14:textId="77777777">
            <w:pPr>
              <w:jc w:val="center"/>
              <w:rPr>
                <w:rFonts w:ascii="Calibri" w:hAnsi="Calibri" w:cs="Calibri"/>
                <w:b/>
                <w:bCs/>
                <w:color w:val="000000"/>
                <w:sz w:val="16"/>
                <w:szCs w:val="16"/>
              </w:rPr>
            </w:pPr>
            <w:r>
              <w:rPr>
                <w:rFonts w:ascii="Calibri" w:hAnsi="Calibri" w:cs="Calibri"/>
                <w:b/>
                <w:bCs/>
                <w:color w:val="000000"/>
                <w:sz w:val="16"/>
                <w:szCs w:val="16"/>
              </w:rPr>
              <w:t>19</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337BF245" w14:textId="77777777">
            <w:pPr>
              <w:jc w:val="right"/>
              <w:rPr>
                <w:rFonts w:ascii="Calibri" w:hAnsi="Calibri" w:cs="Calibri"/>
                <w:b/>
                <w:bCs/>
                <w:color w:val="000000"/>
                <w:sz w:val="16"/>
                <w:szCs w:val="16"/>
              </w:rPr>
            </w:pPr>
            <w:r>
              <w:rPr>
                <w:rFonts w:ascii="Calibri" w:hAnsi="Calibri" w:cs="Calibri"/>
                <w:b/>
                <w:bCs/>
                <w:color w:val="000000"/>
                <w:sz w:val="16"/>
                <w:szCs w:val="16"/>
              </w:rPr>
              <w:t>1-Jul</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50A0F25" w14:textId="77777777">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DF3BC41"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A8A0432"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BCFD24C"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EC3892B"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E72357A"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E7A50B9"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577CD61"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00EEBF6" w14:textId="77777777">
            <w:pPr>
              <w:jc w:val="center"/>
              <w:rPr>
                <w:rFonts w:ascii="Calibri" w:hAnsi="Calibri" w:cs="Calibri"/>
                <w:color w:val="000000"/>
                <w:sz w:val="16"/>
                <w:szCs w:val="16"/>
              </w:rPr>
            </w:pPr>
            <w:r>
              <w:rPr>
                <w:rFonts w:ascii="Calibri" w:hAnsi="Calibri" w:cs="Calibri"/>
                <w:color w:val="000000"/>
                <w:sz w:val="16"/>
                <w:szCs w:val="16"/>
              </w:rPr>
              <w:t> </w:t>
            </w:r>
          </w:p>
        </w:tc>
      </w:tr>
      <w:tr w14:paraId="3BFEAEE9"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0335CD67" w14:textId="77777777">
            <w:pPr>
              <w:jc w:val="center"/>
              <w:rPr>
                <w:rFonts w:ascii="Calibri" w:hAnsi="Calibri" w:cs="Calibri"/>
                <w:b/>
                <w:bCs/>
                <w:color w:val="000000"/>
                <w:sz w:val="16"/>
                <w:szCs w:val="16"/>
              </w:rPr>
            </w:pPr>
            <w:r>
              <w:rPr>
                <w:rFonts w:ascii="Calibri" w:hAnsi="Calibri" w:cs="Calibri"/>
                <w:b/>
                <w:bCs/>
                <w:color w:val="000000"/>
                <w:sz w:val="16"/>
                <w:szCs w:val="16"/>
              </w:rPr>
              <w:t>20</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421592FA" w14:textId="77777777">
            <w:pPr>
              <w:jc w:val="right"/>
              <w:rPr>
                <w:rFonts w:ascii="Calibri" w:hAnsi="Calibri" w:cs="Calibri"/>
                <w:b/>
                <w:bCs/>
                <w:color w:val="000000"/>
                <w:sz w:val="16"/>
                <w:szCs w:val="16"/>
              </w:rPr>
            </w:pPr>
            <w:r>
              <w:rPr>
                <w:rFonts w:ascii="Calibri" w:hAnsi="Calibri" w:cs="Calibri"/>
                <w:b/>
                <w:bCs/>
                <w:color w:val="000000"/>
                <w:sz w:val="16"/>
                <w:szCs w:val="16"/>
              </w:rPr>
              <w:t>8-Jul</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0B46141" w14:textId="77777777">
            <w:pPr>
              <w:jc w:val="center"/>
              <w:rPr>
                <w:rFonts w:ascii="Calibri" w:hAnsi="Calibri" w:cs="Calibri"/>
                <w:b/>
                <w:bCs/>
                <w:color w:val="000000"/>
                <w:sz w:val="16"/>
                <w:szCs w:val="16"/>
              </w:rPr>
            </w:pPr>
            <w:r>
              <w:rPr>
                <w:rFonts w:ascii="Calibri" w:hAnsi="Calibri" w:cs="Calibri"/>
                <w:b/>
                <w:bCs/>
                <w:color w:val="000000"/>
                <w:sz w:val="16"/>
                <w:szCs w:val="16"/>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3303E2B1" w14:textId="77777777">
            <w:pPr>
              <w:jc w:val="center"/>
              <w:rPr>
                <w:rFonts w:ascii="Calibri" w:hAnsi="Calibri" w:cs="Calibri"/>
                <w:b/>
                <w:bCs/>
                <w:color w:val="000000"/>
                <w:sz w:val="16"/>
                <w:szCs w:val="16"/>
              </w:rPr>
            </w:pPr>
            <w:r>
              <w:rPr>
                <w:rFonts w:ascii="Calibri" w:hAnsi="Calibri" w:cs="Calibri"/>
                <w:b/>
                <w:bCs/>
                <w:color w:val="000000"/>
                <w:sz w:val="16"/>
                <w:szCs w:val="16"/>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371C5F3E" w14:textId="77777777">
            <w:pPr>
              <w:jc w:val="center"/>
              <w:rPr>
                <w:rFonts w:ascii="Calibri" w:hAnsi="Calibri" w:cs="Calibri"/>
                <w:b/>
                <w:bCs/>
                <w:color w:val="000000"/>
                <w:sz w:val="16"/>
                <w:szCs w:val="16"/>
              </w:rPr>
            </w:pPr>
            <w:r>
              <w:rPr>
                <w:rFonts w:ascii="Calibri" w:hAnsi="Calibri" w:cs="Calibri"/>
                <w:b/>
                <w:bCs/>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67E972D"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17A8864"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4CF4582"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EAA7C9E"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D7BA4EB"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B72BE63" w14:textId="77777777">
            <w:pPr>
              <w:jc w:val="center"/>
              <w:rPr>
                <w:rFonts w:ascii="Calibri" w:hAnsi="Calibri" w:cs="Calibri"/>
                <w:color w:val="000000"/>
                <w:sz w:val="16"/>
                <w:szCs w:val="16"/>
              </w:rPr>
            </w:pPr>
            <w:r>
              <w:rPr>
                <w:rFonts w:ascii="Calibri" w:hAnsi="Calibri" w:cs="Calibri"/>
                <w:color w:val="000000"/>
                <w:sz w:val="16"/>
                <w:szCs w:val="16"/>
              </w:rPr>
              <w:t> </w:t>
            </w:r>
          </w:p>
        </w:tc>
      </w:tr>
      <w:tr w14:paraId="46BC726D"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3488FD68" w14:textId="77777777">
            <w:pPr>
              <w:jc w:val="center"/>
              <w:rPr>
                <w:rFonts w:ascii="Calibri" w:hAnsi="Calibri" w:cs="Calibri"/>
                <w:b/>
                <w:bCs/>
                <w:color w:val="000000"/>
                <w:sz w:val="16"/>
                <w:szCs w:val="16"/>
              </w:rPr>
            </w:pPr>
            <w:r>
              <w:rPr>
                <w:rFonts w:ascii="Calibri" w:hAnsi="Calibri" w:cs="Calibri"/>
                <w:b/>
                <w:bCs/>
                <w:color w:val="000000"/>
                <w:sz w:val="16"/>
                <w:szCs w:val="16"/>
              </w:rPr>
              <w:t>21</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066E53AE" w14:textId="77777777">
            <w:pPr>
              <w:jc w:val="right"/>
              <w:rPr>
                <w:rFonts w:ascii="Calibri" w:hAnsi="Calibri" w:cs="Calibri"/>
                <w:b/>
                <w:bCs/>
                <w:color w:val="000000"/>
                <w:sz w:val="16"/>
                <w:szCs w:val="16"/>
              </w:rPr>
            </w:pPr>
            <w:r>
              <w:rPr>
                <w:rFonts w:ascii="Calibri" w:hAnsi="Calibri" w:cs="Calibri"/>
                <w:b/>
                <w:bCs/>
                <w:color w:val="000000"/>
                <w:sz w:val="16"/>
                <w:szCs w:val="16"/>
              </w:rPr>
              <w:t>15-Jul</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18CE5F8" w14:textId="77777777">
            <w:pPr>
              <w:jc w:val="center"/>
              <w:rPr>
                <w:rFonts w:ascii="Calibri" w:hAnsi="Calibri" w:cs="Calibri"/>
                <w:b/>
                <w:bCs/>
                <w:color w:val="000000"/>
                <w:sz w:val="16"/>
                <w:szCs w:val="16"/>
              </w:rPr>
            </w:pPr>
            <w:r>
              <w:rPr>
                <w:rFonts w:ascii="Calibri" w:hAnsi="Calibri" w:cs="Calibri"/>
                <w:b/>
                <w:bCs/>
                <w:color w:val="000000"/>
                <w:sz w:val="16"/>
                <w:szCs w:val="16"/>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55F37EF" w14:textId="77777777">
            <w:pPr>
              <w:jc w:val="center"/>
              <w:rPr>
                <w:rFonts w:ascii="Calibri" w:hAnsi="Calibri" w:cs="Calibri"/>
                <w:b/>
                <w:bCs/>
                <w:color w:val="000000"/>
                <w:sz w:val="16"/>
                <w:szCs w:val="16"/>
              </w:rPr>
            </w:pPr>
            <w:r>
              <w:rPr>
                <w:rFonts w:ascii="Calibri" w:hAnsi="Calibri" w:cs="Calibri"/>
                <w:b/>
                <w:bCs/>
                <w:color w:val="000000"/>
                <w:sz w:val="16"/>
                <w:szCs w:val="16"/>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0F18153" w14:textId="77777777">
            <w:pPr>
              <w:jc w:val="center"/>
              <w:rPr>
                <w:rFonts w:ascii="Calibri" w:hAnsi="Calibri" w:cs="Calibri"/>
                <w:b/>
                <w:bCs/>
                <w:color w:val="000000"/>
                <w:sz w:val="16"/>
                <w:szCs w:val="16"/>
              </w:rPr>
            </w:pPr>
            <w:r>
              <w:rPr>
                <w:rFonts w:ascii="Calibri" w:hAnsi="Calibri" w:cs="Calibri"/>
                <w:b/>
                <w:bCs/>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BFB1B27"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B4D8461"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7DC5593"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ACBEE86"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5C8A69EA"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450E0AAD" w14:textId="77777777">
            <w:pPr>
              <w:jc w:val="center"/>
              <w:rPr>
                <w:rFonts w:ascii="Calibri" w:hAnsi="Calibri" w:cs="Calibri"/>
                <w:color w:val="000000"/>
                <w:sz w:val="16"/>
                <w:szCs w:val="16"/>
              </w:rPr>
            </w:pPr>
            <w:r>
              <w:rPr>
                <w:rFonts w:ascii="Calibri" w:hAnsi="Calibri" w:cs="Calibri"/>
                <w:color w:val="000000"/>
                <w:sz w:val="16"/>
                <w:szCs w:val="16"/>
              </w:rPr>
              <w:t> </w:t>
            </w:r>
          </w:p>
        </w:tc>
      </w:tr>
      <w:tr w14:paraId="4A76488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67EA8CC" w14:textId="77777777">
            <w:pPr>
              <w:jc w:val="center"/>
              <w:rPr>
                <w:rFonts w:ascii="Calibri" w:hAnsi="Calibri" w:cs="Calibri"/>
                <w:b/>
                <w:bCs/>
                <w:color w:val="000000"/>
                <w:sz w:val="16"/>
                <w:szCs w:val="16"/>
              </w:rPr>
            </w:pPr>
            <w:r>
              <w:rPr>
                <w:rFonts w:ascii="Calibri" w:hAnsi="Calibri" w:cs="Calibri"/>
                <w:b/>
                <w:bCs/>
                <w:color w:val="000000"/>
                <w:sz w:val="16"/>
                <w:szCs w:val="16"/>
              </w:rPr>
              <w:t>22</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041E74DA" w14:textId="77777777">
            <w:pPr>
              <w:jc w:val="right"/>
              <w:rPr>
                <w:rFonts w:ascii="Calibri" w:hAnsi="Calibri" w:cs="Calibri"/>
                <w:b/>
                <w:bCs/>
                <w:color w:val="000000"/>
                <w:sz w:val="16"/>
                <w:szCs w:val="16"/>
              </w:rPr>
            </w:pPr>
            <w:r>
              <w:rPr>
                <w:rFonts w:ascii="Calibri" w:hAnsi="Calibri" w:cs="Calibri"/>
                <w:b/>
                <w:bCs/>
                <w:color w:val="000000"/>
                <w:sz w:val="16"/>
                <w:szCs w:val="16"/>
              </w:rPr>
              <w:t>22-Jul</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1F758166" w14:textId="77777777">
            <w:pPr>
              <w:jc w:val="center"/>
              <w:rPr>
                <w:rFonts w:ascii="Calibri" w:hAnsi="Calibri" w:cs="Calibri"/>
                <w:b/>
                <w:bCs/>
                <w:color w:val="000000"/>
                <w:sz w:val="16"/>
                <w:szCs w:val="16"/>
              </w:rPr>
            </w:pPr>
            <w:r>
              <w:rPr>
                <w:rFonts w:ascii="Calibri" w:hAnsi="Calibri" w:cs="Calibri"/>
                <w:b/>
                <w:bCs/>
                <w:color w:val="000000"/>
                <w:sz w:val="16"/>
                <w:szCs w:val="16"/>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9F1F45A" w14:textId="77777777">
            <w:pPr>
              <w:jc w:val="center"/>
              <w:rPr>
                <w:rFonts w:ascii="Calibri" w:hAnsi="Calibri" w:cs="Calibri"/>
                <w:b/>
                <w:bCs/>
                <w:color w:val="000000"/>
                <w:sz w:val="16"/>
                <w:szCs w:val="16"/>
              </w:rPr>
            </w:pPr>
            <w:r>
              <w:rPr>
                <w:rFonts w:ascii="Calibri" w:hAnsi="Calibri" w:cs="Calibri"/>
                <w:b/>
                <w:bCs/>
                <w:color w:val="000000"/>
                <w:sz w:val="16"/>
                <w:szCs w:val="16"/>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23819C7" w14:textId="77777777">
            <w:pPr>
              <w:jc w:val="center"/>
              <w:rPr>
                <w:rFonts w:ascii="Calibri" w:hAnsi="Calibri" w:cs="Calibri"/>
                <w:b/>
                <w:bCs/>
                <w:color w:val="000000"/>
                <w:sz w:val="16"/>
                <w:szCs w:val="16"/>
              </w:rPr>
            </w:pPr>
            <w:r>
              <w:rPr>
                <w:rFonts w:ascii="Calibri" w:hAnsi="Calibri" w:cs="Calibri"/>
                <w:b/>
                <w:bCs/>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D41D583"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1A8E3D8"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739CCD4"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F73C87D"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17DF5DC5" w14:textId="77777777">
            <w:pPr>
              <w:jc w:val="center"/>
              <w:rPr>
                <w:rFonts w:ascii="Calibri" w:hAnsi="Calibri" w:cs="Calibri"/>
                <w:color w:val="000000"/>
                <w:sz w:val="16"/>
                <w:szCs w:val="16"/>
              </w:rPr>
            </w:pPr>
            <w:r>
              <w:rPr>
                <w:rFonts w:ascii="Calibri" w:hAnsi="Calibri" w:cs="Calibri"/>
                <w:color w:val="000000"/>
                <w:sz w:val="16"/>
                <w:szCs w:val="16"/>
              </w:rPr>
              <w:t> </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6F1D19DE" w14:textId="77777777">
            <w:pPr>
              <w:jc w:val="center"/>
              <w:rPr>
                <w:rFonts w:ascii="Calibri" w:hAnsi="Calibri" w:cs="Calibri"/>
                <w:color w:val="000000"/>
                <w:sz w:val="16"/>
                <w:szCs w:val="16"/>
              </w:rPr>
            </w:pPr>
            <w:r>
              <w:rPr>
                <w:rFonts w:ascii="Calibri" w:hAnsi="Calibri" w:cs="Calibri"/>
                <w:color w:val="000000"/>
                <w:sz w:val="16"/>
                <w:szCs w:val="16"/>
              </w:rPr>
              <w:t> </w:t>
            </w:r>
          </w:p>
        </w:tc>
      </w:tr>
      <w:tr w14:paraId="4028C1A9"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36C9CFBE" w14:textId="77777777">
            <w:pPr>
              <w:jc w:val="center"/>
              <w:rPr>
                <w:rFonts w:ascii="Calibri" w:hAnsi="Calibri" w:cs="Calibri"/>
                <w:b/>
                <w:bCs/>
                <w:color w:val="000000"/>
                <w:sz w:val="16"/>
                <w:szCs w:val="16"/>
              </w:rPr>
            </w:pPr>
            <w:r>
              <w:rPr>
                <w:rFonts w:ascii="Calibri" w:hAnsi="Calibri" w:cs="Calibri"/>
                <w:b/>
                <w:bCs/>
                <w:color w:val="000000"/>
                <w:sz w:val="16"/>
                <w:szCs w:val="16"/>
              </w:rPr>
              <w:t>23</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77337E4B" w14:textId="77777777">
            <w:pPr>
              <w:jc w:val="right"/>
              <w:rPr>
                <w:rFonts w:ascii="Calibri" w:hAnsi="Calibri" w:cs="Calibri"/>
                <w:b/>
                <w:bCs/>
                <w:color w:val="000000"/>
                <w:sz w:val="16"/>
                <w:szCs w:val="16"/>
              </w:rPr>
            </w:pPr>
            <w:r>
              <w:rPr>
                <w:rFonts w:ascii="Calibri" w:hAnsi="Calibri" w:cs="Calibri"/>
                <w:b/>
                <w:bCs/>
                <w:color w:val="000000"/>
                <w:sz w:val="16"/>
                <w:szCs w:val="16"/>
              </w:rPr>
              <w:t>29-Jul</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D80EE06" w14:textId="77777777">
            <w:pPr>
              <w:jc w:val="center"/>
              <w:rPr>
                <w:rFonts w:ascii="Calibri" w:hAnsi="Calibri" w:cs="Calibri"/>
                <w:b/>
                <w:bCs/>
                <w:color w:val="000000"/>
                <w:sz w:val="16"/>
                <w:szCs w:val="16"/>
              </w:rPr>
            </w:pPr>
            <w:r>
              <w:rPr>
                <w:rFonts w:ascii="Calibri" w:hAnsi="Calibri" w:cs="Calibri"/>
                <w:b/>
                <w:bCs/>
                <w:color w:val="000000"/>
                <w:sz w:val="16"/>
                <w:szCs w:val="16"/>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6380983" w14:textId="77777777">
            <w:pPr>
              <w:jc w:val="center"/>
              <w:rPr>
                <w:rFonts w:ascii="Calibri" w:hAnsi="Calibri" w:cs="Calibri"/>
                <w:b/>
                <w:bCs/>
                <w:color w:val="000000"/>
                <w:sz w:val="16"/>
                <w:szCs w:val="16"/>
              </w:rPr>
            </w:pPr>
            <w:r>
              <w:rPr>
                <w:rFonts w:ascii="Calibri" w:hAnsi="Calibri" w:cs="Calibri"/>
                <w:b/>
                <w:bCs/>
                <w:color w:val="000000"/>
                <w:sz w:val="16"/>
                <w:szCs w:val="16"/>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ED1BC4F" w14:textId="77777777">
            <w:pPr>
              <w:jc w:val="center"/>
              <w:rPr>
                <w:rFonts w:ascii="Calibri" w:hAnsi="Calibri" w:cs="Calibri"/>
                <w:b/>
                <w:bCs/>
                <w:color w:val="000000"/>
                <w:sz w:val="16"/>
                <w:szCs w:val="16"/>
              </w:rPr>
            </w:pPr>
            <w:r>
              <w:rPr>
                <w:rFonts w:ascii="Calibri" w:hAnsi="Calibri" w:cs="Calibri"/>
                <w:b/>
                <w:bCs/>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F31F4BE"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A871942"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BE0B299"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6306536"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9A782FD" w14:textId="77777777">
            <w:pPr>
              <w:jc w:val="center"/>
              <w:rPr>
                <w:rFonts w:ascii="Calibri" w:hAnsi="Calibri" w:cs="Calibri"/>
                <w:color w:val="000000"/>
                <w:sz w:val="16"/>
                <w:szCs w:val="16"/>
              </w:rPr>
            </w:pPr>
            <w:r>
              <w:rPr>
                <w:rFonts w:ascii="Calibri" w:hAnsi="Calibri" w:cs="Calibri"/>
                <w:color w:val="000000"/>
                <w:sz w:val="16"/>
                <w:szCs w:val="16"/>
              </w:rPr>
              <w:t>1</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7A58EA7D" w14:textId="77777777">
            <w:pPr>
              <w:jc w:val="center"/>
              <w:rPr>
                <w:rFonts w:ascii="Calibri" w:hAnsi="Calibri" w:cs="Calibri"/>
                <w:color w:val="000000"/>
                <w:sz w:val="16"/>
                <w:szCs w:val="16"/>
              </w:rPr>
            </w:pPr>
            <w:r>
              <w:rPr>
                <w:rFonts w:ascii="Calibri" w:hAnsi="Calibri" w:cs="Calibri"/>
                <w:color w:val="000000"/>
                <w:sz w:val="16"/>
                <w:szCs w:val="16"/>
              </w:rPr>
              <w:t> </w:t>
            </w:r>
          </w:p>
        </w:tc>
      </w:tr>
      <w:tr w14:paraId="44ABF312"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69A3ACC" w14:textId="77777777">
            <w:pPr>
              <w:jc w:val="center"/>
              <w:rPr>
                <w:rFonts w:ascii="Calibri" w:hAnsi="Calibri" w:cs="Calibri"/>
                <w:b/>
                <w:bCs/>
                <w:color w:val="000000"/>
                <w:sz w:val="16"/>
                <w:szCs w:val="16"/>
              </w:rPr>
            </w:pPr>
            <w:r>
              <w:rPr>
                <w:rFonts w:ascii="Calibri" w:hAnsi="Calibri" w:cs="Calibri"/>
                <w:b/>
                <w:bCs/>
                <w:color w:val="000000"/>
                <w:sz w:val="16"/>
                <w:szCs w:val="16"/>
              </w:rPr>
              <w:t>24</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5CE8C1D" w14:textId="77777777">
            <w:pPr>
              <w:jc w:val="right"/>
              <w:rPr>
                <w:rFonts w:ascii="Calibri" w:hAnsi="Calibri" w:cs="Calibri"/>
                <w:b/>
                <w:bCs/>
                <w:color w:val="000000"/>
                <w:sz w:val="16"/>
                <w:szCs w:val="16"/>
              </w:rPr>
            </w:pPr>
            <w:r>
              <w:rPr>
                <w:rFonts w:ascii="Calibri" w:hAnsi="Calibri" w:cs="Calibri"/>
                <w:b/>
                <w:bCs/>
                <w:color w:val="000000"/>
                <w:sz w:val="16"/>
                <w:szCs w:val="16"/>
              </w:rPr>
              <w:t>5-Aug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FE1EC82" w14:textId="77777777">
            <w:pPr>
              <w:jc w:val="center"/>
              <w:rPr>
                <w:rFonts w:ascii="Calibri" w:hAnsi="Calibri" w:cs="Calibri"/>
                <w:color w:val="000000"/>
                <w:sz w:val="16"/>
                <w:szCs w:val="16"/>
              </w:rPr>
            </w:pPr>
            <w:r>
              <w:rPr>
                <w:rFonts w:ascii="Calibri" w:hAnsi="Calibri" w:cs="Calibri"/>
                <w:color w:val="000000"/>
                <w:sz w:val="16"/>
                <w:szCs w:val="16"/>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93B0501"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83BBFAB"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734E7D3"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3AE6849"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4E3A22C"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BD129F5"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24369C8" w14:textId="77777777">
            <w:pPr>
              <w:jc w:val="center"/>
              <w:rPr>
                <w:rFonts w:ascii="Calibri" w:hAnsi="Calibri" w:cs="Calibri"/>
                <w:color w:val="000000"/>
                <w:sz w:val="16"/>
                <w:szCs w:val="16"/>
              </w:rPr>
            </w:pPr>
            <w:r>
              <w:rPr>
                <w:rFonts w:ascii="Calibri" w:hAnsi="Calibri" w:cs="Calibri"/>
                <w:color w:val="000000"/>
                <w:sz w:val="16"/>
                <w:szCs w:val="16"/>
              </w:rPr>
              <w:t>2</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3F3DE5F6" w14:textId="77777777">
            <w:pPr>
              <w:jc w:val="center"/>
              <w:rPr>
                <w:rFonts w:ascii="Calibri" w:hAnsi="Calibri" w:cs="Calibri"/>
                <w:color w:val="000000"/>
                <w:sz w:val="16"/>
                <w:szCs w:val="16"/>
              </w:rPr>
            </w:pPr>
            <w:r>
              <w:rPr>
                <w:rFonts w:ascii="Calibri" w:hAnsi="Calibri" w:cs="Calibri"/>
                <w:color w:val="000000"/>
                <w:sz w:val="16"/>
                <w:szCs w:val="16"/>
              </w:rPr>
              <w:t> </w:t>
            </w:r>
          </w:p>
        </w:tc>
      </w:tr>
      <w:tr w14:paraId="06AE5D7E"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1398D82D" w14:textId="77777777">
            <w:pPr>
              <w:jc w:val="center"/>
              <w:rPr>
                <w:rFonts w:ascii="Calibri" w:hAnsi="Calibri" w:cs="Calibri"/>
                <w:b/>
                <w:bCs/>
                <w:color w:val="000000"/>
                <w:sz w:val="16"/>
                <w:szCs w:val="16"/>
              </w:rPr>
            </w:pPr>
            <w:r>
              <w:rPr>
                <w:rFonts w:ascii="Calibri" w:hAnsi="Calibri" w:cs="Calibri"/>
                <w:b/>
                <w:bCs/>
                <w:color w:val="000000"/>
                <w:sz w:val="16"/>
                <w:szCs w:val="16"/>
              </w:rPr>
              <w:t>25</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69A9F9A2" w14:textId="77777777">
            <w:pPr>
              <w:jc w:val="right"/>
              <w:rPr>
                <w:rFonts w:ascii="Calibri" w:hAnsi="Calibri" w:cs="Calibri"/>
                <w:b/>
                <w:bCs/>
                <w:color w:val="000000"/>
                <w:sz w:val="16"/>
                <w:szCs w:val="16"/>
              </w:rPr>
            </w:pPr>
            <w:r>
              <w:rPr>
                <w:rFonts w:ascii="Calibri" w:hAnsi="Calibri" w:cs="Calibri"/>
                <w:b/>
                <w:bCs/>
                <w:color w:val="000000"/>
                <w:sz w:val="16"/>
                <w:szCs w:val="16"/>
              </w:rPr>
              <w:t>12-Aug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8DA9A0A" w14:textId="77777777">
            <w:pPr>
              <w:jc w:val="center"/>
              <w:rPr>
                <w:rFonts w:ascii="Calibri" w:hAnsi="Calibri" w:cs="Calibri"/>
                <w:color w:val="000000"/>
                <w:sz w:val="16"/>
                <w:szCs w:val="16"/>
              </w:rPr>
            </w:pPr>
            <w:r>
              <w:rPr>
                <w:rFonts w:ascii="Calibri" w:hAnsi="Calibri" w:cs="Calibri"/>
                <w:color w:val="000000"/>
                <w:sz w:val="16"/>
                <w:szCs w:val="16"/>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5543179" w14:textId="77777777">
            <w:pPr>
              <w:jc w:val="center"/>
              <w:rPr>
                <w:rFonts w:ascii="Calibri" w:hAnsi="Calibri" w:cs="Calibri"/>
                <w:color w:val="000000"/>
                <w:sz w:val="16"/>
                <w:szCs w:val="16"/>
              </w:rPr>
            </w:pPr>
            <w:r>
              <w:rPr>
                <w:rFonts w:ascii="Calibri" w:hAnsi="Calibri" w:cs="Calibri"/>
                <w:color w:val="000000"/>
                <w:sz w:val="16"/>
                <w:szCs w:val="16"/>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9FABF80"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3919BD2"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41386C1"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C256E2F"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300D345"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1B5E1DF" w14:textId="77777777">
            <w:pPr>
              <w:jc w:val="center"/>
              <w:rPr>
                <w:rFonts w:ascii="Calibri" w:hAnsi="Calibri" w:cs="Calibri"/>
                <w:color w:val="000000"/>
                <w:sz w:val="16"/>
                <w:szCs w:val="16"/>
              </w:rPr>
            </w:pPr>
            <w:r>
              <w:rPr>
                <w:rFonts w:ascii="Calibri" w:hAnsi="Calibri" w:cs="Calibri"/>
                <w:color w:val="000000"/>
                <w:sz w:val="16"/>
                <w:szCs w:val="16"/>
              </w:rPr>
              <w:t>3</w:t>
            </w:r>
          </w:p>
        </w:tc>
        <w:tc>
          <w:tcPr>
            <w:tcW w:w="379" w:type="dxa"/>
            <w:tcBorders>
              <w:top w:val="nil"/>
              <w:left w:val="nil"/>
              <w:bottom w:val="single" w:sz="4" w:space="0" w:color="auto"/>
              <w:right w:val="single" w:sz="4" w:space="0" w:color="auto"/>
            </w:tcBorders>
            <w:shd w:val="clear" w:color="000000" w:fill="D9D9D9"/>
            <w:noWrap/>
            <w:vAlign w:val="bottom"/>
            <w:hideMark/>
          </w:tcPr>
          <w:p w:rsidR="001B7E6E" w14:paraId="29A6FFC1" w14:textId="77777777">
            <w:pPr>
              <w:jc w:val="center"/>
              <w:rPr>
                <w:rFonts w:ascii="Calibri" w:hAnsi="Calibri" w:cs="Calibri"/>
                <w:color w:val="000000"/>
                <w:sz w:val="16"/>
                <w:szCs w:val="16"/>
              </w:rPr>
            </w:pPr>
            <w:r>
              <w:rPr>
                <w:rFonts w:ascii="Calibri" w:hAnsi="Calibri" w:cs="Calibri"/>
                <w:color w:val="000000"/>
                <w:sz w:val="16"/>
                <w:szCs w:val="16"/>
              </w:rPr>
              <w:t> </w:t>
            </w:r>
          </w:p>
        </w:tc>
      </w:tr>
      <w:tr w14:paraId="0B6F1E1A"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6A455E19" w14:textId="77777777">
            <w:pPr>
              <w:jc w:val="center"/>
              <w:rPr>
                <w:rFonts w:ascii="Calibri" w:hAnsi="Calibri" w:cs="Calibri"/>
                <w:b/>
                <w:bCs/>
                <w:color w:val="000000"/>
                <w:sz w:val="16"/>
                <w:szCs w:val="16"/>
              </w:rPr>
            </w:pPr>
            <w:r>
              <w:rPr>
                <w:rFonts w:ascii="Calibri" w:hAnsi="Calibri" w:cs="Calibri"/>
                <w:b/>
                <w:bCs/>
                <w:color w:val="000000"/>
                <w:sz w:val="16"/>
                <w:szCs w:val="16"/>
              </w:rPr>
              <w:t>26</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0237CF2F" w14:textId="77777777">
            <w:pPr>
              <w:jc w:val="right"/>
              <w:rPr>
                <w:rFonts w:ascii="Calibri" w:hAnsi="Calibri" w:cs="Calibri"/>
                <w:b/>
                <w:bCs/>
                <w:color w:val="000000"/>
                <w:sz w:val="16"/>
                <w:szCs w:val="16"/>
              </w:rPr>
            </w:pPr>
            <w:r>
              <w:rPr>
                <w:rFonts w:ascii="Calibri" w:hAnsi="Calibri" w:cs="Calibri"/>
                <w:b/>
                <w:bCs/>
                <w:color w:val="000000"/>
                <w:sz w:val="16"/>
                <w:szCs w:val="16"/>
              </w:rPr>
              <w:t>19-Aug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213F958" w14:textId="77777777">
            <w:pPr>
              <w:jc w:val="center"/>
              <w:rPr>
                <w:rFonts w:ascii="Calibri" w:hAnsi="Calibri" w:cs="Calibri"/>
                <w:color w:val="000000"/>
                <w:sz w:val="16"/>
                <w:szCs w:val="16"/>
              </w:rPr>
            </w:pPr>
            <w:r>
              <w:rPr>
                <w:rFonts w:ascii="Calibri" w:hAnsi="Calibri" w:cs="Calibri"/>
                <w:color w:val="000000"/>
                <w:sz w:val="16"/>
                <w:szCs w:val="16"/>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3517272" w14:textId="77777777">
            <w:pPr>
              <w:jc w:val="center"/>
              <w:rPr>
                <w:rFonts w:ascii="Calibri" w:hAnsi="Calibri" w:cs="Calibri"/>
                <w:color w:val="000000"/>
                <w:sz w:val="16"/>
                <w:szCs w:val="16"/>
              </w:rPr>
            </w:pPr>
            <w:r>
              <w:rPr>
                <w:rFonts w:ascii="Calibri" w:hAnsi="Calibri" w:cs="Calibri"/>
                <w:color w:val="000000"/>
                <w:sz w:val="16"/>
                <w:szCs w:val="16"/>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6A06937" w14:textId="77777777">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2F128BC" w14:textId="77777777">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8B4B89F"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81B7D36"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19F451B"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62AD109" w14:textId="77777777">
            <w:pPr>
              <w:jc w:val="center"/>
              <w:rPr>
                <w:rFonts w:ascii="Calibri" w:hAnsi="Calibri" w:cs="Calibri"/>
                <w:color w:val="000000"/>
                <w:sz w:val="16"/>
                <w:szCs w:val="16"/>
              </w:rPr>
            </w:pPr>
            <w:r>
              <w:rPr>
                <w:rFonts w:ascii="Calibri" w:hAnsi="Calibri" w:cs="Calibri"/>
                <w:color w:val="000000"/>
                <w:sz w:val="16"/>
                <w:szCs w:val="16"/>
              </w:rPr>
              <w:t>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3A210E6" w14:textId="77777777">
            <w:pPr>
              <w:jc w:val="center"/>
              <w:rPr>
                <w:rFonts w:ascii="Calibri" w:hAnsi="Calibri" w:cs="Calibri"/>
                <w:color w:val="000000"/>
                <w:sz w:val="16"/>
                <w:szCs w:val="16"/>
              </w:rPr>
            </w:pPr>
            <w:r>
              <w:rPr>
                <w:rFonts w:ascii="Calibri" w:hAnsi="Calibri" w:cs="Calibri"/>
                <w:color w:val="000000"/>
                <w:sz w:val="16"/>
                <w:szCs w:val="16"/>
              </w:rPr>
              <w:t>1</w:t>
            </w:r>
          </w:p>
        </w:tc>
      </w:tr>
      <w:tr w14:paraId="015757CD"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40E2770E" w14:textId="77777777">
            <w:pPr>
              <w:jc w:val="center"/>
              <w:rPr>
                <w:rFonts w:ascii="Calibri" w:hAnsi="Calibri" w:cs="Calibri"/>
                <w:b/>
                <w:bCs/>
                <w:color w:val="000000"/>
                <w:sz w:val="16"/>
                <w:szCs w:val="16"/>
              </w:rPr>
            </w:pPr>
            <w:r>
              <w:rPr>
                <w:rFonts w:ascii="Calibri" w:hAnsi="Calibri" w:cs="Calibri"/>
                <w:b/>
                <w:bCs/>
                <w:color w:val="000000"/>
                <w:sz w:val="16"/>
                <w:szCs w:val="16"/>
              </w:rPr>
              <w:t>27</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4AFE22FC" w14:textId="77777777">
            <w:pPr>
              <w:jc w:val="right"/>
              <w:rPr>
                <w:rFonts w:ascii="Calibri" w:hAnsi="Calibri" w:cs="Calibri"/>
                <w:b/>
                <w:bCs/>
                <w:color w:val="000000"/>
                <w:sz w:val="16"/>
                <w:szCs w:val="16"/>
              </w:rPr>
            </w:pPr>
            <w:r>
              <w:rPr>
                <w:rFonts w:ascii="Calibri" w:hAnsi="Calibri" w:cs="Calibri"/>
                <w:b/>
                <w:bCs/>
                <w:color w:val="000000"/>
                <w:sz w:val="16"/>
                <w:szCs w:val="16"/>
              </w:rPr>
              <w:t>26-Aug</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29101A7" w14:textId="77777777">
            <w:pPr>
              <w:jc w:val="center"/>
              <w:rPr>
                <w:rFonts w:ascii="Calibri" w:hAnsi="Calibri" w:cs="Calibri"/>
                <w:color w:val="000000"/>
                <w:sz w:val="16"/>
                <w:szCs w:val="16"/>
              </w:rPr>
            </w:pPr>
            <w:r>
              <w:rPr>
                <w:rFonts w:ascii="Calibri" w:hAnsi="Calibri" w:cs="Calibri"/>
                <w:color w:val="000000"/>
                <w:sz w:val="16"/>
                <w:szCs w:val="16"/>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FF930EB" w14:textId="77777777">
            <w:pPr>
              <w:jc w:val="center"/>
              <w:rPr>
                <w:rFonts w:ascii="Calibri" w:hAnsi="Calibri" w:cs="Calibri"/>
                <w:color w:val="000000"/>
                <w:sz w:val="16"/>
                <w:szCs w:val="16"/>
              </w:rPr>
            </w:pPr>
            <w:r>
              <w:rPr>
                <w:rFonts w:ascii="Calibri" w:hAnsi="Calibri" w:cs="Calibri"/>
                <w:color w:val="000000"/>
                <w:sz w:val="16"/>
                <w:szCs w:val="16"/>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5D68B9F"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2B75450"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E2A5D27"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A445DB7"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BCBDFF6"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75BE032" w14:textId="77777777">
            <w:pPr>
              <w:jc w:val="center"/>
              <w:rPr>
                <w:rFonts w:ascii="Calibri" w:hAnsi="Calibri" w:cs="Calibri"/>
                <w:color w:val="000000"/>
                <w:sz w:val="16"/>
                <w:szCs w:val="16"/>
              </w:rPr>
            </w:pPr>
            <w:r>
              <w:rPr>
                <w:rFonts w:ascii="Calibri" w:hAnsi="Calibri" w:cs="Calibri"/>
                <w:color w:val="000000"/>
                <w:sz w:val="16"/>
                <w:szCs w:val="16"/>
              </w:rPr>
              <w:t>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AB4B381" w14:textId="77777777">
            <w:pPr>
              <w:jc w:val="center"/>
              <w:rPr>
                <w:rFonts w:ascii="Calibri" w:hAnsi="Calibri" w:cs="Calibri"/>
                <w:color w:val="000000"/>
                <w:sz w:val="16"/>
                <w:szCs w:val="16"/>
              </w:rPr>
            </w:pPr>
            <w:r>
              <w:rPr>
                <w:rFonts w:ascii="Calibri" w:hAnsi="Calibri" w:cs="Calibri"/>
                <w:color w:val="000000"/>
                <w:sz w:val="16"/>
                <w:szCs w:val="16"/>
              </w:rPr>
              <w:t>2</w:t>
            </w:r>
          </w:p>
        </w:tc>
      </w:tr>
      <w:tr w14:paraId="0DCCBFFA"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0ECFF15F" w14:textId="77777777">
            <w:pPr>
              <w:jc w:val="center"/>
              <w:rPr>
                <w:rFonts w:ascii="Calibri" w:hAnsi="Calibri" w:cs="Calibri"/>
                <w:b/>
                <w:bCs/>
                <w:color w:val="000000"/>
                <w:sz w:val="16"/>
                <w:szCs w:val="16"/>
              </w:rPr>
            </w:pPr>
            <w:r>
              <w:rPr>
                <w:rFonts w:ascii="Calibri" w:hAnsi="Calibri" w:cs="Calibri"/>
                <w:b/>
                <w:bCs/>
                <w:color w:val="000000"/>
                <w:sz w:val="16"/>
                <w:szCs w:val="16"/>
              </w:rPr>
              <w:t>28</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A6B8F32" w14:textId="77777777">
            <w:pPr>
              <w:jc w:val="right"/>
              <w:rPr>
                <w:rFonts w:ascii="Calibri" w:hAnsi="Calibri" w:cs="Calibri"/>
                <w:b/>
                <w:bCs/>
                <w:color w:val="000000"/>
                <w:sz w:val="16"/>
                <w:szCs w:val="16"/>
              </w:rPr>
            </w:pPr>
            <w:r>
              <w:rPr>
                <w:rFonts w:ascii="Calibri" w:hAnsi="Calibri" w:cs="Calibri"/>
                <w:b/>
                <w:bCs/>
                <w:color w:val="000000"/>
                <w:sz w:val="16"/>
                <w:szCs w:val="16"/>
              </w:rPr>
              <w:t>2-Sep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B6153A8" w14:textId="77777777">
            <w:pPr>
              <w:jc w:val="center"/>
              <w:rPr>
                <w:rFonts w:ascii="Calibri" w:hAnsi="Calibri" w:cs="Calibri"/>
                <w:color w:val="000000"/>
                <w:sz w:val="16"/>
                <w:szCs w:val="16"/>
              </w:rPr>
            </w:pPr>
            <w:r>
              <w:rPr>
                <w:rFonts w:ascii="Calibri" w:hAnsi="Calibri" w:cs="Calibri"/>
                <w:color w:val="000000"/>
                <w:sz w:val="16"/>
                <w:szCs w:val="16"/>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FD33824" w14:textId="77777777">
            <w:pPr>
              <w:jc w:val="center"/>
              <w:rPr>
                <w:rFonts w:ascii="Calibri" w:hAnsi="Calibri" w:cs="Calibri"/>
                <w:color w:val="000000"/>
                <w:sz w:val="16"/>
                <w:szCs w:val="16"/>
              </w:rPr>
            </w:pPr>
            <w:r>
              <w:rPr>
                <w:rFonts w:ascii="Calibri" w:hAnsi="Calibri" w:cs="Calibri"/>
                <w:color w:val="000000"/>
                <w:sz w:val="16"/>
                <w:szCs w:val="16"/>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51D63F8" w14:textId="77777777">
            <w:pPr>
              <w:jc w:val="center"/>
              <w:rPr>
                <w:rFonts w:ascii="Calibri" w:hAnsi="Calibri" w:cs="Calibri"/>
                <w:color w:val="000000"/>
                <w:sz w:val="16"/>
                <w:szCs w:val="16"/>
              </w:rPr>
            </w:pPr>
            <w:r>
              <w:rPr>
                <w:rFonts w:ascii="Calibri" w:hAnsi="Calibri" w:cs="Calibri"/>
                <w:color w:val="000000"/>
                <w:sz w:val="16"/>
                <w:szCs w:val="16"/>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390DEFC"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7C744BD"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2A4BC50"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4D8FEA3"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3AD882F" w14:textId="77777777">
            <w:pPr>
              <w:jc w:val="center"/>
              <w:rPr>
                <w:rFonts w:ascii="Calibri" w:hAnsi="Calibri" w:cs="Calibri"/>
                <w:color w:val="000000"/>
                <w:sz w:val="16"/>
                <w:szCs w:val="16"/>
              </w:rPr>
            </w:pPr>
            <w:r>
              <w:rPr>
                <w:rFonts w:ascii="Calibri" w:hAnsi="Calibri" w:cs="Calibri"/>
                <w:color w:val="000000"/>
                <w:sz w:val="16"/>
                <w:szCs w:val="16"/>
              </w:rPr>
              <w:t>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34E4C2B" w14:textId="77777777">
            <w:pPr>
              <w:jc w:val="center"/>
              <w:rPr>
                <w:rFonts w:ascii="Calibri" w:hAnsi="Calibri" w:cs="Calibri"/>
                <w:color w:val="000000"/>
                <w:sz w:val="16"/>
                <w:szCs w:val="16"/>
              </w:rPr>
            </w:pPr>
            <w:r>
              <w:rPr>
                <w:rFonts w:ascii="Calibri" w:hAnsi="Calibri" w:cs="Calibri"/>
                <w:color w:val="000000"/>
                <w:sz w:val="16"/>
                <w:szCs w:val="16"/>
              </w:rPr>
              <w:t>3</w:t>
            </w:r>
          </w:p>
        </w:tc>
      </w:tr>
      <w:tr w14:paraId="0E69E16D"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02ED8FB3" w14:textId="77777777">
            <w:pPr>
              <w:jc w:val="center"/>
              <w:rPr>
                <w:rFonts w:ascii="Calibri" w:hAnsi="Calibri" w:cs="Calibri"/>
                <w:b/>
                <w:bCs/>
                <w:color w:val="000000"/>
                <w:sz w:val="16"/>
                <w:szCs w:val="16"/>
              </w:rPr>
            </w:pPr>
            <w:r>
              <w:rPr>
                <w:rFonts w:ascii="Calibri" w:hAnsi="Calibri" w:cs="Calibri"/>
                <w:b/>
                <w:bCs/>
                <w:color w:val="000000"/>
                <w:sz w:val="16"/>
                <w:szCs w:val="16"/>
              </w:rPr>
              <w:t>29</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6EAE6A24" w14:textId="77777777">
            <w:pPr>
              <w:jc w:val="right"/>
              <w:rPr>
                <w:rFonts w:ascii="Calibri" w:hAnsi="Calibri" w:cs="Calibri"/>
                <w:b/>
                <w:bCs/>
                <w:color w:val="000000"/>
                <w:sz w:val="16"/>
                <w:szCs w:val="16"/>
              </w:rPr>
            </w:pPr>
            <w:r>
              <w:rPr>
                <w:rFonts w:ascii="Calibri" w:hAnsi="Calibri" w:cs="Calibri"/>
                <w:b/>
                <w:bCs/>
                <w:color w:val="000000"/>
                <w:sz w:val="16"/>
                <w:szCs w:val="16"/>
              </w:rPr>
              <w:t>9-Sep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42AD60D" w14:textId="77777777">
            <w:pPr>
              <w:jc w:val="center"/>
              <w:rPr>
                <w:rFonts w:ascii="Calibri" w:hAnsi="Calibri" w:cs="Calibri"/>
                <w:color w:val="000000"/>
                <w:sz w:val="16"/>
                <w:szCs w:val="16"/>
              </w:rPr>
            </w:pPr>
            <w:r>
              <w:rPr>
                <w:rFonts w:ascii="Calibri" w:hAnsi="Calibri" w:cs="Calibri"/>
                <w:color w:val="000000"/>
                <w:sz w:val="16"/>
                <w:szCs w:val="16"/>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A627B93" w14:textId="77777777">
            <w:pPr>
              <w:jc w:val="center"/>
              <w:rPr>
                <w:rFonts w:ascii="Calibri" w:hAnsi="Calibri" w:cs="Calibri"/>
                <w:color w:val="000000"/>
                <w:sz w:val="16"/>
                <w:szCs w:val="16"/>
              </w:rPr>
            </w:pPr>
            <w:r>
              <w:rPr>
                <w:rFonts w:ascii="Calibri" w:hAnsi="Calibri" w:cs="Calibri"/>
                <w:color w:val="000000"/>
                <w:sz w:val="16"/>
                <w:szCs w:val="16"/>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F2BA1D9" w14:textId="77777777">
            <w:pPr>
              <w:jc w:val="center"/>
              <w:rPr>
                <w:rFonts w:ascii="Calibri" w:hAnsi="Calibri" w:cs="Calibri"/>
                <w:color w:val="000000"/>
                <w:sz w:val="16"/>
                <w:szCs w:val="16"/>
              </w:rPr>
            </w:pPr>
            <w:r>
              <w:rPr>
                <w:rFonts w:ascii="Calibri" w:hAnsi="Calibri" w:cs="Calibri"/>
                <w:color w:val="000000"/>
                <w:sz w:val="16"/>
                <w:szCs w:val="16"/>
              </w:rPr>
              <w:t>22</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7ECEDCE" w14:textId="77777777">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76BC7DC" w14:textId="77777777">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CDF1C77"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653B707"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4A1716B" w14:textId="77777777">
            <w:pPr>
              <w:jc w:val="center"/>
              <w:rPr>
                <w:rFonts w:ascii="Calibri" w:hAnsi="Calibri" w:cs="Calibri"/>
                <w:color w:val="000000"/>
                <w:sz w:val="16"/>
                <w:szCs w:val="16"/>
              </w:rPr>
            </w:pPr>
            <w:r>
              <w:rPr>
                <w:rFonts w:ascii="Calibri" w:hAnsi="Calibri" w:cs="Calibri"/>
                <w:color w:val="000000"/>
                <w:sz w:val="16"/>
                <w:szCs w:val="16"/>
              </w:rPr>
              <w:t>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088E299" w14:textId="77777777">
            <w:pPr>
              <w:jc w:val="center"/>
              <w:rPr>
                <w:rFonts w:ascii="Calibri" w:hAnsi="Calibri" w:cs="Calibri"/>
                <w:color w:val="000000"/>
                <w:sz w:val="16"/>
                <w:szCs w:val="16"/>
              </w:rPr>
            </w:pPr>
            <w:r>
              <w:rPr>
                <w:rFonts w:ascii="Calibri" w:hAnsi="Calibri" w:cs="Calibri"/>
                <w:color w:val="000000"/>
                <w:sz w:val="16"/>
                <w:szCs w:val="16"/>
              </w:rPr>
              <w:t>4</w:t>
            </w:r>
          </w:p>
        </w:tc>
      </w:tr>
      <w:tr w14:paraId="2A6809C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0EF9BDE9" w14:textId="77777777">
            <w:pPr>
              <w:jc w:val="center"/>
              <w:rPr>
                <w:rFonts w:ascii="Calibri" w:hAnsi="Calibri" w:cs="Calibri"/>
                <w:b/>
                <w:bCs/>
                <w:color w:val="000000"/>
                <w:sz w:val="16"/>
                <w:szCs w:val="16"/>
              </w:rPr>
            </w:pPr>
            <w:r>
              <w:rPr>
                <w:rFonts w:ascii="Calibri" w:hAnsi="Calibri" w:cs="Calibri"/>
                <w:b/>
                <w:bCs/>
                <w:color w:val="000000"/>
                <w:sz w:val="16"/>
                <w:szCs w:val="16"/>
              </w:rPr>
              <w:t>30</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DF746AC" w14:textId="77777777">
            <w:pPr>
              <w:jc w:val="right"/>
              <w:rPr>
                <w:rFonts w:ascii="Calibri" w:hAnsi="Calibri" w:cs="Calibri"/>
                <w:b/>
                <w:bCs/>
                <w:color w:val="000000"/>
                <w:sz w:val="16"/>
                <w:szCs w:val="16"/>
              </w:rPr>
            </w:pPr>
            <w:r>
              <w:rPr>
                <w:rFonts w:ascii="Calibri" w:hAnsi="Calibri" w:cs="Calibri"/>
                <w:b/>
                <w:bCs/>
                <w:color w:val="000000"/>
                <w:sz w:val="16"/>
                <w:szCs w:val="16"/>
              </w:rPr>
              <w:t>16-Sep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25F02B6" w14:textId="77777777">
            <w:pPr>
              <w:jc w:val="center"/>
              <w:rPr>
                <w:rFonts w:ascii="Calibri" w:hAnsi="Calibri" w:cs="Calibri"/>
                <w:color w:val="000000"/>
                <w:sz w:val="16"/>
                <w:szCs w:val="16"/>
              </w:rPr>
            </w:pPr>
            <w:r>
              <w:rPr>
                <w:rFonts w:ascii="Calibri" w:hAnsi="Calibri" w:cs="Calibri"/>
                <w:color w:val="000000"/>
                <w:sz w:val="16"/>
                <w:szCs w:val="16"/>
              </w:rPr>
              <w:t>30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1F7CBE0" w14:textId="77777777">
            <w:pPr>
              <w:jc w:val="center"/>
              <w:rPr>
                <w:rFonts w:ascii="Calibri" w:hAnsi="Calibri" w:cs="Calibri"/>
                <w:color w:val="000000"/>
                <w:sz w:val="16"/>
                <w:szCs w:val="16"/>
              </w:rPr>
            </w:pPr>
            <w:r>
              <w:rPr>
                <w:rFonts w:ascii="Calibri" w:hAnsi="Calibri" w:cs="Calibri"/>
                <w:color w:val="000000"/>
                <w:sz w:val="16"/>
                <w:szCs w:val="16"/>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A54F5FE" w14:textId="77777777">
            <w:pPr>
              <w:jc w:val="center"/>
              <w:rPr>
                <w:rFonts w:ascii="Calibri" w:hAnsi="Calibri" w:cs="Calibri"/>
                <w:color w:val="000000"/>
                <w:sz w:val="16"/>
                <w:szCs w:val="16"/>
              </w:rPr>
            </w:pPr>
            <w:r>
              <w:rPr>
                <w:rFonts w:ascii="Calibri" w:hAnsi="Calibri" w:cs="Calibri"/>
                <w:color w:val="000000"/>
                <w:sz w:val="16"/>
                <w:szCs w:val="16"/>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86DCBCB"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37301645"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4AD321A5"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0BE82D9"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7AE7262" w14:textId="77777777">
            <w:pPr>
              <w:jc w:val="center"/>
              <w:rPr>
                <w:rFonts w:ascii="Calibri" w:hAnsi="Calibri" w:cs="Calibri"/>
                <w:color w:val="000000"/>
                <w:sz w:val="16"/>
                <w:szCs w:val="16"/>
              </w:rPr>
            </w:pPr>
            <w:r>
              <w:rPr>
                <w:rFonts w:ascii="Calibri" w:hAnsi="Calibri" w:cs="Calibri"/>
                <w:color w:val="000000"/>
                <w:sz w:val="16"/>
                <w:szCs w:val="16"/>
              </w:rPr>
              <w:t>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A66F23F" w14:textId="77777777">
            <w:pPr>
              <w:jc w:val="center"/>
              <w:rPr>
                <w:rFonts w:ascii="Calibri" w:hAnsi="Calibri" w:cs="Calibri"/>
                <w:color w:val="000000"/>
                <w:sz w:val="16"/>
                <w:szCs w:val="16"/>
              </w:rPr>
            </w:pPr>
            <w:r>
              <w:rPr>
                <w:rFonts w:ascii="Calibri" w:hAnsi="Calibri" w:cs="Calibri"/>
                <w:color w:val="000000"/>
                <w:sz w:val="16"/>
                <w:szCs w:val="16"/>
              </w:rPr>
              <w:t>5</w:t>
            </w:r>
          </w:p>
        </w:tc>
      </w:tr>
      <w:tr w14:paraId="6AA37770"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44C7F58" w14:textId="77777777">
            <w:pPr>
              <w:jc w:val="center"/>
              <w:rPr>
                <w:rFonts w:ascii="Calibri" w:hAnsi="Calibri" w:cs="Calibri"/>
                <w:b/>
                <w:bCs/>
                <w:color w:val="000000"/>
                <w:sz w:val="16"/>
                <w:szCs w:val="16"/>
              </w:rPr>
            </w:pPr>
            <w:r>
              <w:rPr>
                <w:rFonts w:ascii="Calibri" w:hAnsi="Calibri" w:cs="Calibri"/>
                <w:b/>
                <w:bCs/>
                <w:color w:val="000000"/>
                <w:sz w:val="16"/>
                <w:szCs w:val="16"/>
              </w:rPr>
              <w:t>31</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35BE4190" w14:textId="77777777">
            <w:pPr>
              <w:jc w:val="right"/>
              <w:rPr>
                <w:rFonts w:ascii="Calibri" w:hAnsi="Calibri" w:cs="Calibri"/>
                <w:b/>
                <w:bCs/>
                <w:color w:val="000000"/>
                <w:sz w:val="16"/>
                <w:szCs w:val="16"/>
              </w:rPr>
            </w:pPr>
            <w:r>
              <w:rPr>
                <w:rFonts w:ascii="Calibri" w:hAnsi="Calibri" w:cs="Calibri"/>
                <w:b/>
                <w:bCs/>
                <w:color w:val="000000"/>
                <w:sz w:val="16"/>
                <w:szCs w:val="16"/>
              </w:rPr>
              <w:t>23-Sep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EE60F0C" w14:textId="77777777">
            <w:pPr>
              <w:jc w:val="center"/>
              <w:rPr>
                <w:rFonts w:ascii="Calibri" w:hAnsi="Calibri" w:cs="Calibri"/>
                <w:color w:val="000000"/>
                <w:sz w:val="16"/>
                <w:szCs w:val="16"/>
              </w:rPr>
            </w:pPr>
            <w:r>
              <w:rPr>
                <w:rFonts w:ascii="Calibri" w:hAnsi="Calibri" w:cs="Calibri"/>
                <w:color w:val="000000"/>
                <w:sz w:val="16"/>
                <w:szCs w:val="16"/>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ADC221E" w14:textId="77777777">
            <w:pPr>
              <w:jc w:val="center"/>
              <w:rPr>
                <w:rFonts w:ascii="Calibri" w:hAnsi="Calibri" w:cs="Calibri"/>
                <w:color w:val="000000"/>
                <w:sz w:val="16"/>
                <w:szCs w:val="16"/>
              </w:rPr>
            </w:pPr>
            <w:r>
              <w:rPr>
                <w:rFonts w:ascii="Calibri" w:hAnsi="Calibri" w:cs="Calibri"/>
                <w:color w:val="000000"/>
                <w:sz w:val="16"/>
                <w:szCs w:val="16"/>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A159BD0" w14:textId="77777777">
            <w:pPr>
              <w:jc w:val="center"/>
              <w:rPr>
                <w:rFonts w:ascii="Calibri" w:hAnsi="Calibri" w:cs="Calibri"/>
                <w:color w:val="000000"/>
                <w:sz w:val="16"/>
                <w:szCs w:val="16"/>
              </w:rPr>
            </w:pPr>
            <w:r>
              <w:rPr>
                <w:rFonts w:ascii="Calibri" w:hAnsi="Calibri" w:cs="Calibri"/>
                <w:color w:val="000000"/>
                <w:sz w:val="16"/>
                <w:szCs w:val="16"/>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A0735E9" w14:textId="77777777">
            <w:pPr>
              <w:jc w:val="center"/>
              <w:rPr>
                <w:rFonts w:ascii="Calibri" w:hAnsi="Calibri" w:cs="Calibri"/>
                <w:color w:val="000000"/>
                <w:sz w:val="16"/>
                <w:szCs w:val="16"/>
              </w:rPr>
            </w:pPr>
            <w:r>
              <w:rPr>
                <w:rFonts w:ascii="Calibri" w:hAnsi="Calibri" w:cs="Calibri"/>
                <w:color w:val="000000"/>
                <w:sz w:val="16"/>
                <w:szCs w:val="16"/>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1ABD9BA"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8CC833E"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8D3D716"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1EF409C" w14:textId="77777777">
            <w:pPr>
              <w:jc w:val="center"/>
              <w:rPr>
                <w:rFonts w:ascii="Calibri" w:hAnsi="Calibri" w:cs="Calibri"/>
                <w:color w:val="000000"/>
                <w:sz w:val="16"/>
                <w:szCs w:val="16"/>
              </w:rPr>
            </w:pPr>
            <w:r>
              <w:rPr>
                <w:rFonts w:ascii="Calibri" w:hAnsi="Calibri" w:cs="Calibri"/>
                <w:color w:val="000000"/>
                <w:sz w:val="16"/>
                <w:szCs w:val="16"/>
              </w:rPr>
              <w:t>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28E5D70" w14:textId="77777777">
            <w:pPr>
              <w:jc w:val="center"/>
              <w:rPr>
                <w:rFonts w:ascii="Calibri" w:hAnsi="Calibri" w:cs="Calibri"/>
                <w:color w:val="000000"/>
                <w:sz w:val="16"/>
                <w:szCs w:val="16"/>
              </w:rPr>
            </w:pPr>
            <w:r>
              <w:rPr>
                <w:rFonts w:ascii="Calibri" w:hAnsi="Calibri" w:cs="Calibri"/>
                <w:color w:val="000000"/>
                <w:sz w:val="16"/>
                <w:szCs w:val="16"/>
              </w:rPr>
              <w:t>6</w:t>
            </w:r>
          </w:p>
        </w:tc>
      </w:tr>
      <w:tr w14:paraId="70FE8F71"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1C29F728" w14:textId="77777777">
            <w:pPr>
              <w:jc w:val="center"/>
              <w:rPr>
                <w:rFonts w:ascii="Calibri" w:hAnsi="Calibri" w:cs="Calibri"/>
                <w:b/>
                <w:bCs/>
                <w:color w:val="000000"/>
                <w:sz w:val="16"/>
                <w:szCs w:val="16"/>
              </w:rPr>
            </w:pPr>
            <w:r>
              <w:rPr>
                <w:rFonts w:ascii="Calibri" w:hAnsi="Calibri" w:cs="Calibri"/>
                <w:b/>
                <w:bCs/>
                <w:color w:val="000000"/>
                <w:sz w:val="16"/>
                <w:szCs w:val="16"/>
              </w:rPr>
              <w:t>32</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10FB697D" w14:textId="77777777">
            <w:pPr>
              <w:jc w:val="right"/>
              <w:rPr>
                <w:rFonts w:ascii="Calibri" w:hAnsi="Calibri" w:cs="Calibri"/>
                <w:b/>
                <w:bCs/>
                <w:color w:val="000000"/>
                <w:sz w:val="16"/>
                <w:szCs w:val="16"/>
              </w:rPr>
            </w:pPr>
            <w:r>
              <w:rPr>
                <w:rFonts w:ascii="Calibri" w:hAnsi="Calibri" w:cs="Calibri"/>
                <w:b/>
                <w:bCs/>
                <w:color w:val="000000"/>
                <w:sz w:val="16"/>
                <w:szCs w:val="16"/>
              </w:rPr>
              <w:t>30-Sep</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80A9D7B" w14:textId="77777777">
            <w:pPr>
              <w:jc w:val="center"/>
              <w:rPr>
                <w:rFonts w:ascii="Calibri" w:hAnsi="Calibri" w:cs="Calibri"/>
                <w:color w:val="000000"/>
                <w:sz w:val="16"/>
                <w:szCs w:val="16"/>
              </w:rPr>
            </w:pPr>
            <w:r>
              <w:rPr>
                <w:rFonts w:ascii="Calibri" w:hAnsi="Calibri" w:cs="Calibri"/>
                <w:color w:val="000000"/>
                <w:sz w:val="16"/>
                <w:szCs w:val="16"/>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A482C95" w14:textId="77777777">
            <w:pPr>
              <w:jc w:val="center"/>
              <w:rPr>
                <w:rFonts w:ascii="Calibri" w:hAnsi="Calibri" w:cs="Calibri"/>
                <w:color w:val="000000"/>
                <w:sz w:val="16"/>
                <w:szCs w:val="16"/>
              </w:rPr>
            </w:pPr>
            <w:r>
              <w:rPr>
                <w:rFonts w:ascii="Calibri" w:hAnsi="Calibri" w:cs="Calibri"/>
                <w:color w:val="000000"/>
                <w:sz w:val="16"/>
                <w:szCs w:val="16"/>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DE3331B" w14:textId="77777777">
            <w:pPr>
              <w:jc w:val="center"/>
              <w:rPr>
                <w:rFonts w:ascii="Calibri" w:hAnsi="Calibri" w:cs="Calibri"/>
                <w:color w:val="000000"/>
                <w:sz w:val="16"/>
                <w:szCs w:val="16"/>
              </w:rPr>
            </w:pPr>
            <w:r>
              <w:rPr>
                <w:rFonts w:ascii="Calibri" w:hAnsi="Calibri" w:cs="Calibri"/>
                <w:color w:val="000000"/>
                <w:sz w:val="16"/>
                <w:szCs w:val="16"/>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02C90FD" w14:textId="77777777">
            <w:pPr>
              <w:jc w:val="center"/>
              <w:rPr>
                <w:rFonts w:ascii="Calibri" w:hAnsi="Calibri" w:cs="Calibri"/>
                <w:color w:val="000000"/>
                <w:sz w:val="16"/>
                <w:szCs w:val="16"/>
              </w:rPr>
            </w:pPr>
            <w:r>
              <w:rPr>
                <w:rFonts w:ascii="Calibri" w:hAnsi="Calibri" w:cs="Calibri"/>
                <w:color w:val="000000"/>
                <w:sz w:val="16"/>
                <w:szCs w:val="16"/>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8C30F42" w14:textId="77777777">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E2D062F" w14:textId="77777777">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052FD2F"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AC7D22F" w14:textId="77777777">
            <w:pPr>
              <w:jc w:val="center"/>
              <w:rPr>
                <w:rFonts w:ascii="Calibri" w:hAnsi="Calibri" w:cs="Calibri"/>
                <w:color w:val="000000"/>
                <w:sz w:val="16"/>
                <w:szCs w:val="16"/>
              </w:rPr>
            </w:pPr>
            <w:r>
              <w:rPr>
                <w:rFonts w:ascii="Calibri" w:hAnsi="Calibri" w:cs="Calibri"/>
                <w:color w:val="000000"/>
                <w:sz w:val="16"/>
                <w:szCs w:val="16"/>
              </w:rPr>
              <w:t>10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ED73450" w14:textId="77777777">
            <w:pPr>
              <w:jc w:val="center"/>
              <w:rPr>
                <w:rFonts w:ascii="Calibri" w:hAnsi="Calibri" w:cs="Calibri"/>
                <w:color w:val="000000"/>
                <w:sz w:val="16"/>
                <w:szCs w:val="16"/>
              </w:rPr>
            </w:pPr>
            <w:r>
              <w:rPr>
                <w:rFonts w:ascii="Calibri" w:hAnsi="Calibri" w:cs="Calibri"/>
                <w:color w:val="000000"/>
                <w:sz w:val="16"/>
                <w:szCs w:val="16"/>
              </w:rPr>
              <w:t>7</w:t>
            </w:r>
          </w:p>
        </w:tc>
      </w:tr>
      <w:tr w14:paraId="1B307F48"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70D1CC99" w14:textId="77777777">
            <w:pPr>
              <w:jc w:val="center"/>
              <w:rPr>
                <w:rFonts w:ascii="Calibri" w:hAnsi="Calibri" w:cs="Calibri"/>
                <w:b/>
                <w:bCs/>
                <w:color w:val="000000"/>
                <w:sz w:val="16"/>
                <w:szCs w:val="16"/>
              </w:rPr>
            </w:pPr>
            <w:r>
              <w:rPr>
                <w:rFonts w:ascii="Calibri" w:hAnsi="Calibri" w:cs="Calibri"/>
                <w:b/>
                <w:bCs/>
                <w:color w:val="000000"/>
                <w:sz w:val="16"/>
                <w:szCs w:val="16"/>
              </w:rPr>
              <w:t>33</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3BA2EED0" w14:textId="77777777">
            <w:pPr>
              <w:jc w:val="right"/>
              <w:rPr>
                <w:rFonts w:ascii="Calibri" w:hAnsi="Calibri" w:cs="Calibri"/>
                <w:b/>
                <w:bCs/>
                <w:color w:val="000000"/>
                <w:sz w:val="16"/>
                <w:szCs w:val="16"/>
              </w:rPr>
            </w:pPr>
            <w:r>
              <w:rPr>
                <w:rFonts w:ascii="Calibri" w:hAnsi="Calibri" w:cs="Calibri"/>
                <w:b/>
                <w:bCs/>
                <w:color w:val="000000"/>
                <w:sz w:val="16"/>
                <w:szCs w:val="16"/>
              </w:rPr>
              <w:t>7-Oct</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4B06452" w14:textId="77777777">
            <w:pPr>
              <w:jc w:val="center"/>
              <w:rPr>
                <w:rFonts w:ascii="Calibri" w:hAnsi="Calibri" w:cs="Calibri"/>
                <w:color w:val="000000"/>
                <w:sz w:val="16"/>
                <w:szCs w:val="16"/>
              </w:rPr>
            </w:pPr>
            <w:r>
              <w:rPr>
                <w:rFonts w:ascii="Calibri" w:hAnsi="Calibri" w:cs="Calibri"/>
                <w:color w:val="000000"/>
                <w:sz w:val="16"/>
                <w:szCs w:val="16"/>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E0597EC" w14:textId="77777777">
            <w:pPr>
              <w:jc w:val="center"/>
              <w:rPr>
                <w:rFonts w:ascii="Calibri" w:hAnsi="Calibri" w:cs="Calibri"/>
                <w:color w:val="000000"/>
                <w:sz w:val="16"/>
                <w:szCs w:val="16"/>
              </w:rPr>
            </w:pPr>
            <w:r>
              <w:rPr>
                <w:rFonts w:ascii="Calibri" w:hAnsi="Calibri" w:cs="Calibri"/>
                <w:color w:val="000000"/>
                <w:sz w:val="16"/>
                <w:szCs w:val="16"/>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7A21593" w14:textId="77777777">
            <w:pPr>
              <w:jc w:val="center"/>
              <w:rPr>
                <w:rFonts w:ascii="Calibri" w:hAnsi="Calibri" w:cs="Calibri"/>
                <w:color w:val="000000"/>
                <w:sz w:val="16"/>
                <w:szCs w:val="16"/>
              </w:rPr>
            </w:pPr>
            <w:r>
              <w:rPr>
                <w:rFonts w:ascii="Calibri" w:hAnsi="Calibri" w:cs="Calibri"/>
                <w:color w:val="000000"/>
                <w:sz w:val="16"/>
                <w:szCs w:val="16"/>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0225DE8" w14:textId="77777777">
            <w:pPr>
              <w:jc w:val="center"/>
              <w:rPr>
                <w:rFonts w:ascii="Calibri" w:hAnsi="Calibri" w:cs="Calibri"/>
                <w:color w:val="000000"/>
                <w:sz w:val="16"/>
                <w:szCs w:val="16"/>
              </w:rPr>
            </w:pPr>
            <w:r>
              <w:rPr>
                <w:rFonts w:ascii="Calibri" w:hAnsi="Calibri" w:cs="Calibri"/>
                <w:color w:val="000000"/>
                <w:sz w:val="16"/>
                <w:szCs w:val="16"/>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17934EC"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1EFF894"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E204479"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56EF8F6D" w14:textId="77777777">
            <w:pPr>
              <w:jc w:val="center"/>
              <w:rPr>
                <w:rFonts w:ascii="Calibri" w:hAnsi="Calibri" w:cs="Calibri"/>
                <w:color w:val="000000"/>
                <w:sz w:val="16"/>
                <w:szCs w:val="16"/>
              </w:rPr>
            </w:pPr>
            <w:r>
              <w:rPr>
                <w:rFonts w:ascii="Calibri" w:hAnsi="Calibri" w:cs="Calibri"/>
                <w:color w:val="000000"/>
                <w:sz w:val="16"/>
                <w:szCs w:val="16"/>
              </w:rPr>
              <w:t>11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F5E2EA6" w14:textId="77777777">
            <w:pPr>
              <w:jc w:val="center"/>
              <w:rPr>
                <w:rFonts w:ascii="Calibri" w:hAnsi="Calibri" w:cs="Calibri"/>
                <w:color w:val="000000"/>
                <w:sz w:val="16"/>
                <w:szCs w:val="16"/>
              </w:rPr>
            </w:pPr>
            <w:r>
              <w:rPr>
                <w:rFonts w:ascii="Calibri" w:hAnsi="Calibri" w:cs="Calibri"/>
                <w:color w:val="000000"/>
                <w:sz w:val="16"/>
                <w:szCs w:val="16"/>
              </w:rPr>
              <w:t>8</w:t>
            </w:r>
          </w:p>
        </w:tc>
      </w:tr>
      <w:tr w14:paraId="50DEB06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2E8FB2FE" w14:textId="77777777">
            <w:pPr>
              <w:jc w:val="center"/>
              <w:rPr>
                <w:rFonts w:ascii="Calibri" w:hAnsi="Calibri" w:cs="Calibri"/>
                <w:b/>
                <w:bCs/>
                <w:color w:val="000000"/>
                <w:sz w:val="16"/>
                <w:szCs w:val="16"/>
              </w:rPr>
            </w:pPr>
            <w:r>
              <w:rPr>
                <w:rFonts w:ascii="Calibri" w:hAnsi="Calibri" w:cs="Calibri"/>
                <w:b/>
                <w:bCs/>
                <w:color w:val="000000"/>
                <w:sz w:val="16"/>
                <w:szCs w:val="16"/>
              </w:rPr>
              <w:t>34</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59D278D6" w14:textId="77777777">
            <w:pPr>
              <w:jc w:val="right"/>
              <w:rPr>
                <w:rFonts w:ascii="Calibri" w:hAnsi="Calibri" w:cs="Calibri"/>
                <w:b/>
                <w:bCs/>
                <w:color w:val="000000"/>
                <w:sz w:val="16"/>
                <w:szCs w:val="16"/>
              </w:rPr>
            </w:pPr>
            <w:r>
              <w:rPr>
                <w:rFonts w:ascii="Calibri" w:hAnsi="Calibri" w:cs="Calibri"/>
                <w:b/>
                <w:bCs/>
                <w:color w:val="000000"/>
                <w:sz w:val="16"/>
                <w:szCs w:val="16"/>
              </w:rPr>
              <w:t>14-Oct</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A729D47" w14:textId="77777777">
            <w:pPr>
              <w:jc w:val="center"/>
              <w:rPr>
                <w:rFonts w:ascii="Calibri" w:hAnsi="Calibri" w:cs="Calibri"/>
                <w:color w:val="000000"/>
                <w:sz w:val="16"/>
                <w:szCs w:val="16"/>
              </w:rPr>
            </w:pPr>
            <w:r>
              <w:rPr>
                <w:rFonts w:ascii="Calibri" w:hAnsi="Calibri" w:cs="Calibri"/>
                <w:color w:val="000000"/>
                <w:sz w:val="16"/>
                <w:szCs w:val="16"/>
              </w:rPr>
              <w:t>34</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1A08B072" w14:textId="77777777">
            <w:pPr>
              <w:jc w:val="center"/>
              <w:rPr>
                <w:rFonts w:ascii="Calibri" w:hAnsi="Calibri" w:cs="Calibri"/>
                <w:color w:val="000000"/>
                <w:sz w:val="16"/>
                <w:szCs w:val="16"/>
              </w:rPr>
            </w:pPr>
            <w:r>
              <w:rPr>
                <w:rFonts w:ascii="Calibri" w:hAnsi="Calibri" w:cs="Calibri"/>
                <w:color w:val="000000"/>
                <w:sz w:val="16"/>
                <w:szCs w:val="16"/>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A65BE6F" w14:textId="77777777">
            <w:pPr>
              <w:jc w:val="center"/>
              <w:rPr>
                <w:rFonts w:ascii="Calibri" w:hAnsi="Calibri" w:cs="Calibri"/>
                <w:color w:val="000000"/>
                <w:sz w:val="16"/>
                <w:szCs w:val="16"/>
              </w:rPr>
            </w:pPr>
            <w:r>
              <w:rPr>
                <w:rFonts w:ascii="Calibri" w:hAnsi="Calibri" w:cs="Calibri"/>
                <w:color w:val="000000"/>
                <w:sz w:val="16"/>
                <w:szCs w:val="16"/>
              </w:rPr>
              <w:t>27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0C478AEF" w14:textId="77777777">
            <w:pPr>
              <w:jc w:val="center"/>
              <w:rPr>
                <w:rFonts w:ascii="Calibri" w:hAnsi="Calibri" w:cs="Calibri"/>
                <w:color w:val="000000"/>
                <w:sz w:val="16"/>
                <w:szCs w:val="16"/>
              </w:rPr>
            </w:pPr>
            <w:r>
              <w:rPr>
                <w:rFonts w:ascii="Calibri" w:hAnsi="Calibri" w:cs="Calibri"/>
                <w:color w:val="000000"/>
                <w:sz w:val="16"/>
                <w:szCs w:val="16"/>
              </w:rPr>
              <w:t>24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2FA9A7CD" w14:textId="77777777">
            <w:pPr>
              <w:jc w:val="center"/>
              <w:rPr>
                <w:rFonts w:ascii="Calibri" w:hAnsi="Calibri" w:cs="Calibri"/>
                <w:color w:val="000000"/>
                <w:sz w:val="16"/>
                <w:szCs w:val="16"/>
              </w:rPr>
            </w:pPr>
            <w:r>
              <w:rPr>
                <w:rFonts w:ascii="Calibri" w:hAnsi="Calibri" w:cs="Calibri"/>
                <w:color w:val="000000"/>
                <w:sz w:val="16"/>
                <w:szCs w:val="16"/>
              </w:rPr>
              <w:t>21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A972710"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3C23E25"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3DD6E729" w14:textId="77777777">
            <w:pPr>
              <w:jc w:val="center"/>
              <w:rPr>
                <w:rFonts w:ascii="Calibri" w:hAnsi="Calibri" w:cs="Calibri"/>
                <w:color w:val="000000"/>
                <w:sz w:val="16"/>
                <w:szCs w:val="16"/>
              </w:rPr>
            </w:pPr>
            <w:r>
              <w:rPr>
                <w:rFonts w:ascii="Calibri" w:hAnsi="Calibri" w:cs="Calibri"/>
                <w:color w:val="000000"/>
                <w:sz w:val="16"/>
                <w:szCs w:val="16"/>
              </w:rPr>
              <w:t>12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786EE1F0" w14:textId="77777777">
            <w:pPr>
              <w:jc w:val="center"/>
              <w:rPr>
                <w:rFonts w:ascii="Calibri" w:hAnsi="Calibri" w:cs="Calibri"/>
                <w:color w:val="000000"/>
                <w:sz w:val="16"/>
                <w:szCs w:val="16"/>
              </w:rPr>
            </w:pPr>
            <w:r>
              <w:rPr>
                <w:rFonts w:ascii="Calibri" w:hAnsi="Calibri" w:cs="Calibri"/>
                <w:color w:val="000000"/>
                <w:sz w:val="16"/>
                <w:szCs w:val="16"/>
              </w:rPr>
              <w:t>9</w:t>
            </w:r>
          </w:p>
        </w:tc>
      </w:tr>
      <w:tr w14:paraId="48488265"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0A22D902" w14:textId="77777777">
            <w:pPr>
              <w:jc w:val="center"/>
              <w:rPr>
                <w:rFonts w:ascii="Calibri" w:hAnsi="Calibri" w:cs="Calibri"/>
                <w:b/>
                <w:bCs/>
                <w:color w:val="000000"/>
                <w:sz w:val="16"/>
                <w:szCs w:val="16"/>
              </w:rPr>
            </w:pPr>
            <w:r>
              <w:rPr>
                <w:rFonts w:ascii="Calibri" w:hAnsi="Calibri" w:cs="Calibri"/>
                <w:b/>
                <w:bCs/>
                <w:color w:val="000000"/>
                <w:sz w:val="16"/>
                <w:szCs w:val="16"/>
              </w:rPr>
              <w:t>35</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75EBD6EC" w14:textId="77777777">
            <w:pPr>
              <w:jc w:val="right"/>
              <w:rPr>
                <w:rFonts w:ascii="Calibri" w:hAnsi="Calibri" w:cs="Calibri"/>
                <w:b/>
                <w:bCs/>
                <w:color w:val="000000"/>
                <w:sz w:val="16"/>
                <w:szCs w:val="16"/>
              </w:rPr>
            </w:pPr>
            <w:r>
              <w:rPr>
                <w:rFonts w:ascii="Calibri" w:hAnsi="Calibri" w:cs="Calibri"/>
                <w:b/>
                <w:bCs/>
                <w:color w:val="000000"/>
                <w:sz w:val="16"/>
                <w:szCs w:val="16"/>
              </w:rPr>
              <w:t>21-Oct</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3A11A96" w14:textId="77777777">
            <w:pPr>
              <w:jc w:val="center"/>
              <w:rPr>
                <w:rFonts w:ascii="Calibri" w:hAnsi="Calibri" w:cs="Calibri"/>
                <w:color w:val="000000"/>
                <w:sz w:val="16"/>
                <w:szCs w:val="16"/>
              </w:rPr>
            </w:pPr>
            <w:r>
              <w:rPr>
                <w:rFonts w:ascii="Calibri" w:hAnsi="Calibri" w:cs="Calibri"/>
                <w:color w:val="000000"/>
                <w:sz w:val="16"/>
                <w:szCs w:val="16"/>
              </w:rPr>
              <w:t>35</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685DA44" w14:textId="77777777">
            <w:pPr>
              <w:jc w:val="center"/>
              <w:rPr>
                <w:rFonts w:ascii="Calibri" w:hAnsi="Calibri" w:cs="Calibri"/>
                <w:color w:val="000000"/>
                <w:sz w:val="16"/>
                <w:szCs w:val="16"/>
              </w:rPr>
            </w:pPr>
            <w:r>
              <w:rPr>
                <w:rFonts w:ascii="Calibri" w:hAnsi="Calibri" w:cs="Calibri"/>
                <w:color w:val="000000"/>
                <w:sz w:val="16"/>
                <w:szCs w:val="16"/>
              </w:rPr>
              <w:t>31</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8131A39" w14:textId="77777777">
            <w:pPr>
              <w:jc w:val="center"/>
              <w:rPr>
                <w:rFonts w:ascii="Calibri" w:hAnsi="Calibri" w:cs="Calibri"/>
                <w:color w:val="000000"/>
                <w:sz w:val="16"/>
                <w:szCs w:val="16"/>
              </w:rPr>
            </w:pPr>
            <w:r>
              <w:rPr>
                <w:rFonts w:ascii="Calibri" w:hAnsi="Calibri" w:cs="Calibri"/>
                <w:color w:val="000000"/>
                <w:sz w:val="16"/>
                <w:szCs w:val="16"/>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FE1ED66" w14:textId="77777777">
            <w:pPr>
              <w:jc w:val="center"/>
              <w:rPr>
                <w:rFonts w:ascii="Calibri" w:hAnsi="Calibri" w:cs="Calibri"/>
                <w:color w:val="000000"/>
                <w:sz w:val="16"/>
                <w:szCs w:val="16"/>
              </w:rPr>
            </w:pPr>
            <w:r>
              <w:rPr>
                <w:rFonts w:ascii="Calibri" w:hAnsi="Calibri" w:cs="Calibri"/>
                <w:color w:val="000000"/>
                <w:sz w:val="16"/>
                <w:szCs w:val="16"/>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95D4316" w14:textId="77777777">
            <w:pPr>
              <w:jc w:val="center"/>
              <w:rPr>
                <w:rFonts w:ascii="Calibri" w:hAnsi="Calibri" w:cs="Calibri"/>
                <w:color w:val="000000"/>
                <w:sz w:val="16"/>
                <w:szCs w:val="16"/>
              </w:rPr>
            </w:pPr>
            <w:r>
              <w:rPr>
                <w:rFonts w:ascii="Calibri" w:hAnsi="Calibri" w:cs="Calibri"/>
                <w:color w:val="000000"/>
                <w:sz w:val="16"/>
                <w:szCs w:val="16"/>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19E38587" w14:textId="77777777">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48863A0C" w14:textId="77777777">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06DCC6D" w14:textId="77777777">
            <w:pPr>
              <w:jc w:val="center"/>
              <w:rPr>
                <w:rFonts w:ascii="Calibri" w:hAnsi="Calibri" w:cs="Calibri"/>
                <w:color w:val="000000"/>
                <w:sz w:val="16"/>
                <w:szCs w:val="16"/>
              </w:rPr>
            </w:pPr>
            <w:r>
              <w:rPr>
                <w:rFonts w:ascii="Calibri" w:hAnsi="Calibri" w:cs="Calibri"/>
                <w:color w:val="000000"/>
                <w:sz w:val="16"/>
                <w:szCs w:val="16"/>
              </w:rPr>
              <w:t>13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1B7E6E" w14:paraId="6F486B47" w14:textId="77777777">
            <w:pPr>
              <w:jc w:val="center"/>
              <w:rPr>
                <w:rFonts w:ascii="Calibri" w:hAnsi="Calibri" w:cs="Calibri"/>
                <w:color w:val="000000"/>
                <w:sz w:val="16"/>
                <w:szCs w:val="16"/>
              </w:rPr>
            </w:pPr>
            <w:r>
              <w:rPr>
                <w:rFonts w:ascii="Calibri" w:hAnsi="Calibri" w:cs="Calibri"/>
                <w:color w:val="000000"/>
                <w:sz w:val="16"/>
                <w:szCs w:val="16"/>
              </w:rPr>
              <w:t>10</w:t>
            </w:r>
          </w:p>
        </w:tc>
      </w:tr>
      <w:tr w14:paraId="782EEF93" w14:textId="77777777" w:rsidTr="00AD4D1B">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20BF436C" w14:textId="77777777">
            <w:pPr>
              <w:jc w:val="center"/>
              <w:rPr>
                <w:rFonts w:ascii="Calibri" w:hAnsi="Calibri" w:cs="Calibri"/>
                <w:b/>
                <w:bCs/>
                <w:color w:val="000000"/>
                <w:sz w:val="16"/>
                <w:szCs w:val="16"/>
              </w:rPr>
            </w:pPr>
            <w:r>
              <w:rPr>
                <w:rFonts w:ascii="Calibri" w:hAnsi="Calibri" w:cs="Calibri"/>
                <w:b/>
                <w:bCs/>
                <w:color w:val="000000"/>
                <w:sz w:val="16"/>
                <w:szCs w:val="16"/>
              </w:rPr>
              <w:t>36</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648A3AD5" w14:textId="77777777">
            <w:pPr>
              <w:jc w:val="right"/>
              <w:rPr>
                <w:rFonts w:ascii="Calibri" w:hAnsi="Calibri" w:cs="Calibri"/>
                <w:b/>
                <w:bCs/>
                <w:color w:val="000000"/>
                <w:sz w:val="16"/>
                <w:szCs w:val="16"/>
              </w:rPr>
            </w:pPr>
            <w:r>
              <w:rPr>
                <w:rFonts w:ascii="Calibri" w:hAnsi="Calibri" w:cs="Calibri"/>
                <w:b/>
                <w:bCs/>
                <w:color w:val="000000"/>
                <w:sz w:val="16"/>
                <w:szCs w:val="16"/>
              </w:rPr>
              <w:t>28-Oct</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5FFEADA" w14:textId="77777777">
            <w:pPr>
              <w:jc w:val="center"/>
              <w:rPr>
                <w:rFonts w:ascii="Calibri" w:hAnsi="Calibri" w:cs="Calibri"/>
                <w:color w:val="000000"/>
                <w:sz w:val="16"/>
                <w:szCs w:val="16"/>
              </w:rPr>
            </w:pPr>
            <w:r>
              <w:rPr>
                <w:rFonts w:ascii="Calibri" w:hAnsi="Calibri" w:cs="Calibri"/>
                <w:color w:val="000000"/>
                <w:sz w:val="16"/>
                <w:szCs w:val="16"/>
              </w:rPr>
              <w:t>36</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65E16F21" w14:textId="77777777">
            <w:pPr>
              <w:jc w:val="center"/>
              <w:rPr>
                <w:rFonts w:ascii="Calibri" w:hAnsi="Calibri" w:cs="Calibri"/>
                <w:color w:val="000000"/>
                <w:sz w:val="16"/>
                <w:szCs w:val="16"/>
              </w:rPr>
            </w:pPr>
            <w:r>
              <w:rPr>
                <w:rFonts w:ascii="Calibri" w:hAnsi="Calibri" w:cs="Calibri"/>
                <w:color w:val="000000"/>
                <w:sz w:val="16"/>
                <w:szCs w:val="16"/>
              </w:rPr>
              <w:t>32</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14713F33" w14:textId="77777777">
            <w:pPr>
              <w:jc w:val="center"/>
              <w:rPr>
                <w:rFonts w:ascii="Calibri" w:hAnsi="Calibri" w:cs="Calibri"/>
                <w:color w:val="000000"/>
                <w:sz w:val="16"/>
                <w:szCs w:val="16"/>
              </w:rPr>
            </w:pPr>
            <w:r>
              <w:rPr>
                <w:rFonts w:ascii="Calibri" w:hAnsi="Calibri" w:cs="Calibri"/>
                <w:color w:val="000000"/>
                <w:sz w:val="16"/>
                <w:szCs w:val="16"/>
              </w:rPr>
              <w:t>29</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79244D1" w14:textId="77777777">
            <w:pPr>
              <w:jc w:val="center"/>
              <w:rPr>
                <w:rFonts w:ascii="Calibri" w:hAnsi="Calibri" w:cs="Calibri"/>
                <w:color w:val="000000"/>
                <w:sz w:val="16"/>
                <w:szCs w:val="16"/>
              </w:rPr>
            </w:pPr>
            <w:r>
              <w:rPr>
                <w:rFonts w:ascii="Calibri" w:hAnsi="Calibri" w:cs="Calibri"/>
                <w:color w:val="000000"/>
                <w:sz w:val="16"/>
                <w:szCs w:val="16"/>
              </w:rPr>
              <w:t>26</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166F618" w14:textId="77777777">
            <w:pPr>
              <w:jc w:val="center"/>
              <w:rPr>
                <w:rFonts w:ascii="Calibri" w:hAnsi="Calibri" w:cs="Calibri"/>
                <w:color w:val="000000"/>
                <w:sz w:val="16"/>
                <w:szCs w:val="16"/>
              </w:rPr>
            </w:pPr>
            <w:r>
              <w:rPr>
                <w:rFonts w:ascii="Calibri" w:hAnsi="Calibri" w:cs="Calibri"/>
                <w:color w:val="000000"/>
                <w:sz w:val="16"/>
                <w:szCs w:val="16"/>
              </w:rPr>
              <w:t>23</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5FBCD57"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2801352F"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16216DA" w14:textId="77777777">
            <w:pPr>
              <w:jc w:val="center"/>
              <w:rPr>
                <w:rFonts w:ascii="Calibri" w:hAnsi="Calibri" w:cs="Calibri"/>
                <w:color w:val="000000"/>
                <w:sz w:val="16"/>
                <w:szCs w:val="16"/>
              </w:rPr>
            </w:pPr>
            <w:r>
              <w:rPr>
                <w:rFonts w:ascii="Calibri" w:hAnsi="Calibri" w:cs="Calibri"/>
                <w:color w:val="000000"/>
                <w:sz w:val="16"/>
                <w:szCs w:val="16"/>
              </w:rPr>
              <w:t>14</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3B138DAD" w14:textId="77777777">
            <w:pPr>
              <w:jc w:val="center"/>
              <w:rPr>
                <w:rFonts w:ascii="Calibri" w:hAnsi="Calibri" w:cs="Calibri"/>
                <w:color w:val="000000"/>
                <w:sz w:val="16"/>
                <w:szCs w:val="16"/>
              </w:rPr>
            </w:pPr>
            <w:r>
              <w:rPr>
                <w:rFonts w:ascii="Calibri" w:hAnsi="Calibri" w:cs="Calibri"/>
                <w:color w:val="000000"/>
                <w:sz w:val="16"/>
                <w:szCs w:val="16"/>
              </w:rPr>
              <w:t>11</w:t>
            </w:r>
          </w:p>
        </w:tc>
      </w:tr>
      <w:tr w14:paraId="3D24E1DC" w14:textId="77777777" w:rsidTr="00AD4D1B">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1B7E6E" w14:paraId="3BA9D06A" w14:textId="77777777">
            <w:pPr>
              <w:jc w:val="center"/>
              <w:rPr>
                <w:rFonts w:ascii="Calibri" w:hAnsi="Calibri" w:cs="Calibri"/>
                <w:b/>
                <w:bCs/>
                <w:color w:val="000000"/>
                <w:sz w:val="16"/>
                <w:szCs w:val="16"/>
              </w:rPr>
            </w:pPr>
            <w:r>
              <w:rPr>
                <w:rFonts w:ascii="Calibri" w:hAnsi="Calibri" w:cs="Calibri"/>
                <w:b/>
                <w:bCs/>
                <w:color w:val="000000"/>
                <w:sz w:val="16"/>
                <w:szCs w:val="16"/>
              </w:rPr>
              <w:t>37</w:t>
            </w:r>
          </w:p>
        </w:tc>
        <w:tc>
          <w:tcPr>
            <w:tcW w:w="871" w:type="dxa"/>
            <w:tcBorders>
              <w:top w:val="nil"/>
              <w:left w:val="nil"/>
              <w:bottom w:val="single" w:sz="4" w:space="0" w:color="auto"/>
              <w:right w:val="single" w:sz="4" w:space="0" w:color="auto"/>
            </w:tcBorders>
            <w:shd w:val="clear" w:color="000000" w:fill="D9D9D9"/>
            <w:noWrap/>
            <w:vAlign w:val="bottom"/>
            <w:hideMark/>
          </w:tcPr>
          <w:p w:rsidR="001B7E6E" w14:paraId="7CAD4FA4" w14:textId="77777777">
            <w:pPr>
              <w:jc w:val="right"/>
              <w:rPr>
                <w:rFonts w:ascii="Calibri" w:hAnsi="Calibri" w:cs="Calibri"/>
                <w:b/>
                <w:bCs/>
                <w:color w:val="000000"/>
                <w:sz w:val="16"/>
                <w:szCs w:val="16"/>
              </w:rPr>
            </w:pPr>
            <w:r>
              <w:rPr>
                <w:rFonts w:ascii="Calibri" w:hAnsi="Calibri" w:cs="Calibri"/>
                <w:b/>
                <w:bCs/>
                <w:color w:val="000000"/>
                <w:sz w:val="16"/>
                <w:szCs w:val="16"/>
              </w:rPr>
              <w:t>4-Nov</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1FD53E51" w14:textId="77777777">
            <w:pPr>
              <w:jc w:val="center"/>
              <w:rPr>
                <w:rFonts w:ascii="Calibri" w:hAnsi="Calibri" w:cs="Calibri"/>
                <w:color w:val="000000"/>
                <w:sz w:val="16"/>
                <w:szCs w:val="16"/>
              </w:rPr>
            </w:pPr>
            <w:r>
              <w:rPr>
                <w:rFonts w:ascii="Calibri" w:hAnsi="Calibri" w:cs="Calibri"/>
                <w:color w:val="000000"/>
                <w:sz w:val="16"/>
                <w:szCs w:val="16"/>
              </w:rPr>
              <w:t>37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2C46717" w14:textId="77777777">
            <w:pPr>
              <w:jc w:val="center"/>
              <w:rPr>
                <w:rFonts w:ascii="Calibri" w:hAnsi="Calibri" w:cs="Calibri"/>
                <w:color w:val="000000"/>
                <w:sz w:val="16"/>
                <w:szCs w:val="16"/>
              </w:rPr>
            </w:pPr>
            <w:r>
              <w:rPr>
                <w:rFonts w:ascii="Calibri" w:hAnsi="Calibri" w:cs="Calibri"/>
                <w:color w:val="000000"/>
                <w:sz w:val="16"/>
                <w:szCs w:val="16"/>
              </w:rPr>
              <w:t>33</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53B3CA00" w14:textId="77777777">
            <w:pPr>
              <w:jc w:val="center"/>
              <w:rPr>
                <w:rFonts w:ascii="Calibri" w:hAnsi="Calibri" w:cs="Calibri"/>
                <w:color w:val="000000"/>
                <w:sz w:val="16"/>
                <w:szCs w:val="16"/>
              </w:rPr>
            </w:pPr>
            <w:r>
              <w:rPr>
                <w:rFonts w:ascii="Calibri" w:hAnsi="Calibri" w:cs="Calibri"/>
                <w:color w:val="000000"/>
                <w:sz w:val="16"/>
                <w:szCs w:val="16"/>
              </w:rPr>
              <w:t>30</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33594A60" w14:textId="77777777">
            <w:pPr>
              <w:jc w:val="center"/>
              <w:rPr>
                <w:rFonts w:ascii="Calibri" w:hAnsi="Calibri" w:cs="Calibri"/>
                <w:color w:val="000000"/>
                <w:sz w:val="16"/>
                <w:szCs w:val="16"/>
              </w:rPr>
            </w:pPr>
            <w:r>
              <w:rPr>
                <w:rFonts w:ascii="Calibri" w:hAnsi="Calibri" w:cs="Calibri"/>
                <w:color w:val="000000"/>
                <w:sz w:val="16"/>
                <w:szCs w:val="16"/>
              </w:rPr>
              <w:t>27</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3871FB1" w14:textId="77777777">
            <w:pPr>
              <w:jc w:val="center"/>
              <w:rPr>
                <w:rFonts w:ascii="Calibri" w:hAnsi="Calibri" w:cs="Calibri"/>
                <w:color w:val="000000"/>
                <w:sz w:val="16"/>
                <w:szCs w:val="16"/>
              </w:rPr>
            </w:pPr>
            <w:r>
              <w:rPr>
                <w:rFonts w:ascii="Calibri" w:hAnsi="Calibri" w:cs="Calibri"/>
                <w:color w:val="000000"/>
                <w:sz w:val="16"/>
                <w:szCs w:val="16"/>
              </w:rPr>
              <w:t>24</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1D78278" w14:textId="77777777">
            <w:pPr>
              <w:jc w:val="center"/>
              <w:rPr>
                <w:rFonts w:ascii="Calibri" w:hAnsi="Calibri" w:cs="Calibri"/>
                <w:color w:val="000000"/>
                <w:sz w:val="16"/>
                <w:szCs w:val="16"/>
              </w:rPr>
            </w:pPr>
            <w:r>
              <w:rPr>
                <w:rFonts w:ascii="Calibri" w:hAnsi="Calibri" w:cs="Calibri"/>
                <w:color w:val="000000"/>
                <w:sz w:val="16"/>
                <w:szCs w:val="16"/>
              </w:rPr>
              <w:t>21</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73B52622" w14:textId="77777777">
            <w:pPr>
              <w:jc w:val="center"/>
              <w:rPr>
                <w:rFonts w:ascii="Calibri" w:hAnsi="Calibri" w:cs="Calibri"/>
                <w:color w:val="000000"/>
                <w:sz w:val="16"/>
                <w:szCs w:val="16"/>
              </w:rPr>
            </w:pPr>
            <w:r>
              <w:rPr>
                <w:rFonts w:ascii="Calibri" w:hAnsi="Calibri" w:cs="Calibri"/>
                <w:color w:val="000000"/>
                <w:sz w:val="16"/>
                <w:szCs w:val="16"/>
              </w:rPr>
              <w:t>18</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784DFF7" w14:textId="77777777">
            <w:pPr>
              <w:jc w:val="center"/>
              <w:rPr>
                <w:rFonts w:ascii="Calibri" w:hAnsi="Calibri" w:cs="Calibri"/>
                <w:color w:val="000000"/>
                <w:sz w:val="16"/>
                <w:szCs w:val="16"/>
              </w:rPr>
            </w:pPr>
            <w:r>
              <w:rPr>
                <w:rFonts w:ascii="Calibri" w:hAnsi="Calibri" w:cs="Calibri"/>
                <w:color w:val="000000"/>
                <w:sz w:val="16"/>
                <w:szCs w:val="16"/>
              </w:rPr>
              <w:t>15</w:t>
            </w:r>
          </w:p>
        </w:tc>
        <w:tc>
          <w:tcPr>
            <w:tcW w:w="379" w:type="dxa"/>
            <w:tcBorders>
              <w:top w:val="nil"/>
              <w:left w:val="nil"/>
              <w:bottom w:val="single" w:sz="4" w:space="0" w:color="auto"/>
              <w:right w:val="single" w:sz="4" w:space="0" w:color="auto"/>
            </w:tcBorders>
            <w:shd w:val="clear" w:color="000000" w:fill="FF0000"/>
            <w:noWrap/>
            <w:vAlign w:val="bottom"/>
            <w:hideMark/>
          </w:tcPr>
          <w:p w:rsidR="001B7E6E" w14:paraId="0F90B2B7" w14:textId="77777777">
            <w:pPr>
              <w:jc w:val="center"/>
              <w:rPr>
                <w:rFonts w:ascii="Calibri" w:hAnsi="Calibri" w:cs="Calibri"/>
                <w:color w:val="000000"/>
                <w:sz w:val="16"/>
                <w:szCs w:val="16"/>
              </w:rPr>
            </w:pPr>
            <w:r>
              <w:rPr>
                <w:rFonts w:ascii="Calibri" w:hAnsi="Calibri" w:cs="Calibri"/>
                <w:color w:val="000000"/>
                <w:sz w:val="16"/>
                <w:szCs w:val="16"/>
              </w:rPr>
              <w:t>12</w:t>
            </w:r>
          </w:p>
        </w:tc>
      </w:tr>
      <w:tr w14:paraId="2EF70928"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AD4D1B" w:rsidP="00AD4D1B" w14:paraId="4AF9846C" w14:textId="77777777">
            <w:pPr>
              <w:jc w:val="center"/>
              <w:rPr>
                <w:rFonts w:ascii="Calibri" w:hAnsi="Calibri" w:cs="Calibri"/>
                <w:b/>
                <w:bCs/>
                <w:color w:val="000000"/>
                <w:sz w:val="16"/>
                <w:szCs w:val="16"/>
              </w:rPr>
            </w:pPr>
            <w:r>
              <w:rPr>
                <w:rFonts w:ascii="Calibri" w:hAnsi="Calibri" w:cs="Calibri"/>
                <w:b/>
                <w:bCs/>
                <w:color w:val="000000"/>
                <w:sz w:val="16"/>
                <w:szCs w:val="16"/>
              </w:rPr>
              <w:t>38</w:t>
            </w:r>
          </w:p>
        </w:tc>
        <w:tc>
          <w:tcPr>
            <w:tcW w:w="871" w:type="dxa"/>
            <w:tcBorders>
              <w:top w:val="nil"/>
              <w:left w:val="nil"/>
              <w:bottom w:val="single" w:sz="4" w:space="0" w:color="auto"/>
              <w:right w:val="single" w:sz="4" w:space="0" w:color="auto"/>
            </w:tcBorders>
            <w:shd w:val="clear" w:color="000000" w:fill="D9D9D9"/>
            <w:noWrap/>
            <w:vAlign w:val="bottom"/>
            <w:hideMark/>
          </w:tcPr>
          <w:p w:rsidR="00AD4D1B" w:rsidP="00AD4D1B" w14:paraId="6159F25B" w14:textId="77777777">
            <w:pPr>
              <w:jc w:val="right"/>
              <w:rPr>
                <w:rFonts w:ascii="Calibri" w:hAnsi="Calibri" w:cs="Calibri"/>
                <w:b/>
                <w:bCs/>
                <w:color w:val="000000"/>
                <w:sz w:val="16"/>
                <w:szCs w:val="16"/>
              </w:rPr>
            </w:pPr>
            <w:r>
              <w:rPr>
                <w:rFonts w:ascii="Calibri" w:hAnsi="Calibri" w:cs="Calibri"/>
                <w:b/>
                <w:bCs/>
                <w:color w:val="000000"/>
                <w:sz w:val="16"/>
                <w:szCs w:val="16"/>
              </w:rPr>
              <w:t>11-Nov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52B38611" w14:textId="512991CF">
            <w:pPr>
              <w:jc w:val="center"/>
              <w:rPr>
                <w:rFonts w:ascii="Calibri" w:hAnsi="Calibri" w:cs="Calibri"/>
                <w:color w:val="000000"/>
                <w:sz w:val="16"/>
                <w:szCs w:val="16"/>
              </w:rPr>
            </w:pPr>
            <w:r>
              <w:rPr>
                <w:rFonts w:ascii="Calibri" w:hAnsi="Calibri" w:cs="Calibri"/>
                <w:color w:val="000000"/>
                <w:sz w:val="16"/>
                <w:szCs w:val="16"/>
              </w:rPr>
              <w:t>38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4C2B216D" w14:textId="18D8EA00">
            <w:pPr>
              <w:jc w:val="center"/>
              <w:rPr>
                <w:rFonts w:ascii="Calibri" w:hAnsi="Calibri" w:cs="Calibri"/>
                <w:color w:val="000000"/>
                <w:sz w:val="16"/>
                <w:szCs w:val="16"/>
              </w:rPr>
            </w:pPr>
            <w:r>
              <w:rPr>
                <w:rFonts w:ascii="Calibri" w:hAnsi="Calibri" w:cs="Calibri"/>
                <w:color w:val="000000"/>
                <w:sz w:val="16"/>
                <w:szCs w:val="16"/>
              </w:rPr>
              <w:t>34</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2DAE37FA" w14:textId="122E4F27">
            <w:pPr>
              <w:jc w:val="center"/>
              <w:rPr>
                <w:rFonts w:ascii="Calibri" w:hAnsi="Calibri" w:cs="Calibri"/>
                <w:color w:val="000000"/>
                <w:sz w:val="16"/>
                <w:szCs w:val="16"/>
              </w:rPr>
            </w:pPr>
            <w:r>
              <w:rPr>
                <w:rFonts w:ascii="Calibri" w:hAnsi="Calibri" w:cs="Calibri"/>
                <w:color w:val="000000"/>
                <w:sz w:val="16"/>
                <w:szCs w:val="16"/>
              </w:rPr>
              <w:t>31</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0FA64272" w14:textId="1C7D4BB9">
            <w:pPr>
              <w:jc w:val="center"/>
              <w:rPr>
                <w:rFonts w:ascii="Calibri" w:hAnsi="Calibri" w:cs="Calibri"/>
                <w:color w:val="000000"/>
                <w:sz w:val="16"/>
                <w:szCs w:val="16"/>
              </w:rPr>
            </w:pPr>
            <w:r>
              <w:rPr>
                <w:rFonts w:ascii="Calibri" w:hAnsi="Calibri" w:cs="Calibri"/>
                <w:color w:val="000000"/>
                <w:sz w:val="16"/>
                <w:szCs w:val="16"/>
              </w:rPr>
              <w:t>28</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784FD3F8" w14:textId="4F91283C">
            <w:pPr>
              <w:jc w:val="center"/>
              <w:rPr>
                <w:rFonts w:ascii="Calibri" w:hAnsi="Calibri" w:cs="Calibri"/>
                <w:color w:val="000000"/>
                <w:sz w:val="16"/>
                <w:szCs w:val="16"/>
              </w:rPr>
            </w:pPr>
            <w:r>
              <w:rPr>
                <w:rFonts w:ascii="Calibri" w:hAnsi="Calibri" w:cs="Calibri"/>
                <w:color w:val="000000"/>
                <w:sz w:val="16"/>
                <w:szCs w:val="16"/>
              </w:rPr>
              <w:t>25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2983D904" w14:textId="29FAB359">
            <w:pPr>
              <w:jc w:val="center"/>
              <w:rPr>
                <w:rFonts w:ascii="Calibri" w:hAnsi="Calibri" w:cs="Calibri"/>
                <w:color w:val="000000"/>
                <w:sz w:val="16"/>
                <w:szCs w:val="16"/>
              </w:rPr>
            </w:pPr>
            <w:r>
              <w:rPr>
                <w:rFonts w:ascii="Calibri" w:hAnsi="Calibri" w:cs="Calibri"/>
                <w:color w:val="000000"/>
                <w:sz w:val="16"/>
                <w:szCs w:val="16"/>
              </w:rPr>
              <w:t>22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4229351C" w14:textId="6CC62668">
            <w:pPr>
              <w:jc w:val="center"/>
              <w:rPr>
                <w:rFonts w:ascii="Calibri" w:hAnsi="Calibri" w:cs="Calibri"/>
                <w:color w:val="000000"/>
                <w:sz w:val="16"/>
                <w:szCs w:val="16"/>
              </w:rPr>
            </w:pPr>
            <w:r>
              <w:rPr>
                <w:rFonts w:ascii="Calibri" w:hAnsi="Calibri" w:cs="Calibri"/>
                <w:color w:val="000000"/>
                <w:sz w:val="16"/>
                <w:szCs w:val="16"/>
              </w:rPr>
              <w:t>19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41E75807" w14:textId="3E79EA8A">
            <w:pPr>
              <w:jc w:val="center"/>
              <w:rPr>
                <w:rFonts w:ascii="Calibri" w:hAnsi="Calibri" w:cs="Calibri"/>
                <w:color w:val="000000"/>
                <w:sz w:val="16"/>
                <w:szCs w:val="16"/>
              </w:rPr>
            </w:pPr>
            <w:r>
              <w:rPr>
                <w:rFonts w:ascii="Calibri" w:hAnsi="Calibri" w:cs="Calibri"/>
                <w:color w:val="000000"/>
                <w:sz w:val="16"/>
                <w:szCs w:val="16"/>
              </w:rPr>
              <w:t>16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6328CAC0" w14:textId="138C2229">
            <w:pPr>
              <w:jc w:val="center"/>
              <w:rPr>
                <w:rFonts w:ascii="Calibri" w:hAnsi="Calibri" w:cs="Calibri"/>
                <w:color w:val="000000"/>
                <w:sz w:val="16"/>
                <w:szCs w:val="16"/>
              </w:rPr>
            </w:pPr>
            <w:r>
              <w:rPr>
                <w:rFonts w:ascii="Calibri" w:hAnsi="Calibri" w:cs="Calibri"/>
                <w:color w:val="000000"/>
                <w:sz w:val="16"/>
                <w:szCs w:val="16"/>
              </w:rPr>
              <w:t>13</w:t>
            </w:r>
          </w:p>
        </w:tc>
      </w:tr>
      <w:tr w14:paraId="5962C8BB" w14:textId="77777777" w:rsidTr="006F5E0A">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000000" w:fill="D9D9D9"/>
            <w:noWrap/>
            <w:vAlign w:val="bottom"/>
            <w:hideMark/>
          </w:tcPr>
          <w:p w:rsidR="00AD4D1B" w:rsidP="00AD4D1B" w14:paraId="56272277" w14:textId="77777777">
            <w:pPr>
              <w:jc w:val="center"/>
              <w:rPr>
                <w:rFonts w:ascii="Calibri" w:hAnsi="Calibri" w:cs="Calibri"/>
                <w:b/>
                <w:bCs/>
                <w:color w:val="000000"/>
                <w:sz w:val="16"/>
                <w:szCs w:val="16"/>
              </w:rPr>
            </w:pPr>
            <w:r>
              <w:rPr>
                <w:rFonts w:ascii="Calibri" w:hAnsi="Calibri" w:cs="Calibri"/>
                <w:b/>
                <w:bCs/>
                <w:color w:val="000000"/>
                <w:sz w:val="16"/>
                <w:szCs w:val="16"/>
              </w:rPr>
              <w:t>39</w:t>
            </w:r>
          </w:p>
        </w:tc>
        <w:tc>
          <w:tcPr>
            <w:tcW w:w="871" w:type="dxa"/>
            <w:tcBorders>
              <w:top w:val="nil"/>
              <w:left w:val="nil"/>
              <w:bottom w:val="single" w:sz="4" w:space="0" w:color="auto"/>
              <w:right w:val="single" w:sz="4" w:space="0" w:color="auto"/>
            </w:tcBorders>
            <w:shd w:val="clear" w:color="000000" w:fill="D9D9D9"/>
            <w:noWrap/>
            <w:vAlign w:val="bottom"/>
            <w:hideMark/>
          </w:tcPr>
          <w:p w:rsidR="00AD4D1B" w:rsidP="00AD4D1B" w14:paraId="36620E64" w14:textId="77777777">
            <w:pPr>
              <w:jc w:val="right"/>
              <w:rPr>
                <w:rFonts w:ascii="Calibri" w:hAnsi="Calibri" w:cs="Calibri"/>
                <w:b/>
                <w:bCs/>
                <w:color w:val="000000"/>
                <w:sz w:val="16"/>
                <w:szCs w:val="16"/>
              </w:rPr>
            </w:pPr>
            <w:r>
              <w:rPr>
                <w:rFonts w:ascii="Calibri" w:hAnsi="Calibri" w:cs="Calibri"/>
                <w:b/>
                <w:bCs/>
                <w:color w:val="000000"/>
                <w:sz w:val="16"/>
                <w:szCs w:val="16"/>
              </w:rPr>
              <w:t>18-Nov</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6ACEE007" w14:textId="77777777">
            <w:pPr>
              <w:jc w:val="center"/>
              <w:rPr>
                <w:rFonts w:ascii="Calibri" w:hAnsi="Calibri" w:cs="Calibri"/>
                <w:color w:val="000000"/>
                <w:sz w:val="16"/>
                <w:szCs w:val="16"/>
              </w:rPr>
            </w:pPr>
            <w:r>
              <w:rPr>
                <w:rFonts w:ascii="Calibri" w:hAnsi="Calibri" w:cs="Calibri"/>
                <w:color w:val="000000"/>
                <w:sz w:val="16"/>
                <w:szCs w:val="16"/>
              </w:rPr>
              <w:t>39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1D75543F" w14:textId="77777777">
            <w:pPr>
              <w:jc w:val="center"/>
              <w:rPr>
                <w:rFonts w:ascii="Calibri" w:hAnsi="Calibri" w:cs="Calibri"/>
                <w:color w:val="000000"/>
                <w:sz w:val="16"/>
                <w:szCs w:val="16"/>
              </w:rPr>
            </w:pPr>
            <w:r>
              <w:rPr>
                <w:rFonts w:ascii="Calibri" w:hAnsi="Calibri" w:cs="Calibri"/>
                <w:color w:val="000000"/>
                <w:sz w:val="16"/>
                <w:szCs w:val="16"/>
              </w:rPr>
              <w:t>35</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392DB759" w14:textId="77777777">
            <w:pPr>
              <w:jc w:val="center"/>
              <w:rPr>
                <w:rFonts w:ascii="Calibri" w:hAnsi="Calibri" w:cs="Calibri"/>
                <w:color w:val="000000"/>
                <w:sz w:val="16"/>
                <w:szCs w:val="16"/>
              </w:rPr>
            </w:pPr>
            <w:r>
              <w:rPr>
                <w:rFonts w:ascii="Calibri" w:hAnsi="Calibri" w:cs="Calibri"/>
                <w:color w:val="000000"/>
                <w:sz w:val="16"/>
                <w:szCs w:val="16"/>
              </w:rPr>
              <w:t>32</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29DFAF98" w14:textId="77777777">
            <w:pPr>
              <w:jc w:val="center"/>
              <w:rPr>
                <w:rFonts w:ascii="Calibri" w:hAnsi="Calibri" w:cs="Calibri"/>
                <w:color w:val="000000"/>
                <w:sz w:val="16"/>
                <w:szCs w:val="16"/>
              </w:rPr>
            </w:pPr>
            <w:r>
              <w:rPr>
                <w:rFonts w:ascii="Calibri" w:hAnsi="Calibri" w:cs="Calibri"/>
                <w:color w:val="000000"/>
                <w:sz w:val="16"/>
                <w:szCs w:val="16"/>
              </w:rPr>
              <w:t>29</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05602108" w14:textId="77777777">
            <w:pPr>
              <w:jc w:val="center"/>
              <w:rPr>
                <w:rFonts w:ascii="Calibri" w:hAnsi="Calibri" w:cs="Calibri"/>
                <w:color w:val="000000"/>
                <w:sz w:val="16"/>
                <w:szCs w:val="16"/>
              </w:rPr>
            </w:pPr>
            <w:r>
              <w:rPr>
                <w:rFonts w:ascii="Calibri" w:hAnsi="Calibri" w:cs="Calibri"/>
                <w:color w:val="000000"/>
                <w:sz w:val="16"/>
                <w:szCs w:val="16"/>
              </w:rPr>
              <w:t>26</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53DFD5F8" w14:textId="77777777">
            <w:pPr>
              <w:jc w:val="center"/>
              <w:rPr>
                <w:rFonts w:ascii="Calibri" w:hAnsi="Calibri" w:cs="Calibri"/>
                <w:color w:val="000000"/>
                <w:sz w:val="16"/>
                <w:szCs w:val="16"/>
              </w:rPr>
            </w:pPr>
            <w:r>
              <w:rPr>
                <w:rFonts w:ascii="Calibri" w:hAnsi="Calibri" w:cs="Calibri"/>
                <w:color w:val="000000"/>
                <w:sz w:val="16"/>
                <w:szCs w:val="16"/>
              </w:rPr>
              <w:t>23</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4D206F6C" w14:textId="77777777">
            <w:pPr>
              <w:jc w:val="center"/>
              <w:rPr>
                <w:rFonts w:ascii="Calibri" w:hAnsi="Calibri" w:cs="Calibri"/>
                <w:color w:val="000000"/>
                <w:sz w:val="16"/>
                <w:szCs w:val="16"/>
              </w:rPr>
            </w:pPr>
            <w:r>
              <w:rPr>
                <w:rFonts w:ascii="Calibri" w:hAnsi="Calibri" w:cs="Calibri"/>
                <w:color w:val="000000"/>
                <w:sz w:val="16"/>
                <w:szCs w:val="16"/>
              </w:rPr>
              <w:t>20</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705F6463" w14:textId="77777777">
            <w:pPr>
              <w:jc w:val="center"/>
              <w:rPr>
                <w:rFonts w:ascii="Calibri" w:hAnsi="Calibri" w:cs="Calibri"/>
                <w:color w:val="000000"/>
                <w:sz w:val="16"/>
                <w:szCs w:val="16"/>
              </w:rPr>
            </w:pPr>
            <w:r>
              <w:rPr>
                <w:rFonts w:ascii="Calibri" w:hAnsi="Calibri" w:cs="Calibri"/>
                <w:color w:val="000000"/>
                <w:sz w:val="16"/>
                <w:szCs w:val="16"/>
              </w:rPr>
              <w:t>17</w:t>
            </w:r>
          </w:p>
        </w:tc>
        <w:tc>
          <w:tcPr>
            <w:tcW w:w="379" w:type="dxa"/>
            <w:tcBorders>
              <w:top w:val="nil"/>
              <w:left w:val="nil"/>
              <w:bottom w:val="single" w:sz="4" w:space="0" w:color="auto"/>
              <w:right w:val="single" w:sz="4" w:space="0" w:color="auto"/>
            </w:tcBorders>
            <w:shd w:val="clear" w:color="auto" w:fill="DBE5F1" w:themeFill="accent1" w:themeFillTint="33"/>
            <w:noWrap/>
            <w:vAlign w:val="bottom"/>
            <w:hideMark/>
          </w:tcPr>
          <w:p w:rsidR="00AD4D1B" w:rsidP="00AD4D1B" w14:paraId="169B2839" w14:textId="77777777">
            <w:pPr>
              <w:jc w:val="center"/>
              <w:rPr>
                <w:rFonts w:ascii="Calibri" w:hAnsi="Calibri" w:cs="Calibri"/>
                <w:color w:val="000000"/>
                <w:sz w:val="16"/>
                <w:szCs w:val="16"/>
              </w:rPr>
            </w:pPr>
            <w:r>
              <w:rPr>
                <w:rFonts w:ascii="Calibri" w:hAnsi="Calibri" w:cs="Calibri"/>
                <w:color w:val="000000"/>
                <w:sz w:val="16"/>
                <w:szCs w:val="16"/>
              </w:rPr>
              <w:t>14</w:t>
            </w:r>
          </w:p>
        </w:tc>
      </w:tr>
      <w:tr w14:paraId="7E719E9C" w14:textId="77777777" w:rsidTr="00AD4D1B">
        <w:tblPrEx>
          <w:tblW w:w="4907" w:type="dxa"/>
          <w:jc w:val="center"/>
          <w:tblLook w:val="04A0"/>
        </w:tblPrEx>
        <w:trPr>
          <w:trHeight w:val="300"/>
          <w:jc w:val="center"/>
        </w:trPr>
        <w:tc>
          <w:tcPr>
            <w:tcW w:w="625" w:type="dxa"/>
            <w:tcBorders>
              <w:top w:val="nil"/>
              <w:left w:val="single" w:sz="4" w:space="0" w:color="auto"/>
              <w:bottom w:val="single" w:sz="4" w:space="0" w:color="auto"/>
              <w:right w:val="single" w:sz="4" w:space="0" w:color="auto"/>
            </w:tcBorders>
            <w:shd w:val="clear" w:color="auto" w:fill="92D050"/>
            <w:noWrap/>
            <w:vAlign w:val="bottom"/>
            <w:hideMark/>
          </w:tcPr>
          <w:p w:rsidR="00AD4D1B" w:rsidP="00AD4D1B" w14:paraId="3DBB8659" w14:textId="77777777">
            <w:pPr>
              <w:jc w:val="center"/>
              <w:rPr>
                <w:rFonts w:ascii="Calibri" w:hAnsi="Calibri" w:cs="Calibri"/>
                <w:b/>
                <w:bCs/>
                <w:color w:val="000000"/>
                <w:sz w:val="16"/>
                <w:szCs w:val="16"/>
              </w:rPr>
            </w:pPr>
            <w:r>
              <w:rPr>
                <w:rFonts w:ascii="Calibri" w:hAnsi="Calibri" w:cs="Calibri"/>
                <w:b/>
                <w:bCs/>
                <w:color w:val="000000"/>
                <w:sz w:val="16"/>
                <w:szCs w:val="16"/>
              </w:rPr>
              <w:t>40</w:t>
            </w:r>
          </w:p>
        </w:tc>
        <w:tc>
          <w:tcPr>
            <w:tcW w:w="871" w:type="dxa"/>
            <w:tcBorders>
              <w:top w:val="nil"/>
              <w:left w:val="nil"/>
              <w:bottom w:val="single" w:sz="4" w:space="0" w:color="auto"/>
              <w:right w:val="single" w:sz="4" w:space="0" w:color="auto"/>
            </w:tcBorders>
            <w:shd w:val="clear" w:color="auto" w:fill="92D050"/>
            <w:noWrap/>
            <w:vAlign w:val="bottom"/>
            <w:hideMark/>
          </w:tcPr>
          <w:p w:rsidR="00AD4D1B" w:rsidP="00AD4D1B" w14:paraId="5E1DEB0F" w14:textId="77777777">
            <w:pPr>
              <w:jc w:val="right"/>
              <w:rPr>
                <w:rFonts w:ascii="Calibri" w:hAnsi="Calibri" w:cs="Calibri"/>
                <w:b/>
                <w:bCs/>
                <w:color w:val="000000"/>
                <w:sz w:val="16"/>
                <w:szCs w:val="16"/>
              </w:rPr>
            </w:pPr>
            <w:r>
              <w:rPr>
                <w:rFonts w:ascii="Calibri" w:hAnsi="Calibri" w:cs="Calibri"/>
                <w:b/>
                <w:bCs/>
                <w:color w:val="000000"/>
                <w:sz w:val="16"/>
                <w:szCs w:val="16"/>
              </w:rPr>
              <w:t>25-Nov</w:t>
            </w:r>
          </w:p>
        </w:tc>
        <w:tc>
          <w:tcPr>
            <w:tcW w:w="3411" w:type="dxa"/>
            <w:gridSpan w:val="9"/>
            <w:tcBorders>
              <w:top w:val="single" w:sz="4" w:space="0" w:color="auto"/>
              <w:left w:val="nil"/>
              <w:bottom w:val="single" w:sz="4" w:space="0" w:color="auto"/>
              <w:right w:val="single" w:sz="4" w:space="0" w:color="auto"/>
            </w:tcBorders>
            <w:shd w:val="clear" w:color="auto" w:fill="92D050"/>
            <w:noWrap/>
            <w:vAlign w:val="bottom"/>
            <w:hideMark/>
          </w:tcPr>
          <w:p w:rsidR="00AD4D1B" w:rsidP="00AD4D1B" w14:paraId="3CCF796A" w14:textId="77777777">
            <w:pPr>
              <w:jc w:val="center"/>
              <w:rPr>
                <w:rFonts w:ascii="Calibri" w:hAnsi="Calibri" w:cs="Calibri"/>
                <w:b/>
                <w:bCs/>
                <w:color w:val="000000"/>
                <w:sz w:val="16"/>
                <w:szCs w:val="16"/>
              </w:rPr>
            </w:pPr>
            <w:r>
              <w:rPr>
                <w:rFonts w:ascii="Calibri" w:hAnsi="Calibri" w:cs="Calibri"/>
                <w:b/>
                <w:bCs/>
                <w:color w:val="000000"/>
                <w:sz w:val="16"/>
                <w:szCs w:val="16"/>
              </w:rPr>
              <w:t>Expected end of data collection</w:t>
            </w:r>
          </w:p>
        </w:tc>
      </w:tr>
    </w:tbl>
    <w:p w:rsidR="009E4801" w:rsidRPr="00AC4D07" w:rsidP="00E74C5D" w14:paraId="762B30AB" w14:textId="50232E73">
      <w:pPr>
        <w:rPr>
          <w:rFonts w:ascii="Garamond" w:hAnsi="Garamond"/>
          <w:sz w:val="18"/>
          <w:szCs w:val="18"/>
        </w:rPr>
      </w:pPr>
      <w:r>
        <w:rPr>
          <w:rFonts w:ascii="Garamond" w:hAnsi="Garamond"/>
          <w:sz w:val="22"/>
          <w:szCs w:val="22"/>
          <w:vertAlign w:val="superscript"/>
        </w:rPr>
        <w:tab/>
      </w:r>
      <w:r>
        <w:rPr>
          <w:rFonts w:ascii="Garamond" w:hAnsi="Garamond"/>
          <w:sz w:val="22"/>
          <w:szCs w:val="22"/>
          <w:vertAlign w:val="superscript"/>
        </w:rPr>
        <w:tab/>
      </w:r>
      <w:r>
        <w:rPr>
          <w:rFonts w:ascii="Garamond" w:hAnsi="Garamond"/>
          <w:sz w:val="22"/>
          <w:szCs w:val="22"/>
          <w:vertAlign w:val="superscript"/>
        </w:rPr>
        <w:tab/>
      </w:r>
      <w:r>
        <w:rPr>
          <w:rFonts w:ascii="Garamond" w:hAnsi="Garamond"/>
          <w:sz w:val="22"/>
          <w:szCs w:val="22"/>
          <w:vertAlign w:val="superscript"/>
        </w:rPr>
        <w:tab/>
      </w:r>
      <w:r w:rsidRPr="00AC4D07">
        <w:rPr>
          <w:rFonts w:ascii="Garamond" w:hAnsi="Garamond"/>
          <w:sz w:val="18"/>
          <w:szCs w:val="18"/>
          <w:vertAlign w:val="superscript"/>
        </w:rPr>
        <w:t>1</w:t>
      </w:r>
      <w:r w:rsidRPr="00AC4D07">
        <w:rPr>
          <w:rFonts w:ascii="Garamond" w:hAnsi="Garamond"/>
          <w:sz w:val="18"/>
          <w:szCs w:val="18"/>
        </w:rPr>
        <w:t>All dates shown are in 2024.</w:t>
      </w:r>
    </w:p>
    <w:p w:rsidR="001B7E6E" w14:paraId="05F10352" w14:textId="58771B3F">
      <w:pPr>
        <w:rPr>
          <w:rFonts w:ascii="Garamond" w:hAnsi="Garamond"/>
          <w:b/>
          <w:bCs/>
          <w:u w:val="single"/>
        </w:rPr>
      </w:pPr>
    </w:p>
    <w:p w:rsidR="009E4801" w:rsidP="005D2EC4" w14:paraId="2E5110DE" w14:textId="33526C9B">
      <w:pPr>
        <w:pStyle w:val="Heading1"/>
      </w:pPr>
      <w:r>
        <w:t xml:space="preserve">Part B: </w:t>
      </w:r>
      <w:r w:rsidRPr="009E4801">
        <w:t>Boost Incentives for Key Sample Member Groups</w:t>
      </w:r>
    </w:p>
    <w:p w:rsidR="00BB5378" w:rsidP="00E74C5D" w14:paraId="081AC35C" w14:textId="77777777">
      <w:pPr>
        <w:rPr>
          <w:rFonts w:ascii="Garamond" w:hAnsi="Garamond"/>
          <w:b/>
          <w:bCs/>
          <w:u w:val="single"/>
        </w:rPr>
      </w:pPr>
    </w:p>
    <w:p w:rsidR="00BB5378" w:rsidRPr="00E344F7" w:rsidP="00BB5378" w14:paraId="621C8E36" w14:textId="01901FCC">
      <w:pPr>
        <w:rPr>
          <w:rFonts w:ascii="Garamond" w:hAnsi="Garamond" w:cs="Arial"/>
        </w:rPr>
      </w:pPr>
      <w:bookmarkStart w:id="1" w:name="_Hlk171326032"/>
      <w:r w:rsidRPr="00E344F7">
        <w:rPr>
          <w:rFonts w:ascii="Garamond" w:hAnsi="Garamond" w:cs="Arial"/>
        </w:rPr>
        <w:t>To identify subgroups for the incentive boost, we estimated a binary logistic regression model predicting the probability of a NPSAS:24 survey response for</w:t>
      </w:r>
      <w:r w:rsidR="00F443DD">
        <w:rPr>
          <w:rFonts w:ascii="Garamond" w:hAnsi="Garamond" w:cs="Arial"/>
        </w:rPr>
        <w:t xml:space="preserve"> respondents, partial respondents, and nonrespondents</w:t>
      </w:r>
      <w:r w:rsidRPr="00E344F7">
        <w:rPr>
          <w:rFonts w:ascii="Garamond" w:hAnsi="Garamond" w:cs="Arial"/>
        </w:rPr>
        <w:t xml:space="preserve"> in Waves 1-5 of data collection</w:t>
      </w:r>
      <w:bookmarkEnd w:id="1"/>
      <w:r w:rsidRPr="00E344F7">
        <w:rPr>
          <w:rFonts w:ascii="Garamond" w:hAnsi="Garamond" w:cs="Arial"/>
        </w:rPr>
        <w:t xml:space="preserve">. This model included nine sample member characteristics as substantive predictors: gender (coded as male, female, other), age (25 or younger, 26 to 39, 40 and older), race (White, races other than White), ethnicity (Hispanic/Latino, not Hispanic/Latino), veteran status (veteran, not a veteran), control of sample member’s institution (public, private non-profit, private for-profit), level of sample member’s institution (less than 2 year, 2 to less than 4 year, 4 year or higher non-doctoral, 4 year or higher doctoral), whether sample member’s course of study is STEM (STEM, not STEM), and undergraduate status (undergraduate, not an undergraduate). These variables were obtained from enrollment lists. In cases where data from the enrollment lists were missing, we replaced missing values with sample members’ substantive answers to the NPSAS:24 survey, where available. </w:t>
      </w:r>
    </w:p>
    <w:p w:rsidR="00BB5378" w:rsidP="00BB5378" w14:paraId="27DAEB6B" w14:textId="77777777">
      <w:pPr>
        <w:rPr>
          <w:rFonts w:ascii="Garamond" w:hAnsi="Garamond" w:cs="Arial"/>
        </w:rPr>
      </w:pPr>
    </w:p>
    <w:p w:rsidR="00BB5378" w:rsidP="00BB5378" w14:paraId="7C88A5E0" w14:textId="06312EBE">
      <w:pPr>
        <w:rPr>
          <w:rFonts w:ascii="Garamond" w:hAnsi="Garamond" w:cs="Arial"/>
        </w:rPr>
      </w:pPr>
      <w:r w:rsidRPr="00E344F7">
        <w:rPr>
          <w:rFonts w:ascii="Garamond" w:hAnsi="Garamond" w:cs="Arial"/>
        </w:rPr>
        <w:t xml:space="preserve">The model also included three variables controlling for design features of the survey: the sample member’s data collection wave, whether the sample member was assigned for CATI calling, and time of day that reminder emails were sent to the sample member. The overall model fit was good – the </w:t>
      </w:r>
      <w:r w:rsidRPr="00E344F7">
        <w:rPr>
          <w:rFonts w:ascii="Garamond" w:hAnsi="Garamond" w:cs="Arial"/>
        </w:rPr>
        <w:t>pseudo R</w:t>
      </w:r>
      <w:r w:rsidRPr="00E344F7">
        <w:rPr>
          <w:rFonts w:ascii="Garamond" w:hAnsi="Garamond" w:cs="Arial"/>
        </w:rPr>
        <w:t xml:space="preserve">-square for the final model was 0.4.  </w:t>
      </w:r>
    </w:p>
    <w:p w:rsidR="00BB5378" w:rsidRPr="00E344F7" w:rsidP="00BB5378" w14:paraId="689062F5" w14:textId="77777777">
      <w:pPr>
        <w:rPr>
          <w:rFonts w:ascii="Garamond" w:hAnsi="Garamond" w:cs="Arial"/>
        </w:rPr>
      </w:pPr>
    </w:p>
    <w:p w:rsidR="00BB5378" w:rsidP="00BB5378" w14:paraId="7F7261BD" w14:textId="0859DB6D">
      <w:pPr>
        <w:rPr>
          <w:rFonts w:ascii="Garamond" w:hAnsi="Garamond" w:cs="Arial"/>
        </w:rPr>
      </w:pPr>
      <w:r w:rsidRPr="00E344F7">
        <w:rPr>
          <w:rFonts w:ascii="Garamond" w:hAnsi="Garamond" w:cs="Arial"/>
        </w:rPr>
        <w:t xml:space="preserve">We then used this model to estimate predicted probabilities of NPSAS:24 survey response for each category of each of our nine sample member characteristics, holding all other variables at their means. Table </w:t>
      </w:r>
      <w:r>
        <w:rPr>
          <w:rFonts w:ascii="Garamond" w:hAnsi="Garamond" w:cs="Arial"/>
        </w:rPr>
        <w:t>2</w:t>
      </w:r>
      <w:r w:rsidRPr="00E344F7">
        <w:rPr>
          <w:rFonts w:ascii="Garamond" w:hAnsi="Garamond" w:cs="Arial"/>
        </w:rPr>
        <w:t xml:space="preserve"> below displays these predicted probabilities, along with response rates for each subgroup as of July 1</w:t>
      </w:r>
      <w:r w:rsidRPr="00E344F7">
        <w:rPr>
          <w:rFonts w:ascii="Garamond" w:hAnsi="Garamond" w:cs="Arial"/>
          <w:vertAlign w:val="superscript"/>
        </w:rPr>
        <w:t>st</w:t>
      </w:r>
      <w:r w:rsidRPr="00E344F7">
        <w:rPr>
          <w:rFonts w:ascii="Garamond" w:hAnsi="Garamond" w:cs="Arial"/>
        </w:rPr>
        <w:t>, 2024.</w:t>
      </w:r>
    </w:p>
    <w:p w:rsidR="00BB5378" w:rsidP="00BB5378" w14:paraId="0B00BBDF" w14:textId="77777777">
      <w:pPr>
        <w:rPr>
          <w:rFonts w:ascii="Garamond" w:hAnsi="Garamond" w:cs="Arial"/>
        </w:rPr>
      </w:pPr>
    </w:p>
    <w:p w:rsidR="00BB5378" w:rsidP="00BB5378" w14:paraId="6D03C042" w14:textId="33E4BF26">
      <w:pPr>
        <w:rPr>
          <w:rFonts w:ascii="Garamond" w:hAnsi="Garamond" w:cs="Arial"/>
        </w:rPr>
      </w:pPr>
      <w:r w:rsidRPr="00E344F7">
        <w:rPr>
          <w:rFonts w:ascii="Garamond" w:hAnsi="Garamond" w:cs="Arial"/>
        </w:rPr>
        <w:t xml:space="preserve">We identified three subgroups that had lower response rates and/or propensities – </w:t>
      </w:r>
      <w:r w:rsidRPr="00E07721" w:rsidR="00E07721">
        <w:rPr>
          <w:rFonts w:ascii="Garamond" w:hAnsi="Garamond" w:cs="Arial"/>
          <w:i/>
          <w:iCs/>
        </w:rPr>
        <w:t>c</w:t>
      </w:r>
      <w:r w:rsidRPr="00E07721">
        <w:rPr>
          <w:rFonts w:ascii="Garamond" w:hAnsi="Garamond" w:cs="Arial"/>
          <w:i/>
          <w:iCs/>
        </w:rPr>
        <w:t>ontrol</w:t>
      </w:r>
      <w:r w:rsidRPr="00E344F7">
        <w:rPr>
          <w:rFonts w:ascii="Garamond" w:hAnsi="Garamond" w:cs="Arial"/>
        </w:rPr>
        <w:t xml:space="preserve"> of private for</w:t>
      </w:r>
      <w:r w:rsidR="00951CE8">
        <w:rPr>
          <w:rFonts w:ascii="Garamond" w:hAnsi="Garamond" w:cs="Arial"/>
        </w:rPr>
        <w:t>-</w:t>
      </w:r>
      <w:r w:rsidRPr="00E344F7">
        <w:rPr>
          <w:rFonts w:ascii="Garamond" w:hAnsi="Garamond" w:cs="Arial"/>
        </w:rPr>
        <w:t>profit (low response rate of 38.4</w:t>
      </w:r>
      <w:r w:rsidR="00E07721">
        <w:rPr>
          <w:rFonts w:ascii="Garamond" w:hAnsi="Garamond" w:cs="Arial"/>
        </w:rPr>
        <w:t xml:space="preserve"> percent</w:t>
      </w:r>
      <w:r w:rsidRPr="00E344F7">
        <w:rPr>
          <w:rFonts w:ascii="Garamond" w:hAnsi="Garamond" w:cs="Arial"/>
        </w:rPr>
        <w:t xml:space="preserve">), </w:t>
      </w:r>
      <w:r w:rsidRPr="00E07721" w:rsidR="00E07721">
        <w:rPr>
          <w:rFonts w:ascii="Garamond" w:hAnsi="Garamond" w:cs="Arial"/>
          <w:i/>
          <w:iCs/>
        </w:rPr>
        <w:t>i</w:t>
      </w:r>
      <w:r w:rsidRPr="00E07721">
        <w:rPr>
          <w:rFonts w:ascii="Garamond" w:hAnsi="Garamond" w:cs="Arial"/>
          <w:i/>
          <w:iCs/>
        </w:rPr>
        <w:t xml:space="preserve">nstitution </w:t>
      </w:r>
      <w:r w:rsidRPr="00E07721" w:rsidR="00E07721">
        <w:rPr>
          <w:rFonts w:ascii="Garamond" w:hAnsi="Garamond" w:cs="Arial"/>
          <w:i/>
          <w:iCs/>
        </w:rPr>
        <w:t>l</w:t>
      </w:r>
      <w:r w:rsidRPr="00E07721">
        <w:rPr>
          <w:rFonts w:ascii="Garamond" w:hAnsi="Garamond" w:cs="Arial"/>
          <w:i/>
          <w:iCs/>
        </w:rPr>
        <w:t>evel</w:t>
      </w:r>
      <w:r w:rsidRPr="00E344F7">
        <w:rPr>
          <w:rFonts w:ascii="Garamond" w:hAnsi="Garamond" w:cs="Arial"/>
        </w:rPr>
        <w:t xml:space="preserve"> of less</w:t>
      </w:r>
      <w:r w:rsidR="001D6F6C">
        <w:rPr>
          <w:rFonts w:ascii="Garamond" w:hAnsi="Garamond" w:cs="Arial"/>
        </w:rPr>
        <w:t>-</w:t>
      </w:r>
      <w:r w:rsidRPr="00E344F7">
        <w:rPr>
          <w:rFonts w:ascii="Garamond" w:hAnsi="Garamond" w:cs="Arial"/>
        </w:rPr>
        <w:t>than</w:t>
      </w:r>
      <w:r w:rsidR="001D6F6C">
        <w:rPr>
          <w:rFonts w:ascii="Garamond" w:hAnsi="Garamond" w:cs="Arial"/>
        </w:rPr>
        <w:t>-</w:t>
      </w:r>
      <w:r w:rsidRPr="00E344F7">
        <w:rPr>
          <w:rFonts w:ascii="Garamond" w:hAnsi="Garamond" w:cs="Arial"/>
        </w:rPr>
        <w:t>2 year (low response propensity of 0.58 and low response rate of 34.1</w:t>
      </w:r>
      <w:r w:rsidR="00E07721">
        <w:rPr>
          <w:rFonts w:ascii="Garamond" w:hAnsi="Garamond" w:cs="Arial"/>
        </w:rPr>
        <w:t xml:space="preserve"> percent</w:t>
      </w:r>
      <w:r w:rsidRPr="00E344F7">
        <w:rPr>
          <w:rFonts w:ascii="Garamond" w:hAnsi="Garamond" w:cs="Arial"/>
        </w:rPr>
        <w:t xml:space="preserve">), and </w:t>
      </w:r>
      <w:r w:rsidRPr="00E07721" w:rsidR="00E07721">
        <w:rPr>
          <w:rFonts w:ascii="Garamond" w:hAnsi="Garamond" w:cs="Arial"/>
          <w:i/>
          <w:iCs/>
        </w:rPr>
        <w:t>i</w:t>
      </w:r>
      <w:r w:rsidRPr="00E07721">
        <w:rPr>
          <w:rFonts w:ascii="Garamond" w:hAnsi="Garamond" w:cs="Arial"/>
          <w:i/>
          <w:iCs/>
        </w:rPr>
        <w:t xml:space="preserve">nstitution </w:t>
      </w:r>
      <w:r w:rsidRPr="00E07721" w:rsidR="00E07721">
        <w:rPr>
          <w:rFonts w:ascii="Garamond" w:hAnsi="Garamond" w:cs="Arial"/>
          <w:i/>
          <w:iCs/>
        </w:rPr>
        <w:t>l</w:t>
      </w:r>
      <w:r w:rsidRPr="00E07721">
        <w:rPr>
          <w:rFonts w:ascii="Garamond" w:hAnsi="Garamond" w:cs="Arial"/>
          <w:i/>
          <w:iCs/>
        </w:rPr>
        <w:t>evel</w:t>
      </w:r>
      <w:r w:rsidRPr="00E344F7">
        <w:rPr>
          <w:rFonts w:ascii="Garamond" w:hAnsi="Garamond" w:cs="Arial"/>
        </w:rPr>
        <w:t xml:space="preserve"> of 2</w:t>
      </w:r>
      <w:r w:rsidR="00BD436A">
        <w:rPr>
          <w:rFonts w:ascii="Garamond" w:hAnsi="Garamond" w:cs="Arial"/>
        </w:rPr>
        <w:t>-</w:t>
      </w:r>
      <w:r w:rsidRPr="00E344F7">
        <w:rPr>
          <w:rFonts w:ascii="Garamond" w:hAnsi="Garamond" w:cs="Arial"/>
        </w:rPr>
        <w:t>years but less</w:t>
      </w:r>
      <w:r w:rsidR="0063079A">
        <w:rPr>
          <w:rFonts w:ascii="Garamond" w:hAnsi="Garamond" w:cs="Arial"/>
        </w:rPr>
        <w:t>-</w:t>
      </w:r>
      <w:r w:rsidRPr="00E344F7">
        <w:rPr>
          <w:rFonts w:ascii="Garamond" w:hAnsi="Garamond" w:cs="Arial"/>
        </w:rPr>
        <w:t>than</w:t>
      </w:r>
      <w:r w:rsidR="0063079A">
        <w:rPr>
          <w:rFonts w:ascii="Garamond" w:hAnsi="Garamond" w:cs="Arial"/>
        </w:rPr>
        <w:t>-</w:t>
      </w:r>
      <w:r w:rsidRPr="00E344F7">
        <w:rPr>
          <w:rFonts w:ascii="Garamond" w:hAnsi="Garamond" w:cs="Arial"/>
        </w:rPr>
        <w:t>4 year</w:t>
      </w:r>
      <w:r w:rsidRPr="00E344F7">
        <w:rPr>
          <w:rFonts w:ascii="Garamond" w:hAnsi="Garamond" w:cs="Arial"/>
        </w:rPr>
        <w:t xml:space="preserve"> institutions (low response propensity of 0.66 and low response rate of 37.5</w:t>
      </w:r>
      <w:r w:rsidR="00E07721">
        <w:rPr>
          <w:rFonts w:ascii="Garamond" w:hAnsi="Garamond" w:cs="Arial"/>
        </w:rPr>
        <w:t xml:space="preserve"> percent</w:t>
      </w:r>
      <w:r w:rsidRPr="00E344F7">
        <w:rPr>
          <w:rFonts w:ascii="Garamond" w:hAnsi="Garamond" w:cs="Arial"/>
        </w:rPr>
        <w:t xml:space="preserve">). Those three groups have historically responded at lower rates across NPSAS surveys and may benefit from a design change in line with the leverage saliency theory, stipulating that “one-fits all” incentive amount is not a good solution to nonresponse error (Groves, </w:t>
      </w:r>
      <w:r w:rsidRPr="00E344F7">
        <w:rPr>
          <w:rFonts w:ascii="Garamond" w:hAnsi="Garamond" w:cs="Arial"/>
        </w:rPr>
        <w:t>Singer</w:t>
      </w:r>
      <w:r w:rsidRPr="00E344F7">
        <w:rPr>
          <w:rFonts w:ascii="Garamond" w:hAnsi="Garamond" w:cs="Arial"/>
        </w:rPr>
        <w:t xml:space="preserve"> and Corning, 2000).</w:t>
      </w:r>
      <w:r>
        <w:rPr>
          <w:rStyle w:val="FootnoteReference"/>
        </w:rPr>
        <w:footnoteReference w:id="6"/>
      </w:r>
      <w:r w:rsidRPr="00E344F7">
        <w:rPr>
          <w:rFonts w:ascii="Garamond" w:hAnsi="Garamond" w:cs="Arial"/>
        </w:rPr>
        <w:t xml:space="preserve"> </w:t>
      </w:r>
    </w:p>
    <w:p w:rsidR="00BB5378" w:rsidP="00BB5378" w14:paraId="71B82F71" w14:textId="77777777">
      <w:pPr>
        <w:rPr>
          <w:rFonts w:ascii="Garamond" w:hAnsi="Garamond" w:cs="Arial"/>
        </w:rPr>
      </w:pPr>
    </w:p>
    <w:p w:rsidR="00BB5378" w:rsidRPr="00E344F7" w:rsidP="00BB5378" w14:paraId="643A4C83" w14:textId="27F927F2">
      <w:pPr>
        <w:rPr>
          <w:rFonts w:ascii="Garamond" w:hAnsi="Garamond" w:cs="Arial"/>
        </w:rPr>
      </w:pPr>
      <w:r w:rsidRPr="00E344F7">
        <w:rPr>
          <w:rFonts w:ascii="Garamond" w:hAnsi="Garamond" w:cs="Arial"/>
        </w:rPr>
        <w:t xml:space="preserve">Differential incentives have been proven successful in bringing in groups of focal importance who were otherwise underrepresented (e.g., Groves, Singer and Corning, 2000; Groves and </w:t>
      </w:r>
      <w:r w:rsidRPr="00E344F7">
        <w:rPr>
          <w:rFonts w:ascii="Garamond" w:hAnsi="Garamond" w:cs="Arial"/>
        </w:rPr>
        <w:t>Heeringa</w:t>
      </w:r>
      <w:r w:rsidRPr="00E344F7">
        <w:rPr>
          <w:rFonts w:ascii="Garamond" w:hAnsi="Garamond" w:cs="Arial"/>
        </w:rPr>
        <w:t xml:space="preserve">, 2006; </w:t>
      </w:r>
      <w:r w:rsidRPr="00E344F7">
        <w:rPr>
          <w:rFonts w:ascii="Garamond" w:hAnsi="Garamond" w:cs="Arial"/>
        </w:rPr>
        <w:t>Peytcheva</w:t>
      </w:r>
      <w:r w:rsidRPr="00E344F7">
        <w:rPr>
          <w:rFonts w:ascii="Garamond" w:hAnsi="Garamond" w:cs="Arial"/>
        </w:rPr>
        <w:t xml:space="preserve">, </w:t>
      </w:r>
      <w:r w:rsidRPr="00E344F7">
        <w:rPr>
          <w:rFonts w:ascii="Garamond" w:hAnsi="Garamond" w:cs="Arial"/>
        </w:rPr>
        <w:t>Kirchner and Cooney, 2018).</w:t>
      </w:r>
      <w:r>
        <w:rPr>
          <w:rStyle w:val="FootnoteReference"/>
        </w:rPr>
        <w:footnoteReference w:id="7"/>
      </w:r>
      <w:r w:rsidRPr="000D20B6" w:rsidR="000D20B6">
        <w:rPr>
          <w:rFonts w:ascii="Garamond" w:hAnsi="Garamond" w:cs="Arial"/>
          <w:vertAlign w:val="superscript"/>
        </w:rPr>
        <w:t>,</w:t>
      </w:r>
      <w:r>
        <w:rPr>
          <w:rStyle w:val="FootnoteReference"/>
        </w:rPr>
        <w:footnoteReference w:id="8"/>
      </w:r>
      <w:r w:rsidRPr="00E344F7">
        <w:rPr>
          <w:rFonts w:ascii="Garamond" w:hAnsi="Garamond" w:cs="Arial"/>
        </w:rPr>
        <w:t xml:space="preserve"> Such strategy was successfully employed in NPSAS:20 when additional $10 were offered to nonrespondents in three key analyses groups during the last 8 waves of data collection, resulting in an average response rate increase of 17.53 percent across waves relative to the projected response rate under the original design. We therefore recommend offering a $10 promised incentive boost for cases belonging to any of the three groups mentioned above</w:t>
      </w:r>
      <w:r w:rsidR="000D20B6">
        <w:rPr>
          <w:rFonts w:ascii="Garamond" w:hAnsi="Garamond" w:cs="Arial"/>
        </w:rPr>
        <w:t xml:space="preserve"> in the earliest waves</w:t>
      </w:r>
      <w:r w:rsidRPr="00E344F7">
        <w:rPr>
          <w:rFonts w:ascii="Garamond" w:hAnsi="Garamond" w:cs="Arial"/>
        </w:rPr>
        <w:t xml:space="preserve">, to encourage participation and reduce the potential for nonresponse bias. This would result in an incentive boost for approximately 4,500 nonresponding sample members from Waves 1 – 3. For the rest of the sample member characteristics, response rates and propensities were generally similar across subgroups, but we will continue to monitor them during data </w:t>
      </w:r>
      <w:r w:rsidRPr="00E344F7">
        <w:rPr>
          <w:rFonts w:ascii="Garamond" w:hAnsi="Garamond" w:cs="Arial"/>
        </w:rPr>
        <w:t>collection</w:t>
      </w:r>
      <w:r w:rsidR="002B279E">
        <w:rPr>
          <w:rFonts w:ascii="Garamond" w:hAnsi="Garamond" w:cs="Arial"/>
        </w:rPr>
        <w:t xml:space="preserve"> and we will re-evaluate the remaining waves in September 2024.</w:t>
      </w:r>
    </w:p>
    <w:p w:rsidR="00BB5378" w:rsidRPr="00E344F7" w:rsidP="00BB5378" w14:paraId="2B962298" w14:textId="77777777">
      <w:pPr>
        <w:rPr>
          <w:rFonts w:ascii="Garamond" w:hAnsi="Garamond" w:cs="Arial"/>
        </w:rPr>
      </w:pPr>
    </w:p>
    <w:p w:rsidR="00BB5378" w:rsidP="00BB5378" w14:paraId="048EF640" w14:textId="2DDB6353">
      <w:pPr>
        <w:keepNext/>
        <w:keepLines/>
        <w:rPr>
          <w:rFonts w:ascii="Garamond" w:hAnsi="Garamond"/>
          <w:b/>
          <w:bCs/>
        </w:rPr>
      </w:pPr>
      <w:bookmarkStart w:id="2" w:name="_Ref90565769"/>
      <w:bookmarkStart w:id="3" w:name="_Toc85553711"/>
      <w:bookmarkStart w:id="4" w:name="_Toc86217264"/>
      <w:bookmarkStart w:id="5" w:name="_Toc96095986"/>
      <w:bookmarkStart w:id="6" w:name="_Toc98270688"/>
      <w:bookmarkStart w:id="7" w:name="_Toc98270760"/>
      <w:bookmarkStart w:id="8" w:name="_Toc101859055"/>
      <w:r w:rsidRPr="00BB5378">
        <w:rPr>
          <w:rFonts w:ascii="Garamond" w:hAnsi="Garamond"/>
          <w:b/>
          <w:bCs/>
        </w:rPr>
        <w:t xml:space="preserve">Table </w:t>
      </w:r>
      <w:bookmarkEnd w:id="2"/>
      <w:r w:rsidRPr="00BB5378">
        <w:rPr>
          <w:rFonts w:ascii="Garamond" w:hAnsi="Garamond"/>
          <w:b/>
          <w:bCs/>
        </w:rPr>
        <w:t xml:space="preserve">2. </w:t>
      </w:r>
      <w:bookmarkEnd w:id="3"/>
      <w:bookmarkEnd w:id="4"/>
      <w:bookmarkEnd w:id="5"/>
      <w:bookmarkEnd w:id="6"/>
      <w:bookmarkEnd w:id="7"/>
      <w:bookmarkEnd w:id="8"/>
      <w:r w:rsidRPr="00BB5378">
        <w:rPr>
          <w:rFonts w:ascii="Garamond" w:hAnsi="Garamond"/>
          <w:b/>
          <w:bCs/>
        </w:rPr>
        <w:t>Response Rates and Mean Predicted Propensities for Selected Subgroups</w:t>
      </w:r>
    </w:p>
    <w:p w:rsidR="00BB5378" w:rsidP="00BB5378" w14:paraId="14AEB99E" w14:textId="77777777">
      <w:pPr>
        <w:keepNext/>
        <w:keepLines/>
        <w:rPr>
          <w:rFonts w:ascii="Garamond" w:hAnsi="Garamond"/>
          <w:b/>
          <w:bCs/>
        </w:rPr>
      </w:pPr>
    </w:p>
    <w:tbl>
      <w:tblPr>
        <w:tblStyle w:val="TableGridNCES1"/>
        <w:tblW w:w="3917" w:type="pct"/>
        <w:tblLayout w:type="fixed"/>
        <w:tblLook w:val="04A0"/>
      </w:tblPr>
      <w:tblGrid>
        <w:gridCol w:w="3706"/>
        <w:gridCol w:w="1941"/>
        <w:gridCol w:w="1294"/>
        <w:gridCol w:w="1294"/>
      </w:tblGrid>
      <w:tr w14:paraId="3071DFE4" w14:textId="77777777" w:rsidTr="00704074">
        <w:tblPrEx>
          <w:tblW w:w="3917" w:type="pct"/>
          <w:tblLayout w:type="fixed"/>
          <w:tblLook w:val="04A0"/>
        </w:tblPrEx>
        <w:trPr>
          <w:tblHeader/>
        </w:trPr>
        <w:tc>
          <w:tcPr>
            <w:tcW w:w="3301" w:type="dxa"/>
            <w:hideMark/>
          </w:tcPr>
          <w:p w:rsidR="00BB5378" w:rsidRPr="00B319B2" w:rsidP="00BB5378" w14:paraId="400EEB2E" w14:textId="77777777">
            <w:pPr>
              <w:pStyle w:val="Tabletext8pt"/>
              <w:keepLines/>
              <w:rPr>
                <w:rFonts w:asciiTheme="minorHAnsi" w:hAnsiTheme="minorHAnsi" w:cstheme="minorHAnsi"/>
                <w:b w:val="0"/>
                <w:sz w:val="18"/>
                <w:szCs w:val="18"/>
              </w:rPr>
            </w:pPr>
            <w:r w:rsidRPr="00B319B2">
              <w:rPr>
                <w:rFonts w:asciiTheme="minorHAnsi" w:hAnsiTheme="minorHAnsi" w:cstheme="minorHAnsi"/>
                <w:sz w:val="18"/>
                <w:szCs w:val="18"/>
              </w:rPr>
              <w:t> Sample member characteristic</w:t>
            </w:r>
          </w:p>
        </w:tc>
        <w:tc>
          <w:tcPr>
            <w:tcW w:w="1728" w:type="dxa"/>
            <w:hideMark/>
          </w:tcPr>
          <w:p w:rsidR="00BB5378" w:rsidRPr="00B319B2" w:rsidP="00BB5378" w14:paraId="1761269E" w14:textId="77777777">
            <w:pPr>
              <w:pStyle w:val="Tabletext8pt"/>
              <w:keepLines/>
              <w:rPr>
                <w:rFonts w:asciiTheme="minorHAnsi" w:hAnsiTheme="minorHAnsi" w:cstheme="minorHAnsi"/>
                <w:sz w:val="18"/>
                <w:szCs w:val="18"/>
              </w:rPr>
            </w:pPr>
            <w:r w:rsidRPr="00B319B2">
              <w:rPr>
                <w:rFonts w:asciiTheme="minorHAnsi" w:hAnsiTheme="minorHAnsi" w:cstheme="minorHAnsi"/>
                <w:sz w:val="18"/>
                <w:szCs w:val="18"/>
              </w:rPr>
              <w:t>Predicted Probability of Survey Response</w:t>
            </w:r>
          </w:p>
        </w:tc>
        <w:tc>
          <w:tcPr>
            <w:tcW w:w="1152" w:type="dxa"/>
            <w:hideMark/>
          </w:tcPr>
          <w:p w:rsidR="00BB5378" w:rsidRPr="00B319B2" w:rsidP="00BB5378" w14:paraId="05134C40"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Standard Error</w:t>
            </w:r>
          </w:p>
        </w:tc>
        <w:tc>
          <w:tcPr>
            <w:tcW w:w="1152" w:type="dxa"/>
            <w:hideMark/>
          </w:tcPr>
          <w:p w:rsidR="00BB5378" w:rsidRPr="00B319B2" w:rsidP="00BB5378" w14:paraId="5060E65A" w14:textId="77777777">
            <w:pPr>
              <w:pStyle w:val="Tabletext8pt"/>
              <w:keepLines/>
              <w:jc w:val="center"/>
              <w:rPr>
                <w:rFonts w:asciiTheme="minorHAnsi" w:hAnsiTheme="minorHAnsi" w:cstheme="minorHAnsi"/>
                <w:sz w:val="18"/>
                <w:szCs w:val="18"/>
              </w:rPr>
            </w:pPr>
            <w:r w:rsidRPr="00B319B2">
              <w:rPr>
                <w:rFonts w:asciiTheme="minorHAnsi" w:hAnsiTheme="minorHAnsi" w:cstheme="minorHAnsi"/>
                <w:sz w:val="18"/>
                <w:szCs w:val="18"/>
              </w:rPr>
              <w:t>Response Rate as of 7/1/2024</w:t>
            </w:r>
          </w:p>
        </w:tc>
      </w:tr>
      <w:tr w14:paraId="7000AF60" w14:textId="77777777" w:rsidTr="00704074">
        <w:tblPrEx>
          <w:tblW w:w="3917" w:type="pct"/>
          <w:tblLayout w:type="fixed"/>
          <w:tblLook w:val="04A0"/>
        </w:tblPrEx>
        <w:tc>
          <w:tcPr>
            <w:tcW w:w="3301" w:type="dxa"/>
          </w:tcPr>
          <w:p w:rsidR="00BB5378" w:rsidRPr="00B319B2" w:rsidP="00BB5378" w14:paraId="1BA6F576" w14:textId="77777777">
            <w:pPr>
              <w:pStyle w:val="Tabletext8ptcol1subhead"/>
              <w:keepLines/>
              <w:rPr>
                <w:rFonts w:asciiTheme="minorHAnsi" w:hAnsiTheme="minorHAnsi" w:cstheme="minorHAnsi"/>
                <w:sz w:val="18"/>
                <w:szCs w:val="18"/>
              </w:rPr>
            </w:pPr>
            <w:r w:rsidRPr="00B319B2">
              <w:rPr>
                <w:rFonts w:asciiTheme="minorHAnsi" w:hAnsiTheme="minorHAnsi" w:cstheme="minorHAnsi"/>
                <w:b/>
                <w:bCs/>
                <w:sz w:val="18"/>
                <w:szCs w:val="18"/>
              </w:rPr>
              <w:t>Gender</w:t>
            </w:r>
          </w:p>
        </w:tc>
        <w:tc>
          <w:tcPr>
            <w:tcW w:w="1728" w:type="dxa"/>
          </w:tcPr>
          <w:p w:rsidR="00BB5378" w:rsidRPr="00B319B2" w:rsidP="00BB5378" w14:paraId="6F237C37" w14:textId="77777777">
            <w:pPr>
              <w:pStyle w:val="Tabletext8pt"/>
              <w:keepLines/>
              <w:jc w:val="left"/>
              <w:rPr>
                <w:rFonts w:asciiTheme="minorHAnsi" w:hAnsiTheme="minorHAnsi" w:cstheme="minorHAnsi"/>
                <w:sz w:val="18"/>
                <w:szCs w:val="18"/>
              </w:rPr>
            </w:pPr>
          </w:p>
        </w:tc>
        <w:tc>
          <w:tcPr>
            <w:tcW w:w="1152" w:type="dxa"/>
          </w:tcPr>
          <w:p w:rsidR="00BB5378" w:rsidRPr="00B319B2" w:rsidP="00BB5378" w14:paraId="3F614DB4" w14:textId="77777777">
            <w:pPr>
              <w:pStyle w:val="Tabletext8pt"/>
              <w:keepLines/>
              <w:jc w:val="left"/>
              <w:rPr>
                <w:rFonts w:asciiTheme="minorHAnsi" w:hAnsiTheme="minorHAnsi" w:cstheme="minorHAnsi"/>
                <w:sz w:val="18"/>
                <w:szCs w:val="18"/>
              </w:rPr>
            </w:pPr>
          </w:p>
        </w:tc>
        <w:tc>
          <w:tcPr>
            <w:tcW w:w="1152" w:type="dxa"/>
            <w:noWrap/>
          </w:tcPr>
          <w:p w:rsidR="00BB5378" w:rsidRPr="00B319B2" w:rsidP="00BB5378" w14:paraId="12EED8D2" w14:textId="77777777">
            <w:pPr>
              <w:pStyle w:val="Tabletext8pt"/>
              <w:keepLines/>
              <w:rPr>
                <w:rFonts w:asciiTheme="minorHAnsi" w:hAnsiTheme="minorHAnsi" w:cstheme="minorHAnsi"/>
                <w:sz w:val="18"/>
                <w:szCs w:val="18"/>
              </w:rPr>
            </w:pPr>
          </w:p>
        </w:tc>
      </w:tr>
      <w:tr w14:paraId="72A65428" w14:textId="77777777" w:rsidTr="00704074">
        <w:tblPrEx>
          <w:tblW w:w="3917" w:type="pct"/>
          <w:tblLayout w:type="fixed"/>
          <w:tblLook w:val="04A0"/>
        </w:tblPrEx>
        <w:tc>
          <w:tcPr>
            <w:tcW w:w="3301" w:type="dxa"/>
            <w:hideMark/>
          </w:tcPr>
          <w:p w:rsidR="00BB5378" w:rsidRPr="00B319B2" w:rsidP="00704074" w14:paraId="6554F3D4" w14:textId="77777777">
            <w:pPr>
              <w:pStyle w:val="Tabletext8ptcol1indent1"/>
              <w:rPr>
                <w:rFonts w:asciiTheme="minorHAnsi" w:hAnsiTheme="minorHAnsi" w:cstheme="minorHAnsi"/>
                <w:sz w:val="18"/>
              </w:rPr>
            </w:pPr>
            <w:r w:rsidRPr="00B319B2">
              <w:rPr>
                <w:rFonts w:asciiTheme="minorHAnsi" w:hAnsiTheme="minorHAnsi" w:cstheme="minorHAnsi"/>
                <w:sz w:val="18"/>
              </w:rPr>
              <w:t>Male</w:t>
            </w:r>
          </w:p>
        </w:tc>
        <w:tc>
          <w:tcPr>
            <w:tcW w:w="1728" w:type="dxa"/>
            <w:vAlign w:val="top"/>
            <w:hideMark/>
          </w:tcPr>
          <w:p w:rsidR="00BB5378" w:rsidRPr="00B319B2" w:rsidP="00704074" w14:paraId="071AF2E5"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0.67</w:t>
            </w:r>
          </w:p>
        </w:tc>
        <w:tc>
          <w:tcPr>
            <w:tcW w:w="1152" w:type="dxa"/>
            <w:vAlign w:val="top"/>
            <w:hideMark/>
          </w:tcPr>
          <w:p w:rsidR="00BB5378" w:rsidRPr="00B319B2" w:rsidP="00704074" w14:paraId="2FE4FDBB"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7EE6ADCB"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43.5%</w:t>
            </w:r>
          </w:p>
        </w:tc>
      </w:tr>
      <w:tr w14:paraId="1401B4D0" w14:textId="77777777" w:rsidTr="00704074">
        <w:tblPrEx>
          <w:tblW w:w="3917" w:type="pct"/>
          <w:tblLayout w:type="fixed"/>
          <w:tblLook w:val="04A0"/>
        </w:tblPrEx>
        <w:tc>
          <w:tcPr>
            <w:tcW w:w="3301" w:type="dxa"/>
            <w:hideMark/>
          </w:tcPr>
          <w:p w:rsidR="00BB5378" w:rsidRPr="00B319B2" w:rsidP="00704074" w14:paraId="71F775D8" w14:textId="77777777">
            <w:pPr>
              <w:pStyle w:val="Tabletext8ptcol1indent1"/>
              <w:rPr>
                <w:rFonts w:asciiTheme="minorHAnsi" w:hAnsiTheme="minorHAnsi" w:cstheme="minorHAnsi"/>
                <w:sz w:val="18"/>
              </w:rPr>
            </w:pPr>
            <w:r w:rsidRPr="00B319B2">
              <w:rPr>
                <w:rFonts w:asciiTheme="minorHAnsi" w:hAnsiTheme="minorHAnsi" w:cstheme="minorHAnsi"/>
                <w:sz w:val="18"/>
              </w:rPr>
              <w:t>Female</w:t>
            </w:r>
          </w:p>
        </w:tc>
        <w:tc>
          <w:tcPr>
            <w:tcW w:w="1728" w:type="dxa"/>
            <w:vAlign w:val="top"/>
            <w:hideMark/>
          </w:tcPr>
          <w:p w:rsidR="00BB5378" w:rsidRPr="00B319B2" w:rsidP="00704074" w14:paraId="3D70CE4A"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0.70</w:t>
            </w:r>
          </w:p>
        </w:tc>
        <w:tc>
          <w:tcPr>
            <w:tcW w:w="1152" w:type="dxa"/>
            <w:vAlign w:val="top"/>
            <w:hideMark/>
          </w:tcPr>
          <w:p w:rsidR="00BB5378" w:rsidRPr="00B319B2" w:rsidP="00704074" w14:paraId="2BA6B93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361D1029"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49.6%</w:t>
            </w:r>
          </w:p>
        </w:tc>
      </w:tr>
      <w:tr w14:paraId="1C6BFB6D" w14:textId="77777777" w:rsidTr="00704074">
        <w:tblPrEx>
          <w:tblW w:w="3917" w:type="pct"/>
          <w:tblLayout w:type="fixed"/>
          <w:tblLook w:val="04A0"/>
        </w:tblPrEx>
        <w:tc>
          <w:tcPr>
            <w:tcW w:w="3301" w:type="dxa"/>
            <w:hideMark/>
          </w:tcPr>
          <w:p w:rsidR="00BB5378" w:rsidRPr="00B319B2" w:rsidP="00704074" w14:paraId="208240B8" w14:textId="77777777">
            <w:pPr>
              <w:pStyle w:val="Tabletext8ptcol1indent1"/>
              <w:rPr>
                <w:rFonts w:asciiTheme="minorHAnsi" w:hAnsiTheme="minorHAnsi" w:cstheme="minorHAnsi"/>
                <w:sz w:val="18"/>
              </w:rPr>
            </w:pPr>
            <w:r w:rsidRPr="00B319B2">
              <w:rPr>
                <w:rFonts w:asciiTheme="minorHAnsi" w:hAnsiTheme="minorHAnsi" w:cstheme="minorHAnsi"/>
                <w:sz w:val="18"/>
              </w:rPr>
              <w:t>Other</w:t>
            </w:r>
          </w:p>
        </w:tc>
        <w:tc>
          <w:tcPr>
            <w:tcW w:w="1728" w:type="dxa"/>
            <w:vAlign w:val="top"/>
            <w:hideMark/>
          </w:tcPr>
          <w:p w:rsidR="00BB5378" w:rsidRPr="00B319B2" w:rsidP="00704074" w14:paraId="3FF98C50"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0.78</w:t>
            </w:r>
          </w:p>
        </w:tc>
        <w:tc>
          <w:tcPr>
            <w:tcW w:w="1152" w:type="dxa"/>
            <w:vAlign w:val="top"/>
            <w:hideMark/>
          </w:tcPr>
          <w:p w:rsidR="00BB5378" w:rsidRPr="00B319B2" w:rsidP="00704074" w14:paraId="6388BF1D"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0.02</w:t>
            </w:r>
          </w:p>
        </w:tc>
        <w:tc>
          <w:tcPr>
            <w:tcW w:w="1152" w:type="dxa"/>
            <w:noWrap/>
            <w:vAlign w:val="top"/>
            <w:hideMark/>
          </w:tcPr>
          <w:p w:rsidR="00BB5378" w:rsidRPr="00B319B2" w:rsidP="00704074" w14:paraId="1018A483"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62.1%</w:t>
            </w:r>
          </w:p>
        </w:tc>
      </w:tr>
      <w:tr w14:paraId="4D64119A" w14:textId="77777777" w:rsidTr="00704074">
        <w:tblPrEx>
          <w:tblW w:w="3917" w:type="pct"/>
          <w:tblLayout w:type="fixed"/>
          <w:tblLook w:val="04A0"/>
        </w:tblPrEx>
        <w:tc>
          <w:tcPr>
            <w:tcW w:w="3301" w:type="dxa"/>
          </w:tcPr>
          <w:p w:rsidR="00BB5378" w:rsidRPr="00B319B2" w:rsidP="00704074" w14:paraId="75994329"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Age</w:t>
            </w:r>
          </w:p>
        </w:tc>
        <w:tc>
          <w:tcPr>
            <w:tcW w:w="1728" w:type="dxa"/>
          </w:tcPr>
          <w:p w:rsidR="00BB5378" w:rsidRPr="00B319B2" w:rsidP="00704074" w14:paraId="13B26F70"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3F69D2C3"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59C749B9" w14:textId="77777777">
            <w:pPr>
              <w:pStyle w:val="Tabletext8pt"/>
              <w:jc w:val="center"/>
              <w:rPr>
                <w:rFonts w:asciiTheme="minorHAnsi" w:hAnsiTheme="minorHAnsi" w:cstheme="minorHAnsi"/>
                <w:sz w:val="18"/>
                <w:szCs w:val="18"/>
              </w:rPr>
            </w:pPr>
          </w:p>
        </w:tc>
      </w:tr>
      <w:tr w14:paraId="167C8E2A" w14:textId="77777777" w:rsidTr="00704074">
        <w:tblPrEx>
          <w:tblW w:w="3917" w:type="pct"/>
          <w:tblLayout w:type="fixed"/>
          <w:tblLook w:val="04A0"/>
        </w:tblPrEx>
        <w:tc>
          <w:tcPr>
            <w:tcW w:w="3301" w:type="dxa"/>
            <w:vAlign w:val="top"/>
            <w:hideMark/>
          </w:tcPr>
          <w:p w:rsidR="00BB5378" w:rsidRPr="00B319B2" w:rsidP="00704074" w14:paraId="13042128" w14:textId="77777777">
            <w:pPr>
              <w:pStyle w:val="Tabletext8ptcol1indent1"/>
              <w:rPr>
                <w:rFonts w:asciiTheme="minorHAnsi" w:hAnsiTheme="minorHAnsi" w:cstheme="minorHAnsi"/>
                <w:sz w:val="18"/>
              </w:rPr>
            </w:pPr>
            <w:r w:rsidRPr="00B319B2">
              <w:rPr>
                <w:rFonts w:asciiTheme="minorHAnsi" w:hAnsiTheme="minorHAnsi" w:cstheme="minorHAnsi"/>
                <w:sz w:val="18"/>
              </w:rPr>
              <w:t>25 or younger</w:t>
            </w:r>
          </w:p>
        </w:tc>
        <w:tc>
          <w:tcPr>
            <w:tcW w:w="1728" w:type="dxa"/>
            <w:vAlign w:val="top"/>
            <w:hideMark/>
          </w:tcPr>
          <w:p w:rsidR="00BB5378" w:rsidRPr="00B319B2" w:rsidP="00704074" w14:paraId="2078B7B3"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0.70</w:t>
            </w:r>
          </w:p>
        </w:tc>
        <w:tc>
          <w:tcPr>
            <w:tcW w:w="1152" w:type="dxa"/>
            <w:vAlign w:val="top"/>
            <w:hideMark/>
          </w:tcPr>
          <w:p w:rsidR="00BB5378" w:rsidRPr="00B319B2" w:rsidP="00704074" w14:paraId="522C2265"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02306AC4"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44.1%</w:t>
            </w:r>
          </w:p>
        </w:tc>
      </w:tr>
      <w:tr w14:paraId="41E8D37B" w14:textId="77777777" w:rsidTr="00704074">
        <w:tblPrEx>
          <w:tblW w:w="3917" w:type="pct"/>
          <w:tblLayout w:type="fixed"/>
          <w:tblLook w:val="04A0"/>
        </w:tblPrEx>
        <w:tc>
          <w:tcPr>
            <w:tcW w:w="3301" w:type="dxa"/>
            <w:vAlign w:val="top"/>
            <w:hideMark/>
          </w:tcPr>
          <w:p w:rsidR="00BB5378" w:rsidRPr="00B319B2" w:rsidP="00704074" w14:paraId="43669423" w14:textId="77777777">
            <w:pPr>
              <w:pStyle w:val="Tabletext8ptcol1indent1"/>
              <w:rPr>
                <w:rFonts w:asciiTheme="minorHAnsi" w:hAnsiTheme="minorHAnsi" w:cstheme="minorHAnsi"/>
                <w:sz w:val="18"/>
              </w:rPr>
            </w:pPr>
            <w:r w:rsidRPr="00B319B2">
              <w:rPr>
                <w:rFonts w:asciiTheme="minorHAnsi" w:hAnsiTheme="minorHAnsi" w:cstheme="minorHAnsi"/>
                <w:sz w:val="18"/>
              </w:rPr>
              <w:t>26 - 39</w:t>
            </w:r>
          </w:p>
        </w:tc>
        <w:tc>
          <w:tcPr>
            <w:tcW w:w="1728" w:type="dxa"/>
            <w:vAlign w:val="top"/>
            <w:hideMark/>
          </w:tcPr>
          <w:p w:rsidR="00BB5378" w:rsidRPr="00B319B2" w:rsidP="00704074" w14:paraId="514DDA01"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0.66</w:t>
            </w:r>
          </w:p>
        </w:tc>
        <w:tc>
          <w:tcPr>
            <w:tcW w:w="1152" w:type="dxa"/>
            <w:vAlign w:val="top"/>
            <w:hideMark/>
          </w:tcPr>
          <w:p w:rsidR="00BB5378" w:rsidRPr="00B319B2" w:rsidP="00704074" w14:paraId="32B149A8"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56637E15"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47.5%</w:t>
            </w:r>
          </w:p>
        </w:tc>
      </w:tr>
      <w:tr w14:paraId="6521C49A" w14:textId="77777777" w:rsidTr="00704074">
        <w:tblPrEx>
          <w:tblW w:w="3917" w:type="pct"/>
          <w:tblLayout w:type="fixed"/>
          <w:tblLook w:val="04A0"/>
        </w:tblPrEx>
        <w:tc>
          <w:tcPr>
            <w:tcW w:w="3301" w:type="dxa"/>
            <w:vAlign w:val="top"/>
            <w:hideMark/>
          </w:tcPr>
          <w:p w:rsidR="00BB5378" w:rsidRPr="00B319B2" w:rsidP="00704074" w14:paraId="1C05E616" w14:textId="77777777">
            <w:pPr>
              <w:pStyle w:val="Tabletext8ptcol1indent1"/>
              <w:rPr>
                <w:rFonts w:asciiTheme="minorHAnsi" w:hAnsiTheme="minorHAnsi" w:cstheme="minorHAnsi"/>
                <w:sz w:val="18"/>
              </w:rPr>
            </w:pPr>
            <w:r w:rsidRPr="00B319B2">
              <w:rPr>
                <w:rFonts w:asciiTheme="minorHAnsi" w:hAnsiTheme="minorHAnsi" w:cstheme="minorHAnsi"/>
                <w:sz w:val="18"/>
              </w:rPr>
              <w:t>40 or older</w:t>
            </w:r>
          </w:p>
        </w:tc>
        <w:tc>
          <w:tcPr>
            <w:tcW w:w="1728" w:type="dxa"/>
            <w:vAlign w:val="top"/>
            <w:hideMark/>
          </w:tcPr>
          <w:p w:rsidR="00BB5378" w:rsidRPr="00B319B2" w:rsidP="00704074" w14:paraId="295889A6"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0.71</w:t>
            </w:r>
          </w:p>
        </w:tc>
        <w:tc>
          <w:tcPr>
            <w:tcW w:w="1152" w:type="dxa"/>
            <w:vAlign w:val="top"/>
            <w:hideMark/>
          </w:tcPr>
          <w:p w:rsidR="00BB5378" w:rsidRPr="00B319B2" w:rsidP="00704074" w14:paraId="44A56CD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194E1FAC"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47.5%</w:t>
            </w:r>
          </w:p>
        </w:tc>
      </w:tr>
      <w:tr w14:paraId="024F3535" w14:textId="77777777" w:rsidTr="00704074">
        <w:tblPrEx>
          <w:tblW w:w="3917" w:type="pct"/>
          <w:tblLayout w:type="fixed"/>
          <w:tblLook w:val="04A0"/>
        </w:tblPrEx>
        <w:tc>
          <w:tcPr>
            <w:tcW w:w="3301" w:type="dxa"/>
          </w:tcPr>
          <w:p w:rsidR="00BB5378" w:rsidRPr="00B319B2" w:rsidP="00704074" w14:paraId="5B802DD9" w14:textId="77777777">
            <w:pPr>
              <w:pStyle w:val="Tabletext8ptcol1subhead"/>
              <w:rPr>
                <w:rFonts w:asciiTheme="minorHAnsi" w:hAnsiTheme="minorHAnsi" w:cstheme="minorHAnsi"/>
                <w:color w:val="000000"/>
                <w:sz w:val="18"/>
                <w:szCs w:val="18"/>
              </w:rPr>
            </w:pPr>
            <w:r w:rsidRPr="00B319B2">
              <w:rPr>
                <w:rFonts w:asciiTheme="minorHAnsi" w:hAnsiTheme="minorHAnsi" w:cstheme="minorHAnsi"/>
                <w:b/>
                <w:bCs/>
                <w:sz w:val="18"/>
                <w:szCs w:val="18"/>
              </w:rPr>
              <w:t>Race</w:t>
            </w:r>
          </w:p>
        </w:tc>
        <w:tc>
          <w:tcPr>
            <w:tcW w:w="1728" w:type="dxa"/>
          </w:tcPr>
          <w:p w:rsidR="00BB5378" w:rsidRPr="00B319B2" w:rsidP="00704074" w14:paraId="5F6BB8DE"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42A01116"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11BC5D2D" w14:textId="77777777">
            <w:pPr>
              <w:pStyle w:val="Tabletext8pt"/>
              <w:jc w:val="center"/>
              <w:rPr>
                <w:rFonts w:asciiTheme="minorHAnsi" w:hAnsiTheme="minorHAnsi" w:cstheme="minorHAnsi"/>
                <w:sz w:val="18"/>
                <w:szCs w:val="18"/>
              </w:rPr>
            </w:pPr>
          </w:p>
        </w:tc>
      </w:tr>
      <w:tr w14:paraId="46CDC0CB" w14:textId="77777777" w:rsidTr="00704074">
        <w:tblPrEx>
          <w:tblW w:w="3917" w:type="pct"/>
          <w:tblLayout w:type="fixed"/>
          <w:tblLook w:val="04A0"/>
        </w:tblPrEx>
        <w:tc>
          <w:tcPr>
            <w:tcW w:w="3301" w:type="dxa"/>
            <w:vAlign w:val="top"/>
          </w:tcPr>
          <w:p w:rsidR="00BB5378" w:rsidRPr="00B319B2" w:rsidP="00704074" w14:paraId="33B8EC06" w14:textId="77777777">
            <w:pPr>
              <w:pStyle w:val="Tabletext8ptcol1indent1"/>
              <w:rPr>
                <w:rFonts w:asciiTheme="minorHAnsi" w:hAnsiTheme="minorHAnsi" w:cstheme="minorHAnsi"/>
                <w:sz w:val="18"/>
              </w:rPr>
            </w:pPr>
            <w:r w:rsidRPr="00B319B2">
              <w:rPr>
                <w:rFonts w:asciiTheme="minorHAnsi" w:hAnsiTheme="minorHAnsi" w:cstheme="minorHAnsi"/>
                <w:sz w:val="18"/>
              </w:rPr>
              <w:t>Races other than White</w:t>
            </w:r>
          </w:p>
        </w:tc>
        <w:tc>
          <w:tcPr>
            <w:tcW w:w="1728" w:type="dxa"/>
            <w:vAlign w:val="top"/>
          </w:tcPr>
          <w:p w:rsidR="00BB5378" w:rsidRPr="00B319B2" w:rsidP="00704074" w14:paraId="58437DBE"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0.72</w:t>
            </w:r>
          </w:p>
        </w:tc>
        <w:tc>
          <w:tcPr>
            <w:tcW w:w="1152" w:type="dxa"/>
            <w:vAlign w:val="top"/>
          </w:tcPr>
          <w:p w:rsidR="00BB5378" w:rsidRPr="00B319B2" w:rsidP="00704074" w14:paraId="303BD185"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01E19996"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52.3%</w:t>
            </w:r>
          </w:p>
        </w:tc>
      </w:tr>
      <w:tr w14:paraId="42862EA3" w14:textId="77777777" w:rsidTr="00704074">
        <w:tblPrEx>
          <w:tblW w:w="3917" w:type="pct"/>
          <w:tblLayout w:type="fixed"/>
          <w:tblLook w:val="04A0"/>
        </w:tblPrEx>
        <w:tc>
          <w:tcPr>
            <w:tcW w:w="3301" w:type="dxa"/>
            <w:vAlign w:val="top"/>
            <w:hideMark/>
          </w:tcPr>
          <w:p w:rsidR="00BB5378" w:rsidRPr="00B319B2" w:rsidP="00704074" w14:paraId="5E6A1984" w14:textId="77777777">
            <w:pPr>
              <w:pStyle w:val="Tabletext8ptcol1indent1"/>
              <w:rPr>
                <w:rFonts w:asciiTheme="minorHAnsi" w:hAnsiTheme="minorHAnsi" w:cstheme="minorHAnsi"/>
                <w:sz w:val="18"/>
              </w:rPr>
            </w:pPr>
            <w:r w:rsidRPr="00B319B2">
              <w:rPr>
                <w:rFonts w:asciiTheme="minorHAnsi" w:hAnsiTheme="minorHAnsi" w:cstheme="minorHAnsi"/>
                <w:sz w:val="18"/>
              </w:rPr>
              <w:t>White</w:t>
            </w:r>
          </w:p>
        </w:tc>
        <w:tc>
          <w:tcPr>
            <w:tcW w:w="1728" w:type="dxa"/>
            <w:vAlign w:val="top"/>
            <w:hideMark/>
          </w:tcPr>
          <w:p w:rsidR="00BB5378" w:rsidRPr="00B319B2" w:rsidP="00704074" w14:paraId="2761D1C5"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0.68</w:t>
            </w:r>
          </w:p>
        </w:tc>
        <w:tc>
          <w:tcPr>
            <w:tcW w:w="1152" w:type="dxa"/>
            <w:vAlign w:val="top"/>
            <w:hideMark/>
          </w:tcPr>
          <w:p w:rsidR="00BB5378" w:rsidRPr="00B319B2" w:rsidP="00704074" w14:paraId="6EB92CD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50FAD9E6"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50.6%</w:t>
            </w:r>
          </w:p>
        </w:tc>
      </w:tr>
      <w:tr w14:paraId="51566C37" w14:textId="77777777" w:rsidTr="00704074">
        <w:tblPrEx>
          <w:tblW w:w="3917" w:type="pct"/>
          <w:tblLayout w:type="fixed"/>
          <w:tblLook w:val="04A0"/>
        </w:tblPrEx>
        <w:tc>
          <w:tcPr>
            <w:tcW w:w="3301" w:type="dxa"/>
          </w:tcPr>
          <w:p w:rsidR="00BB5378" w:rsidRPr="00B319B2" w:rsidP="00704074" w14:paraId="30B7F423" w14:textId="77777777">
            <w:pPr>
              <w:pStyle w:val="Tabletext8ptcol1subhead"/>
              <w:rPr>
                <w:rFonts w:asciiTheme="minorHAnsi" w:hAnsiTheme="minorHAnsi" w:cstheme="minorHAnsi"/>
                <w:sz w:val="18"/>
                <w:szCs w:val="18"/>
              </w:rPr>
            </w:pPr>
            <w:r w:rsidRPr="00B319B2">
              <w:rPr>
                <w:rFonts w:asciiTheme="minorHAnsi" w:hAnsiTheme="minorHAnsi" w:cstheme="minorHAnsi"/>
                <w:b/>
                <w:bCs/>
                <w:sz w:val="18"/>
                <w:szCs w:val="18"/>
              </w:rPr>
              <w:t>Ethnicity</w:t>
            </w:r>
          </w:p>
        </w:tc>
        <w:tc>
          <w:tcPr>
            <w:tcW w:w="1728" w:type="dxa"/>
          </w:tcPr>
          <w:p w:rsidR="00BB5378" w:rsidRPr="00B319B2" w:rsidP="00704074" w14:paraId="1C1DC326"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3CD459E1"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3988D4BF" w14:textId="77777777">
            <w:pPr>
              <w:pStyle w:val="Tabletext8pt"/>
              <w:jc w:val="center"/>
              <w:rPr>
                <w:rFonts w:asciiTheme="minorHAnsi" w:hAnsiTheme="minorHAnsi" w:cstheme="minorHAnsi"/>
                <w:sz w:val="18"/>
                <w:szCs w:val="18"/>
              </w:rPr>
            </w:pPr>
          </w:p>
        </w:tc>
      </w:tr>
      <w:tr w14:paraId="2FAFFBB9" w14:textId="77777777" w:rsidTr="00704074">
        <w:tblPrEx>
          <w:tblW w:w="3917" w:type="pct"/>
          <w:tblLayout w:type="fixed"/>
          <w:tblLook w:val="04A0"/>
        </w:tblPrEx>
        <w:tc>
          <w:tcPr>
            <w:tcW w:w="3301" w:type="dxa"/>
            <w:vAlign w:val="top"/>
            <w:hideMark/>
          </w:tcPr>
          <w:p w:rsidR="00BB5378" w:rsidRPr="00B319B2" w:rsidP="00704074" w14:paraId="7B826919" w14:textId="77777777">
            <w:pPr>
              <w:pStyle w:val="Tabletext8ptcol1indent1"/>
              <w:rPr>
                <w:rFonts w:asciiTheme="minorHAnsi" w:hAnsiTheme="minorHAnsi" w:cstheme="minorHAnsi"/>
                <w:sz w:val="18"/>
              </w:rPr>
            </w:pPr>
            <w:r w:rsidRPr="00B319B2">
              <w:rPr>
                <w:rFonts w:asciiTheme="minorHAnsi" w:hAnsiTheme="minorHAnsi" w:cstheme="minorHAnsi"/>
                <w:sz w:val="18"/>
              </w:rPr>
              <w:t>Not Hispanic</w:t>
            </w:r>
          </w:p>
        </w:tc>
        <w:tc>
          <w:tcPr>
            <w:tcW w:w="1728" w:type="dxa"/>
            <w:vAlign w:val="top"/>
            <w:hideMark/>
          </w:tcPr>
          <w:p w:rsidR="00BB5378" w:rsidRPr="00B319B2" w:rsidP="00704074" w14:paraId="5506CC3B"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0.67</w:t>
            </w:r>
          </w:p>
        </w:tc>
        <w:tc>
          <w:tcPr>
            <w:tcW w:w="1152" w:type="dxa"/>
            <w:vAlign w:val="top"/>
            <w:hideMark/>
          </w:tcPr>
          <w:p w:rsidR="00BB5378" w:rsidRPr="00B319B2" w:rsidP="00704074" w14:paraId="00D5DFD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27F9A808"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48.0%</w:t>
            </w:r>
          </w:p>
        </w:tc>
      </w:tr>
      <w:tr w14:paraId="6F734637" w14:textId="77777777" w:rsidTr="00704074">
        <w:tblPrEx>
          <w:tblW w:w="3917" w:type="pct"/>
          <w:tblLayout w:type="fixed"/>
          <w:tblLook w:val="04A0"/>
        </w:tblPrEx>
        <w:tc>
          <w:tcPr>
            <w:tcW w:w="3301" w:type="dxa"/>
            <w:vAlign w:val="top"/>
            <w:hideMark/>
          </w:tcPr>
          <w:p w:rsidR="00BB5378" w:rsidRPr="00B319B2" w:rsidP="00704074" w14:paraId="0D58ABC2" w14:textId="77777777">
            <w:pPr>
              <w:pStyle w:val="Tabletext8ptcol1indent1"/>
              <w:rPr>
                <w:rFonts w:asciiTheme="minorHAnsi" w:hAnsiTheme="minorHAnsi" w:cstheme="minorHAnsi"/>
                <w:sz w:val="18"/>
              </w:rPr>
            </w:pPr>
            <w:r w:rsidRPr="00B319B2">
              <w:rPr>
                <w:rFonts w:asciiTheme="minorHAnsi" w:hAnsiTheme="minorHAnsi" w:cstheme="minorHAnsi"/>
                <w:sz w:val="18"/>
              </w:rPr>
              <w:t>Hispanic</w:t>
            </w:r>
          </w:p>
        </w:tc>
        <w:tc>
          <w:tcPr>
            <w:tcW w:w="1728" w:type="dxa"/>
            <w:vAlign w:val="top"/>
            <w:hideMark/>
          </w:tcPr>
          <w:p w:rsidR="00BB5378" w:rsidRPr="00B319B2" w:rsidP="00704074" w14:paraId="1DC1EE82"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0.81</w:t>
            </w:r>
          </w:p>
        </w:tc>
        <w:tc>
          <w:tcPr>
            <w:tcW w:w="1152" w:type="dxa"/>
            <w:vAlign w:val="top"/>
            <w:hideMark/>
          </w:tcPr>
          <w:p w:rsidR="00BB5378" w:rsidRPr="00B319B2" w:rsidP="00704074" w14:paraId="33E7B5D3"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hideMark/>
          </w:tcPr>
          <w:p w:rsidR="00BB5378" w:rsidRPr="00B319B2" w:rsidP="00704074" w14:paraId="5B373183"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43.7%</w:t>
            </w:r>
          </w:p>
        </w:tc>
      </w:tr>
      <w:tr w14:paraId="08900991" w14:textId="77777777" w:rsidTr="00704074">
        <w:tblPrEx>
          <w:tblW w:w="3917" w:type="pct"/>
          <w:tblLayout w:type="fixed"/>
          <w:tblLook w:val="04A0"/>
        </w:tblPrEx>
        <w:tc>
          <w:tcPr>
            <w:tcW w:w="3301" w:type="dxa"/>
          </w:tcPr>
          <w:p w:rsidR="00BB5378" w:rsidRPr="00B319B2" w:rsidP="00704074" w14:paraId="3459A969" w14:textId="77777777">
            <w:pPr>
              <w:pStyle w:val="Tabletext8ptcol1indent1"/>
              <w:rPr>
                <w:rFonts w:asciiTheme="minorHAnsi" w:hAnsiTheme="minorHAnsi" w:cstheme="minorHAnsi"/>
                <w:sz w:val="18"/>
              </w:rPr>
            </w:pPr>
          </w:p>
        </w:tc>
        <w:tc>
          <w:tcPr>
            <w:tcW w:w="1728" w:type="dxa"/>
          </w:tcPr>
          <w:p w:rsidR="00BB5378" w:rsidRPr="00B319B2" w:rsidP="00704074" w14:paraId="6EC4FDAE"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1644E291" w14:textId="77777777">
            <w:pPr>
              <w:pStyle w:val="Tabletext8ptdecimalalign"/>
              <w:tabs>
                <w:tab w:val="clear" w:pos="1502"/>
              </w:tabs>
              <w:jc w:val="center"/>
              <w:rPr>
                <w:rFonts w:asciiTheme="minorHAnsi" w:hAnsiTheme="minorHAnsi" w:cstheme="minorHAnsi"/>
                <w:sz w:val="18"/>
                <w:szCs w:val="18"/>
              </w:rPr>
            </w:pPr>
          </w:p>
        </w:tc>
        <w:tc>
          <w:tcPr>
            <w:tcW w:w="1152" w:type="dxa"/>
            <w:noWrap/>
            <w:hideMark/>
          </w:tcPr>
          <w:p w:rsidR="00BB5378" w:rsidRPr="00B319B2" w:rsidP="00704074" w14:paraId="6BB48CF2" w14:textId="77777777">
            <w:pPr>
              <w:pStyle w:val="Tabletext8pt"/>
              <w:jc w:val="center"/>
              <w:rPr>
                <w:rFonts w:asciiTheme="minorHAnsi" w:hAnsiTheme="minorHAnsi" w:cstheme="minorHAnsi"/>
                <w:sz w:val="18"/>
                <w:szCs w:val="18"/>
              </w:rPr>
            </w:pPr>
          </w:p>
        </w:tc>
      </w:tr>
      <w:tr w14:paraId="01C8BCAE" w14:textId="77777777" w:rsidTr="00704074">
        <w:tblPrEx>
          <w:tblW w:w="3917" w:type="pct"/>
          <w:tblLayout w:type="fixed"/>
          <w:tblLook w:val="04A0"/>
        </w:tblPrEx>
        <w:tc>
          <w:tcPr>
            <w:tcW w:w="3301" w:type="dxa"/>
          </w:tcPr>
          <w:p w:rsidR="00BB5378" w:rsidRPr="00B319B2" w:rsidP="00704074" w14:paraId="18CBB7A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Veteran Status</w:t>
            </w:r>
          </w:p>
        </w:tc>
        <w:tc>
          <w:tcPr>
            <w:tcW w:w="1728" w:type="dxa"/>
          </w:tcPr>
          <w:p w:rsidR="00BB5378" w:rsidRPr="00B319B2" w:rsidP="00704074" w14:paraId="5A512914"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76A1D2EF"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3925FF87" w14:textId="77777777">
            <w:pPr>
              <w:pStyle w:val="Tabletext8pt"/>
              <w:jc w:val="center"/>
              <w:rPr>
                <w:rFonts w:asciiTheme="minorHAnsi" w:hAnsiTheme="minorHAnsi" w:cstheme="minorHAnsi"/>
                <w:sz w:val="18"/>
                <w:szCs w:val="18"/>
              </w:rPr>
            </w:pPr>
          </w:p>
        </w:tc>
      </w:tr>
      <w:tr w14:paraId="130D6E6D" w14:textId="77777777" w:rsidTr="00704074">
        <w:tblPrEx>
          <w:tblW w:w="3917" w:type="pct"/>
          <w:tblLayout w:type="fixed"/>
          <w:tblLook w:val="04A0"/>
        </w:tblPrEx>
        <w:tc>
          <w:tcPr>
            <w:tcW w:w="3301" w:type="dxa"/>
            <w:vAlign w:val="top"/>
          </w:tcPr>
          <w:p w:rsidR="00BB5378" w:rsidRPr="00B319B2" w:rsidP="00704074" w14:paraId="0CFB2280" w14:textId="77777777">
            <w:pPr>
              <w:pStyle w:val="Tabletext8ptcol1indent1"/>
              <w:rPr>
                <w:rFonts w:asciiTheme="minorHAnsi" w:hAnsiTheme="minorHAnsi" w:cstheme="minorHAnsi"/>
                <w:sz w:val="18"/>
              </w:rPr>
            </w:pPr>
            <w:r w:rsidRPr="00B319B2">
              <w:rPr>
                <w:rFonts w:asciiTheme="minorHAnsi" w:hAnsiTheme="minorHAnsi" w:cstheme="minorHAnsi"/>
                <w:sz w:val="18"/>
              </w:rPr>
              <w:t>Not a Veteran</w:t>
            </w:r>
          </w:p>
        </w:tc>
        <w:tc>
          <w:tcPr>
            <w:tcW w:w="1728" w:type="dxa"/>
            <w:vAlign w:val="top"/>
          </w:tcPr>
          <w:p w:rsidR="00BB5378" w:rsidRPr="00B319B2" w:rsidP="00704074" w14:paraId="19674054"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0.69</w:t>
            </w:r>
          </w:p>
        </w:tc>
        <w:tc>
          <w:tcPr>
            <w:tcW w:w="1152" w:type="dxa"/>
            <w:vAlign w:val="top"/>
          </w:tcPr>
          <w:p w:rsidR="00BB5378" w:rsidRPr="00B319B2" w:rsidP="00704074" w14:paraId="291B86FD"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20165025"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45.4%</w:t>
            </w:r>
          </w:p>
        </w:tc>
      </w:tr>
      <w:tr w14:paraId="0156EEA9" w14:textId="77777777" w:rsidTr="00704074">
        <w:tblPrEx>
          <w:tblW w:w="3917" w:type="pct"/>
          <w:tblLayout w:type="fixed"/>
          <w:tblLook w:val="04A0"/>
        </w:tblPrEx>
        <w:tc>
          <w:tcPr>
            <w:tcW w:w="3301" w:type="dxa"/>
            <w:vAlign w:val="top"/>
          </w:tcPr>
          <w:p w:rsidR="00BB5378" w:rsidRPr="00B319B2" w:rsidP="00704074" w14:paraId="055218AA" w14:textId="77777777">
            <w:pPr>
              <w:pStyle w:val="Tabletext8ptcol1indent1"/>
              <w:rPr>
                <w:rFonts w:asciiTheme="minorHAnsi" w:hAnsiTheme="minorHAnsi" w:cstheme="minorHAnsi"/>
                <w:sz w:val="18"/>
              </w:rPr>
            </w:pPr>
            <w:r w:rsidRPr="00B319B2">
              <w:rPr>
                <w:rFonts w:asciiTheme="minorHAnsi" w:hAnsiTheme="minorHAnsi" w:cstheme="minorHAnsi"/>
                <w:sz w:val="18"/>
              </w:rPr>
              <w:t>Veteran</w:t>
            </w:r>
          </w:p>
        </w:tc>
        <w:tc>
          <w:tcPr>
            <w:tcW w:w="1728" w:type="dxa"/>
            <w:vAlign w:val="top"/>
          </w:tcPr>
          <w:p w:rsidR="00BB5378" w:rsidRPr="00B319B2" w:rsidP="00704074" w14:paraId="3988F169"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0.67</w:t>
            </w:r>
          </w:p>
        </w:tc>
        <w:tc>
          <w:tcPr>
            <w:tcW w:w="1152" w:type="dxa"/>
            <w:vAlign w:val="top"/>
          </w:tcPr>
          <w:p w:rsidR="00BB5378" w:rsidRPr="00B319B2" w:rsidP="00704074" w14:paraId="55A21B74"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47040C41"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44.4%</w:t>
            </w:r>
          </w:p>
        </w:tc>
      </w:tr>
      <w:tr w14:paraId="0D90CA4F" w14:textId="77777777" w:rsidTr="00704074">
        <w:tblPrEx>
          <w:tblW w:w="3917" w:type="pct"/>
          <w:tblLayout w:type="fixed"/>
          <w:tblLook w:val="04A0"/>
        </w:tblPrEx>
        <w:tc>
          <w:tcPr>
            <w:tcW w:w="3301" w:type="dxa"/>
          </w:tcPr>
          <w:p w:rsidR="00BB5378" w:rsidRPr="00B319B2" w:rsidP="00704074" w14:paraId="7F0E8316" w14:textId="77777777">
            <w:pPr>
              <w:pStyle w:val="Tabletext8ptcol1indent1"/>
              <w:rPr>
                <w:rFonts w:asciiTheme="minorHAnsi" w:hAnsiTheme="minorHAnsi" w:cstheme="minorHAnsi"/>
                <w:sz w:val="18"/>
              </w:rPr>
            </w:pPr>
          </w:p>
        </w:tc>
        <w:tc>
          <w:tcPr>
            <w:tcW w:w="1728" w:type="dxa"/>
          </w:tcPr>
          <w:p w:rsidR="00BB5378" w:rsidRPr="00B319B2" w:rsidP="00704074" w14:paraId="6AC7DDF3"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109A9B81"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164C70D1" w14:textId="77777777">
            <w:pPr>
              <w:pStyle w:val="Tabletext8pt"/>
              <w:jc w:val="center"/>
              <w:rPr>
                <w:rFonts w:asciiTheme="minorHAnsi" w:hAnsiTheme="minorHAnsi" w:cstheme="minorHAnsi"/>
                <w:sz w:val="18"/>
                <w:szCs w:val="18"/>
              </w:rPr>
            </w:pPr>
          </w:p>
        </w:tc>
      </w:tr>
      <w:tr w14:paraId="0C007443" w14:textId="77777777" w:rsidTr="00704074">
        <w:tblPrEx>
          <w:tblW w:w="3917" w:type="pct"/>
          <w:tblLayout w:type="fixed"/>
          <w:tblLook w:val="04A0"/>
        </w:tblPrEx>
        <w:tc>
          <w:tcPr>
            <w:tcW w:w="3301" w:type="dxa"/>
          </w:tcPr>
          <w:p w:rsidR="00BB5378" w:rsidRPr="00B319B2" w:rsidP="00704074" w14:paraId="06ADFE03"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Control of Institution</w:t>
            </w:r>
          </w:p>
        </w:tc>
        <w:tc>
          <w:tcPr>
            <w:tcW w:w="1728" w:type="dxa"/>
          </w:tcPr>
          <w:p w:rsidR="00BB5378" w:rsidRPr="00B319B2" w:rsidP="00704074" w14:paraId="5BF66D3D"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17C9A730"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2E1F90BD" w14:textId="77777777">
            <w:pPr>
              <w:pStyle w:val="Tabletext8pt"/>
              <w:jc w:val="center"/>
              <w:rPr>
                <w:rFonts w:asciiTheme="minorHAnsi" w:hAnsiTheme="minorHAnsi" w:cstheme="minorHAnsi"/>
                <w:sz w:val="18"/>
                <w:szCs w:val="18"/>
              </w:rPr>
            </w:pPr>
          </w:p>
        </w:tc>
      </w:tr>
      <w:tr w14:paraId="584C77CC" w14:textId="77777777" w:rsidTr="00704074">
        <w:tblPrEx>
          <w:tblW w:w="3917" w:type="pct"/>
          <w:tblLayout w:type="fixed"/>
          <w:tblLook w:val="04A0"/>
        </w:tblPrEx>
        <w:tc>
          <w:tcPr>
            <w:tcW w:w="3301" w:type="dxa"/>
            <w:vAlign w:val="top"/>
          </w:tcPr>
          <w:p w:rsidR="00BB5378" w:rsidRPr="00B319B2" w:rsidP="00704074" w14:paraId="0878DA67"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Public Institution  </w:t>
            </w:r>
          </w:p>
        </w:tc>
        <w:tc>
          <w:tcPr>
            <w:tcW w:w="1728" w:type="dxa"/>
            <w:vAlign w:val="top"/>
          </w:tcPr>
          <w:p w:rsidR="00BB5378" w:rsidRPr="00B319B2" w:rsidP="00704074" w14:paraId="1F5F4D67"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0.68</w:t>
            </w:r>
          </w:p>
        </w:tc>
        <w:tc>
          <w:tcPr>
            <w:tcW w:w="1152" w:type="dxa"/>
            <w:vAlign w:val="top"/>
          </w:tcPr>
          <w:p w:rsidR="00BB5378" w:rsidRPr="00B319B2" w:rsidP="00704074" w14:paraId="262933C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15B4E89C"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44.1%</w:t>
            </w:r>
          </w:p>
        </w:tc>
      </w:tr>
      <w:tr w14:paraId="52F67C88" w14:textId="77777777" w:rsidTr="00704074">
        <w:tblPrEx>
          <w:tblW w:w="3917" w:type="pct"/>
          <w:tblLayout w:type="fixed"/>
          <w:tblLook w:val="04A0"/>
        </w:tblPrEx>
        <w:tc>
          <w:tcPr>
            <w:tcW w:w="3301" w:type="dxa"/>
            <w:vAlign w:val="top"/>
          </w:tcPr>
          <w:p w:rsidR="00BB5378" w:rsidRPr="00B319B2" w:rsidP="00704074" w14:paraId="089C9FC2"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non-profit Institution  </w:t>
            </w:r>
          </w:p>
        </w:tc>
        <w:tc>
          <w:tcPr>
            <w:tcW w:w="1728" w:type="dxa"/>
            <w:vAlign w:val="top"/>
          </w:tcPr>
          <w:p w:rsidR="00BB5378" w:rsidRPr="00B319B2" w:rsidP="00704074" w14:paraId="7BA9965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0.72</w:t>
            </w:r>
          </w:p>
        </w:tc>
        <w:tc>
          <w:tcPr>
            <w:tcW w:w="1152" w:type="dxa"/>
            <w:vAlign w:val="top"/>
          </w:tcPr>
          <w:p w:rsidR="00BB5378" w:rsidRPr="00B319B2" w:rsidP="00704074" w14:paraId="33FA532A"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255542F5"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49.8%</w:t>
            </w:r>
          </w:p>
        </w:tc>
      </w:tr>
      <w:tr w14:paraId="6C1533D7" w14:textId="77777777" w:rsidTr="00704074">
        <w:tblPrEx>
          <w:tblW w:w="3917" w:type="pct"/>
          <w:tblLayout w:type="fixed"/>
          <w:tblLook w:val="04A0"/>
        </w:tblPrEx>
        <w:tc>
          <w:tcPr>
            <w:tcW w:w="3301" w:type="dxa"/>
            <w:vAlign w:val="top"/>
          </w:tcPr>
          <w:p w:rsidR="00BB5378" w:rsidRPr="00B319B2" w:rsidP="00704074" w14:paraId="55144AD7" w14:textId="77777777">
            <w:pPr>
              <w:pStyle w:val="Tabletext8ptcol1indent1"/>
              <w:rPr>
                <w:rFonts w:asciiTheme="minorHAnsi" w:hAnsiTheme="minorHAnsi" w:cstheme="minorHAnsi"/>
                <w:sz w:val="18"/>
              </w:rPr>
            </w:pPr>
            <w:r w:rsidRPr="00B319B2">
              <w:rPr>
                <w:rFonts w:asciiTheme="minorHAnsi" w:hAnsiTheme="minorHAnsi" w:cstheme="minorHAnsi"/>
                <w:sz w:val="18"/>
              </w:rPr>
              <w:t xml:space="preserve">Private for-profit Institution  </w:t>
            </w:r>
          </w:p>
        </w:tc>
        <w:tc>
          <w:tcPr>
            <w:tcW w:w="1728" w:type="dxa"/>
            <w:vAlign w:val="top"/>
          </w:tcPr>
          <w:p w:rsidR="00BB5378" w:rsidRPr="00B319B2" w:rsidP="00704074" w14:paraId="0688075B"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0.72</w:t>
            </w:r>
          </w:p>
        </w:tc>
        <w:tc>
          <w:tcPr>
            <w:tcW w:w="1152" w:type="dxa"/>
            <w:vAlign w:val="top"/>
          </w:tcPr>
          <w:p w:rsidR="00BB5378" w:rsidRPr="00B319B2" w:rsidP="00704074" w14:paraId="2B8EDB18"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2277E191"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38.4%</w:t>
            </w:r>
          </w:p>
        </w:tc>
      </w:tr>
      <w:tr w14:paraId="09167DAB" w14:textId="77777777" w:rsidTr="00704074">
        <w:tblPrEx>
          <w:tblW w:w="3917" w:type="pct"/>
          <w:tblLayout w:type="fixed"/>
          <w:tblLook w:val="04A0"/>
        </w:tblPrEx>
        <w:tc>
          <w:tcPr>
            <w:tcW w:w="3301" w:type="dxa"/>
          </w:tcPr>
          <w:p w:rsidR="00BB5378" w:rsidRPr="00B319B2" w:rsidP="00704074" w14:paraId="0472B9D8" w14:textId="77777777">
            <w:pPr>
              <w:pStyle w:val="Tabletext8ptcol1indent1"/>
              <w:rPr>
                <w:rFonts w:asciiTheme="minorHAnsi" w:hAnsiTheme="minorHAnsi" w:cstheme="minorHAnsi"/>
                <w:sz w:val="18"/>
              </w:rPr>
            </w:pPr>
          </w:p>
        </w:tc>
        <w:tc>
          <w:tcPr>
            <w:tcW w:w="1728" w:type="dxa"/>
          </w:tcPr>
          <w:p w:rsidR="00BB5378" w:rsidRPr="00B319B2" w:rsidP="00704074" w14:paraId="405034F6"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600CA29F"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5FC7A51F" w14:textId="77777777">
            <w:pPr>
              <w:pStyle w:val="Tabletext8pt"/>
              <w:jc w:val="center"/>
              <w:rPr>
                <w:rFonts w:asciiTheme="minorHAnsi" w:hAnsiTheme="minorHAnsi" w:cstheme="minorHAnsi"/>
                <w:sz w:val="18"/>
                <w:szCs w:val="18"/>
              </w:rPr>
            </w:pPr>
          </w:p>
        </w:tc>
      </w:tr>
      <w:tr w14:paraId="3D6E2324" w14:textId="77777777" w:rsidTr="00704074">
        <w:tblPrEx>
          <w:tblW w:w="3917" w:type="pct"/>
          <w:tblLayout w:type="fixed"/>
          <w:tblLook w:val="04A0"/>
        </w:tblPrEx>
        <w:tc>
          <w:tcPr>
            <w:tcW w:w="3301" w:type="dxa"/>
          </w:tcPr>
          <w:p w:rsidR="00BB5378" w:rsidRPr="00B319B2" w:rsidP="00704074" w14:paraId="3EDFAFB6" w14:textId="77777777">
            <w:pPr>
              <w:pStyle w:val="Tabletext8ptcol1indent1"/>
              <w:ind w:left="0" w:firstLine="0"/>
              <w:rPr>
                <w:rFonts w:asciiTheme="minorHAnsi" w:hAnsiTheme="minorHAnsi" w:cstheme="minorHAnsi"/>
                <w:sz w:val="18"/>
              </w:rPr>
            </w:pPr>
            <w:r w:rsidRPr="00B319B2">
              <w:rPr>
                <w:rFonts w:asciiTheme="minorHAnsi" w:hAnsiTheme="minorHAnsi" w:cstheme="minorHAnsi"/>
                <w:b/>
                <w:bCs w:val="0"/>
                <w:sz w:val="18"/>
              </w:rPr>
              <w:t>Institution Level</w:t>
            </w:r>
          </w:p>
        </w:tc>
        <w:tc>
          <w:tcPr>
            <w:tcW w:w="1728" w:type="dxa"/>
          </w:tcPr>
          <w:p w:rsidR="00BB5378" w:rsidRPr="00B319B2" w:rsidP="00704074" w14:paraId="2664A180"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7D9470CE"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42B88FB6" w14:textId="77777777">
            <w:pPr>
              <w:pStyle w:val="Tabletext8pt"/>
              <w:jc w:val="center"/>
              <w:rPr>
                <w:rFonts w:asciiTheme="minorHAnsi" w:hAnsiTheme="minorHAnsi" w:cstheme="minorHAnsi"/>
                <w:sz w:val="18"/>
                <w:szCs w:val="18"/>
              </w:rPr>
            </w:pPr>
          </w:p>
        </w:tc>
      </w:tr>
      <w:tr w14:paraId="3FFDE1B0" w14:textId="77777777" w:rsidTr="00704074">
        <w:tblPrEx>
          <w:tblW w:w="3917" w:type="pct"/>
          <w:tblLayout w:type="fixed"/>
          <w:tblLook w:val="04A0"/>
        </w:tblPrEx>
        <w:tc>
          <w:tcPr>
            <w:tcW w:w="3301" w:type="dxa"/>
            <w:vAlign w:val="top"/>
          </w:tcPr>
          <w:p w:rsidR="00BB5378" w:rsidRPr="00B319B2" w:rsidP="00704074" w14:paraId="4546F6BE" w14:textId="243ED127">
            <w:pPr>
              <w:pStyle w:val="Tabletext8ptcol1indent2"/>
              <w:ind w:left="0" w:firstLine="0"/>
              <w:rPr>
                <w:rFonts w:asciiTheme="minorHAnsi" w:hAnsiTheme="minorHAnsi" w:cstheme="minorHAnsi"/>
                <w:sz w:val="18"/>
              </w:rPr>
            </w:pPr>
            <w:r w:rsidRPr="00B319B2">
              <w:rPr>
                <w:rFonts w:asciiTheme="minorHAnsi" w:hAnsiTheme="minorHAnsi" w:cstheme="minorHAnsi"/>
                <w:sz w:val="18"/>
              </w:rPr>
              <w:t xml:space="preserve">       Less</w:t>
            </w:r>
            <w:r w:rsidR="00376582">
              <w:rPr>
                <w:rFonts w:asciiTheme="minorHAnsi" w:hAnsiTheme="minorHAnsi" w:cstheme="minorHAnsi"/>
                <w:sz w:val="18"/>
              </w:rPr>
              <w:t>-</w:t>
            </w:r>
            <w:r w:rsidRPr="00B319B2">
              <w:rPr>
                <w:rFonts w:asciiTheme="minorHAnsi" w:hAnsiTheme="minorHAnsi" w:cstheme="minorHAnsi"/>
                <w:sz w:val="18"/>
              </w:rPr>
              <w:t>than</w:t>
            </w:r>
            <w:r w:rsidR="00376582">
              <w:rPr>
                <w:rFonts w:asciiTheme="minorHAnsi" w:hAnsiTheme="minorHAnsi" w:cstheme="minorHAnsi"/>
                <w:sz w:val="18"/>
              </w:rPr>
              <w:t>-</w:t>
            </w:r>
            <w:r w:rsidRPr="00B319B2">
              <w:rPr>
                <w:rFonts w:asciiTheme="minorHAnsi" w:hAnsiTheme="minorHAnsi" w:cstheme="minorHAnsi"/>
                <w:sz w:val="18"/>
              </w:rPr>
              <w:t xml:space="preserve">2-year  </w:t>
            </w:r>
          </w:p>
        </w:tc>
        <w:tc>
          <w:tcPr>
            <w:tcW w:w="1728" w:type="dxa"/>
            <w:vAlign w:val="top"/>
          </w:tcPr>
          <w:p w:rsidR="00BB5378" w:rsidRPr="00B319B2" w:rsidP="00704074" w14:paraId="4E74A89F"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0.58</w:t>
            </w:r>
          </w:p>
        </w:tc>
        <w:tc>
          <w:tcPr>
            <w:tcW w:w="1152" w:type="dxa"/>
            <w:vAlign w:val="top"/>
          </w:tcPr>
          <w:p w:rsidR="00BB5378" w:rsidRPr="00B319B2" w:rsidP="00704074" w14:paraId="6C75AE2E"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0.03</w:t>
            </w:r>
          </w:p>
        </w:tc>
        <w:tc>
          <w:tcPr>
            <w:tcW w:w="1152" w:type="dxa"/>
            <w:noWrap/>
            <w:vAlign w:val="top"/>
          </w:tcPr>
          <w:p w:rsidR="00BB5378" w:rsidRPr="00B319B2" w:rsidP="00704074" w14:paraId="79A8136B"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34.1%</w:t>
            </w:r>
          </w:p>
        </w:tc>
      </w:tr>
      <w:tr w14:paraId="5199D3ED" w14:textId="77777777" w:rsidTr="00704074">
        <w:tblPrEx>
          <w:tblW w:w="3917" w:type="pct"/>
          <w:tblLayout w:type="fixed"/>
          <w:tblLook w:val="04A0"/>
        </w:tblPrEx>
        <w:tc>
          <w:tcPr>
            <w:tcW w:w="3301" w:type="dxa"/>
            <w:vAlign w:val="top"/>
          </w:tcPr>
          <w:p w:rsidR="00BB5378" w:rsidRPr="00B319B2" w:rsidP="00704074" w14:paraId="09C7F37C" w14:textId="0DA2014B">
            <w:pPr>
              <w:pStyle w:val="Tabletext8ptcol1indent2"/>
              <w:rPr>
                <w:rFonts w:asciiTheme="minorHAnsi" w:hAnsiTheme="minorHAnsi" w:cstheme="minorHAnsi"/>
                <w:sz w:val="18"/>
              </w:rPr>
            </w:pPr>
            <w:r w:rsidRPr="00B319B2">
              <w:rPr>
                <w:rFonts w:asciiTheme="minorHAnsi" w:hAnsiTheme="minorHAnsi" w:cstheme="minorHAnsi"/>
                <w:sz w:val="18"/>
              </w:rPr>
              <w:t>2</w:t>
            </w:r>
            <w:r w:rsidR="004F24FD">
              <w:rPr>
                <w:rFonts w:asciiTheme="minorHAnsi" w:hAnsiTheme="minorHAnsi" w:cstheme="minorHAnsi"/>
                <w:sz w:val="18"/>
              </w:rPr>
              <w:t xml:space="preserve">-year </w:t>
            </w:r>
            <w:r w:rsidRPr="00B319B2">
              <w:rPr>
                <w:rFonts w:asciiTheme="minorHAnsi" w:hAnsiTheme="minorHAnsi" w:cstheme="minorHAnsi"/>
                <w:sz w:val="18"/>
              </w:rPr>
              <w:t>but less</w:t>
            </w:r>
            <w:r w:rsidR="00376582">
              <w:rPr>
                <w:rFonts w:asciiTheme="minorHAnsi" w:hAnsiTheme="minorHAnsi" w:cstheme="minorHAnsi"/>
                <w:sz w:val="18"/>
              </w:rPr>
              <w:t>-</w:t>
            </w:r>
            <w:r w:rsidRPr="00B319B2">
              <w:rPr>
                <w:rFonts w:asciiTheme="minorHAnsi" w:hAnsiTheme="minorHAnsi" w:cstheme="minorHAnsi"/>
                <w:sz w:val="18"/>
              </w:rPr>
              <w:t>than</w:t>
            </w:r>
            <w:r w:rsidR="00376582">
              <w:rPr>
                <w:rFonts w:asciiTheme="minorHAnsi" w:hAnsiTheme="minorHAnsi" w:cstheme="minorHAnsi"/>
                <w:sz w:val="18"/>
              </w:rPr>
              <w:t>-</w:t>
            </w:r>
            <w:r w:rsidRPr="00B319B2">
              <w:rPr>
                <w:rFonts w:asciiTheme="minorHAnsi" w:hAnsiTheme="minorHAnsi" w:cstheme="minorHAnsi"/>
                <w:sz w:val="18"/>
              </w:rPr>
              <w:t xml:space="preserve">4 year  </w:t>
            </w:r>
          </w:p>
        </w:tc>
        <w:tc>
          <w:tcPr>
            <w:tcW w:w="1728" w:type="dxa"/>
            <w:vAlign w:val="top"/>
          </w:tcPr>
          <w:p w:rsidR="00BB5378" w:rsidRPr="00B319B2" w:rsidP="00704074" w14:paraId="56D487A7"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0.66</w:t>
            </w:r>
          </w:p>
        </w:tc>
        <w:tc>
          <w:tcPr>
            <w:tcW w:w="1152" w:type="dxa"/>
            <w:vAlign w:val="top"/>
          </w:tcPr>
          <w:p w:rsidR="00BB5378" w:rsidRPr="00B319B2" w:rsidP="00704074" w14:paraId="326506EF"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68C7BC90"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37.5%</w:t>
            </w:r>
          </w:p>
        </w:tc>
      </w:tr>
      <w:tr w14:paraId="044DD6EE" w14:textId="77777777" w:rsidTr="00704074">
        <w:tblPrEx>
          <w:tblW w:w="3917" w:type="pct"/>
          <w:tblLayout w:type="fixed"/>
          <w:tblLook w:val="04A0"/>
        </w:tblPrEx>
        <w:tc>
          <w:tcPr>
            <w:tcW w:w="3301" w:type="dxa"/>
            <w:vAlign w:val="top"/>
          </w:tcPr>
          <w:p w:rsidR="00BB5378" w:rsidRPr="00B319B2" w:rsidP="00704074" w14:paraId="15640F5B" w14:textId="1B184555">
            <w:pPr>
              <w:pStyle w:val="Tabletext8ptcol1indent2"/>
              <w:rPr>
                <w:rFonts w:asciiTheme="minorHAnsi" w:hAnsiTheme="minorHAnsi" w:cstheme="minorHAnsi"/>
                <w:sz w:val="18"/>
              </w:rPr>
            </w:pPr>
            <w:r w:rsidRPr="00B319B2">
              <w:rPr>
                <w:rFonts w:asciiTheme="minorHAnsi" w:hAnsiTheme="minorHAnsi" w:cstheme="minorHAnsi"/>
                <w:sz w:val="18"/>
              </w:rPr>
              <w:t>4</w:t>
            </w:r>
            <w:r w:rsidR="004F24FD">
              <w:rPr>
                <w:rFonts w:asciiTheme="minorHAnsi" w:hAnsiTheme="minorHAnsi" w:cstheme="minorHAnsi"/>
                <w:sz w:val="18"/>
              </w:rPr>
              <w:t>-</w:t>
            </w:r>
            <w:r w:rsidRPr="00B319B2">
              <w:rPr>
                <w:rFonts w:asciiTheme="minorHAnsi" w:hAnsiTheme="minorHAnsi" w:cstheme="minorHAnsi"/>
                <w:sz w:val="18"/>
              </w:rPr>
              <w:t xml:space="preserve">year or higher non-doctorate granting  </w:t>
            </w:r>
          </w:p>
        </w:tc>
        <w:tc>
          <w:tcPr>
            <w:tcW w:w="1728" w:type="dxa"/>
            <w:vAlign w:val="top"/>
          </w:tcPr>
          <w:p w:rsidR="00BB5378" w:rsidRPr="00B319B2" w:rsidP="00704074" w14:paraId="3AADCAE2"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0.70</w:t>
            </w:r>
          </w:p>
        </w:tc>
        <w:tc>
          <w:tcPr>
            <w:tcW w:w="1152" w:type="dxa"/>
            <w:vAlign w:val="top"/>
          </w:tcPr>
          <w:p w:rsidR="00BB5378" w:rsidRPr="00B319B2" w:rsidP="00704074" w14:paraId="384D1C1D"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013C607A"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47.6%</w:t>
            </w:r>
          </w:p>
        </w:tc>
      </w:tr>
      <w:tr w14:paraId="4A0E9726" w14:textId="77777777" w:rsidTr="00704074">
        <w:tblPrEx>
          <w:tblW w:w="3917" w:type="pct"/>
          <w:tblLayout w:type="fixed"/>
          <w:tblLook w:val="04A0"/>
        </w:tblPrEx>
        <w:tc>
          <w:tcPr>
            <w:tcW w:w="3301" w:type="dxa"/>
            <w:vAlign w:val="top"/>
          </w:tcPr>
          <w:p w:rsidR="00BB5378" w:rsidRPr="00B319B2" w:rsidP="00704074" w14:paraId="393B1B30" w14:textId="0D28925E">
            <w:pPr>
              <w:pStyle w:val="Tabletext8ptcol1indent2"/>
              <w:rPr>
                <w:rFonts w:asciiTheme="minorHAnsi" w:hAnsiTheme="minorHAnsi" w:cstheme="minorHAnsi"/>
                <w:sz w:val="18"/>
              </w:rPr>
            </w:pPr>
            <w:r w:rsidRPr="00B319B2">
              <w:rPr>
                <w:rFonts w:asciiTheme="minorHAnsi" w:hAnsiTheme="minorHAnsi" w:cstheme="minorHAnsi"/>
                <w:sz w:val="18"/>
              </w:rPr>
              <w:t>4</w:t>
            </w:r>
            <w:r w:rsidR="004F24FD">
              <w:rPr>
                <w:rFonts w:asciiTheme="minorHAnsi" w:hAnsiTheme="minorHAnsi" w:cstheme="minorHAnsi"/>
                <w:sz w:val="18"/>
              </w:rPr>
              <w:t>-</w:t>
            </w:r>
            <w:r w:rsidRPr="00B319B2">
              <w:rPr>
                <w:rFonts w:asciiTheme="minorHAnsi" w:hAnsiTheme="minorHAnsi" w:cstheme="minorHAnsi"/>
                <w:sz w:val="18"/>
              </w:rPr>
              <w:t xml:space="preserve">year or higher doctorate granting  </w:t>
            </w:r>
          </w:p>
        </w:tc>
        <w:tc>
          <w:tcPr>
            <w:tcW w:w="1728" w:type="dxa"/>
            <w:noWrap/>
            <w:vAlign w:val="top"/>
          </w:tcPr>
          <w:p w:rsidR="00BB5378" w:rsidRPr="00B319B2" w:rsidP="00704074" w14:paraId="2B8EE4A7"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0.71</w:t>
            </w:r>
          </w:p>
        </w:tc>
        <w:tc>
          <w:tcPr>
            <w:tcW w:w="1152" w:type="dxa"/>
            <w:noWrap/>
            <w:vAlign w:val="top"/>
          </w:tcPr>
          <w:p w:rsidR="00BB5378" w:rsidRPr="00B319B2" w:rsidP="00704074" w14:paraId="23E69796"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605222D1"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51.0%</w:t>
            </w:r>
          </w:p>
        </w:tc>
      </w:tr>
      <w:tr w14:paraId="62EE5DC0" w14:textId="77777777" w:rsidTr="00704074">
        <w:tblPrEx>
          <w:tblW w:w="3917" w:type="pct"/>
          <w:tblLayout w:type="fixed"/>
          <w:tblLook w:val="04A0"/>
        </w:tblPrEx>
        <w:tc>
          <w:tcPr>
            <w:tcW w:w="3301" w:type="dxa"/>
          </w:tcPr>
          <w:p w:rsidR="00BB5378" w:rsidRPr="00B319B2" w:rsidP="00704074" w14:paraId="2CC963DF" w14:textId="77777777">
            <w:pPr>
              <w:pStyle w:val="Tabletext8ptcol1indent2"/>
              <w:rPr>
                <w:rFonts w:asciiTheme="minorHAnsi" w:hAnsiTheme="minorHAnsi" w:cstheme="minorHAnsi"/>
                <w:sz w:val="18"/>
              </w:rPr>
            </w:pPr>
          </w:p>
        </w:tc>
        <w:tc>
          <w:tcPr>
            <w:tcW w:w="1728" w:type="dxa"/>
          </w:tcPr>
          <w:p w:rsidR="00BB5378" w:rsidRPr="00B319B2" w:rsidP="00704074" w14:paraId="45093E66"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0EABA779"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6A448D51" w14:textId="77777777">
            <w:pPr>
              <w:pStyle w:val="Tabletext8pt"/>
              <w:jc w:val="center"/>
              <w:rPr>
                <w:rFonts w:asciiTheme="minorHAnsi" w:hAnsiTheme="minorHAnsi" w:cstheme="minorHAnsi"/>
                <w:sz w:val="18"/>
                <w:szCs w:val="18"/>
              </w:rPr>
            </w:pPr>
          </w:p>
        </w:tc>
      </w:tr>
      <w:tr w14:paraId="1479DDA8" w14:textId="77777777" w:rsidTr="00704074">
        <w:tblPrEx>
          <w:tblW w:w="3917" w:type="pct"/>
          <w:tblLayout w:type="fixed"/>
          <w:tblLook w:val="04A0"/>
        </w:tblPrEx>
        <w:tc>
          <w:tcPr>
            <w:tcW w:w="3301" w:type="dxa"/>
          </w:tcPr>
          <w:p w:rsidR="00BB5378" w:rsidRPr="00B319B2" w:rsidP="00704074" w14:paraId="6D8F7C38" w14:textId="77777777">
            <w:pPr>
              <w:pStyle w:val="Tabletext8ptcol1indent1"/>
              <w:ind w:left="0" w:firstLine="0"/>
              <w:rPr>
                <w:rFonts w:asciiTheme="minorHAnsi" w:hAnsiTheme="minorHAnsi" w:cstheme="minorHAnsi"/>
                <w:b/>
                <w:bCs w:val="0"/>
                <w:sz w:val="18"/>
              </w:rPr>
            </w:pPr>
            <w:r w:rsidRPr="00B319B2">
              <w:rPr>
                <w:rFonts w:asciiTheme="minorHAnsi" w:hAnsiTheme="minorHAnsi" w:cstheme="minorHAnsi"/>
                <w:b/>
                <w:bCs w:val="0"/>
                <w:sz w:val="18"/>
              </w:rPr>
              <w:t>STEM Status</w:t>
            </w:r>
          </w:p>
        </w:tc>
        <w:tc>
          <w:tcPr>
            <w:tcW w:w="1728" w:type="dxa"/>
          </w:tcPr>
          <w:p w:rsidR="00BB5378" w:rsidRPr="00B319B2" w:rsidP="00704074" w14:paraId="349D58A5"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135E85CA"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2C3F53AD" w14:textId="77777777">
            <w:pPr>
              <w:pStyle w:val="Tabletext8pt"/>
              <w:jc w:val="center"/>
              <w:rPr>
                <w:rFonts w:asciiTheme="minorHAnsi" w:hAnsiTheme="minorHAnsi" w:cstheme="minorHAnsi"/>
                <w:sz w:val="18"/>
                <w:szCs w:val="18"/>
              </w:rPr>
            </w:pPr>
          </w:p>
        </w:tc>
      </w:tr>
      <w:tr w14:paraId="14EE52F7" w14:textId="77777777" w:rsidTr="00704074">
        <w:tblPrEx>
          <w:tblW w:w="3917" w:type="pct"/>
          <w:tblLayout w:type="fixed"/>
          <w:tblLook w:val="04A0"/>
        </w:tblPrEx>
        <w:tc>
          <w:tcPr>
            <w:tcW w:w="3301" w:type="dxa"/>
          </w:tcPr>
          <w:p w:rsidR="00BB5378" w:rsidRPr="00B319B2" w:rsidP="00704074" w14:paraId="2239264A" w14:textId="77777777">
            <w:pPr>
              <w:pStyle w:val="Tabletext8ptcol1indent2"/>
              <w:rPr>
                <w:rFonts w:asciiTheme="minorHAnsi" w:hAnsiTheme="minorHAnsi" w:cstheme="minorHAnsi"/>
                <w:sz w:val="18"/>
              </w:rPr>
            </w:pPr>
            <w:r w:rsidRPr="00B319B2">
              <w:rPr>
                <w:rFonts w:asciiTheme="minorHAnsi" w:hAnsiTheme="minorHAnsi" w:cstheme="minorHAnsi"/>
                <w:sz w:val="18"/>
              </w:rPr>
              <w:t>Not in a STEM Program</w:t>
            </w:r>
          </w:p>
        </w:tc>
        <w:tc>
          <w:tcPr>
            <w:tcW w:w="1728" w:type="dxa"/>
            <w:vAlign w:val="top"/>
          </w:tcPr>
          <w:p w:rsidR="00BB5378" w:rsidRPr="00B319B2" w:rsidP="00704074" w14:paraId="057E9777"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0.69</w:t>
            </w:r>
          </w:p>
        </w:tc>
        <w:tc>
          <w:tcPr>
            <w:tcW w:w="1152" w:type="dxa"/>
            <w:vAlign w:val="top"/>
          </w:tcPr>
          <w:p w:rsidR="00BB5378" w:rsidRPr="00B319B2" w:rsidP="00704074" w14:paraId="648554A5"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6A0D226B"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44.7%</w:t>
            </w:r>
          </w:p>
        </w:tc>
      </w:tr>
      <w:tr w14:paraId="2ADA5095" w14:textId="77777777" w:rsidTr="00704074">
        <w:tblPrEx>
          <w:tblW w:w="3917" w:type="pct"/>
          <w:tblLayout w:type="fixed"/>
          <w:tblLook w:val="04A0"/>
        </w:tblPrEx>
        <w:tc>
          <w:tcPr>
            <w:tcW w:w="3301" w:type="dxa"/>
          </w:tcPr>
          <w:p w:rsidR="00BB5378" w:rsidRPr="00B319B2" w:rsidP="00704074" w14:paraId="15F19D62" w14:textId="77777777">
            <w:pPr>
              <w:pStyle w:val="Tabletext8ptcol1indent2"/>
              <w:rPr>
                <w:rFonts w:asciiTheme="minorHAnsi" w:hAnsiTheme="minorHAnsi" w:cstheme="minorHAnsi"/>
                <w:sz w:val="18"/>
              </w:rPr>
            </w:pPr>
            <w:r w:rsidRPr="00B319B2">
              <w:rPr>
                <w:rFonts w:asciiTheme="minorHAnsi" w:hAnsiTheme="minorHAnsi" w:cstheme="minorHAnsi"/>
                <w:sz w:val="18"/>
              </w:rPr>
              <w:t>In a STEM Program</w:t>
            </w:r>
          </w:p>
        </w:tc>
        <w:tc>
          <w:tcPr>
            <w:tcW w:w="1728" w:type="dxa"/>
            <w:vAlign w:val="top"/>
          </w:tcPr>
          <w:p w:rsidR="00BB5378" w:rsidRPr="00B319B2" w:rsidP="00704074" w14:paraId="712F6F4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0.70</w:t>
            </w:r>
          </w:p>
        </w:tc>
        <w:tc>
          <w:tcPr>
            <w:tcW w:w="1152" w:type="dxa"/>
            <w:vAlign w:val="top"/>
          </w:tcPr>
          <w:p w:rsidR="00BB5378" w:rsidRPr="00B319B2" w:rsidP="00704074" w14:paraId="43CDA760"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439AF5F3"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49.8%</w:t>
            </w:r>
          </w:p>
        </w:tc>
      </w:tr>
      <w:tr w14:paraId="31B1F677" w14:textId="77777777" w:rsidTr="00704074">
        <w:tblPrEx>
          <w:tblW w:w="3917" w:type="pct"/>
          <w:tblLayout w:type="fixed"/>
          <w:tblLook w:val="04A0"/>
        </w:tblPrEx>
        <w:tc>
          <w:tcPr>
            <w:tcW w:w="3301" w:type="dxa"/>
          </w:tcPr>
          <w:p w:rsidR="00BB5378" w:rsidRPr="00B319B2" w:rsidP="00704074" w14:paraId="14522DC9" w14:textId="77777777">
            <w:pPr>
              <w:pStyle w:val="Tabletext8ptcol1indent2"/>
              <w:rPr>
                <w:rFonts w:asciiTheme="minorHAnsi" w:hAnsiTheme="minorHAnsi" w:cstheme="minorHAnsi"/>
                <w:sz w:val="18"/>
              </w:rPr>
            </w:pPr>
          </w:p>
        </w:tc>
        <w:tc>
          <w:tcPr>
            <w:tcW w:w="1728" w:type="dxa"/>
          </w:tcPr>
          <w:p w:rsidR="00BB5378" w:rsidRPr="00B319B2" w:rsidP="00704074" w14:paraId="2FB340B4"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0AC5F437"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673685A5" w14:textId="77777777">
            <w:pPr>
              <w:pStyle w:val="Tabletext8pt"/>
              <w:jc w:val="center"/>
              <w:rPr>
                <w:rFonts w:asciiTheme="minorHAnsi" w:hAnsiTheme="minorHAnsi" w:cstheme="minorHAnsi"/>
                <w:sz w:val="18"/>
                <w:szCs w:val="18"/>
              </w:rPr>
            </w:pPr>
          </w:p>
        </w:tc>
      </w:tr>
      <w:tr w14:paraId="09455016" w14:textId="77777777" w:rsidTr="00704074">
        <w:tblPrEx>
          <w:tblW w:w="3917" w:type="pct"/>
          <w:tblLayout w:type="fixed"/>
          <w:tblLook w:val="04A0"/>
        </w:tblPrEx>
        <w:tc>
          <w:tcPr>
            <w:tcW w:w="3301" w:type="dxa"/>
          </w:tcPr>
          <w:p w:rsidR="00BB5378" w:rsidRPr="00B319B2" w:rsidP="00704074" w14:paraId="1348FFCF" w14:textId="77777777">
            <w:pPr>
              <w:pStyle w:val="Tabletext8ptcol1indent2"/>
              <w:ind w:left="0" w:firstLine="0"/>
              <w:rPr>
                <w:rFonts w:asciiTheme="minorHAnsi" w:hAnsiTheme="minorHAnsi" w:cstheme="minorHAnsi"/>
                <w:sz w:val="18"/>
              </w:rPr>
            </w:pPr>
            <w:r w:rsidRPr="00B319B2">
              <w:rPr>
                <w:rFonts w:asciiTheme="minorHAnsi" w:hAnsiTheme="minorHAnsi" w:cstheme="minorHAnsi"/>
                <w:b/>
                <w:bCs w:val="0"/>
                <w:sz w:val="18"/>
              </w:rPr>
              <w:t>Undergraduate Status</w:t>
            </w:r>
          </w:p>
        </w:tc>
        <w:tc>
          <w:tcPr>
            <w:tcW w:w="1728" w:type="dxa"/>
          </w:tcPr>
          <w:p w:rsidR="00BB5378" w:rsidRPr="00B319B2" w:rsidP="00704074" w14:paraId="728A7419" w14:textId="77777777">
            <w:pPr>
              <w:pStyle w:val="Tabletext8ptdecimalalign"/>
              <w:tabs>
                <w:tab w:val="clear" w:pos="1502"/>
              </w:tabs>
              <w:jc w:val="center"/>
              <w:rPr>
                <w:rFonts w:asciiTheme="minorHAnsi" w:hAnsiTheme="minorHAnsi" w:cstheme="minorHAnsi"/>
                <w:sz w:val="18"/>
                <w:szCs w:val="18"/>
              </w:rPr>
            </w:pPr>
          </w:p>
        </w:tc>
        <w:tc>
          <w:tcPr>
            <w:tcW w:w="1152" w:type="dxa"/>
          </w:tcPr>
          <w:p w:rsidR="00BB5378" w:rsidRPr="00B319B2" w:rsidP="00704074" w14:paraId="4494E35C" w14:textId="77777777">
            <w:pPr>
              <w:pStyle w:val="Tabletext8ptdecimalalign"/>
              <w:tabs>
                <w:tab w:val="clear" w:pos="1502"/>
              </w:tabs>
              <w:jc w:val="center"/>
              <w:rPr>
                <w:rFonts w:asciiTheme="minorHAnsi" w:hAnsiTheme="minorHAnsi" w:cstheme="minorHAnsi"/>
                <w:sz w:val="18"/>
                <w:szCs w:val="18"/>
              </w:rPr>
            </w:pPr>
          </w:p>
        </w:tc>
        <w:tc>
          <w:tcPr>
            <w:tcW w:w="1152" w:type="dxa"/>
            <w:noWrap/>
          </w:tcPr>
          <w:p w:rsidR="00BB5378" w:rsidRPr="00B319B2" w:rsidP="00704074" w14:paraId="1EE31910" w14:textId="77777777">
            <w:pPr>
              <w:pStyle w:val="Tabletext8pt"/>
              <w:jc w:val="center"/>
              <w:rPr>
                <w:rFonts w:asciiTheme="minorHAnsi" w:hAnsiTheme="minorHAnsi" w:cstheme="minorHAnsi"/>
                <w:sz w:val="18"/>
                <w:szCs w:val="18"/>
              </w:rPr>
            </w:pPr>
          </w:p>
        </w:tc>
      </w:tr>
      <w:tr w14:paraId="0CDCE644" w14:textId="77777777" w:rsidTr="00704074">
        <w:tblPrEx>
          <w:tblW w:w="3917" w:type="pct"/>
          <w:tblLayout w:type="fixed"/>
          <w:tblLook w:val="04A0"/>
        </w:tblPrEx>
        <w:tc>
          <w:tcPr>
            <w:tcW w:w="3301" w:type="dxa"/>
          </w:tcPr>
          <w:p w:rsidR="00BB5378" w:rsidRPr="00B319B2" w:rsidP="00704074" w14:paraId="431E043B" w14:textId="77777777">
            <w:pPr>
              <w:pStyle w:val="Tabletext8ptcol1indent2"/>
              <w:rPr>
                <w:rFonts w:asciiTheme="minorHAnsi" w:hAnsiTheme="minorHAnsi" w:cstheme="minorHAnsi"/>
                <w:sz w:val="18"/>
              </w:rPr>
            </w:pPr>
            <w:r w:rsidRPr="00B319B2">
              <w:rPr>
                <w:rFonts w:asciiTheme="minorHAnsi" w:hAnsiTheme="minorHAnsi" w:cstheme="minorHAnsi"/>
                <w:sz w:val="18"/>
              </w:rPr>
              <w:t>Not an Undergraduate</w:t>
            </w:r>
          </w:p>
        </w:tc>
        <w:tc>
          <w:tcPr>
            <w:tcW w:w="1728" w:type="dxa"/>
            <w:noWrap/>
            <w:vAlign w:val="top"/>
          </w:tcPr>
          <w:p w:rsidR="00BB5378" w:rsidRPr="00B319B2" w:rsidP="00704074" w14:paraId="719513A9"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0.73</w:t>
            </w:r>
          </w:p>
        </w:tc>
        <w:tc>
          <w:tcPr>
            <w:tcW w:w="1152" w:type="dxa"/>
            <w:noWrap/>
            <w:vAlign w:val="top"/>
          </w:tcPr>
          <w:p w:rsidR="00BB5378" w:rsidRPr="00B319B2" w:rsidP="00704074" w14:paraId="7F203E7D"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noWrap/>
            <w:vAlign w:val="top"/>
          </w:tcPr>
          <w:p w:rsidR="00BB5378" w:rsidRPr="00B319B2" w:rsidP="00704074" w14:paraId="130A4A9B"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52.4%</w:t>
            </w:r>
          </w:p>
        </w:tc>
      </w:tr>
      <w:tr w14:paraId="09D45606" w14:textId="77777777" w:rsidTr="00704074">
        <w:tblPrEx>
          <w:tblW w:w="3917" w:type="pct"/>
          <w:tblLayout w:type="fixed"/>
          <w:tblLook w:val="04A0"/>
        </w:tblPrEx>
        <w:tc>
          <w:tcPr>
            <w:tcW w:w="3301" w:type="dxa"/>
          </w:tcPr>
          <w:p w:rsidR="00BB5378" w:rsidRPr="00B319B2" w:rsidP="00704074" w14:paraId="117A7CE6" w14:textId="77777777">
            <w:pPr>
              <w:pStyle w:val="Tabletext8ptcol1indent2"/>
              <w:rPr>
                <w:rFonts w:asciiTheme="minorHAnsi" w:hAnsiTheme="minorHAnsi" w:cstheme="minorHAnsi"/>
                <w:sz w:val="18"/>
              </w:rPr>
            </w:pPr>
            <w:r w:rsidRPr="00B319B2">
              <w:rPr>
                <w:rFonts w:asciiTheme="minorHAnsi" w:hAnsiTheme="minorHAnsi" w:cstheme="minorHAnsi"/>
                <w:sz w:val="18"/>
              </w:rPr>
              <w:t>Undergraduate</w:t>
            </w:r>
          </w:p>
        </w:tc>
        <w:tc>
          <w:tcPr>
            <w:tcW w:w="1728" w:type="dxa"/>
            <w:vAlign w:val="top"/>
          </w:tcPr>
          <w:p w:rsidR="00BB5378" w:rsidRPr="00B319B2" w:rsidP="00704074" w14:paraId="23162DE4"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0.68</w:t>
            </w:r>
          </w:p>
        </w:tc>
        <w:tc>
          <w:tcPr>
            <w:tcW w:w="1152" w:type="dxa"/>
            <w:vAlign w:val="top"/>
          </w:tcPr>
          <w:p w:rsidR="00BB5378" w:rsidRPr="00B319B2" w:rsidP="00704074" w14:paraId="24EB4F5C" w14:textId="77777777">
            <w:pPr>
              <w:pStyle w:val="Tabletext8ptdecimalalign"/>
              <w:tabs>
                <w:tab w:val="clear" w:pos="1502"/>
              </w:tabs>
              <w:jc w:val="center"/>
              <w:rPr>
                <w:rFonts w:asciiTheme="minorHAnsi" w:hAnsiTheme="minorHAnsi" w:cstheme="minorHAnsi"/>
                <w:sz w:val="18"/>
                <w:szCs w:val="18"/>
              </w:rPr>
            </w:pPr>
            <w:r w:rsidRPr="00B319B2">
              <w:rPr>
                <w:rFonts w:asciiTheme="minorHAnsi" w:hAnsiTheme="minorHAnsi" w:cstheme="minorHAnsi"/>
                <w:sz w:val="18"/>
                <w:szCs w:val="18"/>
              </w:rPr>
              <w:t>0.01</w:t>
            </w:r>
          </w:p>
        </w:tc>
        <w:tc>
          <w:tcPr>
            <w:tcW w:w="1152" w:type="dxa"/>
            <w:vAlign w:val="top"/>
          </w:tcPr>
          <w:p w:rsidR="00BB5378" w:rsidRPr="00B319B2" w:rsidP="00704074" w14:paraId="7250337E" w14:textId="77777777">
            <w:pPr>
              <w:pStyle w:val="Tabletext8pt"/>
              <w:jc w:val="center"/>
              <w:rPr>
                <w:rFonts w:asciiTheme="minorHAnsi" w:hAnsiTheme="minorHAnsi" w:cstheme="minorHAnsi"/>
                <w:sz w:val="18"/>
                <w:szCs w:val="18"/>
              </w:rPr>
            </w:pPr>
            <w:r w:rsidRPr="00B319B2">
              <w:rPr>
                <w:rFonts w:asciiTheme="minorHAnsi" w:hAnsiTheme="minorHAnsi" w:cstheme="minorHAnsi"/>
                <w:sz w:val="18"/>
                <w:szCs w:val="18"/>
              </w:rPr>
              <w:t>43.0%</w:t>
            </w:r>
          </w:p>
        </w:tc>
      </w:tr>
    </w:tbl>
    <w:p w:rsidR="00BB5378" w:rsidP="00BB5378" w14:paraId="23D63C9B" w14:textId="77777777">
      <w:pPr>
        <w:rPr>
          <w:rFonts w:ascii="Garamond" w:hAnsi="Garamond"/>
          <w:b/>
          <w:bCs/>
        </w:rPr>
      </w:pPr>
    </w:p>
    <w:p w:rsidR="00BB5378" w:rsidP="00BB5378" w14:paraId="5F31B6D1" w14:textId="77777777">
      <w:pPr>
        <w:rPr>
          <w:rFonts w:ascii="Garamond" w:hAnsi="Garamond"/>
          <w:b/>
          <w:bCs/>
        </w:rPr>
      </w:pPr>
    </w:p>
    <w:p w:rsidR="00BB5378" w:rsidP="00BB5378" w14:paraId="47A6CBB7" w14:textId="77777777">
      <w:pPr>
        <w:rPr>
          <w:rFonts w:ascii="Garamond" w:hAnsi="Garamond"/>
          <w:b/>
          <w:bCs/>
        </w:rPr>
      </w:pPr>
    </w:p>
    <w:p w:rsidR="005D2EC4" w14:paraId="4DC4EE88" w14:textId="7A99741D">
      <w:pPr>
        <w:rPr>
          <w:rFonts w:ascii="Garamond" w:hAnsi="Garamond"/>
          <w:b/>
          <w:bCs/>
          <w:u w:val="single"/>
        </w:rPr>
      </w:pPr>
      <w:r>
        <w:rPr>
          <w:rFonts w:ascii="Garamond" w:hAnsi="Garamond"/>
          <w:b/>
          <w:bCs/>
          <w:u w:val="single"/>
        </w:rPr>
        <w:br w:type="page"/>
      </w:r>
    </w:p>
    <w:p w:rsidR="00BB5378" w:rsidP="004B490D" w14:paraId="6C086C2D" w14:textId="18AE9D6A">
      <w:pPr>
        <w:pStyle w:val="Heading1"/>
      </w:pPr>
      <w:r>
        <w:t xml:space="preserve">Part A: </w:t>
      </w:r>
      <w:r w:rsidR="00382306">
        <w:t>Initial Plans for NPSAS and the revised SPD 15 Standards</w:t>
      </w:r>
    </w:p>
    <w:p w:rsidR="00382306" w:rsidP="00BB5378" w14:paraId="20955CA5" w14:textId="77777777">
      <w:pPr>
        <w:rPr>
          <w:rFonts w:ascii="Garamond" w:hAnsi="Garamond"/>
          <w:b/>
          <w:bCs/>
          <w:u w:val="single"/>
        </w:rPr>
      </w:pPr>
    </w:p>
    <w:p w:rsidR="00382306" w:rsidRPr="004B490D" w:rsidP="00BB5378" w14:paraId="0511A42B" w14:textId="00F158AE">
      <w:pPr>
        <w:rPr>
          <w:rFonts w:ascii="Garamond" w:hAnsi="Garamond"/>
        </w:rPr>
      </w:pPr>
      <w:r w:rsidRPr="004B490D">
        <w:rPr>
          <w:rFonts w:ascii="Garamond" w:hAnsi="Garamond"/>
        </w:rPr>
        <w:t xml:space="preserve">OMB recently adopted new standards for the collection of race and ethnicity data on Federal data collections, and </w:t>
      </w:r>
      <w:r w:rsidRPr="004B490D" w:rsidR="004B490D">
        <w:rPr>
          <w:rFonts w:ascii="Garamond" w:hAnsi="Garamond"/>
        </w:rPr>
        <w:t>agencies have been instructed that all new packages must include information about their compliance or lack thereof with the new standards. Toward that end, we have added the following language to section A.7 of the Supporting Statement Part A.</w:t>
      </w:r>
    </w:p>
    <w:p w:rsidR="004B490D" w:rsidRPr="004B490D" w:rsidP="00BB5378" w14:paraId="4CC99B1A" w14:textId="77777777">
      <w:pPr>
        <w:rPr>
          <w:rFonts w:ascii="Garamond" w:hAnsi="Garamond"/>
        </w:rPr>
      </w:pPr>
    </w:p>
    <w:p w:rsidR="004B490D" w:rsidRPr="004B490D" w:rsidP="004B490D" w14:paraId="2119CC10" w14:textId="77777777">
      <w:pPr>
        <w:rPr>
          <w:rFonts w:ascii="Garamond" w:hAnsi="Garamond"/>
          <w:color w:val="FF0000"/>
        </w:rPr>
      </w:pPr>
      <w:r w:rsidRPr="004B490D">
        <w:rPr>
          <w:rFonts w:ascii="Garamond" w:hAnsi="Garamond"/>
          <w:color w:val="FF0000"/>
        </w:rPr>
        <w:t xml:space="preserve">In March 2024, the Office of Management and Budget (OMB) announced revisions to Statistical Policy Directive No. 15: Standards for Maintaining, Collecting, and Presenting Federal Data on Race and Ethnicity (SPD 15) and published the revised SPD15 standard in the Federal Register (89 FR 22182). The NPSAS:2024 data collection described in this package is not compliant with the new standard and continues to use race and ethnicity categories as described in the 1997 SPD 15 standards. </w:t>
      </w:r>
    </w:p>
    <w:p w:rsidR="004B490D" w:rsidRPr="004B490D" w:rsidP="004B490D" w14:paraId="3E641FBB" w14:textId="77777777">
      <w:pPr>
        <w:rPr>
          <w:rFonts w:ascii="Garamond" w:hAnsi="Garamond"/>
          <w:color w:val="FF0000"/>
        </w:rPr>
      </w:pPr>
    </w:p>
    <w:p w:rsidR="004B490D" w:rsidRPr="004B490D" w:rsidP="004B490D" w14:paraId="75B64E76" w14:textId="77777777">
      <w:pPr>
        <w:rPr>
          <w:rFonts w:ascii="Garamond" w:hAnsi="Garamond"/>
          <w:color w:val="FF0000"/>
        </w:rPr>
      </w:pPr>
      <w:r w:rsidRPr="004B490D">
        <w:rPr>
          <w:rFonts w:ascii="Garamond" w:hAnsi="Garamond"/>
          <w:color w:val="FF0000"/>
        </w:rPr>
        <w:t xml:space="preserve">NPSAS collects race and ethnicity data in multiple ways, from individual student respondents in the Student Data Collection, from postsecondary institutions as part of the Enrollment List Data Collection, and from occasional NPSAS Administrative Collections that are solely reliant on administrative data sources. NPSAS:24 started Enrollment List Data Collection in the first half of 2024 and began Student Data Collection in February 2024. Because data collection for NPSAS:24 is already well underway, NCES has chosen not to update the student race and ethnicity items at this time. </w:t>
      </w:r>
    </w:p>
    <w:p w:rsidR="004B490D" w:rsidRPr="004B490D" w:rsidP="004B490D" w14:paraId="7C0E3EC6" w14:textId="77777777">
      <w:pPr>
        <w:rPr>
          <w:rFonts w:ascii="Garamond" w:hAnsi="Garamond"/>
          <w:color w:val="FF0000"/>
        </w:rPr>
      </w:pPr>
    </w:p>
    <w:p w:rsidR="004B490D" w:rsidRPr="004B490D" w:rsidP="004B490D" w14:paraId="3454CBC7" w14:textId="68A42437">
      <w:pPr>
        <w:rPr>
          <w:rFonts w:ascii="Garamond" w:hAnsi="Garamond"/>
          <w:color w:val="FF0000"/>
        </w:rPr>
      </w:pPr>
      <w:r w:rsidRPr="004B490D">
        <w:rPr>
          <w:rFonts w:ascii="Garamond" w:hAnsi="Garamond"/>
          <w:color w:val="FF0000"/>
        </w:rPr>
        <w:t xml:space="preserve">The next NPSAS study is currently expected to take place in the 2026-27 school </w:t>
      </w:r>
      <w:r w:rsidRPr="004B490D">
        <w:rPr>
          <w:rFonts w:ascii="Garamond" w:hAnsi="Garamond"/>
          <w:color w:val="FF0000"/>
        </w:rPr>
        <w:t>year, and</w:t>
      </w:r>
      <w:r w:rsidRPr="004B490D">
        <w:rPr>
          <w:rFonts w:ascii="Garamond" w:hAnsi="Garamond"/>
          <w:color w:val="FF0000"/>
        </w:rPr>
        <w:t xml:space="preserve"> will be a NPSAS Administrative Collection. All data collected in Administrative Collections is reported by third-party data collection, and it is not year clear if postsecondary institutions will be prepared to submit third-party race and ethnicity data in accordance with the revised SPD 15 standards at that time. NCES and the Department of Education are currently working with a number of stakeholders to establish timelines for compliance for all school systems and postsecondary institutions across the country. The details of these timelines will be included in the ED Action Plan on Race and Ethnicity when it is submitted to OMB on or by September 28, 2025.</w:t>
      </w:r>
    </w:p>
    <w:sectPr w:rsidSect="00207E42">
      <w:headerReference w:type="even" r:id="rId14"/>
      <w:footerReference w:type="default" r:id="rId15"/>
      <w:pgSz w:w="12240" w:h="15840" w:code="1"/>
      <w:pgMar w:top="864" w:right="864" w:bottom="720" w:left="864" w:header="432" w:footer="28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DA0ABB" w14:paraId="33F26816" w14:textId="1DCC390D">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DA0ABB" w14:paraId="758FEC54"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2DBC" w14:paraId="44598D88" w14:textId="77777777">
      <w:r>
        <w:separator/>
      </w:r>
    </w:p>
  </w:footnote>
  <w:footnote w:type="continuationSeparator" w:id="1">
    <w:p w:rsidR="003F2DBC" w14:paraId="61810D78" w14:textId="77777777">
      <w:r>
        <w:continuationSeparator/>
      </w:r>
    </w:p>
  </w:footnote>
  <w:footnote w:type="continuationNotice" w:id="2">
    <w:p w:rsidR="003F2DBC" w14:paraId="11B5802C" w14:textId="77777777"/>
  </w:footnote>
  <w:footnote w:id="3">
    <w:p w:rsidR="00891BF9" w:rsidRPr="00FD79D5" w:rsidP="00891BF9" w14:paraId="667A1B41" w14:textId="77777777">
      <w:pPr>
        <w:pStyle w:val="FootnoteText"/>
        <w:rPr>
          <w:rFonts w:ascii="Garamond" w:hAnsi="Garamond"/>
        </w:rPr>
      </w:pPr>
      <w:r w:rsidRPr="00FD79D5">
        <w:rPr>
          <w:rStyle w:val="FootnoteReference"/>
          <w:rFonts w:ascii="Garamond" w:hAnsi="Garamond"/>
        </w:rPr>
        <w:footnoteRef/>
      </w:r>
      <w:r w:rsidRPr="00FD79D5">
        <w:rPr>
          <w:rFonts w:ascii="Garamond" w:hAnsi="Garamond"/>
        </w:rPr>
        <w:t xml:space="preserve"> Bowman, M., Bryant, A., Griffiths, R., Hare, A., Huey, L., McCall, J., Scanlon, J., and Wakar, B. (2023). </w:t>
      </w:r>
      <w:r w:rsidRPr="00FD79D5">
        <w:rPr>
          <w:rFonts w:ascii="Garamond" w:hAnsi="Garamond"/>
          <w:i/>
          <w:iCs/>
        </w:rPr>
        <w:t xml:space="preserve">Assessment of Stakeholder Experiences with NSF’s Merit Review Process: Findings form the 2021 Merit Review Survey. </w:t>
      </w:r>
      <w:r w:rsidRPr="00FD79D5">
        <w:rPr>
          <w:rFonts w:ascii="Garamond" w:hAnsi="Garamond"/>
        </w:rPr>
        <w:t>Alexandria, CA: National Science Foundation.</w:t>
      </w:r>
    </w:p>
  </w:footnote>
  <w:footnote w:id="4">
    <w:p w:rsidR="00FD79D5" w:rsidRPr="00E344F7" w:rsidP="00FD79D5" w14:paraId="3CBBB46D" w14:textId="77777777">
      <w:pPr>
        <w:rPr>
          <w:rFonts w:ascii="Garamond" w:hAnsi="Garamond" w:cs="Arial"/>
          <w:sz w:val="18"/>
          <w:szCs w:val="18"/>
        </w:rPr>
      </w:pPr>
      <w:r>
        <w:rPr>
          <w:rStyle w:val="FootnoteReference"/>
        </w:rPr>
        <w:footnoteRef/>
      </w:r>
      <w:r>
        <w:t xml:space="preserve"> </w:t>
      </w:r>
      <w:r w:rsidRPr="00E344F7">
        <w:rPr>
          <w:rFonts w:ascii="Garamond" w:hAnsi="Garamond" w:cs="Arial"/>
          <w:sz w:val="18"/>
          <w:szCs w:val="18"/>
        </w:rPr>
        <w:t xml:space="preserve">Pechmann, C. and Stewart, D.W., 1988. Advertising repetition: A critical review of wearin and wearout. </w:t>
      </w:r>
      <w:r w:rsidRPr="00E344F7">
        <w:rPr>
          <w:rFonts w:ascii="Garamond" w:hAnsi="Garamond" w:cs="Arial"/>
          <w:i/>
          <w:iCs/>
          <w:sz w:val="18"/>
          <w:szCs w:val="18"/>
        </w:rPr>
        <w:t>Current issues and research in advertising</w:t>
      </w:r>
      <w:r w:rsidRPr="00E344F7">
        <w:rPr>
          <w:rFonts w:ascii="Garamond" w:hAnsi="Garamond" w:cs="Arial"/>
          <w:sz w:val="18"/>
          <w:szCs w:val="18"/>
        </w:rPr>
        <w:t>, 11(1-2), pp.285-329.</w:t>
      </w:r>
    </w:p>
    <w:p w:rsidR="00FD79D5" w14:paraId="12DEFD1F" w14:textId="08059829">
      <w:pPr>
        <w:pStyle w:val="FootnoteText"/>
      </w:pPr>
    </w:p>
  </w:footnote>
  <w:footnote w:id="5">
    <w:p w:rsidR="00FD79D5" w:rsidRPr="00E344F7" w:rsidP="00D972A3" w14:paraId="657587DB" w14:textId="7D39C26B">
      <w:pPr>
        <w:autoSpaceDE w:val="0"/>
        <w:autoSpaceDN w:val="0"/>
        <w:adjustRightInd w:val="0"/>
        <w:rPr>
          <w:rFonts w:ascii="Garamond" w:hAnsi="Garamond" w:cs="Arial"/>
          <w:sz w:val="18"/>
          <w:szCs w:val="18"/>
        </w:rPr>
      </w:pPr>
      <w:r>
        <w:rPr>
          <w:rStyle w:val="FootnoteReference"/>
        </w:rPr>
        <w:footnoteRef/>
      </w:r>
      <w:r>
        <w:t xml:space="preserve"> </w:t>
      </w:r>
      <w:r w:rsidRPr="00E344F7">
        <w:rPr>
          <w:rFonts w:ascii="Garamond" w:hAnsi="Garamond" w:cs="Arial"/>
          <w:sz w:val="18"/>
          <w:szCs w:val="18"/>
        </w:rPr>
        <w:t>Groves RM, Singer E, Corning AD. Leverage-salience theory of survey participation:</w:t>
      </w:r>
      <w:r w:rsidR="00D972A3">
        <w:rPr>
          <w:rFonts w:ascii="Garamond" w:hAnsi="Garamond" w:cs="Arial"/>
          <w:sz w:val="18"/>
          <w:szCs w:val="18"/>
        </w:rPr>
        <w:t xml:space="preserve"> </w:t>
      </w:r>
      <w:r w:rsidRPr="00E344F7">
        <w:rPr>
          <w:rFonts w:ascii="Garamond" w:hAnsi="Garamond" w:cs="Arial"/>
          <w:sz w:val="18"/>
          <w:szCs w:val="18"/>
        </w:rPr>
        <w:t xml:space="preserve">Description and an illustration. </w:t>
      </w:r>
      <w:r w:rsidRPr="00E344F7">
        <w:rPr>
          <w:rFonts w:ascii="Garamond" w:hAnsi="Garamond" w:cs="Arial"/>
          <w:i/>
          <w:iCs/>
          <w:sz w:val="18"/>
          <w:szCs w:val="18"/>
        </w:rPr>
        <w:t xml:space="preserve">Public Opinion Quarterly. </w:t>
      </w:r>
      <w:r w:rsidRPr="00E344F7">
        <w:rPr>
          <w:rFonts w:ascii="Garamond" w:hAnsi="Garamond" w:cs="Arial"/>
          <w:sz w:val="18"/>
          <w:szCs w:val="18"/>
        </w:rPr>
        <w:t>2000;64:299-308.</w:t>
      </w:r>
    </w:p>
    <w:p w:rsidR="00FD79D5" w14:paraId="541EC691" w14:textId="68E9C12F">
      <w:pPr>
        <w:pStyle w:val="FootnoteText"/>
      </w:pPr>
    </w:p>
  </w:footnote>
  <w:footnote w:id="6">
    <w:p w:rsidR="00EA062C" w14:paraId="39454CD8" w14:textId="242E1FB8">
      <w:pPr>
        <w:pStyle w:val="FootnoteText"/>
      </w:pPr>
      <w:r>
        <w:rPr>
          <w:rStyle w:val="FootnoteReference"/>
        </w:rPr>
        <w:footnoteRef/>
      </w:r>
      <w:r>
        <w:t xml:space="preserve"> Ibid.</w:t>
      </w:r>
    </w:p>
  </w:footnote>
  <w:footnote w:id="7">
    <w:p w:rsidR="00BB5378" w:rsidRPr="00E344F7" w:rsidP="00BB5378" w14:paraId="7CDC24D6" w14:textId="77777777">
      <w:pPr>
        <w:autoSpaceDE w:val="0"/>
        <w:autoSpaceDN w:val="0"/>
        <w:adjustRightInd w:val="0"/>
        <w:rPr>
          <w:rFonts w:ascii="Garamond" w:hAnsi="Garamond" w:cs="Arial"/>
          <w:sz w:val="18"/>
          <w:szCs w:val="18"/>
        </w:rPr>
      </w:pPr>
      <w:r>
        <w:rPr>
          <w:rStyle w:val="FootnoteReference"/>
        </w:rPr>
        <w:footnoteRef/>
      </w:r>
      <w:r>
        <w:t xml:space="preserve"> </w:t>
      </w:r>
      <w:r w:rsidRPr="00E344F7">
        <w:rPr>
          <w:rFonts w:ascii="Garamond" w:hAnsi="Garamond" w:cs="Arial"/>
          <w:sz w:val="18"/>
          <w:szCs w:val="18"/>
        </w:rPr>
        <w:t>Groves RM, Heeringa SG. Responsive design for household surveys: tools for actively</w:t>
      </w:r>
    </w:p>
    <w:p w:rsidR="00BB5378" w:rsidRPr="00E344F7" w:rsidP="00BB5378" w14:paraId="247E1277" w14:textId="77777777">
      <w:pPr>
        <w:autoSpaceDE w:val="0"/>
        <w:autoSpaceDN w:val="0"/>
        <w:adjustRightInd w:val="0"/>
        <w:rPr>
          <w:rFonts w:ascii="Garamond" w:hAnsi="Garamond" w:cs="Arial"/>
          <w:i/>
          <w:iCs/>
          <w:sz w:val="18"/>
          <w:szCs w:val="18"/>
        </w:rPr>
      </w:pPr>
      <w:r w:rsidRPr="00E344F7">
        <w:rPr>
          <w:rFonts w:ascii="Garamond" w:hAnsi="Garamond" w:cs="Arial"/>
          <w:sz w:val="18"/>
          <w:szCs w:val="18"/>
        </w:rPr>
        <w:t xml:space="preserve">controlling survey errors and costs. </w:t>
      </w:r>
      <w:r w:rsidRPr="00E344F7">
        <w:rPr>
          <w:rFonts w:ascii="Garamond" w:hAnsi="Garamond" w:cs="Arial"/>
          <w:i/>
          <w:iCs/>
          <w:sz w:val="18"/>
          <w:szCs w:val="18"/>
        </w:rPr>
        <w:t>Journal of the Royal Statistical Society Series a-Statistics in Society.</w:t>
      </w:r>
    </w:p>
    <w:p w:rsidR="00BB5378" w:rsidRPr="00BB5378" w:rsidP="00BB5378" w14:paraId="3B223066" w14:textId="303FB2AC">
      <w:pPr>
        <w:rPr>
          <w:rFonts w:ascii="Garamond" w:hAnsi="Garamond" w:cs="Arial"/>
          <w:sz w:val="18"/>
          <w:szCs w:val="18"/>
        </w:rPr>
      </w:pPr>
      <w:r w:rsidRPr="00E344F7">
        <w:rPr>
          <w:rFonts w:ascii="Garamond" w:hAnsi="Garamond" w:cs="Arial"/>
          <w:sz w:val="18"/>
          <w:szCs w:val="18"/>
        </w:rPr>
        <w:t>2006;169(3):439-457. doi: DOI 10.1111/j.1467-985X.2006.00423.x.</w:t>
      </w:r>
    </w:p>
  </w:footnote>
  <w:footnote w:id="8">
    <w:p w:rsidR="00BB5378" w:rsidRPr="00E344F7" w:rsidP="00BB5378" w14:paraId="1387F5FE" w14:textId="77777777">
      <w:pPr>
        <w:rPr>
          <w:rFonts w:ascii="Garamond" w:hAnsi="Garamond" w:cs="Arial"/>
          <w:sz w:val="18"/>
          <w:szCs w:val="18"/>
        </w:rPr>
      </w:pPr>
      <w:r>
        <w:rPr>
          <w:rStyle w:val="FootnoteReference"/>
        </w:rPr>
        <w:footnoteRef/>
      </w:r>
      <w:r>
        <w:t xml:space="preserve"> </w:t>
      </w:r>
      <w:r w:rsidRPr="00E344F7">
        <w:rPr>
          <w:rFonts w:ascii="Garamond" w:hAnsi="Garamond" w:cs="Arial"/>
          <w:sz w:val="18"/>
          <w:szCs w:val="18"/>
        </w:rPr>
        <w:t>Peytcheva, E, Kirchner, A., and Cooney, J.  2018.  Experimental Comparison of Two Data Collection Protocols for Previous Wave Nonrespondents.  Paper presented at the Methodology of Longitudinal Surveys II conference, Essex, U.K.</w:t>
      </w:r>
    </w:p>
    <w:p w:rsidR="00BB5378" w14:paraId="4F8EF873" w14:textId="61F4BD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0ABB" w14:paraId="1C2DFDE0" w14:textId="77777777">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AA2113D"/>
    <w:multiLevelType w:val="hybridMultilevel"/>
    <w:tmpl w:val="EA94E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F472F11"/>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F91792"/>
    <w:multiLevelType w:val="hybridMultilevel"/>
    <w:tmpl w:val="D6785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88660C5"/>
    <w:multiLevelType w:val="hybridMultilevel"/>
    <w:tmpl w:val="E1F6385E"/>
    <w:lvl w:ilvl="0">
      <w:start w:val="1"/>
      <w:numFmt w:val="bullet"/>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8E76657"/>
    <w:multiLevelType w:val="hybridMultilevel"/>
    <w:tmpl w:val="E46A3BB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31FF4065"/>
    <w:multiLevelType w:val="hybridMultilevel"/>
    <w:tmpl w:val="575CF7E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39E6270"/>
    <w:multiLevelType w:val="hybridMultilevel"/>
    <w:tmpl w:val="80665A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427124A6"/>
    <w:multiLevelType w:val="hybridMultilevel"/>
    <w:tmpl w:val="7E1C9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3945353"/>
    <w:multiLevelType w:val="hybridMultilevel"/>
    <w:tmpl w:val="4984B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4">
    <w:nsid w:val="47927376"/>
    <w:multiLevelType w:val="hybridMultilevel"/>
    <w:tmpl w:val="7ADCCC5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FD94A13"/>
    <w:multiLevelType w:val="hybridMultilevel"/>
    <w:tmpl w:val="45C87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70A26"/>
    <w:multiLevelType w:val="hybridMultilevel"/>
    <w:tmpl w:val="F0FEE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2614028"/>
    <w:multiLevelType w:val="hybridMultilevel"/>
    <w:tmpl w:val="90F22C1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29A567A"/>
    <w:multiLevelType w:val="hybridMultilevel"/>
    <w:tmpl w:val="2BBC4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3902F4E"/>
    <w:multiLevelType w:val="hybridMultilevel"/>
    <w:tmpl w:val="1FBE4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BD563F1"/>
    <w:multiLevelType w:val="hybridMultilevel"/>
    <w:tmpl w:val="CBD8D946"/>
    <w:lvl w:ilvl="0">
      <w:start w:val="0"/>
      <w:numFmt w:val="bullet"/>
      <w:lvlText w:val=""/>
      <w:lvlJc w:val="left"/>
      <w:pPr>
        <w:ind w:left="795" w:hanging="360"/>
      </w:pPr>
      <w:rPr>
        <w:rFonts w:ascii="Symbol" w:hAnsi="Symbol" w:eastAsiaTheme="minorHAnsi" w:cs="Calibri"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25">
    <w:nsid w:val="7E391F96"/>
    <w:multiLevelType w:val="hybridMultilevel"/>
    <w:tmpl w:val="F514B9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1397627">
    <w:abstractNumId w:val="16"/>
  </w:num>
  <w:num w:numId="2" w16cid:durableId="15543976">
    <w:abstractNumId w:val="13"/>
  </w:num>
  <w:num w:numId="3" w16cid:durableId="113599288">
    <w:abstractNumId w:val="3"/>
  </w:num>
  <w:num w:numId="4" w16cid:durableId="532811136">
    <w:abstractNumId w:val="23"/>
  </w:num>
  <w:num w:numId="5" w16cid:durableId="1212227369">
    <w:abstractNumId w:val="2"/>
  </w:num>
  <w:num w:numId="6" w16cid:durableId="280190430">
    <w:abstractNumId w:val="6"/>
  </w:num>
  <w:num w:numId="7" w16cid:durableId="1853567604">
    <w:abstractNumId w:val="0"/>
  </w:num>
  <w:num w:numId="8" w16cid:durableId="580526823">
    <w:abstractNumId w:val="21"/>
  </w:num>
  <w:num w:numId="9" w16cid:durableId="1528254680">
    <w:abstractNumId w:val="1"/>
  </w:num>
  <w:num w:numId="10" w16cid:durableId="1435055347">
    <w:abstractNumId w:val="8"/>
  </w:num>
  <w:num w:numId="11" w16cid:durableId="1619335237">
    <w:abstractNumId w:val="11"/>
  </w:num>
  <w:num w:numId="12" w16cid:durableId="228347070">
    <w:abstractNumId w:val="18"/>
  </w:num>
  <w:num w:numId="13" w16cid:durableId="1469710602">
    <w:abstractNumId w:val="5"/>
  </w:num>
  <w:num w:numId="14" w16cid:durableId="135686190">
    <w:abstractNumId w:val="25"/>
  </w:num>
  <w:num w:numId="15" w16cid:durableId="2146578883">
    <w:abstractNumId w:val="15"/>
  </w:num>
  <w:num w:numId="16" w16cid:durableId="1840385724">
    <w:abstractNumId w:val="24"/>
  </w:num>
  <w:num w:numId="17" w16cid:durableId="1209612105">
    <w:abstractNumId w:val="17"/>
  </w:num>
  <w:num w:numId="18" w16cid:durableId="691882592">
    <w:abstractNumId w:val="19"/>
  </w:num>
  <w:num w:numId="19" w16cid:durableId="749959814">
    <w:abstractNumId w:val="14"/>
  </w:num>
  <w:num w:numId="20" w16cid:durableId="1826387276">
    <w:abstractNumId w:val="9"/>
  </w:num>
  <w:num w:numId="21" w16cid:durableId="1888639003">
    <w:abstractNumId w:val="10"/>
  </w:num>
  <w:num w:numId="22" w16cid:durableId="1144617998">
    <w:abstractNumId w:val="22"/>
  </w:num>
  <w:num w:numId="23" w16cid:durableId="623266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21638132">
    <w:abstractNumId w:val="4"/>
  </w:num>
  <w:num w:numId="25" w16cid:durableId="1337417659">
    <w:abstractNumId w:val="7"/>
  </w:num>
  <w:num w:numId="26" w16cid:durableId="47310613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6D24"/>
    <w:rsid w:val="00027D66"/>
    <w:rsid w:val="00027DE6"/>
    <w:rsid w:val="000308CF"/>
    <w:rsid w:val="00030BD1"/>
    <w:rsid w:val="00031016"/>
    <w:rsid w:val="00032BB5"/>
    <w:rsid w:val="00033562"/>
    <w:rsid w:val="00034778"/>
    <w:rsid w:val="00034BCE"/>
    <w:rsid w:val="000360AA"/>
    <w:rsid w:val="00037B40"/>
    <w:rsid w:val="00040175"/>
    <w:rsid w:val="00040754"/>
    <w:rsid w:val="000409A3"/>
    <w:rsid w:val="00040BC2"/>
    <w:rsid w:val="00042C4B"/>
    <w:rsid w:val="00042ED7"/>
    <w:rsid w:val="000438BF"/>
    <w:rsid w:val="00043BAF"/>
    <w:rsid w:val="0004519B"/>
    <w:rsid w:val="0004708D"/>
    <w:rsid w:val="0004749C"/>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50B2"/>
    <w:rsid w:val="00066395"/>
    <w:rsid w:val="00067A73"/>
    <w:rsid w:val="00071633"/>
    <w:rsid w:val="000726BF"/>
    <w:rsid w:val="0007293E"/>
    <w:rsid w:val="00073C67"/>
    <w:rsid w:val="00073EA3"/>
    <w:rsid w:val="00075654"/>
    <w:rsid w:val="000757BE"/>
    <w:rsid w:val="0007600F"/>
    <w:rsid w:val="000766CE"/>
    <w:rsid w:val="00080A18"/>
    <w:rsid w:val="000812AE"/>
    <w:rsid w:val="0008164A"/>
    <w:rsid w:val="00081989"/>
    <w:rsid w:val="00081A1A"/>
    <w:rsid w:val="00082E9F"/>
    <w:rsid w:val="000830A7"/>
    <w:rsid w:val="000833C1"/>
    <w:rsid w:val="00083AED"/>
    <w:rsid w:val="00083E98"/>
    <w:rsid w:val="00084F1D"/>
    <w:rsid w:val="0008530A"/>
    <w:rsid w:val="00085D18"/>
    <w:rsid w:val="00086C1B"/>
    <w:rsid w:val="00087175"/>
    <w:rsid w:val="00090214"/>
    <w:rsid w:val="000908FE"/>
    <w:rsid w:val="000910F8"/>
    <w:rsid w:val="00091FAE"/>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5CA5"/>
    <w:rsid w:val="000B6FFB"/>
    <w:rsid w:val="000C07E9"/>
    <w:rsid w:val="000C14F8"/>
    <w:rsid w:val="000C152F"/>
    <w:rsid w:val="000C1A37"/>
    <w:rsid w:val="000C1B8D"/>
    <w:rsid w:val="000C26AC"/>
    <w:rsid w:val="000C38AA"/>
    <w:rsid w:val="000C42F0"/>
    <w:rsid w:val="000C43E5"/>
    <w:rsid w:val="000C442D"/>
    <w:rsid w:val="000C6A61"/>
    <w:rsid w:val="000C6B30"/>
    <w:rsid w:val="000C6FF1"/>
    <w:rsid w:val="000D00E3"/>
    <w:rsid w:val="000D1483"/>
    <w:rsid w:val="000D20B6"/>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3B20"/>
    <w:rsid w:val="000F6804"/>
    <w:rsid w:val="00100049"/>
    <w:rsid w:val="001003BB"/>
    <w:rsid w:val="001006AC"/>
    <w:rsid w:val="00101E44"/>
    <w:rsid w:val="001022E0"/>
    <w:rsid w:val="001035AF"/>
    <w:rsid w:val="00106564"/>
    <w:rsid w:val="001069CE"/>
    <w:rsid w:val="00106CF8"/>
    <w:rsid w:val="0011040D"/>
    <w:rsid w:val="001104B5"/>
    <w:rsid w:val="001106E4"/>
    <w:rsid w:val="001107AC"/>
    <w:rsid w:val="00111516"/>
    <w:rsid w:val="00114C68"/>
    <w:rsid w:val="001153AB"/>
    <w:rsid w:val="001155FD"/>
    <w:rsid w:val="00115CE1"/>
    <w:rsid w:val="00116175"/>
    <w:rsid w:val="00116C32"/>
    <w:rsid w:val="00116F6A"/>
    <w:rsid w:val="00117CFB"/>
    <w:rsid w:val="00120855"/>
    <w:rsid w:val="00121388"/>
    <w:rsid w:val="001226A0"/>
    <w:rsid w:val="00122DEF"/>
    <w:rsid w:val="00123D83"/>
    <w:rsid w:val="00125C6C"/>
    <w:rsid w:val="0012613F"/>
    <w:rsid w:val="00127378"/>
    <w:rsid w:val="00130FCA"/>
    <w:rsid w:val="00131A74"/>
    <w:rsid w:val="0013234E"/>
    <w:rsid w:val="001325AB"/>
    <w:rsid w:val="001336C6"/>
    <w:rsid w:val="001347BD"/>
    <w:rsid w:val="00134806"/>
    <w:rsid w:val="00134962"/>
    <w:rsid w:val="001359ED"/>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47836"/>
    <w:rsid w:val="001502A3"/>
    <w:rsid w:val="00150A36"/>
    <w:rsid w:val="00150D13"/>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5AA"/>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902A7"/>
    <w:rsid w:val="001905D4"/>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31AA"/>
    <w:rsid w:val="001A43B8"/>
    <w:rsid w:val="001A60C7"/>
    <w:rsid w:val="001A6624"/>
    <w:rsid w:val="001A6A68"/>
    <w:rsid w:val="001A7109"/>
    <w:rsid w:val="001A7C89"/>
    <w:rsid w:val="001B0BD2"/>
    <w:rsid w:val="001B15CB"/>
    <w:rsid w:val="001B1F22"/>
    <w:rsid w:val="001B27F4"/>
    <w:rsid w:val="001B3631"/>
    <w:rsid w:val="001B3A18"/>
    <w:rsid w:val="001B51CF"/>
    <w:rsid w:val="001B5B26"/>
    <w:rsid w:val="001B62D8"/>
    <w:rsid w:val="001B6BD2"/>
    <w:rsid w:val="001B7E6E"/>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6F6C"/>
    <w:rsid w:val="001D73F8"/>
    <w:rsid w:val="001D7B07"/>
    <w:rsid w:val="001E153B"/>
    <w:rsid w:val="001E18D4"/>
    <w:rsid w:val="001E1980"/>
    <w:rsid w:val="001E3C6D"/>
    <w:rsid w:val="001E453A"/>
    <w:rsid w:val="001E475E"/>
    <w:rsid w:val="001E4D39"/>
    <w:rsid w:val="001E5DB6"/>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1F79CB"/>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072"/>
    <w:rsid w:val="002177E4"/>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5B2E"/>
    <w:rsid w:val="002364E4"/>
    <w:rsid w:val="00237A0E"/>
    <w:rsid w:val="002410E7"/>
    <w:rsid w:val="00241713"/>
    <w:rsid w:val="00242800"/>
    <w:rsid w:val="002451CB"/>
    <w:rsid w:val="00246DD3"/>
    <w:rsid w:val="0024761D"/>
    <w:rsid w:val="002477C8"/>
    <w:rsid w:val="0025009B"/>
    <w:rsid w:val="002501E3"/>
    <w:rsid w:val="002515F5"/>
    <w:rsid w:val="00251E11"/>
    <w:rsid w:val="002526C7"/>
    <w:rsid w:val="00252A9B"/>
    <w:rsid w:val="00252B34"/>
    <w:rsid w:val="00252D82"/>
    <w:rsid w:val="00253FC2"/>
    <w:rsid w:val="002559BF"/>
    <w:rsid w:val="00257429"/>
    <w:rsid w:val="0025765B"/>
    <w:rsid w:val="00260C62"/>
    <w:rsid w:val="00261E0D"/>
    <w:rsid w:val="00263D7E"/>
    <w:rsid w:val="00263F3A"/>
    <w:rsid w:val="00263F83"/>
    <w:rsid w:val="0026458D"/>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87DEA"/>
    <w:rsid w:val="0029166E"/>
    <w:rsid w:val="00291DF5"/>
    <w:rsid w:val="002930DD"/>
    <w:rsid w:val="0029372B"/>
    <w:rsid w:val="002954B4"/>
    <w:rsid w:val="00296BF9"/>
    <w:rsid w:val="0029790C"/>
    <w:rsid w:val="002A0094"/>
    <w:rsid w:val="002A08D0"/>
    <w:rsid w:val="002A0B09"/>
    <w:rsid w:val="002A5B7E"/>
    <w:rsid w:val="002A6D0F"/>
    <w:rsid w:val="002B1A22"/>
    <w:rsid w:val="002B279E"/>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43E9"/>
    <w:rsid w:val="002D4480"/>
    <w:rsid w:val="002D4AD3"/>
    <w:rsid w:val="002D7224"/>
    <w:rsid w:val="002E0CB1"/>
    <w:rsid w:val="002E172D"/>
    <w:rsid w:val="002E1780"/>
    <w:rsid w:val="002E2B9B"/>
    <w:rsid w:val="002E34EA"/>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06950"/>
    <w:rsid w:val="00310367"/>
    <w:rsid w:val="003103BD"/>
    <w:rsid w:val="00310D9C"/>
    <w:rsid w:val="0031175F"/>
    <w:rsid w:val="00313E2F"/>
    <w:rsid w:val="00315551"/>
    <w:rsid w:val="003163E6"/>
    <w:rsid w:val="00316918"/>
    <w:rsid w:val="003200C7"/>
    <w:rsid w:val="00321943"/>
    <w:rsid w:val="00321D71"/>
    <w:rsid w:val="003236BC"/>
    <w:rsid w:val="003244C3"/>
    <w:rsid w:val="003248A7"/>
    <w:rsid w:val="00326551"/>
    <w:rsid w:val="00326921"/>
    <w:rsid w:val="003308B7"/>
    <w:rsid w:val="00330CD4"/>
    <w:rsid w:val="00330DF3"/>
    <w:rsid w:val="00331287"/>
    <w:rsid w:val="00332A11"/>
    <w:rsid w:val="0033332C"/>
    <w:rsid w:val="00334462"/>
    <w:rsid w:val="003345F0"/>
    <w:rsid w:val="0033482F"/>
    <w:rsid w:val="00334972"/>
    <w:rsid w:val="00335504"/>
    <w:rsid w:val="00337EFF"/>
    <w:rsid w:val="003409F1"/>
    <w:rsid w:val="00340A69"/>
    <w:rsid w:val="00342856"/>
    <w:rsid w:val="00343738"/>
    <w:rsid w:val="00343B8E"/>
    <w:rsid w:val="0034566F"/>
    <w:rsid w:val="00345F88"/>
    <w:rsid w:val="003467E8"/>
    <w:rsid w:val="003479C8"/>
    <w:rsid w:val="0035035A"/>
    <w:rsid w:val="003510C4"/>
    <w:rsid w:val="00351D77"/>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6582"/>
    <w:rsid w:val="0037674F"/>
    <w:rsid w:val="0037710B"/>
    <w:rsid w:val="003804A2"/>
    <w:rsid w:val="003805AC"/>
    <w:rsid w:val="003805C1"/>
    <w:rsid w:val="00381271"/>
    <w:rsid w:val="0038174B"/>
    <w:rsid w:val="00381A0D"/>
    <w:rsid w:val="00381B73"/>
    <w:rsid w:val="003822E3"/>
    <w:rsid w:val="00382306"/>
    <w:rsid w:val="00382528"/>
    <w:rsid w:val="003832E0"/>
    <w:rsid w:val="00383320"/>
    <w:rsid w:val="003833A8"/>
    <w:rsid w:val="003833CB"/>
    <w:rsid w:val="00384346"/>
    <w:rsid w:val="003845DA"/>
    <w:rsid w:val="00384624"/>
    <w:rsid w:val="00384D52"/>
    <w:rsid w:val="003855C2"/>
    <w:rsid w:val="00385C6C"/>
    <w:rsid w:val="0038665B"/>
    <w:rsid w:val="00386CB8"/>
    <w:rsid w:val="00390934"/>
    <w:rsid w:val="00390DDA"/>
    <w:rsid w:val="00391436"/>
    <w:rsid w:val="0039148C"/>
    <w:rsid w:val="003936B3"/>
    <w:rsid w:val="00393F7A"/>
    <w:rsid w:val="003942E2"/>
    <w:rsid w:val="00394461"/>
    <w:rsid w:val="00394569"/>
    <w:rsid w:val="003965C4"/>
    <w:rsid w:val="00396ED0"/>
    <w:rsid w:val="003A015B"/>
    <w:rsid w:val="003A07C0"/>
    <w:rsid w:val="003A1B30"/>
    <w:rsid w:val="003A1E6E"/>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0F6"/>
    <w:rsid w:val="003D37E9"/>
    <w:rsid w:val="003D4730"/>
    <w:rsid w:val="003D4C7F"/>
    <w:rsid w:val="003D5346"/>
    <w:rsid w:val="003D5579"/>
    <w:rsid w:val="003D5614"/>
    <w:rsid w:val="003D5E60"/>
    <w:rsid w:val="003D70CE"/>
    <w:rsid w:val="003D737C"/>
    <w:rsid w:val="003D7C27"/>
    <w:rsid w:val="003E16EE"/>
    <w:rsid w:val="003E1CDB"/>
    <w:rsid w:val="003E1F93"/>
    <w:rsid w:val="003E51C0"/>
    <w:rsid w:val="003E73E9"/>
    <w:rsid w:val="003E77CA"/>
    <w:rsid w:val="003F1976"/>
    <w:rsid w:val="003F1DD9"/>
    <w:rsid w:val="003F2099"/>
    <w:rsid w:val="003F22CC"/>
    <w:rsid w:val="003F2DBC"/>
    <w:rsid w:val="003F2EB5"/>
    <w:rsid w:val="003F3120"/>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BE1"/>
    <w:rsid w:val="00410846"/>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1445"/>
    <w:rsid w:val="0043258E"/>
    <w:rsid w:val="004326BF"/>
    <w:rsid w:val="0043355E"/>
    <w:rsid w:val="004356F9"/>
    <w:rsid w:val="00436125"/>
    <w:rsid w:val="004367C0"/>
    <w:rsid w:val="004407D4"/>
    <w:rsid w:val="00440BC1"/>
    <w:rsid w:val="00442343"/>
    <w:rsid w:val="00442BA9"/>
    <w:rsid w:val="00443A95"/>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917"/>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517"/>
    <w:rsid w:val="0049674A"/>
    <w:rsid w:val="00497225"/>
    <w:rsid w:val="004974C5"/>
    <w:rsid w:val="00497B13"/>
    <w:rsid w:val="004A25B4"/>
    <w:rsid w:val="004A2C63"/>
    <w:rsid w:val="004A2F36"/>
    <w:rsid w:val="004A4B1A"/>
    <w:rsid w:val="004A5664"/>
    <w:rsid w:val="004A589E"/>
    <w:rsid w:val="004A5C64"/>
    <w:rsid w:val="004A5CC9"/>
    <w:rsid w:val="004A61D9"/>
    <w:rsid w:val="004B17CC"/>
    <w:rsid w:val="004B1EFE"/>
    <w:rsid w:val="004B2ACB"/>
    <w:rsid w:val="004B37FE"/>
    <w:rsid w:val="004B490D"/>
    <w:rsid w:val="004B4A1C"/>
    <w:rsid w:val="004B5457"/>
    <w:rsid w:val="004B5658"/>
    <w:rsid w:val="004B631B"/>
    <w:rsid w:val="004C0A3C"/>
    <w:rsid w:val="004C0DA7"/>
    <w:rsid w:val="004C1457"/>
    <w:rsid w:val="004C273C"/>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4FD"/>
    <w:rsid w:val="004E5A00"/>
    <w:rsid w:val="004E5D36"/>
    <w:rsid w:val="004E607B"/>
    <w:rsid w:val="004E676F"/>
    <w:rsid w:val="004E6CA6"/>
    <w:rsid w:val="004E6EF6"/>
    <w:rsid w:val="004F0035"/>
    <w:rsid w:val="004F02F8"/>
    <w:rsid w:val="004F09AE"/>
    <w:rsid w:val="004F0D49"/>
    <w:rsid w:val="004F24FD"/>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20B38"/>
    <w:rsid w:val="00524385"/>
    <w:rsid w:val="0052460A"/>
    <w:rsid w:val="005246B1"/>
    <w:rsid w:val="00526400"/>
    <w:rsid w:val="0052682C"/>
    <w:rsid w:val="00527EC4"/>
    <w:rsid w:val="00532758"/>
    <w:rsid w:val="005328AA"/>
    <w:rsid w:val="00532B97"/>
    <w:rsid w:val="00532CDB"/>
    <w:rsid w:val="00532D4D"/>
    <w:rsid w:val="00533143"/>
    <w:rsid w:val="0053440C"/>
    <w:rsid w:val="0053516E"/>
    <w:rsid w:val="005351A2"/>
    <w:rsid w:val="00536DEA"/>
    <w:rsid w:val="00540294"/>
    <w:rsid w:val="00541650"/>
    <w:rsid w:val="00541F6D"/>
    <w:rsid w:val="00543703"/>
    <w:rsid w:val="0054373F"/>
    <w:rsid w:val="005439CB"/>
    <w:rsid w:val="005472FC"/>
    <w:rsid w:val="005478ED"/>
    <w:rsid w:val="00547D66"/>
    <w:rsid w:val="00551549"/>
    <w:rsid w:val="00553539"/>
    <w:rsid w:val="00554030"/>
    <w:rsid w:val="005543D2"/>
    <w:rsid w:val="00554B1E"/>
    <w:rsid w:val="0055573E"/>
    <w:rsid w:val="00557294"/>
    <w:rsid w:val="005611CF"/>
    <w:rsid w:val="00562224"/>
    <w:rsid w:val="005623CA"/>
    <w:rsid w:val="0056247C"/>
    <w:rsid w:val="00562722"/>
    <w:rsid w:val="005628EB"/>
    <w:rsid w:val="0056575E"/>
    <w:rsid w:val="00566922"/>
    <w:rsid w:val="005669EE"/>
    <w:rsid w:val="00567BA2"/>
    <w:rsid w:val="005700E9"/>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5A41"/>
    <w:rsid w:val="00587DE5"/>
    <w:rsid w:val="00591368"/>
    <w:rsid w:val="0059240F"/>
    <w:rsid w:val="00594465"/>
    <w:rsid w:val="005966E0"/>
    <w:rsid w:val="0059785A"/>
    <w:rsid w:val="00597CC2"/>
    <w:rsid w:val="005A04EC"/>
    <w:rsid w:val="005A10C0"/>
    <w:rsid w:val="005A13AF"/>
    <w:rsid w:val="005A2EFA"/>
    <w:rsid w:val="005A33EA"/>
    <w:rsid w:val="005A3B87"/>
    <w:rsid w:val="005A4215"/>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049"/>
    <w:rsid w:val="005D1877"/>
    <w:rsid w:val="005D2EC4"/>
    <w:rsid w:val="005D3679"/>
    <w:rsid w:val="005D3880"/>
    <w:rsid w:val="005D422D"/>
    <w:rsid w:val="005D43CF"/>
    <w:rsid w:val="005D4E93"/>
    <w:rsid w:val="005D5721"/>
    <w:rsid w:val="005D780A"/>
    <w:rsid w:val="005E165A"/>
    <w:rsid w:val="005E3F30"/>
    <w:rsid w:val="005E464C"/>
    <w:rsid w:val="005E4A99"/>
    <w:rsid w:val="005E6B1D"/>
    <w:rsid w:val="005F0099"/>
    <w:rsid w:val="005F269B"/>
    <w:rsid w:val="005F286D"/>
    <w:rsid w:val="005F3B66"/>
    <w:rsid w:val="005F41B4"/>
    <w:rsid w:val="005F499A"/>
    <w:rsid w:val="005F6168"/>
    <w:rsid w:val="005F693A"/>
    <w:rsid w:val="005F7402"/>
    <w:rsid w:val="00602447"/>
    <w:rsid w:val="00602A8A"/>
    <w:rsid w:val="00602EA4"/>
    <w:rsid w:val="00603F16"/>
    <w:rsid w:val="00604525"/>
    <w:rsid w:val="0060478B"/>
    <w:rsid w:val="00604894"/>
    <w:rsid w:val="006056BC"/>
    <w:rsid w:val="00606621"/>
    <w:rsid w:val="00606EB2"/>
    <w:rsid w:val="00606EDA"/>
    <w:rsid w:val="00610369"/>
    <w:rsid w:val="00610DBA"/>
    <w:rsid w:val="00611991"/>
    <w:rsid w:val="0061442C"/>
    <w:rsid w:val="00614A17"/>
    <w:rsid w:val="00614ADE"/>
    <w:rsid w:val="00615383"/>
    <w:rsid w:val="00615A8F"/>
    <w:rsid w:val="00616847"/>
    <w:rsid w:val="00620759"/>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079A"/>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45F3F"/>
    <w:rsid w:val="00650892"/>
    <w:rsid w:val="00650EE9"/>
    <w:rsid w:val="006511A6"/>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2B93"/>
    <w:rsid w:val="006A2CEE"/>
    <w:rsid w:val="006A3425"/>
    <w:rsid w:val="006A460B"/>
    <w:rsid w:val="006A681F"/>
    <w:rsid w:val="006A6C25"/>
    <w:rsid w:val="006A77EF"/>
    <w:rsid w:val="006A7AA8"/>
    <w:rsid w:val="006B1269"/>
    <w:rsid w:val="006B1E9E"/>
    <w:rsid w:val="006B4EC7"/>
    <w:rsid w:val="006B5EFF"/>
    <w:rsid w:val="006B787D"/>
    <w:rsid w:val="006C09A8"/>
    <w:rsid w:val="006C0B93"/>
    <w:rsid w:val="006C1920"/>
    <w:rsid w:val="006C1E91"/>
    <w:rsid w:val="006C2EA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6FCB"/>
    <w:rsid w:val="006E7D71"/>
    <w:rsid w:val="006F0BAD"/>
    <w:rsid w:val="006F1472"/>
    <w:rsid w:val="006F2603"/>
    <w:rsid w:val="006F26A1"/>
    <w:rsid w:val="006F27F8"/>
    <w:rsid w:val="006F2AA5"/>
    <w:rsid w:val="006F3D72"/>
    <w:rsid w:val="006F47B7"/>
    <w:rsid w:val="006F4B91"/>
    <w:rsid w:val="006F5A0E"/>
    <w:rsid w:val="006F5C8B"/>
    <w:rsid w:val="006F5E0A"/>
    <w:rsid w:val="006F605E"/>
    <w:rsid w:val="006F72BE"/>
    <w:rsid w:val="00700B59"/>
    <w:rsid w:val="007011C3"/>
    <w:rsid w:val="007018A9"/>
    <w:rsid w:val="0070316E"/>
    <w:rsid w:val="00703B38"/>
    <w:rsid w:val="00703E09"/>
    <w:rsid w:val="00704074"/>
    <w:rsid w:val="00705231"/>
    <w:rsid w:val="007054CC"/>
    <w:rsid w:val="00706349"/>
    <w:rsid w:val="00706D50"/>
    <w:rsid w:val="007071BD"/>
    <w:rsid w:val="0070744C"/>
    <w:rsid w:val="0071083F"/>
    <w:rsid w:val="00710BD0"/>
    <w:rsid w:val="0071179E"/>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4F08"/>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10D"/>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4FB7"/>
    <w:rsid w:val="0076593C"/>
    <w:rsid w:val="0076645B"/>
    <w:rsid w:val="007664E6"/>
    <w:rsid w:val="00766A63"/>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10B5"/>
    <w:rsid w:val="007A11E1"/>
    <w:rsid w:val="007A2F9B"/>
    <w:rsid w:val="007A3B5B"/>
    <w:rsid w:val="007A4929"/>
    <w:rsid w:val="007A4C3B"/>
    <w:rsid w:val="007A66B3"/>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2839"/>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2DAD"/>
    <w:rsid w:val="007F3139"/>
    <w:rsid w:val="007F3AEA"/>
    <w:rsid w:val="007F4B8E"/>
    <w:rsid w:val="007F569D"/>
    <w:rsid w:val="0080186B"/>
    <w:rsid w:val="00801F8F"/>
    <w:rsid w:val="008027A9"/>
    <w:rsid w:val="00802FF5"/>
    <w:rsid w:val="0080376D"/>
    <w:rsid w:val="008041EA"/>
    <w:rsid w:val="008048D1"/>
    <w:rsid w:val="00805799"/>
    <w:rsid w:val="00805905"/>
    <w:rsid w:val="00805F9C"/>
    <w:rsid w:val="00806B8D"/>
    <w:rsid w:val="00807844"/>
    <w:rsid w:val="008111EC"/>
    <w:rsid w:val="00811649"/>
    <w:rsid w:val="00812778"/>
    <w:rsid w:val="00814A62"/>
    <w:rsid w:val="0081647D"/>
    <w:rsid w:val="00817DEE"/>
    <w:rsid w:val="00820A26"/>
    <w:rsid w:val="008210EE"/>
    <w:rsid w:val="00821B18"/>
    <w:rsid w:val="00824320"/>
    <w:rsid w:val="008251CC"/>
    <w:rsid w:val="00825401"/>
    <w:rsid w:val="008256AA"/>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72C"/>
    <w:rsid w:val="00843A55"/>
    <w:rsid w:val="00843C7E"/>
    <w:rsid w:val="00844F5D"/>
    <w:rsid w:val="00845050"/>
    <w:rsid w:val="00845665"/>
    <w:rsid w:val="008462CA"/>
    <w:rsid w:val="00846F2E"/>
    <w:rsid w:val="00850599"/>
    <w:rsid w:val="00850AAE"/>
    <w:rsid w:val="00851228"/>
    <w:rsid w:val="0085272C"/>
    <w:rsid w:val="00853435"/>
    <w:rsid w:val="00854706"/>
    <w:rsid w:val="00854B7F"/>
    <w:rsid w:val="00854E3D"/>
    <w:rsid w:val="008554B7"/>
    <w:rsid w:val="00857F42"/>
    <w:rsid w:val="00860449"/>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90574"/>
    <w:rsid w:val="00891814"/>
    <w:rsid w:val="00891BF9"/>
    <w:rsid w:val="0089271A"/>
    <w:rsid w:val="0089313D"/>
    <w:rsid w:val="00894A3F"/>
    <w:rsid w:val="008951A9"/>
    <w:rsid w:val="00895616"/>
    <w:rsid w:val="0089581C"/>
    <w:rsid w:val="00896231"/>
    <w:rsid w:val="0089626A"/>
    <w:rsid w:val="00896501"/>
    <w:rsid w:val="00897182"/>
    <w:rsid w:val="00897DF7"/>
    <w:rsid w:val="008A023A"/>
    <w:rsid w:val="008A03AA"/>
    <w:rsid w:val="008A0DD6"/>
    <w:rsid w:val="008A339A"/>
    <w:rsid w:val="008A6336"/>
    <w:rsid w:val="008A6626"/>
    <w:rsid w:val="008A6649"/>
    <w:rsid w:val="008A6C1D"/>
    <w:rsid w:val="008A7CE5"/>
    <w:rsid w:val="008A7F2A"/>
    <w:rsid w:val="008B0EA2"/>
    <w:rsid w:val="008B41A8"/>
    <w:rsid w:val="008B4202"/>
    <w:rsid w:val="008B4772"/>
    <w:rsid w:val="008B51E9"/>
    <w:rsid w:val="008B6705"/>
    <w:rsid w:val="008B70F5"/>
    <w:rsid w:val="008B7EA1"/>
    <w:rsid w:val="008C220C"/>
    <w:rsid w:val="008C27DC"/>
    <w:rsid w:val="008C2B83"/>
    <w:rsid w:val="008C31AA"/>
    <w:rsid w:val="008C336B"/>
    <w:rsid w:val="008C3A95"/>
    <w:rsid w:val="008C3FB0"/>
    <w:rsid w:val="008C52C8"/>
    <w:rsid w:val="008C54CD"/>
    <w:rsid w:val="008C558E"/>
    <w:rsid w:val="008C576B"/>
    <w:rsid w:val="008C6967"/>
    <w:rsid w:val="008C6C47"/>
    <w:rsid w:val="008C799B"/>
    <w:rsid w:val="008D1A68"/>
    <w:rsid w:val="008D297D"/>
    <w:rsid w:val="008D48A5"/>
    <w:rsid w:val="008D6E37"/>
    <w:rsid w:val="008D7D01"/>
    <w:rsid w:val="008E0603"/>
    <w:rsid w:val="008E34D2"/>
    <w:rsid w:val="008E3AE7"/>
    <w:rsid w:val="008E3D96"/>
    <w:rsid w:val="008E4B0C"/>
    <w:rsid w:val="008E6643"/>
    <w:rsid w:val="008E667D"/>
    <w:rsid w:val="008E76F9"/>
    <w:rsid w:val="008F09B7"/>
    <w:rsid w:val="008F0C81"/>
    <w:rsid w:val="008F0DCA"/>
    <w:rsid w:val="008F12AA"/>
    <w:rsid w:val="008F13A1"/>
    <w:rsid w:val="008F18E9"/>
    <w:rsid w:val="008F24E3"/>
    <w:rsid w:val="008F3E6E"/>
    <w:rsid w:val="008F4140"/>
    <w:rsid w:val="008F48CC"/>
    <w:rsid w:val="008F4EA4"/>
    <w:rsid w:val="008F6312"/>
    <w:rsid w:val="008F6344"/>
    <w:rsid w:val="008F6F3D"/>
    <w:rsid w:val="008F77D6"/>
    <w:rsid w:val="008F7CED"/>
    <w:rsid w:val="00900196"/>
    <w:rsid w:val="00900864"/>
    <w:rsid w:val="00900919"/>
    <w:rsid w:val="00900CD8"/>
    <w:rsid w:val="00903BFF"/>
    <w:rsid w:val="00904576"/>
    <w:rsid w:val="00904E2E"/>
    <w:rsid w:val="009051BA"/>
    <w:rsid w:val="00905A84"/>
    <w:rsid w:val="0090692C"/>
    <w:rsid w:val="00907964"/>
    <w:rsid w:val="00907AED"/>
    <w:rsid w:val="009104AD"/>
    <w:rsid w:val="0091161A"/>
    <w:rsid w:val="00911B5F"/>
    <w:rsid w:val="009123CC"/>
    <w:rsid w:val="00912842"/>
    <w:rsid w:val="009129E7"/>
    <w:rsid w:val="0091384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0D0"/>
    <w:rsid w:val="00935494"/>
    <w:rsid w:val="00937C48"/>
    <w:rsid w:val="00937C85"/>
    <w:rsid w:val="0094072D"/>
    <w:rsid w:val="00941C92"/>
    <w:rsid w:val="009425FE"/>
    <w:rsid w:val="0094332C"/>
    <w:rsid w:val="00943C34"/>
    <w:rsid w:val="00945738"/>
    <w:rsid w:val="00946D2F"/>
    <w:rsid w:val="009473C6"/>
    <w:rsid w:val="009474BF"/>
    <w:rsid w:val="00950005"/>
    <w:rsid w:val="00950536"/>
    <w:rsid w:val="00951CE8"/>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467E"/>
    <w:rsid w:val="00976243"/>
    <w:rsid w:val="00976E29"/>
    <w:rsid w:val="0097799B"/>
    <w:rsid w:val="00977E0C"/>
    <w:rsid w:val="00980DE5"/>
    <w:rsid w:val="009815E7"/>
    <w:rsid w:val="00984FD7"/>
    <w:rsid w:val="009850AC"/>
    <w:rsid w:val="0098515B"/>
    <w:rsid w:val="00985474"/>
    <w:rsid w:val="009855C2"/>
    <w:rsid w:val="00985A99"/>
    <w:rsid w:val="009861E6"/>
    <w:rsid w:val="00986827"/>
    <w:rsid w:val="00987DD2"/>
    <w:rsid w:val="009902A6"/>
    <w:rsid w:val="00990758"/>
    <w:rsid w:val="00992BEE"/>
    <w:rsid w:val="009945FF"/>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639"/>
    <w:rsid w:val="009B7C7B"/>
    <w:rsid w:val="009C0894"/>
    <w:rsid w:val="009C13C8"/>
    <w:rsid w:val="009C4893"/>
    <w:rsid w:val="009C5654"/>
    <w:rsid w:val="009C708E"/>
    <w:rsid w:val="009C741B"/>
    <w:rsid w:val="009C7455"/>
    <w:rsid w:val="009D046D"/>
    <w:rsid w:val="009D129A"/>
    <w:rsid w:val="009D19ED"/>
    <w:rsid w:val="009D1DFA"/>
    <w:rsid w:val="009D23A9"/>
    <w:rsid w:val="009D263A"/>
    <w:rsid w:val="009D3170"/>
    <w:rsid w:val="009D347B"/>
    <w:rsid w:val="009D34BD"/>
    <w:rsid w:val="009D4ACD"/>
    <w:rsid w:val="009D5AC9"/>
    <w:rsid w:val="009D5B14"/>
    <w:rsid w:val="009D7787"/>
    <w:rsid w:val="009E008D"/>
    <w:rsid w:val="009E06C0"/>
    <w:rsid w:val="009E1813"/>
    <w:rsid w:val="009E1A10"/>
    <w:rsid w:val="009E42C0"/>
    <w:rsid w:val="009E4801"/>
    <w:rsid w:val="009E64A8"/>
    <w:rsid w:val="009E7A7F"/>
    <w:rsid w:val="009E7D34"/>
    <w:rsid w:val="009E7F49"/>
    <w:rsid w:val="009F059E"/>
    <w:rsid w:val="009F2BA8"/>
    <w:rsid w:val="009F3235"/>
    <w:rsid w:val="009F3477"/>
    <w:rsid w:val="009F4653"/>
    <w:rsid w:val="009F4CB3"/>
    <w:rsid w:val="009F5827"/>
    <w:rsid w:val="009F6D3C"/>
    <w:rsid w:val="009F7218"/>
    <w:rsid w:val="009F75DE"/>
    <w:rsid w:val="00A002FC"/>
    <w:rsid w:val="00A00F0C"/>
    <w:rsid w:val="00A01159"/>
    <w:rsid w:val="00A01190"/>
    <w:rsid w:val="00A0290A"/>
    <w:rsid w:val="00A035F3"/>
    <w:rsid w:val="00A0487C"/>
    <w:rsid w:val="00A04CC6"/>
    <w:rsid w:val="00A067A5"/>
    <w:rsid w:val="00A06C72"/>
    <w:rsid w:val="00A102FF"/>
    <w:rsid w:val="00A104D5"/>
    <w:rsid w:val="00A10B9D"/>
    <w:rsid w:val="00A11156"/>
    <w:rsid w:val="00A11F9D"/>
    <w:rsid w:val="00A12FE2"/>
    <w:rsid w:val="00A132F5"/>
    <w:rsid w:val="00A14445"/>
    <w:rsid w:val="00A14E21"/>
    <w:rsid w:val="00A15E94"/>
    <w:rsid w:val="00A16370"/>
    <w:rsid w:val="00A170CD"/>
    <w:rsid w:val="00A17304"/>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3E36"/>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A90"/>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5CBE"/>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6C16"/>
    <w:rsid w:val="00A87013"/>
    <w:rsid w:val="00A8709D"/>
    <w:rsid w:val="00A87FD0"/>
    <w:rsid w:val="00A900D1"/>
    <w:rsid w:val="00A90DB6"/>
    <w:rsid w:val="00A912A5"/>
    <w:rsid w:val="00A923D1"/>
    <w:rsid w:val="00A92B86"/>
    <w:rsid w:val="00A9589E"/>
    <w:rsid w:val="00A95DCA"/>
    <w:rsid w:val="00A963BC"/>
    <w:rsid w:val="00A96C56"/>
    <w:rsid w:val="00A973C9"/>
    <w:rsid w:val="00AA0A93"/>
    <w:rsid w:val="00AA0B63"/>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72F9"/>
    <w:rsid w:val="00AC1355"/>
    <w:rsid w:val="00AC1706"/>
    <w:rsid w:val="00AC2670"/>
    <w:rsid w:val="00AC2A59"/>
    <w:rsid w:val="00AC3150"/>
    <w:rsid w:val="00AC37CC"/>
    <w:rsid w:val="00AC3D69"/>
    <w:rsid w:val="00AC42BD"/>
    <w:rsid w:val="00AC49FC"/>
    <w:rsid w:val="00AC4D07"/>
    <w:rsid w:val="00AC567E"/>
    <w:rsid w:val="00AD0F22"/>
    <w:rsid w:val="00AD19B4"/>
    <w:rsid w:val="00AD3C30"/>
    <w:rsid w:val="00AD43BB"/>
    <w:rsid w:val="00AD4D1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9B2"/>
    <w:rsid w:val="00B31C0E"/>
    <w:rsid w:val="00B3219B"/>
    <w:rsid w:val="00B34094"/>
    <w:rsid w:val="00B3414A"/>
    <w:rsid w:val="00B34C76"/>
    <w:rsid w:val="00B35588"/>
    <w:rsid w:val="00B35D0E"/>
    <w:rsid w:val="00B360EB"/>
    <w:rsid w:val="00B37FE2"/>
    <w:rsid w:val="00B4143D"/>
    <w:rsid w:val="00B41687"/>
    <w:rsid w:val="00B42518"/>
    <w:rsid w:val="00B4277E"/>
    <w:rsid w:val="00B4279E"/>
    <w:rsid w:val="00B43076"/>
    <w:rsid w:val="00B43FA7"/>
    <w:rsid w:val="00B44534"/>
    <w:rsid w:val="00B452EF"/>
    <w:rsid w:val="00B4554C"/>
    <w:rsid w:val="00B459D6"/>
    <w:rsid w:val="00B45B6C"/>
    <w:rsid w:val="00B471C6"/>
    <w:rsid w:val="00B472C5"/>
    <w:rsid w:val="00B50039"/>
    <w:rsid w:val="00B5294C"/>
    <w:rsid w:val="00B52FB6"/>
    <w:rsid w:val="00B54640"/>
    <w:rsid w:val="00B54754"/>
    <w:rsid w:val="00B56552"/>
    <w:rsid w:val="00B57161"/>
    <w:rsid w:val="00B60B80"/>
    <w:rsid w:val="00B61528"/>
    <w:rsid w:val="00B6159B"/>
    <w:rsid w:val="00B6188B"/>
    <w:rsid w:val="00B61C7C"/>
    <w:rsid w:val="00B622C3"/>
    <w:rsid w:val="00B64CF2"/>
    <w:rsid w:val="00B64E4F"/>
    <w:rsid w:val="00B656B3"/>
    <w:rsid w:val="00B656D8"/>
    <w:rsid w:val="00B668AD"/>
    <w:rsid w:val="00B6699F"/>
    <w:rsid w:val="00B70610"/>
    <w:rsid w:val="00B7290B"/>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1EF"/>
    <w:rsid w:val="00B8631C"/>
    <w:rsid w:val="00B86364"/>
    <w:rsid w:val="00B90176"/>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378"/>
    <w:rsid w:val="00BB5D88"/>
    <w:rsid w:val="00BB6BB6"/>
    <w:rsid w:val="00BB7230"/>
    <w:rsid w:val="00BB7CB9"/>
    <w:rsid w:val="00BC0010"/>
    <w:rsid w:val="00BC1855"/>
    <w:rsid w:val="00BC2814"/>
    <w:rsid w:val="00BC28B7"/>
    <w:rsid w:val="00BC2A88"/>
    <w:rsid w:val="00BC3B5D"/>
    <w:rsid w:val="00BC3DDE"/>
    <w:rsid w:val="00BC44AE"/>
    <w:rsid w:val="00BC5B01"/>
    <w:rsid w:val="00BC62D8"/>
    <w:rsid w:val="00BC65E4"/>
    <w:rsid w:val="00BC662C"/>
    <w:rsid w:val="00BC7219"/>
    <w:rsid w:val="00BD2A45"/>
    <w:rsid w:val="00BD38C2"/>
    <w:rsid w:val="00BD3E5E"/>
    <w:rsid w:val="00BD436A"/>
    <w:rsid w:val="00BD714E"/>
    <w:rsid w:val="00BD769D"/>
    <w:rsid w:val="00BD76EC"/>
    <w:rsid w:val="00BD7A89"/>
    <w:rsid w:val="00BE11F5"/>
    <w:rsid w:val="00BE1227"/>
    <w:rsid w:val="00BE14C6"/>
    <w:rsid w:val="00BE3AD8"/>
    <w:rsid w:val="00BE438C"/>
    <w:rsid w:val="00BE44DC"/>
    <w:rsid w:val="00BE48B5"/>
    <w:rsid w:val="00BE526A"/>
    <w:rsid w:val="00BE52C9"/>
    <w:rsid w:val="00BE5AF8"/>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BB4"/>
    <w:rsid w:val="00C1272E"/>
    <w:rsid w:val="00C12C5B"/>
    <w:rsid w:val="00C13380"/>
    <w:rsid w:val="00C133DA"/>
    <w:rsid w:val="00C142BF"/>
    <w:rsid w:val="00C155DC"/>
    <w:rsid w:val="00C16E5E"/>
    <w:rsid w:val="00C2010F"/>
    <w:rsid w:val="00C20417"/>
    <w:rsid w:val="00C20CCB"/>
    <w:rsid w:val="00C2153D"/>
    <w:rsid w:val="00C2160A"/>
    <w:rsid w:val="00C259A9"/>
    <w:rsid w:val="00C26784"/>
    <w:rsid w:val="00C26F42"/>
    <w:rsid w:val="00C301DF"/>
    <w:rsid w:val="00C311CF"/>
    <w:rsid w:val="00C32AF0"/>
    <w:rsid w:val="00C32DBE"/>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33DF"/>
    <w:rsid w:val="00C53F76"/>
    <w:rsid w:val="00C56A4A"/>
    <w:rsid w:val="00C60192"/>
    <w:rsid w:val="00C60BA5"/>
    <w:rsid w:val="00C620FB"/>
    <w:rsid w:val="00C62304"/>
    <w:rsid w:val="00C63418"/>
    <w:rsid w:val="00C63D41"/>
    <w:rsid w:val="00C64734"/>
    <w:rsid w:val="00C64E4B"/>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0A9B"/>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754B"/>
    <w:rsid w:val="00CA7BD4"/>
    <w:rsid w:val="00CA7D0A"/>
    <w:rsid w:val="00CA7D9A"/>
    <w:rsid w:val="00CB020D"/>
    <w:rsid w:val="00CB1262"/>
    <w:rsid w:val="00CB2054"/>
    <w:rsid w:val="00CB23D2"/>
    <w:rsid w:val="00CB24A0"/>
    <w:rsid w:val="00CB2F74"/>
    <w:rsid w:val="00CB3835"/>
    <w:rsid w:val="00CB49F3"/>
    <w:rsid w:val="00CB4EF6"/>
    <w:rsid w:val="00CB57FF"/>
    <w:rsid w:val="00CB79A7"/>
    <w:rsid w:val="00CC03A4"/>
    <w:rsid w:val="00CC04E6"/>
    <w:rsid w:val="00CC0A6C"/>
    <w:rsid w:val="00CC0EE1"/>
    <w:rsid w:val="00CC24D3"/>
    <w:rsid w:val="00CC2936"/>
    <w:rsid w:val="00CC2BF4"/>
    <w:rsid w:val="00CC3680"/>
    <w:rsid w:val="00CC41CA"/>
    <w:rsid w:val="00CC4E6E"/>
    <w:rsid w:val="00CC56BD"/>
    <w:rsid w:val="00CC5C68"/>
    <w:rsid w:val="00CC65CB"/>
    <w:rsid w:val="00CC6E01"/>
    <w:rsid w:val="00CC75B5"/>
    <w:rsid w:val="00CD0082"/>
    <w:rsid w:val="00CD03E8"/>
    <w:rsid w:val="00CD0410"/>
    <w:rsid w:val="00CD147C"/>
    <w:rsid w:val="00CD3411"/>
    <w:rsid w:val="00CD3598"/>
    <w:rsid w:val="00CD4E94"/>
    <w:rsid w:val="00CD513B"/>
    <w:rsid w:val="00CD67A9"/>
    <w:rsid w:val="00CE07CD"/>
    <w:rsid w:val="00CE19E9"/>
    <w:rsid w:val="00CE1D1C"/>
    <w:rsid w:val="00CE2033"/>
    <w:rsid w:val="00CE20B6"/>
    <w:rsid w:val="00CE2D91"/>
    <w:rsid w:val="00CE3349"/>
    <w:rsid w:val="00CE5228"/>
    <w:rsid w:val="00CE64F5"/>
    <w:rsid w:val="00CE76B5"/>
    <w:rsid w:val="00CE77F8"/>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6F1"/>
    <w:rsid w:val="00D038A4"/>
    <w:rsid w:val="00D0456E"/>
    <w:rsid w:val="00D0540A"/>
    <w:rsid w:val="00D0621E"/>
    <w:rsid w:val="00D064FE"/>
    <w:rsid w:val="00D068FB"/>
    <w:rsid w:val="00D0707E"/>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316F1"/>
    <w:rsid w:val="00D323D0"/>
    <w:rsid w:val="00D324BB"/>
    <w:rsid w:val="00D3301D"/>
    <w:rsid w:val="00D33DC1"/>
    <w:rsid w:val="00D35965"/>
    <w:rsid w:val="00D35B5B"/>
    <w:rsid w:val="00D3657B"/>
    <w:rsid w:val="00D3764F"/>
    <w:rsid w:val="00D37939"/>
    <w:rsid w:val="00D4103C"/>
    <w:rsid w:val="00D433C8"/>
    <w:rsid w:val="00D43F7F"/>
    <w:rsid w:val="00D45C47"/>
    <w:rsid w:val="00D46398"/>
    <w:rsid w:val="00D464CE"/>
    <w:rsid w:val="00D5050A"/>
    <w:rsid w:val="00D51340"/>
    <w:rsid w:val="00D51BE1"/>
    <w:rsid w:val="00D5211C"/>
    <w:rsid w:val="00D52818"/>
    <w:rsid w:val="00D52F43"/>
    <w:rsid w:val="00D5375C"/>
    <w:rsid w:val="00D53BD6"/>
    <w:rsid w:val="00D55096"/>
    <w:rsid w:val="00D551B9"/>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CF8"/>
    <w:rsid w:val="00D81FC1"/>
    <w:rsid w:val="00D841C7"/>
    <w:rsid w:val="00D8492D"/>
    <w:rsid w:val="00D853CA"/>
    <w:rsid w:val="00D86889"/>
    <w:rsid w:val="00D86B30"/>
    <w:rsid w:val="00D8786C"/>
    <w:rsid w:val="00D90962"/>
    <w:rsid w:val="00D90E8C"/>
    <w:rsid w:val="00D9427B"/>
    <w:rsid w:val="00D9474C"/>
    <w:rsid w:val="00D9626C"/>
    <w:rsid w:val="00D964E4"/>
    <w:rsid w:val="00D96B2D"/>
    <w:rsid w:val="00D972A3"/>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473B"/>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D5F"/>
    <w:rsid w:val="00DE0DCA"/>
    <w:rsid w:val="00DE0DE5"/>
    <w:rsid w:val="00DE295C"/>
    <w:rsid w:val="00DE3242"/>
    <w:rsid w:val="00DE393F"/>
    <w:rsid w:val="00DE3A63"/>
    <w:rsid w:val="00DE5391"/>
    <w:rsid w:val="00DE67A3"/>
    <w:rsid w:val="00DE70AF"/>
    <w:rsid w:val="00DE742C"/>
    <w:rsid w:val="00DE7BF1"/>
    <w:rsid w:val="00DF08F9"/>
    <w:rsid w:val="00DF19F1"/>
    <w:rsid w:val="00DF3CF3"/>
    <w:rsid w:val="00DF4952"/>
    <w:rsid w:val="00DF4BB5"/>
    <w:rsid w:val="00DF6497"/>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721"/>
    <w:rsid w:val="00E07AEC"/>
    <w:rsid w:val="00E10022"/>
    <w:rsid w:val="00E10337"/>
    <w:rsid w:val="00E1268E"/>
    <w:rsid w:val="00E1424D"/>
    <w:rsid w:val="00E1456F"/>
    <w:rsid w:val="00E15610"/>
    <w:rsid w:val="00E174DD"/>
    <w:rsid w:val="00E237BA"/>
    <w:rsid w:val="00E2391B"/>
    <w:rsid w:val="00E23C79"/>
    <w:rsid w:val="00E2448C"/>
    <w:rsid w:val="00E254DE"/>
    <w:rsid w:val="00E261E9"/>
    <w:rsid w:val="00E27E6C"/>
    <w:rsid w:val="00E30B70"/>
    <w:rsid w:val="00E30F18"/>
    <w:rsid w:val="00E3167D"/>
    <w:rsid w:val="00E3240F"/>
    <w:rsid w:val="00E3272E"/>
    <w:rsid w:val="00E332EE"/>
    <w:rsid w:val="00E3333F"/>
    <w:rsid w:val="00E338DE"/>
    <w:rsid w:val="00E340FC"/>
    <w:rsid w:val="00E34120"/>
    <w:rsid w:val="00E344F7"/>
    <w:rsid w:val="00E36C8B"/>
    <w:rsid w:val="00E37F46"/>
    <w:rsid w:val="00E40483"/>
    <w:rsid w:val="00E40AAA"/>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C5D"/>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62C"/>
    <w:rsid w:val="00EA0C96"/>
    <w:rsid w:val="00EA0EDB"/>
    <w:rsid w:val="00EA22BD"/>
    <w:rsid w:val="00EA2422"/>
    <w:rsid w:val="00EA4852"/>
    <w:rsid w:val="00EA4F96"/>
    <w:rsid w:val="00EA5918"/>
    <w:rsid w:val="00EA69BE"/>
    <w:rsid w:val="00EA6C02"/>
    <w:rsid w:val="00EB1D0F"/>
    <w:rsid w:val="00EB419A"/>
    <w:rsid w:val="00EB4C15"/>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37BB"/>
    <w:rsid w:val="00ED4A3B"/>
    <w:rsid w:val="00ED4EBD"/>
    <w:rsid w:val="00ED63E2"/>
    <w:rsid w:val="00ED7912"/>
    <w:rsid w:val="00EE036C"/>
    <w:rsid w:val="00EE2FEE"/>
    <w:rsid w:val="00EE4A6E"/>
    <w:rsid w:val="00EE72C8"/>
    <w:rsid w:val="00EE766B"/>
    <w:rsid w:val="00EF0045"/>
    <w:rsid w:val="00EF0525"/>
    <w:rsid w:val="00EF0887"/>
    <w:rsid w:val="00EF1A84"/>
    <w:rsid w:val="00EF1C3E"/>
    <w:rsid w:val="00EF1D7D"/>
    <w:rsid w:val="00EF24FE"/>
    <w:rsid w:val="00EF2EC7"/>
    <w:rsid w:val="00EF384E"/>
    <w:rsid w:val="00EF626C"/>
    <w:rsid w:val="00EF7EC7"/>
    <w:rsid w:val="00F01B1A"/>
    <w:rsid w:val="00F02EA3"/>
    <w:rsid w:val="00F03082"/>
    <w:rsid w:val="00F03332"/>
    <w:rsid w:val="00F03A4E"/>
    <w:rsid w:val="00F042A7"/>
    <w:rsid w:val="00F042B4"/>
    <w:rsid w:val="00F04752"/>
    <w:rsid w:val="00F04788"/>
    <w:rsid w:val="00F0579A"/>
    <w:rsid w:val="00F066A4"/>
    <w:rsid w:val="00F0739D"/>
    <w:rsid w:val="00F07869"/>
    <w:rsid w:val="00F07F99"/>
    <w:rsid w:val="00F1251E"/>
    <w:rsid w:val="00F12FEB"/>
    <w:rsid w:val="00F13ADC"/>
    <w:rsid w:val="00F15111"/>
    <w:rsid w:val="00F15BD7"/>
    <w:rsid w:val="00F16A1F"/>
    <w:rsid w:val="00F16F1A"/>
    <w:rsid w:val="00F16F4E"/>
    <w:rsid w:val="00F17CE3"/>
    <w:rsid w:val="00F21B16"/>
    <w:rsid w:val="00F221CC"/>
    <w:rsid w:val="00F22ECA"/>
    <w:rsid w:val="00F232BF"/>
    <w:rsid w:val="00F23426"/>
    <w:rsid w:val="00F25A8D"/>
    <w:rsid w:val="00F279EE"/>
    <w:rsid w:val="00F308AD"/>
    <w:rsid w:val="00F31707"/>
    <w:rsid w:val="00F351E9"/>
    <w:rsid w:val="00F35D31"/>
    <w:rsid w:val="00F36CBA"/>
    <w:rsid w:val="00F40241"/>
    <w:rsid w:val="00F41826"/>
    <w:rsid w:val="00F41FB2"/>
    <w:rsid w:val="00F42231"/>
    <w:rsid w:val="00F43220"/>
    <w:rsid w:val="00F43441"/>
    <w:rsid w:val="00F43FE4"/>
    <w:rsid w:val="00F443DD"/>
    <w:rsid w:val="00F44450"/>
    <w:rsid w:val="00F44B36"/>
    <w:rsid w:val="00F45AF8"/>
    <w:rsid w:val="00F46181"/>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44B4"/>
    <w:rsid w:val="00F65C90"/>
    <w:rsid w:val="00F65EBC"/>
    <w:rsid w:val="00F66F35"/>
    <w:rsid w:val="00F72923"/>
    <w:rsid w:val="00F73015"/>
    <w:rsid w:val="00F7444B"/>
    <w:rsid w:val="00F75F9A"/>
    <w:rsid w:val="00F765F0"/>
    <w:rsid w:val="00F76C72"/>
    <w:rsid w:val="00F76F14"/>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2B51"/>
    <w:rsid w:val="00FB4256"/>
    <w:rsid w:val="00FB460D"/>
    <w:rsid w:val="00FB4629"/>
    <w:rsid w:val="00FB53E5"/>
    <w:rsid w:val="00FB54E8"/>
    <w:rsid w:val="00FB5FCD"/>
    <w:rsid w:val="00FB67C9"/>
    <w:rsid w:val="00FB6C55"/>
    <w:rsid w:val="00FB6FB4"/>
    <w:rsid w:val="00FB7ABD"/>
    <w:rsid w:val="00FB7E70"/>
    <w:rsid w:val="00FC0296"/>
    <w:rsid w:val="00FC0820"/>
    <w:rsid w:val="00FC1188"/>
    <w:rsid w:val="00FC4280"/>
    <w:rsid w:val="00FC42D8"/>
    <w:rsid w:val="00FC45E5"/>
    <w:rsid w:val="00FC53C2"/>
    <w:rsid w:val="00FC5487"/>
    <w:rsid w:val="00FC577C"/>
    <w:rsid w:val="00FC5D4E"/>
    <w:rsid w:val="00FC663A"/>
    <w:rsid w:val="00FD15C9"/>
    <w:rsid w:val="00FD1C74"/>
    <w:rsid w:val="00FD3695"/>
    <w:rsid w:val="00FD47BD"/>
    <w:rsid w:val="00FD5C00"/>
    <w:rsid w:val="00FD646B"/>
    <w:rsid w:val="00FD7896"/>
    <w:rsid w:val="00FD79D5"/>
    <w:rsid w:val="00FE0040"/>
    <w:rsid w:val="00FE02FD"/>
    <w:rsid w:val="00FE097C"/>
    <w:rsid w:val="00FE2BB2"/>
    <w:rsid w:val="00FE3576"/>
    <w:rsid w:val="00FE69DA"/>
    <w:rsid w:val="00FE7DEA"/>
    <w:rsid w:val="00FF01C3"/>
    <w:rsid w:val="00FF023F"/>
    <w:rsid w:val="00FF2326"/>
    <w:rsid w:val="00FF33FF"/>
    <w:rsid w:val="00FF3B6F"/>
    <w:rsid w:val="00FF3F5D"/>
    <w:rsid w:val="00FF5C9D"/>
    <w:rsid w:val="00FF68C9"/>
    <w:rsid w:val="00FF722F"/>
    <w:rsid w:val="00FF7D43"/>
    <w:rsid w:val="00FF7DB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9E"/>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o,fo1,footnote text Char,ft,ft1"/>
    <w:basedOn w:val="Normal"/>
    <w:rsid w:val="00463F87"/>
    <w:pPr>
      <w:keepLines/>
    </w:pPr>
    <w:rPr>
      <w:sz w:val="18"/>
      <w:szCs w:val="20"/>
    </w:rPr>
  </w:style>
  <w:style w:type="character" w:customStyle="1" w:styleId="ftChar">
    <w:name w:val="ft Char"/>
    <w:aliases w:val="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hAnsi="Garamond" w:eastAsiaTheme="minorHAnsi"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346" w:right="0" w:hanging="346" w:leftChars="0" w:rightChars="0" w:firstLineChars="0"/>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 w:type="paragraph" w:customStyle="1" w:styleId="Tabletext8ptcol1subhead">
    <w:name w:val="Table text 8pt col.1 subhead"/>
    <w:basedOn w:val="Tabletext8pt"/>
    <w:rsid w:val="00BB5378"/>
    <w:pPr>
      <w:spacing w:before="120"/>
      <w:ind w:left="216" w:hanging="216"/>
    </w:pPr>
    <w:rPr>
      <w:rFonts w:eastAsiaTheme="majorEastAsia"/>
    </w:rPr>
  </w:style>
  <w:style w:type="paragraph" w:customStyle="1" w:styleId="Tabletext8ptdecimalalign">
    <w:name w:val="Table text 8pt decimal align"/>
    <w:basedOn w:val="Tabletext8pt"/>
    <w:rsid w:val="00BB5378"/>
    <w:pPr>
      <w:tabs>
        <w:tab w:val="decimal" w:pos="1502"/>
      </w:tabs>
    </w:pPr>
  </w:style>
  <w:style w:type="table" w:customStyle="1" w:styleId="TableGridNCES1">
    <w:name w:val="Table Grid NCES1"/>
    <w:basedOn w:val="TableNormal"/>
    <w:next w:val="TableGrid"/>
    <w:rsid w:val="00BB5378"/>
    <w:pPr>
      <w:spacing w:before="20"/>
      <w:jc w:val="right"/>
    </w:pPr>
    <w:rPr>
      <w:rFonts w:ascii="Arial" w:eastAsia="Batang" w:hAnsi="Arial"/>
      <w:sz w:val="16"/>
    </w:rPr>
    <w:tblPr>
      <w:tblBorders>
        <w:top w:val="single" w:sz="12" w:space="0" w:color="auto"/>
        <w:bottom w:val="single" w:sz="12" w:space="0" w:color="auto"/>
      </w:tblBorders>
      <w:tblCellMar>
        <w:left w:w="29" w:type="dxa"/>
        <w:right w:w="58" w:type="dxa"/>
      </w:tblCellMar>
    </w:tblPr>
    <w:trPr>
      <w:cantSplit/>
    </w:trPr>
    <w:tcPr>
      <w:vAlign w:val="bottom"/>
    </w:tcPr>
    <w:tblStylePr w:type="firstRow">
      <w:rPr>
        <w:b/>
      </w:rPr>
      <w:tblPr/>
      <w:tcPr>
        <w:tcBorders>
          <w:bottom w:val="single" w:sz="4" w:space="0" w:color="auto"/>
          <w:insideH w:val="nil"/>
        </w:tcBorders>
      </w:tcPr>
    </w:tblStylePr>
    <w:tblStylePr w:type="firstCol">
      <w:pPr>
        <w:jc w:val="left"/>
      </w:pPr>
    </w:tblStylePr>
    <w:tblStylePr w:type="nwCell">
      <w:pPr>
        <w:jc w:val="left"/>
      </w:pPr>
      <w:tblPr/>
      <w:tcPr>
        <w:vAlign w:val="bottom"/>
      </w:tcPr>
    </w:tblStylePr>
  </w:style>
  <w:style w:type="paragraph" w:customStyle="1" w:styleId="Tabletext8pt">
    <w:name w:val="Table text 8pt"/>
    <w:link w:val="Tabletext8ptChar"/>
    <w:uiPriority w:val="99"/>
    <w:rsid w:val="00BB5378"/>
    <w:pPr>
      <w:keepNext/>
      <w:suppressAutoHyphens/>
      <w:adjustRightInd w:val="0"/>
      <w:spacing w:before="20"/>
    </w:pPr>
    <w:rPr>
      <w:rFonts w:ascii="Arial" w:hAnsi="Arial" w:eastAsiaTheme="minorEastAsia" w:cs="Arial"/>
      <w:sz w:val="16"/>
    </w:rPr>
  </w:style>
  <w:style w:type="character" w:customStyle="1" w:styleId="Tabletext8ptChar">
    <w:name w:val="Table text 8pt Char"/>
    <w:link w:val="Tabletext8pt"/>
    <w:uiPriority w:val="99"/>
    <w:rsid w:val="00BB5378"/>
    <w:rPr>
      <w:rFonts w:ascii="Arial" w:hAnsi="Arial" w:eastAsiaTheme="minorEastAsia" w:cs="Arial"/>
      <w:sz w:val="16"/>
    </w:rPr>
  </w:style>
  <w:style w:type="paragraph" w:customStyle="1" w:styleId="Tabletext8ptcol1indent1">
    <w:name w:val="Table text 8pt col.1 indent 1"/>
    <w:basedOn w:val="Normal"/>
    <w:rsid w:val="00BB5378"/>
    <w:pPr>
      <w:keepNext/>
      <w:suppressAutoHyphens/>
      <w:adjustRightInd w:val="0"/>
      <w:spacing w:before="20"/>
      <w:ind w:left="317" w:hanging="173"/>
    </w:pPr>
    <w:rPr>
      <w:rFonts w:ascii="Arial" w:hAnsi="Arial" w:eastAsiaTheme="minorEastAsia" w:cs="Arial"/>
      <w:bCs/>
      <w:sz w:val="16"/>
      <w:szCs w:val="18"/>
    </w:rPr>
  </w:style>
  <w:style w:type="paragraph" w:customStyle="1" w:styleId="Tabletext8ptcol1indent2">
    <w:name w:val="Table text 8pt col.1 indent 2"/>
    <w:basedOn w:val="Tabletext8ptcol1indent1"/>
    <w:rsid w:val="00BB5378"/>
    <w:pPr>
      <w:ind w:left="4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F7325-24D5-4189-8372-C7868FA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EC2F-A323-401E-8141-F5F361EF3160}">
  <ds:schemaRefs>
    <ds:schemaRef ds:uri="http://schemas.openxmlformats.org/officeDocument/2006/bibliography"/>
  </ds:schemaRefs>
</ds:datastoreItem>
</file>

<file path=customXml/itemProps4.xml><?xml version="1.0" encoding="utf-8"?>
<ds:datastoreItem xmlns:ds="http://schemas.openxmlformats.org/officeDocument/2006/customXml" ds:itemID="{69CD8411-21F4-48B0-939C-9E8216DA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2414</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Mullan, Kate</cp:lastModifiedBy>
  <cp:revision>2</cp:revision>
  <cp:lastPrinted>2020-02-18T17:39:00Z</cp:lastPrinted>
  <dcterms:created xsi:type="dcterms:W3CDTF">2024-07-24T15:18:00Z</dcterms:created>
  <dcterms:modified xsi:type="dcterms:W3CDTF">2024-07-24T15:18:00Z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NewReviewCycle">
    <vt:lpwstr/>
  </property>
</Properties>
</file>