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F51E09" w:rsidP="00A2604E" w14:paraId="1502CB1A" w14:textId="2CD62FE3">
      <w:pPr>
        <w:jc w:val="center"/>
        <w:rPr>
          <w:szCs w:val="26"/>
        </w:rPr>
      </w:pPr>
      <w:r>
        <w:t xml:space="preserve"> </w:t>
      </w:r>
      <w:r w:rsidRPr="00F51E09">
        <w:rPr>
          <w:szCs w:val="26"/>
        </w:rPr>
        <w:t>UNITED STATES OF AMERICA</w:t>
      </w:r>
    </w:p>
    <w:p w:rsidR="00A2604E" w:rsidRPr="00F51E09" w:rsidP="003F0BD9" w14:paraId="6C561934" w14:textId="21DFAB6B">
      <w:pPr>
        <w:jc w:val="center"/>
        <w:rPr>
          <w:szCs w:val="26"/>
        </w:rPr>
      </w:pPr>
      <w:r w:rsidRPr="00F51E09">
        <w:rPr>
          <w:szCs w:val="26"/>
        </w:rPr>
        <w:t>FEDERAL ENERGY REGULATORY COMMISSION</w:t>
      </w:r>
    </w:p>
    <w:p w:rsidR="003F0BD9" w:rsidRPr="00F51E09" w:rsidP="003F0BD9" w14:paraId="1CBFF739" w14:textId="77777777">
      <w:pPr>
        <w:jc w:val="center"/>
        <w:rPr>
          <w:szCs w:val="26"/>
        </w:rPr>
      </w:pPr>
    </w:p>
    <w:p w:rsidR="00A2604E" w:rsidRPr="00F51E09" w:rsidP="00A2604E" w14:paraId="3E11D4A1" w14:textId="23275E30">
      <w:pPr>
        <w:jc w:val="center"/>
        <w:rPr>
          <w:szCs w:val="26"/>
        </w:rPr>
      </w:pPr>
      <w:r w:rsidRPr="00F51E09">
        <w:rPr>
          <w:szCs w:val="26"/>
        </w:rPr>
        <w:t>[Docket No</w:t>
      </w:r>
      <w:r w:rsidRPr="00F51E09" w:rsidR="00383EE8">
        <w:rPr>
          <w:szCs w:val="26"/>
        </w:rPr>
        <w:t>s</w:t>
      </w:r>
      <w:r w:rsidRPr="00F51E09">
        <w:rPr>
          <w:szCs w:val="26"/>
        </w:rPr>
        <w:t xml:space="preserve">. </w:t>
      </w:r>
      <w:r w:rsidRPr="00F51E09" w:rsidR="00613169">
        <w:rPr>
          <w:szCs w:val="26"/>
        </w:rPr>
        <w:t>IC</w:t>
      </w:r>
      <w:r w:rsidRPr="00F51E09" w:rsidR="00FB078F">
        <w:rPr>
          <w:szCs w:val="26"/>
        </w:rPr>
        <w:t>2</w:t>
      </w:r>
      <w:r w:rsidRPr="00F51E09" w:rsidR="00DE4AB6">
        <w:rPr>
          <w:szCs w:val="26"/>
        </w:rPr>
        <w:t>4</w:t>
      </w:r>
      <w:r w:rsidRPr="00F51E09" w:rsidR="00613169">
        <w:rPr>
          <w:szCs w:val="26"/>
        </w:rPr>
        <w:t>-</w:t>
      </w:r>
      <w:r w:rsidRPr="00F51E09" w:rsidR="00934961">
        <w:rPr>
          <w:szCs w:val="26"/>
        </w:rPr>
        <w:t>23</w:t>
      </w:r>
      <w:r w:rsidRPr="00F51E09" w:rsidR="003F0BD9">
        <w:rPr>
          <w:szCs w:val="26"/>
        </w:rPr>
        <w:t>-000</w:t>
      </w:r>
      <w:r w:rsidRPr="00F51E09">
        <w:rPr>
          <w:szCs w:val="26"/>
        </w:rPr>
        <w:t>]</w:t>
      </w:r>
    </w:p>
    <w:p w:rsidR="00A2604E" w:rsidRPr="00F51E09" w:rsidP="00A2604E" w14:paraId="4D16FE54" w14:textId="77777777">
      <w:pPr>
        <w:rPr>
          <w:szCs w:val="26"/>
        </w:rPr>
      </w:pPr>
    </w:p>
    <w:p w:rsidR="00A2604E" w:rsidRPr="00F51E09" w:rsidP="00A2604E" w14:paraId="0627AE31" w14:textId="52A0BC50">
      <w:pPr>
        <w:jc w:val="center"/>
        <w:rPr>
          <w:szCs w:val="26"/>
        </w:rPr>
      </w:pPr>
      <w:r w:rsidRPr="00F51E09">
        <w:rPr>
          <w:szCs w:val="26"/>
        </w:rPr>
        <w:t>COMMISSION INFORMATION COLLECTION ACTIVITIES (FERC-</w:t>
      </w:r>
      <w:r w:rsidRPr="00F51E09" w:rsidR="003F0BD9">
        <w:rPr>
          <w:szCs w:val="26"/>
        </w:rPr>
        <w:t>725A</w:t>
      </w:r>
      <w:r w:rsidRPr="00F51E09">
        <w:rPr>
          <w:szCs w:val="26"/>
        </w:rPr>
        <w:t>);</w:t>
      </w:r>
    </w:p>
    <w:p w:rsidR="00A2604E" w:rsidRPr="00F51E09" w:rsidP="00A2604E" w14:paraId="3B5240D4" w14:textId="77777777">
      <w:pPr>
        <w:jc w:val="center"/>
        <w:rPr>
          <w:szCs w:val="26"/>
        </w:rPr>
      </w:pPr>
      <w:r w:rsidRPr="00F51E09">
        <w:rPr>
          <w:szCs w:val="26"/>
        </w:rPr>
        <w:t>COMMENT REQUEST; EXTENSION</w:t>
      </w:r>
    </w:p>
    <w:p w:rsidR="00881405" w:rsidRPr="00F51E09" w:rsidP="00A2604E" w14:paraId="5D8DD33D" w14:textId="77777777">
      <w:pPr>
        <w:jc w:val="center"/>
        <w:rPr>
          <w:szCs w:val="26"/>
        </w:rPr>
      </w:pPr>
    </w:p>
    <w:p w:rsidR="00383EE8" w:rsidRPr="00F51E09" w:rsidP="00F51E09" w14:paraId="3F964032" w14:textId="5212B98C">
      <w:pPr>
        <w:jc w:val="center"/>
        <w:rPr>
          <w:szCs w:val="26"/>
        </w:rPr>
      </w:pPr>
      <w:r w:rsidRPr="00F51E09">
        <w:rPr>
          <w:szCs w:val="26"/>
        </w:rPr>
        <w:t>(August 9, 2024)</w:t>
      </w:r>
    </w:p>
    <w:p w:rsidR="00F51E09" w:rsidRPr="00F51E09" w:rsidP="00F51E09" w14:paraId="478DBA0D" w14:textId="77777777">
      <w:pPr>
        <w:rPr>
          <w:szCs w:val="26"/>
        </w:rPr>
      </w:pPr>
    </w:p>
    <w:p w:rsidR="00A2604E" w:rsidRPr="00F51E09" w:rsidP="00A2604E" w14:paraId="735A1E72" w14:textId="77777777">
      <w:pPr>
        <w:rPr>
          <w:szCs w:val="26"/>
        </w:rPr>
      </w:pPr>
      <w:r w:rsidRPr="00F51E09">
        <w:rPr>
          <w:b/>
          <w:szCs w:val="26"/>
        </w:rPr>
        <w:t>AGENCY:</w:t>
      </w:r>
      <w:r w:rsidRPr="00F51E09">
        <w:rPr>
          <w:szCs w:val="26"/>
        </w:rPr>
        <w:t xml:space="preserve">  Federal Energy Regulatory Commission.</w:t>
      </w:r>
    </w:p>
    <w:p w:rsidR="00A2604E" w:rsidRPr="00F51E09" w:rsidP="00A2604E" w14:paraId="634EF64B" w14:textId="77777777">
      <w:pPr>
        <w:rPr>
          <w:szCs w:val="26"/>
        </w:rPr>
      </w:pPr>
    </w:p>
    <w:p w:rsidR="00A2604E" w:rsidRPr="00F51E09" w:rsidP="00A2604E" w14:paraId="674B9740" w14:textId="77777777">
      <w:pPr>
        <w:spacing w:line="480" w:lineRule="auto"/>
        <w:rPr>
          <w:szCs w:val="26"/>
        </w:rPr>
      </w:pPr>
      <w:r w:rsidRPr="00F51E09">
        <w:rPr>
          <w:b/>
          <w:szCs w:val="26"/>
        </w:rPr>
        <w:t>ACTION:</w:t>
      </w:r>
      <w:r w:rsidRPr="00F51E09">
        <w:rPr>
          <w:szCs w:val="26"/>
        </w:rPr>
        <w:t xml:space="preserve">  </w:t>
      </w:r>
      <w:bookmarkStart w:id="0" w:name="_Hlk68091542"/>
      <w:r w:rsidRPr="00F51E09">
        <w:rPr>
          <w:szCs w:val="26"/>
        </w:rPr>
        <w:t xml:space="preserve">Notice of information collection </w:t>
      </w:r>
      <w:bookmarkEnd w:id="0"/>
      <w:r w:rsidRPr="00F51E09">
        <w:rPr>
          <w:szCs w:val="26"/>
        </w:rPr>
        <w:t>and request for comments.</w:t>
      </w:r>
    </w:p>
    <w:p w:rsidR="00A2604E" w:rsidRPr="00F51E09" w:rsidP="00A2604E" w14:paraId="59F663B1" w14:textId="48A2D30E">
      <w:pPr>
        <w:spacing w:line="480" w:lineRule="auto"/>
        <w:rPr>
          <w:szCs w:val="26"/>
        </w:rPr>
      </w:pPr>
      <w:r w:rsidRPr="00F51E09">
        <w:rPr>
          <w:b/>
          <w:szCs w:val="26"/>
        </w:rPr>
        <w:t>SUMMARY:</w:t>
      </w:r>
      <w:r w:rsidRPr="00F51E09">
        <w:rPr>
          <w:szCs w:val="26"/>
        </w:rPr>
        <w:t xml:space="preserve">  In compliance with the requirements of the Paperwork Reduction Act of 1995, the Federal Energy Regulatory Commission (Commission or FERC) is soliciting public comment on the currently approved information collection, </w:t>
      </w:r>
      <w:bookmarkStart w:id="1" w:name="_Hlk68535266"/>
      <w:r w:rsidRPr="00F51E09" w:rsidR="00292A4C">
        <w:rPr>
          <w:szCs w:val="26"/>
        </w:rPr>
        <w:t>FERC-</w:t>
      </w:r>
      <w:r w:rsidRPr="00F51E09" w:rsidR="00533A77">
        <w:rPr>
          <w:szCs w:val="26"/>
        </w:rPr>
        <w:t>725A</w:t>
      </w:r>
      <w:r w:rsidRPr="00F51E09" w:rsidR="00292A4C">
        <w:rPr>
          <w:szCs w:val="26"/>
        </w:rPr>
        <w:t xml:space="preserve"> (</w:t>
      </w:r>
      <w:r w:rsidRPr="00F51E09" w:rsidR="00533A77">
        <w:rPr>
          <w:szCs w:val="26"/>
        </w:rPr>
        <w:t>Mandatory Reliability Standards for the Bulk-Power System</w:t>
      </w:r>
      <w:r w:rsidRPr="00F51E09" w:rsidR="00CC5692">
        <w:rPr>
          <w:szCs w:val="26"/>
        </w:rPr>
        <w:t>).</w:t>
      </w:r>
      <w:r w:rsidRPr="00F51E09" w:rsidR="00533A77">
        <w:rPr>
          <w:szCs w:val="26"/>
        </w:rPr>
        <w:t xml:space="preserve">  </w:t>
      </w:r>
      <w:r w:rsidRPr="00F51E09" w:rsidR="00622C6D">
        <w:rPr>
          <w:szCs w:val="26"/>
        </w:rPr>
        <w:t xml:space="preserve">There are no changes to the information collection. </w:t>
      </w:r>
    </w:p>
    <w:bookmarkEnd w:id="1"/>
    <w:p w:rsidR="00A2604E" w:rsidRPr="00F51E09" w:rsidP="00A2604E" w14:paraId="5C5B574A" w14:textId="1EA88B15">
      <w:pPr>
        <w:spacing w:line="480" w:lineRule="auto"/>
        <w:rPr>
          <w:szCs w:val="26"/>
        </w:rPr>
      </w:pPr>
      <w:r w:rsidRPr="00F51E09">
        <w:rPr>
          <w:b/>
          <w:szCs w:val="26"/>
        </w:rPr>
        <w:t>DATES:</w:t>
      </w:r>
      <w:r w:rsidRPr="00F51E09">
        <w:rPr>
          <w:szCs w:val="26"/>
        </w:rPr>
        <w:t xml:space="preserve">  Comments on the collection of information are due [</w:t>
      </w:r>
      <w:r w:rsidRPr="00F51E09" w:rsidR="00383EE8">
        <w:rPr>
          <w:b/>
          <w:szCs w:val="26"/>
        </w:rPr>
        <w:t xml:space="preserve">Insert Date </w:t>
      </w:r>
      <w:r w:rsidRPr="00F51E09">
        <w:rPr>
          <w:b/>
          <w:szCs w:val="26"/>
        </w:rPr>
        <w:t xml:space="preserve">60 days after </w:t>
      </w:r>
      <w:r w:rsidRPr="00F51E09" w:rsidR="00CA6D76">
        <w:rPr>
          <w:b/>
          <w:szCs w:val="26"/>
        </w:rPr>
        <w:t xml:space="preserve">date of </w:t>
      </w:r>
      <w:r w:rsidRPr="00F51E09">
        <w:rPr>
          <w:b/>
          <w:szCs w:val="26"/>
        </w:rPr>
        <w:t>publication in the Federal Register</w:t>
      </w:r>
      <w:r w:rsidRPr="00F51E09">
        <w:rPr>
          <w:szCs w:val="26"/>
        </w:rPr>
        <w:t xml:space="preserve">]. </w:t>
      </w:r>
    </w:p>
    <w:p w:rsidR="0042765E" w:rsidRPr="00F51E09" w:rsidP="0042765E" w14:paraId="571559FA" w14:textId="22D93F73">
      <w:pPr>
        <w:spacing w:line="480" w:lineRule="auto"/>
        <w:rPr>
          <w:szCs w:val="26"/>
        </w:rPr>
      </w:pPr>
      <w:r w:rsidRPr="00F51E09">
        <w:rPr>
          <w:b/>
          <w:szCs w:val="26"/>
        </w:rPr>
        <w:t>ADDRESSES:</w:t>
      </w:r>
      <w:r w:rsidRPr="00F51E09">
        <w:rPr>
          <w:szCs w:val="26"/>
        </w:rPr>
        <w:t xml:space="preserve">  </w:t>
      </w:r>
      <w:bookmarkStart w:id="2" w:name="OLE_LINK1"/>
      <w:r w:rsidRPr="00F51E09">
        <w:rPr>
          <w:szCs w:val="26"/>
        </w:rPr>
        <w:t>You may submit copies of your comments (identified by Docket No. IC2</w:t>
      </w:r>
      <w:r w:rsidRPr="00F51E09" w:rsidR="005F761F">
        <w:rPr>
          <w:szCs w:val="26"/>
        </w:rPr>
        <w:t>4</w:t>
      </w:r>
      <w:r w:rsidRPr="00F51E09">
        <w:rPr>
          <w:szCs w:val="26"/>
        </w:rPr>
        <w:t>-</w:t>
      </w:r>
      <w:r w:rsidRPr="00F51E09" w:rsidR="00934961">
        <w:rPr>
          <w:szCs w:val="26"/>
        </w:rPr>
        <w:t>23</w:t>
      </w:r>
      <w:r w:rsidRPr="00F51E09">
        <w:rPr>
          <w:szCs w:val="26"/>
        </w:rPr>
        <w:t>-000) by one of the following methods:</w:t>
      </w:r>
    </w:p>
    <w:p w:rsidR="0042765E" w:rsidRPr="00F51E09" w:rsidP="0042765E" w14:paraId="6929A881" w14:textId="683A5037">
      <w:pPr>
        <w:spacing w:line="480" w:lineRule="auto"/>
        <w:rPr>
          <w:szCs w:val="26"/>
        </w:rPr>
      </w:pPr>
      <w:r w:rsidRPr="00F51E09">
        <w:rPr>
          <w:szCs w:val="26"/>
        </w:rPr>
        <w:t xml:space="preserve">Electronic filing through </w:t>
      </w:r>
      <w:hyperlink r:id="rId10" w:history="1">
        <w:r w:rsidRPr="00F51E09" w:rsidR="00622C6D">
          <w:rPr>
            <w:rStyle w:val="Hyperlink"/>
            <w:szCs w:val="26"/>
          </w:rPr>
          <w:t>https://www.ferc.gov</w:t>
        </w:r>
      </w:hyperlink>
      <w:r w:rsidRPr="00F51E09">
        <w:rPr>
          <w:szCs w:val="26"/>
        </w:rPr>
        <w:t>, is preferred.</w:t>
      </w:r>
    </w:p>
    <w:p w:rsidR="0042765E" w:rsidRPr="00F51E09" w:rsidP="0042765E" w14:paraId="7E325126" w14:textId="77777777">
      <w:pPr>
        <w:numPr>
          <w:ilvl w:val="0"/>
          <w:numId w:val="6"/>
        </w:numPr>
        <w:spacing w:line="480" w:lineRule="auto"/>
        <w:rPr>
          <w:szCs w:val="26"/>
        </w:rPr>
      </w:pPr>
      <w:r w:rsidRPr="00F51E09">
        <w:rPr>
          <w:szCs w:val="26"/>
        </w:rPr>
        <w:t xml:space="preserve">Electronic Filing: Documents must be filed in acceptable native applications and print-to-PDF, but not in scanned or picture format. </w:t>
      </w:r>
    </w:p>
    <w:p w:rsidR="0042765E" w:rsidRPr="00F51E09" w:rsidP="0042765E" w14:paraId="6B601B68" w14:textId="55BB788B">
      <w:pPr>
        <w:numPr>
          <w:ilvl w:val="0"/>
          <w:numId w:val="6"/>
        </w:numPr>
        <w:spacing w:line="480" w:lineRule="auto"/>
        <w:rPr>
          <w:szCs w:val="26"/>
        </w:rPr>
      </w:pPr>
      <w:r w:rsidRPr="00F51E09">
        <w:rPr>
          <w:szCs w:val="26"/>
        </w:rPr>
        <w:t>For those unable to file electronically, comments may be filed by USPS mail or by hand (including courier) delivery</w:t>
      </w:r>
      <w:r w:rsidRPr="00F51E09" w:rsidR="00F82EE1">
        <w:rPr>
          <w:szCs w:val="26"/>
        </w:rPr>
        <w:t>:</w:t>
      </w:r>
    </w:p>
    <w:p w:rsidR="0042765E" w:rsidRPr="00F51E09" w:rsidP="00197435" w14:paraId="610867AE" w14:textId="77777777">
      <w:pPr>
        <w:numPr>
          <w:ilvl w:val="1"/>
          <w:numId w:val="6"/>
        </w:numPr>
        <w:spacing w:line="480" w:lineRule="auto"/>
        <w:rPr>
          <w:szCs w:val="26"/>
        </w:rPr>
      </w:pPr>
      <w:r w:rsidRPr="00F51E09">
        <w:rPr>
          <w:szCs w:val="26"/>
        </w:rPr>
        <w:t>Mail via U.S. Postal Service Only: Addressed to: Federal Energy Regulatory Commission, Secretary of the Commission, 888 First Street, N.E., Washington, DC 20426.</w:t>
      </w:r>
    </w:p>
    <w:p w:rsidR="0042765E" w:rsidRPr="00F51E09" w:rsidP="00197435" w14:paraId="1A7E64A4" w14:textId="2C0CED65">
      <w:pPr>
        <w:pStyle w:val="ListParagraph"/>
        <w:numPr>
          <w:ilvl w:val="1"/>
          <w:numId w:val="6"/>
        </w:numPr>
        <w:spacing w:line="480" w:lineRule="auto"/>
        <w:rPr>
          <w:szCs w:val="26"/>
        </w:rPr>
      </w:pPr>
      <w:r w:rsidRPr="00F51E09">
        <w:rPr>
          <w:szCs w:val="26"/>
        </w:rPr>
        <w:t>Hand (including courier) delivery: Deliver to: Federal Energy Regulatory Commission, 12225 Wilkins Avenue, Rockville, MD 20852.</w:t>
      </w:r>
    </w:p>
    <w:p w:rsidR="00FB078F" w:rsidRPr="00F51E09" w:rsidP="0042765E" w14:paraId="1FF43EEC" w14:textId="1C00288D">
      <w:pPr>
        <w:spacing w:line="480" w:lineRule="auto"/>
        <w:rPr>
          <w:szCs w:val="26"/>
        </w:rPr>
      </w:pPr>
      <w:r w:rsidRPr="00F51E09">
        <w:rPr>
          <w:i/>
          <w:szCs w:val="26"/>
        </w:rPr>
        <w:t xml:space="preserve">Instructions: </w:t>
      </w:r>
      <w:r w:rsidRPr="00F51E09">
        <w:rPr>
          <w:szCs w:val="26"/>
        </w:rPr>
        <w:t xml:space="preserve">All submissions must be formatted and filed in accordance with submission guidelines at:   </w:t>
      </w:r>
      <w:hyperlink r:id="rId10" w:history="1">
        <w:r w:rsidRPr="00F51E09" w:rsidR="00697ECE">
          <w:rPr>
            <w:rStyle w:val="Hyperlink"/>
            <w:szCs w:val="26"/>
          </w:rPr>
          <w:t>https://www.ferc.gov</w:t>
        </w:r>
      </w:hyperlink>
      <w:r w:rsidRPr="00F51E09">
        <w:rPr>
          <w:szCs w:val="26"/>
        </w:rPr>
        <w:t>.  For user assistance, contact FERC Online Support by e-mail at ferconlinesupport@ferc.gov, or by phone at (866) 208-3676 (toll-free).</w:t>
      </w:r>
    </w:p>
    <w:p w:rsidR="00FB078F" w:rsidRPr="00F51E09" w:rsidP="00FB078F" w14:paraId="781EB4A7" w14:textId="0AE444E7">
      <w:pPr>
        <w:spacing w:line="480" w:lineRule="auto"/>
        <w:rPr>
          <w:szCs w:val="26"/>
        </w:rPr>
      </w:pPr>
      <w:r w:rsidRPr="00F51E09">
        <w:rPr>
          <w:i/>
          <w:szCs w:val="26"/>
        </w:rPr>
        <w:t>Docket:</w:t>
      </w:r>
      <w:r w:rsidRPr="00F51E09">
        <w:rPr>
          <w:szCs w:val="26"/>
        </w:rPr>
        <w:t xml:space="preserve"> Users interested in receiving automatic notification of activity in this docket or in viewing/downloading comments and issuances in this docket may do so at </w:t>
      </w:r>
      <w:hyperlink r:id="rId10" w:history="1">
        <w:r w:rsidRPr="00F51E09" w:rsidR="00697ECE">
          <w:rPr>
            <w:rStyle w:val="Hyperlink"/>
            <w:szCs w:val="26"/>
          </w:rPr>
          <w:t>https://www.ferc.gov</w:t>
        </w:r>
      </w:hyperlink>
      <w:r w:rsidRPr="00F51E09">
        <w:rPr>
          <w:szCs w:val="26"/>
        </w:rPr>
        <w:t xml:space="preserve">. </w:t>
      </w:r>
    </w:p>
    <w:bookmarkEnd w:id="2"/>
    <w:p w:rsidR="00FB078F" w:rsidRPr="00F51E09" w:rsidP="00FB078F" w14:paraId="4D057177" w14:textId="17189B27">
      <w:pPr>
        <w:spacing w:line="480" w:lineRule="auto"/>
        <w:rPr>
          <w:szCs w:val="26"/>
        </w:rPr>
      </w:pPr>
      <w:r w:rsidRPr="00F51E09">
        <w:rPr>
          <w:b/>
          <w:szCs w:val="26"/>
        </w:rPr>
        <w:t>FOR FURTHER INFORMATION</w:t>
      </w:r>
      <w:r w:rsidRPr="00F51E09" w:rsidR="005F761F">
        <w:rPr>
          <w:b/>
          <w:szCs w:val="26"/>
        </w:rPr>
        <w:t xml:space="preserve"> CONTACT</w:t>
      </w:r>
      <w:r w:rsidRPr="00F51E09">
        <w:rPr>
          <w:b/>
          <w:szCs w:val="26"/>
        </w:rPr>
        <w:t>:</w:t>
      </w:r>
      <w:r w:rsidRPr="00F51E09">
        <w:rPr>
          <w:szCs w:val="26"/>
        </w:rPr>
        <w:t xml:space="preserve">  </w:t>
      </w:r>
      <w:r w:rsidRPr="00F51E09" w:rsidR="00817A7D">
        <w:rPr>
          <w:szCs w:val="26"/>
        </w:rPr>
        <w:t>Doug Reimel</w:t>
      </w:r>
      <w:r w:rsidRPr="00F51E09">
        <w:rPr>
          <w:szCs w:val="26"/>
        </w:rPr>
        <w:t xml:space="preserve"> may be reached by e-mail at </w:t>
      </w:r>
      <w:r>
        <w:fldChar w:fldCharType="begin"/>
      </w:r>
      <w:r w:rsidRPr="00F51E09">
        <w:rPr>
          <w:rStyle w:val="Hyperlink"/>
          <w:szCs w:val="26"/>
        </w:rPr>
        <w:instrText xml:space="preserve"> HYPERLINK "mailto:DataClearance@FERC.gov" </w:instrText>
      </w:r>
      <w:r>
        <w:fldChar w:fldCharType="separate"/>
      </w:r>
      <w:r w:rsidRPr="00F51E09">
        <w:rPr>
          <w:rStyle w:val="Hyperlink"/>
          <w:szCs w:val="26"/>
        </w:rPr>
        <w:t>DataClearance@FERC.gov</w:t>
      </w:r>
      <w:r>
        <w:fldChar w:fldCharType="end"/>
      </w:r>
      <w:r w:rsidRPr="00F51E09">
        <w:rPr>
          <w:szCs w:val="26"/>
        </w:rPr>
        <w:t>, telephone at (202) 502-</w:t>
      </w:r>
      <w:r w:rsidRPr="00F51E09" w:rsidR="00AB3750">
        <w:rPr>
          <w:szCs w:val="26"/>
        </w:rPr>
        <w:t>6</w:t>
      </w:r>
      <w:r w:rsidRPr="00F51E09" w:rsidR="00817A7D">
        <w:rPr>
          <w:szCs w:val="26"/>
        </w:rPr>
        <w:t>461</w:t>
      </w:r>
      <w:r w:rsidRPr="00F51E09">
        <w:rPr>
          <w:szCs w:val="26"/>
        </w:rPr>
        <w:t>.</w:t>
      </w:r>
    </w:p>
    <w:p w:rsidR="00292A4C" w:rsidRPr="00F51E09" w:rsidP="00292A4C" w14:paraId="110FA44D" w14:textId="77777777">
      <w:pPr>
        <w:spacing w:line="480" w:lineRule="auto"/>
        <w:rPr>
          <w:szCs w:val="26"/>
        </w:rPr>
      </w:pPr>
      <w:r w:rsidRPr="00F51E09">
        <w:rPr>
          <w:b/>
          <w:szCs w:val="26"/>
        </w:rPr>
        <w:t>SUPPLEMENTARY INFORMATION:</w:t>
      </w:r>
      <w:r w:rsidRPr="00F51E09">
        <w:rPr>
          <w:szCs w:val="26"/>
        </w:rPr>
        <w:t xml:space="preserve">  </w:t>
      </w:r>
    </w:p>
    <w:p w:rsidR="00533A77" w:rsidRPr="00F51E09" w:rsidP="00533A77" w14:paraId="0C87CF93" w14:textId="77777777">
      <w:pPr>
        <w:spacing w:line="480" w:lineRule="auto"/>
        <w:rPr>
          <w:szCs w:val="26"/>
        </w:rPr>
      </w:pPr>
      <w:r w:rsidRPr="00F51E09">
        <w:rPr>
          <w:i/>
          <w:szCs w:val="26"/>
        </w:rPr>
        <w:t xml:space="preserve">Title: </w:t>
      </w:r>
      <w:r w:rsidRPr="00F51E09">
        <w:rPr>
          <w:szCs w:val="26"/>
        </w:rPr>
        <w:t>FERC-725A (Mandatory Reliability Standards for the Bulk-Power System).</w:t>
      </w:r>
    </w:p>
    <w:p w:rsidR="00292A4C" w:rsidRPr="00F51E09" w:rsidP="00292A4C" w14:paraId="5C682714" w14:textId="4844D4B3">
      <w:pPr>
        <w:spacing w:line="480" w:lineRule="auto"/>
        <w:rPr>
          <w:szCs w:val="26"/>
        </w:rPr>
      </w:pPr>
      <w:r w:rsidRPr="00F51E09">
        <w:rPr>
          <w:i/>
          <w:szCs w:val="26"/>
        </w:rPr>
        <w:t>OMB Control No.:</w:t>
      </w:r>
      <w:r w:rsidRPr="00F51E09">
        <w:rPr>
          <w:szCs w:val="26"/>
        </w:rPr>
        <w:t xml:space="preserve"> 1902-0</w:t>
      </w:r>
      <w:r w:rsidRPr="00F51E09" w:rsidR="00533A77">
        <w:rPr>
          <w:szCs w:val="26"/>
        </w:rPr>
        <w:t>244</w:t>
      </w:r>
    </w:p>
    <w:p w:rsidR="00292A4C" w:rsidRPr="00F51E09" w:rsidP="00292A4C" w14:paraId="22B00844" w14:textId="50448EC9">
      <w:pPr>
        <w:spacing w:line="480" w:lineRule="auto"/>
        <w:rPr>
          <w:szCs w:val="26"/>
        </w:rPr>
      </w:pPr>
      <w:r w:rsidRPr="00F51E09">
        <w:rPr>
          <w:i/>
          <w:szCs w:val="26"/>
        </w:rPr>
        <w:t>Type of Request:</w:t>
      </w:r>
      <w:r w:rsidRPr="00F51E09">
        <w:rPr>
          <w:szCs w:val="26"/>
        </w:rPr>
        <w:t xml:space="preserve"> Three-year extension of the FERC-</w:t>
      </w:r>
      <w:r w:rsidRPr="00F51E09" w:rsidR="00904EDC">
        <w:rPr>
          <w:szCs w:val="26"/>
        </w:rPr>
        <w:t>725A</w:t>
      </w:r>
      <w:r w:rsidRPr="00F51E09">
        <w:rPr>
          <w:szCs w:val="26"/>
        </w:rPr>
        <w:t xml:space="preserve"> information collection requirements with no changes to the current reporting requirements. </w:t>
      </w:r>
    </w:p>
    <w:p w:rsidR="00060284" w:rsidRPr="00F51E09" w:rsidP="00060284" w14:paraId="58AB2BF6" w14:textId="5676A8A0">
      <w:pPr>
        <w:spacing w:line="480" w:lineRule="auto"/>
        <w:rPr>
          <w:iCs/>
          <w:szCs w:val="26"/>
        </w:rPr>
      </w:pPr>
      <w:r w:rsidRPr="00F51E09">
        <w:rPr>
          <w:i/>
          <w:szCs w:val="26"/>
        </w:rPr>
        <w:t xml:space="preserve">Abstract: </w:t>
      </w:r>
      <w:r w:rsidRPr="00F51E09">
        <w:rPr>
          <w:iCs/>
          <w:szCs w:val="26"/>
        </w:rPr>
        <w:t>On August 8, 2005, the Electricity Modernization Act of 2005, which is Title XII, Subtitle A, of the Energy Policy Act of 2005 (EPAct 2005), was enacted into law.</w:t>
      </w:r>
      <w:r>
        <w:rPr>
          <w:b/>
          <w:iCs/>
          <w:szCs w:val="26"/>
          <w:vertAlign w:val="superscript"/>
        </w:rPr>
        <w:footnoteReference w:id="3"/>
      </w:r>
      <w:r w:rsidRPr="00F51E09">
        <w:rPr>
          <w:iCs/>
          <w:szCs w:val="26"/>
        </w:rPr>
        <w:t xml:space="preserve">  </w:t>
      </w:r>
      <w:r w:rsidRPr="00F51E09">
        <w:rPr>
          <w:iCs/>
          <w:szCs w:val="26"/>
        </w:rPr>
        <w:t xml:space="preserve">EPAct 2005 added a new section 215 to the FPA, which requires a Commission-certified </w:t>
      </w:r>
      <w:r w:rsidRPr="00F51E09" w:rsidR="00F22F4B">
        <w:rPr>
          <w:iCs/>
          <w:szCs w:val="26"/>
        </w:rPr>
        <w:t>electric reliability organization (</w:t>
      </w:r>
      <w:r w:rsidRPr="00F51E09">
        <w:rPr>
          <w:iCs/>
          <w:szCs w:val="26"/>
        </w:rPr>
        <w:t>ERO</w:t>
      </w:r>
      <w:r w:rsidRPr="00F51E09" w:rsidR="00F22F4B">
        <w:rPr>
          <w:iCs/>
          <w:szCs w:val="26"/>
        </w:rPr>
        <w:t>)</w:t>
      </w:r>
      <w:r w:rsidRPr="00F51E09">
        <w:rPr>
          <w:iCs/>
          <w:szCs w:val="26"/>
        </w:rPr>
        <w:t xml:space="preserve"> (FERC-725) to develop mandatory and enforceable Reliability Standards, which are subject to Commission review and approval.  Once approved, the Reliability Standards may be enforced by the ERO, subject to Commission oversight or the Commission can independently enforce Reliability Standards (FERC-725A).</w:t>
      </w:r>
      <w:r>
        <w:rPr>
          <w:b/>
          <w:iCs/>
          <w:szCs w:val="26"/>
          <w:vertAlign w:val="superscript"/>
        </w:rPr>
        <w:footnoteReference w:id="4"/>
      </w:r>
    </w:p>
    <w:p w:rsidR="00060284" w:rsidRPr="00F51E09" w:rsidP="00060284" w14:paraId="71AE0730" w14:textId="30248340">
      <w:pPr>
        <w:spacing w:line="480" w:lineRule="auto"/>
        <w:rPr>
          <w:iCs/>
          <w:szCs w:val="26"/>
        </w:rPr>
      </w:pPr>
      <w:r w:rsidRPr="00F51E09">
        <w:rPr>
          <w:iCs/>
          <w:szCs w:val="26"/>
        </w:rPr>
        <w:t>On February 3, 2006, the Commission issued Order No. 672, implementing section 215 of the FPA.</w:t>
      </w:r>
      <w:r>
        <w:rPr>
          <w:b/>
          <w:iCs/>
          <w:szCs w:val="26"/>
          <w:vertAlign w:val="superscript"/>
        </w:rPr>
        <w:footnoteReference w:id="5"/>
      </w:r>
      <w:r w:rsidRPr="00F51E09">
        <w:rPr>
          <w:iCs/>
          <w:szCs w:val="26"/>
        </w:rPr>
        <w:t xml:space="preserve">  Pursuant to Order No. 672, the Commission certified one organization, NERC, as the ERO.</w:t>
      </w:r>
      <w:r>
        <w:rPr>
          <w:b/>
          <w:iCs/>
          <w:szCs w:val="26"/>
          <w:vertAlign w:val="superscript"/>
        </w:rPr>
        <w:footnoteReference w:id="6"/>
      </w:r>
      <w:r w:rsidRPr="00F51E09">
        <w:rPr>
          <w:iCs/>
          <w:szCs w:val="26"/>
        </w:rPr>
        <w:t xml:space="preserve">  The ERO is required to develop Reliability Standards, which are subject to Commission review and approval.  The Reliability Standards will apply to users, owners and operators of the Bulk-Power System, as set forth in each Reliability Standard.  </w:t>
      </w:r>
    </w:p>
    <w:p w:rsidR="00060284" w:rsidRPr="00F51E09" w:rsidP="00060284" w14:paraId="6453AAFC" w14:textId="212FE7F4">
      <w:pPr>
        <w:spacing w:line="480" w:lineRule="auto"/>
        <w:rPr>
          <w:iCs/>
          <w:szCs w:val="26"/>
        </w:rPr>
      </w:pPr>
      <w:r w:rsidRPr="00F51E09">
        <w:rPr>
          <w:iCs/>
          <w:szCs w:val="26"/>
        </w:rPr>
        <w:t>On March 16, 2007, the Commission issued Order No. 693, a Final Rule adding part 40, a new part</w:t>
      </w:r>
      <w:r w:rsidRPr="00F51E09" w:rsidR="00F22F4B">
        <w:rPr>
          <w:iCs/>
          <w:szCs w:val="26"/>
        </w:rPr>
        <w:t>,</w:t>
      </w:r>
      <w:r w:rsidRPr="00F51E09">
        <w:rPr>
          <w:iCs/>
          <w:szCs w:val="26"/>
        </w:rPr>
        <w:t xml:space="preserve"> to the Commission’s regulations.  The Final Rule states that this part applies </w:t>
      </w:r>
      <w:r w:rsidRPr="00F51E09">
        <w:rPr>
          <w:iCs/>
          <w:szCs w:val="26"/>
        </w:rPr>
        <w:t>to all users, owners and operators of the Bulk-Power System within the United States (other than Alaska or Hawaii).  It also requires that each Reliability Standard identify the subset of users, owners and operators to which that particular Reliability Standard applies.  The new regulations also require that each Reliability Standard that is approved by the Commission will be maintained on the ERO’s Internet website for public inspection. </w:t>
      </w:r>
    </w:p>
    <w:p w:rsidR="00060284" w:rsidRPr="00F51E09" w:rsidP="00060284" w14:paraId="6218B273" w14:textId="36BDD39A">
      <w:pPr>
        <w:spacing w:line="480" w:lineRule="auto"/>
        <w:rPr>
          <w:iCs/>
          <w:szCs w:val="26"/>
        </w:rPr>
      </w:pPr>
      <w:r w:rsidRPr="00F51E09">
        <w:rPr>
          <w:iCs/>
          <w:szCs w:val="26"/>
        </w:rPr>
        <w:t xml:space="preserve">In order </w:t>
      </w:r>
      <w:r w:rsidRPr="00F51E09" w:rsidR="000E4E1F">
        <w:rPr>
          <w:iCs/>
          <w:szCs w:val="26"/>
        </w:rPr>
        <w:t xml:space="preserve">for </w:t>
      </w:r>
      <w:r w:rsidRPr="00F51E09">
        <w:rPr>
          <w:iCs/>
          <w:szCs w:val="26"/>
        </w:rPr>
        <w:t>the Commission to perform its oversight function with regard to Reliability Standards that are proposed by the ERO, it is essential that the Commission receive</w:t>
      </w:r>
      <w:r w:rsidRPr="00F51E09" w:rsidR="004646F9">
        <w:rPr>
          <w:iCs/>
          <w:szCs w:val="26"/>
        </w:rPr>
        <w:t>s</w:t>
      </w:r>
      <w:r w:rsidRPr="00F51E09">
        <w:rPr>
          <w:iCs/>
          <w:szCs w:val="26"/>
        </w:rPr>
        <w:t xml:space="preserve"> timely information regarding all or potential violations of Reliability Standards.  While section 215 of the FPA contemplates the filing of the record of an ERO or Regional Entity enforcement action, FERC needs information regarding violations and potential violations at or near the time of occurrence.  Therefore, it will work with the ERO and regional reliability organizations to be able to use electronic filing of information so the Commission receives timely information. The new regulations also require that each Reliability Standard that is approved by the Commission will be maintained on the ERO’s Internet website for public inspection.   </w:t>
      </w:r>
    </w:p>
    <w:p w:rsidR="00ED421C" w:rsidRPr="00F51E09" w:rsidP="009A065C" w14:paraId="22614594" w14:textId="0679765A">
      <w:pPr>
        <w:spacing w:line="480" w:lineRule="auto"/>
        <w:rPr>
          <w:iCs/>
          <w:szCs w:val="26"/>
        </w:rPr>
      </w:pPr>
      <w:r w:rsidRPr="00F51E09">
        <w:rPr>
          <w:iCs/>
          <w:szCs w:val="26"/>
        </w:rPr>
        <w:t xml:space="preserve">In accordance with section 39.5 of the Commission’s regulations, the ERO must file each Reliability Standard or a modification to a Reliability Standard with the Commission.  The filing is to include a concise statement of the basis and purpose of the proposed Reliability Standard, either a summary of the Reliability development proceedings conducted by the ERO or a summary of the Reliability Standard development proceedings conducted by a Regional Entity together with a summary of the Reliability </w:t>
      </w:r>
      <w:r w:rsidRPr="00F51E09">
        <w:rPr>
          <w:iCs/>
          <w:szCs w:val="26"/>
        </w:rPr>
        <w:t>Standard review proceedings of the ERO and a demonstration that the proposed Reliability Standard is “just, reasonable, not unduly discriminatory or preferential, and in the public interest.</w:t>
      </w:r>
    </w:p>
    <w:p w:rsidR="00812F89" w:rsidRPr="00F51E09" w:rsidP="00CD4C3E" w14:paraId="66F913CB" w14:textId="0BF75A78">
      <w:pPr>
        <w:spacing w:line="480" w:lineRule="auto"/>
        <w:rPr>
          <w:iCs/>
          <w:szCs w:val="26"/>
        </w:rPr>
      </w:pPr>
      <w:r w:rsidRPr="00F51E09">
        <w:rPr>
          <w:iCs/>
          <w:szCs w:val="26"/>
        </w:rPr>
        <w:t>The existing burden inventory for the entire FERC-725A collection is estimated at 1,4</w:t>
      </w:r>
      <w:r w:rsidRPr="00F51E09" w:rsidR="006A0244">
        <w:rPr>
          <w:iCs/>
          <w:szCs w:val="26"/>
        </w:rPr>
        <w:t>07,238</w:t>
      </w:r>
      <w:r w:rsidRPr="00F51E09">
        <w:rPr>
          <w:iCs/>
          <w:szCs w:val="26"/>
        </w:rPr>
        <w:t xml:space="preserve"> burden hours</w:t>
      </w:r>
      <w:r w:rsidRPr="00F51E09" w:rsidR="00EC6744">
        <w:rPr>
          <w:iCs/>
          <w:szCs w:val="26"/>
        </w:rPr>
        <w:t xml:space="preserve"> (Table 1)</w:t>
      </w:r>
      <w:r w:rsidRPr="00F51E09">
        <w:rPr>
          <w:iCs/>
          <w:szCs w:val="26"/>
        </w:rPr>
        <w:t>.  FERC-725A contains the information collection requirements for nearly all of the US wide Reliability Standards.  The collection started in 2007 when FERC approved 83 Reliability Standards with an estimated 1,252,680 burden hours.</w:t>
      </w:r>
      <w:r w:rsidRPr="00F51E09" w:rsidR="00EC6744">
        <w:rPr>
          <w:iCs/>
          <w:szCs w:val="26"/>
        </w:rPr>
        <w:t xml:space="preserve">  </w:t>
      </w:r>
      <w:r w:rsidRPr="00F51E09">
        <w:rPr>
          <w:iCs/>
          <w:szCs w:val="26"/>
        </w:rPr>
        <w:t xml:space="preserve">Since that time, NERC has revised many of the original standards (as well as proposed new standards) resulting in many incremental additions to the total burden hours.  Additionally, over time </w:t>
      </w:r>
      <w:r w:rsidRPr="00F51E09" w:rsidR="006A0244">
        <w:rPr>
          <w:iCs/>
          <w:szCs w:val="26"/>
        </w:rPr>
        <w:t xml:space="preserve">FAC-003, </w:t>
      </w:r>
      <w:r w:rsidRPr="00F51E09">
        <w:rPr>
          <w:iCs/>
          <w:szCs w:val="26"/>
        </w:rPr>
        <w:t>FAC-008, PER-003; INT-006; INT-009; TOP</w:t>
      </w:r>
      <w:r w:rsidRPr="00F51E09" w:rsidR="00995A00">
        <w:rPr>
          <w:iCs/>
          <w:szCs w:val="26"/>
        </w:rPr>
        <w:t>-001, TOP-002, TOP-003, TOP-010 revision</w:t>
      </w:r>
      <w:r w:rsidRPr="00F51E09">
        <w:rPr>
          <w:iCs/>
          <w:szCs w:val="26"/>
        </w:rPr>
        <w:t>s were captured in 725A collection.  In August 2024, the associated manhours and cost for PER-003-2 are being relocated from 725A into 725Y</w:t>
      </w:r>
      <w:r w:rsidRPr="00F51E09" w:rsidR="00EC6744">
        <w:rPr>
          <w:iCs/>
          <w:szCs w:val="26"/>
        </w:rPr>
        <w:t xml:space="preserve"> (Table 2)</w:t>
      </w:r>
      <w:r w:rsidRPr="00F51E09">
        <w:rPr>
          <w:iCs/>
          <w:szCs w:val="26"/>
        </w:rPr>
        <w:t>.  This change will not result in change in the number of respondents in 725A as the same group of responsible entities have other obligation under 725A but the associated cost per entity will decrease slightly overall</w:t>
      </w:r>
      <w:r w:rsidRPr="00F51E09" w:rsidR="00EC6744">
        <w:rPr>
          <w:iCs/>
          <w:szCs w:val="26"/>
        </w:rPr>
        <w:t xml:space="preserve"> (Table 3)</w:t>
      </w:r>
      <w:r w:rsidRPr="00F51E09">
        <w:rPr>
          <w:iCs/>
          <w:szCs w:val="26"/>
        </w:rPr>
        <w:t>.</w:t>
      </w:r>
    </w:p>
    <w:p w:rsidR="00812F89" w:rsidRPr="00F51E09" w:rsidP="009A065C" w14:paraId="548FD009" w14:textId="77777777">
      <w:pPr>
        <w:spacing w:line="480" w:lineRule="auto"/>
        <w:rPr>
          <w:iCs/>
          <w:szCs w:val="26"/>
        </w:rPr>
      </w:pPr>
    </w:p>
    <w:p w:rsidR="0094424D" w:rsidRPr="00F51E09" w:rsidP="00292A4C" w14:paraId="01B352BC" w14:textId="09E32940">
      <w:pPr>
        <w:spacing w:line="480" w:lineRule="auto"/>
        <w:rPr>
          <w:i/>
          <w:szCs w:val="26"/>
        </w:rPr>
      </w:pPr>
      <w:r w:rsidRPr="00F51E09">
        <w:rPr>
          <w:i/>
          <w:szCs w:val="26"/>
        </w:rPr>
        <w:t>Estimate of Annual Burden</w:t>
      </w:r>
      <w:r>
        <w:rPr>
          <w:b/>
          <w:i/>
          <w:szCs w:val="26"/>
          <w:vertAlign w:val="superscript"/>
        </w:rPr>
        <w:footnoteReference w:id="7"/>
      </w:r>
      <w:r w:rsidRPr="00F51E09">
        <w:rPr>
          <w:i/>
          <w:szCs w:val="26"/>
        </w:rPr>
        <w:t xml:space="preserve">: </w:t>
      </w:r>
      <w:r w:rsidRPr="00F51E09">
        <w:rPr>
          <w:szCs w:val="26"/>
        </w:rPr>
        <w:t>The Commission estimates the burden and cost for this information collection as follows.</w:t>
      </w:r>
      <w:r w:rsidRPr="00F51E09">
        <w:rPr>
          <w:i/>
          <w:szCs w:val="26"/>
        </w:rPr>
        <w:t xml:space="preserve"> </w:t>
      </w:r>
    </w:p>
    <w:p w:rsidR="0094424D" w:rsidRPr="00F51E09" w:rsidP="00292A4C" w14:paraId="7358ACBF" w14:textId="3D69F37E">
      <w:pPr>
        <w:spacing w:line="480" w:lineRule="auto"/>
        <w:rPr>
          <w:i/>
          <w:szCs w:val="26"/>
        </w:rPr>
      </w:pPr>
      <w:r w:rsidRPr="00F51E09">
        <w:rPr>
          <w:b/>
          <w:bCs/>
          <w:iCs/>
          <w:szCs w:val="26"/>
          <w:u w:val="single"/>
        </w:rPr>
        <w:t>IC2</w:t>
      </w:r>
      <w:r w:rsidRPr="00F51E09" w:rsidR="004E16A1">
        <w:rPr>
          <w:b/>
          <w:bCs/>
          <w:iCs/>
          <w:szCs w:val="26"/>
          <w:u w:val="single"/>
        </w:rPr>
        <w:t>4</w:t>
      </w:r>
      <w:r w:rsidRPr="00F51E09">
        <w:rPr>
          <w:b/>
          <w:bCs/>
          <w:iCs/>
          <w:szCs w:val="26"/>
          <w:u w:val="single"/>
        </w:rPr>
        <w:t>-</w:t>
      </w:r>
      <w:r w:rsidRPr="00F51E09" w:rsidR="00934961">
        <w:rPr>
          <w:b/>
          <w:bCs/>
          <w:iCs/>
          <w:szCs w:val="26"/>
          <w:u w:val="single"/>
        </w:rPr>
        <w:t>23</w:t>
      </w:r>
      <w:r w:rsidRPr="00F51E09">
        <w:rPr>
          <w:b/>
          <w:bCs/>
          <w:iCs/>
          <w:szCs w:val="26"/>
          <w:u w:val="single"/>
        </w:rPr>
        <w:t>-000 Renewal of 725A</w:t>
      </w:r>
    </w:p>
    <w:p w:rsidR="0094424D" w:rsidRPr="00F51E09" w:rsidP="00292A4C" w14:paraId="7F35A71A" w14:textId="5260D43E">
      <w:pPr>
        <w:spacing w:line="480" w:lineRule="auto"/>
        <w:rPr>
          <w:iCs/>
          <w:szCs w:val="26"/>
        </w:rPr>
      </w:pPr>
      <w:r w:rsidRPr="00F51E09">
        <w:rPr>
          <w:iCs/>
          <w:szCs w:val="26"/>
        </w:rPr>
        <w:t>The following table represents the current burden associated with all Mandatory Reliability Standards that fall under FERC-725A</w:t>
      </w:r>
    </w:p>
    <w:p w:rsidR="00EC6744" w:rsidRPr="00F51E09" w:rsidP="00292A4C" w14:paraId="52467D4D" w14:textId="77777777">
      <w:pPr>
        <w:spacing w:line="480" w:lineRule="auto"/>
        <w:rPr>
          <w:iCs/>
          <w:szCs w:val="26"/>
        </w:rPr>
      </w:pPr>
    </w:p>
    <w:tbl>
      <w:tblPr>
        <w:tblpPr w:leftFromText="187" w:rightFromText="187" w:vertAnchor="text" w:horzAnchor="margin" w:tblpX="-280" w:tblpY="1"/>
        <w:tblOverlap w:val="never"/>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267"/>
        <w:gridCol w:w="1697"/>
        <w:gridCol w:w="1493"/>
        <w:gridCol w:w="1417"/>
        <w:gridCol w:w="1401"/>
        <w:gridCol w:w="1540"/>
        <w:gridCol w:w="1423"/>
      </w:tblGrid>
      <w:tr w14:paraId="5B78B33C" w14:textId="77777777" w:rsidTr="006A0244">
        <w:tblPrEx>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6744" w:rsidRPr="00F51E09" w:rsidP="006A0244" w14:paraId="73582FA8" w14:textId="79D98972">
            <w:pPr>
              <w:keepNext/>
              <w:widowControl w:val="0"/>
              <w:autoSpaceDE w:val="0"/>
              <w:autoSpaceDN w:val="0"/>
              <w:adjustRightInd w:val="0"/>
              <w:jc w:val="center"/>
              <w:rPr>
                <w:b/>
                <w:szCs w:val="26"/>
                <w:highlight w:val="lightGray"/>
              </w:rPr>
            </w:pPr>
            <w:r w:rsidRPr="00F51E09">
              <w:rPr>
                <w:b/>
                <w:szCs w:val="26"/>
                <w:highlight w:val="lightGray"/>
              </w:rPr>
              <w:t>Original 725 A IC24-</w:t>
            </w:r>
            <w:r w:rsidRPr="00F51E09" w:rsidR="000D7108">
              <w:rPr>
                <w:b/>
                <w:szCs w:val="26"/>
                <w:highlight w:val="lightGray"/>
              </w:rPr>
              <w:t>23</w:t>
            </w:r>
            <w:r w:rsidRPr="00F51E09">
              <w:rPr>
                <w:b/>
                <w:szCs w:val="26"/>
                <w:highlight w:val="lightGray"/>
              </w:rPr>
              <w:t>-000</w:t>
            </w:r>
          </w:p>
          <w:p w:rsidR="00EC6744" w:rsidRPr="00F51E09" w:rsidP="006A0244" w14:paraId="19292B8E" w14:textId="12CE4768">
            <w:pPr>
              <w:keepNext/>
              <w:widowControl w:val="0"/>
              <w:autoSpaceDE w:val="0"/>
              <w:autoSpaceDN w:val="0"/>
              <w:adjustRightInd w:val="0"/>
              <w:rPr>
                <w:b/>
                <w:szCs w:val="26"/>
              </w:rPr>
            </w:pPr>
          </w:p>
        </w:tc>
      </w:tr>
      <w:tr w14:paraId="48665ED3" w14:textId="77777777" w:rsidTr="006A0244">
        <w:tblPrEx>
          <w:tblW w:w="5475" w:type="pct"/>
          <w:tblLayout w:type="fixed"/>
          <w:tblCellMar>
            <w:left w:w="115" w:type="dxa"/>
            <w:right w:w="115" w:type="dxa"/>
          </w:tblCellMar>
          <w:tblLook w:val="01E0"/>
        </w:tblPrEx>
        <w:trPr>
          <w:cantSplit/>
          <w:trHeight w:val="890"/>
        </w:trPr>
        <w:tc>
          <w:tcPr>
            <w:tcW w:w="61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44" w:rsidRPr="00F51E09" w:rsidP="006A0244" w14:paraId="4080FE08" w14:textId="77777777">
            <w:pPr>
              <w:widowControl w:val="0"/>
              <w:autoSpaceDE w:val="0"/>
              <w:autoSpaceDN w:val="0"/>
              <w:adjustRightInd w:val="0"/>
              <w:jc w:val="center"/>
              <w:rPr>
                <w:b/>
                <w:szCs w:val="26"/>
              </w:rPr>
            </w:pP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6744" w:rsidRPr="00F51E09" w:rsidP="006A0244" w14:paraId="2F9E4EB3" w14:textId="3B75D2DC">
            <w:pPr>
              <w:widowControl w:val="0"/>
              <w:autoSpaceDE w:val="0"/>
              <w:autoSpaceDN w:val="0"/>
              <w:adjustRightInd w:val="0"/>
              <w:jc w:val="center"/>
              <w:rPr>
                <w:b/>
                <w:szCs w:val="26"/>
              </w:rPr>
            </w:pPr>
            <w:r w:rsidRPr="00F51E09">
              <w:rPr>
                <w:b/>
                <w:szCs w:val="26"/>
              </w:rPr>
              <w:t>Number and Type of Respondents</w:t>
            </w:r>
            <w:r w:rsidRPr="00F51E09">
              <w:rPr>
                <w:b/>
                <w:szCs w:val="26"/>
              </w:rPr>
              <w:br/>
              <w:t>(1)</w:t>
            </w:r>
            <w:r>
              <w:rPr>
                <w:rStyle w:val="FootnoteReference"/>
                <w:b w:val="0"/>
              </w:rPr>
              <w:footnoteReference w:id="8"/>
            </w:r>
          </w:p>
        </w:tc>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6744" w:rsidRPr="00F51E09" w:rsidP="006A0244" w14:paraId="673E020A" w14:textId="77777777">
            <w:pPr>
              <w:widowControl w:val="0"/>
              <w:autoSpaceDE w:val="0"/>
              <w:autoSpaceDN w:val="0"/>
              <w:adjustRightInd w:val="0"/>
              <w:jc w:val="center"/>
              <w:rPr>
                <w:b/>
                <w:szCs w:val="26"/>
              </w:rPr>
            </w:pPr>
            <w:r w:rsidRPr="00F51E09">
              <w:rPr>
                <w:b/>
                <w:szCs w:val="26"/>
              </w:rPr>
              <w:t xml:space="preserve">Annual Number of Responses per Respondent </w:t>
            </w:r>
          </w:p>
          <w:p w:rsidR="00EC6744" w:rsidRPr="00F51E09" w:rsidP="006A0244" w14:paraId="50E131BE" w14:textId="77777777">
            <w:pPr>
              <w:widowControl w:val="0"/>
              <w:autoSpaceDE w:val="0"/>
              <w:autoSpaceDN w:val="0"/>
              <w:adjustRightInd w:val="0"/>
              <w:jc w:val="center"/>
              <w:rPr>
                <w:b/>
                <w:szCs w:val="26"/>
              </w:rPr>
            </w:pPr>
            <w:r w:rsidRPr="00F51E09">
              <w:rPr>
                <w:b/>
                <w:szCs w:val="26"/>
              </w:rPr>
              <w:t>(2)</w:t>
            </w:r>
          </w:p>
        </w:tc>
        <w:tc>
          <w:tcPr>
            <w:tcW w:w="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6744" w:rsidRPr="00F51E09" w:rsidP="006A0244" w14:paraId="6A3E2661" w14:textId="77777777">
            <w:pPr>
              <w:widowControl w:val="0"/>
              <w:autoSpaceDE w:val="0"/>
              <w:autoSpaceDN w:val="0"/>
              <w:adjustRightInd w:val="0"/>
              <w:jc w:val="center"/>
              <w:rPr>
                <w:b/>
                <w:szCs w:val="26"/>
              </w:rPr>
            </w:pPr>
            <w:r w:rsidRPr="00F51E09">
              <w:rPr>
                <w:b/>
                <w:szCs w:val="26"/>
              </w:rPr>
              <w:t>Total Number of Responses</w:t>
            </w:r>
          </w:p>
          <w:p w:rsidR="00EC6744" w:rsidRPr="00F51E09" w:rsidP="006A0244" w14:paraId="6D5347B4" w14:textId="77777777">
            <w:pPr>
              <w:widowControl w:val="0"/>
              <w:autoSpaceDE w:val="0"/>
              <w:autoSpaceDN w:val="0"/>
              <w:adjustRightInd w:val="0"/>
              <w:jc w:val="center"/>
              <w:rPr>
                <w:b/>
                <w:szCs w:val="26"/>
              </w:rPr>
            </w:pPr>
            <w:r w:rsidRPr="00F51E09">
              <w:rPr>
                <w:rFonts w:eastAsia="Calibri"/>
                <w:b/>
                <w:szCs w:val="26"/>
              </w:rPr>
              <w:t>(1)*(2)=(3)</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6744" w:rsidRPr="00F51E09" w:rsidP="006A0244" w14:paraId="2EF2B6E2" w14:textId="77777777">
            <w:pPr>
              <w:widowControl w:val="0"/>
              <w:autoSpaceDE w:val="0"/>
              <w:autoSpaceDN w:val="0"/>
              <w:adjustRightInd w:val="0"/>
              <w:jc w:val="center"/>
              <w:rPr>
                <w:b/>
                <w:szCs w:val="26"/>
              </w:rPr>
            </w:pPr>
            <w:r w:rsidRPr="00F51E09">
              <w:rPr>
                <w:b/>
                <w:szCs w:val="26"/>
              </w:rPr>
              <w:t>Avg. Burden &amp; Cost Per Response</w:t>
            </w:r>
            <w:r>
              <w:rPr>
                <w:szCs w:val="26"/>
                <w:vertAlign w:val="superscript"/>
              </w:rPr>
              <w:footnoteReference w:id="9"/>
            </w:r>
            <w:r w:rsidRPr="00F51E09">
              <w:rPr>
                <w:b/>
                <w:szCs w:val="26"/>
              </w:rPr>
              <w:t xml:space="preserve"> </w:t>
            </w:r>
          </w:p>
          <w:p w:rsidR="00EC6744" w:rsidRPr="00F51E09" w:rsidP="006A0244" w14:paraId="305EC48F" w14:textId="77777777">
            <w:pPr>
              <w:widowControl w:val="0"/>
              <w:autoSpaceDE w:val="0"/>
              <w:autoSpaceDN w:val="0"/>
              <w:adjustRightInd w:val="0"/>
              <w:jc w:val="center"/>
              <w:rPr>
                <w:b/>
                <w:szCs w:val="26"/>
              </w:rPr>
            </w:pPr>
            <w:r w:rsidRPr="00F51E09">
              <w:rPr>
                <w:b/>
                <w:szCs w:val="26"/>
              </w:rPr>
              <w:t>(4)</w:t>
            </w:r>
          </w:p>
        </w:tc>
        <w:tc>
          <w:tcPr>
            <w:tcW w:w="7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6744" w:rsidRPr="00F51E09" w:rsidP="006A0244" w14:paraId="3EA76E3A" w14:textId="77777777">
            <w:pPr>
              <w:widowControl w:val="0"/>
              <w:autoSpaceDE w:val="0"/>
              <w:autoSpaceDN w:val="0"/>
              <w:adjustRightInd w:val="0"/>
              <w:jc w:val="center"/>
              <w:rPr>
                <w:b/>
                <w:szCs w:val="26"/>
              </w:rPr>
            </w:pPr>
            <w:r w:rsidRPr="00F51E09">
              <w:rPr>
                <w:b/>
                <w:szCs w:val="26"/>
              </w:rPr>
              <w:t>Total Annual Burden Hours &amp; Total Annual Cost ($)</w:t>
            </w:r>
          </w:p>
          <w:p w:rsidR="00EC6744" w:rsidRPr="00F51E09" w:rsidP="006A0244" w14:paraId="383C7D77" w14:textId="77777777">
            <w:pPr>
              <w:widowControl w:val="0"/>
              <w:autoSpaceDE w:val="0"/>
              <w:autoSpaceDN w:val="0"/>
              <w:adjustRightInd w:val="0"/>
              <w:jc w:val="center"/>
              <w:rPr>
                <w:b/>
                <w:szCs w:val="26"/>
              </w:rPr>
            </w:pPr>
            <w:r w:rsidRPr="00F51E09">
              <w:rPr>
                <w:rFonts w:eastAsia="Calibri"/>
                <w:b/>
                <w:szCs w:val="26"/>
              </w:rPr>
              <w:t>(3)*(4)=(5)</w:t>
            </w:r>
            <w:r w:rsidRPr="00F51E09">
              <w:rPr>
                <w:b/>
                <w:szCs w:val="26"/>
              </w:rPr>
              <w:t xml:space="preserve"> </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6744" w:rsidRPr="00F51E09" w:rsidP="006A0244" w14:paraId="03A60245" w14:textId="77777777">
            <w:pPr>
              <w:widowControl w:val="0"/>
              <w:autoSpaceDE w:val="0"/>
              <w:autoSpaceDN w:val="0"/>
              <w:adjustRightInd w:val="0"/>
              <w:jc w:val="center"/>
              <w:rPr>
                <w:b/>
                <w:szCs w:val="26"/>
              </w:rPr>
            </w:pPr>
            <w:r w:rsidRPr="00F51E09">
              <w:rPr>
                <w:b/>
                <w:szCs w:val="26"/>
              </w:rPr>
              <w:t>Cost per Respondent ($)</w:t>
            </w:r>
          </w:p>
          <w:p w:rsidR="00EC6744" w:rsidRPr="00F51E09" w:rsidP="006A0244" w14:paraId="12B1C1D9" w14:textId="77777777">
            <w:pPr>
              <w:widowControl w:val="0"/>
              <w:autoSpaceDE w:val="0"/>
              <w:autoSpaceDN w:val="0"/>
              <w:adjustRightInd w:val="0"/>
              <w:jc w:val="center"/>
              <w:rPr>
                <w:b/>
                <w:szCs w:val="26"/>
              </w:rPr>
            </w:pPr>
            <w:r w:rsidRPr="00F51E09">
              <w:rPr>
                <w:b/>
                <w:szCs w:val="26"/>
              </w:rPr>
              <w:t>(5)</w:t>
            </w:r>
            <w:r w:rsidRPr="00F51E09">
              <w:rPr>
                <w:rFonts w:eastAsia="Calibri"/>
                <w:b/>
                <w:szCs w:val="26"/>
              </w:rPr>
              <w:t xml:space="preserve"> ÷ (1)</w:t>
            </w:r>
            <w:r w:rsidRPr="00F51E09">
              <w:rPr>
                <w:b/>
                <w:szCs w:val="26"/>
              </w:rPr>
              <w:t xml:space="preserve"> </w:t>
            </w:r>
          </w:p>
        </w:tc>
      </w:tr>
      <w:tr w14:paraId="47C095E6" w14:textId="77777777" w:rsidTr="006A0244">
        <w:tblPrEx>
          <w:tblW w:w="5475" w:type="pct"/>
          <w:tblLayout w:type="fixed"/>
          <w:tblCellMar>
            <w:left w:w="115" w:type="dxa"/>
            <w:right w:w="115" w:type="dxa"/>
          </w:tblCellMar>
          <w:tblLook w:val="01E0"/>
        </w:tblPrEx>
        <w:trPr>
          <w:cantSplit/>
          <w:trHeight w:val="992"/>
        </w:trPr>
        <w:tc>
          <w:tcPr>
            <w:tcW w:w="619" w:type="pct"/>
            <w:tcBorders>
              <w:top w:val="single" w:sz="4" w:space="0" w:color="auto"/>
              <w:left w:val="single" w:sz="4" w:space="0" w:color="auto"/>
              <w:right w:val="single" w:sz="4" w:space="0" w:color="auto"/>
            </w:tcBorders>
          </w:tcPr>
          <w:p w:rsidR="00EC6744" w:rsidRPr="00F51E09" w:rsidP="006A0244" w14:paraId="1A5098F3" w14:textId="77777777">
            <w:pPr>
              <w:rPr>
                <w:szCs w:val="26"/>
              </w:rPr>
            </w:pPr>
            <w:r w:rsidRPr="00F51E09">
              <w:rPr>
                <w:szCs w:val="26"/>
              </w:rPr>
              <w:t xml:space="preserve">Annual Review of 725A </w:t>
            </w:r>
          </w:p>
          <w:p w:rsidR="00EC6744" w:rsidRPr="00F51E09" w:rsidP="006A0244" w14:paraId="21086305" w14:textId="77777777">
            <w:pPr>
              <w:rPr>
                <w:szCs w:val="26"/>
              </w:rPr>
            </w:pPr>
          </w:p>
        </w:tc>
        <w:tc>
          <w:tcPr>
            <w:tcW w:w="829" w:type="pct"/>
            <w:tcBorders>
              <w:top w:val="single" w:sz="4" w:space="0" w:color="auto"/>
              <w:left w:val="single" w:sz="4" w:space="0" w:color="auto"/>
              <w:bottom w:val="single" w:sz="4" w:space="0" w:color="auto"/>
              <w:right w:val="single" w:sz="4" w:space="0" w:color="auto"/>
            </w:tcBorders>
          </w:tcPr>
          <w:p w:rsidR="00EC6744" w:rsidRPr="00F51E09" w:rsidP="006A0244" w14:paraId="59CB67E5" w14:textId="77777777">
            <w:pPr>
              <w:rPr>
                <w:szCs w:val="26"/>
              </w:rPr>
            </w:pPr>
            <w:r w:rsidRPr="00F51E09">
              <w:rPr>
                <w:szCs w:val="26"/>
              </w:rPr>
              <w:t>3,711</w:t>
            </w:r>
          </w:p>
        </w:tc>
        <w:tc>
          <w:tcPr>
            <w:tcW w:w="729" w:type="pct"/>
            <w:tcBorders>
              <w:top w:val="single" w:sz="4" w:space="0" w:color="auto"/>
              <w:left w:val="single" w:sz="4" w:space="0" w:color="auto"/>
              <w:bottom w:val="single" w:sz="4" w:space="0" w:color="auto"/>
              <w:right w:val="single" w:sz="4" w:space="0" w:color="auto"/>
            </w:tcBorders>
          </w:tcPr>
          <w:p w:rsidR="00EC6744" w:rsidRPr="00F51E09" w:rsidP="006A0244" w14:paraId="6B5D950E" w14:textId="77777777">
            <w:pPr>
              <w:jc w:val="right"/>
              <w:rPr>
                <w:szCs w:val="26"/>
              </w:rPr>
            </w:pPr>
            <w:r w:rsidRPr="00F51E09">
              <w:rPr>
                <w:szCs w:val="26"/>
              </w:rPr>
              <w:t>1</w:t>
            </w:r>
          </w:p>
        </w:tc>
        <w:tc>
          <w:tcPr>
            <w:tcW w:w="692" w:type="pct"/>
            <w:tcBorders>
              <w:top w:val="single" w:sz="4" w:space="0" w:color="auto"/>
              <w:left w:val="single" w:sz="4" w:space="0" w:color="auto"/>
              <w:bottom w:val="single" w:sz="4" w:space="0" w:color="auto"/>
              <w:right w:val="single" w:sz="4" w:space="0" w:color="auto"/>
            </w:tcBorders>
          </w:tcPr>
          <w:p w:rsidR="00EC6744" w:rsidRPr="00F51E09" w:rsidP="006A0244" w14:paraId="002C2443" w14:textId="77777777">
            <w:pPr>
              <w:jc w:val="right"/>
              <w:rPr>
                <w:szCs w:val="26"/>
              </w:rPr>
            </w:pPr>
            <w:r w:rsidRPr="00F51E09">
              <w:rPr>
                <w:szCs w:val="26"/>
              </w:rPr>
              <w:t>3,711</w:t>
            </w:r>
          </w:p>
        </w:tc>
        <w:tc>
          <w:tcPr>
            <w:tcW w:w="684" w:type="pct"/>
            <w:tcBorders>
              <w:top w:val="single" w:sz="4" w:space="0" w:color="auto"/>
              <w:left w:val="single" w:sz="4" w:space="0" w:color="auto"/>
              <w:bottom w:val="single" w:sz="4" w:space="0" w:color="auto"/>
              <w:right w:val="single" w:sz="4" w:space="0" w:color="auto"/>
            </w:tcBorders>
          </w:tcPr>
          <w:p w:rsidR="00EC6744" w:rsidRPr="00F51E09" w:rsidP="006A0244" w14:paraId="3877E0A7" w14:textId="24095991">
            <w:pPr>
              <w:jc w:val="right"/>
              <w:rPr>
                <w:szCs w:val="26"/>
              </w:rPr>
            </w:pPr>
            <w:r w:rsidRPr="00F51E09">
              <w:rPr>
                <w:szCs w:val="26"/>
              </w:rPr>
              <w:t>3</w:t>
            </w:r>
            <w:r w:rsidRPr="00F51E09" w:rsidR="006A0244">
              <w:rPr>
                <w:szCs w:val="26"/>
              </w:rPr>
              <w:t>79.21</w:t>
            </w:r>
            <w:r w:rsidRPr="00F51E09">
              <w:rPr>
                <w:szCs w:val="26"/>
              </w:rPr>
              <w:t xml:space="preserve"> hrs</w:t>
            </w:r>
            <w:r w:rsidRPr="00F51E09" w:rsidR="006A0244">
              <w:rPr>
                <w:szCs w:val="26"/>
              </w:rPr>
              <w:t>.</w:t>
            </w:r>
          </w:p>
          <w:p w:rsidR="00EC6744" w:rsidRPr="00F51E09" w:rsidP="006A0244" w14:paraId="69F236FE" w14:textId="2083F782">
            <w:pPr>
              <w:jc w:val="right"/>
              <w:rPr>
                <w:szCs w:val="26"/>
              </w:rPr>
            </w:pPr>
            <w:r w:rsidRPr="00F51E09">
              <w:rPr>
                <w:szCs w:val="26"/>
              </w:rPr>
              <w:t>$</w:t>
            </w:r>
            <w:r w:rsidRPr="00F51E09" w:rsidR="006A0244">
              <w:rPr>
                <w:szCs w:val="26"/>
              </w:rPr>
              <w:t>2</w:t>
            </w:r>
            <w:r w:rsidRPr="00F51E09" w:rsidR="001D749D">
              <w:rPr>
                <w:szCs w:val="26"/>
              </w:rPr>
              <w:t>6,798.77</w:t>
            </w:r>
          </w:p>
        </w:tc>
        <w:tc>
          <w:tcPr>
            <w:tcW w:w="752" w:type="pct"/>
            <w:tcBorders>
              <w:top w:val="single" w:sz="4" w:space="0" w:color="auto"/>
              <w:left w:val="single" w:sz="4" w:space="0" w:color="auto"/>
              <w:bottom w:val="single" w:sz="4" w:space="0" w:color="auto"/>
              <w:right w:val="single" w:sz="4" w:space="0" w:color="auto"/>
            </w:tcBorders>
          </w:tcPr>
          <w:p w:rsidR="00EC6744" w:rsidRPr="00F51E09" w:rsidP="006A0244" w14:paraId="0C348BB6" w14:textId="135F09C2">
            <w:pPr>
              <w:jc w:val="right"/>
              <w:rPr>
                <w:szCs w:val="26"/>
              </w:rPr>
            </w:pPr>
            <w:r w:rsidRPr="00F51E09">
              <w:rPr>
                <w:szCs w:val="26"/>
              </w:rPr>
              <w:t>1,4</w:t>
            </w:r>
            <w:r w:rsidRPr="00F51E09" w:rsidR="006A0244">
              <w:rPr>
                <w:szCs w:val="26"/>
              </w:rPr>
              <w:t>07,238</w:t>
            </w:r>
            <w:r w:rsidRPr="00F51E09">
              <w:rPr>
                <w:szCs w:val="26"/>
              </w:rPr>
              <w:t xml:space="preserve"> hrs</w:t>
            </w:r>
            <w:r w:rsidRPr="00F51E09" w:rsidR="006A0244">
              <w:rPr>
                <w:szCs w:val="26"/>
              </w:rPr>
              <w:t>.</w:t>
            </w:r>
          </w:p>
          <w:p w:rsidR="00EC6744" w:rsidRPr="00F51E09" w:rsidP="006A0244" w14:paraId="56E08C00" w14:textId="01B91E96">
            <w:pPr>
              <w:jc w:val="right"/>
              <w:rPr>
                <w:szCs w:val="26"/>
              </w:rPr>
            </w:pPr>
            <w:r w:rsidRPr="00F51E09">
              <w:rPr>
                <w:szCs w:val="26"/>
              </w:rPr>
              <w:t>$</w:t>
            </w:r>
            <w:r w:rsidRPr="00F51E09" w:rsidR="006A0244">
              <w:rPr>
                <w:szCs w:val="26"/>
              </w:rPr>
              <w:t>9</w:t>
            </w:r>
            <w:r w:rsidRPr="00F51E09" w:rsidR="001D749D">
              <w:rPr>
                <w:szCs w:val="26"/>
              </w:rPr>
              <w:t>9,449,509.46</w:t>
            </w:r>
          </w:p>
        </w:tc>
        <w:tc>
          <w:tcPr>
            <w:tcW w:w="695" w:type="pct"/>
            <w:tcBorders>
              <w:top w:val="single" w:sz="4" w:space="0" w:color="auto"/>
              <w:left w:val="single" w:sz="4" w:space="0" w:color="auto"/>
              <w:bottom w:val="single" w:sz="4" w:space="0" w:color="auto"/>
              <w:right w:val="single" w:sz="4" w:space="0" w:color="auto"/>
            </w:tcBorders>
          </w:tcPr>
          <w:p w:rsidR="00EC6744" w:rsidRPr="00F51E09" w:rsidP="006A0244" w14:paraId="7F67AF64" w14:textId="53E79E87">
            <w:pPr>
              <w:jc w:val="right"/>
              <w:rPr>
                <w:szCs w:val="26"/>
              </w:rPr>
            </w:pPr>
            <w:r w:rsidRPr="00F51E09">
              <w:rPr>
                <w:szCs w:val="26"/>
              </w:rPr>
              <w:t>$</w:t>
            </w:r>
            <w:r w:rsidRPr="00F51E09" w:rsidR="006A0244">
              <w:rPr>
                <w:szCs w:val="26"/>
              </w:rPr>
              <w:t>2</w:t>
            </w:r>
            <w:r w:rsidRPr="00F51E09" w:rsidR="001D749D">
              <w:rPr>
                <w:szCs w:val="26"/>
              </w:rPr>
              <w:t>6,798.77</w:t>
            </w:r>
          </w:p>
        </w:tc>
      </w:tr>
      <w:tr w14:paraId="71CB59A7" w14:textId="77777777" w:rsidTr="006A0244">
        <w:tblPrEx>
          <w:tblW w:w="5475" w:type="pct"/>
          <w:tblLayout w:type="fixed"/>
          <w:tblCellMar>
            <w:left w:w="115" w:type="dxa"/>
            <w:right w:w="115" w:type="dxa"/>
          </w:tblCellMar>
          <w:tblLook w:val="01E0"/>
        </w:tblPrEx>
        <w:trPr>
          <w:cantSplit/>
          <w:trHeight w:val="864"/>
        </w:trPr>
        <w:tc>
          <w:tcPr>
            <w:tcW w:w="619" w:type="pct"/>
            <w:tcBorders>
              <w:top w:val="single" w:sz="4" w:space="0" w:color="auto"/>
              <w:left w:val="single" w:sz="4" w:space="0" w:color="auto"/>
              <w:right w:val="single" w:sz="4" w:space="0" w:color="auto"/>
            </w:tcBorders>
          </w:tcPr>
          <w:p w:rsidR="00EC6744" w:rsidRPr="00F51E09" w:rsidP="006A0244" w14:paraId="42437B16" w14:textId="77777777">
            <w:pPr>
              <w:rPr>
                <w:szCs w:val="26"/>
              </w:rPr>
            </w:pPr>
            <w:r w:rsidRPr="00F51E09">
              <w:rPr>
                <w:szCs w:val="26"/>
              </w:rPr>
              <w:t>TOTAL</w:t>
            </w:r>
          </w:p>
        </w:tc>
        <w:tc>
          <w:tcPr>
            <w:tcW w:w="293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44" w:rsidRPr="00F51E09" w:rsidP="006A0244" w14:paraId="31D5CF5D" w14:textId="77777777">
            <w:pPr>
              <w:jc w:val="right"/>
              <w:rPr>
                <w:szCs w:val="26"/>
              </w:rPr>
            </w:pPr>
          </w:p>
        </w:tc>
        <w:tc>
          <w:tcPr>
            <w:tcW w:w="752" w:type="pct"/>
            <w:tcBorders>
              <w:top w:val="single" w:sz="4" w:space="0" w:color="auto"/>
              <w:left w:val="single" w:sz="4" w:space="0" w:color="auto"/>
              <w:bottom w:val="single" w:sz="4" w:space="0" w:color="auto"/>
              <w:right w:val="single" w:sz="4" w:space="0" w:color="auto"/>
            </w:tcBorders>
          </w:tcPr>
          <w:p w:rsidR="006A0244" w:rsidRPr="00F51E09" w:rsidP="006A0244" w14:paraId="7EABED93" w14:textId="77777777">
            <w:pPr>
              <w:jc w:val="right"/>
              <w:rPr>
                <w:szCs w:val="26"/>
              </w:rPr>
            </w:pPr>
            <w:r w:rsidRPr="00F51E09">
              <w:rPr>
                <w:szCs w:val="26"/>
              </w:rPr>
              <w:t>1,407,238 hrs.</w:t>
            </w:r>
          </w:p>
          <w:p w:rsidR="00EC6744" w:rsidRPr="00F51E09" w:rsidP="006A0244" w14:paraId="56B0B718" w14:textId="3BDA8448">
            <w:pPr>
              <w:jc w:val="right"/>
              <w:rPr>
                <w:szCs w:val="26"/>
              </w:rPr>
            </w:pPr>
            <w:r w:rsidRPr="00F51E09">
              <w:rPr>
                <w:szCs w:val="26"/>
              </w:rPr>
              <w:t>$9</w:t>
            </w:r>
            <w:r w:rsidRPr="00F51E09" w:rsidR="001D749D">
              <w:rPr>
                <w:szCs w:val="26"/>
              </w:rPr>
              <w:t>9,449,509.46</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44" w:rsidRPr="00F51E09" w:rsidP="006A0244" w14:paraId="546CECF5" w14:textId="77777777">
            <w:pPr>
              <w:jc w:val="right"/>
              <w:rPr>
                <w:szCs w:val="26"/>
              </w:rPr>
            </w:pPr>
          </w:p>
        </w:tc>
      </w:tr>
    </w:tbl>
    <w:p w:rsidR="00812F89" w:rsidRPr="00F51E09" w:rsidP="1627DDEB" w14:paraId="6BBAA9BF" w14:textId="1B1EF261">
      <w:pPr>
        <w:spacing w:line="480" w:lineRule="auto"/>
        <w:rPr>
          <w:szCs w:val="26"/>
        </w:rPr>
      </w:pP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150"/>
        <w:gridCol w:w="1394"/>
        <w:gridCol w:w="1251"/>
        <w:gridCol w:w="970"/>
        <w:gridCol w:w="1440"/>
        <w:gridCol w:w="1875"/>
        <w:gridCol w:w="15"/>
        <w:gridCol w:w="1255"/>
      </w:tblGrid>
      <w:tr w14:paraId="143749CE" w14:textId="77777777" w:rsidTr="006446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288"/>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2F89" w:rsidRPr="00F51E09" w:rsidP="006446A9" w14:paraId="0EAE07F6" w14:textId="448EE21C">
            <w:pPr>
              <w:keepNext/>
              <w:widowControl w:val="0"/>
              <w:autoSpaceDE w:val="0"/>
              <w:autoSpaceDN w:val="0"/>
              <w:adjustRightInd w:val="0"/>
              <w:jc w:val="center"/>
              <w:rPr>
                <w:b/>
                <w:szCs w:val="26"/>
                <w:highlight w:val="lightGray"/>
              </w:rPr>
            </w:pPr>
            <w:r w:rsidRPr="00F51E09">
              <w:rPr>
                <w:b/>
                <w:szCs w:val="26"/>
                <w:highlight w:val="lightGray"/>
              </w:rPr>
              <w:t>Original 725 A moving to FERC-725Y in Docket No. IC24-16-000</w:t>
            </w:r>
          </w:p>
          <w:p w:rsidR="00812F89" w:rsidRPr="00F51E09" w:rsidP="006446A9" w14:paraId="45742835" w14:textId="77777777">
            <w:pPr>
              <w:keepNext/>
              <w:widowControl w:val="0"/>
              <w:autoSpaceDE w:val="0"/>
              <w:autoSpaceDN w:val="0"/>
              <w:adjustRightInd w:val="0"/>
              <w:jc w:val="center"/>
              <w:rPr>
                <w:b/>
                <w:szCs w:val="26"/>
              </w:rPr>
            </w:pPr>
            <w:r w:rsidRPr="00F51E09">
              <w:rPr>
                <w:b/>
                <w:szCs w:val="26"/>
                <w:highlight w:val="lightGray"/>
              </w:rPr>
              <w:t xml:space="preserve"> Reliability Standard </w:t>
            </w:r>
            <w:bookmarkStart w:id="3" w:name="_Hlk173320474"/>
            <w:r w:rsidRPr="00F51E09">
              <w:rPr>
                <w:b/>
                <w:szCs w:val="26"/>
                <w:highlight w:val="lightGray"/>
              </w:rPr>
              <w:t>PER-003-2</w:t>
            </w:r>
            <w:bookmarkEnd w:id="3"/>
          </w:p>
        </w:tc>
      </w:tr>
      <w:tr w14:paraId="7E580555" w14:textId="77777777" w:rsidTr="00C4644C">
        <w:tblPrEx>
          <w:tblW w:w="0" w:type="auto"/>
          <w:tblLayout w:type="fixed"/>
          <w:tblCellMar>
            <w:left w:w="115" w:type="dxa"/>
            <w:right w:w="115" w:type="dxa"/>
          </w:tblCellMar>
          <w:tblLook w:val="01E0"/>
        </w:tblPrEx>
        <w:trPr>
          <w:cantSplit/>
          <w:trHeight w:val="2436"/>
        </w:trPr>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2F89" w:rsidRPr="00F51E09" w:rsidP="006446A9" w14:paraId="2817216E" w14:textId="77777777">
            <w:pPr>
              <w:widowControl w:val="0"/>
              <w:autoSpaceDE w:val="0"/>
              <w:autoSpaceDN w:val="0"/>
              <w:adjustRightInd w:val="0"/>
              <w:jc w:val="center"/>
              <w:rPr>
                <w:b/>
                <w:szCs w:val="26"/>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2F89" w:rsidRPr="00F51E09" w:rsidP="006446A9" w14:paraId="1A6A3847" w14:textId="77777777">
            <w:pPr>
              <w:widowControl w:val="0"/>
              <w:autoSpaceDE w:val="0"/>
              <w:autoSpaceDN w:val="0"/>
              <w:adjustRightInd w:val="0"/>
              <w:jc w:val="center"/>
              <w:rPr>
                <w:b/>
                <w:szCs w:val="26"/>
              </w:rPr>
            </w:pPr>
            <w:r w:rsidRPr="00F51E09">
              <w:rPr>
                <w:b/>
                <w:szCs w:val="26"/>
              </w:rPr>
              <w:t>Number and Type of Respondents</w:t>
            </w:r>
            <w:r>
              <w:rPr>
                <w:b/>
                <w:szCs w:val="26"/>
                <w:vertAlign w:val="superscript"/>
              </w:rPr>
              <w:footnoteReference w:id="10"/>
            </w:r>
            <w:r w:rsidRPr="00F51E09">
              <w:rPr>
                <w:b/>
                <w:szCs w:val="26"/>
              </w:rPr>
              <w:br/>
              <w:t>(1)</w:t>
            </w: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2F89" w:rsidRPr="00F51E09" w:rsidP="006446A9" w14:paraId="77FDC1EC" w14:textId="77777777">
            <w:pPr>
              <w:widowControl w:val="0"/>
              <w:autoSpaceDE w:val="0"/>
              <w:autoSpaceDN w:val="0"/>
              <w:adjustRightInd w:val="0"/>
              <w:jc w:val="center"/>
              <w:rPr>
                <w:b/>
                <w:szCs w:val="26"/>
              </w:rPr>
            </w:pPr>
            <w:r w:rsidRPr="00F51E09">
              <w:rPr>
                <w:b/>
                <w:szCs w:val="26"/>
              </w:rPr>
              <w:t xml:space="preserve">Annual Number of Responses per Respondent </w:t>
            </w:r>
          </w:p>
          <w:p w:rsidR="00812F89" w:rsidRPr="00F51E09" w:rsidP="006446A9" w14:paraId="5D057B89" w14:textId="77777777">
            <w:pPr>
              <w:widowControl w:val="0"/>
              <w:autoSpaceDE w:val="0"/>
              <w:autoSpaceDN w:val="0"/>
              <w:adjustRightInd w:val="0"/>
              <w:jc w:val="center"/>
              <w:rPr>
                <w:b/>
                <w:szCs w:val="26"/>
              </w:rPr>
            </w:pPr>
            <w:r w:rsidRPr="00F51E09">
              <w:rPr>
                <w:b/>
                <w:szCs w:val="26"/>
              </w:rPr>
              <w:t>(2)</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2F89" w:rsidRPr="00F51E09" w:rsidP="006446A9" w14:paraId="366119E7" w14:textId="77777777">
            <w:pPr>
              <w:widowControl w:val="0"/>
              <w:autoSpaceDE w:val="0"/>
              <w:autoSpaceDN w:val="0"/>
              <w:adjustRightInd w:val="0"/>
              <w:jc w:val="center"/>
              <w:rPr>
                <w:b/>
                <w:szCs w:val="26"/>
              </w:rPr>
            </w:pPr>
            <w:r w:rsidRPr="00F51E09">
              <w:rPr>
                <w:b/>
                <w:szCs w:val="26"/>
              </w:rPr>
              <w:t>Total Number of Responses</w:t>
            </w:r>
          </w:p>
          <w:p w:rsidR="00812F89" w:rsidRPr="00F51E09" w:rsidP="006446A9" w14:paraId="462B724F" w14:textId="77777777">
            <w:pPr>
              <w:widowControl w:val="0"/>
              <w:autoSpaceDE w:val="0"/>
              <w:autoSpaceDN w:val="0"/>
              <w:adjustRightInd w:val="0"/>
              <w:jc w:val="center"/>
              <w:rPr>
                <w:b/>
                <w:szCs w:val="26"/>
              </w:rPr>
            </w:pPr>
            <w:r w:rsidRPr="00F51E09">
              <w:rPr>
                <w:rFonts w:eastAsia="Calibri"/>
                <w:b/>
                <w:szCs w:val="26"/>
              </w:rPr>
              <w:t>(1)*(2)=(3)</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2F89" w:rsidRPr="00F51E09" w:rsidP="006446A9" w14:paraId="0BCD0DCE" w14:textId="77777777">
            <w:pPr>
              <w:widowControl w:val="0"/>
              <w:autoSpaceDE w:val="0"/>
              <w:autoSpaceDN w:val="0"/>
              <w:adjustRightInd w:val="0"/>
              <w:jc w:val="center"/>
              <w:rPr>
                <w:b/>
                <w:szCs w:val="26"/>
              </w:rPr>
            </w:pPr>
            <w:r w:rsidRPr="00F51E09">
              <w:rPr>
                <w:b/>
                <w:szCs w:val="26"/>
              </w:rPr>
              <w:t>Avg. Burden &amp; Cost Per Response</w:t>
            </w:r>
            <w:r>
              <w:rPr>
                <w:szCs w:val="26"/>
                <w:vertAlign w:val="superscript"/>
              </w:rPr>
              <w:footnoteReference w:id="11"/>
            </w:r>
            <w:r w:rsidRPr="00F51E09">
              <w:rPr>
                <w:b/>
                <w:szCs w:val="26"/>
              </w:rPr>
              <w:t xml:space="preserve"> </w:t>
            </w:r>
          </w:p>
          <w:p w:rsidR="00812F89" w:rsidRPr="00F51E09" w:rsidP="006446A9" w14:paraId="549747CA" w14:textId="77777777">
            <w:pPr>
              <w:widowControl w:val="0"/>
              <w:autoSpaceDE w:val="0"/>
              <w:autoSpaceDN w:val="0"/>
              <w:adjustRightInd w:val="0"/>
              <w:jc w:val="center"/>
              <w:rPr>
                <w:b/>
                <w:szCs w:val="26"/>
              </w:rPr>
            </w:pPr>
            <w:r w:rsidRPr="00F51E09">
              <w:rPr>
                <w:b/>
                <w:szCs w:val="26"/>
              </w:rPr>
              <w:t>(4)</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2F89" w:rsidRPr="00F51E09" w:rsidP="006446A9" w14:paraId="4AA9F3D0" w14:textId="77777777">
            <w:pPr>
              <w:widowControl w:val="0"/>
              <w:autoSpaceDE w:val="0"/>
              <w:autoSpaceDN w:val="0"/>
              <w:adjustRightInd w:val="0"/>
              <w:jc w:val="center"/>
              <w:rPr>
                <w:b/>
                <w:szCs w:val="26"/>
              </w:rPr>
            </w:pPr>
            <w:r w:rsidRPr="00F51E09">
              <w:rPr>
                <w:b/>
                <w:szCs w:val="26"/>
              </w:rPr>
              <w:t>Total Annual Burden Hours &amp; Total Annual Cost ($)</w:t>
            </w:r>
          </w:p>
          <w:p w:rsidR="00812F89" w:rsidRPr="00F51E09" w:rsidP="006446A9" w14:paraId="74FB4DD2" w14:textId="77777777">
            <w:pPr>
              <w:widowControl w:val="0"/>
              <w:autoSpaceDE w:val="0"/>
              <w:autoSpaceDN w:val="0"/>
              <w:adjustRightInd w:val="0"/>
              <w:jc w:val="center"/>
              <w:rPr>
                <w:b/>
                <w:szCs w:val="26"/>
              </w:rPr>
            </w:pPr>
            <w:r w:rsidRPr="00F51E09">
              <w:rPr>
                <w:rFonts w:eastAsia="Calibri"/>
                <w:b/>
                <w:szCs w:val="26"/>
              </w:rPr>
              <w:t>(3)*(4)=(5)</w:t>
            </w:r>
            <w:r w:rsidRPr="00F51E09">
              <w:rPr>
                <w:b/>
                <w:szCs w:val="26"/>
              </w:rPr>
              <w:t xml:space="preserve"> </w:t>
            </w:r>
          </w:p>
        </w:tc>
        <w:tc>
          <w:tcPr>
            <w:tcW w:w="12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2F89" w:rsidRPr="00F51E09" w:rsidP="006446A9" w14:paraId="67E57AA1" w14:textId="77777777">
            <w:pPr>
              <w:widowControl w:val="0"/>
              <w:autoSpaceDE w:val="0"/>
              <w:autoSpaceDN w:val="0"/>
              <w:adjustRightInd w:val="0"/>
              <w:jc w:val="center"/>
              <w:rPr>
                <w:b/>
                <w:szCs w:val="26"/>
              </w:rPr>
            </w:pPr>
            <w:r w:rsidRPr="00F51E09">
              <w:rPr>
                <w:b/>
                <w:szCs w:val="26"/>
              </w:rPr>
              <w:t>Cost per Respondent ($)</w:t>
            </w:r>
          </w:p>
          <w:p w:rsidR="00812F89" w:rsidRPr="00F51E09" w:rsidP="006446A9" w14:paraId="699E70BE" w14:textId="77777777">
            <w:pPr>
              <w:widowControl w:val="0"/>
              <w:autoSpaceDE w:val="0"/>
              <w:autoSpaceDN w:val="0"/>
              <w:adjustRightInd w:val="0"/>
              <w:jc w:val="center"/>
              <w:rPr>
                <w:b/>
                <w:szCs w:val="26"/>
              </w:rPr>
            </w:pPr>
            <w:r w:rsidRPr="00F51E09">
              <w:rPr>
                <w:b/>
                <w:szCs w:val="26"/>
              </w:rPr>
              <w:t>(5)</w:t>
            </w:r>
            <w:r w:rsidRPr="00F51E09">
              <w:rPr>
                <w:rFonts w:eastAsia="Calibri"/>
                <w:b/>
                <w:szCs w:val="26"/>
              </w:rPr>
              <w:t xml:space="preserve"> ÷ (1)</w:t>
            </w:r>
            <w:r w:rsidRPr="00F51E09">
              <w:rPr>
                <w:b/>
                <w:szCs w:val="26"/>
              </w:rPr>
              <w:t xml:space="preserve"> </w:t>
            </w:r>
          </w:p>
        </w:tc>
      </w:tr>
      <w:tr w14:paraId="30C258AC" w14:textId="77777777" w:rsidTr="00C4644C">
        <w:tblPrEx>
          <w:tblW w:w="0" w:type="auto"/>
          <w:tblLayout w:type="fixed"/>
          <w:tblCellMar>
            <w:left w:w="115" w:type="dxa"/>
            <w:right w:w="115" w:type="dxa"/>
          </w:tblCellMar>
          <w:tblLook w:val="01E0"/>
        </w:tblPrEx>
        <w:trPr>
          <w:cantSplit/>
          <w:trHeight w:val="992"/>
        </w:trPr>
        <w:tc>
          <w:tcPr>
            <w:tcW w:w="1150" w:type="dxa"/>
            <w:vMerge w:val="restart"/>
            <w:tcBorders>
              <w:top w:val="single" w:sz="4" w:space="0" w:color="auto"/>
              <w:left w:val="single" w:sz="4" w:space="0" w:color="auto"/>
              <w:right w:val="single" w:sz="4" w:space="0" w:color="auto"/>
            </w:tcBorders>
          </w:tcPr>
          <w:p w:rsidR="00812F89" w:rsidRPr="00F51E09" w:rsidP="006446A9" w14:paraId="11D185B1" w14:textId="77777777">
            <w:pPr>
              <w:rPr>
                <w:szCs w:val="26"/>
              </w:rPr>
            </w:pPr>
            <w:r w:rsidRPr="00F51E09">
              <w:rPr>
                <w:szCs w:val="26"/>
              </w:rPr>
              <w:t xml:space="preserve">Annual Review of Credentials </w:t>
            </w:r>
          </w:p>
          <w:p w:rsidR="00812F89" w:rsidRPr="00F51E09" w:rsidP="006446A9" w14:paraId="2E029BDD" w14:textId="77777777">
            <w:pPr>
              <w:rPr>
                <w:szCs w:val="26"/>
              </w:rPr>
            </w:pPr>
          </w:p>
        </w:tc>
        <w:tc>
          <w:tcPr>
            <w:tcW w:w="1394" w:type="dxa"/>
            <w:tcBorders>
              <w:top w:val="single" w:sz="4" w:space="0" w:color="auto"/>
              <w:left w:val="single" w:sz="4" w:space="0" w:color="auto"/>
              <w:bottom w:val="single" w:sz="4" w:space="0" w:color="auto"/>
              <w:right w:val="single" w:sz="4" w:space="0" w:color="auto"/>
            </w:tcBorders>
          </w:tcPr>
          <w:p w:rsidR="00812F89" w:rsidRPr="00F51E09" w:rsidP="006446A9" w14:paraId="3522287B" w14:textId="77777777">
            <w:pPr>
              <w:rPr>
                <w:szCs w:val="26"/>
              </w:rPr>
            </w:pPr>
            <w:r w:rsidRPr="00F51E09">
              <w:rPr>
                <w:szCs w:val="26"/>
              </w:rPr>
              <w:t>12 (RC)</w:t>
            </w:r>
          </w:p>
        </w:tc>
        <w:tc>
          <w:tcPr>
            <w:tcW w:w="1251" w:type="dxa"/>
            <w:tcBorders>
              <w:top w:val="single" w:sz="4" w:space="0" w:color="auto"/>
              <w:left w:val="single" w:sz="4" w:space="0" w:color="auto"/>
              <w:bottom w:val="single" w:sz="4" w:space="0" w:color="auto"/>
              <w:right w:val="single" w:sz="4" w:space="0" w:color="auto"/>
            </w:tcBorders>
          </w:tcPr>
          <w:p w:rsidR="00812F89" w:rsidRPr="00F51E09" w:rsidP="006446A9" w14:paraId="7A77BD30" w14:textId="77777777">
            <w:pPr>
              <w:jc w:val="right"/>
              <w:rPr>
                <w:szCs w:val="26"/>
              </w:rPr>
            </w:pPr>
            <w:r w:rsidRPr="00F51E09">
              <w:rPr>
                <w:szCs w:val="26"/>
              </w:rPr>
              <w:t>1</w:t>
            </w:r>
          </w:p>
        </w:tc>
        <w:tc>
          <w:tcPr>
            <w:tcW w:w="970" w:type="dxa"/>
            <w:tcBorders>
              <w:top w:val="single" w:sz="4" w:space="0" w:color="auto"/>
              <w:left w:val="single" w:sz="4" w:space="0" w:color="auto"/>
              <w:bottom w:val="single" w:sz="4" w:space="0" w:color="auto"/>
              <w:right w:val="single" w:sz="4" w:space="0" w:color="auto"/>
            </w:tcBorders>
          </w:tcPr>
          <w:p w:rsidR="00812F89" w:rsidRPr="00F51E09" w:rsidP="006446A9" w14:paraId="5EA1D7B7" w14:textId="77777777">
            <w:pPr>
              <w:jc w:val="right"/>
              <w:rPr>
                <w:szCs w:val="26"/>
              </w:rPr>
            </w:pPr>
            <w:r w:rsidRPr="00F51E09">
              <w:rPr>
                <w:szCs w:val="26"/>
              </w:rPr>
              <w:t>12</w:t>
            </w:r>
          </w:p>
        </w:tc>
        <w:tc>
          <w:tcPr>
            <w:tcW w:w="1440" w:type="dxa"/>
            <w:tcBorders>
              <w:top w:val="single" w:sz="4" w:space="0" w:color="auto"/>
              <w:left w:val="single" w:sz="4" w:space="0" w:color="auto"/>
              <w:bottom w:val="single" w:sz="4" w:space="0" w:color="auto"/>
              <w:right w:val="single" w:sz="4" w:space="0" w:color="auto"/>
            </w:tcBorders>
          </w:tcPr>
          <w:p w:rsidR="00812F89" w:rsidRPr="00F51E09" w:rsidP="006446A9" w14:paraId="01DD7C4C" w14:textId="77777777">
            <w:pPr>
              <w:jc w:val="right"/>
              <w:rPr>
                <w:szCs w:val="26"/>
              </w:rPr>
            </w:pPr>
            <w:r w:rsidRPr="00F51E09">
              <w:rPr>
                <w:szCs w:val="26"/>
              </w:rPr>
              <w:t>60 hrs.</w:t>
            </w:r>
          </w:p>
          <w:p w:rsidR="00812F89" w:rsidRPr="00F51E09" w:rsidP="006446A9" w14:paraId="28F629E8" w14:textId="7632D110">
            <w:pPr>
              <w:jc w:val="right"/>
              <w:rPr>
                <w:szCs w:val="26"/>
              </w:rPr>
            </w:pPr>
            <w:r w:rsidRPr="00F51E09">
              <w:rPr>
                <w:szCs w:val="26"/>
              </w:rPr>
              <w:t>$4,</w:t>
            </w:r>
            <w:r w:rsidRPr="00F51E09" w:rsidR="00C4644C">
              <w:rPr>
                <w:szCs w:val="26"/>
              </w:rPr>
              <w:t>758.60</w:t>
            </w:r>
          </w:p>
        </w:tc>
        <w:tc>
          <w:tcPr>
            <w:tcW w:w="1875" w:type="dxa"/>
            <w:tcBorders>
              <w:top w:val="single" w:sz="4" w:space="0" w:color="auto"/>
              <w:left w:val="single" w:sz="4" w:space="0" w:color="auto"/>
              <w:bottom w:val="single" w:sz="4" w:space="0" w:color="auto"/>
              <w:right w:val="single" w:sz="4" w:space="0" w:color="auto"/>
            </w:tcBorders>
          </w:tcPr>
          <w:p w:rsidR="00812F89" w:rsidRPr="00F51E09" w:rsidP="006446A9" w14:paraId="06B268E7" w14:textId="77777777">
            <w:pPr>
              <w:jc w:val="right"/>
              <w:rPr>
                <w:szCs w:val="26"/>
              </w:rPr>
            </w:pPr>
            <w:r w:rsidRPr="00F51E09">
              <w:rPr>
                <w:szCs w:val="26"/>
              </w:rPr>
              <w:t>720 hrs.</w:t>
            </w:r>
          </w:p>
          <w:p w:rsidR="00812F89" w:rsidRPr="00F51E09" w:rsidP="006446A9" w14:paraId="056F1234" w14:textId="29DB97C3">
            <w:pPr>
              <w:jc w:val="right"/>
              <w:rPr>
                <w:szCs w:val="26"/>
              </w:rPr>
            </w:pPr>
            <w:r w:rsidRPr="00F51E09">
              <w:rPr>
                <w:szCs w:val="26"/>
              </w:rPr>
              <w:t>$5</w:t>
            </w:r>
            <w:r w:rsidRPr="00F51E09" w:rsidR="00076AF6">
              <w:rPr>
                <w:szCs w:val="26"/>
              </w:rPr>
              <w:t>7,103.20</w:t>
            </w:r>
          </w:p>
        </w:tc>
        <w:tc>
          <w:tcPr>
            <w:tcW w:w="1270" w:type="dxa"/>
            <w:gridSpan w:val="2"/>
            <w:tcBorders>
              <w:top w:val="single" w:sz="4" w:space="0" w:color="auto"/>
              <w:left w:val="single" w:sz="4" w:space="0" w:color="auto"/>
              <w:bottom w:val="single" w:sz="4" w:space="0" w:color="auto"/>
              <w:right w:val="single" w:sz="4" w:space="0" w:color="auto"/>
            </w:tcBorders>
          </w:tcPr>
          <w:p w:rsidR="00812F89" w:rsidRPr="00F51E09" w:rsidP="006446A9" w14:paraId="111A15C8" w14:textId="10D8F7BD">
            <w:pPr>
              <w:jc w:val="right"/>
              <w:rPr>
                <w:szCs w:val="26"/>
              </w:rPr>
            </w:pPr>
            <w:r w:rsidRPr="00F51E09">
              <w:rPr>
                <w:szCs w:val="26"/>
              </w:rPr>
              <w:t>$4,</w:t>
            </w:r>
            <w:r w:rsidRPr="00F51E09" w:rsidR="00076AF6">
              <w:rPr>
                <w:szCs w:val="26"/>
              </w:rPr>
              <w:t>758.60</w:t>
            </w:r>
          </w:p>
        </w:tc>
      </w:tr>
      <w:tr w14:paraId="7E123705" w14:textId="77777777" w:rsidTr="00C4644C">
        <w:tblPrEx>
          <w:tblW w:w="0" w:type="auto"/>
          <w:tblLayout w:type="fixed"/>
          <w:tblCellMar>
            <w:left w:w="115" w:type="dxa"/>
            <w:right w:w="115" w:type="dxa"/>
          </w:tblCellMar>
          <w:tblLook w:val="01E0"/>
        </w:tblPrEx>
        <w:trPr>
          <w:cantSplit/>
          <w:trHeight w:val="864"/>
        </w:trPr>
        <w:tc>
          <w:tcPr>
            <w:tcW w:w="1150" w:type="dxa"/>
            <w:vMerge/>
            <w:tcBorders>
              <w:left w:val="single" w:sz="4" w:space="0" w:color="auto"/>
              <w:right w:val="single" w:sz="4" w:space="0" w:color="auto"/>
            </w:tcBorders>
          </w:tcPr>
          <w:p w:rsidR="00812F89" w:rsidRPr="00F51E09" w:rsidP="006446A9" w14:paraId="2AD08F1C" w14:textId="77777777">
            <w:pPr>
              <w:rPr>
                <w:szCs w:val="26"/>
              </w:rPr>
            </w:pPr>
          </w:p>
        </w:tc>
        <w:tc>
          <w:tcPr>
            <w:tcW w:w="1394" w:type="dxa"/>
            <w:tcBorders>
              <w:top w:val="single" w:sz="4" w:space="0" w:color="auto"/>
              <w:left w:val="single" w:sz="4" w:space="0" w:color="auto"/>
              <w:bottom w:val="single" w:sz="4" w:space="0" w:color="auto"/>
              <w:right w:val="single" w:sz="4" w:space="0" w:color="auto"/>
            </w:tcBorders>
          </w:tcPr>
          <w:p w:rsidR="00812F89" w:rsidRPr="00F51E09" w:rsidP="006446A9" w14:paraId="1E0EE9BC" w14:textId="77777777">
            <w:pPr>
              <w:rPr>
                <w:szCs w:val="26"/>
              </w:rPr>
            </w:pPr>
            <w:r w:rsidRPr="00F51E09">
              <w:rPr>
                <w:szCs w:val="26"/>
              </w:rPr>
              <w:t xml:space="preserve">98 (BA) </w:t>
            </w:r>
          </w:p>
        </w:tc>
        <w:tc>
          <w:tcPr>
            <w:tcW w:w="1251" w:type="dxa"/>
            <w:tcBorders>
              <w:top w:val="single" w:sz="4" w:space="0" w:color="auto"/>
              <w:left w:val="single" w:sz="4" w:space="0" w:color="auto"/>
              <w:bottom w:val="single" w:sz="4" w:space="0" w:color="auto"/>
              <w:right w:val="single" w:sz="4" w:space="0" w:color="auto"/>
            </w:tcBorders>
          </w:tcPr>
          <w:p w:rsidR="00812F89" w:rsidRPr="00F51E09" w:rsidP="006446A9" w14:paraId="3D298C7E" w14:textId="77777777">
            <w:pPr>
              <w:jc w:val="right"/>
              <w:rPr>
                <w:szCs w:val="26"/>
              </w:rPr>
            </w:pPr>
            <w:r w:rsidRPr="00F51E09">
              <w:rPr>
                <w:szCs w:val="26"/>
              </w:rPr>
              <w:t>1</w:t>
            </w:r>
          </w:p>
        </w:tc>
        <w:tc>
          <w:tcPr>
            <w:tcW w:w="970" w:type="dxa"/>
            <w:tcBorders>
              <w:top w:val="single" w:sz="4" w:space="0" w:color="auto"/>
              <w:left w:val="single" w:sz="4" w:space="0" w:color="auto"/>
              <w:bottom w:val="single" w:sz="4" w:space="0" w:color="auto"/>
              <w:right w:val="single" w:sz="4" w:space="0" w:color="auto"/>
            </w:tcBorders>
          </w:tcPr>
          <w:p w:rsidR="00812F89" w:rsidRPr="00F51E09" w:rsidP="006446A9" w14:paraId="7DFF8447" w14:textId="77777777">
            <w:pPr>
              <w:jc w:val="right"/>
              <w:rPr>
                <w:szCs w:val="26"/>
              </w:rPr>
            </w:pPr>
            <w:r w:rsidRPr="00F51E09">
              <w:rPr>
                <w:szCs w:val="26"/>
              </w:rPr>
              <w:t>98</w:t>
            </w:r>
          </w:p>
        </w:tc>
        <w:tc>
          <w:tcPr>
            <w:tcW w:w="1440" w:type="dxa"/>
            <w:tcBorders>
              <w:top w:val="single" w:sz="4" w:space="0" w:color="auto"/>
              <w:left w:val="single" w:sz="4" w:space="0" w:color="auto"/>
              <w:bottom w:val="single" w:sz="4" w:space="0" w:color="auto"/>
              <w:right w:val="single" w:sz="4" w:space="0" w:color="auto"/>
            </w:tcBorders>
          </w:tcPr>
          <w:p w:rsidR="00812F89" w:rsidRPr="00F51E09" w:rsidP="006446A9" w14:paraId="4E829513" w14:textId="77777777">
            <w:pPr>
              <w:jc w:val="right"/>
              <w:rPr>
                <w:szCs w:val="26"/>
              </w:rPr>
            </w:pPr>
            <w:r w:rsidRPr="00F51E09">
              <w:rPr>
                <w:szCs w:val="26"/>
              </w:rPr>
              <w:t>60 hrs.</w:t>
            </w:r>
          </w:p>
          <w:p w:rsidR="00812F89" w:rsidRPr="00F51E09" w:rsidP="006446A9" w14:paraId="029DC85B" w14:textId="59AA82D6">
            <w:pPr>
              <w:jc w:val="right"/>
              <w:rPr>
                <w:szCs w:val="26"/>
              </w:rPr>
            </w:pPr>
            <w:r w:rsidRPr="00F51E09">
              <w:rPr>
                <w:szCs w:val="26"/>
              </w:rPr>
              <w:t>$4,</w:t>
            </w:r>
            <w:r w:rsidRPr="00F51E09" w:rsidR="00C4644C">
              <w:rPr>
                <w:szCs w:val="26"/>
              </w:rPr>
              <w:t>758.6</w:t>
            </w:r>
            <w:r w:rsidRPr="00F51E09">
              <w:rPr>
                <w:szCs w:val="26"/>
              </w:rPr>
              <w:t>0</w:t>
            </w:r>
          </w:p>
        </w:tc>
        <w:tc>
          <w:tcPr>
            <w:tcW w:w="1875" w:type="dxa"/>
            <w:tcBorders>
              <w:top w:val="single" w:sz="4" w:space="0" w:color="auto"/>
              <w:left w:val="single" w:sz="4" w:space="0" w:color="auto"/>
              <w:bottom w:val="single" w:sz="4" w:space="0" w:color="auto"/>
              <w:right w:val="single" w:sz="4" w:space="0" w:color="auto"/>
            </w:tcBorders>
          </w:tcPr>
          <w:p w:rsidR="00812F89" w:rsidRPr="00F51E09" w:rsidP="006446A9" w14:paraId="7A1C0559" w14:textId="77777777">
            <w:pPr>
              <w:jc w:val="right"/>
              <w:rPr>
                <w:szCs w:val="26"/>
              </w:rPr>
            </w:pPr>
            <w:r w:rsidRPr="00F51E09">
              <w:rPr>
                <w:szCs w:val="26"/>
              </w:rPr>
              <w:t>5,880 hrs.</w:t>
            </w:r>
          </w:p>
          <w:p w:rsidR="00812F89" w:rsidRPr="00F51E09" w:rsidP="006446A9" w14:paraId="200633AD" w14:textId="2F36ACC5">
            <w:pPr>
              <w:jc w:val="right"/>
              <w:rPr>
                <w:szCs w:val="26"/>
              </w:rPr>
            </w:pPr>
            <w:r w:rsidRPr="00F51E09">
              <w:rPr>
                <w:szCs w:val="26"/>
              </w:rPr>
              <w:t>$4</w:t>
            </w:r>
            <w:r w:rsidRPr="00F51E09" w:rsidR="00076AF6">
              <w:rPr>
                <w:szCs w:val="26"/>
              </w:rPr>
              <w:t>66,342.80</w:t>
            </w:r>
          </w:p>
        </w:tc>
        <w:tc>
          <w:tcPr>
            <w:tcW w:w="1270" w:type="dxa"/>
            <w:gridSpan w:val="2"/>
            <w:tcBorders>
              <w:top w:val="single" w:sz="4" w:space="0" w:color="auto"/>
              <w:left w:val="single" w:sz="4" w:space="0" w:color="auto"/>
              <w:bottom w:val="single" w:sz="4" w:space="0" w:color="auto"/>
              <w:right w:val="single" w:sz="4" w:space="0" w:color="auto"/>
            </w:tcBorders>
          </w:tcPr>
          <w:p w:rsidR="00812F89" w:rsidRPr="00F51E09" w:rsidP="006446A9" w14:paraId="28F9467F" w14:textId="0371CB72">
            <w:pPr>
              <w:jc w:val="right"/>
              <w:rPr>
                <w:szCs w:val="26"/>
              </w:rPr>
            </w:pPr>
            <w:r w:rsidRPr="00F51E09">
              <w:rPr>
                <w:szCs w:val="26"/>
              </w:rPr>
              <w:t>$4,</w:t>
            </w:r>
            <w:r w:rsidRPr="00F51E09" w:rsidR="00076AF6">
              <w:rPr>
                <w:szCs w:val="26"/>
              </w:rPr>
              <w:t>758.60</w:t>
            </w:r>
          </w:p>
        </w:tc>
      </w:tr>
      <w:tr w14:paraId="0978C80A" w14:textId="77777777" w:rsidTr="00C4644C">
        <w:tblPrEx>
          <w:tblW w:w="0" w:type="auto"/>
          <w:tblLayout w:type="fixed"/>
          <w:tblCellMar>
            <w:left w:w="115" w:type="dxa"/>
            <w:right w:w="115" w:type="dxa"/>
          </w:tblCellMar>
          <w:tblLook w:val="01E0"/>
        </w:tblPrEx>
        <w:trPr>
          <w:cantSplit/>
          <w:trHeight w:val="864"/>
        </w:trPr>
        <w:tc>
          <w:tcPr>
            <w:tcW w:w="1150" w:type="dxa"/>
            <w:vMerge/>
            <w:tcBorders>
              <w:left w:val="single" w:sz="4" w:space="0" w:color="auto"/>
              <w:right w:val="single" w:sz="4" w:space="0" w:color="auto"/>
            </w:tcBorders>
          </w:tcPr>
          <w:p w:rsidR="00812F89" w:rsidRPr="00F51E09" w:rsidP="006446A9" w14:paraId="1BD5C68F" w14:textId="77777777">
            <w:pPr>
              <w:rPr>
                <w:szCs w:val="26"/>
              </w:rPr>
            </w:pPr>
          </w:p>
        </w:tc>
        <w:tc>
          <w:tcPr>
            <w:tcW w:w="1394" w:type="dxa"/>
            <w:tcBorders>
              <w:top w:val="single" w:sz="4" w:space="0" w:color="auto"/>
              <w:left w:val="single" w:sz="4" w:space="0" w:color="auto"/>
              <w:bottom w:val="single" w:sz="4" w:space="0" w:color="auto"/>
              <w:right w:val="single" w:sz="4" w:space="0" w:color="auto"/>
            </w:tcBorders>
          </w:tcPr>
          <w:p w:rsidR="00812F89" w:rsidRPr="00F51E09" w:rsidP="006446A9" w14:paraId="732F2CA5" w14:textId="77777777">
            <w:pPr>
              <w:rPr>
                <w:szCs w:val="26"/>
              </w:rPr>
            </w:pPr>
            <w:r w:rsidRPr="00F51E09">
              <w:rPr>
                <w:szCs w:val="26"/>
              </w:rPr>
              <w:t>165 (TOP)</w:t>
            </w:r>
          </w:p>
        </w:tc>
        <w:tc>
          <w:tcPr>
            <w:tcW w:w="1251" w:type="dxa"/>
            <w:tcBorders>
              <w:top w:val="single" w:sz="4" w:space="0" w:color="auto"/>
              <w:left w:val="single" w:sz="4" w:space="0" w:color="auto"/>
              <w:bottom w:val="single" w:sz="4" w:space="0" w:color="auto"/>
              <w:right w:val="single" w:sz="4" w:space="0" w:color="auto"/>
            </w:tcBorders>
          </w:tcPr>
          <w:p w:rsidR="00812F89" w:rsidRPr="00F51E09" w:rsidP="006446A9" w14:paraId="73D0A7D4" w14:textId="77777777">
            <w:pPr>
              <w:jc w:val="right"/>
              <w:rPr>
                <w:szCs w:val="26"/>
              </w:rPr>
            </w:pPr>
            <w:r w:rsidRPr="00F51E09">
              <w:rPr>
                <w:szCs w:val="26"/>
              </w:rPr>
              <w:t>1</w:t>
            </w:r>
          </w:p>
        </w:tc>
        <w:tc>
          <w:tcPr>
            <w:tcW w:w="970" w:type="dxa"/>
            <w:tcBorders>
              <w:top w:val="single" w:sz="4" w:space="0" w:color="auto"/>
              <w:left w:val="single" w:sz="4" w:space="0" w:color="auto"/>
              <w:bottom w:val="single" w:sz="4" w:space="0" w:color="auto"/>
              <w:right w:val="single" w:sz="4" w:space="0" w:color="auto"/>
            </w:tcBorders>
          </w:tcPr>
          <w:p w:rsidR="00812F89" w:rsidRPr="00F51E09" w:rsidP="006446A9" w14:paraId="26C373D1" w14:textId="77777777">
            <w:pPr>
              <w:jc w:val="right"/>
              <w:rPr>
                <w:szCs w:val="26"/>
              </w:rPr>
            </w:pPr>
            <w:r w:rsidRPr="00F51E09">
              <w:rPr>
                <w:szCs w:val="26"/>
              </w:rPr>
              <w:t>165</w:t>
            </w:r>
          </w:p>
        </w:tc>
        <w:tc>
          <w:tcPr>
            <w:tcW w:w="1440" w:type="dxa"/>
            <w:tcBorders>
              <w:top w:val="single" w:sz="4" w:space="0" w:color="auto"/>
              <w:left w:val="single" w:sz="4" w:space="0" w:color="auto"/>
              <w:bottom w:val="single" w:sz="4" w:space="0" w:color="auto"/>
              <w:right w:val="single" w:sz="4" w:space="0" w:color="auto"/>
            </w:tcBorders>
          </w:tcPr>
          <w:p w:rsidR="00812F89" w:rsidRPr="00F51E09" w:rsidP="006446A9" w14:paraId="333EDFE2" w14:textId="77777777">
            <w:pPr>
              <w:jc w:val="right"/>
              <w:rPr>
                <w:szCs w:val="26"/>
              </w:rPr>
            </w:pPr>
            <w:r w:rsidRPr="00F51E09">
              <w:rPr>
                <w:szCs w:val="26"/>
              </w:rPr>
              <w:t>60 hrs.</w:t>
            </w:r>
          </w:p>
          <w:p w:rsidR="00812F89" w:rsidRPr="00F51E09" w:rsidP="006446A9" w14:paraId="0E1FBB78" w14:textId="2809B5AE">
            <w:pPr>
              <w:jc w:val="right"/>
              <w:rPr>
                <w:szCs w:val="26"/>
              </w:rPr>
            </w:pPr>
            <w:r w:rsidRPr="00F51E09">
              <w:rPr>
                <w:szCs w:val="26"/>
              </w:rPr>
              <w:t>$4,</w:t>
            </w:r>
            <w:r w:rsidRPr="00F51E09" w:rsidR="00C4644C">
              <w:rPr>
                <w:szCs w:val="26"/>
              </w:rPr>
              <w:t>758.6</w:t>
            </w:r>
            <w:r w:rsidRPr="00F51E09">
              <w:rPr>
                <w:szCs w:val="26"/>
              </w:rPr>
              <w:t>0</w:t>
            </w:r>
          </w:p>
        </w:tc>
        <w:tc>
          <w:tcPr>
            <w:tcW w:w="1875" w:type="dxa"/>
            <w:tcBorders>
              <w:top w:val="single" w:sz="4" w:space="0" w:color="auto"/>
              <w:left w:val="single" w:sz="4" w:space="0" w:color="auto"/>
              <w:bottom w:val="single" w:sz="4" w:space="0" w:color="auto"/>
              <w:right w:val="single" w:sz="4" w:space="0" w:color="auto"/>
            </w:tcBorders>
          </w:tcPr>
          <w:p w:rsidR="00812F89" w:rsidRPr="00F51E09" w:rsidP="006446A9" w14:paraId="7267A051" w14:textId="5B48A612">
            <w:pPr>
              <w:jc w:val="right"/>
              <w:rPr>
                <w:szCs w:val="26"/>
              </w:rPr>
            </w:pPr>
            <w:r w:rsidRPr="00F51E09">
              <w:rPr>
                <w:szCs w:val="26"/>
              </w:rPr>
              <w:t>9</w:t>
            </w:r>
            <w:r w:rsidRPr="00F51E09" w:rsidR="00910F82">
              <w:rPr>
                <w:szCs w:val="26"/>
              </w:rPr>
              <w:t>,</w:t>
            </w:r>
            <w:r w:rsidRPr="00F51E09">
              <w:rPr>
                <w:szCs w:val="26"/>
              </w:rPr>
              <w:t>900 hrs.</w:t>
            </w:r>
          </w:p>
          <w:p w:rsidR="00812F89" w:rsidRPr="00F51E09" w:rsidP="006446A9" w14:paraId="0C7E2656" w14:textId="317E160A">
            <w:pPr>
              <w:jc w:val="right"/>
              <w:rPr>
                <w:szCs w:val="26"/>
              </w:rPr>
            </w:pPr>
            <w:r w:rsidRPr="00F51E09">
              <w:rPr>
                <w:szCs w:val="26"/>
              </w:rPr>
              <w:t>$7</w:t>
            </w:r>
            <w:r w:rsidRPr="00F51E09" w:rsidR="00076AF6">
              <w:rPr>
                <w:szCs w:val="26"/>
              </w:rPr>
              <w:t>85,169</w:t>
            </w:r>
          </w:p>
        </w:tc>
        <w:tc>
          <w:tcPr>
            <w:tcW w:w="1270" w:type="dxa"/>
            <w:gridSpan w:val="2"/>
            <w:tcBorders>
              <w:top w:val="single" w:sz="4" w:space="0" w:color="auto"/>
              <w:left w:val="single" w:sz="4" w:space="0" w:color="auto"/>
              <w:bottom w:val="single" w:sz="4" w:space="0" w:color="auto"/>
              <w:right w:val="single" w:sz="4" w:space="0" w:color="auto"/>
            </w:tcBorders>
          </w:tcPr>
          <w:p w:rsidR="00812F89" w:rsidRPr="00F51E09" w:rsidP="006446A9" w14:paraId="5E915BBA" w14:textId="06C4E29A">
            <w:pPr>
              <w:jc w:val="right"/>
              <w:rPr>
                <w:szCs w:val="26"/>
              </w:rPr>
            </w:pPr>
            <w:r w:rsidRPr="00F51E09">
              <w:rPr>
                <w:szCs w:val="26"/>
              </w:rPr>
              <w:t>$4,</w:t>
            </w:r>
            <w:r w:rsidRPr="00F51E09" w:rsidR="00076AF6">
              <w:rPr>
                <w:szCs w:val="26"/>
              </w:rPr>
              <w:t>758.60</w:t>
            </w:r>
          </w:p>
        </w:tc>
      </w:tr>
      <w:tr w14:paraId="6586F227" w14:textId="77777777" w:rsidTr="00C4644C">
        <w:tblPrEx>
          <w:tblW w:w="0" w:type="auto"/>
          <w:tblLayout w:type="fixed"/>
          <w:tblCellMar>
            <w:left w:w="115" w:type="dxa"/>
            <w:right w:w="115" w:type="dxa"/>
          </w:tblCellMar>
          <w:tblLook w:val="01E0"/>
        </w:tblPrEx>
        <w:trPr>
          <w:cantSplit/>
          <w:trHeight w:val="864"/>
        </w:trPr>
        <w:tc>
          <w:tcPr>
            <w:tcW w:w="1150" w:type="dxa"/>
            <w:tcBorders>
              <w:left w:val="single" w:sz="4" w:space="0" w:color="auto"/>
              <w:right w:val="single" w:sz="4" w:space="0" w:color="auto"/>
            </w:tcBorders>
          </w:tcPr>
          <w:p w:rsidR="00812F89" w:rsidRPr="00F51E09" w:rsidP="006446A9" w14:paraId="799ED676" w14:textId="77777777">
            <w:pPr>
              <w:rPr>
                <w:szCs w:val="26"/>
              </w:rPr>
            </w:pPr>
            <w:r w:rsidRPr="00F51E09">
              <w:rPr>
                <w:szCs w:val="26"/>
              </w:rPr>
              <w:t>Record Retention</w:t>
            </w:r>
          </w:p>
        </w:tc>
        <w:tc>
          <w:tcPr>
            <w:tcW w:w="1394" w:type="dxa"/>
            <w:tcBorders>
              <w:top w:val="single" w:sz="4" w:space="0" w:color="auto"/>
              <w:left w:val="single" w:sz="4" w:space="0" w:color="auto"/>
              <w:bottom w:val="single" w:sz="4" w:space="0" w:color="auto"/>
              <w:right w:val="single" w:sz="4" w:space="0" w:color="auto"/>
            </w:tcBorders>
          </w:tcPr>
          <w:p w:rsidR="00812F89" w:rsidRPr="00F51E09" w:rsidP="006446A9" w14:paraId="5D965ADC" w14:textId="77777777">
            <w:pPr>
              <w:rPr>
                <w:szCs w:val="26"/>
              </w:rPr>
            </w:pPr>
            <w:r w:rsidRPr="00F51E09">
              <w:rPr>
                <w:szCs w:val="26"/>
              </w:rPr>
              <w:t>(RC, BA, TOP)</w:t>
            </w:r>
          </w:p>
          <w:p w:rsidR="00812F89" w:rsidRPr="00F51E09" w:rsidP="006446A9" w14:paraId="6C289CA2" w14:textId="77777777">
            <w:pPr>
              <w:rPr>
                <w:szCs w:val="26"/>
              </w:rPr>
            </w:pPr>
            <w:r w:rsidRPr="00F51E09">
              <w:rPr>
                <w:szCs w:val="26"/>
              </w:rPr>
              <w:t>275</w:t>
            </w:r>
          </w:p>
        </w:tc>
        <w:tc>
          <w:tcPr>
            <w:tcW w:w="1251" w:type="dxa"/>
            <w:tcBorders>
              <w:top w:val="single" w:sz="4" w:space="0" w:color="auto"/>
              <w:left w:val="single" w:sz="4" w:space="0" w:color="auto"/>
              <w:bottom w:val="single" w:sz="4" w:space="0" w:color="auto"/>
              <w:right w:val="single" w:sz="4" w:space="0" w:color="auto"/>
            </w:tcBorders>
          </w:tcPr>
          <w:p w:rsidR="00812F89" w:rsidRPr="00F51E09" w:rsidP="006446A9" w14:paraId="6D0DF693" w14:textId="77777777">
            <w:pPr>
              <w:jc w:val="right"/>
              <w:rPr>
                <w:szCs w:val="26"/>
              </w:rPr>
            </w:pPr>
            <w:r w:rsidRPr="00F51E09">
              <w:rPr>
                <w:szCs w:val="26"/>
              </w:rPr>
              <w:t>1</w:t>
            </w:r>
          </w:p>
        </w:tc>
        <w:tc>
          <w:tcPr>
            <w:tcW w:w="970" w:type="dxa"/>
            <w:tcBorders>
              <w:top w:val="single" w:sz="4" w:space="0" w:color="auto"/>
              <w:left w:val="single" w:sz="4" w:space="0" w:color="auto"/>
              <w:bottom w:val="single" w:sz="4" w:space="0" w:color="auto"/>
              <w:right w:val="single" w:sz="4" w:space="0" w:color="auto"/>
            </w:tcBorders>
          </w:tcPr>
          <w:p w:rsidR="00812F89" w:rsidRPr="00F51E09" w:rsidP="006446A9" w14:paraId="4BB94BD4" w14:textId="77777777">
            <w:pPr>
              <w:jc w:val="right"/>
              <w:rPr>
                <w:szCs w:val="26"/>
              </w:rPr>
            </w:pPr>
            <w:r w:rsidRPr="00F51E09">
              <w:rPr>
                <w:szCs w:val="26"/>
              </w:rPr>
              <w:t>275</w:t>
            </w:r>
          </w:p>
        </w:tc>
        <w:tc>
          <w:tcPr>
            <w:tcW w:w="1440" w:type="dxa"/>
            <w:tcBorders>
              <w:top w:val="single" w:sz="4" w:space="0" w:color="auto"/>
              <w:left w:val="single" w:sz="4" w:space="0" w:color="auto"/>
              <w:bottom w:val="single" w:sz="4" w:space="0" w:color="auto"/>
              <w:right w:val="single" w:sz="4" w:space="0" w:color="auto"/>
            </w:tcBorders>
          </w:tcPr>
          <w:p w:rsidR="00812F89" w:rsidRPr="00F51E09" w:rsidP="006446A9" w14:paraId="1E9EE98C" w14:textId="77777777">
            <w:pPr>
              <w:jc w:val="right"/>
              <w:rPr>
                <w:szCs w:val="26"/>
              </w:rPr>
            </w:pPr>
            <w:r w:rsidRPr="00F51E09">
              <w:rPr>
                <w:szCs w:val="26"/>
              </w:rPr>
              <w:t>60 hrs.</w:t>
            </w:r>
          </w:p>
          <w:p w:rsidR="00812F89" w:rsidRPr="00F51E09" w:rsidP="006446A9" w14:paraId="5172580E" w14:textId="6F473DEF">
            <w:pPr>
              <w:jc w:val="right"/>
              <w:rPr>
                <w:szCs w:val="26"/>
              </w:rPr>
            </w:pPr>
            <w:r w:rsidRPr="00F51E09">
              <w:rPr>
                <w:szCs w:val="26"/>
              </w:rPr>
              <w:t>$2,</w:t>
            </w:r>
            <w:r w:rsidRPr="00F51E09" w:rsidR="00C4644C">
              <w:rPr>
                <w:szCs w:val="26"/>
              </w:rPr>
              <w:t>915.40</w:t>
            </w:r>
          </w:p>
        </w:tc>
        <w:tc>
          <w:tcPr>
            <w:tcW w:w="1875" w:type="dxa"/>
            <w:tcBorders>
              <w:top w:val="single" w:sz="4" w:space="0" w:color="auto"/>
              <w:left w:val="single" w:sz="4" w:space="0" w:color="auto"/>
              <w:bottom w:val="single" w:sz="4" w:space="0" w:color="auto"/>
              <w:right w:val="single" w:sz="4" w:space="0" w:color="auto"/>
            </w:tcBorders>
          </w:tcPr>
          <w:p w:rsidR="00812F89" w:rsidRPr="00F51E09" w:rsidP="006446A9" w14:paraId="2AA8F3C5" w14:textId="77777777">
            <w:pPr>
              <w:jc w:val="right"/>
              <w:rPr>
                <w:szCs w:val="26"/>
              </w:rPr>
            </w:pPr>
            <w:r w:rsidRPr="00F51E09">
              <w:rPr>
                <w:szCs w:val="26"/>
              </w:rPr>
              <w:t>16,500 hrs.</w:t>
            </w:r>
          </w:p>
          <w:p w:rsidR="00812F89" w:rsidRPr="00F51E09" w:rsidP="006446A9" w14:paraId="2E9C8883" w14:textId="7AC6EC2F">
            <w:pPr>
              <w:jc w:val="right"/>
              <w:rPr>
                <w:szCs w:val="26"/>
              </w:rPr>
            </w:pPr>
            <w:r w:rsidRPr="00F51E09">
              <w:rPr>
                <w:szCs w:val="26"/>
              </w:rPr>
              <w:t>$</w:t>
            </w:r>
            <w:r w:rsidRPr="00F51E09" w:rsidR="00076AF6">
              <w:rPr>
                <w:szCs w:val="26"/>
              </w:rPr>
              <w:t>801,735</w:t>
            </w:r>
          </w:p>
        </w:tc>
        <w:tc>
          <w:tcPr>
            <w:tcW w:w="1270" w:type="dxa"/>
            <w:gridSpan w:val="2"/>
            <w:tcBorders>
              <w:top w:val="single" w:sz="4" w:space="0" w:color="auto"/>
              <w:left w:val="single" w:sz="4" w:space="0" w:color="auto"/>
              <w:bottom w:val="single" w:sz="4" w:space="0" w:color="auto"/>
              <w:right w:val="single" w:sz="4" w:space="0" w:color="auto"/>
            </w:tcBorders>
          </w:tcPr>
          <w:p w:rsidR="00812F89" w:rsidRPr="00F51E09" w:rsidP="006446A9" w14:paraId="462DC90E" w14:textId="547E6536">
            <w:pPr>
              <w:jc w:val="right"/>
              <w:rPr>
                <w:szCs w:val="26"/>
              </w:rPr>
            </w:pPr>
            <w:r w:rsidRPr="00F51E09">
              <w:rPr>
                <w:szCs w:val="26"/>
              </w:rPr>
              <w:t>$2,</w:t>
            </w:r>
            <w:r w:rsidRPr="00F51E09" w:rsidR="00076AF6">
              <w:rPr>
                <w:szCs w:val="26"/>
              </w:rPr>
              <w:t>915.40</w:t>
            </w:r>
          </w:p>
        </w:tc>
      </w:tr>
      <w:tr w14:paraId="64550292" w14:textId="77777777" w:rsidTr="00EC6744">
        <w:tblPrEx>
          <w:tblW w:w="0" w:type="auto"/>
          <w:tblLayout w:type="fixed"/>
          <w:tblCellMar>
            <w:left w:w="115" w:type="dxa"/>
            <w:right w:w="115" w:type="dxa"/>
          </w:tblCellMar>
          <w:tblLook w:val="01E0"/>
        </w:tblPrEx>
        <w:trPr>
          <w:cantSplit/>
          <w:trHeight w:val="864"/>
        </w:trPr>
        <w:tc>
          <w:tcPr>
            <w:tcW w:w="1150" w:type="dxa"/>
            <w:tcBorders>
              <w:top w:val="single" w:sz="4" w:space="0" w:color="auto"/>
              <w:left w:val="single" w:sz="4" w:space="0" w:color="auto"/>
              <w:right w:val="single" w:sz="4" w:space="0" w:color="auto"/>
            </w:tcBorders>
          </w:tcPr>
          <w:p w:rsidR="00812F89" w:rsidRPr="00F51E09" w:rsidP="006446A9" w14:paraId="0504BABB" w14:textId="77777777">
            <w:pPr>
              <w:rPr>
                <w:szCs w:val="26"/>
              </w:rPr>
            </w:pPr>
            <w:r w:rsidRPr="00F51E09">
              <w:rPr>
                <w:szCs w:val="26"/>
              </w:rPr>
              <w:t>TOTAL</w:t>
            </w:r>
          </w:p>
        </w:tc>
        <w:tc>
          <w:tcPr>
            <w:tcW w:w="50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2F89" w:rsidRPr="00F51E09" w:rsidP="006446A9" w14:paraId="217C5561" w14:textId="77777777">
            <w:pPr>
              <w:jc w:val="right"/>
              <w:rPr>
                <w:szCs w:val="26"/>
              </w:rPr>
            </w:pPr>
          </w:p>
        </w:tc>
        <w:tc>
          <w:tcPr>
            <w:tcW w:w="1890" w:type="dxa"/>
            <w:gridSpan w:val="2"/>
            <w:tcBorders>
              <w:top w:val="single" w:sz="4" w:space="0" w:color="auto"/>
              <w:left w:val="single" w:sz="4" w:space="0" w:color="auto"/>
              <w:bottom w:val="single" w:sz="4" w:space="0" w:color="auto"/>
              <w:right w:val="single" w:sz="4" w:space="0" w:color="auto"/>
            </w:tcBorders>
          </w:tcPr>
          <w:p w:rsidR="00812F89" w:rsidRPr="00F51E09" w:rsidP="006446A9" w14:paraId="39E41B9E" w14:textId="77777777">
            <w:pPr>
              <w:jc w:val="right"/>
              <w:rPr>
                <w:szCs w:val="26"/>
              </w:rPr>
            </w:pPr>
            <w:r w:rsidRPr="00F51E09">
              <w:rPr>
                <w:szCs w:val="26"/>
              </w:rPr>
              <w:t>33,000 hrs.</w:t>
            </w:r>
          </w:p>
          <w:p w:rsidR="00812F89" w:rsidRPr="00F51E09" w:rsidP="006446A9" w14:paraId="7F044AC5" w14:textId="4FCC45EB">
            <w:pPr>
              <w:jc w:val="right"/>
              <w:rPr>
                <w:szCs w:val="26"/>
              </w:rPr>
            </w:pPr>
            <w:r w:rsidRPr="00F51E09">
              <w:rPr>
                <w:szCs w:val="26"/>
              </w:rPr>
              <w:t>$2,</w:t>
            </w:r>
            <w:r w:rsidRPr="00F51E09" w:rsidR="00076AF6">
              <w:rPr>
                <w:szCs w:val="26"/>
              </w:rPr>
              <w:t>110,350</w:t>
            </w:r>
          </w:p>
        </w:tc>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2F89" w:rsidRPr="00F51E09" w:rsidP="006446A9" w14:paraId="62B5679E" w14:textId="77777777">
            <w:pPr>
              <w:jc w:val="right"/>
              <w:rPr>
                <w:szCs w:val="26"/>
              </w:rPr>
            </w:pPr>
          </w:p>
        </w:tc>
      </w:tr>
    </w:tbl>
    <w:p w:rsidR="00812F89" w:rsidRPr="00F51E09" w:rsidP="00AE1F12" w14:paraId="56688A32" w14:textId="77777777">
      <w:pPr>
        <w:spacing w:line="480" w:lineRule="auto"/>
        <w:rPr>
          <w:i/>
          <w:szCs w:val="26"/>
        </w:rPr>
      </w:pPr>
    </w:p>
    <w:p w:rsidR="00812F89" w:rsidRPr="00F51E09" w:rsidP="00AE1F12" w14:paraId="1D1F80DB" w14:textId="08D3F3F8">
      <w:pPr>
        <w:spacing w:line="480" w:lineRule="auto"/>
        <w:rPr>
          <w:i/>
          <w:szCs w:val="26"/>
        </w:rPr>
      </w:pPr>
      <w:r w:rsidRPr="00F51E09">
        <w:rPr>
          <w:i/>
          <w:szCs w:val="26"/>
        </w:rPr>
        <w:t>Third table to show differen</w:t>
      </w:r>
      <w:r w:rsidRPr="00F51E09" w:rsidR="006A0244">
        <w:rPr>
          <w:i/>
          <w:szCs w:val="26"/>
        </w:rPr>
        <w:t>t</w:t>
      </w:r>
      <w:r w:rsidRPr="00F51E09">
        <w:rPr>
          <w:i/>
          <w:szCs w:val="26"/>
        </w:rPr>
        <w:t xml:space="preserve"> from table 1 minus table 2</w:t>
      </w:r>
    </w:p>
    <w:tbl>
      <w:tblPr>
        <w:tblStyle w:val="TableGrid"/>
        <w:tblW w:w="5000" w:type="pct"/>
        <w:tblInd w:w="0" w:type="dxa"/>
        <w:tblLook w:val="04A0"/>
      </w:tblPr>
      <w:tblGrid>
        <w:gridCol w:w="1675"/>
        <w:gridCol w:w="1239"/>
        <w:gridCol w:w="1467"/>
        <w:gridCol w:w="1408"/>
        <w:gridCol w:w="1720"/>
        <w:gridCol w:w="1841"/>
      </w:tblGrid>
      <w:tr w14:paraId="7D8B346A" w14:textId="77777777" w:rsidTr="00CD4C3E">
        <w:tblPrEx>
          <w:tblW w:w="5000" w:type="pct"/>
          <w:tblInd w:w="0" w:type="dxa"/>
          <w:tblLook w:val="04A0"/>
        </w:tblPrEx>
        <w:tc>
          <w:tcPr>
            <w:tcW w:w="8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D4C3E" w:rsidRPr="00F51E09" w:rsidP="00CD4C3E" w14:paraId="60BD6181" w14:textId="77777777">
            <w:pPr>
              <w:rPr>
                <w:rFonts w:eastAsia="Calibri"/>
                <w:b/>
                <w:iCs/>
                <w:szCs w:val="26"/>
              </w:rPr>
            </w:pPr>
            <w:r w:rsidRPr="00F51E09">
              <w:rPr>
                <w:rFonts w:eastAsia="Calibri"/>
                <w:b/>
                <w:iCs/>
                <w:szCs w:val="26"/>
              </w:rPr>
              <w:t>Reliability Standard &amp; Requirement</w:t>
            </w:r>
          </w:p>
        </w:tc>
        <w:tc>
          <w:tcPr>
            <w:tcW w:w="64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D4C3E" w:rsidRPr="00F51E09" w:rsidP="00CD4C3E" w14:paraId="5C528986" w14:textId="77777777">
            <w:pPr>
              <w:rPr>
                <w:rFonts w:eastAsia="Calibri"/>
                <w:b/>
                <w:iCs/>
                <w:szCs w:val="26"/>
              </w:rPr>
            </w:pPr>
            <w:r w:rsidRPr="00F51E09">
              <w:rPr>
                <w:rFonts w:eastAsia="Calibri"/>
                <w:b/>
                <w:iCs/>
                <w:szCs w:val="26"/>
              </w:rPr>
              <w:t>Number of Entities</w:t>
            </w:r>
            <w:r>
              <w:rPr>
                <w:rFonts w:eastAsia="Calibri"/>
                <w:b/>
                <w:iCs/>
                <w:szCs w:val="26"/>
                <w:vertAlign w:val="superscript"/>
              </w:rPr>
              <w:footnoteReference w:id="12"/>
            </w:r>
          </w:p>
          <w:p w:rsidR="00CD4C3E" w:rsidRPr="00F51E09" w:rsidP="00CD4C3E" w14:paraId="6572B697" w14:textId="77777777">
            <w:pPr>
              <w:rPr>
                <w:rFonts w:eastAsia="Calibri"/>
                <w:b/>
                <w:iCs/>
                <w:szCs w:val="26"/>
              </w:rPr>
            </w:pPr>
            <w:r w:rsidRPr="00F51E09">
              <w:rPr>
                <w:rFonts w:eastAsia="Calibri"/>
                <w:iCs/>
                <w:szCs w:val="26"/>
              </w:rPr>
              <w:t>(1)</w:t>
            </w:r>
          </w:p>
        </w:tc>
        <w:tc>
          <w:tcPr>
            <w:tcW w:w="81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D4C3E" w:rsidRPr="00F51E09" w:rsidP="00CD4C3E" w14:paraId="7CD3A1AF" w14:textId="77777777">
            <w:pPr>
              <w:rPr>
                <w:rFonts w:eastAsia="Calibri"/>
                <w:b/>
                <w:iCs/>
                <w:szCs w:val="26"/>
              </w:rPr>
            </w:pPr>
            <w:r w:rsidRPr="00F51E09">
              <w:rPr>
                <w:rFonts w:eastAsia="Calibri"/>
                <w:b/>
                <w:iCs/>
                <w:szCs w:val="26"/>
              </w:rPr>
              <w:t>Number of Annual Responses Per Entity</w:t>
            </w:r>
          </w:p>
          <w:p w:rsidR="00CD4C3E" w:rsidRPr="00F51E09" w:rsidP="00CD4C3E" w14:paraId="5DEEA6D1" w14:textId="77777777">
            <w:pPr>
              <w:rPr>
                <w:rFonts w:eastAsia="Calibri"/>
                <w:b/>
                <w:iCs/>
                <w:szCs w:val="26"/>
              </w:rPr>
            </w:pPr>
            <w:r w:rsidRPr="00F51E09">
              <w:rPr>
                <w:rFonts w:eastAsia="Calibri"/>
                <w:b/>
                <w:iCs/>
                <w:szCs w:val="26"/>
              </w:rPr>
              <w:t>(</w:t>
            </w:r>
            <w:r w:rsidRPr="00F51E09">
              <w:rPr>
                <w:rFonts w:eastAsia="Calibri"/>
                <w:iCs/>
                <w:szCs w:val="26"/>
              </w:rPr>
              <w:t>2)</w:t>
            </w:r>
          </w:p>
        </w:tc>
        <w:tc>
          <w:tcPr>
            <w:tcW w:w="77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D4C3E" w:rsidRPr="00F51E09" w:rsidP="00CD4C3E" w14:paraId="27827DAA" w14:textId="77777777">
            <w:pPr>
              <w:rPr>
                <w:rFonts w:eastAsia="Calibri"/>
                <w:b/>
                <w:iCs/>
                <w:szCs w:val="26"/>
              </w:rPr>
            </w:pPr>
            <w:r w:rsidRPr="00F51E09">
              <w:rPr>
                <w:rFonts w:eastAsia="Calibri"/>
                <w:b/>
                <w:iCs/>
                <w:szCs w:val="26"/>
              </w:rPr>
              <w:t>Total Number of Responses</w:t>
            </w:r>
          </w:p>
          <w:p w:rsidR="00CD4C3E" w:rsidRPr="00F51E09" w:rsidP="00CD4C3E" w14:paraId="541B9F26" w14:textId="77777777">
            <w:pPr>
              <w:rPr>
                <w:rFonts w:eastAsia="Calibri"/>
                <w:b/>
                <w:iCs/>
                <w:szCs w:val="26"/>
              </w:rPr>
            </w:pPr>
            <w:r w:rsidRPr="00F51E09">
              <w:rPr>
                <w:rFonts w:eastAsia="Calibri"/>
                <w:b/>
                <w:iCs/>
                <w:szCs w:val="26"/>
              </w:rPr>
              <w:t>(1) *(2) = (3)</w:t>
            </w:r>
          </w:p>
        </w:tc>
        <w:tc>
          <w:tcPr>
            <w:tcW w:w="9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D4C3E" w:rsidRPr="00F51E09" w:rsidP="00CD4C3E" w14:paraId="42B55E14" w14:textId="77777777">
            <w:pPr>
              <w:rPr>
                <w:rFonts w:eastAsia="Calibri"/>
                <w:b/>
                <w:iCs/>
                <w:szCs w:val="26"/>
              </w:rPr>
            </w:pPr>
            <w:r w:rsidRPr="00F51E09">
              <w:rPr>
                <w:rFonts w:eastAsia="Calibri"/>
                <w:b/>
                <w:iCs/>
                <w:szCs w:val="26"/>
              </w:rPr>
              <w:t>Average Number of Burden Hours per Response</w:t>
            </w:r>
          </w:p>
          <w:p w:rsidR="00CD4C3E" w:rsidRPr="00F51E09" w:rsidP="00CD4C3E" w14:paraId="42E706F9" w14:textId="77433C7E">
            <w:pPr>
              <w:rPr>
                <w:rFonts w:eastAsia="Calibri"/>
                <w:b/>
                <w:iCs/>
                <w:szCs w:val="26"/>
              </w:rPr>
            </w:pPr>
            <w:r w:rsidRPr="00F51E09">
              <w:rPr>
                <w:rFonts w:eastAsia="Calibri"/>
                <w:b/>
                <w:iCs/>
                <w:szCs w:val="26"/>
              </w:rPr>
              <w:t xml:space="preserve">(4) </w:t>
            </w:r>
            <w:r>
              <w:rPr>
                <w:rFonts w:eastAsia="Calibri"/>
                <w:b/>
                <w:iCs/>
                <w:szCs w:val="26"/>
              </w:rPr>
              <w:footnoteReference w:id="13"/>
            </w:r>
          </w:p>
        </w:tc>
        <w:tc>
          <w:tcPr>
            <w:tcW w:w="9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D4C3E" w:rsidRPr="00F51E09" w:rsidP="00CD4C3E" w14:paraId="340352E7" w14:textId="77777777">
            <w:pPr>
              <w:rPr>
                <w:rFonts w:eastAsia="Calibri"/>
                <w:b/>
                <w:iCs/>
                <w:szCs w:val="26"/>
              </w:rPr>
            </w:pPr>
            <w:r w:rsidRPr="00F51E09">
              <w:rPr>
                <w:rFonts w:eastAsia="Calibri"/>
                <w:b/>
                <w:iCs/>
                <w:szCs w:val="26"/>
              </w:rPr>
              <w:t>Total Burden Hours</w:t>
            </w:r>
          </w:p>
          <w:p w:rsidR="00CD4C3E" w:rsidRPr="00F51E09" w:rsidP="00CD4C3E" w14:paraId="7E903697" w14:textId="77777777">
            <w:pPr>
              <w:rPr>
                <w:rFonts w:eastAsia="Calibri"/>
                <w:b/>
                <w:iCs/>
                <w:szCs w:val="26"/>
              </w:rPr>
            </w:pPr>
            <w:r w:rsidRPr="00F51E09">
              <w:rPr>
                <w:rFonts w:eastAsia="Calibri"/>
                <w:b/>
                <w:iCs/>
                <w:szCs w:val="26"/>
              </w:rPr>
              <w:t>(3) *(4) = (5)</w:t>
            </w:r>
          </w:p>
        </w:tc>
      </w:tr>
      <w:tr w14:paraId="61DC461F" w14:textId="77777777" w:rsidTr="00CD4C3E">
        <w:tblPrEx>
          <w:tblW w:w="5000" w:type="pct"/>
          <w:tblInd w:w="0" w:type="dxa"/>
          <w:tblLook w:val="04A0"/>
        </w:tblPrEx>
        <w:trPr>
          <w:trHeight w:val="377"/>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hideMark/>
          </w:tcPr>
          <w:p w:rsidR="00CD4C3E" w:rsidRPr="00F51E09" w:rsidP="00CD4C3E" w14:paraId="6066C68F" w14:textId="77777777">
            <w:pPr>
              <w:rPr>
                <w:rFonts w:eastAsia="Calibri"/>
                <w:b/>
                <w:iCs/>
                <w:szCs w:val="26"/>
              </w:rPr>
            </w:pPr>
            <w:r w:rsidRPr="00F51E09">
              <w:rPr>
                <w:rFonts w:eastAsia="Calibri"/>
                <w:b/>
                <w:iCs/>
                <w:szCs w:val="26"/>
              </w:rPr>
              <w:t>FERC-725A</w:t>
            </w:r>
          </w:p>
        </w:tc>
      </w:tr>
      <w:tr w14:paraId="60EEA805" w14:textId="77777777" w:rsidTr="006446A9">
        <w:tblPrEx>
          <w:tblW w:w="5000" w:type="pct"/>
          <w:tblInd w:w="0" w:type="dxa"/>
          <w:tblLook w:val="04A0"/>
        </w:tblPrEx>
        <w:tc>
          <w:tcPr>
            <w:tcW w:w="896" w:type="pct"/>
            <w:tcBorders>
              <w:top w:val="single" w:sz="4" w:space="0" w:color="auto"/>
              <w:left w:val="single" w:sz="4" w:space="0" w:color="auto"/>
              <w:bottom w:val="single" w:sz="4" w:space="0" w:color="auto"/>
              <w:right w:val="single" w:sz="4" w:space="0" w:color="auto"/>
            </w:tcBorders>
            <w:hideMark/>
          </w:tcPr>
          <w:p w:rsidR="00CD4C3E" w:rsidRPr="00F51E09" w:rsidP="00CD4C3E" w14:paraId="5A7AFBDC" w14:textId="77777777">
            <w:pPr>
              <w:rPr>
                <w:rFonts w:eastAsia="Calibri"/>
                <w:iCs/>
                <w:szCs w:val="26"/>
              </w:rPr>
            </w:pPr>
            <w:r w:rsidRPr="00F51E09">
              <w:rPr>
                <w:rFonts w:eastAsia="Calibri"/>
                <w:iCs/>
                <w:szCs w:val="26"/>
              </w:rPr>
              <w:t>Mandatory Reliability Standards for Bulk Power System</w:t>
            </w:r>
          </w:p>
        </w:tc>
        <w:tc>
          <w:tcPr>
            <w:tcW w:w="642" w:type="pct"/>
            <w:tcBorders>
              <w:top w:val="single" w:sz="4" w:space="0" w:color="auto"/>
              <w:left w:val="single" w:sz="4" w:space="0" w:color="auto"/>
              <w:bottom w:val="single" w:sz="4" w:space="0" w:color="auto"/>
              <w:right w:val="single" w:sz="4" w:space="0" w:color="auto"/>
            </w:tcBorders>
            <w:vAlign w:val="center"/>
            <w:hideMark/>
          </w:tcPr>
          <w:p w:rsidR="00CD4C3E" w:rsidRPr="00F51E09" w:rsidP="00CD4C3E" w14:paraId="3B1D16A4" w14:textId="77777777">
            <w:pPr>
              <w:rPr>
                <w:rFonts w:eastAsia="Calibri"/>
                <w:iCs/>
                <w:szCs w:val="26"/>
              </w:rPr>
            </w:pPr>
            <w:r w:rsidRPr="00F51E09">
              <w:rPr>
                <w:rFonts w:eastAsia="Calibri"/>
                <w:iCs/>
                <w:szCs w:val="26"/>
              </w:rPr>
              <w:t>3,711</w:t>
            </w:r>
          </w:p>
        </w:tc>
        <w:tc>
          <w:tcPr>
            <w:tcW w:w="818" w:type="pct"/>
            <w:tcBorders>
              <w:top w:val="single" w:sz="4" w:space="0" w:color="auto"/>
              <w:left w:val="single" w:sz="4" w:space="0" w:color="auto"/>
              <w:bottom w:val="single" w:sz="4" w:space="0" w:color="auto"/>
              <w:right w:val="single" w:sz="4" w:space="0" w:color="auto"/>
            </w:tcBorders>
            <w:vAlign w:val="center"/>
            <w:hideMark/>
          </w:tcPr>
          <w:p w:rsidR="00CD4C3E" w:rsidRPr="00F51E09" w:rsidP="00CD4C3E" w14:paraId="65FA64BF" w14:textId="77777777">
            <w:pPr>
              <w:rPr>
                <w:rFonts w:eastAsia="Calibri"/>
                <w:iCs/>
                <w:szCs w:val="26"/>
              </w:rPr>
            </w:pPr>
            <w:r w:rsidRPr="00F51E09">
              <w:rPr>
                <w:rFonts w:eastAsia="Calibri"/>
                <w:iCs/>
                <w:szCs w:val="26"/>
              </w:rPr>
              <w:t>1</w:t>
            </w:r>
          </w:p>
        </w:tc>
        <w:tc>
          <w:tcPr>
            <w:tcW w:w="770" w:type="pct"/>
            <w:tcBorders>
              <w:top w:val="single" w:sz="4" w:space="0" w:color="auto"/>
              <w:left w:val="single" w:sz="4" w:space="0" w:color="auto"/>
              <w:bottom w:val="single" w:sz="4" w:space="0" w:color="auto"/>
              <w:right w:val="single" w:sz="4" w:space="0" w:color="auto"/>
            </w:tcBorders>
            <w:vAlign w:val="center"/>
            <w:hideMark/>
          </w:tcPr>
          <w:p w:rsidR="00CD4C3E" w:rsidRPr="00F51E09" w:rsidP="00CD4C3E" w14:paraId="51F7E50D" w14:textId="77777777">
            <w:pPr>
              <w:rPr>
                <w:rFonts w:eastAsia="Calibri"/>
                <w:iCs/>
                <w:szCs w:val="26"/>
              </w:rPr>
            </w:pPr>
            <w:r w:rsidRPr="00F51E09">
              <w:rPr>
                <w:rFonts w:eastAsia="Calibri"/>
                <w:iCs/>
                <w:szCs w:val="26"/>
              </w:rPr>
              <w:t>3,711</w:t>
            </w:r>
          </w:p>
        </w:tc>
        <w:tc>
          <w:tcPr>
            <w:tcW w:w="937" w:type="pct"/>
            <w:tcBorders>
              <w:top w:val="single" w:sz="4" w:space="0" w:color="auto"/>
              <w:left w:val="single" w:sz="4" w:space="0" w:color="auto"/>
              <w:bottom w:val="single" w:sz="4" w:space="0" w:color="auto"/>
              <w:right w:val="single" w:sz="4" w:space="0" w:color="auto"/>
            </w:tcBorders>
            <w:vAlign w:val="center"/>
          </w:tcPr>
          <w:p w:rsidR="006A0244" w:rsidRPr="00F51E09" w:rsidP="006A0244" w14:paraId="5EB5A1BF" w14:textId="34DCBD83">
            <w:pPr>
              <w:jc w:val="center"/>
              <w:rPr>
                <w:szCs w:val="26"/>
              </w:rPr>
            </w:pPr>
            <w:r w:rsidRPr="00F51E09">
              <w:rPr>
                <w:szCs w:val="26"/>
              </w:rPr>
              <w:t>379.21 hrs.</w:t>
            </w:r>
          </w:p>
          <w:p w:rsidR="00CD4C3E" w:rsidRPr="00F51E09" w:rsidP="006A0244" w14:paraId="5FA60AA4" w14:textId="7CF63582">
            <w:pPr>
              <w:jc w:val="center"/>
              <w:rPr>
                <w:rFonts w:eastAsia="Calibri"/>
                <w:iCs/>
                <w:szCs w:val="26"/>
              </w:rPr>
            </w:pPr>
            <w:r w:rsidRPr="00F51E09">
              <w:rPr>
                <w:szCs w:val="26"/>
              </w:rPr>
              <w:t>$2</w:t>
            </w:r>
            <w:r w:rsidRPr="00F51E09" w:rsidR="001D749D">
              <w:rPr>
                <w:szCs w:val="26"/>
              </w:rPr>
              <w:t>6,798.77</w:t>
            </w:r>
          </w:p>
        </w:tc>
        <w:tc>
          <w:tcPr>
            <w:tcW w:w="937" w:type="pct"/>
            <w:tcBorders>
              <w:top w:val="single" w:sz="4" w:space="0" w:color="auto"/>
              <w:left w:val="single" w:sz="4" w:space="0" w:color="auto"/>
              <w:bottom w:val="single" w:sz="4" w:space="0" w:color="auto"/>
              <w:right w:val="single" w:sz="4" w:space="0" w:color="auto"/>
            </w:tcBorders>
            <w:vAlign w:val="center"/>
            <w:hideMark/>
          </w:tcPr>
          <w:p w:rsidR="006A0244" w:rsidRPr="00F51E09" w:rsidP="006A0244" w14:paraId="6E0C0C0A" w14:textId="77777777">
            <w:pPr>
              <w:jc w:val="right"/>
              <w:rPr>
                <w:szCs w:val="26"/>
              </w:rPr>
            </w:pPr>
            <w:r w:rsidRPr="00F51E09">
              <w:rPr>
                <w:szCs w:val="26"/>
              </w:rPr>
              <w:t>1,407,238 hrs.</w:t>
            </w:r>
          </w:p>
          <w:p w:rsidR="00CD4C3E" w:rsidRPr="00F51E09" w:rsidP="006A0244" w14:paraId="2F40B864" w14:textId="7FFA35E9">
            <w:pPr>
              <w:rPr>
                <w:rFonts w:eastAsia="Calibri"/>
                <w:iCs/>
                <w:szCs w:val="26"/>
              </w:rPr>
            </w:pPr>
            <w:r w:rsidRPr="00F51E09">
              <w:rPr>
                <w:szCs w:val="26"/>
              </w:rPr>
              <w:t>$9</w:t>
            </w:r>
            <w:r w:rsidRPr="00F51E09" w:rsidR="001D749D">
              <w:rPr>
                <w:szCs w:val="26"/>
              </w:rPr>
              <w:t>9,449,509.46</w:t>
            </w:r>
          </w:p>
        </w:tc>
      </w:tr>
      <w:tr w14:paraId="07A5D589" w14:textId="77777777" w:rsidTr="006446A9">
        <w:tblPrEx>
          <w:tblW w:w="5000" w:type="pct"/>
          <w:tblInd w:w="0" w:type="dxa"/>
          <w:tblLook w:val="04A0"/>
        </w:tblPrEx>
        <w:tc>
          <w:tcPr>
            <w:tcW w:w="896" w:type="pct"/>
            <w:tcBorders>
              <w:top w:val="single" w:sz="4" w:space="0" w:color="auto"/>
              <w:left w:val="single" w:sz="4" w:space="0" w:color="auto"/>
              <w:bottom w:val="single" w:sz="4" w:space="0" w:color="auto"/>
              <w:right w:val="single" w:sz="4" w:space="0" w:color="auto"/>
            </w:tcBorders>
          </w:tcPr>
          <w:p w:rsidR="00CD4C3E" w:rsidRPr="00F51E09" w:rsidP="00CD4C3E" w14:paraId="3EB0C3E6" w14:textId="77777777">
            <w:pPr>
              <w:rPr>
                <w:rFonts w:eastAsia="Calibri"/>
                <w:iCs/>
                <w:szCs w:val="26"/>
              </w:rPr>
            </w:pPr>
            <w:r w:rsidRPr="00F51E09">
              <w:rPr>
                <w:rFonts w:eastAsia="Calibri"/>
                <w:b/>
                <w:iCs/>
                <w:szCs w:val="26"/>
              </w:rPr>
              <w:t>PER-003-2 Net Changes</w:t>
            </w:r>
          </w:p>
        </w:tc>
        <w:tc>
          <w:tcPr>
            <w:tcW w:w="642" w:type="pct"/>
            <w:tcBorders>
              <w:top w:val="single" w:sz="4" w:space="0" w:color="auto"/>
              <w:left w:val="single" w:sz="4" w:space="0" w:color="auto"/>
              <w:bottom w:val="single" w:sz="4" w:space="0" w:color="auto"/>
              <w:right w:val="single" w:sz="4" w:space="0" w:color="auto"/>
            </w:tcBorders>
            <w:vAlign w:val="center"/>
          </w:tcPr>
          <w:p w:rsidR="00CD4C3E" w:rsidRPr="00F51E09" w:rsidP="00CD4C3E" w14:paraId="1E58209B" w14:textId="77777777">
            <w:pPr>
              <w:rPr>
                <w:rFonts w:eastAsia="Calibri"/>
                <w:iCs/>
                <w:szCs w:val="26"/>
              </w:rPr>
            </w:pPr>
            <w:r w:rsidRPr="00F51E09">
              <w:rPr>
                <w:rFonts w:eastAsia="Calibri"/>
                <w:iCs/>
                <w:szCs w:val="26"/>
              </w:rPr>
              <w:t>550</w:t>
            </w:r>
          </w:p>
          <w:p w:rsidR="00CD4C3E" w:rsidRPr="00F51E09" w:rsidP="00CD4C3E" w14:paraId="35E789D0" w14:textId="77777777">
            <w:pPr>
              <w:rPr>
                <w:rFonts w:eastAsia="Calibri"/>
                <w:iCs/>
                <w:szCs w:val="26"/>
              </w:rPr>
            </w:pPr>
            <w:r w:rsidRPr="00F51E09">
              <w:rPr>
                <w:rFonts w:eastAsia="Calibri"/>
                <w:iCs/>
                <w:szCs w:val="26"/>
              </w:rPr>
              <w:t>(No change)</w:t>
            </w:r>
          </w:p>
        </w:tc>
        <w:tc>
          <w:tcPr>
            <w:tcW w:w="818" w:type="pct"/>
            <w:tcBorders>
              <w:top w:val="single" w:sz="4" w:space="0" w:color="auto"/>
              <w:left w:val="single" w:sz="4" w:space="0" w:color="auto"/>
              <w:bottom w:val="single" w:sz="4" w:space="0" w:color="auto"/>
              <w:right w:val="single" w:sz="4" w:space="0" w:color="auto"/>
            </w:tcBorders>
            <w:vAlign w:val="center"/>
          </w:tcPr>
          <w:p w:rsidR="00CD4C3E" w:rsidRPr="00F51E09" w:rsidP="00CD4C3E" w14:paraId="0E9ED08D" w14:textId="77777777">
            <w:pPr>
              <w:rPr>
                <w:rFonts w:eastAsia="Calibri"/>
                <w:iCs/>
                <w:szCs w:val="26"/>
              </w:rPr>
            </w:pPr>
            <w:r w:rsidRPr="00F51E09">
              <w:rPr>
                <w:rFonts w:eastAsia="Calibri"/>
                <w:iCs/>
                <w:szCs w:val="26"/>
              </w:rPr>
              <w:t>1</w:t>
            </w:r>
          </w:p>
        </w:tc>
        <w:tc>
          <w:tcPr>
            <w:tcW w:w="770" w:type="pct"/>
            <w:tcBorders>
              <w:top w:val="single" w:sz="4" w:space="0" w:color="auto"/>
              <w:left w:val="single" w:sz="4" w:space="0" w:color="auto"/>
              <w:bottom w:val="single" w:sz="4" w:space="0" w:color="auto"/>
              <w:right w:val="single" w:sz="4" w:space="0" w:color="auto"/>
            </w:tcBorders>
            <w:vAlign w:val="center"/>
          </w:tcPr>
          <w:p w:rsidR="00CD4C3E" w:rsidRPr="00F51E09" w:rsidP="00CD4C3E" w14:paraId="7DB3587B" w14:textId="77777777">
            <w:pPr>
              <w:rPr>
                <w:rFonts w:eastAsia="Calibri"/>
                <w:iCs/>
                <w:szCs w:val="26"/>
              </w:rPr>
            </w:pPr>
            <w:r w:rsidRPr="00F51E09">
              <w:rPr>
                <w:rFonts w:eastAsia="Calibri"/>
                <w:iCs/>
                <w:szCs w:val="26"/>
              </w:rPr>
              <w:t>550</w:t>
            </w:r>
          </w:p>
          <w:p w:rsidR="00CD4C3E" w:rsidRPr="00F51E09" w:rsidP="00CD4C3E" w14:paraId="64566DC7" w14:textId="77777777">
            <w:pPr>
              <w:rPr>
                <w:rFonts w:eastAsia="Calibri"/>
                <w:iCs/>
                <w:szCs w:val="26"/>
              </w:rPr>
            </w:pPr>
            <w:r w:rsidRPr="00F51E09">
              <w:rPr>
                <w:rFonts w:eastAsia="Calibri"/>
                <w:iCs/>
                <w:szCs w:val="26"/>
              </w:rPr>
              <w:t>(No Change)</w:t>
            </w:r>
          </w:p>
        </w:tc>
        <w:tc>
          <w:tcPr>
            <w:tcW w:w="937" w:type="pct"/>
            <w:tcBorders>
              <w:top w:val="single" w:sz="4" w:space="0" w:color="auto"/>
              <w:left w:val="single" w:sz="4" w:space="0" w:color="auto"/>
              <w:bottom w:val="single" w:sz="4" w:space="0" w:color="auto"/>
              <w:right w:val="single" w:sz="4" w:space="0" w:color="auto"/>
            </w:tcBorders>
            <w:vAlign w:val="center"/>
          </w:tcPr>
          <w:p w:rsidR="00CD4C3E" w:rsidRPr="00F51E09" w:rsidP="00CD4C3E" w14:paraId="62BE5850" w14:textId="77777777">
            <w:pPr>
              <w:rPr>
                <w:rFonts w:eastAsia="Calibri"/>
                <w:iCs/>
                <w:szCs w:val="26"/>
              </w:rPr>
            </w:pPr>
            <w:r w:rsidRPr="00F51E09">
              <w:rPr>
                <w:rFonts w:eastAsia="Calibri"/>
                <w:iCs/>
                <w:szCs w:val="26"/>
              </w:rPr>
              <w:t>-60 hrs.</w:t>
            </w:r>
          </w:p>
          <w:p w:rsidR="00CD4C3E" w:rsidRPr="00F51E09" w:rsidP="00CD4C3E" w14:paraId="3B4ED9EB" w14:textId="2752A21C">
            <w:pPr>
              <w:rPr>
                <w:rFonts w:eastAsia="Calibri"/>
                <w:iCs/>
                <w:szCs w:val="26"/>
              </w:rPr>
            </w:pPr>
            <w:r w:rsidRPr="00F51E09">
              <w:rPr>
                <w:rFonts w:eastAsia="Calibri"/>
                <w:iCs/>
                <w:szCs w:val="26"/>
              </w:rPr>
              <w:t>$</w:t>
            </w:r>
            <w:r w:rsidRPr="00F51E09" w:rsidR="001D749D">
              <w:rPr>
                <w:rFonts w:eastAsia="Calibri"/>
                <w:iCs/>
                <w:szCs w:val="26"/>
              </w:rPr>
              <w:t>4,240.20</w:t>
            </w:r>
          </w:p>
        </w:tc>
        <w:tc>
          <w:tcPr>
            <w:tcW w:w="937" w:type="pct"/>
            <w:tcBorders>
              <w:top w:val="single" w:sz="4" w:space="0" w:color="auto"/>
              <w:left w:val="single" w:sz="4" w:space="0" w:color="auto"/>
              <w:bottom w:val="single" w:sz="4" w:space="0" w:color="auto"/>
              <w:right w:val="single" w:sz="4" w:space="0" w:color="auto"/>
            </w:tcBorders>
            <w:vAlign w:val="center"/>
          </w:tcPr>
          <w:p w:rsidR="00CD4C3E" w:rsidRPr="00F51E09" w:rsidP="00CD4C3E" w14:paraId="5B0AD294" w14:textId="77777777">
            <w:pPr>
              <w:rPr>
                <w:rFonts w:eastAsia="Calibri"/>
                <w:iCs/>
                <w:szCs w:val="26"/>
              </w:rPr>
            </w:pPr>
            <w:r w:rsidRPr="00F51E09">
              <w:rPr>
                <w:rFonts w:eastAsia="Calibri"/>
                <w:iCs/>
                <w:szCs w:val="26"/>
              </w:rPr>
              <w:t>-33,000 hrs.</w:t>
            </w:r>
          </w:p>
          <w:p w:rsidR="00CD4C3E" w:rsidRPr="00F51E09" w:rsidP="00CD4C3E" w14:paraId="493D592C" w14:textId="3C3BC80C">
            <w:pPr>
              <w:rPr>
                <w:rFonts w:eastAsia="Calibri"/>
                <w:iCs/>
                <w:szCs w:val="26"/>
              </w:rPr>
            </w:pPr>
            <w:r w:rsidRPr="00F51E09">
              <w:rPr>
                <w:rFonts w:eastAsia="Calibri"/>
                <w:iCs/>
                <w:szCs w:val="26"/>
              </w:rPr>
              <w:t>$2,</w:t>
            </w:r>
            <w:r w:rsidRPr="00F51E09" w:rsidR="001D749D">
              <w:rPr>
                <w:rFonts w:eastAsia="Calibri"/>
                <w:iCs/>
                <w:szCs w:val="26"/>
              </w:rPr>
              <w:t>332,110</w:t>
            </w:r>
            <w:r w:rsidRPr="00F51E09">
              <w:rPr>
                <w:rFonts w:eastAsia="Calibri"/>
                <w:iCs/>
                <w:szCs w:val="26"/>
              </w:rPr>
              <w:t>.00</w:t>
            </w:r>
          </w:p>
          <w:p w:rsidR="00CD4C3E" w:rsidRPr="00F51E09" w:rsidP="00CD4C3E" w14:paraId="5192CBEB" w14:textId="77777777">
            <w:pPr>
              <w:rPr>
                <w:rFonts w:eastAsia="Calibri"/>
                <w:iCs/>
                <w:szCs w:val="26"/>
              </w:rPr>
            </w:pPr>
            <w:r w:rsidRPr="00F51E09">
              <w:rPr>
                <w:rFonts w:eastAsia="Calibri"/>
                <w:iCs/>
                <w:szCs w:val="26"/>
              </w:rPr>
              <w:t>(Reduction)</w:t>
            </w:r>
          </w:p>
        </w:tc>
      </w:tr>
      <w:tr w14:paraId="538A021B" w14:textId="77777777" w:rsidTr="00CD4C3E">
        <w:tblPrEx>
          <w:tblW w:w="5000" w:type="pct"/>
          <w:tblInd w:w="0" w:type="dxa"/>
          <w:tblLook w:val="04A0"/>
        </w:tblPrEx>
        <w:tc>
          <w:tcPr>
            <w:tcW w:w="896" w:type="pct"/>
            <w:tcBorders>
              <w:top w:val="single" w:sz="4" w:space="0" w:color="auto"/>
              <w:left w:val="single" w:sz="4" w:space="0" w:color="auto"/>
              <w:bottom w:val="single" w:sz="4" w:space="0" w:color="auto"/>
              <w:right w:val="single" w:sz="4" w:space="0" w:color="auto"/>
            </w:tcBorders>
          </w:tcPr>
          <w:p w:rsidR="00CD4C3E" w:rsidRPr="00F51E09" w:rsidP="00CD4C3E" w14:paraId="7FFD901A" w14:textId="77777777">
            <w:pPr>
              <w:rPr>
                <w:rFonts w:eastAsia="Calibri"/>
                <w:iCs/>
                <w:szCs w:val="26"/>
              </w:rPr>
            </w:pPr>
            <w:r w:rsidRPr="00F51E09">
              <w:rPr>
                <w:rFonts w:eastAsia="Calibri"/>
                <w:b/>
                <w:iCs/>
                <w:szCs w:val="26"/>
              </w:rPr>
              <w:t>Total for FERC-725A</w:t>
            </w:r>
          </w:p>
        </w:tc>
        <w:tc>
          <w:tcPr>
            <w:tcW w:w="642" w:type="pct"/>
            <w:tcBorders>
              <w:top w:val="single" w:sz="4" w:space="0" w:color="auto"/>
              <w:left w:val="single" w:sz="4" w:space="0" w:color="auto"/>
              <w:bottom w:val="single" w:sz="4" w:space="0" w:color="auto"/>
              <w:right w:val="single" w:sz="4" w:space="0" w:color="auto"/>
            </w:tcBorders>
            <w:shd w:val="clear" w:color="auto" w:fill="A6A6A6"/>
            <w:vAlign w:val="bottom"/>
          </w:tcPr>
          <w:p w:rsidR="00CD4C3E" w:rsidRPr="00F51E09" w:rsidP="00CD4C3E" w14:paraId="3D8E4383" w14:textId="77777777">
            <w:pPr>
              <w:rPr>
                <w:rFonts w:eastAsia="Calibri"/>
                <w:iCs/>
                <w:szCs w:val="26"/>
              </w:rPr>
            </w:pPr>
          </w:p>
        </w:tc>
        <w:tc>
          <w:tcPr>
            <w:tcW w:w="818" w:type="pct"/>
            <w:tcBorders>
              <w:top w:val="single" w:sz="4" w:space="0" w:color="auto"/>
              <w:left w:val="single" w:sz="4" w:space="0" w:color="auto"/>
              <w:bottom w:val="single" w:sz="4" w:space="0" w:color="auto"/>
              <w:right w:val="single" w:sz="4" w:space="0" w:color="auto"/>
            </w:tcBorders>
            <w:shd w:val="clear" w:color="auto" w:fill="A6A6A6"/>
            <w:vAlign w:val="bottom"/>
          </w:tcPr>
          <w:p w:rsidR="00CD4C3E" w:rsidRPr="00F51E09" w:rsidP="00CD4C3E" w14:paraId="15C0BB0E" w14:textId="77777777">
            <w:pPr>
              <w:rPr>
                <w:rFonts w:eastAsia="Calibri"/>
                <w:iCs/>
                <w:szCs w:val="26"/>
              </w:rPr>
            </w:pPr>
          </w:p>
        </w:tc>
        <w:tc>
          <w:tcPr>
            <w:tcW w:w="770" w:type="pct"/>
            <w:tcBorders>
              <w:top w:val="single" w:sz="4" w:space="0" w:color="auto"/>
              <w:left w:val="single" w:sz="4" w:space="0" w:color="auto"/>
              <w:bottom w:val="single" w:sz="4" w:space="0" w:color="auto"/>
              <w:right w:val="single" w:sz="4" w:space="0" w:color="auto"/>
            </w:tcBorders>
            <w:shd w:val="clear" w:color="auto" w:fill="A6A6A6"/>
            <w:vAlign w:val="bottom"/>
          </w:tcPr>
          <w:p w:rsidR="00CD4C3E" w:rsidRPr="00F51E09" w:rsidP="00CD4C3E" w14:paraId="1DD4BFFC" w14:textId="77777777">
            <w:pPr>
              <w:rPr>
                <w:rFonts w:eastAsia="Calibri"/>
                <w:iCs/>
                <w:szCs w:val="26"/>
              </w:rPr>
            </w:pPr>
          </w:p>
        </w:tc>
        <w:tc>
          <w:tcPr>
            <w:tcW w:w="937" w:type="pct"/>
            <w:tcBorders>
              <w:top w:val="single" w:sz="4" w:space="0" w:color="auto"/>
              <w:left w:val="single" w:sz="4" w:space="0" w:color="auto"/>
              <w:bottom w:val="single" w:sz="4" w:space="0" w:color="auto"/>
              <w:right w:val="single" w:sz="4" w:space="0" w:color="auto"/>
            </w:tcBorders>
            <w:shd w:val="clear" w:color="auto" w:fill="A6A6A6"/>
            <w:vAlign w:val="bottom"/>
          </w:tcPr>
          <w:p w:rsidR="00CD4C3E" w:rsidRPr="00F51E09" w:rsidP="00CD4C3E" w14:paraId="05D5ED5C" w14:textId="77777777">
            <w:pPr>
              <w:rPr>
                <w:rFonts w:eastAsia="Calibri"/>
                <w:iCs/>
                <w:szCs w:val="26"/>
              </w:rPr>
            </w:pPr>
          </w:p>
        </w:tc>
        <w:tc>
          <w:tcPr>
            <w:tcW w:w="937" w:type="pct"/>
            <w:tcBorders>
              <w:top w:val="single" w:sz="4" w:space="0" w:color="auto"/>
              <w:left w:val="single" w:sz="4" w:space="0" w:color="auto"/>
              <w:bottom w:val="single" w:sz="4" w:space="0" w:color="auto"/>
              <w:right w:val="single" w:sz="4" w:space="0" w:color="auto"/>
            </w:tcBorders>
            <w:vAlign w:val="bottom"/>
          </w:tcPr>
          <w:p w:rsidR="00CD4C3E" w:rsidRPr="00F51E09" w:rsidP="00CD4C3E" w14:paraId="7AFF887B" w14:textId="294FE026">
            <w:pPr>
              <w:rPr>
                <w:rFonts w:eastAsia="Calibri"/>
                <w:iCs/>
                <w:szCs w:val="26"/>
              </w:rPr>
            </w:pPr>
            <w:r w:rsidRPr="00F51E09">
              <w:rPr>
                <w:rFonts w:eastAsia="Calibri"/>
                <w:iCs/>
                <w:szCs w:val="26"/>
              </w:rPr>
              <w:t>1,</w:t>
            </w:r>
            <w:r w:rsidRPr="00F51E09" w:rsidR="006A0244">
              <w:rPr>
                <w:rFonts w:eastAsia="Calibri"/>
                <w:iCs/>
                <w:szCs w:val="26"/>
              </w:rPr>
              <w:t>374,238</w:t>
            </w:r>
            <w:r w:rsidRPr="00F51E09">
              <w:rPr>
                <w:rFonts w:eastAsia="Calibri"/>
                <w:iCs/>
                <w:szCs w:val="26"/>
              </w:rPr>
              <w:t xml:space="preserve"> hrs.</w:t>
            </w:r>
          </w:p>
          <w:p w:rsidR="00CD4C3E" w:rsidRPr="00F51E09" w:rsidP="00CD4C3E" w14:paraId="3823E160" w14:textId="6E9D74D5">
            <w:pPr>
              <w:rPr>
                <w:rFonts w:eastAsia="Calibri"/>
                <w:iCs/>
                <w:szCs w:val="26"/>
              </w:rPr>
            </w:pPr>
            <w:r w:rsidRPr="00F51E09">
              <w:rPr>
                <w:rFonts w:eastAsia="Calibri"/>
                <w:iCs/>
                <w:szCs w:val="26"/>
              </w:rPr>
              <w:t>$</w:t>
            </w:r>
            <w:r w:rsidRPr="00F51E09" w:rsidR="006A0244">
              <w:rPr>
                <w:rFonts w:eastAsia="Calibri"/>
                <w:iCs/>
                <w:szCs w:val="26"/>
              </w:rPr>
              <w:t>9</w:t>
            </w:r>
            <w:r w:rsidRPr="00F51E09" w:rsidR="000D7108">
              <w:rPr>
                <w:rFonts w:eastAsia="Calibri"/>
                <w:iCs/>
                <w:szCs w:val="26"/>
              </w:rPr>
              <w:t>7,117,399.46</w:t>
            </w:r>
          </w:p>
        </w:tc>
      </w:tr>
    </w:tbl>
    <w:p w:rsidR="00B12397" w:rsidRPr="00F51E09" w:rsidP="00AE1F12" w14:paraId="2D7E496E" w14:textId="77777777">
      <w:pPr>
        <w:spacing w:line="480" w:lineRule="auto"/>
        <w:rPr>
          <w:i/>
          <w:szCs w:val="26"/>
        </w:rPr>
      </w:pPr>
    </w:p>
    <w:p w:rsidR="00881405" w:rsidRPr="00F51E09" w:rsidP="00AE1F12" w14:paraId="40735770" w14:textId="0D6D19AA">
      <w:pPr>
        <w:spacing w:line="480" w:lineRule="auto"/>
        <w:rPr>
          <w:szCs w:val="26"/>
        </w:rPr>
      </w:pPr>
      <w:r w:rsidRPr="00F51E09">
        <w:rPr>
          <w:i/>
          <w:szCs w:val="26"/>
        </w:rPr>
        <w:t xml:space="preserve">Comments:  </w:t>
      </w:r>
      <w:r w:rsidRPr="00F51E09">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RPr="00F51E09" w:rsidP="00AE1F12" w14:paraId="23EE29AC" w14:textId="40A57A5F">
      <w:pPr>
        <w:spacing w:line="480" w:lineRule="auto"/>
        <w:rPr>
          <w:szCs w:val="26"/>
        </w:rPr>
      </w:pPr>
      <w:r w:rsidRPr="00F51E09">
        <w:rPr>
          <w:szCs w:val="26"/>
        </w:rPr>
        <w:t xml:space="preserve">collection of information on those who are to respond, including the use of automated collection techniques or other forms of information technology.  </w:t>
      </w:r>
    </w:p>
    <w:p w:rsidR="00AE1F12" w:rsidRPr="00F51E09" w:rsidP="00AE1F12" w14:paraId="02C177FD" w14:textId="77777777">
      <w:pPr>
        <w:rPr>
          <w:szCs w:val="26"/>
        </w:rPr>
      </w:pPr>
    </w:p>
    <w:p w:rsidR="00F51E09" w:rsidRPr="00F51E09" w14:paraId="54FCBA00" w14:textId="77777777">
      <w:pPr>
        <w:spacing w:after="160" w:line="259" w:lineRule="auto"/>
        <w:rPr>
          <w:szCs w:val="26"/>
        </w:rPr>
      </w:pPr>
    </w:p>
    <w:p w:rsidR="00F51E09" w:rsidRPr="00F51E09" w:rsidP="00F51E09" w14:paraId="771F3A4D" w14:textId="7C167378">
      <w:pPr>
        <w:ind w:firstLine="2606"/>
        <w:jc w:val="center"/>
        <w:rPr>
          <w:szCs w:val="26"/>
        </w:rPr>
      </w:pPr>
      <w:r w:rsidRPr="00F51E09">
        <w:rPr>
          <w:szCs w:val="26"/>
        </w:rPr>
        <w:t>Debbie-Anne A. Reese,</w:t>
      </w:r>
    </w:p>
    <w:p w:rsidR="00F51E09" w:rsidRPr="00F51E09" w:rsidP="00F51E09" w14:paraId="72A7FDE7" w14:textId="4070A03F">
      <w:pPr>
        <w:ind w:firstLine="2606"/>
        <w:jc w:val="center"/>
        <w:rPr>
          <w:szCs w:val="26"/>
        </w:rPr>
      </w:pPr>
      <w:r w:rsidRPr="00F51E09">
        <w:rPr>
          <w:szCs w:val="26"/>
        </w:rPr>
        <w:t xml:space="preserve">  Acting Secretary.</w:t>
      </w:r>
    </w:p>
    <w:p w:rsidR="00F51E09" w:rsidRPr="00F51E09" w14:paraId="59A07788" w14:textId="77777777">
      <w:pPr>
        <w:spacing w:after="160" w:line="259" w:lineRule="auto"/>
        <w:rPr>
          <w:szCs w:val="26"/>
        </w:rPr>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4567" w:rsidP="00B01B16" w14:paraId="3AB65E0C" w14:textId="77777777">
      <w:r>
        <w:separator/>
      </w:r>
    </w:p>
  </w:footnote>
  <w:footnote w:type="continuationSeparator" w:id="1">
    <w:p w:rsidR="00EB4567" w:rsidP="00B01B16" w14:paraId="7795953E" w14:textId="77777777">
      <w:r>
        <w:continuationSeparator/>
      </w:r>
    </w:p>
  </w:footnote>
  <w:footnote w:type="continuationNotice" w:id="2">
    <w:p w:rsidR="00EB4567" w14:paraId="40433530" w14:textId="77777777"/>
  </w:footnote>
  <w:footnote w:id="3">
    <w:p w:rsidR="00060284" w:rsidRPr="00446145" w:rsidP="00446145" w14:paraId="7BE9BF69" w14:textId="77777777">
      <w:pPr>
        <w:pStyle w:val="FootnoteText"/>
        <w:ind w:firstLine="720"/>
        <w:rPr>
          <w:sz w:val="26"/>
          <w:szCs w:val="26"/>
        </w:rPr>
      </w:pPr>
      <w:r w:rsidRPr="00446145">
        <w:rPr>
          <w:rStyle w:val="FootnoteReference"/>
        </w:rPr>
        <w:footnoteRef/>
      </w:r>
      <w:r w:rsidRPr="00446145">
        <w:rPr>
          <w:sz w:val="26"/>
          <w:szCs w:val="26"/>
        </w:rPr>
        <w:t xml:space="preserve"> Energy Policy Act of 2005, Pub. L. No 109-58, Title XII, Subtitle A, 119 Stat. 594, 941 (2005), </w:t>
      </w:r>
      <w:r w:rsidRPr="00446145">
        <w:rPr>
          <w:sz w:val="26"/>
          <w:szCs w:val="26"/>
          <w:u w:val="single"/>
        </w:rPr>
        <w:t>to be codified at</w:t>
      </w:r>
      <w:r w:rsidRPr="00446145">
        <w:rPr>
          <w:sz w:val="26"/>
          <w:szCs w:val="26"/>
        </w:rPr>
        <w:t xml:space="preserve"> 16 U.S.C. 824o.</w:t>
      </w:r>
    </w:p>
  </w:footnote>
  <w:footnote w:id="4">
    <w:p w:rsidR="00060284" w:rsidRPr="00446145" w:rsidP="00446145" w14:paraId="5161275D" w14:textId="77777777">
      <w:pPr>
        <w:pStyle w:val="FootnoteText"/>
        <w:spacing w:after="260"/>
        <w:ind w:firstLine="720"/>
        <w:rPr>
          <w:sz w:val="26"/>
          <w:szCs w:val="26"/>
        </w:rPr>
      </w:pPr>
      <w:r w:rsidRPr="00446145">
        <w:rPr>
          <w:rStyle w:val="FootnoteReference"/>
        </w:rPr>
        <w:footnoteRef/>
      </w:r>
      <w:r w:rsidRPr="00446145">
        <w:rPr>
          <w:sz w:val="26"/>
          <w:szCs w:val="26"/>
        </w:rPr>
        <w:t xml:space="preserve"> 16 U.S.C. 824o(e)(3).</w:t>
      </w:r>
    </w:p>
  </w:footnote>
  <w:footnote w:id="5">
    <w:p w:rsidR="00060284" w:rsidRPr="00446145" w:rsidP="00446145" w14:paraId="17300B8E" w14:textId="77777777">
      <w:pPr>
        <w:pStyle w:val="FootnoteText"/>
        <w:spacing w:after="260"/>
        <w:ind w:firstLine="720"/>
        <w:rPr>
          <w:sz w:val="26"/>
          <w:szCs w:val="26"/>
        </w:rPr>
      </w:pPr>
      <w:r w:rsidRPr="00446145">
        <w:rPr>
          <w:rStyle w:val="FootnoteReference"/>
        </w:rPr>
        <w:footnoteRef/>
      </w:r>
      <w:r w:rsidRPr="00446145">
        <w:rPr>
          <w:sz w:val="26"/>
          <w:szCs w:val="26"/>
        </w:rPr>
        <w:t xml:space="preserve"> </w:t>
      </w:r>
      <w:r w:rsidRPr="00446145">
        <w:rPr>
          <w:sz w:val="26"/>
          <w:szCs w:val="26"/>
          <w:u w:val="single"/>
        </w:rPr>
        <w:t>Rules Concerning Certification of the Electric Reliability Organization; Procedures for the Establishment, Approval and Enforcement of Electric Reliability Standards</w:t>
      </w:r>
      <w:r w:rsidRPr="00446145">
        <w:rPr>
          <w:sz w:val="26"/>
          <w:szCs w:val="26"/>
        </w:rPr>
        <w:t xml:space="preserve">, Order No. 672, 71 FR 8662 (February 17, 2006), FERC Stats. &amp; Regs. ¶ 31,204 (2006), </w:t>
      </w:r>
      <w:r w:rsidRPr="00446145">
        <w:rPr>
          <w:sz w:val="26"/>
          <w:szCs w:val="26"/>
          <w:u w:val="single"/>
        </w:rPr>
        <w:t>order on reh’g</w:t>
      </w:r>
      <w:r w:rsidRPr="00446145">
        <w:rPr>
          <w:sz w:val="26"/>
          <w:szCs w:val="26"/>
        </w:rPr>
        <w:t>, Order No. 672-A, 71 FR 19814 (April 18, 2006), FERC Stats. &amp; Regs. ¶ 31,212 (2006).</w:t>
      </w:r>
    </w:p>
  </w:footnote>
  <w:footnote w:id="6">
    <w:p w:rsidR="00060284" w:rsidRPr="00446145" w:rsidP="00446145" w14:paraId="2938083A" w14:textId="77777777">
      <w:pPr>
        <w:pStyle w:val="FootnoteText"/>
        <w:spacing w:after="260"/>
        <w:ind w:firstLine="720"/>
        <w:rPr>
          <w:sz w:val="26"/>
          <w:szCs w:val="26"/>
        </w:rPr>
      </w:pPr>
      <w:r w:rsidRPr="00446145">
        <w:rPr>
          <w:rStyle w:val="FootnoteReference"/>
        </w:rPr>
        <w:footnoteRef/>
      </w:r>
      <w:r w:rsidRPr="00446145">
        <w:rPr>
          <w:sz w:val="26"/>
          <w:szCs w:val="26"/>
        </w:rPr>
        <w:t xml:space="preserve"> </w:t>
      </w:r>
      <w:r w:rsidRPr="00446145">
        <w:rPr>
          <w:sz w:val="26"/>
          <w:szCs w:val="26"/>
          <w:u w:val="single"/>
        </w:rPr>
        <w:t>North American Electric Reliability Corp.</w:t>
      </w:r>
      <w:r w:rsidRPr="00446145">
        <w:rPr>
          <w:sz w:val="26"/>
          <w:szCs w:val="26"/>
        </w:rPr>
        <w:t>, 116 FERC ¶ 61,062 (</w:t>
      </w:r>
      <w:r w:rsidRPr="00446145">
        <w:rPr>
          <w:sz w:val="26"/>
          <w:szCs w:val="26"/>
          <w:u w:val="single"/>
        </w:rPr>
        <w:t>ERO Certification Order</w:t>
      </w:r>
      <w:r w:rsidRPr="00446145">
        <w:rPr>
          <w:sz w:val="26"/>
          <w:szCs w:val="26"/>
        </w:rPr>
        <w:t xml:space="preserve">), </w:t>
      </w:r>
      <w:r w:rsidRPr="00446145">
        <w:rPr>
          <w:sz w:val="26"/>
          <w:szCs w:val="26"/>
          <w:u w:val="single"/>
        </w:rPr>
        <w:t>order on reh’g &amp; compliance</w:t>
      </w:r>
      <w:r w:rsidRPr="00446145">
        <w:rPr>
          <w:sz w:val="26"/>
          <w:szCs w:val="26"/>
        </w:rPr>
        <w:t>, 117 FERC ¶ 61,126 (</w:t>
      </w:r>
      <w:r w:rsidRPr="00446145">
        <w:rPr>
          <w:sz w:val="26"/>
          <w:szCs w:val="26"/>
          <w:u w:val="single"/>
        </w:rPr>
        <w:t>ERO Rehearing Order</w:t>
      </w:r>
      <w:r w:rsidRPr="00446145">
        <w:rPr>
          <w:sz w:val="26"/>
          <w:szCs w:val="26"/>
        </w:rPr>
        <w:t xml:space="preserve">) (2006), </w:t>
      </w:r>
      <w:r w:rsidRPr="00446145">
        <w:rPr>
          <w:sz w:val="26"/>
          <w:szCs w:val="26"/>
          <w:u w:val="single"/>
        </w:rPr>
        <w:t>order on compliance</w:t>
      </w:r>
      <w:r w:rsidRPr="00446145">
        <w:rPr>
          <w:sz w:val="26"/>
          <w:szCs w:val="26"/>
        </w:rPr>
        <w:t>, 118 FERC ¶ 61,030 (2007) (</w:t>
      </w:r>
      <w:r w:rsidRPr="00446145">
        <w:rPr>
          <w:sz w:val="26"/>
          <w:szCs w:val="26"/>
          <w:u w:val="single"/>
        </w:rPr>
        <w:t>January 2007 Compliance Order</w:t>
      </w:r>
      <w:r w:rsidRPr="00446145">
        <w:rPr>
          <w:sz w:val="26"/>
          <w:szCs w:val="26"/>
        </w:rPr>
        <w:t>).</w:t>
      </w:r>
    </w:p>
  </w:footnote>
  <w:footnote w:id="7">
    <w:p w:rsidR="00292A4C" w:rsidRPr="00446145" w:rsidP="00446145" w14:paraId="5E0ECDF0" w14:textId="77777777">
      <w:pPr>
        <w:pStyle w:val="FootnoteText"/>
        <w:spacing w:after="260"/>
        <w:ind w:firstLine="720"/>
        <w:rPr>
          <w:sz w:val="26"/>
          <w:szCs w:val="26"/>
        </w:rPr>
      </w:pPr>
      <w:r w:rsidRPr="00446145">
        <w:rPr>
          <w:rStyle w:val="FootnoteReference"/>
        </w:rPr>
        <w:footnoteRef/>
      </w:r>
      <w:r w:rsidRPr="00446145">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8">
    <w:p w:rsidR="00EC6744" w:rsidRPr="00446145" w:rsidP="00446145" w14:paraId="322726ED" w14:textId="2BC80B1E">
      <w:pPr>
        <w:pStyle w:val="FootnoteText"/>
        <w:spacing w:after="260"/>
        <w:ind w:firstLine="720"/>
        <w:rPr>
          <w:sz w:val="26"/>
          <w:szCs w:val="26"/>
        </w:rPr>
      </w:pPr>
      <w:r w:rsidRPr="00446145">
        <w:rPr>
          <w:rStyle w:val="FootnoteReference"/>
        </w:rPr>
        <w:footnoteRef/>
      </w:r>
      <w:r w:rsidRPr="00446145">
        <w:rPr>
          <w:sz w:val="26"/>
          <w:szCs w:val="26"/>
        </w:rPr>
        <w:t xml:space="preserve"> </w:t>
      </w:r>
      <w:r w:rsidRPr="00446145" w:rsidR="004A74AC">
        <w:rPr>
          <w:sz w:val="26"/>
          <w:szCs w:val="26"/>
        </w:rPr>
        <w:t xml:space="preserve">This is a list of NERC registered entities who under 725A need to follow the NERC Standards.  BA=Balancing Authority (98); DP = Distribution Provider (371); GP = Generator Owner (1,210); Generator Operator (1028); PA/PC Planning Authority/Planning Coordinator (62); RC=Reliability Coordinator (12); RP = Resource Planner (159); RSG = Reserve Sharing Group (8); FRSG = Frequency Response Sharing Group (1); TO = Transmission Owner (324); TOP = Transmission Operator (165); TP = Transmission Provided (203); TSP = Transmission Service Provider (70); for a sum total of (3,711).  The same entity may have multiple registration obligation to follow under </w:t>
      </w:r>
      <w:r w:rsidRPr="00446145" w:rsidR="001D749D">
        <w:rPr>
          <w:sz w:val="26"/>
          <w:szCs w:val="26"/>
        </w:rPr>
        <w:t>725A,</w:t>
      </w:r>
      <w:r w:rsidRPr="00446145" w:rsidR="004A74AC">
        <w:rPr>
          <w:sz w:val="26"/>
          <w:szCs w:val="26"/>
        </w:rPr>
        <w:t xml:space="preserve"> so an individual entity’s obligation increases based on registration functions.  These values were derived from the NERC Compliance data of April 16, 2024</w:t>
      </w:r>
      <w:r w:rsidRPr="00446145" w:rsidR="001D749D">
        <w:rPr>
          <w:sz w:val="26"/>
          <w:szCs w:val="26"/>
        </w:rPr>
        <w:t>,</w:t>
      </w:r>
      <w:r w:rsidRPr="00446145" w:rsidR="004A74AC">
        <w:rPr>
          <w:sz w:val="26"/>
          <w:szCs w:val="26"/>
        </w:rPr>
        <w:t xml:space="preserve"> using only unique United States registered entities</w:t>
      </w:r>
    </w:p>
  </w:footnote>
  <w:footnote w:id="9">
    <w:p w:rsidR="001D749D" w:rsidRPr="00446145" w:rsidP="00446145" w14:paraId="43498718" w14:textId="77777777">
      <w:pPr>
        <w:pStyle w:val="FootnoteText"/>
        <w:spacing w:after="260"/>
        <w:ind w:firstLine="720"/>
        <w:rPr>
          <w:sz w:val="26"/>
          <w:szCs w:val="26"/>
        </w:rPr>
      </w:pPr>
      <w:r w:rsidRPr="00446145">
        <w:rPr>
          <w:rStyle w:val="FootnoteReference"/>
        </w:rPr>
        <w:footnoteRef/>
      </w:r>
      <w:r w:rsidRPr="00446145">
        <w:rPr>
          <w:sz w:val="26"/>
          <w:szCs w:val="26"/>
        </w:rPr>
        <w:t xml:space="preserve"> </w:t>
      </w:r>
      <w:r w:rsidRPr="00446145">
        <w:rPr>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EC6744" w:rsidRPr="00446145" w:rsidP="00446145" w14:paraId="6C3B14C8" w14:textId="76D07157">
      <w:pPr>
        <w:pStyle w:val="FootnoteText"/>
        <w:spacing w:after="260"/>
        <w:rPr>
          <w:sz w:val="26"/>
          <w:szCs w:val="26"/>
        </w:rPr>
      </w:pPr>
    </w:p>
  </w:footnote>
  <w:footnote w:id="10">
    <w:p w:rsidR="00812F89" w:rsidRPr="00446145" w:rsidP="00446145" w14:paraId="2C5083A4" w14:textId="77777777">
      <w:pPr>
        <w:pStyle w:val="FootnoteText"/>
        <w:spacing w:after="260"/>
        <w:ind w:firstLine="720"/>
        <w:rPr>
          <w:sz w:val="26"/>
          <w:szCs w:val="26"/>
        </w:rPr>
      </w:pPr>
      <w:r w:rsidRPr="00446145">
        <w:rPr>
          <w:rStyle w:val="FootnoteReference"/>
        </w:rPr>
        <w:footnoteRef/>
      </w:r>
      <w:r w:rsidRPr="00446145">
        <w:rPr>
          <w:sz w:val="26"/>
          <w:szCs w:val="26"/>
        </w:rPr>
        <w:t xml:space="preserve"> For PER-003-2: RC=Reliability Coordinator; BA=Balancing Authority; TOP=Transmission Operator; TO=Transmission Owner; GOP=Generator Operator.  The NERC compliance registry table April 16, 2024, was used to perform analysis.  </w:t>
      </w:r>
    </w:p>
  </w:footnote>
  <w:footnote w:id="11">
    <w:p w:rsidR="00812F89" w:rsidRPr="00446145" w:rsidP="00446145" w14:paraId="27D6F3EF" w14:textId="33217F5D">
      <w:pPr>
        <w:pStyle w:val="FootnoteText"/>
        <w:spacing w:after="260"/>
        <w:ind w:firstLine="720"/>
        <w:rPr>
          <w:sz w:val="26"/>
          <w:szCs w:val="26"/>
        </w:rPr>
      </w:pPr>
      <w:r w:rsidRPr="00446145">
        <w:rPr>
          <w:rStyle w:val="FootnoteReference"/>
        </w:rPr>
        <w:footnoteRef/>
      </w:r>
      <w:r w:rsidRPr="00446145">
        <w:rPr>
          <w:sz w:val="26"/>
          <w:szCs w:val="26"/>
        </w:rPr>
        <w:t xml:space="preserve"> The estimated hourly cost (salary plus benefits) is a combination based on the Bureau of Labor Statistics (BLS), as of 202</w:t>
      </w:r>
      <w:r w:rsidRPr="00446145" w:rsidR="00C4644C">
        <w:rPr>
          <w:sz w:val="26"/>
          <w:szCs w:val="26"/>
        </w:rPr>
        <w:t>4</w:t>
      </w:r>
      <w:r w:rsidRPr="00446145">
        <w:rPr>
          <w:sz w:val="26"/>
          <w:szCs w:val="26"/>
        </w:rPr>
        <w:t>. The estimates for cost per response are loaded hourly wage figure (includes benefits) based on two occupational categories for 2023 found on the Bureau of Labor Statistics website (</w:t>
      </w:r>
      <w:hyperlink r:id="rId1" w:history="1">
        <w:r w:rsidRPr="00446145">
          <w:rPr>
            <w:color w:val="0000FF"/>
            <w:sz w:val="26"/>
            <w:szCs w:val="26"/>
            <w:u w:val="single"/>
          </w:rPr>
          <w:t>http://www.bls.gov/oes/current/naics2_22.htm</w:t>
        </w:r>
      </w:hyperlink>
      <w:r w:rsidRPr="00446145">
        <w:rPr>
          <w:sz w:val="26"/>
          <w:szCs w:val="26"/>
        </w:rPr>
        <w:t xml:space="preserve">): </w:t>
      </w:r>
    </w:p>
    <w:p w:rsidR="00812F89" w:rsidRPr="00446145" w:rsidP="00446145" w14:paraId="7C58EAFE" w14:textId="0089C47B">
      <w:pPr>
        <w:numPr>
          <w:ilvl w:val="0"/>
          <w:numId w:val="8"/>
        </w:numPr>
        <w:spacing w:after="260"/>
        <w:rPr>
          <w:szCs w:val="26"/>
        </w:rPr>
      </w:pPr>
      <w:r w:rsidRPr="00446145">
        <w:rPr>
          <w:szCs w:val="26"/>
        </w:rPr>
        <w:t>Electrical Engineer (Occupation Code: 17-2071): $7</w:t>
      </w:r>
      <w:r w:rsidRPr="00446145" w:rsidR="00C4644C">
        <w:rPr>
          <w:szCs w:val="26"/>
        </w:rPr>
        <w:t>9.31</w:t>
      </w:r>
      <w:r w:rsidRPr="00446145">
        <w:rPr>
          <w:szCs w:val="26"/>
        </w:rPr>
        <w:t xml:space="preserve"> (to calculate the reporting requirements)</w:t>
      </w:r>
    </w:p>
    <w:p w:rsidR="00812F89" w:rsidRPr="00446145" w:rsidP="00446145" w14:paraId="7A3C03F0" w14:textId="74529D49">
      <w:pPr>
        <w:numPr>
          <w:ilvl w:val="0"/>
          <w:numId w:val="8"/>
        </w:numPr>
        <w:spacing w:after="260"/>
        <w:rPr>
          <w:szCs w:val="26"/>
        </w:rPr>
      </w:pPr>
      <w:r w:rsidRPr="00446145">
        <w:rPr>
          <w:szCs w:val="26"/>
        </w:rPr>
        <w:t>Office and Administrative Support (Occupation Code: 43-0000): $4</w:t>
      </w:r>
      <w:r w:rsidRPr="00446145" w:rsidR="00C4644C">
        <w:rPr>
          <w:szCs w:val="26"/>
        </w:rPr>
        <w:t>8</w:t>
      </w:r>
      <w:r w:rsidRPr="00446145">
        <w:rPr>
          <w:szCs w:val="26"/>
        </w:rPr>
        <w:t>.59 (to calculate the recordkeeping requirements)</w:t>
      </w:r>
    </w:p>
  </w:footnote>
  <w:footnote w:id="12">
    <w:p w:rsidR="00CD4C3E" w:rsidRPr="00446145" w:rsidP="00446145" w14:paraId="707FA4AA" w14:textId="77777777">
      <w:pPr>
        <w:pStyle w:val="FootnoteText"/>
        <w:spacing w:after="260"/>
        <w:ind w:firstLine="720"/>
        <w:rPr>
          <w:sz w:val="26"/>
          <w:szCs w:val="26"/>
        </w:rPr>
      </w:pPr>
      <w:r w:rsidRPr="00446145">
        <w:rPr>
          <w:rStyle w:val="FootnoteReference"/>
        </w:rPr>
        <w:footnoteRef/>
      </w:r>
      <w:r w:rsidRPr="00446145">
        <w:rPr>
          <w:sz w:val="26"/>
          <w:szCs w:val="26"/>
          <w:vertAlign w:val="superscript"/>
        </w:rPr>
        <w:t xml:space="preserve"> </w:t>
      </w:r>
      <w:r w:rsidRPr="00446145">
        <w:rPr>
          <w:sz w:val="26"/>
          <w:szCs w:val="26"/>
        </w:rPr>
        <w:t>This is a list of NERC registered entities who under 725A need to follow the NERC Standards.  BA=Balancing Authority (98); DP = Distribution Provider (371); GP = Generator Owner (1,210); Generator Operator (1028); PA/PC Planning Authority/Planning Coordinator (62); RC=Reliability Coordinator (12); RP = Resource Planner (159); RSG = Reserve Sharing Group (8); FRSG = Frequency Response Sharing Group (1); TO = Transmission Owner (324); TOP = Transmission Operator (165); TP = Transmission Provided (203); TSP = Transmission Service Provider (70); for a sum total of (3,711).  The same entity may have multiple registration obligation to follow under 725A so an individual entity’s obligation increases based on registration functions.  These values were derived from the NERC Compliance data of April 16, 2024 using only unique United States registered entities.</w:t>
      </w:r>
    </w:p>
  </w:footnote>
  <w:footnote w:id="13">
    <w:p w:rsidR="00CD4C3E" w:rsidRPr="00446145" w:rsidP="00446145" w14:paraId="6BDD0C4F" w14:textId="14C6C5F5">
      <w:pPr>
        <w:pStyle w:val="FootnoteText"/>
        <w:spacing w:after="260"/>
        <w:ind w:firstLine="720"/>
        <w:rPr>
          <w:sz w:val="26"/>
          <w:szCs w:val="26"/>
        </w:rPr>
      </w:pPr>
      <w:r w:rsidRPr="00446145">
        <w:rPr>
          <w:rStyle w:val="FootnoteReference"/>
        </w:rPr>
        <w:footnoteRef/>
      </w:r>
      <w:r w:rsidRPr="00446145">
        <w:rPr>
          <w:sz w:val="26"/>
          <w:szCs w:val="26"/>
        </w:rPr>
        <w:t xml:space="preserve"> </w:t>
      </w:r>
      <w:r w:rsidRPr="00446145" w:rsidR="00C4644C">
        <w:rPr>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6472480"/>
      <w:docPartObj>
        <w:docPartGallery w:val="Page Numbers (Top of Page)"/>
        <w:docPartUnique/>
      </w:docPartObj>
    </w:sdtPr>
    <w:sdtEndPr>
      <w:rPr>
        <w:noProof/>
      </w:rPr>
    </w:sdtEndPr>
    <w:sdtContent>
      <w:p w:rsidR="00383EE8" w14:paraId="174C69A4" w14:textId="6E8B6C2D">
        <w:pPr>
          <w:pStyle w:val="Header"/>
        </w:pPr>
        <w:r w:rsidRPr="00980E58">
          <w:t>Docket No</w:t>
        </w:r>
        <w:r>
          <w:t>s</w:t>
        </w:r>
        <w:r w:rsidRPr="00980E58">
          <w:t xml:space="preserve">. </w:t>
        </w:r>
        <w:r w:rsidRPr="00974530">
          <w:t>I</w:t>
        </w:r>
        <w:r>
          <w:t>C2</w:t>
        </w:r>
        <w:r w:rsidR="005F761F">
          <w:t>4</w:t>
        </w:r>
        <w:r w:rsidRPr="00974530">
          <w:t>-</w:t>
        </w:r>
        <w:r w:rsidR="00934961">
          <w:t>23</w:t>
        </w:r>
        <w:r w:rsidRPr="00974530">
          <w:t>-000</w:t>
        </w:r>
        <w:r>
          <w:tab/>
        </w:r>
        <w:r>
          <w:fldChar w:fldCharType="begin"/>
        </w:r>
        <w:r>
          <w:instrText xml:space="preserve"> PAGE   \* MERGEFORMAT </w:instrText>
        </w:r>
        <w:r>
          <w:fldChar w:fldCharType="separate"/>
        </w:r>
        <w:r>
          <w:rPr>
            <w:noProof/>
          </w:rPr>
          <w:t>2</w:t>
        </w:r>
        <w:r>
          <w:rPr>
            <w:noProof/>
          </w:rPr>
          <w:fldChar w:fldCharType="end"/>
        </w:r>
      </w:p>
    </w:sdtContent>
  </w:sdt>
  <w:p w:rsidR="00F82EE1" w:rsidRPr="00383EE8" w:rsidP="00383EE8" w14:paraId="0E155F8B" w14:textId="5084B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59527D0"/>
    <w:multiLevelType w:val="hybridMultilevel"/>
    <w:tmpl w:val="C6043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349453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314023">
    <w:abstractNumId w:val="1"/>
  </w:num>
  <w:num w:numId="3" w16cid:durableId="452751014">
    <w:abstractNumId w:val="5"/>
  </w:num>
  <w:num w:numId="4" w16cid:durableId="549922511">
    <w:abstractNumId w:val="3"/>
  </w:num>
  <w:num w:numId="5" w16cid:durableId="1720322537">
    <w:abstractNumId w:val="7"/>
  </w:num>
  <w:num w:numId="6" w16cid:durableId="2032105070">
    <w:abstractNumId w:val="0"/>
  </w:num>
  <w:num w:numId="7" w16cid:durableId="313490139">
    <w:abstractNumId w:val="6"/>
  </w:num>
  <w:num w:numId="8" w16cid:durableId="1341739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14387"/>
    <w:rsid w:val="00026C2D"/>
    <w:rsid w:val="000459B6"/>
    <w:rsid w:val="00060284"/>
    <w:rsid w:val="00062427"/>
    <w:rsid w:val="00076AF6"/>
    <w:rsid w:val="0008692A"/>
    <w:rsid w:val="0009224F"/>
    <w:rsid w:val="000A0250"/>
    <w:rsid w:val="000A6F37"/>
    <w:rsid w:val="000A7E68"/>
    <w:rsid w:val="000B2E9D"/>
    <w:rsid w:val="000B5C78"/>
    <w:rsid w:val="000D318C"/>
    <w:rsid w:val="000D7108"/>
    <w:rsid w:val="000E2568"/>
    <w:rsid w:val="000E4E1F"/>
    <w:rsid w:val="000F606E"/>
    <w:rsid w:val="000F6D0E"/>
    <w:rsid w:val="00116326"/>
    <w:rsid w:val="00125991"/>
    <w:rsid w:val="0015445B"/>
    <w:rsid w:val="00156BBB"/>
    <w:rsid w:val="001600DF"/>
    <w:rsid w:val="00164215"/>
    <w:rsid w:val="00171725"/>
    <w:rsid w:val="00172D1D"/>
    <w:rsid w:val="0017684C"/>
    <w:rsid w:val="00177704"/>
    <w:rsid w:val="00181BF7"/>
    <w:rsid w:val="00184A26"/>
    <w:rsid w:val="00184B43"/>
    <w:rsid w:val="0019112C"/>
    <w:rsid w:val="0019402A"/>
    <w:rsid w:val="00196A63"/>
    <w:rsid w:val="00197435"/>
    <w:rsid w:val="001A6645"/>
    <w:rsid w:val="001A6AD6"/>
    <w:rsid w:val="001B37D4"/>
    <w:rsid w:val="001B78B8"/>
    <w:rsid w:val="001C5EFC"/>
    <w:rsid w:val="001C7064"/>
    <w:rsid w:val="001D612A"/>
    <w:rsid w:val="001D749D"/>
    <w:rsid w:val="001F1CDF"/>
    <w:rsid w:val="00202317"/>
    <w:rsid w:val="00202E41"/>
    <w:rsid w:val="002131D0"/>
    <w:rsid w:val="00223412"/>
    <w:rsid w:val="00224BF8"/>
    <w:rsid w:val="002355D4"/>
    <w:rsid w:val="00241B24"/>
    <w:rsid w:val="0024309C"/>
    <w:rsid w:val="00253F98"/>
    <w:rsid w:val="00257CC2"/>
    <w:rsid w:val="00266431"/>
    <w:rsid w:val="00292A4C"/>
    <w:rsid w:val="00297211"/>
    <w:rsid w:val="002A480F"/>
    <w:rsid w:val="002C3223"/>
    <w:rsid w:val="002C3579"/>
    <w:rsid w:val="002D17E5"/>
    <w:rsid w:val="002E06A0"/>
    <w:rsid w:val="002E6DAA"/>
    <w:rsid w:val="002F4401"/>
    <w:rsid w:val="002F51CA"/>
    <w:rsid w:val="00303516"/>
    <w:rsid w:val="00306318"/>
    <w:rsid w:val="00311D90"/>
    <w:rsid w:val="00314219"/>
    <w:rsid w:val="003149BC"/>
    <w:rsid w:val="00327673"/>
    <w:rsid w:val="00336AD9"/>
    <w:rsid w:val="003455E3"/>
    <w:rsid w:val="00365468"/>
    <w:rsid w:val="003658A2"/>
    <w:rsid w:val="003673EC"/>
    <w:rsid w:val="00373A2E"/>
    <w:rsid w:val="00376525"/>
    <w:rsid w:val="00383EE8"/>
    <w:rsid w:val="00397ABE"/>
    <w:rsid w:val="003A2C3F"/>
    <w:rsid w:val="003A2FD3"/>
    <w:rsid w:val="003B435C"/>
    <w:rsid w:val="003B5B0B"/>
    <w:rsid w:val="003C08DE"/>
    <w:rsid w:val="003C3E7A"/>
    <w:rsid w:val="003D28D2"/>
    <w:rsid w:val="003D68A3"/>
    <w:rsid w:val="003E1657"/>
    <w:rsid w:val="003E1B5A"/>
    <w:rsid w:val="003E40B2"/>
    <w:rsid w:val="003E44AD"/>
    <w:rsid w:val="003E5387"/>
    <w:rsid w:val="003F0BD9"/>
    <w:rsid w:val="003F0FE7"/>
    <w:rsid w:val="003F2E32"/>
    <w:rsid w:val="003F570B"/>
    <w:rsid w:val="00411B62"/>
    <w:rsid w:val="004177CD"/>
    <w:rsid w:val="00425315"/>
    <w:rsid w:val="0042688C"/>
    <w:rsid w:val="0042765E"/>
    <w:rsid w:val="00427AE5"/>
    <w:rsid w:val="00443282"/>
    <w:rsid w:val="00446145"/>
    <w:rsid w:val="004562F1"/>
    <w:rsid w:val="004628F2"/>
    <w:rsid w:val="004646F9"/>
    <w:rsid w:val="00471921"/>
    <w:rsid w:val="00491543"/>
    <w:rsid w:val="004A661D"/>
    <w:rsid w:val="004A74AC"/>
    <w:rsid w:val="004C0BC3"/>
    <w:rsid w:val="004C70C8"/>
    <w:rsid w:val="004E16A1"/>
    <w:rsid w:val="004E683E"/>
    <w:rsid w:val="00524164"/>
    <w:rsid w:val="00527733"/>
    <w:rsid w:val="00531000"/>
    <w:rsid w:val="00533A77"/>
    <w:rsid w:val="005401E0"/>
    <w:rsid w:val="00544424"/>
    <w:rsid w:val="0054746C"/>
    <w:rsid w:val="00556F8C"/>
    <w:rsid w:val="00565830"/>
    <w:rsid w:val="00565B5E"/>
    <w:rsid w:val="00566B5F"/>
    <w:rsid w:val="00587D1F"/>
    <w:rsid w:val="005953A1"/>
    <w:rsid w:val="005A2F24"/>
    <w:rsid w:val="005A6119"/>
    <w:rsid w:val="005A7C4E"/>
    <w:rsid w:val="005B4DA4"/>
    <w:rsid w:val="005C180F"/>
    <w:rsid w:val="005C77BE"/>
    <w:rsid w:val="005D238D"/>
    <w:rsid w:val="005E0B1A"/>
    <w:rsid w:val="005E45C6"/>
    <w:rsid w:val="005F761F"/>
    <w:rsid w:val="0060721F"/>
    <w:rsid w:val="006128A5"/>
    <w:rsid w:val="00613169"/>
    <w:rsid w:val="006132A8"/>
    <w:rsid w:val="00622C6D"/>
    <w:rsid w:val="0062572C"/>
    <w:rsid w:val="00630E07"/>
    <w:rsid w:val="0063784F"/>
    <w:rsid w:val="00637F43"/>
    <w:rsid w:val="00640277"/>
    <w:rsid w:val="006446A9"/>
    <w:rsid w:val="00644A1B"/>
    <w:rsid w:val="006536D8"/>
    <w:rsid w:val="00654399"/>
    <w:rsid w:val="00654BA4"/>
    <w:rsid w:val="0066195A"/>
    <w:rsid w:val="00664931"/>
    <w:rsid w:val="006670C8"/>
    <w:rsid w:val="00674D13"/>
    <w:rsid w:val="006803B4"/>
    <w:rsid w:val="006841A7"/>
    <w:rsid w:val="00693721"/>
    <w:rsid w:val="00694C22"/>
    <w:rsid w:val="006963BC"/>
    <w:rsid w:val="006970F4"/>
    <w:rsid w:val="00697ECE"/>
    <w:rsid w:val="006A0244"/>
    <w:rsid w:val="006A2E15"/>
    <w:rsid w:val="006B163F"/>
    <w:rsid w:val="006C269D"/>
    <w:rsid w:val="006D2849"/>
    <w:rsid w:val="006D7F9D"/>
    <w:rsid w:val="006E7CBB"/>
    <w:rsid w:val="006F7028"/>
    <w:rsid w:val="006F749E"/>
    <w:rsid w:val="007024F1"/>
    <w:rsid w:val="00713417"/>
    <w:rsid w:val="0071476D"/>
    <w:rsid w:val="00714EDD"/>
    <w:rsid w:val="00723505"/>
    <w:rsid w:val="00724E03"/>
    <w:rsid w:val="007263B9"/>
    <w:rsid w:val="0075009F"/>
    <w:rsid w:val="00754038"/>
    <w:rsid w:val="00763D98"/>
    <w:rsid w:val="00781E6A"/>
    <w:rsid w:val="007B1F57"/>
    <w:rsid w:val="007B305A"/>
    <w:rsid w:val="007B4938"/>
    <w:rsid w:val="007E3706"/>
    <w:rsid w:val="007F4CD3"/>
    <w:rsid w:val="007F61C2"/>
    <w:rsid w:val="008018DB"/>
    <w:rsid w:val="00803CA2"/>
    <w:rsid w:val="00807CAC"/>
    <w:rsid w:val="008115BF"/>
    <w:rsid w:val="00812F89"/>
    <w:rsid w:val="008166EB"/>
    <w:rsid w:val="00816942"/>
    <w:rsid w:val="00817A7D"/>
    <w:rsid w:val="008212DA"/>
    <w:rsid w:val="00824D81"/>
    <w:rsid w:val="00835322"/>
    <w:rsid w:val="00853ABC"/>
    <w:rsid w:val="00857F84"/>
    <w:rsid w:val="00871D53"/>
    <w:rsid w:val="00871DCE"/>
    <w:rsid w:val="00881405"/>
    <w:rsid w:val="0089069F"/>
    <w:rsid w:val="00895B40"/>
    <w:rsid w:val="00895DA2"/>
    <w:rsid w:val="00897359"/>
    <w:rsid w:val="008A7371"/>
    <w:rsid w:val="008B7EC5"/>
    <w:rsid w:val="008D25B7"/>
    <w:rsid w:val="008D5479"/>
    <w:rsid w:val="008E0DC0"/>
    <w:rsid w:val="008E0DF5"/>
    <w:rsid w:val="008E3273"/>
    <w:rsid w:val="008F0C45"/>
    <w:rsid w:val="008F2CEC"/>
    <w:rsid w:val="00904B00"/>
    <w:rsid w:val="00904EDC"/>
    <w:rsid w:val="00910F82"/>
    <w:rsid w:val="00923906"/>
    <w:rsid w:val="00934961"/>
    <w:rsid w:val="00940C0F"/>
    <w:rsid w:val="0094424D"/>
    <w:rsid w:val="00946533"/>
    <w:rsid w:val="00951DC3"/>
    <w:rsid w:val="0095548F"/>
    <w:rsid w:val="009744C8"/>
    <w:rsid w:val="00974530"/>
    <w:rsid w:val="00980E58"/>
    <w:rsid w:val="009815BD"/>
    <w:rsid w:val="00981886"/>
    <w:rsid w:val="00982127"/>
    <w:rsid w:val="00982E59"/>
    <w:rsid w:val="00990102"/>
    <w:rsid w:val="00990FEC"/>
    <w:rsid w:val="00991774"/>
    <w:rsid w:val="00992257"/>
    <w:rsid w:val="00995921"/>
    <w:rsid w:val="00995A00"/>
    <w:rsid w:val="00997E84"/>
    <w:rsid w:val="009A065C"/>
    <w:rsid w:val="009A1B08"/>
    <w:rsid w:val="009C3CB9"/>
    <w:rsid w:val="009C4A13"/>
    <w:rsid w:val="009C745D"/>
    <w:rsid w:val="009E1BDA"/>
    <w:rsid w:val="009E39CB"/>
    <w:rsid w:val="009F4CC8"/>
    <w:rsid w:val="009F7DE3"/>
    <w:rsid w:val="00A07154"/>
    <w:rsid w:val="00A11868"/>
    <w:rsid w:val="00A127D3"/>
    <w:rsid w:val="00A1386C"/>
    <w:rsid w:val="00A14335"/>
    <w:rsid w:val="00A14B43"/>
    <w:rsid w:val="00A23612"/>
    <w:rsid w:val="00A2604E"/>
    <w:rsid w:val="00A32860"/>
    <w:rsid w:val="00A40E1A"/>
    <w:rsid w:val="00A417A2"/>
    <w:rsid w:val="00A51A92"/>
    <w:rsid w:val="00A52189"/>
    <w:rsid w:val="00A57463"/>
    <w:rsid w:val="00A664DF"/>
    <w:rsid w:val="00A71219"/>
    <w:rsid w:val="00A713D0"/>
    <w:rsid w:val="00A722D4"/>
    <w:rsid w:val="00A75AAA"/>
    <w:rsid w:val="00A82A29"/>
    <w:rsid w:val="00AA516A"/>
    <w:rsid w:val="00AA5B0E"/>
    <w:rsid w:val="00AB3750"/>
    <w:rsid w:val="00AC0504"/>
    <w:rsid w:val="00AC1DB7"/>
    <w:rsid w:val="00AC664F"/>
    <w:rsid w:val="00AC750B"/>
    <w:rsid w:val="00AD6937"/>
    <w:rsid w:val="00AE1F12"/>
    <w:rsid w:val="00AE24CC"/>
    <w:rsid w:val="00AE4155"/>
    <w:rsid w:val="00AE41A3"/>
    <w:rsid w:val="00AE4B7C"/>
    <w:rsid w:val="00AE66F6"/>
    <w:rsid w:val="00AF17CE"/>
    <w:rsid w:val="00AF349B"/>
    <w:rsid w:val="00B009E9"/>
    <w:rsid w:val="00B01B16"/>
    <w:rsid w:val="00B11D16"/>
    <w:rsid w:val="00B12397"/>
    <w:rsid w:val="00B24588"/>
    <w:rsid w:val="00B447D7"/>
    <w:rsid w:val="00B51693"/>
    <w:rsid w:val="00B61016"/>
    <w:rsid w:val="00B71BAA"/>
    <w:rsid w:val="00B76A1F"/>
    <w:rsid w:val="00B82F8C"/>
    <w:rsid w:val="00B8460F"/>
    <w:rsid w:val="00B87561"/>
    <w:rsid w:val="00B95477"/>
    <w:rsid w:val="00B97CEC"/>
    <w:rsid w:val="00BA1D81"/>
    <w:rsid w:val="00BA7130"/>
    <w:rsid w:val="00BD74AE"/>
    <w:rsid w:val="00BE16BC"/>
    <w:rsid w:val="00BE3FE7"/>
    <w:rsid w:val="00BF2D74"/>
    <w:rsid w:val="00BF4CC8"/>
    <w:rsid w:val="00BF75B6"/>
    <w:rsid w:val="00C02547"/>
    <w:rsid w:val="00C058D5"/>
    <w:rsid w:val="00C06C20"/>
    <w:rsid w:val="00C1124F"/>
    <w:rsid w:val="00C1686C"/>
    <w:rsid w:val="00C30DED"/>
    <w:rsid w:val="00C3536D"/>
    <w:rsid w:val="00C37BFF"/>
    <w:rsid w:val="00C45F17"/>
    <w:rsid w:val="00C4644C"/>
    <w:rsid w:val="00C51458"/>
    <w:rsid w:val="00C53580"/>
    <w:rsid w:val="00C55838"/>
    <w:rsid w:val="00C56745"/>
    <w:rsid w:val="00C70729"/>
    <w:rsid w:val="00C71475"/>
    <w:rsid w:val="00C77EF7"/>
    <w:rsid w:val="00C820F1"/>
    <w:rsid w:val="00C85A38"/>
    <w:rsid w:val="00C91512"/>
    <w:rsid w:val="00C94A53"/>
    <w:rsid w:val="00CA2DE2"/>
    <w:rsid w:val="00CA3A85"/>
    <w:rsid w:val="00CA6636"/>
    <w:rsid w:val="00CA6D76"/>
    <w:rsid w:val="00CB51CC"/>
    <w:rsid w:val="00CB7E3A"/>
    <w:rsid w:val="00CC1A72"/>
    <w:rsid w:val="00CC5692"/>
    <w:rsid w:val="00CC65F3"/>
    <w:rsid w:val="00CD4C3E"/>
    <w:rsid w:val="00CD56E5"/>
    <w:rsid w:val="00CE0C1B"/>
    <w:rsid w:val="00CF0C67"/>
    <w:rsid w:val="00CF0F40"/>
    <w:rsid w:val="00CF4753"/>
    <w:rsid w:val="00CF64C1"/>
    <w:rsid w:val="00D0083B"/>
    <w:rsid w:val="00D172D8"/>
    <w:rsid w:val="00D35B2D"/>
    <w:rsid w:val="00D44183"/>
    <w:rsid w:val="00D465A2"/>
    <w:rsid w:val="00D5276C"/>
    <w:rsid w:val="00D6384D"/>
    <w:rsid w:val="00D653F3"/>
    <w:rsid w:val="00D66B24"/>
    <w:rsid w:val="00D872BC"/>
    <w:rsid w:val="00DA21E0"/>
    <w:rsid w:val="00DA529F"/>
    <w:rsid w:val="00DB5AAE"/>
    <w:rsid w:val="00DB6882"/>
    <w:rsid w:val="00DC5017"/>
    <w:rsid w:val="00DC5129"/>
    <w:rsid w:val="00DD7F1B"/>
    <w:rsid w:val="00DE4AB6"/>
    <w:rsid w:val="00E12A7A"/>
    <w:rsid w:val="00E27FD6"/>
    <w:rsid w:val="00E41DB9"/>
    <w:rsid w:val="00E762BB"/>
    <w:rsid w:val="00E83D74"/>
    <w:rsid w:val="00E8661B"/>
    <w:rsid w:val="00E9084E"/>
    <w:rsid w:val="00E962E6"/>
    <w:rsid w:val="00EA689F"/>
    <w:rsid w:val="00EA6E0F"/>
    <w:rsid w:val="00EB4567"/>
    <w:rsid w:val="00EC1434"/>
    <w:rsid w:val="00EC6744"/>
    <w:rsid w:val="00EC72B0"/>
    <w:rsid w:val="00ED421C"/>
    <w:rsid w:val="00ED472B"/>
    <w:rsid w:val="00ED7A49"/>
    <w:rsid w:val="00EE5F75"/>
    <w:rsid w:val="00EF33BE"/>
    <w:rsid w:val="00EF4F97"/>
    <w:rsid w:val="00F00E7E"/>
    <w:rsid w:val="00F126FC"/>
    <w:rsid w:val="00F12983"/>
    <w:rsid w:val="00F15359"/>
    <w:rsid w:val="00F15B40"/>
    <w:rsid w:val="00F22F4B"/>
    <w:rsid w:val="00F245A2"/>
    <w:rsid w:val="00F309CB"/>
    <w:rsid w:val="00F33EEE"/>
    <w:rsid w:val="00F40D95"/>
    <w:rsid w:val="00F435E8"/>
    <w:rsid w:val="00F44A0E"/>
    <w:rsid w:val="00F4763C"/>
    <w:rsid w:val="00F477DF"/>
    <w:rsid w:val="00F51CAD"/>
    <w:rsid w:val="00F51E09"/>
    <w:rsid w:val="00F540BA"/>
    <w:rsid w:val="00F64069"/>
    <w:rsid w:val="00F64D6D"/>
    <w:rsid w:val="00F82EE1"/>
    <w:rsid w:val="00F93134"/>
    <w:rsid w:val="00FB078F"/>
    <w:rsid w:val="00FB70FA"/>
    <w:rsid w:val="00FC3F00"/>
    <w:rsid w:val="00FF1D71"/>
    <w:rsid w:val="00FF30D5"/>
    <w:rsid w:val="1627D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157AC35B-2839-4376-B7FA-31DEB7AB0EFE}">
  <ds:schemaRefs>
    <ds:schemaRef ds:uri="http://schemas.openxmlformats.org/officeDocument/2006/bibliography"/>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ACAC97D2-165A-4383-AC8F-C0DBF7B6A821}">
  <ds:schemaRefs>
    <ds:schemaRef ds:uri="Microsoft.SharePoint.Taxonomy.ContentTypeSync"/>
  </ds:schemaRefs>
</ds:datastoreItem>
</file>

<file path=customXml/itemProps4.xml><?xml version="1.0" encoding="utf-8"?>
<ds:datastoreItem xmlns:ds="http://schemas.openxmlformats.org/officeDocument/2006/customXml" ds:itemID="{359434E5-3A30-48A6-80A0-92D491628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1375</Words>
  <Characters>8049</Characters>
  <Application>Microsoft Office Word</Application>
  <DocSecurity>0</DocSecurity>
  <Lines>167</Lines>
  <Paragraphs>66</Paragraphs>
  <ScaleCrop>false</ScaleCrop>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3</cp:revision>
  <cp:lastPrinted>2016-12-20T13:40:00Z</cp:lastPrinted>
  <dcterms:created xsi:type="dcterms:W3CDTF">2024-09-11T12:32:00Z</dcterms:created>
  <dcterms:modified xsi:type="dcterms:W3CDTF">2024-10-22T18:30:00Z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bd24d06a-0e85-4d57-b1e0-ba34b1abc708_ActionId">
    <vt:lpwstr>8fa8cbed-8661-40e8-be89-0bf836e2227b</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2024-10-22T18:30:35Z</vt:lpwstr>
  </property>
  <property fmtid="{D5CDD505-2E9C-101B-9397-08002B2CF9AE}" pid="10" name="MSIP_Label_bd24d06a-0e85-4d57-b1e0-ba34b1abc708_SiteId">
    <vt:lpwstr>19caa9e9-04ff-43fa-885f-d77fac387903</vt:lpwstr>
  </property>
</Properties>
</file>