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407F" w:rsidRPr="00BD0FD5" w:rsidP="0092596C" w14:paraId="34B02DCB" w14:textId="77777777">
      <w:pPr>
        <w:spacing w:after="0" w:line="240" w:lineRule="auto"/>
        <w:jc w:val="center"/>
        <w:rPr>
          <w:rFonts w:ascii="Times New Roman" w:hAnsi="Times New Roman"/>
          <w:sz w:val="24"/>
          <w:szCs w:val="24"/>
        </w:rPr>
      </w:pPr>
      <w:r w:rsidRPr="00BD0FD5">
        <w:rPr>
          <w:rFonts w:ascii="Times New Roman" w:hAnsi="Times New Roman"/>
          <w:sz w:val="24"/>
          <w:szCs w:val="24"/>
        </w:rPr>
        <w:t>Supporting Statement</w:t>
      </w:r>
    </w:p>
    <w:p w:rsidR="007D1EDB" w:rsidP="009D4D24" w14:paraId="65D98BDA"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FERC-725</w:t>
      </w:r>
      <w:r>
        <w:rPr>
          <w:rFonts w:ascii="Times New Roman" w:hAnsi="Times New Roman"/>
          <w:b/>
          <w:sz w:val="24"/>
          <w:szCs w:val="24"/>
        </w:rPr>
        <w:t>A</w:t>
      </w:r>
      <w:r w:rsidRPr="00BD0FD5">
        <w:rPr>
          <w:rFonts w:ascii="Times New Roman" w:hAnsi="Times New Roman"/>
          <w:b/>
          <w:sz w:val="24"/>
          <w:szCs w:val="24"/>
        </w:rPr>
        <w:t>,</w:t>
      </w:r>
      <w:r w:rsidRPr="00BD0FD5" w:rsidR="008F16EE">
        <w:rPr>
          <w:rFonts w:ascii="Times New Roman" w:hAnsi="Times New Roman"/>
          <w:b/>
          <w:sz w:val="24"/>
          <w:szCs w:val="24"/>
        </w:rPr>
        <w:t xml:space="preserve"> Mandatory Reliability Standards</w:t>
      </w:r>
      <w:r>
        <w:rPr>
          <w:rFonts w:ascii="Times New Roman" w:hAnsi="Times New Roman"/>
          <w:b/>
          <w:sz w:val="24"/>
          <w:szCs w:val="24"/>
        </w:rPr>
        <w:t xml:space="preserve"> for the Bulk Power System</w:t>
      </w:r>
    </w:p>
    <w:p w:rsidR="00FD66F1" w:rsidRPr="00BD0FD5" w:rsidP="0092596C" w14:paraId="06ED65FC" w14:textId="77777777">
      <w:pPr>
        <w:spacing w:after="0" w:line="240" w:lineRule="auto"/>
        <w:rPr>
          <w:rFonts w:ascii="Times New Roman" w:hAnsi="Times New Roman" w:cs="Times New Roman"/>
          <w:sz w:val="24"/>
          <w:szCs w:val="24"/>
        </w:rPr>
      </w:pPr>
    </w:p>
    <w:p w:rsidR="0081469B" w:rsidRPr="00BD0FD5" w:rsidP="0081469B" w14:paraId="5C6E31D6" w14:textId="766D4E5D">
      <w:pPr>
        <w:spacing w:after="0" w:line="240" w:lineRule="auto"/>
        <w:rPr>
          <w:rFonts w:ascii="Times New Roman" w:hAnsi="Times New Roman"/>
          <w:sz w:val="24"/>
          <w:szCs w:val="24"/>
        </w:rPr>
      </w:pPr>
      <w:r w:rsidRPr="00BD0FD5">
        <w:rPr>
          <w:rFonts w:ascii="Times New Roman" w:hAnsi="Times New Roman"/>
          <w:sz w:val="24"/>
          <w:szCs w:val="24"/>
        </w:rPr>
        <w:t>The existing</w:t>
      </w:r>
      <w:r w:rsidRPr="00BD0FD5" w:rsidR="00333EE2">
        <w:rPr>
          <w:rFonts w:ascii="Times New Roman" w:hAnsi="Times New Roman"/>
          <w:sz w:val="24"/>
          <w:szCs w:val="24"/>
        </w:rPr>
        <w:t xml:space="preserve"> information collection requireme</w:t>
      </w:r>
      <w:r w:rsidRPr="00BD0FD5" w:rsidR="007A7A19">
        <w:rPr>
          <w:rFonts w:ascii="Times New Roman" w:hAnsi="Times New Roman"/>
          <w:sz w:val="24"/>
          <w:szCs w:val="24"/>
        </w:rPr>
        <w:t xml:space="preserve">nts in the </w:t>
      </w:r>
      <w:r w:rsidR="00DD2B39">
        <w:rPr>
          <w:rFonts w:ascii="Times New Roman" w:hAnsi="Times New Roman"/>
          <w:sz w:val="24"/>
          <w:szCs w:val="24"/>
        </w:rPr>
        <w:t xml:space="preserve">currently effective </w:t>
      </w:r>
      <w:r w:rsidR="007E08EF">
        <w:rPr>
          <w:rFonts w:ascii="Times New Roman" w:hAnsi="Times New Roman"/>
          <w:sz w:val="24"/>
          <w:szCs w:val="24"/>
        </w:rPr>
        <w:t xml:space="preserve">Mandatory </w:t>
      </w:r>
      <w:r w:rsidRPr="00BD0FD5" w:rsidR="007A7A19">
        <w:rPr>
          <w:rFonts w:ascii="Times New Roman" w:hAnsi="Times New Roman"/>
          <w:sz w:val="24"/>
          <w:szCs w:val="24"/>
        </w:rPr>
        <w:t>Reliability Standard</w:t>
      </w:r>
      <w:r w:rsidR="007E08EF">
        <w:rPr>
          <w:rFonts w:ascii="Times New Roman" w:hAnsi="Times New Roman"/>
          <w:sz w:val="24"/>
          <w:szCs w:val="24"/>
        </w:rPr>
        <w:t>s</w:t>
      </w:r>
      <w:r w:rsidR="00DD2B39">
        <w:rPr>
          <w:rFonts w:ascii="Times New Roman" w:hAnsi="Times New Roman"/>
          <w:sz w:val="24"/>
          <w:szCs w:val="24"/>
        </w:rPr>
        <w:t>,</w:t>
      </w:r>
      <w:r w:rsidRPr="00BD0FD5" w:rsidR="00333EE2">
        <w:rPr>
          <w:rFonts w:ascii="Times New Roman" w:hAnsi="Times New Roman"/>
          <w:sz w:val="24"/>
          <w:szCs w:val="24"/>
        </w:rPr>
        <w:t xml:space="preserve"> are approved by OMB under FERC-725A (</w:t>
      </w:r>
      <w:r w:rsidRPr="00BD0FD5" w:rsidR="001F1AD2">
        <w:rPr>
          <w:rFonts w:ascii="Times New Roman" w:hAnsi="Times New Roman"/>
          <w:sz w:val="24"/>
          <w:szCs w:val="24"/>
        </w:rPr>
        <w:t>OMB Control No.</w:t>
      </w:r>
      <w:r w:rsidRPr="00BD0FD5" w:rsidR="00333EE2">
        <w:rPr>
          <w:rFonts w:ascii="Times New Roman" w:hAnsi="Times New Roman"/>
          <w:sz w:val="24"/>
          <w:szCs w:val="24"/>
        </w:rPr>
        <w:t xml:space="preserve">1902-0244). </w:t>
      </w:r>
      <w:r w:rsidR="001372FF">
        <w:rPr>
          <w:rFonts w:ascii="Times New Roman" w:hAnsi="Times New Roman"/>
          <w:sz w:val="24"/>
          <w:szCs w:val="24"/>
        </w:rPr>
        <w:t xml:space="preserve">FERC is revising this information collection to </w:t>
      </w:r>
      <w:r w:rsidR="00291C3B">
        <w:rPr>
          <w:rFonts w:ascii="Times New Roman" w:hAnsi="Times New Roman"/>
          <w:sz w:val="24"/>
          <w:szCs w:val="24"/>
        </w:rPr>
        <w:t xml:space="preserve">include only </w:t>
      </w:r>
      <w:r w:rsidR="00217FA7">
        <w:rPr>
          <w:rFonts w:ascii="Times New Roman" w:hAnsi="Times New Roman"/>
          <w:sz w:val="24"/>
          <w:szCs w:val="24"/>
        </w:rPr>
        <w:t>Interchange Scheduling and Coordination (INT) Reliability Standards,</w:t>
      </w:r>
      <w:r w:rsidR="001470D4">
        <w:rPr>
          <w:rFonts w:ascii="Times New Roman" w:hAnsi="Times New Roman"/>
          <w:sz w:val="24"/>
          <w:szCs w:val="24"/>
        </w:rPr>
        <w:t xml:space="preserve"> Transmission Operations</w:t>
      </w:r>
      <w:r w:rsidR="00217FA7">
        <w:rPr>
          <w:rFonts w:ascii="Times New Roman" w:hAnsi="Times New Roman"/>
          <w:sz w:val="24"/>
          <w:szCs w:val="24"/>
        </w:rPr>
        <w:t xml:space="preserve"> (TOP) Reliability Standards, and the Mandatory Bulk Power-System – </w:t>
      </w:r>
      <w:r w:rsidR="001470D4">
        <w:rPr>
          <w:rFonts w:ascii="Times New Roman" w:hAnsi="Times New Roman"/>
          <w:sz w:val="24"/>
          <w:szCs w:val="24"/>
        </w:rPr>
        <w:t>r</w:t>
      </w:r>
      <w:r w:rsidR="00217FA7">
        <w:rPr>
          <w:rFonts w:ascii="Times New Roman" w:hAnsi="Times New Roman"/>
          <w:sz w:val="24"/>
          <w:szCs w:val="24"/>
        </w:rPr>
        <w:t>ecordkeeping</w:t>
      </w:r>
      <w:r w:rsidR="001470D4">
        <w:rPr>
          <w:rFonts w:ascii="Times New Roman" w:hAnsi="Times New Roman"/>
          <w:sz w:val="24"/>
          <w:szCs w:val="24"/>
        </w:rPr>
        <w:t xml:space="preserve"> and will be transferring/</w:t>
      </w:r>
      <w:r w:rsidR="001372FF">
        <w:rPr>
          <w:rFonts w:ascii="Times New Roman" w:hAnsi="Times New Roman"/>
          <w:sz w:val="24"/>
          <w:szCs w:val="24"/>
        </w:rPr>
        <w:t>remov</w:t>
      </w:r>
      <w:r w:rsidR="001470D4">
        <w:rPr>
          <w:rFonts w:ascii="Times New Roman" w:hAnsi="Times New Roman"/>
          <w:sz w:val="24"/>
          <w:szCs w:val="24"/>
        </w:rPr>
        <w:t>ing</w:t>
      </w:r>
      <w:r w:rsidRPr="00BD0FD5" w:rsidR="00333EE2">
        <w:rPr>
          <w:rFonts w:ascii="Times New Roman" w:hAnsi="Times New Roman"/>
          <w:sz w:val="24"/>
          <w:szCs w:val="24"/>
        </w:rPr>
        <w:t xml:space="preserve"> </w:t>
      </w:r>
      <w:r w:rsidRPr="007E08EF" w:rsidR="001372FF">
        <w:rPr>
          <w:rFonts w:ascii="Times New Roman" w:hAnsi="Times New Roman" w:cs="Times New Roman"/>
          <w:sz w:val="24"/>
          <w:szCs w:val="24"/>
        </w:rPr>
        <w:t>the data</w:t>
      </w:r>
      <w:r w:rsidR="001470D4">
        <w:rPr>
          <w:rFonts w:ascii="Times New Roman" w:hAnsi="Times New Roman" w:cs="Times New Roman"/>
          <w:sz w:val="24"/>
          <w:szCs w:val="24"/>
        </w:rPr>
        <w:t xml:space="preserve"> that has included duplicated or displaced reliability standards and placing them in their respected Information Collections.</w:t>
      </w:r>
      <w:r w:rsidRPr="007E08EF" w:rsidR="001372FF">
        <w:rPr>
          <w:rFonts w:ascii="Times New Roman" w:hAnsi="Times New Roman" w:cs="Times New Roman"/>
          <w:sz w:val="24"/>
          <w:szCs w:val="24"/>
        </w:rPr>
        <w:t xml:space="preserve"> </w:t>
      </w:r>
      <w:r w:rsidR="00A54D7D">
        <w:rPr>
          <w:rFonts w:ascii="Times New Roman" w:hAnsi="Times New Roman" w:cs="Times New Roman"/>
          <w:sz w:val="24"/>
          <w:szCs w:val="24"/>
        </w:rPr>
        <w:t>Requesting for an extension for 3 years</w:t>
      </w:r>
      <w:r w:rsidR="001470D4">
        <w:rPr>
          <w:rFonts w:ascii="Times New Roman" w:hAnsi="Times New Roman" w:cs="Times New Roman"/>
          <w:sz w:val="24"/>
          <w:szCs w:val="24"/>
        </w:rPr>
        <w:t>.</w:t>
      </w:r>
    </w:p>
    <w:p w:rsidR="0002242D" w:rsidRPr="00BD0FD5" w:rsidP="0092596C" w14:paraId="0A7ACEEA" w14:textId="77777777">
      <w:pPr>
        <w:spacing w:after="0" w:line="240" w:lineRule="auto"/>
        <w:rPr>
          <w:rFonts w:ascii="Times New Roman" w:hAnsi="Times New Roman" w:cs="Times New Roman"/>
          <w:sz w:val="24"/>
          <w:szCs w:val="24"/>
        </w:rPr>
      </w:pPr>
    </w:p>
    <w:p w:rsidR="00A72E7B" w:rsidRPr="00BD0FD5" w:rsidP="0092596C" w14:paraId="24609743" w14:textId="36C18E23">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CIRCUMSTANCES THAT MAKE THE COL</w:t>
      </w:r>
      <w:r w:rsidR="0078478E">
        <w:rPr>
          <w:rFonts w:ascii="Times New Roman" w:hAnsi="Times New Roman" w:cs="Times New Roman"/>
          <w:b/>
          <w:sz w:val="24"/>
          <w:szCs w:val="24"/>
        </w:rPr>
        <w:t xml:space="preserve"> </w:t>
      </w:r>
      <w:r w:rsidRPr="00BD0FD5">
        <w:rPr>
          <w:rFonts w:ascii="Times New Roman" w:hAnsi="Times New Roman" w:cs="Times New Roman"/>
          <w:b/>
          <w:sz w:val="24"/>
          <w:szCs w:val="24"/>
        </w:rPr>
        <w:t>LECTION OF INFORMATION NECESSARY</w:t>
      </w:r>
    </w:p>
    <w:p w:rsidR="0069254C" w:rsidP="007E08EF" w14:paraId="0649F3A5" w14:textId="77777777">
      <w:pPr>
        <w:spacing w:after="0" w:line="240" w:lineRule="auto"/>
        <w:rPr>
          <w:rFonts w:ascii="Times New Roman" w:hAnsi="Times New Roman" w:cs="Times New Roman"/>
          <w:sz w:val="24"/>
          <w:szCs w:val="24"/>
        </w:rPr>
      </w:pPr>
    </w:p>
    <w:p w:rsidR="007E08EF" w:rsidP="007E08EF" w14:paraId="2897BE48" w14:textId="0EC713A9">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 xml:space="preserve">On August 8, 2005, the Electricity Modernization Act of 2005, which is Title XII, Subtitle A, of the Energy Policy Act of 2005 (EPAct 2005), was enacted into law.  EPAct 2005 added a new section 215 to the FPA, which requires a Commission-certified </w:t>
      </w:r>
      <w:r w:rsidR="007C5EB4">
        <w:rPr>
          <w:rFonts w:ascii="Times New Roman" w:hAnsi="Times New Roman" w:cs="Times New Roman"/>
          <w:sz w:val="24"/>
          <w:szCs w:val="24"/>
        </w:rPr>
        <w:t>E</w:t>
      </w:r>
      <w:r w:rsidRPr="007E08EF">
        <w:rPr>
          <w:rFonts w:ascii="Times New Roman" w:hAnsi="Times New Roman" w:cs="Times New Roman"/>
          <w:sz w:val="24"/>
          <w:szCs w:val="24"/>
        </w:rPr>
        <w:t xml:space="preserve">lectric </w:t>
      </w:r>
      <w:r w:rsidR="007C5EB4">
        <w:rPr>
          <w:rFonts w:ascii="Times New Roman" w:hAnsi="Times New Roman" w:cs="Times New Roman"/>
          <w:sz w:val="24"/>
          <w:szCs w:val="24"/>
        </w:rPr>
        <w:t>R</w:t>
      </w:r>
      <w:r w:rsidRPr="007E08EF">
        <w:rPr>
          <w:rFonts w:ascii="Times New Roman" w:hAnsi="Times New Roman" w:cs="Times New Roman"/>
          <w:sz w:val="24"/>
          <w:szCs w:val="24"/>
        </w:rPr>
        <w:t xml:space="preserve">eliability </w:t>
      </w:r>
      <w:r w:rsidR="007C5EB4">
        <w:rPr>
          <w:rFonts w:ascii="Times New Roman" w:hAnsi="Times New Roman" w:cs="Times New Roman"/>
          <w:sz w:val="24"/>
          <w:szCs w:val="24"/>
        </w:rPr>
        <w:t>O</w:t>
      </w:r>
      <w:r w:rsidRPr="007E08EF">
        <w:rPr>
          <w:rFonts w:ascii="Times New Roman" w:hAnsi="Times New Roman" w:cs="Times New Roman"/>
          <w:sz w:val="24"/>
          <w:szCs w:val="24"/>
        </w:rPr>
        <w:t xml:space="preserve">rganization (ERO) (FERC-725) to develop mandatory and enforceable Reliability Standards, which are subject to Commission review and approval.  Once approved, the Reliability Standards may be enforced by the ERO, subject to Commission oversight or the Commission can independently enforce Reliability Standards (FERC-725A). </w:t>
      </w:r>
    </w:p>
    <w:p w:rsidR="00004D85" w:rsidRPr="007E08EF" w:rsidP="007E08EF" w14:paraId="010D7951" w14:textId="77777777">
      <w:pPr>
        <w:spacing w:after="0" w:line="240" w:lineRule="auto"/>
        <w:rPr>
          <w:rFonts w:ascii="Times New Roman" w:hAnsi="Times New Roman" w:cs="Times New Roman"/>
          <w:sz w:val="24"/>
          <w:szCs w:val="24"/>
        </w:rPr>
      </w:pPr>
    </w:p>
    <w:p w:rsidR="007E08EF" w:rsidP="007E08EF" w14:paraId="606B9AEF" w14:textId="39BCDBF4">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On February 3, 2006, the Commission issued Order No. 672, implementing section 215 of the F</w:t>
      </w:r>
      <w:r w:rsidR="007C5EB4">
        <w:rPr>
          <w:rFonts w:ascii="Times New Roman" w:hAnsi="Times New Roman" w:cs="Times New Roman"/>
          <w:sz w:val="24"/>
          <w:szCs w:val="24"/>
        </w:rPr>
        <w:t>ederal Power Act (F</w:t>
      </w:r>
      <w:r w:rsidRPr="007E08EF">
        <w:rPr>
          <w:rFonts w:ascii="Times New Roman" w:hAnsi="Times New Roman" w:cs="Times New Roman"/>
          <w:sz w:val="24"/>
          <w:szCs w:val="24"/>
        </w:rPr>
        <w:t>PA</w:t>
      </w:r>
      <w:r w:rsidR="007C5EB4">
        <w:rPr>
          <w:rFonts w:ascii="Times New Roman" w:hAnsi="Times New Roman" w:cs="Times New Roman"/>
          <w:sz w:val="24"/>
          <w:szCs w:val="24"/>
        </w:rPr>
        <w:t>)</w:t>
      </w:r>
      <w:r w:rsidRPr="007E08EF">
        <w:rPr>
          <w:rFonts w:ascii="Times New Roman" w:hAnsi="Times New Roman" w:cs="Times New Roman"/>
          <w:sz w:val="24"/>
          <w:szCs w:val="24"/>
        </w:rPr>
        <w:t xml:space="preserve">.   Pursuant to Order No. 672, the Commission certified one organization, NERC, as the ERO.   The ERO is required to develop Reliability Standards, which are subject to Commission review and approval.  The Reliability Standards will apply to users, owners and operators of the Bulk-Power System, as set forth in each Reliability Standard.  </w:t>
      </w:r>
    </w:p>
    <w:p w:rsidR="00004D85" w:rsidRPr="007E08EF" w:rsidP="007E08EF" w14:paraId="2D0DCF2F" w14:textId="77777777">
      <w:pPr>
        <w:spacing w:after="0" w:line="240" w:lineRule="auto"/>
        <w:rPr>
          <w:rFonts w:ascii="Times New Roman" w:hAnsi="Times New Roman" w:cs="Times New Roman"/>
          <w:sz w:val="24"/>
          <w:szCs w:val="24"/>
        </w:rPr>
      </w:pPr>
    </w:p>
    <w:p w:rsidR="007E08EF" w:rsidP="007E08EF" w14:paraId="1B23A74E" w14:textId="44DACE5C">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 xml:space="preserve">On March 16, 2007, the Commission issued Order No. 693, a Final Rule adding part 40, a new part, to the Commission’s regulations.  The Final Rule states that this part applies to all users, owners and operators of the Bulk-Power System within the United States (other than Alaska or Hawaii).  It also requires that each Reliability Standard identify the subset of users, owners and operators to which that </w:t>
      </w:r>
      <w:r w:rsidRPr="007E08EF" w:rsidR="00896DEA">
        <w:rPr>
          <w:rFonts w:ascii="Times New Roman" w:hAnsi="Times New Roman" w:cs="Times New Roman"/>
          <w:sz w:val="24"/>
          <w:szCs w:val="24"/>
        </w:rPr>
        <w:t>Reliability</w:t>
      </w:r>
      <w:r w:rsidRPr="007E08EF">
        <w:rPr>
          <w:rFonts w:ascii="Times New Roman" w:hAnsi="Times New Roman" w:cs="Times New Roman"/>
          <w:sz w:val="24"/>
          <w:szCs w:val="24"/>
        </w:rPr>
        <w:t xml:space="preserve"> Standard applies.  The new regulations also require that each Reliability Standard that is approved by the Commission will be maintained on the ERO’s Internet website for public inspection. </w:t>
      </w:r>
    </w:p>
    <w:p w:rsidR="00004D85" w:rsidRPr="007E08EF" w:rsidP="007E08EF" w14:paraId="643D6819" w14:textId="77777777">
      <w:pPr>
        <w:spacing w:after="0" w:line="240" w:lineRule="auto"/>
        <w:rPr>
          <w:rFonts w:ascii="Times New Roman" w:hAnsi="Times New Roman" w:cs="Times New Roman"/>
          <w:sz w:val="24"/>
          <w:szCs w:val="24"/>
        </w:rPr>
      </w:pPr>
    </w:p>
    <w:p w:rsidR="007E08EF" w:rsidP="007E08EF" w14:paraId="41D62511" w14:textId="65F8DC69">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 xml:space="preserve">In order that the Commission is able to perform its oversight function with regard to Reliability Standards that are proposed by the ERO and established by the Commission, it is essential that the Commission receive timely information regarding all or potential violations of Reliability Standards.  While section 215 of the FPA contemplates the filing of the record of an ERO or Regional Entity enforcement action, FERC needs information regarding violations and potential violations at or near the time of occurrence.  Therefore, it will work with the ERO and regional reliability organizations to be able to use the electronic filing of </w:t>
      </w:r>
      <w:r w:rsidRPr="007E08EF" w:rsidR="00896DEA">
        <w:rPr>
          <w:rFonts w:ascii="Times New Roman" w:hAnsi="Times New Roman" w:cs="Times New Roman"/>
          <w:sz w:val="24"/>
          <w:szCs w:val="24"/>
        </w:rPr>
        <w:t>information,</w:t>
      </w:r>
      <w:r w:rsidRPr="007E08EF">
        <w:rPr>
          <w:rFonts w:ascii="Times New Roman" w:hAnsi="Times New Roman" w:cs="Times New Roman"/>
          <w:sz w:val="24"/>
          <w:szCs w:val="24"/>
        </w:rPr>
        <w:t xml:space="preserve"> so the Commission receives timely information. The new regulations also require that each Reliability Standard that is approved by the Commission will be maintained on the ERO’s Internet website for public inspection.   </w:t>
      </w:r>
    </w:p>
    <w:p w:rsidR="00DD1F76" w:rsidRPr="007E08EF" w:rsidP="007E08EF" w14:paraId="0085E51F" w14:textId="77777777">
      <w:pPr>
        <w:spacing w:after="0" w:line="240" w:lineRule="auto"/>
        <w:rPr>
          <w:rFonts w:ascii="Times New Roman" w:hAnsi="Times New Roman" w:cs="Times New Roman"/>
          <w:sz w:val="24"/>
          <w:szCs w:val="24"/>
        </w:rPr>
      </w:pPr>
    </w:p>
    <w:p w:rsidR="007E08EF" w:rsidRPr="007E08EF" w:rsidP="007E08EF" w14:paraId="4F58CCD3" w14:textId="77777777">
      <w:pPr>
        <w:spacing w:after="0" w:line="240" w:lineRule="auto"/>
        <w:rPr>
          <w:rFonts w:ascii="Times New Roman" w:hAnsi="Times New Roman" w:cs="Times New Roman"/>
          <w:sz w:val="24"/>
          <w:szCs w:val="24"/>
        </w:rPr>
      </w:pPr>
      <w:r w:rsidRPr="007E08EF">
        <w:rPr>
          <w:rFonts w:ascii="Times New Roman" w:hAnsi="Times New Roman" w:cs="Times New Roman"/>
          <w:sz w:val="24"/>
          <w:szCs w:val="24"/>
        </w:rPr>
        <w:t>In accordance with section 39.5 of the Commission’s regulations, the ERO must file each Reliability Standard or a modification to a Reliability Standard with the Commission.  The filing is to include a concise statement of the basis and purpose of the proposed Reliability Standard, either a summary of the Reliability development proceedings conducted by the ERO or a summary of the Reliability Standard development proceedings conducted by a Regional Entity together with a summary of the Reliability Standard review proceedings of the ERO and a demonstration that the proposed Reliability Standard is “just, reasonable, not unduly discriminatory or preferential, and in the public interest.</w:t>
      </w:r>
    </w:p>
    <w:p w:rsidR="007E08EF" w:rsidRPr="007E08EF" w:rsidP="007E08EF" w14:paraId="23E711E3" w14:textId="77777777">
      <w:pPr>
        <w:spacing w:after="0" w:line="240" w:lineRule="auto"/>
        <w:rPr>
          <w:rFonts w:ascii="Times New Roman" w:hAnsi="Times New Roman" w:cs="Times New Roman"/>
          <w:b/>
          <w:bCs/>
          <w:sz w:val="24"/>
          <w:szCs w:val="24"/>
        </w:rPr>
      </w:pPr>
    </w:p>
    <w:p w:rsidR="00EB3E6F" w:rsidRPr="00BD0FD5" w:rsidP="0092596C" w14:paraId="217ED921" w14:textId="77777777">
      <w:pPr>
        <w:spacing w:after="0" w:line="240" w:lineRule="auto"/>
        <w:rPr>
          <w:rFonts w:ascii="Times New Roman" w:hAnsi="Times New Roman" w:cs="Times New Roman"/>
          <w:sz w:val="24"/>
          <w:szCs w:val="24"/>
        </w:rPr>
      </w:pPr>
    </w:p>
    <w:p w:rsidR="00A72E7B" w:rsidRPr="00BD0FD5" w:rsidP="0092596C" w14:paraId="1A5C90A5"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HOW, BY WHOM, AND FOR WHAT PURPOSE THE INFORMATION IS TO BE USED AND THE CONSEQUENCES OF NOT COLLECTING THE INFORMATION</w:t>
      </w:r>
    </w:p>
    <w:p w:rsidR="009A6326" w:rsidP="009A6326" w14:paraId="6C25D29F" w14:textId="30B0D1B1">
      <w:pPr>
        <w:spacing w:after="0" w:line="240" w:lineRule="auto"/>
        <w:rPr>
          <w:rFonts w:ascii="Times New Roman" w:hAnsi="Times New Roman" w:cs="Times New Roman"/>
          <w:sz w:val="24"/>
          <w:szCs w:val="24"/>
        </w:rPr>
      </w:pPr>
    </w:p>
    <w:p w:rsidR="007F0136" w:rsidP="007F0136" w14:paraId="1089FE4B" w14:textId="3F19B14F">
      <w:pPr>
        <w:spacing w:after="0" w:line="240" w:lineRule="auto"/>
        <w:rPr>
          <w:rFonts w:ascii="Times New Roman" w:hAnsi="Times New Roman" w:cs="Times New Roman"/>
          <w:sz w:val="24"/>
          <w:szCs w:val="24"/>
        </w:rPr>
      </w:pPr>
      <w:r w:rsidRPr="007F0136">
        <w:rPr>
          <w:rFonts w:ascii="Times New Roman" w:hAnsi="Times New Roman" w:cs="Times New Roman"/>
          <w:sz w:val="24"/>
          <w:szCs w:val="24"/>
        </w:rPr>
        <w:t xml:space="preserve">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 </w:t>
      </w:r>
      <w:r>
        <w:rPr>
          <w:rFonts w:ascii="Times New Roman" w:hAnsi="Times New Roman" w:cs="Times New Roman"/>
          <w:sz w:val="24"/>
          <w:szCs w:val="24"/>
        </w:rPr>
        <w:t xml:space="preserve"> </w:t>
      </w:r>
      <w:r w:rsidRPr="007F0136">
        <w:rPr>
          <w:rFonts w:ascii="Times New Roman" w:hAnsi="Times New Roman" w:cs="Times New Roman"/>
          <w:sz w:val="24"/>
          <w:szCs w:val="24"/>
        </w:rPr>
        <w:t>Without collecting this information, reliability of the bulk-power system could become compromised, potentially resulting in outages.</w:t>
      </w:r>
    </w:p>
    <w:p w:rsidR="001920F6" w:rsidP="007F0136" w14:paraId="63A67EE6" w14:textId="77777777">
      <w:pPr>
        <w:spacing w:after="0" w:line="240" w:lineRule="auto"/>
        <w:rPr>
          <w:rFonts w:ascii="Times New Roman" w:hAnsi="Times New Roman" w:cs="Times New Roman"/>
          <w:sz w:val="24"/>
          <w:szCs w:val="24"/>
        </w:rPr>
      </w:pPr>
    </w:p>
    <w:p w:rsidR="007F0136" w:rsidP="009A6326" w14:paraId="0A694C65" w14:textId="57DCC063">
      <w:pPr>
        <w:spacing w:after="0" w:line="240" w:lineRule="auto"/>
        <w:rPr>
          <w:rFonts w:ascii="Times New Roman" w:eastAsia="Times New Roman" w:hAnsi="Times New Roman" w:cs="Times New Roman"/>
          <w:b/>
          <w:bCs/>
          <w:sz w:val="24"/>
          <w:szCs w:val="24"/>
        </w:rPr>
      </w:pPr>
      <w:r w:rsidRPr="006E488E">
        <w:rPr>
          <w:rFonts w:ascii="Times New Roman" w:eastAsia="Times New Roman" w:hAnsi="Times New Roman" w:cs="Times New Roman"/>
          <w:b/>
          <w:bCs/>
          <w:sz w:val="24"/>
          <w:szCs w:val="24"/>
        </w:rPr>
        <w:t>INT-006-5</w:t>
      </w:r>
    </w:p>
    <w:p w:rsidR="00505748" w:rsidRPr="009E1A6A" w:rsidP="009A6326" w14:paraId="0C422AAB" w14:textId="43C5F090">
      <w:pPr>
        <w:spacing w:after="0" w:line="240" w:lineRule="auto"/>
        <w:rPr>
          <w:rFonts w:ascii="Times New Roman" w:eastAsia="Times New Roman" w:hAnsi="Times New Roman" w:cs="Times New Roman"/>
          <w:b/>
          <w:bCs/>
          <w:sz w:val="24"/>
          <w:szCs w:val="24"/>
        </w:rPr>
      </w:pPr>
      <w:r w:rsidRPr="009E1A6A">
        <w:rPr>
          <w:rFonts w:ascii="Times New Roman" w:hAnsi="Times New Roman" w:cs="Times New Roman"/>
          <w:sz w:val="24"/>
          <w:szCs w:val="24"/>
        </w:rPr>
        <w:t>To ensure that responsible entities conduct a reliability assessment of each Arranged Interchange before it is implemented.</w:t>
      </w:r>
      <w:r w:rsidR="00765963">
        <w:rPr>
          <w:rFonts w:ascii="Times New Roman" w:hAnsi="Times New Roman" w:cs="Times New Roman"/>
          <w:sz w:val="24"/>
          <w:szCs w:val="24"/>
        </w:rPr>
        <w:t xml:space="preserve">  By balancing authorities and transmission service providers working together they can ensure the flow between areas improving reliability to customers.</w:t>
      </w:r>
      <w:r w:rsidR="0055794B">
        <w:rPr>
          <w:rFonts w:ascii="Times New Roman" w:hAnsi="Times New Roman" w:cs="Times New Roman"/>
          <w:sz w:val="24"/>
          <w:szCs w:val="24"/>
        </w:rPr>
        <w:t xml:space="preserve">  Evidence could include dated and time stamped electronic records that can track the interactions of the appropriate entities.</w:t>
      </w:r>
    </w:p>
    <w:p w:rsidR="005235FC" w:rsidP="009A6326" w14:paraId="5E6414D7" w14:textId="77777777">
      <w:pPr>
        <w:spacing w:after="0" w:line="240" w:lineRule="auto"/>
        <w:rPr>
          <w:rFonts w:ascii="Times New Roman" w:eastAsia="Times New Roman" w:hAnsi="Times New Roman" w:cs="Times New Roman"/>
          <w:b/>
          <w:bCs/>
          <w:sz w:val="24"/>
          <w:szCs w:val="24"/>
        </w:rPr>
      </w:pPr>
    </w:p>
    <w:p w:rsidR="006E488E" w:rsidP="009A6326" w14:paraId="608A67C0" w14:textId="411BB10D">
      <w:pPr>
        <w:spacing w:after="0" w:line="240" w:lineRule="auto"/>
        <w:rPr>
          <w:rFonts w:ascii="Times New Roman" w:eastAsia="Times New Roman" w:hAnsi="Times New Roman" w:cs="Times New Roman"/>
          <w:b/>
          <w:bCs/>
          <w:sz w:val="24"/>
          <w:szCs w:val="24"/>
        </w:rPr>
      </w:pPr>
      <w:r w:rsidRPr="00FB46D8">
        <w:rPr>
          <w:rFonts w:ascii="Times New Roman" w:eastAsia="Times New Roman" w:hAnsi="Times New Roman" w:cs="Times New Roman"/>
          <w:b/>
          <w:bCs/>
          <w:sz w:val="24"/>
          <w:szCs w:val="24"/>
        </w:rPr>
        <w:t>INT-009-3</w:t>
      </w:r>
    </w:p>
    <w:p w:rsidR="00505748" w:rsidP="009A6326" w14:paraId="45EB2AF7" w14:textId="5C4C1F67">
      <w:pPr>
        <w:spacing w:after="0" w:line="240" w:lineRule="auto"/>
        <w:rPr>
          <w:rFonts w:ascii="Times New Roman" w:eastAsia="Times New Roman" w:hAnsi="Times New Roman" w:cs="Times New Roman"/>
          <w:b/>
          <w:bCs/>
          <w:sz w:val="24"/>
          <w:szCs w:val="24"/>
        </w:rPr>
      </w:pPr>
      <w:r w:rsidRPr="00EA7D56">
        <w:rPr>
          <w:rFonts w:ascii="Times New Roman" w:hAnsi="Times New Roman" w:cs="Times New Roman"/>
          <w:sz w:val="24"/>
          <w:szCs w:val="24"/>
        </w:rPr>
        <w:t>To ensure that Balancing Authorities implement the Interchange as agreed upon in the Interchange confirmation process.</w:t>
      </w:r>
      <w:r w:rsidR="00765963">
        <w:rPr>
          <w:rFonts w:ascii="Times New Roman" w:hAnsi="Times New Roman" w:cs="Times New Roman"/>
          <w:sz w:val="24"/>
          <w:szCs w:val="24"/>
        </w:rPr>
        <w:t xml:space="preserve">  The requirements</w:t>
      </w:r>
      <w:r w:rsidR="0055794B">
        <w:rPr>
          <w:rFonts w:ascii="Times New Roman" w:hAnsi="Times New Roman" w:cs="Times New Roman"/>
          <w:sz w:val="24"/>
          <w:szCs w:val="24"/>
        </w:rPr>
        <w:t xml:space="preserve"> of this standard</w:t>
      </w:r>
      <w:r w:rsidR="00765963">
        <w:rPr>
          <w:rFonts w:ascii="Times New Roman" w:hAnsi="Times New Roman" w:cs="Times New Roman"/>
          <w:sz w:val="24"/>
          <w:szCs w:val="24"/>
        </w:rPr>
        <w:t xml:space="preserve"> </w:t>
      </w:r>
      <w:r w:rsidR="0055794B">
        <w:rPr>
          <w:rFonts w:ascii="Times New Roman" w:hAnsi="Times New Roman" w:cs="Times New Roman"/>
          <w:sz w:val="24"/>
          <w:szCs w:val="24"/>
        </w:rPr>
        <w:t>help balancing authorities in real-time operations and operation planning horizons reach a common understanding of each balancing authorities’ obligations.  Evidence could include dated log, voice recordings and electronic records for each party meeting their obligations.</w:t>
      </w:r>
    </w:p>
    <w:p w:rsidR="005235FC" w:rsidP="009A6326" w14:paraId="4EC11D03" w14:textId="77777777">
      <w:pPr>
        <w:spacing w:after="0" w:line="240" w:lineRule="auto"/>
        <w:rPr>
          <w:rFonts w:ascii="Times New Roman" w:eastAsia="Times New Roman" w:hAnsi="Times New Roman" w:cs="Times New Roman"/>
          <w:b/>
          <w:bCs/>
          <w:sz w:val="24"/>
          <w:szCs w:val="24"/>
        </w:rPr>
      </w:pPr>
    </w:p>
    <w:p w:rsidR="00107E20" w:rsidP="009A6326" w14:paraId="0CD8730A" w14:textId="64027EA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TOP-001-6</w:t>
      </w:r>
    </w:p>
    <w:p w:rsidR="004D0868" w:rsidRPr="004D0868" w:rsidP="004D0868" w14:paraId="3EA3A4DD" w14:textId="2ECE1D91">
      <w:pPr>
        <w:spacing w:after="0" w:line="240" w:lineRule="auto"/>
        <w:rPr>
          <w:rFonts w:ascii="Times New Roman" w:eastAsia="Times New Roman" w:hAnsi="Times New Roman" w:cs="Times New Roman"/>
          <w:sz w:val="24"/>
          <w:szCs w:val="24"/>
        </w:rPr>
      </w:pPr>
      <w:r w:rsidRPr="004D0868">
        <w:rPr>
          <w:rFonts w:ascii="Times New Roman" w:eastAsia="Times New Roman" w:hAnsi="Times New Roman" w:cs="Times New Roman"/>
          <w:sz w:val="24"/>
          <w:szCs w:val="24"/>
        </w:rPr>
        <w:t>To prevent instability, uncontrolled separation, or Cascading outages that adversely impact the reliability of the Interconnection by ensuring prompt action to prevent or mitigate such occurrences.</w:t>
      </w:r>
      <w:r w:rsidR="0055794B">
        <w:rPr>
          <w:rFonts w:ascii="Times New Roman" w:eastAsia="Times New Roman" w:hAnsi="Times New Roman" w:cs="Times New Roman"/>
          <w:sz w:val="24"/>
          <w:szCs w:val="24"/>
        </w:rPr>
        <w:t xml:space="preserve">  Each </w:t>
      </w:r>
      <w:r w:rsidR="00173D95">
        <w:rPr>
          <w:rFonts w:ascii="Times New Roman" w:eastAsia="Times New Roman" w:hAnsi="Times New Roman" w:cs="Times New Roman"/>
          <w:sz w:val="24"/>
          <w:szCs w:val="24"/>
        </w:rPr>
        <w:t>T</w:t>
      </w:r>
      <w:r w:rsidR="0055794B">
        <w:rPr>
          <w:rFonts w:ascii="Times New Roman" w:eastAsia="Times New Roman" w:hAnsi="Times New Roman" w:cs="Times New Roman"/>
          <w:sz w:val="24"/>
          <w:szCs w:val="24"/>
        </w:rPr>
        <w:t xml:space="preserve">ransmission </w:t>
      </w:r>
      <w:r w:rsidR="00173D95">
        <w:rPr>
          <w:rFonts w:ascii="Times New Roman" w:eastAsia="Times New Roman" w:hAnsi="Times New Roman" w:cs="Times New Roman"/>
          <w:sz w:val="24"/>
          <w:szCs w:val="24"/>
        </w:rPr>
        <w:t>O</w:t>
      </w:r>
      <w:r w:rsidR="0055794B">
        <w:rPr>
          <w:rFonts w:ascii="Times New Roman" w:eastAsia="Times New Roman" w:hAnsi="Times New Roman" w:cs="Times New Roman"/>
          <w:sz w:val="24"/>
          <w:szCs w:val="24"/>
        </w:rPr>
        <w:t xml:space="preserve">perator and </w:t>
      </w:r>
      <w:r w:rsidR="00173D95">
        <w:rPr>
          <w:rFonts w:ascii="Times New Roman" w:eastAsia="Times New Roman" w:hAnsi="Times New Roman" w:cs="Times New Roman"/>
          <w:sz w:val="24"/>
          <w:szCs w:val="24"/>
        </w:rPr>
        <w:t>B</w:t>
      </w:r>
      <w:r w:rsidR="0055794B">
        <w:rPr>
          <w:rFonts w:ascii="Times New Roman" w:eastAsia="Times New Roman" w:hAnsi="Times New Roman" w:cs="Times New Roman"/>
          <w:sz w:val="24"/>
          <w:szCs w:val="24"/>
        </w:rPr>
        <w:t xml:space="preserve">alancing </w:t>
      </w:r>
      <w:r w:rsidR="00173D95">
        <w:rPr>
          <w:rFonts w:ascii="Times New Roman" w:eastAsia="Times New Roman" w:hAnsi="Times New Roman" w:cs="Times New Roman"/>
          <w:sz w:val="24"/>
          <w:szCs w:val="24"/>
        </w:rPr>
        <w:t>A</w:t>
      </w:r>
      <w:r w:rsidR="0055794B">
        <w:rPr>
          <w:rFonts w:ascii="Times New Roman" w:eastAsia="Times New Roman" w:hAnsi="Times New Roman" w:cs="Times New Roman"/>
          <w:sz w:val="24"/>
          <w:szCs w:val="24"/>
        </w:rPr>
        <w:t xml:space="preserve">uthority are responsible for maintaining the reliability by the own actions and following </w:t>
      </w:r>
      <w:r w:rsidR="00173D95">
        <w:rPr>
          <w:rFonts w:ascii="Times New Roman" w:eastAsia="Times New Roman" w:hAnsi="Times New Roman" w:cs="Times New Roman"/>
          <w:sz w:val="24"/>
          <w:szCs w:val="24"/>
        </w:rPr>
        <w:t xml:space="preserve">operating instructions and will keep evidence to support this responsibility.  Evidence demonstrating following operating instruction or justification on why the instruction could not be met are preserved as electronic records operator logs and voice </w:t>
      </w:r>
      <w:r w:rsidR="00994129">
        <w:rPr>
          <w:rFonts w:ascii="Times New Roman" w:eastAsia="Times New Roman" w:hAnsi="Times New Roman" w:cs="Times New Roman"/>
          <w:sz w:val="24"/>
          <w:szCs w:val="24"/>
        </w:rPr>
        <w:t>recordings</w:t>
      </w:r>
      <w:r w:rsidR="00173D95">
        <w:rPr>
          <w:rFonts w:ascii="Times New Roman" w:eastAsia="Times New Roman" w:hAnsi="Times New Roman" w:cs="Times New Roman"/>
          <w:sz w:val="24"/>
          <w:szCs w:val="24"/>
        </w:rPr>
        <w:t>.</w:t>
      </w:r>
    </w:p>
    <w:p w:rsidR="005235FC" w:rsidP="009A6326" w14:paraId="0BE923B6" w14:textId="77777777">
      <w:pPr>
        <w:spacing w:after="0" w:line="240" w:lineRule="auto"/>
        <w:rPr>
          <w:rFonts w:ascii="Times New Roman" w:eastAsia="Times New Roman" w:hAnsi="Times New Roman" w:cs="Times New Roman"/>
          <w:b/>
          <w:bCs/>
          <w:sz w:val="24"/>
          <w:szCs w:val="24"/>
        </w:rPr>
      </w:pPr>
    </w:p>
    <w:p w:rsidR="008C71BB" w:rsidP="009A6326" w14:paraId="1B21FFE0" w14:textId="23FBBF5D">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TOP-002-5</w:t>
      </w:r>
    </w:p>
    <w:p w:rsidR="00173D95" w:rsidRPr="006B5910" w:rsidP="00173D95" w14:paraId="513F0DB8" w14:textId="62AC6BE1">
      <w:pPr>
        <w:spacing w:after="0" w:line="240" w:lineRule="auto"/>
        <w:rPr>
          <w:rFonts w:ascii="Times New Roman" w:eastAsia="Times New Roman" w:hAnsi="Times New Roman" w:cs="Times New Roman"/>
          <w:b/>
          <w:bCs/>
          <w:sz w:val="24"/>
          <w:szCs w:val="24"/>
        </w:rPr>
      </w:pPr>
      <w:r w:rsidRPr="003437A2">
        <w:rPr>
          <w:rFonts w:ascii="Times New Roman" w:hAnsi="Times New Roman" w:cs="Times New Roman"/>
          <w:sz w:val="24"/>
          <w:szCs w:val="24"/>
        </w:rPr>
        <w:t>To ensure that Transmission Operators and Balancing Authorities have plans for operating within specified limits.</w:t>
      </w:r>
      <w:r>
        <w:rPr>
          <w:rFonts w:ascii="Times New Roman" w:hAnsi="Times New Roman" w:cs="Times New Roman"/>
          <w:sz w:val="24"/>
          <w:szCs w:val="24"/>
        </w:rPr>
        <w:t xml:space="preserve">  The Transmission Operator and Balancing Authority shall perform </w:t>
      </w:r>
      <w:r>
        <w:rPr>
          <w:rFonts w:ascii="Times New Roman" w:hAnsi="Times New Roman" w:cs="Times New Roman"/>
          <w:sz w:val="24"/>
          <w:szCs w:val="24"/>
        </w:rPr>
        <w:t xml:space="preserve">operational planning analysis (OPA) </w:t>
      </w:r>
      <w:r w:rsidR="00C55BB7">
        <w:rPr>
          <w:rFonts w:ascii="Times New Roman" w:hAnsi="Times New Roman" w:cs="Times New Roman"/>
          <w:sz w:val="24"/>
          <w:szCs w:val="24"/>
        </w:rPr>
        <w:t xml:space="preserve">and </w:t>
      </w:r>
      <w:r>
        <w:rPr>
          <w:rFonts w:ascii="Times New Roman" w:hAnsi="Times New Roman" w:cs="Times New Roman"/>
          <w:sz w:val="24"/>
          <w:szCs w:val="24"/>
        </w:rPr>
        <w:t>use the analysis as evidence they met obligations to meet system operating limits and maintained reliability of the bulk electric system.</w:t>
      </w:r>
    </w:p>
    <w:p w:rsidR="008C71BB" w:rsidP="009A6326" w14:paraId="0913A503" w14:textId="2E610BC3">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TOP-003-6.1</w:t>
      </w:r>
    </w:p>
    <w:p w:rsidR="003437A2" w:rsidRPr="006B5910" w:rsidP="009A6326" w14:paraId="42A5211A" w14:textId="20139C2D">
      <w:pPr>
        <w:spacing w:after="0" w:line="240" w:lineRule="auto"/>
        <w:rPr>
          <w:rFonts w:ascii="Times New Roman" w:eastAsia="Times New Roman" w:hAnsi="Times New Roman" w:cs="Times New Roman"/>
          <w:b/>
          <w:bCs/>
          <w:sz w:val="24"/>
          <w:szCs w:val="24"/>
        </w:rPr>
      </w:pPr>
      <w:r w:rsidRPr="006B5910">
        <w:rPr>
          <w:rFonts w:ascii="Times New Roman" w:hAnsi="Times New Roman" w:cs="Times New Roman"/>
          <w:sz w:val="24"/>
          <w:szCs w:val="24"/>
        </w:rPr>
        <w:t xml:space="preserve">To ensure that each Transmission Operator and Balancing Authority has the data and </w:t>
      </w:r>
      <w:r w:rsidR="004230F2">
        <w:rPr>
          <w:rFonts w:ascii="Times New Roman" w:hAnsi="Times New Roman" w:cs="Times New Roman"/>
          <w:sz w:val="24"/>
          <w:szCs w:val="24"/>
        </w:rPr>
        <w:t>i</w:t>
      </w:r>
      <w:r w:rsidRPr="006B5910">
        <w:rPr>
          <w:rFonts w:ascii="Times New Roman" w:hAnsi="Times New Roman" w:cs="Times New Roman"/>
          <w:sz w:val="24"/>
          <w:szCs w:val="24"/>
        </w:rPr>
        <w:t>nformation it needs to plan, monitor, and assess the operation of its Transmission Operator Area or Balancing Authority Area</w:t>
      </w:r>
      <w:r>
        <w:rPr>
          <w:rFonts w:ascii="Times New Roman" w:hAnsi="Times New Roman" w:cs="Times New Roman"/>
          <w:sz w:val="24"/>
          <w:szCs w:val="24"/>
        </w:rPr>
        <w:t>.</w:t>
      </w:r>
      <w:r w:rsidR="00173D95">
        <w:rPr>
          <w:rFonts w:ascii="Times New Roman" w:hAnsi="Times New Roman" w:cs="Times New Roman"/>
          <w:sz w:val="24"/>
          <w:szCs w:val="24"/>
        </w:rPr>
        <w:t xml:space="preserve">  </w:t>
      </w:r>
      <w:r w:rsidR="00804148">
        <w:rPr>
          <w:rFonts w:ascii="Times New Roman" w:hAnsi="Times New Roman" w:cs="Times New Roman"/>
          <w:sz w:val="24"/>
          <w:szCs w:val="24"/>
        </w:rPr>
        <w:t>Applicable entities shall create documents that other entities must supply specified data need to perform operational planning analysis, real-time monitoring and real-time assessments.  The data requested and supplied by other entities serves as evidence of meeting the obligations of this standard.</w:t>
      </w:r>
    </w:p>
    <w:p w:rsidR="00C55BB7" w:rsidP="009A6326" w14:paraId="7F6B3E7E" w14:textId="77777777">
      <w:pPr>
        <w:spacing w:after="0" w:line="240" w:lineRule="auto"/>
        <w:rPr>
          <w:rFonts w:ascii="Times New Roman" w:eastAsia="Times New Roman" w:hAnsi="Times New Roman" w:cs="Times New Roman"/>
          <w:b/>
          <w:bCs/>
          <w:sz w:val="24"/>
          <w:szCs w:val="24"/>
        </w:rPr>
      </w:pPr>
    </w:p>
    <w:p w:rsidR="008C71BB" w:rsidP="009A6326" w14:paraId="627040C5" w14:textId="0BB37A65">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TOP-010-1(i)</w:t>
      </w:r>
    </w:p>
    <w:p w:rsidR="008C71BB" w:rsidP="009A6326" w14:paraId="17F42414" w14:textId="13B8A14D">
      <w:pPr>
        <w:spacing w:after="0" w:line="240" w:lineRule="auto"/>
        <w:rPr>
          <w:rFonts w:ascii="Times New Roman" w:hAnsi="Times New Roman" w:cs="Times New Roman"/>
          <w:sz w:val="24"/>
          <w:szCs w:val="24"/>
        </w:rPr>
      </w:pPr>
      <w:r w:rsidRPr="00781EA6">
        <w:rPr>
          <w:rFonts w:ascii="Times New Roman" w:hAnsi="Times New Roman" w:cs="Times New Roman"/>
          <w:sz w:val="24"/>
          <w:szCs w:val="24"/>
        </w:rPr>
        <w:t>Establish requirements for Real-time monitoring and analysis capabilities to support reliable System operations</w:t>
      </w:r>
      <w:r>
        <w:rPr>
          <w:rFonts w:ascii="Times New Roman" w:hAnsi="Times New Roman" w:cs="Times New Roman"/>
          <w:sz w:val="24"/>
          <w:szCs w:val="24"/>
        </w:rPr>
        <w:t>.</w:t>
      </w:r>
      <w:r w:rsidR="00804148">
        <w:rPr>
          <w:rFonts w:ascii="Times New Roman" w:hAnsi="Times New Roman" w:cs="Times New Roman"/>
          <w:sz w:val="24"/>
          <w:szCs w:val="24"/>
        </w:rPr>
        <w:t xml:space="preserve">  Transmission Operators and Balancing Authorities create operating processes or procedures to ensure quality of real-time data needed for assessments.  The processes, procedures and actions are evidence of how these entities meet obligations through documents, operator logs and various e</w:t>
      </w:r>
      <w:r w:rsidR="00375447">
        <w:rPr>
          <w:rFonts w:ascii="Times New Roman" w:hAnsi="Times New Roman" w:cs="Times New Roman"/>
          <w:sz w:val="24"/>
          <w:szCs w:val="24"/>
        </w:rPr>
        <w:t>lectronic/voice recordings.</w:t>
      </w:r>
    </w:p>
    <w:p w:rsidR="00781EA6" w:rsidRPr="00BD0FD5" w:rsidP="009A6326" w14:paraId="3459499A" w14:textId="77777777">
      <w:pPr>
        <w:spacing w:after="0" w:line="240" w:lineRule="auto"/>
        <w:rPr>
          <w:rFonts w:ascii="Times New Roman" w:hAnsi="Times New Roman" w:cs="Times New Roman"/>
          <w:sz w:val="24"/>
          <w:szCs w:val="24"/>
        </w:rPr>
      </w:pPr>
    </w:p>
    <w:p w:rsidR="00EB3E6F" w:rsidRPr="00BD0FD5" w:rsidP="0092596C" w14:paraId="04ECF797"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RPr="00BD0FD5" w:rsidP="0092596C" w14:paraId="11E30C30" w14:textId="77777777">
      <w:pPr>
        <w:spacing w:after="0" w:line="240" w:lineRule="auto"/>
        <w:rPr>
          <w:rFonts w:ascii="Times New Roman" w:hAnsi="Times New Roman" w:cs="Times New Roman"/>
          <w:sz w:val="24"/>
          <w:szCs w:val="24"/>
        </w:rPr>
      </w:pPr>
    </w:p>
    <w:p w:rsidR="00C00D70" w:rsidRPr="00BD0FD5" w:rsidP="0092596C" w14:paraId="4E5746FB" w14:textId="75253D72">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The use of current or improved technology is not covered in Reliability </w:t>
      </w:r>
      <w:r w:rsidRPr="00BD0FD5" w:rsidR="00896DEA">
        <w:rPr>
          <w:rFonts w:ascii="Times New Roman" w:hAnsi="Times New Roman" w:cs="Times New Roman"/>
          <w:sz w:val="24"/>
          <w:szCs w:val="24"/>
        </w:rPr>
        <w:t>Standards and</w:t>
      </w:r>
      <w:r w:rsidRPr="00BD0FD5">
        <w:rPr>
          <w:rFonts w:ascii="Times New Roman" w:hAnsi="Times New Roman" w:cs="Times New Roman"/>
          <w:sz w:val="24"/>
          <w:szCs w:val="24"/>
        </w:rPr>
        <w:t xml:space="preserve"> is therefore left to the discretion of each reporting entity.</w:t>
      </w:r>
      <w:r w:rsidRPr="00DD0209" w:rsidR="00DD0209">
        <w:t xml:space="preserve"> </w:t>
      </w:r>
      <w:r w:rsidR="00DD1F76">
        <w:t xml:space="preserve"> </w:t>
      </w:r>
      <w:r w:rsidRPr="00DD0209" w:rsidR="00DD0209">
        <w:rPr>
          <w:rFonts w:ascii="Times New Roman" w:hAnsi="Times New Roman" w:cs="Times New Roman"/>
          <w:sz w:val="24"/>
          <w:szCs w:val="24"/>
        </w:rPr>
        <w:t xml:space="preserve">We think that nearly all of the respondents are likely to make and keep related records in an electronic format.  Each of the </w:t>
      </w:r>
      <w:r w:rsidR="00DD1F76">
        <w:rPr>
          <w:rFonts w:ascii="Times New Roman" w:hAnsi="Times New Roman" w:cs="Times New Roman"/>
          <w:sz w:val="24"/>
          <w:szCs w:val="24"/>
        </w:rPr>
        <w:t>six</w:t>
      </w:r>
      <w:r w:rsidRPr="00DD0209" w:rsidR="00DD1F76">
        <w:rPr>
          <w:rFonts w:ascii="Times New Roman" w:hAnsi="Times New Roman" w:cs="Times New Roman"/>
          <w:sz w:val="24"/>
          <w:szCs w:val="24"/>
        </w:rPr>
        <w:t xml:space="preserve"> </w:t>
      </w:r>
      <w:r w:rsidRPr="00DD0209" w:rsidR="00DD0209">
        <w:rPr>
          <w:rFonts w:ascii="Times New Roman" w:hAnsi="Times New Roman" w:cs="Times New Roman"/>
          <w:sz w:val="24"/>
          <w:szCs w:val="24"/>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p>
    <w:p w:rsidR="00EB3E6F" w:rsidRPr="00BD0FD5" w:rsidP="0092596C" w14:paraId="054AF835" w14:textId="77777777">
      <w:pPr>
        <w:spacing w:after="0" w:line="240" w:lineRule="auto"/>
        <w:rPr>
          <w:rFonts w:ascii="Times New Roman" w:hAnsi="Times New Roman" w:cs="Times New Roman"/>
          <w:sz w:val="24"/>
          <w:szCs w:val="24"/>
        </w:rPr>
      </w:pPr>
    </w:p>
    <w:p w:rsidR="00EB3E6F" w:rsidRPr="00BD0FD5" w:rsidP="0092596C" w14:paraId="2820C7BF"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IDENTIF</w:t>
      </w:r>
      <w:r w:rsidRPr="00BD0FD5" w:rsidR="00E05FA3">
        <w:rPr>
          <w:rFonts w:ascii="Times New Roman" w:hAnsi="Times New Roman" w:cs="Times New Roman"/>
          <w:b/>
          <w:sz w:val="24"/>
          <w:szCs w:val="24"/>
        </w:rPr>
        <w:t>Y</w:t>
      </w:r>
      <w:r w:rsidRPr="00BD0FD5">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RPr="00BD0FD5" w:rsidP="0092596C" w14:paraId="0C9BB099" w14:textId="77777777">
      <w:pPr>
        <w:spacing w:after="0" w:line="240" w:lineRule="auto"/>
        <w:rPr>
          <w:rFonts w:ascii="Times New Roman" w:hAnsi="Times New Roman" w:cs="Times New Roman"/>
          <w:sz w:val="24"/>
          <w:szCs w:val="24"/>
        </w:rPr>
      </w:pPr>
    </w:p>
    <w:p w:rsidR="007F58DE" w:rsidRPr="007F58DE" w:rsidP="007F58DE" w14:paraId="27CB5DA3" w14:textId="77777777">
      <w:pPr>
        <w:spacing w:after="0" w:line="240" w:lineRule="auto"/>
        <w:rPr>
          <w:rFonts w:ascii="Times New Roman" w:hAnsi="Times New Roman" w:cs="Times New Roman"/>
          <w:sz w:val="24"/>
          <w:szCs w:val="24"/>
        </w:rPr>
      </w:pPr>
      <w:r w:rsidRPr="007F58DE">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w:t>
      </w:r>
    </w:p>
    <w:p w:rsidR="007F58DE" w:rsidRPr="007F58DE" w:rsidP="007F58DE" w14:paraId="42FA9778" w14:textId="1A60821D">
      <w:pPr>
        <w:spacing w:after="0" w:line="240" w:lineRule="auto"/>
        <w:rPr>
          <w:rFonts w:ascii="Times New Roman" w:hAnsi="Times New Roman" w:cs="Times New Roman"/>
          <w:sz w:val="24"/>
          <w:szCs w:val="24"/>
        </w:rPr>
      </w:pPr>
      <w:r w:rsidRPr="007F58DE">
        <w:rPr>
          <w:rFonts w:ascii="Times New Roman" w:hAnsi="Times New Roman" w:cs="Times New Roman"/>
          <w:sz w:val="24"/>
          <w:szCs w:val="24"/>
        </w:rPr>
        <w:t>Reliability Standards are developed by a collaborative process which requires industry participation.  The Commission is unaware of any other source of information similar to the additional requirements.</w:t>
      </w:r>
    </w:p>
    <w:p w:rsidR="00AE205C" w:rsidRPr="00BD0FD5" w:rsidP="0092596C" w14:paraId="4CDD391B" w14:textId="2A497815">
      <w:pPr>
        <w:spacing w:after="0" w:line="240" w:lineRule="auto"/>
        <w:rPr>
          <w:rFonts w:ascii="Times New Roman" w:hAnsi="Times New Roman" w:cs="Times New Roman"/>
          <w:sz w:val="24"/>
          <w:szCs w:val="24"/>
        </w:rPr>
      </w:pPr>
    </w:p>
    <w:p w:rsidR="00EB3E6F" w:rsidRPr="00BD0FD5" w:rsidP="0092596C" w14:paraId="093A3264"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METHODS USED TO MINIMIZE THE BURDEN IN COLLECTION OF INFORMATION INVOLVING SMALL ENTITIES</w:t>
      </w:r>
    </w:p>
    <w:p w:rsidR="00EB3E6F" w:rsidRPr="00BD0FD5" w:rsidP="0092596C" w14:paraId="18ABCDBE" w14:textId="77777777">
      <w:pPr>
        <w:spacing w:after="0" w:line="240" w:lineRule="auto"/>
        <w:rPr>
          <w:rFonts w:ascii="Times New Roman" w:hAnsi="Times New Roman" w:cs="Times New Roman"/>
          <w:sz w:val="24"/>
          <w:szCs w:val="24"/>
        </w:rPr>
      </w:pPr>
    </w:p>
    <w:p w:rsidR="00C00D70" w:rsidRPr="00BD0FD5" w:rsidP="0092596C" w14:paraId="40F90D38" w14:textId="77777777">
      <w:pPr>
        <w:spacing w:after="0" w:line="240" w:lineRule="auto"/>
        <w:rPr>
          <w:rFonts w:ascii="Times New Roman" w:hAnsi="Times New Roman" w:cs="Times New Roman"/>
          <w:sz w:val="24"/>
          <w:szCs w:val="24"/>
        </w:rPr>
      </w:pPr>
    </w:p>
    <w:p w:rsidR="00C00D70" w:rsidP="0092596C" w14:paraId="2D7CFBFB" w14:textId="3F7B23B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 xml:space="preserve">In general, small entities may </w:t>
      </w:r>
      <w:r w:rsidRPr="00BD0FD5" w:rsidR="00B86284">
        <w:rPr>
          <w:rFonts w:ascii="Times New Roman" w:hAnsi="Times New Roman" w:cs="Times New Roman"/>
          <w:sz w:val="24"/>
          <w:szCs w:val="24"/>
        </w:rPr>
        <w:t xml:space="preserve">reduce their burden by taking part in a joint registration organization or </w:t>
      </w:r>
      <w:r w:rsidRPr="00BD0FD5">
        <w:rPr>
          <w:rFonts w:ascii="Times New Roman" w:hAnsi="Times New Roman" w:cs="Times New Roman"/>
          <w:sz w:val="24"/>
          <w:szCs w:val="24"/>
        </w:rPr>
        <w:t>a coordinated functional registration</w:t>
      </w:r>
      <w:r w:rsidRPr="00BD0FD5" w:rsidR="00B86284">
        <w:rPr>
          <w:rFonts w:ascii="Times New Roman" w:hAnsi="Times New Roman" w:cs="Times New Roman"/>
          <w:sz w:val="24"/>
          <w:szCs w:val="24"/>
        </w:rPr>
        <w:t>.  These options allow an entity to share its compliance burden with other entities.</w:t>
      </w:r>
    </w:p>
    <w:p w:rsidR="007F0136" w:rsidP="0092596C" w14:paraId="7215EC62" w14:textId="4E1A61B0">
      <w:pPr>
        <w:spacing w:after="0" w:line="240" w:lineRule="auto"/>
        <w:rPr>
          <w:rFonts w:ascii="Times New Roman" w:hAnsi="Times New Roman" w:cs="Times New Roman"/>
          <w:sz w:val="24"/>
          <w:szCs w:val="24"/>
        </w:rPr>
      </w:pPr>
    </w:p>
    <w:p w:rsidR="007F0136" w:rsidRPr="007F0136" w:rsidP="007F0136" w14:paraId="0A9E5EDB" w14:textId="77777777">
      <w:pPr>
        <w:spacing w:after="0" w:line="240" w:lineRule="auto"/>
        <w:rPr>
          <w:rFonts w:ascii="Times New Roman" w:hAnsi="Times New Roman" w:cs="Times New Roman"/>
          <w:sz w:val="24"/>
          <w:szCs w:val="24"/>
        </w:rPr>
      </w:pPr>
      <w:r w:rsidRPr="007F0136">
        <w:rPr>
          <w:rFonts w:ascii="Times New Roman" w:hAnsi="Times New Roman" w:cs="Times New Roman"/>
          <w:sz w:val="24"/>
          <w:szCs w:val="24"/>
        </w:rPr>
        <w:t>Detailed information regarding these options is available in NERC’s Rules of Procedure at sections 507 and 508.</w:t>
      </w:r>
      <w:r>
        <w:rPr>
          <w:rFonts w:ascii="Times New Roman" w:hAnsi="Times New Roman" w:cs="Times New Roman"/>
          <w:sz w:val="24"/>
          <w:szCs w:val="24"/>
          <w:vertAlign w:val="superscript"/>
        </w:rPr>
        <w:footnoteReference w:id="2"/>
      </w:r>
      <w:r w:rsidRPr="007F0136">
        <w:rPr>
          <w:rFonts w:ascii="Times New Roman" w:hAnsi="Times New Roman" w:cs="Times New Roman"/>
          <w:sz w:val="24"/>
          <w:szCs w:val="24"/>
          <w:vertAlign w:val="superscript"/>
        </w:rPr>
        <w:t xml:space="preserve"> </w:t>
      </w:r>
    </w:p>
    <w:p w:rsidR="007F0136" w:rsidRPr="00BD0FD5" w:rsidP="0092596C" w14:paraId="652280F7" w14:textId="77777777">
      <w:pPr>
        <w:spacing w:after="0" w:line="240" w:lineRule="auto"/>
        <w:rPr>
          <w:rFonts w:ascii="Times New Roman" w:hAnsi="Times New Roman" w:cs="Times New Roman"/>
          <w:sz w:val="24"/>
          <w:szCs w:val="24"/>
        </w:rPr>
      </w:pPr>
    </w:p>
    <w:p w:rsidR="00EB3E6F" w:rsidRPr="00BD0FD5" w:rsidP="0092596C" w14:paraId="2EDB8F78" w14:textId="77777777">
      <w:pPr>
        <w:spacing w:after="0" w:line="240" w:lineRule="auto"/>
        <w:rPr>
          <w:rFonts w:ascii="Times New Roman" w:hAnsi="Times New Roman" w:cs="Times New Roman"/>
          <w:sz w:val="24"/>
          <w:szCs w:val="24"/>
        </w:rPr>
      </w:pPr>
    </w:p>
    <w:p w:rsidR="00EB3E6F" w:rsidRPr="00BD0FD5" w:rsidP="0092596C" w14:paraId="381BCCC8"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CONSEQUENCE TO FEDERAL PROGRAM IF COLLECTION WERE CONDUCTED LESS FREQUENTLY</w:t>
      </w:r>
    </w:p>
    <w:p w:rsidR="00EB3E6F" w:rsidRPr="00BD0FD5" w:rsidP="0092596C" w14:paraId="1D8BD47F" w14:textId="77777777">
      <w:pPr>
        <w:spacing w:after="0" w:line="240" w:lineRule="auto"/>
        <w:rPr>
          <w:rFonts w:ascii="Times New Roman" w:hAnsi="Times New Roman" w:cs="Times New Roman"/>
          <w:sz w:val="24"/>
          <w:szCs w:val="24"/>
        </w:rPr>
      </w:pPr>
    </w:p>
    <w:p w:rsidR="00B86284" w:rsidP="00B862DA" w14:paraId="1863DCB0" w14:textId="53DD6032">
      <w:pPr>
        <w:widowControl w:val="0"/>
        <w:autoSpaceDE w:val="0"/>
        <w:autoSpaceDN w:val="0"/>
        <w:adjustRightInd w:val="0"/>
        <w:spacing w:after="0" w:line="240" w:lineRule="auto"/>
        <w:rPr>
          <w:rFonts w:ascii="Times New Roman" w:hAnsi="Times New Roman" w:cs="Times New Roman"/>
          <w:sz w:val="24"/>
          <w:szCs w:val="24"/>
        </w:rPr>
      </w:pPr>
      <w:r w:rsidRPr="00B862DA">
        <w:rPr>
          <w:rFonts w:ascii="Times New Roman" w:eastAsia="Times New Roman" w:hAnsi="Times New Roman" w:cs="Times New Roman"/>
          <w:sz w:val="24"/>
          <w:szCs w:val="24"/>
        </w:rPr>
        <w:t xml:space="preserve">In general, information collection requirements in Reliability Standards and requirements help maintain Bulk-Power System reliability. </w:t>
      </w:r>
      <w:r w:rsidRPr="001F4608" w:rsidR="002E7D81">
        <w:rPr>
          <w:rFonts w:ascii="Times New Roman" w:hAnsi="Times New Roman" w:cs="Times New Roman"/>
          <w:sz w:val="24"/>
          <w:szCs w:val="24"/>
        </w:rPr>
        <w:t>The standard requires entities to report certain disturbance events within 24 hours of meeting an event type threshold or by the end of the next business day if the event occurs on a weekend.  Other paperwork related requirements are one-time or done on a yearly basis.</w:t>
      </w:r>
      <w:r w:rsidRPr="001F4608" w:rsidR="007C31D6">
        <w:rPr>
          <w:rFonts w:ascii="Times New Roman" w:hAnsi="Times New Roman" w:cs="Times New Roman"/>
          <w:sz w:val="24"/>
          <w:szCs w:val="24"/>
        </w:rPr>
        <w:t xml:space="preserve">  If the disturbance events were reported less frequently, it would undermine NERC’s (and others’) ability to mitigate the current event and prepare for a possible next event.</w:t>
      </w:r>
      <w:r w:rsidRPr="001F4608" w:rsidR="002E7D81">
        <w:rPr>
          <w:rFonts w:ascii="Times New Roman" w:hAnsi="Times New Roman" w:cs="Times New Roman"/>
          <w:sz w:val="24"/>
          <w:szCs w:val="24"/>
        </w:rPr>
        <w:t xml:space="preserve">  </w:t>
      </w:r>
    </w:p>
    <w:p w:rsidR="00C96857" w:rsidP="00B862DA" w14:paraId="2228C69D" w14:textId="11583E78">
      <w:pPr>
        <w:widowControl w:val="0"/>
        <w:autoSpaceDE w:val="0"/>
        <w:autoSpaceDN w:val="0"/>
        <w:adjustRightInd w:val="0"/>
        <w:spacing w:after="0" w:line="240" w:lineRule="auto"/>
        <w:rPr>
          <w:rFonts w:ascii="Times New Roman" w:hAnsi="Times New Roman" w:cs="Times New Roman"/>
          <w:sz w:val="24"/>
          <w:szCs w:val="24"/>
        </w:rPr>
      </w:pPr>
    </w:p>
    <w:p w:rsidR="00C96857" w:rsidRPr="00B862DA" w:rsidP="00B862DA" w14:paraId="01613560" w14:textId="5C65BF5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Also, Real-time Assessments (RTAs) are computer cases run every 30 minutes to evaluate the condition of the system and identify potential problems.  The time period of 30 minutes aligns with response time for operators to mitigate potential such as exceeding the operating limit of equipment.</w:t>
      </w:r>
    </w:p>
    <w:p w:rsidR="002E7D81" w:rsidRPr="00BD0FD5" w:rsidP="0092596C" w14:paraId="4A160987" w14:textId="77777777">
      <w:pPr>
        <w:spacing w:after="0" w:line="240" w:lineRule="auto"/>
        <w:rPr>
          <w:rFonts w:ascii="Times New Roman" w:hAnsi="Times New Roman" w:cs="Times New Roman"/>
          <w:sz w:val="24"/>
          <w:szCs w:val="24"/>
        </w:rPr>
      </w:pPr>
    </w:p>
    <w:p w:rsidR="00EB3E6F" w:rsidRPr="00BD0FD5" w:rsidP="0092596C" w14:paraId="4A7865B8"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SPECIAL CIRCUMSTANCES RELATING TO THE INFORMATION COLLECTION</w:t>
      </w:r>
    </w:p>
    <w:p w:rsidR="00EB3E6F" w:rsidRPr="00BD0FD5" w:rsidP="0092596C" w14:paraId="07E33058" w14:textId="77777777">
      <w:pPr>
        <w:spacing w:after="0" w:line="240" w:lineRule="auto"/>
        <w:rPr>
          <w:rFonts w:ascii="Times New Roman" w:hAnsi="Times New Roman" w:cs="Times New Roman"/>
          <w:sz w:val="24"/>
          <w:szCs w:val="24"/>
        </w:rPr>
      </w:pPr>
    </w:p>
    <w:p w:rsidR="00C60EDC" w:rsidRPr="00BD0FD5" w:rsidP="00C60EDC" w14:paraId="31C2540C" w14:textId="77777777">
      <w:pPr>
        <w:spacing w:after="0" w:line="240" w:lineRule="auto"/>
        <w:rPr>
          <w:rFonts w:ascii="Times New Roman" w:hAnsi="Times New Roman"/>
          <w:sz w:val="24"/>
          <w:szCs w:val="24"/>
        </w:rPr>
      </w:pPr>
      <w:r w:rsidRPr="00BD0FD5">
        <w:rPr>
          <w:rFonts w:ascii="Times New Roman" w:hAnsi="Times New Roman"/>
          <w:sz w:val="24"/>
          <w:szCs w:val="24"/>
        </w:rPr>
        <w:t xml:space="preserve">There </w:t>
      </w:r>
      <w:r w:rsidR="00EE4C15">
        <w:rPr>
          <w:rFonts w:ascii="Times New Roman" w:hAnsi="Times New Roman"/>
          <w:sz w:val="24"/>
          <w:szCs w:val="24"/>
        </w:rPr>
        <w:t>are</w:t>
      </w:r>
      <w:r w:rsidRPr="00BD0FD5" w:rsidR="00705F66">
        <w:rPr>
          <w:rFonts w:ascii="Times New Roman" w:hAnsi="Times New Roman"/>
          <w:sz w:val="24"/>
          <w:szCs w:val="24"/>
        </w:rPr>
        <w:t xml:space="preserve"> </w:t>
      </w:r>
      <w:r w:rsidR="00EE4C15">
        <w:rPr>
          <w:rFonts w:ascii="Times New Roman" w:hAnsi="Times New Roman"/>
          <w:sz w:val="24"/>
          <w:szCs w:val="24"/>
        </w:rPr>
        <w:t>two</w:t>
      </w:r>
      <w:r w:rsidRPr="00BD0FD5">
        <w:rPr>
          <w:rFonts w:ascii="Times New Roman" w:hAnsi="Times New Roman"/>
          <w:sz w:val="24"/>
          <w:szCs w:val="24"/>
        </w:rPr>
        <w:t xml:space="preserve"> special circumstances as described in 5 CFR 1320.5(d)(2) related to this information collection.</w:t>
      </w:r>
    </w:p>
    <w:p w:rsidR="00C60EDC" w:rsidRPr="00BD0FD5" w:rsidP="00C60EDC" w14:paraId="071F0D0E" w14:textId="77777777">
      <w:pPr>
        <w:spacing w:after="0" w:line="240" w:lineRule="auto"/>
        <w:rPr>
          <w:rFonts w:ascii="Times New Roman" w:hAnsi="Times New Roman"/>
          <w:sz w:val="24"/>
          <w:szCs w:val="24"/>
        </w:rPr>
      </w:pPr>
    </w:p>
    <w:p w:rsidR="00C60EDC" w:rsidRPr="00BD0FD5" w:rsidP="00C60EDC" w14:paraId="4D448A82" w14:textId="3EAFE293">
      <w:pPr>
        <w:spacing w:after="0" w:line="240" w:lineRule="auto"/>
        <w:rPr>
          <w:rFonts w:ascii="Times New Roman" w:hAnsi="Times New Roman"/>
          <w:sz w:val="24"/>
          <w:szCs w:val="24"/>
        </w:rPr>
      </w:pPr>
      <w:r w:rsidRPr="00BD0FD5">
        <w:rPr>
          <w:rFonts w:ascii="Times New Roman" w:hAnsi="Times New Roman"/>
          <w:sz w:val="24"/>
          <w:szCs w:val="24"/>
        </w:rPr>
        <w:t>The data retention requirement in the Reliability Standard</w:t>
      </w:r>
      <w:r w:rsidR="00841DE0">
        <w:rPr>
          <w:rFonts w:ascii="Times New Roman" w:hAnsi="Times New Roman"/>
          <w:sz w:val="24"/>
          <w:szCs w:val="24"/>
        </w:rPr>
        <w:t>s</w:t>
      </w:r>
      <w:r w:rsidRPr="00BD0FD5">
        <w:rPr>
          <w:rFonts w:ascii="Times New Roman" w:hAnsi="Times New Roman"/>
          <w:sz w:val="24"/>
          <w:szCs w:val="24"/>
        </w:rPr>
        <w:t xml:space="preserve"> </w:t>
      </w:r>
      <w:r w:rsidRPr="00BD0FD5" w:rsidR="0056728B">
        <w:rPr>
          <w:rFonts w:ascii="Times New Roman" w:hAnsi="Times New Roman"/>
          <w:sz w:val="24"/>
          <w:szCs w:val="24"/>
        </w:rPr>
        <w:t xml:space="preserve">indicates that entities maintain data or evidence to show compliance with the requirements since the last audit.  Reliability audits are generally every three years, but </w:t>
      </w:r>
      <w:r w:rsidRPr="00BD0FD5" w:rsidR="00577CC7">
        <w:rPr>
          <w:rFonts w:ascii="Times New Roman" w:hAnsi="Times New Roman"/>
          <w:sz w:val="24"/>
          <w:szCs w:val="24"/>
        </w:rPr>
        <w:t>timing is such that they could</w:t>
      </w:r>
      <w:r w:rsidRPr="00BD0FD5" w:rsidR="0056728B">
        <w:rPr>
          <w:rFonts w:ascii="Times New Roman" w:hAnsi="Times New Roman"/>
          <w:sz w:val="24"/>
          <w:szCs w:val="24"/>
        </w:rPr>
        <w:t xml:space="preserve"> be more than three years</w:t>
      </w:r>
      <w:r w:rsidRPr="00BD0FD5" w:rsidR="00577CC7">
        <w:rPr>
          <w:rFonts w:ascii="Times New Roman" w:hAnsi="Times New Roman"/>
          <w:sz w:val="24"/>
          <w:szCs w:val="24"/>
        </w:rPr>
        <w:t xml:space="preserve"> apart</w:t>
      </w:r>
      <w:r w:rsidRPr="00BD0FD5" w:rsidR="0056728B">
        <w:rPr>
          <w:rFonts w:ascii="Times New Roman" w:hAnsi="Times New Roman"/>
          <w:sz w:val="24"/>
          <w:szCs w:val="24"/>
        </w:rPr>
        <w:t>.</w:t>
      </w:r>
    </w:p>
    <w:p w:rsidR="00C60EDC" w:rsidRPr="00BD0FD5" w:rsidP="00C60EDC" w14:paraId="59826E73" w14:textId="77777777">
      <w:pPr>
        <w:spacing w:after="0" w:line="240" w:lineRule="auto"/>
        <w:rPr>
          <w:rFonts w:ascii="Times New Roman" w:hAnsi="Times New Roman"/>
          <w:sz w:val="24"/>
          <w:szCs w:val="24"/>
        </w:rPr>
      </w:pPr>
    </w:p>
    <w:p w:rsidR="000A441A" w:rsidP="00C60EDC" w14:paraId="7BD407B7" w14:textId="77777777">
      <w:pPr>
        <w:spacing w:after="0" w:line="240" w:lineRule="auto"/>
        <w:rPr>
          <w:rFonts w:ascii="Times New Roman" w:hAnsi="Times New Roman"/>
          <w:sz w:val="24"/>
          <w:szCs w:val="24"/>
        </w:rPr>
      </w:pPr>
      <w:r w:rsidRPr="00BD0FD5">
        <w:rPr>
          <w:rFonts w:ascii="Times New Roman" w:hAnsi="Times New Roman"/>
          <w:sz w:val="24"/>
          <w:szCs w:val="24"/>
        </w:rPr>
        <w:t xml:space="preserve">This is the language adopted by the standards </w:t>
      </w:r>
      <w:r w:rsidRPr="00BD0FD5" w:rsidR="00DD0209">
        <w:rPr>
          <w:rFonts w:ascii="Times New Roman" w:hAnsi="Times New Roman"/>
          <w:sz w:val="24"/>
          <w:szCs w:val="24"/>
        </w:rPr>
        <w:t>draft</w:t>
      </w:r>
      <w:r w:rsidR="00DD0209">
        <w:rPr>
          <w:rFonts w:ascii="Times New Roman" w:hAnsi="Times New Roman"/>
          <w:sz w:val="24"/>
          <w:szCs w:val="24"/>
        </w:rPr>
        <w:t>ing</w:t>
      </w:r>
      <w:r w:rsidRPr="00BD0FD5" w:rsidR="00DD0209">
        <w:rPr>
          <w:rFonts w:ascii="Times New Roman" w:hAnsi="Times New Roman"/>
          <w:sz w:val="24"/>
          <w:szCs w:val="24"/>
        </w:rPr>
        <w:t xml:space="preserve"> </w:t>
      </w:r>
      <w:r w:rsidRPr="00BD0FD5">
        <w:rPr>
          <w:rFonts w:ascii="Times New Roman" w:hAnsi="Times New Roman"/>
          <w:sz w:val="24"/>
          <w:szCs w:val="24"/>
        </w:rPr>
        <w:t>team and approved by industry representatives during the balloting process.  As such, this is the data retention period deemed necessary for the reliability purposes contained in this standard.</w:t>
      </w:r>
    </w:p>
    <w:p w:rsidR="00EE4C15" w:rsidP="00C60EDC" w14:paraId="103904CC" w14:textId="77777777">
      <w:pPr>
        <w:spacing w:after="0" w:line="240" w:lineRule="auto"/>
        <w:rPr>
          <w:rFonts w:ascii="Times New Roman" w:hAnsi="Times New Roman"/>
          <w:sz w:val="24"/>
          <w:szCs w:val="24"/>
        </w:rPr>
      </w:pPr>
    </w:p>
    <w:p w:rsidR="00EE4C15" w:rsidP="00C60EDC" w14:paraId="7679CFC3" w14:textId="2571EFB4">
      <w:pPr>
        <w:spacing w:after="0" w:line="240" w:lineRule="auto"/>
        <w:rPr>
          <w:rFonts w:ascii="Times New Roman" w:hAnsi="Times New Roman"/>
          <w:sz w:val="24"/>
          <w:szCs w:val="24"/>
        </w:rPr>
      </w:pPr>
      <w:r>
        <w:rPr>
          <w:rFonts w:ascii="Times New Roman" w:hAnsi="Times New Roman"/>
          <w:sz w:val="24"/>
          <w:szCs w:val="24"/>
        </w:rPr>
        <w:t>The reporting requirement</w:t>
      </w:r>
      <w:r w:rsidR="007F0136">
        <w:rPr>
          <w:rFonts w:ascii="Times New Roman" w:hAnsi="Times New Roman"/>
          <w:sz w:val="24"/>
          <w:szCs w:val="24"/>
        </w:rPr>
        <w:t>s are</w:t>
      </w:r>
      <w:r>
        <w:rPr>
          <w:rFonts w:ascii="Times New Roman" w:hAnsi="Times New Roman"/>
          <w:sz w:val="24"/>
          <w:szCs w:val="24"/>
        </w:rPr>
        <w:t xml:space="preserve"> event driven, and as such, an entity may be required to report more often than quarterly.</w:t>
      </w:r>
      <w:r w:rsidR="00A03A01">
        <w:rPr>
          <w:rFonts w:ascii="Times New Roman" w:hAnsi="Times New Roman"/>
          <w:sz w:val="24"/>
          <w:szCs w:val="24"/>
        </w:rPr>
        <w:t xml:space="preserve">  NERC is responsible for ensuring the reliability of the bulk electric system. </w:t>
      </w:r>
    </w:p>
    <w:p w:rsidR="00E71CB8" w:rsidP="00C60EDC" w14:paraId="47239E7F" w14:textId="77777777">
      <w:pPr>
        <w:spacing w:after="0" w:line="240" w:lineRule="auto"/>
        <w:rPr>
          <w:rFonts w:ascii="Times New Roman" w:hAnsi="Times New Roman" w:cs="Times New Roman"/>
          <w:sz w:val="26"/>
          <w:szCs w:val="26"/>
        </w:rPr>
      </w:pPr>
    </w:p>
    <w:p w:rsidR="00E71CB8" w:rsidRPr="002D57E3" w:rsidP="00C60EDC" w14:paraId="3CB851BD" w14:textId="77777777">
      <w:pPr>
        <w:spacing w:after="0" w:line="240" w:lineRule="auto"/>
        <w:rPr>
          <w:rFonts w:ascii="Times New Roman" w:hAnsi="Times New Roman" w:cs="Times New Roman"/>
          <w:sz w:val="24"/>
          <w:szCs w:val="24"/>
        </w:rPr>
      </w:pPr>
      <w:r w:rsidRPr="002D57E3">
        <w:rPr>
          <w:rFonts w:ascii="Times New Roman" w:hAnsi="Times New Roman" w:cs="Times New Roman"/>
          <w:sz w:val="24"/>
          <w:szCs w:val="24"/>
        </w:rPr>
        <w:t xml:space="preserve">There may be instances where an entity needs to retain information for periods longer than typical cycle when an instance of non-compliance occurs.  Typically, an entity will need to retain records associated with the non-compliance incident until it is resolved.  Under those circumstance it can results in retention of information beyond the typical three tear audit cycle. </w:t>
      </w:r>
    </w:p>
    <w:p w:rsidR="00A03A01" w:rsidP="00C60EDC" w14:paraId="3A245AE2" w14:textId="6F83ED4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p>
    <w:p w:rsidR="00E71CB8" w:rsidRPr="005D02C5" w:rsidP="00C60EDC" w14:paraId="33327CEF" w14:textId="569D3560">
      <w:pPr>
        <w:spacing w:after="0" w:line="240" w:lineRule="auto"/>
        <w:rPr>
          <w:rFonts w:ascii="Times New Roman" w:hAnsi="Times New Roman" w:cs="Times New Roman"/>
          <w:sz w:val="24"/>
          <w:szCs w:val="24"/>
        </w:rPr>
      </w:pPr>
      <w:r w:rsidRPr="005D02C5">
        <w:rPr>
          <w:rFonts w:ascii="Times New Roman" w:hAnsi="Times New Roman" w:cs="Times New Roman"/>
          <w:sz w:val="24"/>
          <w:szCs w:val="24"/>
        </w:rPr>
        <w:t>Real-time Assessments (RTA) are to be done every 30 minutes.  This is to reflect actual working condition and status of electrical devices.  The RTA runs are saved onto computer storage and referenced if there is a problem.  Within the Bulk Electric System (BES) the timeframe to correct operating problems is targeted to be done within 30 minutes.  This aligns the RTAs with operating practices for reliability practices.</w:t>
      </w:r>
    </w:p>
    <w:p w:rsidR="00E71CB8" w:rsidP="00C60EDC" w14:paraId="2E488B93" w14:textId="77777777">
      <w:pPr>
        <w:spacing w:after="0" w:line="240" w:lineRule="auto"/>
        <w:rPr>
          <w:rFonts w:ascii="Times New Roman" w:hAnsi="Times New Roman"/>
          <w:sz w:val="24"/>
          <w:szCs w:val="24"/>
        </w:rPr>
      </w:pPr>
    </w:p>
    <w:p w:rsidR="00EB3E6F" w:rsidP="0092596C" w14:paraId="0E6F874B" w14:textId="6F162AD4">
      <w:pPr>
        <w:spacing w:after="0" w:line="240" w:lineRule="auto"/>
        <w:rPr>
          <w:rFonts w:ascii="Times New Roman" w:hAnsi="Times New Roman"/>
          <w:sz w:val="24"/>
          <w:szCs w:val="24"/>
        </w:rPr>
      </w:pPr>
      <w:r w:rsidRPr="00A03A01">
        <w:rPr>
          <w:rFonts w:ascii="Times New Roman" w:hAnsi="Times New Roman"/>
          <w:sz w:val="24"/>
          <w:szCs w:val="24"/>
        </w:rPr>
        <w:t>Emergency electric incidents and disturbances leading to interruptions of power, such as rotating blackouts, could lead to disruptions of critical infrastructures</w:t>
      </w:r>
      <w:r>
        <w:rPr>
          <w:rFonts w:ascii="Times New Roman" w:hAnsi="Times New Roman"/>
          <w:sz w:val="24"/>
          <w:szCs w:val="24"/>
        </w:rPr>
        <w:t>.</w:t>
      </w:r>
      <w:r w:rsidRPr="00A03A01">
        <w:rPr>
          <w:rFonts w:ascii="Times New Roman" w:hAnsi="Times New Roman"/>
          <w:sz w:val="24"/>
          <w:szCs w:val="24"/>
        </w:rPr>
        <w:t xml:space="preserve"> </w:t>
      </w:r>
      <w:r>
        <w:rPr>
          <w:rFonts w:ascii="Times New Roman" w:hAnsi="Times New Roman"/>
          <w:sz w:val="24"/>
          <w:szCs w:val="24"/>
        </w:rPr>
        <w:t xml:space="preserve"> </w:t>
      </w:r>
      <w:r w:rsidRPr="00A03A01">
        <w:rPr>
          <w:rFonts w:ascii="Times New Roman" w:hAnsi="Times New Roman"/>
          <w:sz w:val="24"/>
          <w:szCs w:val="24"/>
        </w:rPr>
        <w:t>The national security, economic prosperity, and social wellbeing of the nation depends on the continuing reliability of our increasingly complex and interdependent infrastructures, the key one of which is electric power.</w:t>
      </w:r>
      <w:r w:rsidR="00E71CB8">
        <w:rPr>
          <w:rFonts w:ascii="Times New Roman" w:hAnsi="Times New Roman"/>
          <w:sz w:val="24"/>
          <w:szCs w:val="24"/>
        </w:rPr>
        <w:t xml:space="preserve">  </w:t>
      </w:r>
    </w:p>
    <w:p w:rsidR="00A03A01" w:rsidP="0092596C" w14:paraId="67A60529" w14:textId="77777777">
      <w:pPr>
        <w:spacing w:after="0" w:line="240" w:lineRule="auto"/>
        <w:rPr>
          <w:rFonts w:ascii="Times New Roman" w:hAnsi="Times New Roman" w:cs="Times New Roman"/>
          <w:sz w:val="26"/>
          <w:szCs w:val="26"/>
        </w:rPr>
      </w:pPr>
    </w:p>
    <w:p w:rsidR="00A03A01" w:rsidRPr="005D02C5" w:rsidP="0092596C" w14:paraId="6720E995" w14:textId="14A1BBFD">
      <w:pPr>
        <w:spacing w:after="0" w:line="240" w:lineRule="auto"/>
        <w:rPr>
          <w:rFonts w:ascii="Times New Roman" w:hAnsi="Times New Roman" w:cs="Times New Roman"/>
          <w:sz w:val="24"/>
          <w:szCs w:val="24"/>
        </w:rPr>
      </w:pPr>
      <w:r w:rsidRPr="005D02C5">
        <w:rPr>
          <w:rFonts w:ascii="Times New Roman" w:hAnsi="Times New Roman" w:cs="Times New Roman"/>
          <w:sz w:val="24"/>
          <w:szCs w:val="24"/>
        </w:rPr>
        <w:t>For these reasons we consider the reporting requirement</w:t>
      </w:r>
      <w:r w:rsidRPr="005D02C5" w:rsidR="007F0136">
        <w:rPr>
          <w:rFonts w:ascii="Times New Roman" w:hAnsi="Times New Roman" w:cs="Times New Roman"/>
          <w:sz w:val="24"/>
          <w:szCs w:val="24"/>
        </w:rPr>
        <w:t>s</w:t>
      </w:r>
      <w:r w:rsidRPr="005D02C5">
        <w:rPr>
          <w:rFonts w:ascii="Times New Roman" w:hAnsi="Times New Roman" w:cs="Times New Roman"/>
          <w:sz w:val="24"/>
          <w:szCs w:val="24"/>
        </w:rPr>
        <w:t xml:space="preserve"> necessary.</w:t>
      </w:r>
    </w:p>
    <w:p w:rsidR="00A03A01" w:rsidRPr="00BD0FD5" w:rsidP="0092596C" w14:paraId="74ADE459" w14:textId="77777777">
      <w:pPr>
        <w:spacing w:after="0" w:line="240" w:lineRule="auto"/>
        <w:rPr>
          <w:rFonts w:ascii="Times New Roman" w:hAnsi="Times New Roman" w:cs="Times New Roman"/>
          <w:sz w:val="24"/>
          <w:szCs w:val="24"/>
        </w:rPr>
      </w:pPr>
    </w:p>
    <w:p w:rsidR="00EB3E6F" w:rsidRPr="00BD0FD5" w:rsidP="0092596C" w14:paraId="4E1E27C3"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EFFORTS TO CONSULT OUTSIDE THE AGENCY: SUMMARIZE PUBLIC COMMENTS AND THE AGENCY’S RESPONSE</w:t>
      </w:r>
    </w:p>
    <w:p w:rsidR="00EB3E6F" w:rsidRPr="00BD0FD5" w:rsidP="0092596C" w14:paraId="75E84060" w14:textId="77777777">
      <w:pPr>
        <w:spacing w:after="0" w:line="240" w:lineRule="auto"/>
        <w:rPr>
          <w:rFonts w:ascii="Times New Roman" w:hAnsi="Times New Roman" w:cs="Times New Roman"/>
          <w:sz w:val="24"/>
          <w:szCs w:val="24"/>
        </w:rPr>
      </w:pPr>
    </w:p>
    <w:p w:rsidR="0000315F" w:rsidRPr="005D02C5" w:rsidP="0000315F" w14:paraId="2A1EE4DA" w14:textId="3E1ECA85">
      <w:pPr>
        <w:autoSpaceDE w:val="0"/>
        <w:autoSpaceDN w:val="0"/>
        <w:adjustRightInd w:val="0"/>
        <w:spacing w:after="0" w:line="240" w:lineRule="auto"/>
        <w:rPr>
          <w:rFonts w:ascii="Times New Roman" w:eastAsia="Times New Roman" w:hAnsi="Times New Roman" w:cs="Times New Roman"/>
          <w:sz w:val="24"/>
          <w:szCs w:val="24"/>
        </w:rPr>
      </w:pPr>
      <w:r w:rsidRPr="005D02C5">
        <w:rPr>
          <w:rFonts w:ascii="Times New Roman" w:eastAsia="Times New Roman" w:hAnsi="Times New Roman" w:cs="Times New Roman"/>
          <w:sz w:val="24"/>
          <w:szCs w:val="24"/>
        </w:rPr>
        <w:t>The Commission published a 60-day notice</w:t>
      </w:r>
      <w:r>
        <w:rPr>
          <w:rFonts w:ascii="Times New Roman" w:eastAsia="Times New Roman" w:hAnsi="Times New Roman" w:cs="Times New Roman"/>
          <w:sz w:val="24"/>
          <w:szCs w:val="24"/>
          <w:vertAlign w:val="superscript"/>
        </w:rPr>
        <w:footnoteReference w:id="3"/>
      </w:r>
      <w:r w:rsidRPr="005D02C5">
        <w:rPr>
          <w:rFonts w:ascii="Times New Roman" w:eastAsia="Times New Roman" w:hAnsi="Times New Roman" w:cs="Times New Roman"/>
          <w:sz w:val="24"/>
          <w:szCs w:val="24"/>
          <w:vertAlign w:val="superscript"/>
        </w:rPr>
        <w:t xml:space="preserve"> </w:t>
      </w:r>
      <w:r w:rsidRPr="005D02C5">
        <w:rPr>
          <w:rFonts w:ascii="Times New Roman" w:eastAsia="Times New Roman" w:hAnsi="Times New Roman" w:cs="Times New Roman"/>
          <w:sz w:val="24"/>
          <w:szCs w:val="24"/>
        </w:rPr>
        <w:t xml:space="preserve">in the Federal Register requesting comments. </w:t>
      </w:r>
      <w:r w:rsidR="001470D4">
        <w:rPr>
          <w:rFonts w:ascii="Times New Roman" w:eastAsia="Times New Roman" w:hAnsi="Times New Roman" w:cs="Times New Roman"/>
          <w:sz w:val="24"/>
          <w:szCs w:val="24"/>
        </w:rPr>
        <w:t xml:space="preserve">No </w:t>
      </w:r>
      <w:r w:rsidRPr="005D02C5">
        <w:rPr>
          <w:rFonts w:ascii="Times New Roman" w:eastAsia="Times New Roman" w:hAnsi="Times New Roman" w:cs="Times New Roman"/>
          <w:sz w:val="24"/>
          <w:szCs w:val="24"/>
        </w:rPr>
        <w:t>comment</w:t>
      </w:r>
      <w:r w:rsidR="001470D4">
        <w:rPr>
          <w:rFonts w:ascii="Times New Roman" w:eastAsia="Times New Roman" w:hAnsi="Times New Roman" w:cs="Times New Roman"/>
          <w:sz w:val="24"/>
          <w:szCs w:val="24"/>
        </w:rPr>
        <w:t>s</w:t>
      </w:r>
      <w:r w:rsidRPr="005D02C5">
        <w:rPr>
          <w:rFonts w:ascii="Times New Roman" w:eastAsia="Times New Roman" w:hAnsi="Times New Roman" w:cs="Times New Roman"/>
          <w:sz w:val="24"/>
          <w:szCs w:val="24"/>
        </w:rPr>
        <w:t xml:space="preserve"> </w:t>
      </w:r>
      <w:r w:rsidRPr="005D02C5" w:rsidR="001470D4">
        <w:rPr>
          <w:rFonts w:ascii="Times New Roman" w:eastAsia="Times New Roman" w:hAnsi="Times New Roman" w:cs="Times New Roman"/>
          <w:sz w:val="24"/>
          <w:szCs w:val="24"/>
        </w:rPr>
        <w:t>were</w:t>
      </w:r>
      <w:r w:rsidRPr="005D02C5">
        <w:rPr>
          <w:rFonts w:ascii="Times New Roman" w:eastAsia="Times New Roman" w:hAnsi="Times New Roman" w:cs="Times New Roman"/>
          <w:sz w:val="24"/>
          <w:szCs w:val="24"/>
        </w:rPr>
        <w:t xml:space="preserve"> received in response to the 60-day Notice.  </w:t>
      </w:r>
    </w:p>
    <w:p w:rsidR="0000315F" w:rsidRPr="005D02C5" w:rsidP="0000315F" w14:paraId="7E3E4074" w14:textId="47073FA2">
      <w:pPr>
        <w:autoSpaceDE w:val="0"/>
        <w:autoSpaceDN w:val="0"/>
        <w:adjustRightInd w:val="0"/>
        <w:spacing w:after="0" w:line="240" w:lineRule="auto"/>
        <w:rPr>
          <w:rFonts w:ascii="Times New Roman" w:eastAsia="Times New Roman" w:hAnsi="Times New Roman" w:cs="Times New Roman"/>
          <w:sz w:val="24"/>
          <w:szCs w:val="24"/>
        </w:rPr>
      </w:pPr>
    </w:p>
    <w:p w:rsidR="0000315F" w:rsidRPr="005D02C5" w:rsidP="0000315F" w14:paraId="353BAA5C" w14:textId="77777777">
      <w:pPr>
        <w:autoSpaceDE w:val="0"/>
        <w:autoSpaceDN w:val="0"/>
        <w:adjustRightInd w:val="0"/>
        <w:spacing w:after="0" w:line="240" w:lineRule="auto"/>
        <w:rPr>
          <w:rFonts w:ascii="Times New Roman" w:eastAsia="Times New Roman" w:hAnsi="Times New Roman" w:cs="Times New Roman"/>
          <w:sz w:val="24"/>
          <w:szCs w:val="24"/>
        </w:rPr>
      </w:pPr>
      <w:r w:rsidRPr="005D02C5">
        <w:rPr>
          <w:rFonts w:ascii="Times New Roman" w:eastAsia="Times New Roman" w:hAnsi="Times New Roman" w:cs="Times New Roman"/>
          <w:sz w:val="24"/>
          <w:szCs w:val="24"/>
        </w:rPr>
        <w:t>In addition, the Commission is publishing a 30-day Notice in the Federal Register</w:t>
      </w:r>
      <w:r>
        <w:rPr>
          <w:rFonts w:ascii="Times New Roman" w:eastAsia="Times New Roman" w:hAnsi="Times New Roman" w:cs="Times New Roman"/>
          <w:b/>
          <w:sz w:val="24"/>
          <w:szCs w:val="24"/>
          <w:vertAlign w:val="superscript"/>
        </w:rPr>
        <w:footnoteReference w:id="4"/>
      </w:r>
      <w:r w:rsidRPr="005D02C5">
        <w:rPr>
          <w:rFonts w:ascii="Times New Roman" w:eastAsia="Times New Roman" w:hAnsi="Times New Roman" w:cs="Times New Roman"/>
          <w:sz w:val="24"/>
          <w:szCs w:val="24"/>
        </w:rPr>
        <w:t>.</w:t>
      </w:r>
    </w:p>
    <w:p w:rsidR="00EB3E6F" w:rsidRPr="005D02C5" w:rsidP="0092596C" w14:paraId="50B43B4F" w14:textId="77777777">
      <w:pPr>
        <w:spacing w:after="0" w:line="240" w:lineRule="auto"/>
        <w:rPr>
          <w:rFonts w:ascii="Times New Roman" w:hAnsi="Times New Roman" w:cs="Times New Roman"/>
          <w:sz w:val="24"/>
          <w:szCs w:val="24"/>
        </w:rPr>
      </w:pPr>
    </w:p>
    <w:p w:rsidR="00EB3E6F" w:rsidRPr="00BD0FD5" w:rsidP="0092596C" w14:paraId="2D54320C"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EXPLAIN ANY PAYMENT OR GIFTS TO RESPONDENTS</w:t>
      </w:r>
    </w:p>
    <w:p w:rsidR="00D80FBD" w:rsidRPr="00BD0FD5" w:rsidP="0092596C" w14:paraId="1210C2DD" w14:textId="77777777">
      <w:pPr>
        <w:spacing w:after="0" w:line="240" w:lineRule="auto"/>
        <w:rPr>
          <w:rFonts w:ascii="Times New Roman" w:hAnsi="Times New Roman" w:cs="Times New Roman"/>
          <w:sz w:val="24"/>
          <w:szCs w:val="24"/>
        </w:rPr>
      </w:pPr>
    </w:p>
    <w:p w:rsidR="0072126E" w:rsidRPr="00BD0FD5" w:rsidP="0092596C" w14:paraId="28105D39" w14:textId="77777777">
      <w:pPr>
        <w:spacing w:after="0" w:line="240" w:lineRule="auto"/>
        <w:rPr>
          <w:rFonts w:ascii="Times New Roman" w:hAnsi="Times New Roman"/>
          <w:sz w:val="24"/>
          <w:szCs w:val="24"/>
        </w:rPr>
      </w:pPr>
      <w:r w:rsidRPr="00BD0FD5">
        <w:rPr>
          <w:rFonts w:ascii="Times New Roman" w:hAnsi="Times New Roman"/>
          <w:sz w:val="24"/>
          <w:szCs w:val="24"/>
        </w:rPr>
        <w:t>The Commission does not make payments or provide gifts for respondents related to this collection.</w:t>
      </w:r>
    </w:p>
    <w:p w:rsidR="00D80FBD" w:rsidRPr="00BD0FD5" w:rsidP="0092596C" w14:paraId="16D50B62" w14:textId="77777777">
      <w:pPr>
        <w:spacing w:after="0" w:line="240" w:lineRule="auto"/>
        <w:rPr>
          <w:rFonts w:ascii="Times New Roman" w:hAnsi="Times New Roman" w:cs="Times New Roman"/>
          <w:sz w:val="24"/>
          <w:szCs w:val="24"/>
        </w:rPr>
      </w:pPr>
    </w:p>
    <w:p w:rsidR="00D80FBD" w:rsidRPr="00BD0FD5" w:rsidP="0092596C" w14:paraId="06226082"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DESCRIBE ANY ASSURANCE OF CONFIDENTIALITY PROVIDED TO RESPONDENTS</w:t>
      </w:r>
    </w:p>
    <w:p w:rsidR="00182858" w:rsidRPr="00BD0FD5" w:rsidP="0092596C" w14:paraId="6FDD0DA7" w14:textId="77777777">
      <w:pPr>
        <w:spacing w:after="0" w:line="240" w:lineRule="auto"/>
        <w:rPr>
          <w:rFonts w:ascii="Times New Roman" w:hAnsi="Times New Roman" w:cs="Times New Roman"/>
          <w:sz w:val="24"/>
          <w:szCs w:val="24"/>
        </w:rPr>
      </w:pPr>
    </w:p>
    <w:p w:rsidR="00D80FBD" w:rsidRPr="00BD0FD5" w:rsidP="0092596C" w14:paraId="0E61A2E0"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specific assurances of confidentiality mentioned to respondents.</w:t>
      </w:r>
    </w:p>
    <w:p w:rsidR="00D80FBD" w:rsidRPr="00BD0FD5" w:rsidP="0092596C" w14:paraId="52B231BB" w14:textId="77777777">
      <w:pPr>
        <w:spacing w:after="0" w:line="240" w:lineRule="auto"/>
        <w:rPr>
          <w:rFonts w:ascii="Times New Roman" w:hAnsi="Times New Roman" w:cs="Times New Roman"/>
          <w:sz w:val="24"/>
          <w:szCs w:val="24"/>
        </w:rPr>
      </w:pPr>
    </w:p>
    <w:p w:rsidR="00D80FBD" w:rsidRPr="00BD0FD5" w:rsidP="0092596C" w14:paraId="192AC248"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PROVIDE ADDITIONAL JUSTIFICATION FOR ANY QUESTIONS OF A SENSITIVE NATURE</w:t>
      </w:r>
    </w:p>
    <w:p w:rsidR="00D80FBD" w:rsidRPr="00BD0FD5" w:rsidP="0092596C" w14:paraId="186BF47D" w14:textId="77777777">
      <w:pPr>
        <w:spacing w:after="0" w:line="240" w:lineRule="auto"/>
        <w:rPr>
          <w:rFonts w:ascii="Times New Roman" w:hAnsi="Times New Roman" w:cs="Times New Roman"/>
          <w:sz w:val="24"/>
          <w:szCs w:val="24"/>
        </w:rPr>
      </w:pPr>
    </w:p>
    <w:p w:rsidR="00A4336A" w:rsidRPr="00BD0FD5" w:rsidP="0092596C" w14:paraId="008F18F6" w14:textId="77777777">
      <w:pPr>
        <w:spacing w:after="0" w:line="240" w:lineRule="auto"/>
        <w:rPr>
          <w:rFonts w:ascii="Times New Roman" w:hAnsi="Times New Roman"/>
          <w:sz w:val="24"/>
          <w:szCs w:val="24"/>
        </w:rPr>
      </w:pPr>
      <w:r w:rsidRPr="00BD0FD5">
        <w:rPr>
          <w:rFonts w:ascii="Times New Roman" w:hAnsi="Times New Roman"/>
          <w:sz w:val="24"/>
          <w:szCs w:val="24"/>
        </w:rPr>
        <w:t>This collection does not include any questions of a sensitive nature.</w:t>
      </w:r>
    </w:p>
    <w:p w:rsidR="00D80FBD" w:rsidRPr="00BD0FD5" w:rsidP="0092596C" w14:paraId="0CBD35AA" w14:textId="77777777">
      <w:pPr>
        <w:spacing w:after="0" w:line="240" w:lineRule="auto"/>
        <w:rPr>
          <w:rFonts w:ascii="Times New Roman" w:hAnsi="Times New Roman" w:cs="Times New Roman"/>
          <w:sz w:val="24"/>
          <w:szCs w:val="24"/>
        </w:rPr>
      </w:pPr>
    </w:p>
    <w:p w:rsidR="00D80FBD" w:rsidP="0092596C" w14:paraId="51C07940" w14:textId="1732F0F0">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BURDEN OF COLLECTION OF INFORMATION</w:t>
      </w:r>
    </w:p>
    <w:p w:rsidR="00952F08" w:rsidP="00952F08" w14:paraId="7C461E8C" w14:textId="5E8F0B4C">
      <w:pPr>
        <w:spacing w:after="0" w:line="240" w:lineRule="auto"/>
        <w:rPr>
          <w:rFonts w:ascii="Times New Roman" w:hAnsi="Times New Roman" w:cs="Times New Roman"/>
          <w:b/>
          <w:sz w:val="24"/>
          <w:szCs w:val="24"/>
        </w:rPr>
      </w:pPr>
    </w:p>
    <w:p w:rsidR="00952F08" w:rsidRPr="005D02C5" w:rsidP="00781EA6" w14:paraId="072B06A0" w14:textId="59DBFAA1">
      <w:pPr>
        <w:widowControl w:val="0"/>
        <w:autoSpaceDE w:val="0"/>
        <w:autoSpaceDN w:val="0"/>
        <w:adjustRightInd w:val="0"/>
        <w:spacing w:after="0" w:line="240" w:lineRule="auto"/>
        <w:rPr>
          <w:rFonts w:ascii="Times New Roman" w:eastAsia="Times New Roman" w:hAnsi="Times New Roman" w:cs="Times New Roman"/>
          <w:sz w:val="24"/>
          <w:szCs w:val="24"/>
        </w:rPr>
      </w:pPr>
      <w:r w:rsidRPr="005D02C5">
        <w:rPr>
          <w:rFonts w:ascii="Times New Roman" w:eastAsia="Times New Roman" w:hAnsi="Times New Roman" w:cs="Times New Roman"/>
          <w:sz w:val="24"/>
          <w:szCs w:val="24"/>
        </w:rPr>
        <w:t>The estimated annual burden and cost related to the reporting and recordkeeping requirements for FERC-725A are as follows.</w:t>
      </w:r>
    </w:p>
    <w:p w:rsidR="00B356F5" w:rsidRPr="005D02C5" w:rsidP="00781EA6" w14:paraId="672ADF95" w14:textId="74E87108">
      <w:pPr>
        <w:widowControl w:val="0"/>
        <w:autoSpaceDE w:val="0"/>
        <w:autoSpaceDN w:val="0"/>
        <w:adjustRightInd w:val="0"/>
        <w:spacing w:after="0" w:line="240" w:lineRule="auto"/>
        <w:rPr>
          <w:rFonts w:ascii="Times New Roman" w:eastAsia="Times New Roman" w:hAnsi="Times New Roman" w:cs="Times New Roman"/>
          <w:sz w:val="24"/>
          <w:szCs w:val="24"/>
        </w:rPr>
      </w:pPr>
    </w:p>
    <w:p w:rsidR="0096491E" w:rsidP="00781EA6" w14:paraId="4628AEC3" w14:textId="77777777">
      <w:pPr>
        <w:spacing w:after="0" w:line="240" w:lineRule="auto"/>
        <w:rPr>
          <w:rFonts w:ascii="Times New Roman" w:eastAsia="Times New Roman" w:hAnsi="Times New Roman" w:cs="Times New Roman"/>
          <w:iCs/>
          <w:sz w:val="24"/>
          <w:szCs w:val="24"/>
        </w:rPr>
      </w:pPr>
      <w:r w:rsidRPr="0096491E">
        <w:rPr>
          <w:rFonts w:ascii="Times New Roman" w:eastAsia="Times New Roman" w:hAnsi="Times New Roman" w:cs="Times New Roman"/>
          <w:iCs/>
          <w:sz w:val="24"/>
          <w:szCs w:val="24"/>
        </w:rPr>
        <w:t>The existing burden inventory for the entire FERC-725A collection is estimated at 1,103,040 burden hours (Table 1).  FERC-725A contains the information collection requirements for nearly all of the US wide Reliability Standards.  The collection started in 2007 when FERC approved 83 Reliability Standards with an estimated 1,252,680 burden hours.  Since that time, NERC has revised many of the original standards (as well as proposed new standards) resulting in many incremental additions to the total burden hours.  Additionally, over time FAC-003, FAC-008, PER-003; INT-006; INT-009; TOP-001, TOP-002, TOP-003, TOP-010 revisions were captured in 725A collection.  In August 2024, the associated manhours and cost for PER-003-2 are being relocated from 725A into 725Y (Table 2).  This change will not result in change in the number of respondents in 725A as the same group of responsible entities have other obligation under 725A but the associated cost per entity will decrease slightly overall (Table 3).</w:t>
      </w:r>
    </w:p>
    <w:p w:rsidR="004230F2" w:rsidRPr="0096491E" w:rsidP="00781EA6" w14:paraId="7D461294" w14:textId="77777777">
      <w:pPr>
        <w:spacing w:after="0" w:line="240" w:lineRule="auto"/>
        <w:rPr>
          <w:rFonts w:ascii="Times New Roman" w:eastAsia="Times New Roman" w:hAnsi="Times New Roman" w:cs="Times New Roman"/>
          <w:iCs/>
          <w:sz w:val="24"/>
          <w:szCs w:val="24"/>
        </w:rPr>
      </w:pPr>
    </w:p>
    <w:p w:rsidR="0096491E" w:rsidP="00781EA6" w14:paraId="21C544B6" w14:textId="20109DDC">
      <w:pPr>
        <w:spacing w:after="0" w:line="240" w:lineRule="auto"/>
        <w:rPr>
          <w:rFonts w:ascii="Times New Roman" w:eastAsia="Times New Roman" w:hAnsi="Times New Roman" w:cs="Times New Roman"/>
          <w:iCs/>
          <w:sz w:val="24"/>
          <w:szCs w:val="24"/>
        </w:rPr>
      </w:pPr>
      <w:r w:rsidRPr="0096491E">
        <w:rPr>
          <w:rFonts w:ascii="Times New Roman" w:eastAsia="Times New Roman" w:hAnsi="Times New Roman" w:cs="Times New Roman"/>
          <w:iCs/>
          <w:sz w:val="24"/>
          <w:szCs w:val="24"/>
        </w:rPr>
        <w:t xml:space="preserve">In an effort to target similar NERC Reliability Standards by family in this 725A renewal, manhours associated with two FAC (Facilities) Reliability Standards (FAC-008-5 and FAC-003-2) will be </w:t>
      </w:r>
      <w:r w:rsidR="00416A69">
        <w:rPr>
          <w:rFonts w:ascii="Times New Roman" w:eastAsia="Times New Roman" w:hAnsi="Times New Roman" w:cs="Times New Roman"/>
          <w:iCs/>
          <w:sz w:val="24"/>
          <w:szCs w:val="24"/>
        </w:rPr>
        <w:t>transferred</w:t>
      </w:r>
      <w:r w:rsidRPr="0096491E">
        <w:rPr>
          <w:rFonts w:ascii="Times New Roman" w:eastAsia="Times New Roman" w:hAnsi="Times New Roman" w:cs="Times New Roman"/>
          <w:iCs/>
          <w:sz w:val="24"/>
          <w:szCs w:val="24"/>
        </w:rPr>
        <w:t xml:space="preserve"> from 725A and then added to the 725D, where other FAC standards are collected.  This should facilitate future three-year renewal efforts and more accurate tracking of for the FAC Reliability Standards.  </w:t>
      </w:r>
    </w:p>
    <w:p w:rsidR="004230F2" w:rsidRPr="0096491E" w:rsidP="00781EA6" w14:paraId="2549BE79" w14:textId="77777777">
      <w:pPr>
        <w:spacing w:after="0" w:line="240" w:lineRule="auto"/>
        <w:rPr>
          <w:rFonts w:ascii="Times New Roman" w:eastAsia="Times New Roman" w:hAnsi="Times New Roman" w:cs="Times New Roman"/>
          <w:iCs/>
          <w:sz w:val="24"/>
          <w:szCs w:val="24"/>
        </w:rPr>
      </w:pPr>
    </w:p>
    <w:p w:rsidR="0096491E" w:rsidRPr="0096491E" w:rsidP="00781EA6" w14:paraId="27E9B3BD" w14:textId="29435678">
      <w:pPr>
        <w:spacing w:after="0" w:line="240" w:lineRule="auto"/>
        <w:rPr>
          <w:rFonts w:ascii="Times New Roman" w:eastAsia="Times New Roman" w:hAnsi="Times New Roman" w:cs="Times New Roman"/>
          <w:iCs/>
          <w:sz w:val="24"/>
          <w:szCs w:val="24"/>
        </w:rPr>
      </w:pPr>
      <w:r w:rsidRPr="0096491E">
        <w:rPr>
          <w:rFonts w:ascii="Times New Roman" w:eastAsia="Times New Roman" w:hAnsi="Times New Roman" w:cs="Times New Roman"/>
          <w:iCs/>
          <w:sz w:val="24"/>
          <w:szCs w:val="24"/>
        </w:rPr>
        <w:t>In an effort to target similar NERC Reliability Standards by family in this 725A renewal, manhours associated with three PRC (Protection and Control) Reliability Standards (PRC-008-0, PRC-011-0, and PRC-017-1) will be</w:t>
      </w:r>
      <w:r w:rsidR="00416A69">
        <w:rPr>
          <w:rFonts w:ascii="Times New Roman" w:eastAsia="Times New Roman" w:hAnsi="Times New Roman" w:cs="Times New Roman"/>
          <w:iCs/>
          <w:sz w:val="24"/>
          <w:szCs w:val="24"/>
        </w:rPr>
        <w:t xml:space="preserve"> transferred</w:t>
      </w:r>
      <w:r w:rsidRPr="0096491E">
        <w:rPr>
          <w:rFonts w:ascii="Times New Roman" w:eastAsia="Times New Roman" w:hAnsi="Times New Roman" w:cs="Times New Roman"/>
          <w:iCs/>
          <w:sz w:val="24"/>
          <w:szCs w:val="24"/>
        </w:rPr>
        <w:t xml:space="preserve"> from 725A Bulk-Power System and then added to the 725G, where other PRC standards are collected.  This should facilitate future three-year renewal efforts and more accurate tracking of for the PRC Reliability Standards.  </w:t>
      </w:r>
    </w:p>
    <w:p w:rsidR="0096491E" w:rsidP="00781EA6" w14:paraId="4BA12749" w14:textId="5422CF6D">
      <w:pPr>
        <w:spacing w:after="0" w:line="240" w:lineRule="auto"/>
        <w:rPr>
          <w:rFonts w:ascii="Times New Roman" w:eastAsia="Times New Roman" w:hAnsi="Times New Roman" w:cs="Times New Roman"/>
          <w:iCs/>
          <w:sz w:val="24"/>
          <w:szCs w:val="24"/>
        </w:rPr>
      </w:pPr>
      <w:r w:rsidRPr="0096491E">
        <w:rPr>
          <w:rFonts w:ascii="Times New Roman" w:eastAsia="Times New Roman" w:hAnsi="Times New Roman" w:cs="Times New Roman"/>
          <w:iCs/>
          <w:sz w:val="24"/>
          <w:szCs w:val="24"/>
        </w:rPr>
        <w:t>PRC-008 (Underfrequency and Documentation of Underfrequency Load Shedding Equipment Maintenance Program) represents responsibility of TOs and GOs to create and follow their maintenance program to ensure that underfrequency relays operate when needed to drop system load to preserve the BES.  PRC-011-0 (Undervoltage Load Shedding (UVLS) System Maintenance and Testing) identifies that TOs and DPs that own a UVLS system to create and follow their maintenance program to ensure that undervoltage relays operate when needed to drop system load to preserve volage collapse or voltage instability.  Not every TO or DP has a UVLS program, staff is estimating that</w:t>
      </w:r>
      <w:r w:rsidRPr="0096491E">
        <w:rPr>
          <w:rFonts w:ascii="Times New Roman" w:eastAsia="Times New Roman" w:hAnsi="Times New Roman" w:cs="Times New Roman"/>
          <w:iCs/>
          <w:sz w:val="26"/>
          <w:szCs w:val="26"/>
        </w:rPr>
        <w:t xml:space="preserve"> </w:t>
      </w:r>
      <w:r w:rsidRPr="0096491E">
        <w:rPr>
          <w:rFonts w:ascii="Times New Roman" w:eastAsia="Times New Roman" w:hAnsi="Times New Roman" w:cs="Times New Roman"/>
          <w:iCs/>
          <w:sz w:val="24"/>
          <w:szCs w:val="24"/>
        </w:rPr>
        <w:t>half of the registered TOs and DPs need to follow PRC-011-0.   PRC-017-1 (Remedial Action Scheme (RAS) Maintenance and Testing) System Maintenance and Testing) identifies that TOs, DPs, GOs that their RASs are properly designed,</w:t>
      </w:r>
      <w:r w:rsidR="00416A69">
        <w:rPr>
          <w:rFonts w:ascii="Times New Roman" w:eastAsia="Times New Roman" w:hAnsi="Times New Roman" w:cs="Times New Roman"/>
          <w:iCs/>
          <w:sz w:val="24"/>
          <w:szCs w:val="24"/>
        </w:rPr>
        <w:t xml:space="preserve"> </w:t>
      </w:r>
      <w:r w:rsidRPr="0096491E">
        <w:rPr>
          <w:rFonts w:ascii="Times New Roman" w:eastAsia="Times New Roman" w:hAnsi="Times New Roman" w:cs="Times New Roman"/>
          <w:iCs/>
          <w:sz w:val="24"/>
          <w:szCs w:val="24"/>
        </w:rPr>
        <w:t>meet expected performance, and are coordinated with other protection systems.</w:t>
      </w:r>
      <w:r>
        <w:rPr>
          <w:rFonts w:ascii="Times New Roman" w:eastAsia="Times New Roman" w:hAnsi="Times New Roman" w:cs="Times New Roman"/>
          <w:iCs/>
          <w:sz w:val="24"/>
          <w:szCs w:val="24"/>
        </w:rPr>
        <w:footnoteReference w:id="5"/>
      </w:r>
      <w:r w:rsidRPr="0096491E">
        <w:rPr>
          <w:rFonts w:ascii="Times New Roman" w:eastAsia="Times New Roman" w:hAnsi="Times New Roman" w:cs="Times New Roman"/>
          <w:iCs/>
          <w:sz w:val="24"/>
          <w:szCs w:val="24"/>
        </w:rPr>
        <w:t xml:space="preserve">  The maintenance and testing programs for RAS are reviewed by engineers and when a relay mis-operations occurs the RAS is reviewed and corrected.  PRC-008-0 and PRC-011-0 have been in-service since April 2005 and PRC-017-1 was revised in November 2015.</w:t>
      </w:r>
    </w:p>
    <w:p w:rsidR="00366B4D" w:rsidRPr="0096491E" w:rsidP="00781EA6" w14:paraId="33E339EA" w14:textId="77777777">
      <w:pPr>
        <w:spacing w:after="0" w:line="240" w:lineRule="auto"/>
        <w:rPr>
          <w:rFonts w:ascii="Times New Roman" w:eastAsia="Times New Roman" w:hAnsi="Times New Roman" w:cs="Times New Roman"/>
          <w:b/>
          <w:bCs/>
          <w:iCs/>
          <w:sz w:val="26"/>
          <w:szCs w:val="26"/>
        </w:rPr>
      </w:pPr>
    </w:p>
    <w:p w:rsidR="0096491E" w:rsidRPr="0096491E" w:rsidP="00781EA6" w14:paraId="006CFC42" w14:textId="77777777">
      <w:pPr>
        <w:spacing w:after="0" w:line="240" w:lineRule="auto"/>
        <w:rPr>
          <w:rFonts w:ascii="Times New Roman" w:eastAsia="Times New Roman" w:hAnsi="Times New Roman" w:cs="Times New Roman"/>
          <w:i/>
          <w:sz w:val="24"/>
          <w:szCs w:val="24"/>
        </w:rPr>
      </w:pPr>
      <w:r w:rsidRPr="0096491E">
        <w:rPr>
          <w:rFonts w:ascii="Times New Roman" w:eastAsia="Times New Roman" w:hAnsi="Times New Roman" w:cs="Times New Roman"/>
          <w:i/>
          <w:sz w:val="24"/>
          <w:szCs w:val="24"/>
        </w:rPr>
        <w:t>Estimate of Annual Burden</w:t>
      </w:r>
      <w:r>
        <w:rPr>
          <w:rFonts w:ascii="Times New Roman" w:eastAsia="Times New Roman" w:hAnsi="Times New Roman" w:cs="Times New Roman"/>
          <w:b/>
          <w:i/>
          <w:sz w:val="24"/>
          <w:szCs w:val="24"/>
          <w:vertAlign w:val="superscript"/>
        </w:rPr>
        <w:footnoteReference w:id="6"/>
      </w:r>
      <w:r w:rsidRPr="0096491E">
        <w:rPr>
          <w:rFonts w:ascii="Times New Roman" w:eastAsia="Times New Roman" w:hAnsi="Times New Roman" w:cs="Times New Roman"/>
          <w:i/>
          <w:sz w:val="24"/>
          <w:szCs w:val="24"/>
        </w:rPr>
        <w:t xml:space="preserve">: </w:t>
      </w:r>
      <w:r w:rsidRPr="0096491E">
        <w:rPr>
          <w:rFonts w:ascii="Times New Roman" w:eastAsia="Times New Roman" w:hAnsi="Times New Roman" w:cs="Times New Roman"/>
          <w:sz w:val="24"/>
          <w:szCs w:val="24"/>
        </w:rPr>
        <w:t>The Commission estimates the burden and cost for this information collection as follows.</w:t>
      </w:r>
      <w:r w:rsidRPr="0096491E">
        <w:rPr>
          <w:rFonts w:ascii="Times New Roman" w:eastAsia="Times New Roman" w:hAnsi="Times New Roman" w:cs="Times New Roman"/>
          <w:i/>
          <w:sz w:val="24"/>
          <w:szCs w:val="24"/>
        </w:rPr>
        <w:t xml:space="preserve"> </w:t>
      </w:r>
    </w:p>
    <w:p w:rsidR="0096491E" w:rsidRPr="0096491E" w:rsidP="0096491E" w14:paraId="70161031" w14:textId="77777777">
      <w:pPr>
        <w:spacing w:after="0" w:line="480" w:lineRule="auto"/>
        <w:rPr>
          <w:rFonts w:ascii="Times New Roman" w:eastAsia="Times New Roman" w:hAnsi="Times New Roman" w:cs="Times New Roman"/>
          <w:i/>
          <w:sz w:val="24"/>
          <w:szCs w:val="24"/>
        </w:rPr>
      </w:pPr>
      <w:r w:rsidRPr="0096491E">
        <w:rPr>
          <w:rFonts w:ascii="Times New Roman" w:eastAsia="Times New Roman" w:hAnsi="Times New Roman" w:cs="Times New Roman"/>
          <w:b/>
          <w:bCs/>
          <w:iCs/>
          <w:sz w:val="24"/>
          <w:szCs w:val="24"/>
          <w:u w:val="single"/>
        </w:rPr>
        <w:t>IC24-23-000 Renewal of 725A</w:t>
      </w:r>
    </w:p>
    <w:p w:rsidR="0096491E" w:rsidRPr="0096491E" w:rsidP="0096491E" w14:paraId="19782C0E" w14:textId="77777777">
      <w:pPr>
        <w:spacing w:after="0" w:line="480" w:lineRule="auto"/>
        <w:rPr>
          <w:rFonts w:ascii="Times New Roman" w:eastAsia="Times New Roman" w:hAnsi="Times New Roman" w:cs="Times New Roman"/>
          <w:iCs/>
          <w:sz w:val="26"/>
          <w:szCs w:val="26"/>
        </w:rPr>
      </w:pPr>
      <w:r w:rsidRPr="0096491E">
        <w:rPr>
          <w:rFonts w:ascii="Times New Roman" w:eastAsia="Times New Roman" w:hAnsi="Times New Roman" w:cs="Times New Roman"/>
          <w:iCs/>
          <w:sz w:val="24"/>
          <w:szCs w:val="24"/>
        </w:rPr>
        <w:t xml:space="preserve">The following table represents the current burden associated with all Mandatory Reliability </w:t>
      </w:r>
      <w:r w:rsidRPr="0096491E">
        <w:rPr>
          <w:rFonts w:ascii="Times New Roman" w:eastAsia="Times New Roman" w:hAnsi="Times New Roman" w:cs="Times New Roman"/>
          <w:b/>
          <w:bCs/>
          <w:iCs/>
          <w:sz w:val="24"/>
          <w:szCs w:val="24"/>
        </w:rPr>
        <w:t>Standards that fall under FERC-725A</w:t>
      </w:r>
    </w:p>
    <w:tbl>
      <w:tblPr>
        <w:tblpPr w:leftFromText="187" w:rightFromText="187" w:vertAnchor="text" w:horzAnchor="margin" w:tblpX="-15" w:tblpY="1"/>
        <w:tblOverlap w:val="never"/>
        <w:tblW w:w="5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002"/>
        <w:gridCol w:w="1697"/>
        <w:gridCol w:w="1494"/>
        <w:gridCol w:w="1416"/>
        <w:gridCol w:w="1400"/>
        <w:gridCol w:w="1540"/>
        <w:gridCol w:w="1424"/>
      </w:tblGrid>
      <w:tr w14:paraId="3054D3A0" w14:textId="77777777" w:rsidTr="00416A69">
        <w:tblPrEx>
          <w:tblW w:w="53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val="288"/>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416A69" w14:paraId="323EC4AB" w14:textId="77777777">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highlight w:val="lightGray"/>
              </w:rPr>
            </w:pPr>
            <w:r w:rsidRPr="0096491E">
              <w:rPr>
                <w:rFonts w:ascii="Times New Roman" w:eastAsia="Times New Roman" w:hAnsi="Times New Roman" w:cs="Times New Roman"/>
                <w:b/>
                <w:sz w:val="24"/>
                <w:szCs w:val="24"/>
                <w:highlight w:val="lightGray"/>
              </w:rPr>
              <w:t xml:space="preserve">Original 725 A IC24-23-000-from 60-day notice </w:t>
            </w:r>
          </w:p>
          <w:p w:rsidR="0096491E" w:rsidRPr="0096491E" w:rsidP="00416A69" w14:paraId="2D0B94B6" w14:textId="77777777">
            <w:pPr>
              <w:keepNext/>
              <w:widowControl w:val="0"/>
              <w:autoSpaceDE w:val="0"/>
              <w:autoSpaceDN w:val="0"/>
              <w:adjustRightInd w:val="0"/>
              <w:spacing w:after="0" w:line="240" w:lineRule="auto"/>
              <w:rPr>
                <w:rFonts w:ascii="Times New Roman" w:eastAsia="Times New Roman" w:hAnsi="Times New Roman" w:cs="Times New Roman"/>
                <w:b/>
                <w:sz w:val="24"/>
                <w:szCs w:val="24"/>
              </w:rPr>
            </w:pPr>
          </w:p>
        </w:tc>
      </w:tr>
      <w:tr w14:paraId="759AAF8F" w14:textId="77777777" w:rsidTr="00416A69">
        <w:tblPrEx>
          <w:tblW w:w="5333" w:type="pct"/>
          <w:tblLayout w:type="fixed"/>
          <w:tblCellMar>
            <w:left w:w="115" w:type="dxa"/>
            <w:right w:w="115" w:type="dxa"/>
          </w:tblCellMar>
          <w:tblLook w:val="01E0"/>
        </w:tblPrEx>
        <w:trPr>
          <w:cantSplit/>
          <w:trHeight w:val="890"/>
        </w:trPr>
        <w:tc>
          <w:tcPr>
            <w:tcW w:w="502" w:type="pct"/>
            <w:tcBorders>
              <w:top w:val="single" w:sz="4" w:space="0" w:color="auto"/>
              <w:left w:val="single" w:sz="4" w:space="0" w:color="auto"/>
              <w:bottom w:val="single" w:sz="4" w:space="0" w:color="auto"/>
              <w:right w:val="single" w:sz="4" w:space="0" w:color="auto"/>
            </w:tcBorders>
            <w:shd w:val="clear" w:color="auto" w:fill="D9D9D9"/>
          </w:tcPr>
          <w:p w:rsidR="0096491E" w:rsidRPr="0096491E" w:rsidP="00416A69" w14:paraId="41475BDE"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851" w:type="pct"/>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416A69" w14:paraId="699C3D12"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Number and Type of Respondents</w:t>
            </w:r>
            <w:r w:rsidRPr="0096491E">
              <w:rPr>
                <w:rFonts w:ascii="Times New Roman" w:eastAsia="Times New Roman" w:hAnsi="Times New Roman" w:cs="Times New Roman"/>
                <w:b/>
                <w:sz w:val="24"/>
                <w:szCs w:val="24"/>
              </w:rPr>
              <w:br/>
              <w:t>(1)</w:t>
            </w:r>
            <w:r>
              <w:rPr>
                <w:rFonts w:ascii="Times New Roman" w:eastAsia="Times New Roman" w:hAnsi="Times New Roman" w:cs="Times New Roman"/>
                <w:sz w:val="24"/>
                <w:szCs w:val="24"/>
                <w:vertAlign w:val="superscript"/>
              </w:rPr>
              <w:footnoteReference w:id="7"/>
            </w:r>
          </w:p>
        </w:tc>
        <w:tc>
          <w:tcPr>
            <w:tcW w:w="749" w:type="pct"/>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416A69" w14:paraId="29DFCB2F"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 xml:space="preserve">Annual Number of Responses per Respondent </w:t>
            </w:r>
          </w:p>
          <w:p w:rsidR="0096491E" w:rsidRPr="0096491E" w:rsidP="00416A69" w14:paraId="09829648"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(2)</w:t>
            </w:r>
          </w:p>
        </w:tc>
        <w:tc>
          <w:tcPr>
            <w:tcW w:w="710" w:type="pct"/>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416A69" w14:paraId="71CBF137"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Total Number of Responses</w:t>
            </w:r>
          </w:p>
          <w:p w:rsidR="0096491E" w:rsidRPr="0096491E" w:rsidP="00416A69" w14:paraId="37F1B980"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Calibri" w:hAnsi="Times New Roman" w:cs="Times New Roman"/>
                <w:b/>
                <w:sz w:val="24"/>
                <w:szCs w:val="24"/>
              </w:rPr>
              <w:t>(1)*(2)=(3)</w:t>
            </w:r>
          </w:p>
        </w:tc>
        <w:tc>
          <w:tcPr>
            <w:tcW w:w="702" w:type="pct"/>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416A69" w14:paraId="4F663A57"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Avg. Burden &amp; Cost Per Response</w:t>
            </w:r>
            <w:r>
              <w:rPr>
                <w:rFonts w:ascii="Times New Roman" w:eastAsia="Times New Roman" w:hAnsi="Times New Roman" w:cs="Times New Roman"/>
                <w:sz w:val="24"/>
                <w:szCs w:val="24"/>
                <w:vertAlign w:val="superscript"/>
              </w:rPr>
              <w:footnoteReference w:id="8"/>
            </w:r>
            <w:r w:rsidRPr="0096491E">
              <w:rPr>
                <w:rFonts w:ascii="Times New Roman" w:eastAsia="Times New Roman" w:hAnsi="Times New Roman" w:cs="Times New Roman"/>
                <w:b/>
                <w:sz w:val="24"/>
                <w:szCs w:val="24"/>
              </w:rPr>
              <w:t xml:space="preserve"> </w:t>
            </w:r>
          </w:p>
          <w:p w:rsidR="0096491E" w:rsidRPr="0096491E" w:rsidP="00416A69" w14:paraId="1FD90974"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(4)</w:t>
            </w:r>
          </w:p>
        </w:tc>
        <w:tc>
          <w:tcPr>
            <w:tcW w:w="772" w:type="pct"/>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416A69" w14:paraId="644C658E"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Total Annual Burden Hours &amp; Total Annual Cost ($)</w:t>
            </w:r>
          </w:p>
          <w:p w:rsidR="0096491E" w:rsidRPr="0096491E" w:rsidP="00416A69" w14:paraId="61E0DE30"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Calibri" w:hAnsi="Times New Roman" w:cs="Times New Roman"/>
                <w:b/>
                <w:sz w:val="24"/>
                <w:szCs w:val="24"/>
              </w:rPr>
              <w:t>(3)*(4)=(5)</w:t>
            </w:r>
            <w:r w:rsidRPr="0096491E">
              <w:rPr>
                <w:rFonts w:ascii="Times New Roman" w:eastAsia="Times New Roman" w:hAnsi="Times New Roman" w:cs="Times New Roman"/>
                <w:b/>
                <w:sz w:val="24"/>
                <w:szCs w:val="24"/>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416A69" w14:paraId="0AB8BCF8"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Cost per Respondent ($)</w:t>
            </w:r>
          </w:p>
          <w:p w:rsidR="0096491E" w:rsidRPr="0096491E" w:rsidP="00416A69" w14:paraId="6C362E4A"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(5)</w:t>
            </w:r>
            <w:r w:rsidRPr="0096491E">
              <w:rPr>
                <w:rFonts w:ascii="Times New Roman" w:eastAsia="Calibri" w:hAnsi="Times New Roman" w:cs="Times New Roman"/>
                <w:b/>
                <w:sz w:val="24"/>
                <w:szCs w:val="24"/>
              </w:rPr>
              <w:t xml:space="preserve"> ÷ (1)</w:t>
            </w:r>
            <w:r w:rsidRPr="0096491E">
              <w:rPr>
                <w:rFonts w:ascii="Times New Roman" w:eastAsia="Times New Roman" w:hAnsi="Times New Roman" w:cs="Times New Roman"/>
                <w:b/>
                <w:sz w:val="24"/>
                <w:szCs w:val="24"/>
              </w:rPr>
              <w:t xml:space="preserve"> </w:t>
            </w:r>
          </w:p>
        </w:tc>
      </w:tr>
      <w:tr w14:paraId="0767C461" w14:textId="77777777" w:rsidTr="00416A69">
        <w:tblPrEx>
          <w:tblW w:w="5333" w:type="pct"/>
          <w:tblLayout w:type="fixed"/>
          <w:tblCellMar>
            <w:left w:w="115" w:type="dxa"/>
            <w:right w:w="115" w:type="dxa"/>
          </w:tblCellMar>
          <w:tblLook w:val="01E0"/>
        </w:tblPrEx>
        <w:trPr>
          <w:cantSplit/>
          <w:trHeight w:val="992"/>
        </w:trPr>
        <w:tc>
          <w:tcPr>
            <w:tcW w:w="502" w:type="pct"/>
            <w:tcBorders>
              <w:top w:val="single" w:sz="4" w:space="0" w:color="auto"/>
              <w:left w:val="single" w:sz="4" w:space="0" w:color="auto"/>
              <w:right w:val="single" w:sz="4" w:space="0" w:color="auto"/>
            </w:tcBorders>
          </w:tcPr>
          <w:p w:rsidR="0096491E" w:rsidRPr="00FB46D8" w:rsidP="00416A69" w14:paraId="4A4E09B1" w14:textId="77777777">
            <w:pPr>
              <w:spacing w:after="0" w:line="240" w:lineRule="auto"/>
              <w:rPr>
                <w:rFonts w:ascii="Times New Roman" w:eastAsia="Times New Roman" w:hAnsi="Times New Roman" w:cs="Times New Roman"/>
                <w:b/>
                <w:bCs/>
                <w:sz w:val="24"/>
                <w:szCs w:val="24"/>
              </w:rPr>
            </w:pPr>
            <w:r w:rsidRPr="00FB46D8">
              <w:rPr>
                <w:rFonts w:ascii="Times New Roman" w:eastAsia="Times New Roman" w:hAnsi="Times New Roman" w:cs="Times New Roman"/>
                <w:b/>
                <w:bCs/>
                <w:sz w:val="24"/>
                <w:szCs w:val="24"/>
              </w:rPr>
              <w:t xml:space="preserve">Annual Review of 725A </w:t>
            </w:r>
          </w:p>
          <w:p w:rsidR="0096491E" w:rsidRPr="00FB46D8" w:rsidP="00416A69" w14:paraId="2ED6B82C" w14:textId="77777777">
            <w:pPr>
              <w:spacing w:after="0" w:line="240" w:lineRule="auto"/>
              <w:rPr>
                <w:rFonts w:ascii="Times New Roman" w:eastAsia="Times New Roman" w:hAnsi="Times New Roman" w:cs="Times New Roman"/>
                <w:b/>
                <w:bCs/>
                <w:sz w:val="24"/>
                <w:szCs w:val="24"/>
              </w:rPr>
            </w:pPr>
          </w:p>
        </w:tc>
        <w:tc>
          <w:tcPr>
            <w:tcW w:w="851" w:type="pct"/>
            <w:tcBorders>
              <w:top w:val="single" w:sz="4" w:space="0" w:color="auto"/>
              <w:left w:val="single" w:sz="4" w:space="0" w:color="auto"/>
              <w:bottom w:val="single" w:sz="4" w:space="0" w:color="auto"/>
              <w:right w:val="single" w:sz="4" w:space="0" w:color="auto"/>
            </w:tcBorders>
          </w:tcPr>
          <w:p w:rsidR="0096491E" w:rsidRPr="0096491E" w:rsidP="00416A69" w14:paraId="7E6446E6"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3,711</w:t>
            </w:r>
          </w:p>
        </w:tc>
        <w:tc>
          <w:tcPr>
            <w:tcW w:w="749" w:type="pct"/>
            <w:tcBorders>
              <w:top w:val="single" w:sz="4" w:space="0" w:color="auto"/>
              <w:left w:val="single" w:sz="4" w:space="0" w:color="auto"/>
              <w:bottom w:val="single" w:sz="4" w:space="0" w:color="auto"/>
              <w:right w:val="single" w:sz="4" w:space="0" w:color="auto"/>
            </w:tcBorders>
          </w:tcPr>
          <w:p w:rsidR="0096491E" w:rsidRPr="0096491E" w:rsidP="00416A69" w14:paraId="6800DA5E"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710" w:type="pct"/>
            <w:tcBorders>
              <w:top w:val="single" w:sz="4" w:space="0" w:color="auto"/>
              <w:left w:val="single" w:sz="4" w:space="0" w:color="auto"/>
              <w:bottom w:val="single" w:sz="4" w:space="0" w:color="auto"/>
              <w:right w:val="single" w:sz="4" w:space="0" w:color="auto"/>
            </w:tcBorders>
          </w:tcPr>
          <w:p w:rsidR="0096491E" w:rsidRPr="0096491E" w:rsidP="00416A69" w14:paraId="03C628E3"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3,711</w:t>
            </w:r>
          </w:p>
        </w:tc>
        <w:tc>
          <w:tcPr>
            <w:tcW w:w="702" w:type="pct"/>
            <w:tcBorders>
              <w:top w:val="single" w:sz="4" w:space="0" w:color="auto"/>
              <w:left w:val="single" w:sz="4" w:space="0" w:color="auto"/>
              <w:bottom w:val="single" w:sz="4" w:space="0" w:color="auto"/>
              <w:right w:val="single" w:sz="4" w:space="0" w:color="auto"/>
            </w:tcBorders>
          </w:tcPr>
          <w:p w:rsidR="0096491E" w:rsidRPr="0096491E" w:rsidP="00416A69" w14:paraId="641B2CAF"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379.21 hrs.</w:t>
            </w:r>
          </w:p>
          <w:p w:rsidR="0096491E" w:rsidRPr="0096491E" w:rsidP="00416A69" w14:paraId="018E1377"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$26,798.77</w:t>
            </w:r>
          </w:p>
        </w:tc>
        <w:tc>
          <w:tcPr>
            <w:tcW w:w="772" w:type="pct"/>
            <w:tcBorders>
              <w:top w:val="single" w:sz="4" w:space="0" w:color="auto"/>
              <w:left w:val="single" w:sz="4" w:space="0" w:color="auto"/>
              <w:bottom w:val="single" w:sz="4" w:space="0" w:color="auto"/>
              <w:right w:val="single" w:sz="4" w:space="0" w:color="auto"/>
            </w:tcBorders>
          </w:tcPr>
          <w:p w:rsidR="0096491E" w:rsidRPr="0096491E" w:rsidP="00416A69" w14:paraId="428D6032"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1,407,238 hrs.</w:t>
            </w:r>
          </w:p>
          <w:p w:rsidR="0096491E" w:rsidRPr="0096491E" w:rsidP="00416A69" w14:paraId="44B03F33"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$99,449,509.46</w:t>
            </w:r>
          </w:p>
        </w:tc>
        <w:tc>
          <w:tcPr>
            <w:tcW w:w="713" w:type="pct"/>
            <w:tcBorders>
              <w:top w:val="single" w:sz="4" w:space="0" w:color="auto"/>
              <w:left w:val="single" w:sz="4" w:space="0" w:color="auto"/>
              <w:bottom w:val="single" w:sz="4" w:space="0" w:color="auto"/>
              <w:right w:val="single" w:sz="4" w:space="0" w:color="auto"/>
            </w:tcBorders>
          </w:tcPr>
          <w:p w:rsidR="0096491E" w:rsidRPr="0096491E" w:rsidP="00416A69" w14:paraId="38754F16"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$26,798.77</w:t>
            </w:r>
          </w:p>
        </w:tc>
      </w:tr>
      <w:tr w14:paraId="66AC5AE1" w14:textId="77777777" w:rsidTr="00416A69">
        <w:tblPrEx>
          <w:tblW w:w="5333" w:type="pct"/>
          <w:tblLayout w:type="fixed"/>
          <w:tblCellMar>
            <w:left w:w="115" w:type="dxa"/>
            <w:right w:w="115" w:type="dxa"/>
          </w:tblCellMar>
          <w:tblLook w:val="01E0"/>
        </w:tblPrEx>
        <w:trPr>
          <w:cantSplit/>
          <w:trHeight w:val="864"/>
        </w:trPr>
        <w:tc>
          <w:tcPr>
            <w:tcW w:w="502" w:type="pct"/>
            <w:tcBorders>
              <w:top w:val="single" w:sz="4" w:space="0" w:color="auto"/>
              <w:left w:val="single" w:sz="4" w:space="0" w:color="auto"/>
              <w:right w:val="single" w:sz="4" w:space="0" w:color="auto"/>
            </w:tcBorders>
          </w:tcPr>
          <w:p w:rsidR="0096491E" w:rsidRPr="00FB46D8" w:rsidP="00416A69" w14:paraId="32E5785C" w14:textId="77777777">
            <w:pPr>
              <w:spacing w:after="0" w:line="240" w:lineRule="auto"/>
              <w:rPr>
                <w:rFonts w:ascii="Times New Roman" w:eastAsia="Times New Roman" w:hAnsi="Times New Roman" w:cs="Times New Roman"/>
                <w:b/>
                <w:bCs/>
                <w:sz w:val="24"/>
                <w:szCs w:val="24"/>
              </w:rPr>
            </w:pPr>
            <w:r w:rsidRPr="00FB46D8">
              <w:rPr>
                <w:rFonts w:ascii="Times New Roman" w:eastAsia="Times New Roman" w:hAnsi="Times New Roman" w:cs="Times New Roman"/>
                <w:b/>
                <w:bCs/>
                <w:sz w:val="24"/>
                <w:szCs w:val="24"/>
              </w:rPr>
              <w:t>TOTAL</w:t>
            </w:r>
          </w:p>
        </w:tc>
        <w:tc>
          <w:tcPr>
            <w:tcW w:w="3012" w:type="pct"/>
            <w:gridSpan w:val="4"/>
            <w:tcBorders>
              <w:top w:val="single" w:sz="4" w:space="0" w:color="auto"/>
              <w:left w:val="single" w:sz="4" w:space="0" w:color="auto"/>
              <w:bottom w:val="single" w:sz="4" w:space="0" w:color="auto"/>
              <w:right w:val="single" w:sz="4" w:space="0" w:color="auto"/>
            </w:tcBorders>
            <w:shd w:val="clear" w:color="auto" w:fill="D9D9D9"/>
          </w:tcPr>
          <w:p w:rsidR="0096491E" w:rsidRPr="0096491E" w:rsidP="00416A69" w14:paraId="284720F6" w14:textId="77777777">
            <w:pPr>
              <w:spacing w:after="0" w:line="240" w:lineRule="auto"/>
              <w:jc w:val="right"/>
              <w:rPr>
                <w:rFonts w:ascii="Times New Roman" w:eastAsia="Times New Roman" w:hAnsi="Times New Roman" w:cs="Times New Roman"/>
                <w:sz w:val="24"/>
                <w:szCs w:val="24"/>
              </w:rPr>
            </w:pPr>
          </w:p>
        </w:tc>
        <w:tc>
          <w:tcPr>
            <w:tcW w:w="772" w:type="pct"/>
            <w:tcBorders>
              <w:top w:val="single" w:sz="4" w:space="0" w:color="auto"/>
              <w:left w:val="single" w:sz="4" w:space="0" w:color="auto"/>
              <w:bottom w:val="single" w:sz="4" w:space="0" w:color="auto"/>
              <w:right w:val="single" w:sz="4" w:space="0" w:color="auto"/>
            </w:tcBorders>
          </w:tcPr>
          <w:p w:rsidR="0096491E" w:rsidRPr="0096491E" w:rsidP="00416A69" w14:paraId="4BC85868"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1,407,238 hrs.</w:t>
            </w:r>
          </w:p>
          <w:p w:rsidR="0096491E" w:rsidRPr="0096491E" w:rsidP="00416A69" w14:paraId="5FF45BDB"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$99,449,509.46</w:t>
            </w:r>
          </w:p>
        </w:tc>
        <w:tc>
          <w:tcPr>
            <w:tcW w:w="713" w:type="pct"/>
            <w:tcBorders>
              <w:top w:val="single" w:sz="4" w:space="0" w:color="auto"/>
              <w:left w:val="single" w:sz="4" w:space="0" w:color="auto"/>
              <w:bottom w:val="single" w:sz="4" w:space="0" w:color="auto"/>
              <w:right w:val="single" w:sz="4" w:space="0" w:color="auto"/>
            </w:tcBorders>
            <w:shd w:val="clear" w:color="auto" w:fill="D9D9D9"/>
          </w:tcPr>
          <w:p w:rsidR="0096491E" w:rsidRPr="0096491E" w:rsidP="00416A69" w14:paraId="3C74C4BD" w14:textId="77777777">
            <w:pPr>
              <w:spacing w:after="0" w:line="240" w:lineRule="auto"/>
              <w:jc w:val="right"/>
              <w:rPr>
                <w:rFonts w:ascii="Times New Roman" w:eastAsia="Times New Roman" w:hAnsi="Times New Roman" w:cs="Times New Roman"/>
                <w:sz w:val="24"/>
                <w:szCs w:val="24"/>
              </w:rPr>
            </w:pPr>
          </w:p>
        </w:tc>
      </w:tr>
    </w:tbl>
    <w:p w:rsidR="0096491E" w:rsidRPr="0096491E" w:rsidP="0096491E" w14:paraId="7D2749DE" w14:textId="77777777">
      <w:pPr>
        <w:spacing w:after="0" w:line="480" w:lineRule="auto"/>
        <w:rPr>
          <w:rFonts w:ascii="Times New Roman" w:eastAsia="Times New Roman" w:hAnsi="Times New Roman" w:cs="Times New Roman"/>
          <w:sz w:val="26"/>
          <w:szCs w:val="26"/>
        </w:rPr>
      </w:pPr>
    </w:p>
    <w:tbl>
      <w:tblPr>
        <w:tblpPr w:leftFromText="187" w:rightFromText="187" w:vertAnchor="text"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1150"/>
        <w:gridCol w:w="1394"/>
        <w:gridCol w:w="1251"/>
        <w:gridCol w:w="970"/>
        <w:gridCol w:w="1440"/>
        <w:gridCol w:w="1875"/>
        <w:gridCol w:w="15"/>
        <w:gridCol w:w="1255"/>
      </w:tblGrid>
      <w:tr w14:paraId="2CC93E44" w14:textId="77777777" w:rsidTr="0096491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Height w:val="288"/>
        </w:trPr>
        <w:tc>
          <w:tcPr>
            <w:tcW w:w="9350" w:type="dxa"/>
            <w:gridSpan w:val="8"/>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96491E" w14:paraId="6749CB92" w14:textId="77777777">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highlight w:val="lightGray"/>
              </w:rPr>
            </w:pPr>
            <w:r w:rsidRPr="0096491E">
              <w:rPr>
                <w:rFonts w:ascii="Times New Roman" w:eastAsia="Times New Roman" w:hAnsi="Times New Roman" w:cs="Times New Roman"/>
                <w:b/>
                <w:sz w:val="24"/>
                <w:szCs w:val="24"/>
                <w:highlight w:val="lightGray"/>
              </w:rPr>
              <w:t>Original 725 A moving to FERC-725Y in Docket No. IC24-16-000</w:t>
            </w:r>
          </w:p>
          <w:p w:rsidR="0096491E" w:rsidRPr="0096491E" w:rsidP="0096491E" w14:paraId="15139F0C" w14:textId="77777777">
            <w:pPr>
              <w:keepNext/>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highlight w:val="lightGray"/>
              </w:rPr>
              <w:t xml:space="preserve"> Reliability Standard </w:t>
            </w:r>
            <w:bookmarkStart w:id="0" w:name="_Hlk173320474"/>
            <w:r w:rsidRPr="0096491E">
              <w:rPr>
                <w:rFonts w:ascii="Times New Roman" w:eastAsia="Times New Roman" w:hAnsi="Times New Roman" w:cs="Times New Roman"/>
                <w:b/>
                <w:sz w:val="24"/>
                <w:szCs w:val="24"/>
                <w:highlight w:val="lightGray"/>
              </w:rPr>
              <w:t>PER-003-2</w:t>
            </w:r>
            <w:bookmarkEnd w:id="0"/>
          </w:p>
        </w:tc>
      </w:tr>
      <w:tr w14:paraId="4DA62697" w14:textId="77777777" w:rsidTr="0096491E">
        <w:tblPrEx>
          <w:tblW w:w="0" w:type="auto"/>
          <w:tblLayout w:type="fixed"/>
          <w:tblCellMar>
            <w:left w:w="115" w:type="dxa"/>
            <w:right w:w="115" w:type="dxa"/>
          </w:tblCellMar>
          <w:tblLook w:val="01E0"/>
        </w:tblPrEx>
        <w:trPr>
          <w:cantSplit/>
          <w:trHeight w:val="2436"/>
        </w:trPr>
        <w:tc>
          <w:tcPr>
            <w:tcW w:w="1150" w:type="dxa"/>
            <w:tcBorders>
              <w:top w:val="single" w:sz="4" w:space="0" w:color="auto"/>
              <w:left w:val="single" w:sz="4" w:space="0" w:color="auto"/>
              <w:bottom w:val="single" w:sz="4" w:space="0" w:color="auto"/>
              <w:right w:val="single" w:sz="4" w:space="0" w:color="auto"/>
            </w:tcBorders>
            <w:shd w:val="clear" w:color="auto" w:fill="D9D9D9"/>
          </w:tcPr>
          <w:p w:rsidR="0096491E" w:rsidRPr="0096491E" w:rsidP="0096491E" w14:paraId="3F66854E"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tc>
        <w:tc>
          <w:tcPr>
            <w:tcW w:w="1394" w:type="dxa"/>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96491E" w14:paraId="5B14C991"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Number and Type of Responden</w:t>
            </w:r>
            <w:r w:rsidRPr="0096491E">
              <w:rPr>
                <w:rFonts w:ascii="Times New Roman" w:eastAsia="Times New Roman" w:hAnsi="Times New Roman" w:cs="Times New Roman"/>
                <w:b/>
                <w:sz w:val="24"/>
                <w:szCs w:val="24"/>
              </w:rPr>
              <w:t>ts</w:t>
            </w:r>
            <w:r>
              <w:rPr>
                <w:rFonts w:ascii="Times New Roman" w:eastAsia="Times New Roman" w:hAnsi="Times New Roman" w:cs="Times New Roman"/>
                <w:b/>
                <w:sz w:val="24"/>
                <w:szCs w:val="24"/>
                <w:vertAlign w:val="superscript"/>
              </w:rPr>
              <w:footnoteReference w:id="9"/>
            </w:r>
            <w:r w:rsidRPr="0096491E">
              <w:rPr>
                <w:rFonts w:ascii="Times New Roman" w:eastAsia="Times New Roman" w:hAnsi="Times New Roman" w:cs="Times New Roman"/>
                <w:b/>
                <w:sz w:val="24"/>
                <w:szCs w:val="24"/>
              </w:rPr>
              <w:br/>
              <w:t>(1)</w:t>
            </w:r>
          </w:p>
        </w:tc>
        <w:tc>
          <w:tcPr>
            <w:tcW w:w="1251" w:type="dxa"/>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96491E" w14:paraId="47859D69"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 xml:space="preserve">Annual Number of Responses per Respondent </w:t>
            </w:r>
          </w:p>
          <w:p w:rsidR="0096491E" w:rsidRPr="0096491E" w:rsidP="0096491E" w14:paraId="6BF4A7E6"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(2)</w:t>
            </w:r>
          </w:p>
        </w:tc>
        <w:tc>
          <w:tcPr>
            <w:tcW w:w="970" w:type="dxa"/>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96491E" w14:paraId="23DA0BD5"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Total Number of Responses</w:t>
            </w:r>
          </w:p>
          <w:p w:rsidR="0096491E" w:rsidRPr="0096491E" w:rsidP="0096491E" w14:paraId="7F04A5CB"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Calibri" w:hAnsi="Times New Roman" w:cs="Times New Roman"/>
                <w:b/>
                <w:sz w:val="24"/>
                <w:szCs w:val="24"/>
              </w:rPr>
              <w:t>(1)*(2)=(3)</w:t>
            </w:r>
          </w:p>
        </w:tc>
        <w:tc>
          <w:tcPr>
            <w:tcW w:w="1440" w:type="dxa"/>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96491E" w14:paraId="70595E85"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Avg. Burden &amp; Cost Per Response</w:t>
            </w:r>
            <w:r>
              <w:rPr>
                <w:rFonts w:ascii="Times New Roman" w:eastAsia="Times New Roman" w:hAnsi="Times New Roman" w:cs="Times New Roman"/>
                <w:sz w:val="24"/>
                <w:szCs w:val="24"/>
                <w:vertAlign w:val="superscript"/>
              </w:rPr>
              <w:footnoteReference w:id="10"/>
            </w:r>
            <w:r w:rsidRPr="0096491E">
              <w:rPr>
                <w:rFonts w:ascii="Times New Roman" w:eastAsia="Times New Roman" w:hAnsi="Times New Roman" w:cs="Times New Roman"/>
                <w:b/>
                <w:sz w:val="24"/>
                <w:szCs w:val="24"/>
              </w:rPr>
              <w:t xml:space="preserve"> </w:t>
            </w:r>
          </w:p>
          <w:p w:rsidR="0096491E" w:rsidRPr="0096491E" w:rsidP="0096491E" w14:paraId="2F8C053C"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(4)</w:t>
            </w:r>
          </w:p>
        </w:tc>
        <w:tc>
          <w:tcPr>
            <w:tcW w:w="1875" w:type="dxa"/>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96491E" w14:paraId="29B19E73"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Total Annual Burden Hours &amp; Total Annual Cost ($)</w:t>
            </w:r>
          </w:p>
          <w:p w:rsidR="0096491E" w:rsidRPr="0096491E" w:rsidP="0096491E" w14:paraId="1E18587A"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Calibri" w:hAnsi="Times New Roman" w:cs="Times New Roman"/>
                <w:b/>
                <w:sz w:val="24"/>
                <w:szCs w:val="24"/>
              </w:rPr>
              <w:t>(3)*(4)=(5)</w:t>
            </w:r>
            <w:r w:rsidRPr="0096491E">
              <w:rPr>
                <w:rFonts w:ascii="Times New Roman" w:eastAsia="Times New Roman" w:hAnsi="Times New Roman" w:cs="Times New Roman"/>
                <w:b/>
                <w:sz w:val="24"/>
                <w:szCs w:val="24"/>
              </w:rPr>
              <w:t xml:space="preserve"> </w:t>
            </w:r>
          </w:p>
        </w:tc>
        <w:tc>
          <w:tcPr>
            <w:tcW w:w="127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6491E" w:rsidRPr="0096491E" w:rsidP="0096491E" w14:paraId="27070ABA"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Cost per Respondent ($)</w:t>
            </w:r>
          </w:p>
          <w:p w:rsidR="0096491E" w:rsidRPr="0096491E" w:rsidP="0096491E" w14:paraId="54334335" w14:textId="77777777">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(5)</w:t>
            </w:r>
            <w:r w:rsidRPr="0096491E">
              <w:rPr>
                <w:rFonts w:ascii="Times New Roman" w:eastAsia="Calibri" w:hAnsi="Times New Roman" w:cs="Times New Roman"/>
                <w:b/>
                <w:sz w:val="24"/>
                <w:szCs w:val="24"/>
              </w:rPr>
              <w:t xml:space="preserve"> ÷ (1)</w:t>
            </w:r>
            <w:r w:rsidRPr="0096491E">
              <w:rPr>
                <w:rFonts w:ascii="Times New Roman" w:eastAsia="Times New Roman" w:hAnsi="Times New Roman" w:cs="Times New Roman"/>
                <w:b/>
                <w:sz w:val="24"/>
                <w:szCs w:val="24"/>
              </w:rPr>
              <w:t xml:space="preserve"> </w:t>
            </w:r>
          </w:p>
        </w:tc>
      </w:tr>
      <w:tr w14:paraId="0C78D22D" w14:textId="77777777" w:rsidTr="001C2EC7">
        <w:tblPrEx>
          <w:tblW w:w="0" w:type="auto"/>
          <w:tblLayout w:type="fixed"/>
          <w:tblCellMar>
            <w:left w:w="115" w:type="dxa"/>
            <w:right w:w="115" w:type="dxa"/>
          </w:tblCellMar>
          <w:tblLook w:val="01E0"/>
        </w:tblPrEx>
        <w:trPr>
          <w:cantSplit/>
          <w:trHeight w:val="992"/>
        </w:trPr>
        <w:tc>
          <w:tcPr>
            <w:tcW w:w="1150" w:type="dxa"/>
            <w:vMerge w:val="restart"/>
            <w:tcBorders>
              <w:top w:val="single" w:sz="4" w:space="0" w:color="auto"/>
              <w:left w:val="single" w:sz="4" w:space="0" w:color="auto"/>
              <w:right w:val="single" w:sz="4" w:space="0" w:color="auto"/>
            </w:tcBorders>
          </w:tcPr>
          <w:p w:rsidR="0096491E" w:rsidRPr="00FB46D8" w:rsidP="0096491E" w14:paraId="7A233CA1" w14:textId="77777777">
            <w:pPr>
              <w:spacing w:after="0" w:line="240" w:lineRule="auto"/>
              <w:rPr>
                <w:rFonts w:ascii="Times New Roman" w:eastAsia="Times New Roman" w:hAnsi="Times New Roman" w:cs="Times New Roman"/>
                <w:b/>
                <w:bCs/>
                <w:sz w:val="24"/>
                <w:szCs w:val="24"/>
              </w:rPr>
            </w:pPr>
            <w:r w:rsidRPr="00FB46D8">
              <w:rPr>
                <w:rFonts w:ascii="Times New Roman" w:eastAsia="Times New Roman" w:hAnsi="Times New Roman" w:cs="Times New Roman"/>
                <w:b/>
                <w:bCs/>
                <w:sz w:val="24"/>
                <w:szCs w:val="24"/>
              </w:rPr>
              <w:t xml:space="preserve">Annual Review of Credentials </w:t>
            </w:r>
          </w:p>
          <w:p w:rsidR="0096491E" w:rsidRPr="00FB46D8" w:rsidP="0096491E" w14:paraId="34D9DB29" w14:textId="77777777">
            <w:pPr>
              <w:spacing w:after="0" w:line="240" w:lineRule="auto"/>
              <w:rPr>
                <w:rFonts w:ascii="Times New Roman" w:eastAsia="Times New Roman" w:hAnsi="Times New Roman" w:cs="Times New Roman"/>
                <w:b/>
                <w:bCs/>
                <w:sz w:val="24"/>
                <w:szCs w:val="24"/>
              </w:rPr>
            </w:pPr>
          </w:p>
        </w:tc>
        <w:tc>
          <w:tcPr>
            <w:tcW w:w="1394" w:type="dxa"/>
            <w:tcBorders>
              <w:top w:val="single" w:sz="4" w:space="0" w:color="auto"/>
              <w:left w:val="single" w:sz="4" w:space="0" w:color="auto"/>
              <w:bottom w:val="single" w:sz="4" w:space="0" w:color="auto"/>
              <w:right w:val="single" w:sz="4" w:space="0" w:color="auto"/>
            </w:tcBorders>
          </w:tcPr>
          <w:p w:rsidR="0096491E" w:rsidRPr="0096491E" w:rsidP="0096491E" w14:paraId="24B97250"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12 (RC)</w:t>
            </w:r>
          </w:p>
        </w:tc>
        <w:tc>
          <w:tcPr>
            <w:tcW w:w="1251" w:type="dxa"/>
            <w:tcBorders>
              <w:top w:val="single" w:sz="4" w:space="0" w:color="auto"/>
              <w:left w:val="single" w:sz="4" w:space="0" w:color="auto"/>
              <w:bottom w:val="single" w:sz="4" w:space="0" w:color="auto"/>
              <w:right w:val="single" w:sz="4" w:space="0" w:color="auto"/>
            </w:tcBorders>
          </w:tcPr>
          <w:p w:rsidR="0096491E" w:rsidRPr="0096491E" w:rsidP="0096491E" w14:paraId="7963264C"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970" w:type="dxa"/>
            <w:tcBorders>
              <w:top w:val="single" w:sz="4" w:space="0" w:color="auto"/>
              <w:left w:val="single" w:sz="4" w:space="0" w:color="auto"/>
              <w:bottom w:val="single" w:sz="4" w:space="0" w:color="auto"/>
              <w:right w:val="single" w:sz="4" w:space="0" w:color="auto"/>
            </w:tcBorders>
          </w:tcPr>
          <w:p w:rsidR="0096491E" w:rsidRPr="0096491E" w:rsidP="0096491E" w14:paraId="6BC13D80"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12</w:t>
            </w:r>
          </w:p>
        </w:tc>
        <w:tc>
          <w:tcPr>
            <w:tcW w:w="1440" w:type="dxa"/>
            <w:tcBorders>
              <w:top w:val="single" w:sz="4" w:space="0" w:color="auto"/>
              <w:left w:val="single" w:sz="4" w:space="0" w:color="auto"/>
              <w:bottom w:val="single" w:sz="4" w:space="0" w:color="auto"/>
              <w:right w:val="single" w:sz="4" w:space="0" w:color="auto"/>
            </w:tcBorders>
          </w:tcPr>
          <w:p w:rsidR="0096491E" w:rsidRPr="0096491E" w:rsidP="0096491E" w14:paraId="6F613622"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60 hrs.</w:t>
            </w:r>
          </w:p>
          <w:p w:rsidR="0096491E" w:rsidRPr="0096491E" w:rsidP="0096491E" w14:paraId="7F66A012"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$4,758.60</w:t>
            </w:r>
          </w:p>
        </w:tc>
        <w:tc>
          <w:tcPr>
            <w:tcW w:w="1875" w:type="dxa"/>
            <w:tcBorders>
              <w:top w:val="single" w:sz="4" w:space="0" w:color="auto"/>
              <w:left w:val="single" w:sz="4" w:space="0" w:color="auto"/>
              <w:bottom w:val="single" w:sz="4" w:space="0" w:color="auto"/>
              <w:right w:val="single" w:sz="4" w:space="0" w:color="auto"/>
            </w:tcBorders>
          </w:tcPr>
          <w:p w:rsidR="0096491E" w:rsidRPr="0096491E" w:rsidP="0096491E" w14:paraId="1F17DE22"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720 hrs.</w:t>
            </w:r>
          </w:p>
          <w:p w:rsidR="0096491E" w:rsidRPr="0096491E" w:rsidP="0096491E" w14:paraId="71B1811C"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$57,103.20</w:t>
            </w:r>
          </w:p>
        </w:tc>
        <w:tc>
          <w:tcPr>
            <w:tcW w:w="1270" w:type="dxa"/>
            <w:gridSpan w:val="2"/>
            <w:tcBorders>
              <w:top w:val="single" w:sz="4" w:space="0" w:color="auto"/>
              <w:left w:val="single" w:sz="4" w:space="0" w:color="auto"/>
              <w:bottom w:val="single" w:sz="4" w:space="0" w:color="auto"/>
              <w:right w:val="single" w:sz="4" w:space="0" w:color="auto"/>
            </w:tcBorders>
          </w:tcPr>
          <w:p w:rsidR="0096491E" w:rsidRPr="0096491E" w:rsidP="0096491E" w14:paraId="41B3094E"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$4,758.60</w:t>
            </w:r>
          </w:p>
        </w:tc>
      </w:tr>
      <w:tr w14:paraId="414811BA" w14:textId="77777777" w:rsidTr="001C2EC7">
        <w:tblPrEx>
          <w:tblW w:w="0" w:type="auto"/>
          <w:tblLayout w:type="fixed"/>
          <w:tblCellMar>
            <w:left w:w="115" w:type="dxa"/>
            <w:right w:w="115" w:type="dxa"/>
          </w:tblCellMar>
          <w:tblLook w:val="01E0"/>
        </w:tblPrEx>
        <w:trPr>
          <w:cantSplit/>
          <w:trHeight w:val="864"/>
        </w:trPr>
        <w:tc>
          <w:tcPr>
            <w:tcW w:w="1150" w:type="dxa"/>
            <w:vMerge/>
            <w:tcBorders>
              <w:left w:val="single" w:sz="4" w:space="0" w:color="auto"/>
              <w:right w:val="single" w:sz="4" w:space="0" w:color="auto"/>
            </w:tcBorders>
          </w:tcPr>
          <w:p w:rsidR="0096491E" w:rsidRPr="00FB46D8" w:rsidP="0096491E" w14:paraId="1223BDD9" w14:textId="77777777">
            <w:pPr>
              <w:spacing w:after="0" w:line="240" w:lineRule="auto"/>
              <w:rPr>
                <w:rFonts w:ascii="Times New Roman" w:eastAsia="Times New Roman" w:hAnsi="Times New Roman" w:cs="Times New Roman"/>
                <w:b/>
                <w:bCs/>
                <w:sz w:val="24"/>
                <w:szCs w:val="24"/>
              </w:rPr>
            </w:pPr>
          </w:p>
        </w:tc>
        <w:tc>
          <w:tcPr>
            <w:tcW w:w="1394" w:type="dxa"/>
            <w:tcBorders>
              <w:top w:val="single" w:sz="4" w:space="0" w:color="auto"/>
              <w:left w:val="single" w:sz="4" w:space="0" w:color="auto"/>
              <w:bottom w:val="single" w:sz="4" w:space="0" w:color="auto"/>
              <w:right w:val="single" w:sz="4" w:space="0" w:color="auto"/>
            </w:tcBorders>
          </w:tcPr>
          <w:p w:rsidR="0096491E" w:rsidRPr="0096491E" w:rsidP="0096491E" w14:paraId="0036FBD6"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98 (BA) </w:t>
            </w:r>
          </w:p>
        </w:tc>
        <w:tc>
          <w:tcPr>
            <w:tcW w:w="1251" w:type="dxa"/>
            <w:tcBorders>
              <w:top w:val="single" w:sz="4" w:space="0" w:color="auto"/>
              <w:left w:val="single" w:sz="4" w:space="0" w:color="auto"/>
              <w:bottom w:val="single" w:sz="4" w:space="0" w:color="auto"/>
              <w:right w:val="single" w:sz="4" w:space="0" w:color="auto"/>
            </w:tcBorders>
          </w:tcPr>
          <w:p w:rsidR="0096491E" w:rsidRPr="0096491E" w:rsidP="0096491E" w14:paraId="5867F797"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970" w:type="dxa"/>
            <w:tcBorders>
              <w:top w:val="single" w:sz="4" w:space="0" w:color="auto"/>
              <w:left w:val="single" w:sz="4" w:space="0" w:color="auto"/>
              <w:bottom w:val="single" w:sz="4" w:space="0" w:color="auto"/>
              <w:right w:val="single" w:sz="4" w:space="0" w:color="auto"/>
            </w:tcBorders>
          </w:tcPr>
          <w:p w:rsidR="0096491E" w:rsidRPr="0096491E" w:rsidP="0096491E" w14:paraId="27923433"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98</w:t>
            </w:r>
          </w:p>
        </w:tc>
        <w:tc>
          <w:tcPr>
            <w:tcW w:w="1440" w:type="dxa"/>
            <w:tcBorders>
              <w:top w:val="single" w:sz="4" w:space="0" w:color="auto"/>
              <w:left w:val="single" w:sz="4" w:space="0" w:color="auto"/>
              <w:bottom w:val="single" w:sz="4" w:space="0" w:color="auto"/>
              <w:right w:val="single" w:sz="4" w:space="0" w:color="auto"/>
            </w:tcBorders>
          </w:tcPr>
          <w:p w:rsidR="0096491E" w:rsidRPr="0096491E" w:rsidP="0096491E" w14:paraId="2EE9504F"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60 hrs.</w:t>
            </w:r>
          </w:p>
          <w:p w:rsidR="0096491E" w:rsidRPr="0096491E" w:rsidP="0096491E" w14:paraId="47BAC0F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$4,758.60</w:t>
            </w:r>
          </w:p>
        </w:tc>
        <w:tc>
          <w:tcPr>
            <w:tcW w:w="1875" w:type="dxa"/>
            <w:tcBorders>
              <w:top w:val="single" w:sz="4" w:space="0" w:color="auto"/>
              <w:left w:val="single" w:sz="4" w:space="0" w:color="auto"/>
              <w:bottom w:val="single" w:sz="4" w:space="0" w:color="auto"/>
              <w:right w:val="single" w:sz="4" w:space="0" w:color="auto"/>
            </w:tcBorders>
          </w:tcPr>
          <w:p w:rsidR="0096491E" w:rsidRPr="0096491E" w:rsidP="0096491E" w14:paraId="628A7F07"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5,880 hrs.</w:t>
            </w:r>
          </w:p>
          <w:p w:rsidR="0096491E" w:rsidRPr="0096491E" w:rsidP="0096491E" w14:paraId="76381691"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$466,342.80</w:t>
            </w:r>
          </w:p>
        </w:tc>
        <w:tc>
          <w:tcPr>
            <w:tcW w:w="1270" w:type="dxa"/>
            <w:gridSpan w:val="2"/>
            <w:tcBorders>
              <w:top w:val="single" w:sz="4" w:space="0" w:color="auto"/>
              <w:left w:val="single" w:sz="4" w:space="0" w:color="auto"/>
              <w:bottom w:val="single" w:sz="4" w:space="0" w:color="auto"/>
              <w:right w:val="single" w:sz="4" w:space="0" w:color="auto"/>
            </w:tcBorders>
          </w:tcPr>
          <w:p w:rsidR="0096491E" w:rsidRPr="0096491E" w:rsidP="0096491E" w14:paraId="60C6AF83"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$4,758.60</w:t>
            </w:r>
          </w:p>
        </w:tc>
      </w:tr>
      <w:tr w14:paraId="7906EC39" w14:textId="77777777" w:rsidTr="001C2EC7">
        <w:tblPrEx>
          <w:tblW w:w="0" w:type="auto"/>
          <w:tblLayout w:type="fixed"/>
          <w:tblCellMar>
            <w:left w:w="115" w:type="dxa"/>
            <w:right w:w="115" w:type="dxa"/>
          </w:tblCellMar>
          <w:tblLook w:val="01E0"/>
        </w:tblPrEx>
        <w:trPr>
          <w:cantSplit/>
          <w:trHeight w:val="864"/>
        </w:trPr>
        <w:tc>
          <w:tcPr>
            <w:tcW w:w="1150" w:type="dxa"/>
            <w:vMerge/>
            <w:tcBorders>
              <w:left w:val="single" w:sz="4" w:space="0" w:color="auto"/>
              <w:right w:val="single" w:sz="4" w:space="0" w:color="auto"/>
            </w:tcBorders>
          </w:tcPr>
          <w:p w:rsidR="0096491E" w:rsidRPr="00FB46D8" w:rsidP="0096491E" w14:paraId="04DCDDF2" w14:textId="77777777">
            <w:pPr>
              <w:spacing w:after="0" w:line="240" w:lineRule="auto"/>
              <w:rPr>
                <w:rFonts w:ascii="Times New Roman" w:eastAsia="Times New Roman" w:hAnsi="Times New Roman" w:cs="Times New Roman"/>
                <w:b/>
                <w:bCs/>
                <w:sz w:val="24"/>
                <w:szCs w:val="24"/>
              </w:rPr>
            </w:pPr>
          </w:p>
        </w:tc>
        <w:tc>
          <w:tcPr>
            <w:tcW w:w="1394" w:type="dxa"/>
            <w:tcBorders>
              <w:top w:val="single" w:sz="4" w:space="0" w:color="auto"/>
              <w:left w:val="single" w:sz="4" w:space="0" w:color="auto"/>
              <w:bottom w:val="single" w:sz="4" w:space="0" w:color="auto"/>
              <w:right w:val="single" w:sz="4" w:space="0" w:color="auto"/>
            </w:tcBorders>
          </w:tcPr>
          <w:p w:rsidR="0096491E" w:rsidRPr="0096491E" w:rsidP="0096491E" w14:paraId="283B4A6F"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165 (TOP)</w:t>
            </w:r>
          </w:p>
        </w:tc>
        <w:tc>
          <w:tcPr>
            <w:tcW w:w="1251" w:type="dxa"/>
            <w:tcBorders>
              <w:top w:val="single" w:sz="4" w:space="0" w:color="auto"/>
              <w:left w:val="single" w:sz="4" w:space="0" w:color="auto"/>
              <w:bottom w:val="single" w:sz="4" w:space="0" w:color="auto"/>
              <w:right w:val="single" w:sz="4" w:space="0" w:color="auto"/>
            </w:tcBorders>
          </w:tcPr>
          <w:p w:rsidR="0096491E" w:rsidRPr="0096491E" w:rsidP="0096491E" w14:paraId="05A33CA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970" w:type="dxa"/>
            <w:tcBorders>
              <w:top w:val="single" w:sz="4" w:space="0" w:color="auto"/>
              <w:left w:val="single" w:sz="4" w:space="0" w:color="auto"/>
              <w:bottom w:val="single" w:sz="4" w:space="0" w:color="auto"/>
              <w:right w:val="single" w:sz="4" w:space="0" w:color="auto"/>
            </w:tcBorders>
          </w:tcPr>
          <w:p w:rsidR="0096491E" w:rsidRPr="0096491E" w:rsidP="0096491E" w14:paraId="625B5CB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165</w:t>
            </w:r>
          </w:p>
        </w:tc>
        <w:tc>
          <w:tcPr>
            <w:tcW w:w="1440" w:type="dxa"/>
            <w:tcBorders>
              <w:top w:val="single" w:sz="4" w:space="0" w:color="auto"/>
              <w:left w:val="single" w:sz="4" w:space="0" w:color="auto"/>
              <w:bottom w:val="single" w:sz="4" w:space="0" w:color="auto"/>
              <w:right w:val="single" w:sz="4" w:space="0" w:color="auto"/>
            </w:tcBorders>
          </w:tcPr>
          <w:p w:rsidR="0096491E" w:rsidRPr="0096491E" w:rsidP="0096491E" w14:paraId="660198B9"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60 hrs.</w:t>
            </w:r>
          </w:p>
          <w:p w:rsidR="0096491E" w:rsidRPr="0096491E" w:rsidP="0096491E" w14:paraId="664CD7C8"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$4,758.60</w:t>
            </w:r>
          </w:p>
        </w:tc>
        <w:tc>
          <w:tcPr>
            <w:tcW w:w="1875" w:type="dxa"/>
            <w:tcBorders>
              <w:top w:val="single" w:sz="4" w:space="0" w:color="auto"/>
              <w:left w:val="single" w:sz="4" w:space="0" w:color="auto"/>
              <w:bottom w:val="single" w:sz="4" w:space="0" w:color="auto"/>
              <w:right w:val="single" w:sz="4" w:space="0" w:color="auto"/>
            </w:tcBorders>
          </w:tcPr>
          <w:p w:rsidR="0096491E" w:rsidRPr="0096491E" w:rsidP="0096491E" w14:paraId="2CFF070C"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9,900 hrs.</w:t>
            </w:r>
          </w:p>
          <w:p w:rsidR="0096491E" w:rsidRPr="0096491E" w:rsidP="0096491E" w14:paraId="4EBE26B5"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$785,169</w:t>
            </w:r>
          </w:p>
        </w:tc>
        <w:tc>
          <w:tcPr>
            <w:tcW w:w="1270" w:type="dxa"/>
            <w:gridSpan w:val="2"/>
            <w:tcBorders>
              <w:top w:val="single" w:sz="4" w:space="0" w:color="auto"/>
              <w:left w:val="single" w:sz="4" w:space="0" w:color="auto"/>
              <w:bottom w:val="single" w:sz="4" w:space="0" w:color="auto"/>
              <w:right w:val="single" w:sz="4" w:space="0" w:color="auto"/>
            </w:tcBorders>
          </w:tcPr>
          <w:p w:rsidR="0096491E" w:rsidRPr="0096491E" w:rsidP="0096491E" w14:paraId="6FDFD54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$4,758.60</w:t>
            </w:r>
          </w:p>
        </w:tc>
      </w:tr>
      <w:tr w14:paraId="64B36FC7" w14:textId="77777777" w:rsidTr="001C2EC7">
        <w:tblPrEx>
          <w:tblW w:w="0" w:type="auto"/>
          <w:tblLayout w:type="fixed"/>
          <w:tblCellMar>
            <w:left w:w="115" w:type="dxa"/>
            <w:right w:w="115" w:type="dxa"/>
          </w:tblCellMar>
          <w:tblLook w:val="01E0"/>
        </w:tblPrEx>
        <w:trPr>
          <w:cantSplit/>
          <w:trHeight w:val="864"/>
        </w:trPr>
        <w:tc>
          <w:tcPr>
            <w:tcW w:w="1150" w:type="dxa"/>
            <w:tcBorders>
              <w:left w:val="single" w:sz="4" w:space="0" w:color="auto"/>
              <w:right w:val="single" w:sz="4" w:space="0" w:color="auto"/>
            </w:tcBorders>
          </w:tcPr>
          <w:p w:rsidR="0096491E" w:rsidRPr="00FB46D8" w:rsidP="0096491E" w14:paraId="19A12D49" w14:textId="77777777">
            <w:pPr>
              <w:spacing w:after="0" w:line="240" w:lineRule="auto"/>
              <w:rPr>
                <w:rFonts w:ascii="Times New Roman" w:eastAsia="Times New Roman" w:hAnsi="Times New Roman" w:cs="Times New Roman"/>
                <w:b/>
                <w:bCs/>
                <w:sz w:val="24"/>
                <w:szCs w:val="24"/>
              </w:rPr>
            </w:pPr>
            <w:r w:rsidRPr="00FB46D8">
              <w:rPr>
                <w:rFonts w:ascii="Times New Roman" w:eastAsia="Times New Roman" w:hAnsi="Times New Roman" w:cs="Times New Roman"/>
                <w:b/>
                <w:bCs/>
                <w:sz w:val="24"/>
                <w:szCs w:val="24"/>
              </w:rPr>
              <w:t>Record Retention</w:t>
            </w:r>
          </w:p>
        </w:tc>
        <w:tc>
          <w:tcPr>
            <w:tcW w:w="1394" w:type="dxa"/>
            <w:tcBorders>
              <w:top w:val="single" w:sz="4" w:space="0" w:color="auto"/>
              <w:left w:val="single" w:sz="4" w:space="0" w:color="auto"/>
              <w:bottom w:val="single" w:sz="4" w:space="0" w:color="auto"/>
              <w:right w:val="single" w:sz="4" w:space="0" w:color="auto"/>
            </w:tcBorders>
          </w:tcPr>
          <w:p w:rsidR="0096491E" w:rsidRPr="0096491E" w:rsidP="0096491E" w14:paraId="5753169F"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(RC, BA, TOP)</w:t>
            </w:r>
          </w:p>
          <w:p w:rsidR="0096491E" w:rsidRPr="0096491E" w:rsidP="0096491E" w14:paraId="2997A815"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275</w:t>
            </w:r>
          </w:p>
        </w:tc>
        <w:tc>
          <w:tcPr>
            <w:tcW w:w="1251" w:type="dxa"/>
            <w:tcBorders>
              <w:top w:val="single" w:sz="4" w:space="0" w:color="auto"/>
              <w:left w:val="single" w:sz="4" w:space="0" w:color="auto"/>
              <w:bottom w:val="single" w:sz="4" w:space="0" w:color="auto"/>
              <w:right w:val="single" w:sz="4" w:space="0" w:color="auto"/>
            </w:tcBorders>
          </w:tcPr>
          <w:p w:rsidR="0096491E" w:rsidRPr="0096491E" w:rsidP="0096491E" w14:paraId="3A17EAB2"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970" w:type="dxa"/>
            <w:tcBorders>
              <w:top w:val="single" w:sz="4" w:space="0" w:color="auto"/>
              <w:left w:val="single" w:sz="4" w:space="0" w:color="auto"/>
              <w:bottom w:val="single" w:sz="4" w:space="0" w:color="auto"/>
              <w:right w:val="single" w:sz="4" w:space="0" w:color="auto"/>
            </w:tcBorders>
          </w:tcPr>
          <w:p w:rsidR="0096491E" w:rsidRPr="0096491E" w:rsidP="0096491E" w14:paraId="429389E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275</w:t>
            </w:r>
          </w:p>
        </w:tc>
        <w:tc>
          <w:tcPr>
            <w:tcW w:w="1440" w:type="dxa"/>
            <w:tcBorders>
              <w:top w:val="single" w:sz="4" w:space="0" w:color="auto"/>
              <w:left w:val="single" w:sz="4" w:space="0" w:color="auto"/>
              <w:bottom w:val="single" w:sz="4" w:space="0" w:color="auto"/>
              <w:right w:val="single" w:sz="4" w:space="0" w:color="auto"/>
            </w:tcBorders>
          </w:tcPr>
          <w:p w:rsidR="0096491E" w:rsidRPr="0096491E" w:rsidP="0096491E" w14:paraId="311F2C14"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60 hrs.</w:t>
            </w:r>
          </w:p>
          <w:p w:rsidR="0096491E" w:rsidRPr="0096491E" w:rsidP="0096491E" w14:paraId="13EAD316"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$2,915.40</w:t>
            </w:r>
          </w:p>
        </w:tc>
        <w:tc>
          <w:tcPr>
            <w:tcW w:w="1875" w:type="dxa"/>
            <w:tcBorders>
              <w:top w:val="single" w:sz="4" w:space="0" w:color="auto"/>
              <w:left w:val="single" w:sz="4" w:space="0" w:color="auto"/>
              <w:bottom w:val="single" w:sz="4" w:space="0" w:color="auto"/>
              <w:right w:val="single" w:sz="4" w:space="0" w:color="auto"/>
            </w:tcBorders>
          </w:tcPr>
          <w:p w:rsidR="0096491E" w:rsidRPr="0096491E" w:rsidP="0096491E" w14:paraId="32B0A1F9"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16,500 hrs.</w:t>
            </w:r>
          </w:p>
          <w:p w:rsidR="0096491E" w:rsidRPr="0096491E" w:rsidP="0096491E" w14:paraId="3D42A307"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$801,735</w:t>
            </w:r>
          </w:p>
        </w:tc>
        <w:tc>
          <w:tcPr>
            <w:tcW w:w="1270" w:type="dxa"/>
            <w:gridSpan w:val="2"/>
            <w:tcBorders>
              <w:top w:val="single" w:sz="4" w:space="0" w:color="auto"/>
              <w:left w:val="single" w:sz="4" w:space="0" w:color="auto"/>
              <w:bottom w:val="single" w:sz="4" w:space="0" w:color="auto"/>
              <w:right w:val="single" w:sz="4" w:space="0" w:color="auto"/>
            </w:tcBorders>
          </w:tcPr>
          <w:p w:rsidR="0096491E" w:rsidRPr="0096491E" w:rsidP="0096491E" w14:paraId="407507A7"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$2,915.40</w:t>
            </w:r>
          </w:p>
        </w:tc>
      </w:tr>
      <w:tr w14:paraId="22DAF0BF" w14:textId="77777777" w:rsidTr="0096491E">
        <w:tblPrEx>
          <w:tblW w:w="0" w:type="auto"/>
          <w:tblLayout w:type="fixed"/>
          <w:tblCellMar>
            <w:left w:w="115" w:type="dxa"/>
            <w:right w:w="115" w:type="dxa"/>
          </w:tblCellMar>
          <w:tblLook w:val="01E0"/>
        </w:tblPrEx>
        <w:trPr>
          <w:cantSplit/>
          <w:trHeight w:val="864"/>
        </w:trPr>
        <w:tc>
          <w:tcPr>
            <w:tcW w:w="1150" w:type="dxa"/>
            <w:tcBorders>
              <w:top w:val="single" w:sz="4" w:space="0" w:color="auto"/>
              <w:left w:val="single" w:sz="4" w:space="0" w:color="auto"/>
              <w:right w:val="single" w:sz="4" w:space="0" w:color="auto"/>
            </w:tcBorders>
          </w:tcPr>
          <w:p w:rsidR="0096491E" w:rsidRPr="00FB46D8" w:rsidP="0096491E" w14:paraId="52D40487" w14:textId="77777777">
            <w:pPr>
              <w:spacing w:after="0" w:line="240" w:lineRule="auto"/>
              <w:rPr>
                <w:rFonts w:ascii="Times New Roman" w:eastAsia="Times New Roman" w:hAnsi="Times New Roman" w:cs="Times New Roman"/>
                <w:b/>
                <w:bCs/>
                <w:sz w:val="24"/>
                <w:szCs w:val="24"/>
              </w:rPr>
            </w:pPr>
            <w:r w:rsidRPr="00FB46D8">
              <w:rPr>
                <w:rFonts w:ascii="Times New Roman" w:eastAsia="Times New Roman" w:hAnsi="Times New Roman" w:cs="Times New Roman"/>
                <w:b/>
                <w:bCs/>
                <w:sz w:val="24"/>
                <w:szCs w:val="24"/>
              </w:rPr>
              <w:t>TOTAL</w:t>
            </w:r>
          </w:p>
        </w:tc>
        <w:tc>
          <w:tcPr>
            <w:tcW w:w="5055" w:type="dxa"/>
            <w:gridSpan w:val="4"/>
            <w:tcBorders>
              <w:top w:val="single" w:sz="4" w:space="0" w:color="auto"/>
              <w:left w:val="single" w:sz="4" w:space="0" w:color="auto"/>
              <w:bottom w:val="single" w:sz="4" w:space="0" w:color="auto"/>
              <w:right w:val="single" w:sz="4" w:space="0" w:color="auto"/>
            </w:tcBorders>
            <w:shd w:val="clear" w:color="auto" w:fill="D9D9D9"/>
          </w:tcPr>
          <w:p w:rsidR="0096491E" w:rsidRPr="0096491E" w:rsidP="0096491E" w14:paraId="2ABE83B7" w14:textId="77777777">
            <w:pPr>
              <w:spacing w:after="0" w:line="240" w:lineRule="auto"/>
              <w:jc w:val="right"/>
              <w:rPr>
                <w:rFonts w:ascii="Times New Roman" w:eastAsia="Times New Roman" w:hAnsi="Times New Roman" w:cs="Times New Roman"/>
                <w:sz w:val="24"/>
                <w:szCs w:val="24"/>
              </w:rPr>
            </w:pPr>
          </w:p>
        </w:tc>
        <w:tc>
          <w:tcPr>
            <w:tcW w:w="1890" w:type="dxa"/>
            <w:gridSpan w:val="2"/>
            <w:tcBorders>
              <w:top w:val="single" w:sz="4" w:space="0" w:color="auto"/>
              <w:left w:val="single" w:sz="4" w:space="0" w:color="auto"/>
              <w:bottom w:val="single" w:sz="4" w:space="0" w:color="auto"/>
              <w:right w:val="single" w:sz="4" w:space="0" w:color="auto"/>
            </w:tcBorders>
          </w:tcPr>
          <w:p w:rsidR="0096491E" w:rsidRPr="0096491E" w:rsidP="0096491E" w14:paraId="69CFC0B2"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33,000 hrs.</w:t>
            </w:r>
          </w:p>
          <w:p w:rsidR="0096491E" w:rsidRPr="0096491E" w:rsidP="0096491E" w14:paraId="622055D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$2,110,350</w:t>
            </w:r>
          </w:p>
        </w:tc>
        <w:tc>
          <w:tcPr>
            <w:tcW w:w="1255" w:type="dxa"/>
            <w:tcBorders>
              <w:top w:val="single" w:sz="4" w:space="0" w:color="auto"/>
              <w:left w:val="single" w:sz="4" w:space="0" w:color="auto"/>
              <w:bottom w:val="single" w:sz="4" w:space="0" w:color="auto"/>
              <w:right w:val="single" w:sz="4" w:space="0" w:color="auto"/>
            </w:tcBorders>
            <w:shd w:val="clear" w:color="auto" w:fill="D9D9D9"/>
          </w:tcPr>
          <w:p w:rsidR="0096491E" w:rsidRPr="0096491E" w:rsidP="0096491E" w14:paraId="0D8ADA07" w14:textId="77777777">
            <w:pPr>
              <w:spacing w:after="0" w:line="240" w:lineRule="auto"/>
              <w:jc w:val="right"/>
              <w:rPr>
                <w:rFonts w:ascii="Times New Roman" w:eastAsia="Times New Roman" w:hAnsi="Times New Roman" w:cs="Times New Roman"/>
                <w:sz w:val="24"/>
                <w:szCs w:val="24"/>
              </w:rPr>
            </w:pPr>
          </w:p>
        </w:tc>
      </w:tr>
    </w:tbl>
    <w:p w:rsidR="00052CFA" w:rsidP="0096491E" w14:paraId="19F509BB" w14:textId="77777777">
      <w:pPr>
        <w:spacing w:after="0" w:line="240" w:lineRule="auto"/>
        <w:rPr>
          <w:rFonts w:ascii="Times New Roman" w:eastAsia="Times New Roman" w:hAnsi="Times New Roman" w:cs="Times New Roman"/>
          <w:b/>
          <w:sz w:val="24"/>
          <w:szCs w:val="24"/>
        </w:rPr>
      </w:pPr>
    </w:p>
    <w:p w:rsidR="00366B4D" w:rsidP="0096491E" w14:paraId="1DAD5326" w14:textId="77777777">
      <w:pPr>
        <w:spacing w:after="0" w:line="240" w:lineRule="auto"/>
        <w:rPr>
          <w:rFonts w:ascii="Times New Roman" w:eastAsia="Times New Roman" w:hAnsi="Times New Roman" w:cs="Times New Roman"/>
          <w:b/>
          <w:sz w:val="24"/>
          <w:szCs w:val="24"/>
        </w:rPr>
      </w:pPr>
    </w:p>
    <w:p w:rsidR="0096491E" w:rsidRPr="0096491E" w:rsidP="0096491E" w14:paraId="44529DB0" w14:textId="6DB396CE">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b/>
          <w:sz w:val="24"/>
          <w:szCs w:val="24"/>
        </w:rPr>
        <w:t>FAC-008-5 transfer from FERC 725A to FERC 725D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530"/>
        <w:gridCol w:w="1440"/>
        <w:gridCol w:w="1800"/>
      </w:tblGrid>
      <w:tr w14:paraId="24C958E6" w14:textId="77777777" w:rsidTr="0096491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96491E" w:rsidRPr="0096491E" w:rsidP="0096491E" w14:paraId="30783BA9" w14:textId="77777777">
            <w:pPr>
              <w:spacing w:after="0" w:line="240" w:lineRule="auto"/>
              <w:rPr>
                <w:rFonts w:ascii="Times New Roman" w:eastAsia="Times New Roman" w:hAnsi="Times New Roman" w:cs="Times New Roman"/>
                <w:b/>
                <w:bCs/>
                <w:sz w:val="24"/>
                <w:szCs w:val="24"/>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0F958A41"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Entity</w:t>
            </w:r>
            <w:r>
              <w:rPr>
                <w:rFonts w:ascii="Times New Roman" w:eastAsia="Times New Roman" w:hAnsi="Times New Roman" w:cs="Times New Roman"/>
                <w:b/>
                <w:bCs/>
                <w:sz w:val="24"/>
                <w:szCs w:val="24"/>
                <w:vertAlign w:val="superscript"/>
              </w:rPr>
              <w:footnoteReference w:id="11"/>
            </w:r>
            <w:r w:rsidRPr="0096491E">
              <w:rPr>
                <w:rFonts w:ascii="Times New Roman" w:eastAsia="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76E59A81"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Annual Responses Per Entity (2)</w:t>
            </w:r>
          </w:p>
        </w:tc>
        <w:tc>
          <w:tcPr>
            <w:tcW w:w="153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61653E39"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Number of Responses (1) *(2) = (3)</w:t>
            </w:r>
          </w:p>
        </w:tc>
        <w:tc>
          <w:tcPr>
            <w:tcW w:w="144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0410F830"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Average Number of Burden Hours per Response</w:t>
            </w:r>
            <w:r>
              <w:rPr>
                <w:rFonts w:ascii="Times New Roman" w:eastAsia="Times New Roman" w:hAnsi="Times New Roman" w:cs="Times New Roman"/>
                <w:b/>
                <w:bCs/>
                <w:sz w:val="24"/>
                <w:szCs w:val="24"/>
              </w:rPr>
              <w:footnoteReference w:id="12"/>
            </w:r>
            <w:r w:rsidRPr="0096491E">
              <w:rPr>
                <w:rFonts w:ascii="Times New Roman" w:eastAsia="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96491E" w:rsidRPr="0096491E" w:rsidP="0096491E" w14:paraId="1A0DF6FF"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Burden Hours (3) *(4) = (5)</w:t>
            </w:r>
          </w:p>
        </w:tc>
      </w:tr>
      <w:tr w14:paraId="2E5B3C27" w14:textId="77777777" w:rsidTr="0096491E">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vAlign w:val="bottom"/>
          </w:tcPr>
          <w:p w:rsidR="0096491E" w:rsidRPr="0096491E" w:rsidP="0096491E" w14:paraId="5B64353D"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FERC-725A   Decrease</w:t>
            </w:r>
          </w:p>
        </w:tc>
      </w:tr>
      <w:tr w14:paraId="28CA2C81" w14:textId="77777777" w:rsidTr="001C2EC7">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96491E" w:rsidRPr="0096491E" w:rsidP="0096491E" w14:paraId="7D1F7995" w14:textId="77777777">
            <w:pPr>
              <w:spacing w:after="160" w:line="259"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Annual review and record retention</w:t>
            </w:r>
          </w:p>
        </w:tc>
        <w:tc>
          <w:tcPr>
            <w:tcW w:w="116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3B884C07"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324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76D98EF8"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53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134EA58D"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324</w:t>
            </w:r>
          </w:p>
        </w:tc>
        <w:tc>
          <w:tcPr>
            <w:tcW w:w="144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4B31C39A"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200 hrs.</w:t>
            </w:r>
          </w:p>
          <w:p w:rsidR="0096491E" w:rsidRPr="0096491E" w:rsidP="0096491E" w14:paraId="4F29B952"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$ 70.67/hrs.</w:t>
            </w:r>
          </w:p>
        </w:tc>
        <w:tc>
          <w:tcPr>
            <w:tcW w:w="1800" w:type="dxa"/>
            <w:tcBorders>
              <w:top w:val="single" w:sz="6" w:space="0" w:color="auto"/>
              <w:left w:val="single" w:sz="6" w:space="0" w:color="auto"/>
              <w:bottom w:val="single" w:sz="6" w:space="0" w:color="auto"/>
              <w:right w:val="single" w:sz="4" w:space="0" w:color="auto"/>
            </w:tcBorders>
            <w:vAlign w:val="bottom"/>
            <w:hideMark/>
          </w:tcPr>
          <w:p w:rsidR="0096491E" w:rsidRPr="0096491E" w:rsidP="0096491E" w14:paraId="0EB7587B"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64,800 hrs.</w:t>
            </w:r>
          </w:p>
          <w:p w:rsidR="0096491E" w:rsidRPr="0096491E" w:rsidP="0096491E" w14:paraId="2ACA2A6C"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-$4,579,416</w:t>
            </w:r>
          </w:p>
        </w:tc>
      </w:tr>
      <w:tr w14:paraId="509C7358" w14:textId="77777777" w:rsidTr="001C2EC7">
        <w:tblPrEx>
          <w:tblW w:w="0" w:type="auto"/>
          <w:tblLook w:val="00A0"/>
        </w:tblPrEx>
        <w:trPr>
          <w:trHeight w:val="780"/>
        </w:trPr>
        <w:tc>
          <w:tcPr>
            <w:tcW w:w="1617" w:type="dxa"/>
            <w:vMerge/>
            <w:tcBorders>
              <w:left w:val="single" w:sz="4" w:space="0" w:color="auto"/>
              <w:bottom w:val="single" w:sz="4" w:space="0" w:color="auto"/>
              <w:right w:val="single" w:sz="6" w:space="0" w:color="auto"/>
            </w:tcBorders>
            <w:hideMark/>
          </w:tcPr>
          <w:p w:rsidR="0096491E" w:rsidRPr="0096491E" w:rsidP="0096491E" w14:paraId="6F1A1E56" w14:textId="77777777">
            <w:pPr>
              <w:spacing w:after="0" w:line="240" w:lineRule="auto"/>
              <w:rPr>
                <w:rFonts w:ascii="Times New Roman" w:eastAsia="Times New Roman" w:hAnsi="Times New Roman" w:cs="Times New Roman"/>
                <w:b/>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580AC266"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1210 (GO)</w:t>
            </w:r>
          </w:p>
        </w:tc>
        <w:tc>
          <w:tcPr>
            <w:tcW w:w="1439"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2FD0B852"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530"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753BDF87"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1210</w:t>
            </w:r>
          </w:p>
        </w:tc>
        <w:tc>
          <w:tcPr>
            <w:tcW w:w="1440"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14FB31A9"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80 hrs.</w:t>
            </w:r>
          </w:p>
          <w:p w:rsidR="0096491E" w:rsidRPr="0096491E" w:rsidP="0096491E" w14:paraId="03ACDE5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$ 70.67/hrs.</w:t>
            </w:r>
          </w:p>
        </w:tc>
        <w:tc>
          <w:tcPr>
            <w:tcW w:w="1800" w:type="dxa"/>
            <w:tcBorders>
              <w:top w:val="single" w:sz="6" w:space="0" w:color="auto"/>
              <w:left w:val="single" w:sz="6" w:space="0" w:color="auto"/>
              <w:bottom w:val="single" w:sz="4" w:space="0" w:color="auto"/>
              <w:right w:val="single" w:sz="4" w:space="0" w:color="auto"/>
            </w:tcBorders>
            <w:vAlign w:val="bottom"/>
            <w:hideMark/>
          </w:tcPr>
          <w:p w:rsidR="0096491E" w:rsidRPr="0096491E" w:rsidP="0096491E" w14:paraId="19DB5195"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96,800 hrs.</w:t>
            </w:r>
          </w:p>
          <w:p w:rsidR="0096491E" w:rsidRPr="0096491E" w:rsidP="0096491E" w14:paraId="0DD572A9"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$6,840,856</w:t>
            </w:r>
          </w:p>
        </w:tc>
      </w:tr>
      <w:tr w14:paraId="022A8801" w14:textId="77777777" w:rsidTr="0096491E">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96491E" w:rsidRPr="0096491E" w:rsidP="0096491E" w14:paraId="1D01C86B" w14:textId="77777777">
            <w:pPr>
              <w:spacing w:after="0" w:line="240" w:lineRule="auto"/>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Total Reduction in 725A for FAC-008-5</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6872755A" w14:textId="77777777">
            <w:pPr>
              <w:spacing w:after="0" w:line="240" w:lineRule="auto"/>
              <w:rPr>
                <w:rFonts w:ascii="Times New Roman" w:eastAsia="Times New Roman" w:hAnsi="Times New Roman" w:cs="Times New Roman"/>
                <w:sz w:val="24"/>
                <w:szCs w:val="24"/>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0A0CFEA7" w14:textId="77777777">
            <w:pPr>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2F91F0EF" w14:textId="77777777">
            <w:pPr>
              <w:spacing w:after="0"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0CD4D75F" w14:textId="77777777">
            <w:pPr>
              <w:spacing w:after="0" w:line="240" w:lineRule="auto"/>
              <w:rPr>
                <w:rFonts w:ascii="Times New Roman" w:eastAsia="Times New Roman" w:hAnsi="Times New Roman" w:cs="Times New Roman"/>
                <w:sz w:val="24"/>
                <w:szCs w:val="24"/>
              </w:rPr>
            </w:pPr>
          </w:p>
        </w:tc>
        <w:tc>
          <w:tcPr>
            <w:tcW w:w="1800" w:type="dxa"/>
            <w:tcBorders>
              <w:top w:val="single" w:sz="6" w:space="0" w:color="auto"/>
              <w:left w:val="single" w:sz="6" w:space="0" w:color="auto"/>
              <w:bottom w:val="single" w:sz="4" w:space="0" w:color="auto"/>
              <w:right w:val="single" w:sz="4" w:space="0" w:color="auto"/>
            </w:tcBorders>
            <w:vAlign w:val="bottom"/>
          </w:tcPr>
          <w:p w:rsidR="0096491E" w:rsidRPr="0096491E" w:rsidP="0096491E" w14:paraId="5C57031E"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161,600 hrs.</w:t>
            </w:r>
          </w:p>
          <w:p w:rsidR="0096491E" w:rsidRPr="0096491E" w:rsidP="0096491E" w14:paraId="111F8B2A"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$11,420,272</w:t>
            </w:r>
          </w:p>
        </w:tc>
      </w:tr>
    </w:tbl>
    <w:p w:rsidR="008C71BB" w:rsidP="0096491E" w14:paraId="757B274C" w14:textId="77777777">
      <w:pPr>
        <w:spacing w:after="0" w:line="240" w:lineRule="auto"/>
        <w:rPr>
          <w:rFonts w:ascii="Times New Roman" w:eastAsia="Times New Roman" w:hAnsi="Times New Roman" w:cs="Times New Roman"/>
          <w:b/>
          <w:sz w:val="24"/>
          <w:szCs w:val="24"/>
        </w:rPr>
      </w:pPr>
    </w:p>
    <w:p w:rsidR="00366B4D" w:rsidP="0096491E" w14:paraId="3747B3C9" w14:textId="77777777">
      <w:pPr>
        <w:spacing w:after="0" w:line="240" w:lineRule="auto"/>
        <w:rPr>
          <w:rFonts w:ascii="Times New Roman" w:eastAsia="Times New Roman" w:hAnsi="Times New Roman" w:cs="Times New Roman"/>
          <w:b/>
          <w:sz w:val="24"/>
          <w:szCs w:val="24"/>
        </w:rPr>
      </w:pPr>
    </w:p>
    <w:p w:rsidR="0096491E" w:rsidRPr="0096491E" w:rsidP="0096491E" w14:paraId="4907930E" w14:textId="6F7BA523">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b/>
          <w:sz w:val="24"/>
          <w:szCs w:val="24"/>
        </w:rPr>
        <w:t>FAC-003-2 transfer from FERC 725A to FERC 725D</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530"/>
        <w:gridCol w:w="1440"/>
        <w:gridCol w:w="1800"/>
      </w:tblGrid>
      <w:tr w14:paraId="1F515255" w14:textId="77777777" w:rsidTr="0096491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96491E" w:rsidRPr="0096491E" w:rsidP="0096491E" w14:paraId="42A15308" w14:textId="77777777">
            <w:pPr>
              <w:spacing w:after="0" w:line="240" w:lineRule="auto"/>
              <w:rPr>
                <w:rFonts w:ascii="Times New Roman" w:eastAsia="Times New Roman" w:hAnsi="Times New Roman" w:cs="Times New Roman"/>
                <w:b/>
                <w:bCs/>
                <w:sz w:val="24"/>
                <w:szCs w:val="24"/>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41FB36AB"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Entity</w:t>
            </w:r>
            <w:r>
              <w:rPr>
                <w:rFonts w:ascii="Times New Roman" w:eastAsia="Times New Roman" w:hAnsi="Times New Roman" w:cs="Times New Roman"/>
                <w:b/>
                <w:bCs/>
                <w:sz w:val="24"/>
                <w:szCs w:val="24"/>
                <w:vertAlign w:val="superscript"/>
              </w:rPr>
              <w:footnoteReference w:id="13"/>
            </w:r>
            <w:r w:rsidRPr="0096491E">
              <w:rPr>
                <w:rFonts w:ascii="Times New Roman" w:eastAsia="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5D6D1303"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Annual Responses Per Entity (2)</w:t>
            </w:r>
          </w:p>
        </w:tc>
        <w:tc>
          <w:tcPr>
            <w:tcW w:w="153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3C7F5293"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Number of Responses (1) *(2) = (3)</w:t>
            </w:r>
          </w:p>
        </w:tc>
        <w:tc>
          <w:tcPr>
            <w:tcW w:w="144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7B8FAE3C"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Average Number of Burden Hours per Response</w:t>
            </w:r>
            <w:r>
              <w:rPr>
                <w:rFonts w:ascii="Times New Roman" w:eastAsia="Times New Roman" w:hAnsi="Times New Roman" w:cs="Times New Roman"/>
                <w:b/>
                <w:bCs/>
                <w:sz w:val="24"/>
                <w:szCs w:val="24"/>
              </w:rPr>
              <w:footnoteReference w:id="14"/>
            </w:r>
            <w:r w:rsidRPr="0096491E">
              <w:rPr>
                <w:rFonts w:ascii="Times New Roman" w:eastAsia="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96491E" w:rsidRPr="0096491E" w:rsidP="0096491E" w14:paraId="521C3605"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Burden Hours (3) *(4) = (5)</w:t>
            </w:r>
          </w:p>
        </w:tc>
      </w:tr>
      <w:tr w14:paraId="0AF388DC" w14:textId="77777777" w:rsidTr="0096491E">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vAlign w:val="bottom"/>
          </w:tcPr>
          <w:p w:rsidR="0096491E" w:rsidRPr="0096491E" w:rsidP="0096491E" w14:paraId="0DD04BAB"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FERC-725A   Decrease</w:t>
            </w:r>
          </w:p>
        </w:tc>
      </w:tr>
      <w:tr w14:paraId="40CCEB94" w14:textId="77777777" w:rsidTr="001C2EC7">
        <w:tblPrEx>
          <w:tblW w:w="0" w:type="auto"/>
          <w:tblLook w:val="00A0"/>
        </w:tblPrEx>
        <w:trPr>
          <w:trHeight w:val="780"/>
        </w:trPr>
        <w:tc>
          <w:tcPr>
            <w:tcW w:w="1617" w:type="dxa"/>
            <w:tcBorders>
              <w:top w:val="single" w:sz="6" w:space="0" w:color="auto"/>
              <w:left w:val="single" w:sz="4" w:space="0" w:color="auto"/>
              <w:right w:val="single" w:sz="6" w:space="0" w:color="auto"/>
            </w:tcBorders>
            <w:hideMark/>
          </w:tcPr>
          <w:p w:rsidR="0096491E" w:rsidRPr="0096491E" w:rsidP="0096491E" w14:paraId="3BD61A11" w14:textId="77777777">
            <w:pPr>
              <w:spacing w:after="160" w:line="259"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Annual review and record retention</w:t>
            </w:r>
          </w:p>
        </w:tc>
        <w:tc>
          <w:tcPr>
            <w:tcW w:w="116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1FB2D638"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324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2AD0E63B"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53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2B1D2EA4"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324</w:t>
            </w:r>
          </w:p>
        </w:tc>
        <w:tc>
          <w:tcPr>
            <w:tcW w:w="144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19930ED1"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-24 hrs.</w:t>
            </w:r>
          </w:p>
          <w:p w:rsidR="0096491E" w:rsidRPr="0096491E" w:rsidP="0096491E" w14:paraId="39AC151C"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$ 70.67/hrs.</w:t>
            </w:r>
          </w:p>
        </w:tc>
        <w:tc>
          <w:tcPr>
            <w:tcW w:w="1800" w:type="dxa"/>
            <w:tcBorders>
              <w:top w:val="single" w:sz="6" w:space="0" w:color="auto"/>
              <w:left w:val="single" w:sz="6" w:space="0" w:color="auto"/>
              <w:bottom w:val="single" w:sz="6" w:space="0" w:color="auto"/>
              <w:right w:val="single" w:sz="4" w:space="0" w:color="auto"/>
            </w:tcBorders>
            <w:vAlign w:val="bottom"/>
            <w:hideMark/>
          </w:tcPr>
          <w:p w:rsidR="0096491E" w:rsidRPr="0096491E" w:rsidP="0096491E" w14:paraId="19B29AF5"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-7,776 hrs.</w:t>
            </w:r>
          </w:p>
          <w:p w:rsidR="0096491E" w:rsidRPr="0096491E" w:rsidP="0096491E" w14:paraId="73EF5CE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$549,529.92</w:t>
            </w:r>
          </w:p>
        </w:tc>
      </w:tr>
      <w:tr w14:paraId="789D0F66" w14:textId="77777777" w:rsidTr="0096491E">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96491E" w:rsidRPr="0096491E" w:rsidP="0096491E" w14:paraId="107673CC" w14:textId="77777777">
            <w:pPr>
              <w:spacing w:after="0" w:line="240" w:lineRule="auto"/>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Total Reduction in 725A for FAC-003-2</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2B450338" w14:textId="77777777">
            <w:pPr>
              <w:spacing w:after="0" w:line="240" w:lineRule="auto"/>
              <w:rPr>
                <w:rFonts w:ascii="Times New Roman" w:eastAsia="Times New Roman" w:hAnsi="Times New Roman" w:cs="Times New Roman"/>
                <w:sz w:val="24"/>
                <w:szCs w:val="24"/>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11995855" w14:textId="77777777">
            <w:pPr>
              <w:spacing w:after="0" w:line="240" w:lineRule="auto"/>
              <w:rPr>
                <w:rFonts w:ascii="Times New Roman" w:eastAsia="Times New Roman" w:hAnsi="Times New Roman" w:cs="Times New Roman"/>
                <w:sz w:val="24"/>
                <w:szCs w:val="24"/>
              </w:rPr>
            </w:pPr>
          </w:p>
        </w:tc>
        <w:tc>
          <w:tcPr>
            <w:tcW w:w="153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42DE7851" w14:textId="77777777">
            <w:pPr>
              <w:spacing w:after="0" w:line="240" w:lineRule="auto"/>
              <w:rPr>
                <w:rFonts w:ascii="Times New Roman" w:eastAsia="Times New Roman" w:hAnsi="Times New Roman" w:cs="Times New Roman"/>
                <w:sz w:val="24"/>
                <w:szCs w:val="24"/>
              </w:rPr>
            </w:pPr>
          </w:p>
        </w:tc>
        <w:tc>
          <w:tcPr>
            <w:tcW w:w="144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6BBA812F" w14:textId="77777777">
            <w:pPr>
              <w:spacing w:after="0" w:line="240" w:lineRule="auto"/>
              <w:rPr>
                <w:rFonts w:ascii="Times New Roman" w:eastAsia="Times New Roman" w:hAnsi="Times New Roman" w:cs="Times New Roman"/>
                <w:sz w:val="24"/>
                <w:szCs w:val="24"/>
              </w:rPr>
            </w:pPr>
          </w:p>
        </w:tc>
        <w:tc>
          <w:tcPr>
            <w:tcW w:w="1800" w:type="dxa"/>
            <w:tcBorders>
              <w:top w:val="single" w:sz="6" w:space="0" w:color="auto"/>
              <w:left w:val="single" w:sz="6" w:space="0" w:color="auto"/>
              <w:bottom w:val="single" w:sz="4" w:space="0" w:color="auto"/>
              <w:right w:val="single" w:sz="4" w:space="0" w:color="auto"/>
            </w:tcBorders>
            <w:vAlign w:val="bottom"/>
          </w:tcPr>
          <w:p w:rsidR="0096491E" w:rsidRPr="0096491E" w:rsidP="0096491E" w14:paraId="6CFAC608"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-7,776 hrs.</w:t>
            </w:r>
          </w:p>
          <w:p w:rsidR="0096491E" w:rsidRPr="0096491E" w:rsidP="0096491E" w14:paraId="6B8C18B7"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$549,529.92</w:t>
            </w:r>
          </w:p>
        </w:tc>
      </w:tr>
    </w:tbl>
    <w:p w:rsidR="0096491E" w:rsidRPr="0096491E" w:rsidP="0096491E" w14:paraId="3C64C40D" w14:textId="77777777">
      <w:pPr>
        <w:spacing w:after="0" w:line="480" w:lineRule="auto"/>
        <w:rPr>
          <w:rFonts w:ascii="Times New Roman" w:eastAsia="Times New Roman" w:hAnsi="Times New Roman" w:cs="Times New Roman"/>
          <w:i/>
          <w:sz w:val="26"/>
          <w:szCs w:val="26"/>
        </w:rPr>
      </w:pPr>
    </w:p>
    <w:p w:rsidR="0096491E" w:rsidRPr="0096491E" w:rsidP="0096491E" w14:paraId="00C1F447"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PRC-008-0 transfer from 725A to 725G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350"/>
        <w:gridCol w:w="1620"/>
        <w:gridCol w:w="1800"/>
      </w:tblGrid>
      <w:tr w14:paraId="05141A9A" w14:textId="77777777" w:rsidTr="0096491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96491E" w:rsidRPr="0096491E" w:rsidP="0096491E" w14:paraId="3EE577DE" w14:textId="77777777">
            <w:pPr>
              <w:spacing w:after="0" w:line="240" w:lineRule="auto"/>
              <w:rPr>
                <w:rFonts w:ascii="Times New Roman" w:eastAsia="Times New Roman" w:hAnsi="Times New Roman" w:cs="Times New Roman"/>
                <w:b/>
                <w:bCs/>
                <w:sz w:val="24"/>
                <w:szCs w:val="24"/>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043468AA"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Entity</w:t>
            </w:r>
            <w:r>
              <w:rPr>
                <w:rFonts w:ascii="Times New Roman" w:eastAsia="Times New Roman" w:hAnsi="Times New Roman" w:cs="Times New Roman"/>
                <w:b/>
                <w:bCs/>
                <w:sz w:val="24"/>
                <w:szCs w:val="24"/>
                <w:vertAlign w:val="superscript"/>
              </w:rPr>
              <w:footnoteReference w:id="15"/>
            </w:r>
            <w:r w:rsidRPr="0096491E">
              <w:rPr>
                <w:rFonts w:ascii="Times New Roman" w:eastAsia="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699FF7DB"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Annual Responses Per Entity (2)</w:t>
            </w:r>
          </w:p>
        </w:tc>
        <w:tc>
          <w:tcPr>
            <w:tcW w:w="135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38F46BF1"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Number of Responses (1) *(2) = (3)</w:t>
            </w:r>
          </w:p>
        </w:tc>
        <w:tc>
          <w:tcPr>
            <w:tcW w:w="162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13DDDF29"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Average Number of Burden Hours per Response</w:t>
            </w:r>
            <w:r>
              <w:rPr>
                <w:rFonts w:ascii="Times New Roman" w:eastAsia="Times New Roman" w:hAnsi="Times New Roman" w:cs="Times New Roman"/>
                <w:b/>
                <w:bCs/>
                <w:sz w:val="24"/>
                <w:szCs w:val="24"/>
              </w:rPr>
              <w:footnoteReference w:id="16"/>
            </w:r>
            <w:r w:rsidRPr="0096491E">
              <w:rPr>
                <w:rFonts w:ascii="Times New Roman" w:eastAsia="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96491E" w:rsidRPr="0096491E" w:rsidP="0096491E" w14:paraId="41C6DCDE"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Burden Hours (3) *(4) = (5)</w:t>
            </w:r>
          </w:p>
        </w:tc>
      </w:tr>
      <w:tr w14:paraId="7FB50082" w14:textId="77777777" w:rsidTr="0096491E">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vAlign w:val="bottom"/>
          </w:tcPr>
          <w:p w:rsidR="0096491E" w:rsidRPr="0096491E" w:rsidP="0096491E" w14:paraId="6F4D3346" w14:textId="77777777">
            <w:pPr>
              <w:spacing w:after="0" w:line="240" w:lineRule="auto"/>
              <w:jc w:val="center"/>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FERC-725A Reduction</w:t>
            </w:r>
          </w:p>
        </w:tc>
      </w:tr>
      <w:tr w14:paraId="143300BA" w14:textId="77777777" w:rsidTr="001C2EC7">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96491E" w:rsidRPr="0096491E" w:rsidP="0096491E" w14:paraId="5DE173A3"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Annual review and record retention</w:t>
            </w:r>
          </w:p>
          <w:p w:rsidR="0096491E" w:rsidRPr="0096491E" w:rsidP="0096491E" w14:paraId="2D1E0A29" w14:textId="77777777">
            <w:pPr>
              <w:spacing w:after="0" w:line="240" w:lineRule="auto"/>
              <w:rPr>
                <w:rFonts w:ascii="Times New Roman" w:eastAsia="Times New Roman" w:hAnsi="Times New Roman" w:cs="Times New Roman"/>
                <w:b/>
                <w:bCs/>
                <w:sz w:val="24"/>
                <w:szCs w:val="24"/>
              </w:rPr>
            </w:pPr>
          </w:p>
        </w:tc>
        <w:tc>
          <w:tcPr>
            <w:tcW w:w="116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7478877B"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324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4EF2698D"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44C82768"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324</w:t>
            </w:r>
          </w:p>
        </w:tc>
        <w:tc>
          <w:tcPr>
            <w:tcW w:w="162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4D9C8ACF"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-24 hrs.</w:t>
            </w:r>
          </w:p>
          <w:p w:rsidR="0096491E" w:rsidRPr="0096491E" w:rsidP="0096491E" w14:paraId="098612BA"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6" w:space="0" w:color="auto"/>
              <w:right w:val="single" w:sz="4" w:space="0" w:color="auto"/>
            </w:tcBorders>
            <w:vAlign w:val="bottom"/>
            <w:hideMark/>
          </w:tcPr>
          <w:p w:rsidR="0096491E" w:rsidRPr="0096491E" w:rsidP="0096491E" w14:paraId="77890FC8"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-7,776 hrs.</w:t>
            </w:r>
          </w:p>
          <w:p w:rsidR="0096491E" w:rsidRPr="0096491E" w:rsidP="0096491E" w14:paraId="602F5DEC"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-$549,529.92</w:t>
            </w:r>
          </w:p>
        </w:tc>
      </w:tr>
      <w:tr w14:paraId="3D8AA38F" w14:textId="77777777" w:rsidTr="001C2EC7">
        <w:tblPrEx>
          <w:tblW w:w="0" w:type="auto"/>
          <w:tblLook w:val="00A0"/>
        </w:tblPrEx>
        <w:trPr>
          <w:trHeight w:val="780"/>
        </w:trPr>
        <w:tc>
          <w:tcPr>
            <w:tcW w:w="1617" w:type="dxa"/>
            <w:vMerge/>
            <w:tcBorders>
              <w:left w:val="single" w:sz="4" w:space="0" w:color="auto"/>
              <w:bottom w:val="single" w:sz="4" w:space="0" w:color="auto"/>
              <w:right w:val="single" w:sz="6" w:space="0" w:color="auto"/>
            </w:tcBorders>
            <w:hideMark/>
          </w:tcPr>
          <w:p w:rsidR="0096491E" w:rsidRPr="0096491E" w:rsidP="0096491E" w14:paraId="03AF98D2" w14:textId="77777777">
            <w:pPr>
              <w:spacing w:after="0" w:line="240" w:lineRule="auto"/>
              <w:rPr>
                <w:rFonts w:ascii="Times New Roman" w:eastAsia="Times New Roman" w:hAnsi="Times New Roman" w:cs="Times New Roman"/>
                <w:b/>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02865B14"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371 (DP)</w:t>
            </w:r>
          </w:p>
        </w:tc>
        <w:tc>
          <w:tcPr>
            <w:tcW w:w="1439"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7760B6E0"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54549A73"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371</w:t>
            </w:r>
          </w:p>
        </w:tc>
        <w:tc>
          <w:tcPr>
            <w:tcW w:w="1620"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4CB60DE9"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-24 hrs.</w:t>
            </w:r>
          </w:p>
          <w:p w:rsidR="0096491E" w:rsidRPr="0096491E" w:rsidP="0096491E" w14:paraId="7F407F34"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4" w:space="0" w:color="auto"/>
              <w:right w:val="single" w:sz="4" w:space="0" w:color="auto"/>
            </w:tcBorders>
            <w:vAlign w:val="bottom"/>
            <w:hideMark/>
          </w:tcPr>
          <w:p w:rsidR="0096491E" w:rsidRPr="0096491E" w:rsidP="0096491E" w14:paraId="685CECBE"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-8,904 hrs.</w:t>
            </w:r>
          </w:p>
          <w:p w:rsidR="0096491E" w:rsidRPr="0096491E" w:rsidP="0096491E" w14:paraId="4FF322CB"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-$629,245.68</w:t>
            </w:r>
          </w:p>
        </w:tc>
      </w:tr>
      <w:tr w14:paraId="6802A61D" w14:textId="77777777" w:rsidTr="0096491E">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96491E" w:rsidRPr="0096491E" w:rsidP="0096491E" w14:paraId="0AB16850" w14:textId="77777777">
            <w:pPr>
              <w:spacing w:after="0" w:line="240" w:lineRule="auto"/>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 xml:space="preserve">Total Reduction in 725A for </w:t>
            </w:r>
          </w:p>
          <w:p w:rsidR="0096491E" w:rsidRPr="0096491E" w:rsidP="0096491E" w14:paraId="52FB83DA" w14:textId="77777777">
            <w:pPr>
              <w:spacing w:after="0" w:line="240" w:lineRule="auto"/>
              <w:rPr>
                <w:rFonts w:ascii="Times New Roman" w:eastAsia="Times New Roman" w:hAnsi="Times New Roman" w:cs="Times New Roman"/>
                <w:b/>
                <w:sz w:val="24"/>
                <w:szCs w:val="24"/>
              </w:rPr>
            </w:pPr>
            <w:r w:rsidRPr="0096491E">
              <w:rPr>
                <w:rFonts w:ascii="Times New Roman" w:eastAsia="Times New Roman" w:hAnsi="Times New Roman" w:cs="Times New Roman"/>
                <w:b/>
                <w:bCs/>
                <w:sz w:val="24"/>
                <w:szCs w:val="24"/>
              </w:rPr>
              <w:t>PRC-008-0</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15FE2448" w14:textId="77777777">
            <w:pPr>
              <w:spacing w:after="0" w:line="240" w:lineRule="auto"/>
              <w:rPr>
                <w:rFonts w:ascii="Times New Roman" w:eastAsia="Times New Roman" w:hAnsi="Times New Roman" w:cs="Times New Roman"/>
                <w:sz w:val="24"/>
                <w:szCs w:val="24"/>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51C288B7" w14:textId="77777777">
            <w:pPr>
              <w:spacing w:after="0" w:line="240" w:lineRule="auto"/>
              <w:rPr>
                <w:rFonts w:ascii="Times New Roman" w:eastAsia="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2F03B4EA" w14:textId="77777777">
            <w:pPr>
              <w:spacing w:after="0" w:line="240" w:lineRule="auto"/>
              <w:rPr>
                <w:rFonts w:ascii="Times New Roman" w:eastAsia="Times New Roman" w:hAnsi="Times New Roman" w:cs="Times New Roman"/>
                <w:sz w:val="24"/>
                <w:szCs w:val="24"/>
              </w:rPr>
            </w:pPr>
          </w:p>
        </w:tc>
        <w:tc>
          <w:tcPr>
            <w:tcW w:w="162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3C404615" w14:textId="77777777">
            <w:pPr>
              <w:spacing w:after="0" w:line="240" w:lineRule="auto"/>
              <w:jc w:val="right"/>
              <w:rPr>
                <w:rFonts w:ascii="Times New Roman" w:eastAsia="Times New Roman" w:hAnsi="Times New Roman" w:cs="Times New Roman"/>
                <w:sz w:val="24"/>
                <w:szCs w:val="24"/>
              </w:rPr>
            </w:pPr>
          </w:p>
        </w:tc>
        <w:tc>
          <w:tcPr>
            <w:tcW w:w="1800" w:type="dxa"/>
            <w:tcBorders>
              <w:top w:val="single" w:sz="6" w:space="0" w:color="auto"/>
              <w:left w:val="single" w:sz="6" w:space="0" w:color="auto"/>
              <w:bottom w:val="single" w:sz="4" w:space="0" w:color="auto"/>
              <w:right w:val="single" w:sz="4" w:space="0" w:color="auto"/>
            </w:tcBorders>
            <w:vAlign w:val="bottom"/>
          </w:tcPr>
          <w:p w:rsidR="0096491E" w:rsidRPr="0096491E" w:rsidP="0096491E" w14:paraId="08CD5BA4"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-18,680 hrs.</w:t>
            </w:r>
          </w:p>
          <w:p w:rsidR="0096491E" w:rsidRPr="0096491E" w:rsidP="0096491E" w14:paraId="4941450B"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-$1,178,775.60</w:t>
            </w:r>
          </w:p>
        </w:tc>
      </w:tr>
    </w:tbl>
    <w:p w:rsidR="0096491E" w:rsidRPr="0096491E" w:rsidP="0096491E" w14:paraId="788DBBD8" w14:textId="77777777">
      <w:pPr>
        <w:spacing w:after="0" w:line="480" w:lineRule="auto"/>
        <w:rPr>
          <w:rFonts w:ascii="Times New Roman" w:eastAsia="Times New Roman" w:hAnsi="Times New Roman" w:cs="Times New Roman"/>
          <w:i/>
          <w:sz w:val="24"/>
          <w:szCs w:val="24"/>
        </w:rPr>
      </w:pPr>
    </w:p>
    <w:p w:rsidR="0096491E" w:rsidRPr="0096491E" w:rsidP="0096491E" w14:paraId="706C395D"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PRC-011-0 transfer from FERC 725A to FERC 725G</w:t>
      </w:r>
      <w:r>
        <w:rPr>
          <w:rFonts w:ascii="Times New Roman" w:eastAsia="Times New Roman" w:hAnsi="Times New Roman" w:cs="Times New Roman"/>
          <w:bCs/>
          <w:sz w:val="24"/>
          <w:szCs w:val="24"/>
          <w:vertAlign w:val="superscript"/>
        </w:rPr>
        <w:footnoteReference w:id="17"/>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350"/>
        <w:gridCol w:w="1670"/>
        <w:gridCol w:w="1800"/>
      </w:tblGrid>
      <w:tr w14:paraId="281D0383" w14:textId="77777777" w:rsidTr="0096491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96491E" w:rsidRPr="0096491E" w:rsidP="0096491E" w14:paraId="02E19435"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Reliability Standard &amp; Requirement</w:t>
            </w: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22FF6CA1"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Entity</w:t>
            </w:r>
            <w:r>
              <w:rPr>
                <w:rFonts w:ascii="Times New Roman" w:eastAsia="Times New Roman" w:hAnsi="Times New Roman" w:cs="Times New Roman"/>
                <w:b/>
                <w:bCs/>
                <w:sz w:val="24"/>
                <w:szCs w:val="24"/>
                <w:vertAlign w:val="superscript"/>
              </w:rPr>
              <w:footnoteReference w:id="18"/>
            </w:r>
            <w:r w:rsidRPr="0096491E">
              <w:rPr>
                <w:rFonts w:ascii="Times New Roman" w:eastAsia="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3BF718E2"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Annual Responses Per Entity (2)</w:t>
            </w:r>
          </w:p>
        </w:tc>
        <w:tc>
          <w:tcPr>
            <w:tcW w:w="135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11827005"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Number of Responses (1) *(2) = (3)</w:t>
            </w:r>
          </w:p>
        </w:tc>
        <w:tc>
          <w:tcPr>
            <w:tcW w:w="167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54102218"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Average Number of Burden Hours per Response</w:t>
            </w:r>
            <w:r>
              <w:rPr>
                <w:rFonts w:ascii="Times New Roman" w:eastAsia="Times New Roman" w:hAnsi="Times New Roman" w:cs="Times New Roman"/>
                <w:b/>
                <w:bCs/>
                <w:sz w:val="24"/>
                <w:szCs w:val="24"/>
              </w:rPr>
              <w:footnoteReference w:id="19"/>
            </w:r>
            <w:r w:rsidRPr="0096491E">
              <w:rPr>
                <w:rFonts w:ascii="Times New Roman" w:eastAsia="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96491E" w:rsidRPr="0096491E" w:rsidP="0096491E" w14:paraId="09F8C7FE"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Burden Hours (3) *(4) = (5)</w:t>
            </w:r>
          </w:p>
        </w:tc>
      </w:tr>
      <w:tr w14:paraId="6C86D606" w14:textId="77777777" w:rsidTr="0096491E">
        <w:tblPrEx>
          <w:tblW w:w="0" w:type="auto"/>
          <w:tblLook w:val="00A0"/>
        </w:tblPrEx>
        <w:trPr>
          <w:trHeight w:val="219"/>
        </w:trPr>
        <w:tc>
          <w:tcPr>
            <w:tcW w:w="9045" w:type="dxa"/>
            <w:gridSpan w:val="6"/>
            <w:tcBorders>
              <w:top w:val="single" w:sz="4" w:space="0" w:color="auto"/>
              <w:left w:val="single" w:sz="4" w:space="0" w:color="auto"/>
              <w:bottom w:val="single" w:sz="6" w:space="0" w:color="auto"/>
              <w:right w:val="single" w:sz="4" w:space="0" w:color="auto"/>
            </w:tcBorders>
            <w:shd w:val="clear" w:color="auto" w:fill="BFBFBF"/>
            <w:vAlign w:val="bottom"/>
          </w:tcPr>
          <w:p w:rsidR="0096491E" w:rsidRPr="0096491E" w:rsidP="0096491E" w14:paraId="7C1C80D1" w14:textId="77777777">
            <w:pPr>
              <w:spacing w:after="0" w:line="240" w:lineRule="auto"/>
              <w:jc w:val="center"/>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FERC-725A Reduction</w:t>
            </w:r>
          </w:p>
        </w:tc>
      </w:tr>
      <w:tr w14:paraId="66A393F6" w14:textId="77777777" w:rsidTr="001C2EC7">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96491E" w:rsidRPr="0096491E" w:rsidP="0096491E" w14:paraId="0BCD8703"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Annual review and record retention</w:t>
            </w:r>
          </w:p>
          <w:p w:rsidR="0096491E" w:rsidRPr="0096491E" w:rsidP="0096491E" w14:paraId="66C1480B" w14:textId="77777777">
            <w:pPr>
              <w:spacing w:after="0" w:line="240" w:lineRule="auto"/>
              <w:rPr>
                <w:rFonts w:ascii="Times New Roman" w:eastAsia="Times New Roman" w:hAnsi="Times New Roman" w:cs="Times New Roman"/>
                <w:b/>
                <w:bCs/>
                <w:sz w:val="24"/>
                <w:szCs w:val="24"/>
              </w:rPr>
            </w:pPr>
          </w:p>
        </w:tc>
        <w:tc>
          <w:tcPr>
            <w:tcW w:w="116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1FF5B28D"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162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2FCF9BEC"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4A9D7843"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162</w:t>
            </w:r>
          </w:p>
        </w:tc>
        <w:tc>
          <w:tcPr>
            <w:tcW w:w="167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161B7FC7"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-24 hrs.</w:t>
            </w:r>
          </w:p>
          <w:p w:rsidR="0096491E" w:rsidRPr="0096491E" w:rsidP="0096491E" w14:paraId="3801BC2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6" w:space="0" w:color="auto"/>
              <w:right w:val="single" w:sz="4" w:space="0" w:color="auto"/>
            </w:tcBorders>
            <w:vAlign w:val="bottom"/>
            <w:hideMark/>
          </w:tcPr>
          <w:p w:rsidR="0096491E" w:rsidRPr="0096491E" w:rsidP="0096491E" w14:paraId="359CDDBE"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-3,888 hrs.</w:t>
            </w:r>
          </w:p>
          <w:p w:rsidR="0096491E" w:rsidRPr="0096491E" w:rsidP="0096491E" w14:paraId="5DF3A23B"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-$274,764.96</w:t>
            </w:r>
          </w:p>
        </w:tc>
      </w:tr>
      <w:tr w14:paraId="2CC58D01" w14:textId="77777777" w:rsidTr="001C2EC7">
        <w:tblPrEx>
          <w:tblW w:w="0" w:type="auto"/>
          <w:tblLook w:val="00A0"/>
        </w:tblPrEx>
        <w:trPr>
          <w:trHeight w:val="780"/>
        </w:trPr>
        <w:tc>
          <w:tcPr>
            <w:tcW w:w="1617" w:type="dxa"/>
            <w:vMerge/>
            <w:tcBorders>
              <w:left w:val="single" w:sz="4" w:space="0" w:color="auto"/>
              <w:bottom w:val="single" w:sz="4" w:space="0" w:color="auto"/>
              <w:right w:val="single" w:sz="6" w:space="0" w:color="auto"/>
            </w:tcBorders>
            <w:hideMark/>
          </w:tcPr>
          <w:p w:rsidR="0096491E" w:rsidRPr="0096491E" w:rsidP="0096491E" w14:paraId="2C703F1A" w14:textId="77777777">
            <w:pPr>
              <w:spacing w:after="0" w:line="240" w:lineRule="auto"/>
              <w:rPr>
                <w:rFonts w:ascii="Times New Roman" w:eastAsia="Times New Roman" w:hAnsi="Times New Roman" w:cs="Times New Roman"/>
                <w:b/>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69319026"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181 (DP)</w:t>
            </w:r>
          </w:p>
        </w:tc>
        <w:tc>
          <w:tcPr>
            <w:tcW w:w="1439"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2D73FB7D"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5583C3A6"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181</w:t>
            </w:r>
          </w:p>
        </w:tc>
        <w:tc>
          <w:tcPr>
            <w:tcW w:w="1670"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3AF59DF5"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-24 hrs.</w:t>
            </w:r>
          </w:p>
          <w:p w:rsidR="0096491E" w:rsidRPr="0096491E" w:rsidP="0096491E" w14:paraId="7BB993FF"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4" w:space="0" w:color="auto"/>
              <w:right w:val="single" w:sz="4" w:space="0" w:color="auto"/>
            </w:tcBorders>
            <w:vAlign w:val="bottom"/>
            <w:hideMark/>
          </w:tcPr>
          <w:p w:rsidR="0096491E" w:rsidRPr="0096491E" w:rsidP="0096491E" w14:paraId="196F8F3B"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-4,344 hrs.</w:t>
            </w:r>
          </w:p>
          <w:p w:rsidR="0096491E" w:rsidRPr="0096491E" w:rsidP="0096491E" w14:paraId="67D68BFE"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-$306,990.48</w:t>
            </w:r>
          </w:p>
        </w:tc>
      </w:tr>
      <w:tr w14:paraId="2B7AC7C3" w14:textId="77777777" w:rsidTr="0096491E">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96491E" w:rsidRPr="0096491E" w:rsidP="0096491E" w14:paraId="31BF3143" w14:textId="77777777">
            <w:pPr>
              <w:spacing w:after="0" w:line="240" w:lineRule="auto"/>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 xml:space="preserve">Total Reduction in 725A for </w:t>
            </w:r>
          </w:p>
          <w:p w:rsidR="0096491E" w:rsidRPr="0096491E" w:rsidP="0096491E" w14:paraId="0ED19F46" w14:textId="77777777">
            <w:pPr>
              <w:spacing w:after="0" w:line="240" w:lineRule="auto"/>
              <w:rPr>
                <w:rFonts w:ascii="Times New Roman" w:eastAsia="Times New Roman" w:hAnsi="Times New Roman" w:cs="Times New Roman"/>
                <w:b/>
                <w:sz w:val="24"/>
                <w:szCs w:val="24"/>
              </w:rPr>
            </w:pPr>
            <w:r w:rsidRPr="0096491E">
              <w:rPr>
                <w:rFonts w:ascii="Times New Roman" w:eastAsia="Times New Roman" w:hAnsi="Times New Roman" w:cs="Times New Roman"/>
                <w:b/>
                <w:bCs/>
                <w:sz w:val="24"/>
                <w:szCs w:val="24"/>
              </w:rPr>
              <w:t>PRC-011-0</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1AD8024B" w14:textId="77777777">
            <w:pPr>
              <w:spacing w:after="0" w:line="240" w:lineRule="auto"/>
              <w:rPr>
                <w:rFonts w:ascii="Times New Roman" w:eastAsia="Times New Roman" w:hAnsi="Times New Roman" w:cs="Times New Roman"/>
                <w:sz w:val="24"/>
                <w:szCs w:val="24"/>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6BDCC41F" w14:textId="77777777">
            <w:pPr>
              <w:spacing w:after="0" w:line="240" w:lineRule="auto"/>
              <w:rPr>
                <w:rFonts w:ascii="Times New Roman" w:eastAsia="Times New Roman" w:hAnsi="Times New Roman" w:cs="Times New Roman"/>
                <w:sz w:val="24"/>
                <w:szCs w:val="24"/>
              </w:rPr>
            </w:pPr>
          </w:p>
        </w:tc>
        <w:tc>
          <w:tcPr>
            <w:tcW w:w="135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0F5CC10A" w14:textId="77777777">
            <w:pPr>
              <w:spacing w:after="0" w:line="240" w:lineRule="auto"/>
              <w:rPr>
                <w:rFonts w:ascii="Times New Roman" w:eastAsia="Times New Roman" w:hAnsi="Times New Roman" w:cs="Times New Roman"/>
                <w:sz w:val="24"/>
                <w:szCs w:val="24"/>
              </w:rPr>
            </w:pPr>
          </w:p>
        </w:tc>
        <w:tc>
          <w:tcPr>
            <w:tcW w:w="167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74666622" w14:textId="77777777">
            <w:pPr>
              <w:spacing w:after="0" w:line="240" w:lineRule="auto"/>
              <w:jc w:val="right"/>
              <w:rPr>
                <w:rFonts w:ascii="Times New Roman" w:eastAsia="Times New Roman" w:hAnsi="Times New Roman" w:cs="Times New Roman"/>
                <w:sz w:val="24"/>
                <w:szCs w:val="24"/>
              </w:rPr>
            </w:pPr>
          </w:p>
        </w:tc>
        <w:tc>
          <w:tcPr>
            <w:tcW w:w="1800" w:type="dxa"/>
            <w:tcBorders>
              <w:top w:val="single" w:sz="6" w:space="0" w:color="auto"/>
              <w:left w:val="single" w:sz="6" w:space="0" w:color="auto"/>
              <w:bottom w:val="single" w:sz="4" w:space="0" w:color="auto"/>
              <w:right w:val="single" w:sz="4" w:space="0" w:color="auto"/>
            </w:tcBorders>
            <w:vAlign w:val="bottom"/>
          </w:tcPr>
          <w:p w:rsidR="0096491E" w:rsidRPr="0096491E" w:rsidP="0096491E" w14:paraId="17692DD3"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-8,232 hrs.</w:t>
            </w:r>
          </w:p>
          <w:p w:rsidR="0096491E" w:rsidRPr="0096491E" w:rsidP="0096491E" w14:paraId="390FBAB7"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-$581,755.44</w:t>
            </w:r>
          </w:p>
        </w:tc>
      </w:tr>
    </w:tbl>
    <w:p w:rsidR="0096491E" w:rsidRPr="0096491E" w:rsidP="0096491E" w14:paraId="204E500B" w14:textId="77777777">
      <w:pPr>
        <w:spacing w:after="0" w:line="480" w:lineRule="auto"/>
        <w:rPr>
          <w:rFonts w:ascii="Times New Roman" w:eastAsia="Times New Roman" w:hAnsi="Times New Roman" w:cs="Times New Roman"/>
          <w:i/>
          <w:sz w:val="26"/>
          <w:szCs w:val="26"/>
        </w:rPr>
      </w:pPr>
    </w:p>
    <w:p w:rsidR="0096491E" w:rsidRPr="0096491E" w:rsidP="0096491E" w14:paraId="7761856B" w14:textId="77777777">
      <w:pPr>
        <w:spacing w:after="0" w:line="240" w:lineRule="auto"/>
        <w:rPr>
          <w:rFonts w:ascii="Times New Roman" w:eastAsia="Times New Roman" w:hAnsi="Times New Roman" w:cs="Times New Roman"/>
          <w:b/>
          <w:bCs/>
          <w:sz w:val="26"/>
          <w:szCs w:val="24"/>
        </w:rPr>
      </w:pPr>
      <w:r w:rsidRPr="0096491E">
        <w:rPr>
          <w:rFonts w:ascii="Times New Roman" w:eastAsia="Times New Roman" w:hAnsi="Times New Roman" w:cs="Times New Roman"/>
          <w:b/>
          <w:bCs/>
          <w:sz w:val="26"/>
          <w:szCs w:val="24"/>
        </w:rPr>
        <w:t>PRC-017-1 transfer from FERC 725A to FERC 725G</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350"/>
        <w:gridCol w:w="1670"/>
        <w:gridCol w:w="1800"/>
      </w:tblGrid>
      <w:tr w14:paraId="7ED839EC" w14:textId="77777777" w:rsidTr="0096491E">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96491E" w:rsidRPr="0096491E" w:rsidP="0096491E" w14:paraId="73484863" w14:textId="77777777">
            <w:pPr>
              <w:spacing w:after="0" w:line="240" w:lineRule="auto"/>
              <w:rPr>
                <w:rFonts w:ascii="Times New Roman" w:eastAsia="Times New Roman" w:hAnsi="Times New Roman" w:cs="Times New Roman"/>
                <w:b/>
                <w:bCs/>
                <w:sz w:val="24"/>
                <w:szCs w:val="24"/>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370DFB2C"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Entity</w:t>
            </w:r>
            <w:r>
              <w:rPr>
                <w:rFonts w:ascii="Times New Roman" w:eastAsia="Times New Roman" w:hAnsi="Times New Roman" w:cs="Times New Roman"/>
                <w:b/>
                <w:bCs/>
                <w:sz w:val="24"/>
                <w:szCs w:val="24"/>
                <w:vertAlign w:val="superscript"/>
              </w:rPr>
              <w:footnoteReference w:id="20"/>
            </w:r>
            <w:r w:rsidRPr="0096491E">
              <w:rPr>
                <w:rFonts w:ascii="Times New Roman" w:eastAsia="Times New Roman" w:hAnsi="Times New Roman" w:cs="Times New Roman"/>
                <w:b/>
                <w:bCs/>
                <w:sz w:val="24"/>
                <w:szCs w:val="24"/>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2E698E8B"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Number of Annual Responses Per Entity (2)</w:t>
            </w:r>
          </w:p>
        </w:tc>
        <w:tc>
          <w:tcPr>
            <w:tcW w:w="135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228E2FE2"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Number of Responses (1) *(2) = (3)</w:t>
            </w:r>
          </w:p>
        </w:tc>
        <w:tc>
          <w:tcPr>
            <w:tcW w:w="167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43CFAC38"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Average Number of Burden Hours per Response</w:t>
            </w:r>
            <w:r>
              <w:rPr>
                <w:rFonts w:ascii="Times New Roman" w:eastAsia="Times New Roman" w:hAnsi="Times New Roman" w:cs="Times New Roman"/>
                <w:b/>
                <w:bCs/>
                <w:sz w:val="24"/>
                <w:szCs w:val="24"/>
              </w:rPr>
              <w:footnoteReference w:id="21"/>
            </w:r>
            <w:r w:rsidRPr="0096491E">
              <w:rPr>
                <w:rFonts w:ascii="Times New Roman" w:eastAsia="Times New Roman" w:hAnsi="Times New Roman" w:cs="Times New Roman"/>
                <w:b/>
                <w:bCs/>
                <w:sz w:val="24"/>
                <w:szCs w:val="24"/>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96491E" w:rsidRPr="0096491E" w:rsidP="0096491E" w14:paraId="110EC640"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Total Burden Hours (3) *(4) = (5)</w:t>
            </w:r>
          </w:p>
        </w:tc>
      </w:tr>
      <w:tr w14:paraId="68A70750" w14:textId="77777777" w:rsidTr="0096491E">
        <w:tblPrEx>
          <w:tblW w:w="0" w:type="auto"/>
          <w:tblLook w:val="00A0"/>
        </w:tblPrEx>
        <w:trPr>
          <w:trHeight w:val="219"/>
        </w:trPr>
        <w:tc>
          <w:tcPr>
            <w:tcW w:w="9045" w:type="dxa"/>
            <w:gridSpan w:val="6"/>
            <w:tcBorders>
              <w:top w:val="single" w:sz="4" w:space="0" w:color="auto"/>
              <w:left w:val="single" w:sz="4" w:space="0" w:color="auto"/>
              <w:bottom w:val="single" w:sz="6" w:space="0" w:color="auto"/>
              <w:right w:val="single" w:sz="4" w:space="0" w:color="auto"/>
            </w:tcBorders>
            <w:shd w:val="clear" w:color="auto" w:fill="BFBFBF"/>
            <w:vAlign w:val="bottom"/>
          </w:tcPr>
          <w:p w:rsidR="0096491E" w:rsidRPr="0096491E" w:rsidP="0096491E" w14:paraId="4833072C" w14:textId="77777777">
            <w:pPr>
              <w:spacing w:after="0" w:line="240" w:lineRule="auto"/>
              <w:jc w:val="center"/>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FERC-725A Reduction</w:t>
            </w:r>
          </w:p>
        </w:tc>
      </w:tr>
      <w:tr w14:paraId="7889A029" w14:textId="77777777" w:rsidTr="001C2EC7">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96491E" w:rsidRPr="0096491E" w:rsidP="0096491E" w14:paraId="6AD06A37"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Annual review and record retention</w:t>
            </w:r>
          </w:p>
          <w:p w:rsidR="0096491E" w:rsidRPr="0096491E" w:rsidP="0096491E" w14:paraId="5887BE3C" w14:textId="77777777">
            <w:pPr>
              <w:spacing w:after="0" w:line="240" w:lineRule="auto"/>
              <w:rPr>
                <w:rFonts w:ascii="Times New Roman" w:eastAsia="Times New Roman" w:hAnsi="Times New Roman" w:cs="Times New Roman"/>
                <w:b/>
                <w:bCs/>
                <w:sz w:val="24"/>
                <w:szCs w:val="24"/>
              </w:rPr>
            </w:pPr>
          </w:p>
        </w:tc>
        <w:tc>
          <w:tcPr>
            <w:tcW w:w="116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6A99E02E"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324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2C3A437E"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523BF923"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324</w:t>
            </w:r>
          </w:p>
        </w:tc>
        <w:tc>
          <w:tcPr>
            <w:tcW w:w="1670" w:type="dxa"/>
            <w:tcBorders>
              <w:top w:val="single" w:sz="6" w:space="0" w:color="auto"/>
              <w:left w:val="single" w:sz="6" w:space="0" w:color="auto"/>
              <w:bottom w:val="single" w:sz="6" w:space="0" w:color="auto"/>
              <w:right w:val="single" w:sz="6" w:space="0" w:color="auto"/>
            </w:tcBorders>
            <w:vAlign w:val="bottom"/>
            <w:hideMark/>
          </w:tcPr>
          <w:p w:rsidR="0096491E" w:rsidRPr="0096491E" w:rsidP="0096491E" w14:paraId="61D18EAD"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-80 hrs.</w:t>
            </w:r>
          </w:p>
          <w:p w:rsidR="0096491E" w:rsidRPr="0096491E" w:rsidP="0096491E" w14:paraId="3F5B7051"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-$5,653.60/hr.</w:t>
            </w:r>
          </w:p>
        </w:tc>
        <w:tc>
          <w:tcPr>
            <w:tcW w:w="1800" w:type="dxa"/>
            <w:tcBorders>
              <w:top w:val="single" w:sz="6" w:space="0" w:color="auto"/>
              <w:left w:val="single" w:sz="6" w:space="0" w:color="auto"/>
              <w:bottom w:val="single" w:sz="6" w:space="0" w:color="auto"/>
              <w:right w:val="single" w:sz="4" w:space="0" w:color="auto"/>
            </w:tcBorders>
            <w:vAlign w:val="bottom"/>
            <w:hideMark/>
          </w:tcPr>
          <w:p w:rsidR="0096491E" w:rsidRPr="0096491E" w:rsidP="0096491E" w14:paraId="31F0BBBA"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-25,920 hrs.</w:t>
            </w:r>
          </w:p>
          <w:p w:rsidR="0096491E" w:rsidRPr="0096491E" w:rsidP="0096491E" w14:paraId="7B5EA269"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-$1,831,766.40</w:t>
            </w:r>
          </w:p>
        </w:tc>
      </w:tr>
      <w:tr w14:paraId="1967B0EF" w14:textId="77777777" w:rsidTr="001C2EC7">
        <w:tblPrEx>
          <w:tblW w:w="0" w:type="auto"/>
          <w:tblLook w:val="00A0"/>
        </w:tblPrEx>
        <w:trPr>
          <w:trHeight w:val="780"/>
        </w:trPr>
        <w:tc>
          <w:tcPr>
            <w:tcW w:w="1617" w:type="dxa"/>
            <w:vMerge/>
            <w:tcBorders>
              <w:left w:val="single" w:sz="4" w:space="0" w:color="auto"/>
              <w:right w:val="single" w:sz="6" w:space="0" w:color="auto"/>
            </w:tcBorders>
          </w:tcPr>
          <w:p w:rsidR="0096491E" w:rsidRPr="0096491E" w:rsidP="0096491E" w14:paraId="52D23536" w14:textId="77777777">
            <w:pPr>
              <w:spacing w:after="0" w:line="240" w:lineRule="auto"/>
              <w:rPr>
                <w:rFonts w:ascii="Times New Roman" w:eastAsia="Times New Roman" w:hAnsi="Times New Roman" w:cs="Times New Roman"/>
                <w:b/>
                <w:bCs/>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tcPr>
          <w:p w:rsidR="0096491E" w:rsidRPr="0096491E" w:rsidP="0096491E" w14:paraId="65503D3E"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371 (DP)</w:t>
            </w:r>
          </w:p>
        </w:tc>
        <w:tc>
          <w:tcPr>
            <w:tcW w:w="1439" w:type="dxa"/>
            <w:tcBorders>
              <w:top w:val="single" w:sz="6" w:space="0" w:color="auto"/>
              <w:left w:val="single" w:sz="6" w:space="0" w:color="auto"/>
              <w:bottom w:val="single" w:sz="4" w:space="0" w:color="auto"/>
              <w:right w:val="single" w:sz="6" w:space="0" w:color="auto"/>
            </w:tcBorders>
            <w:vAlign w:val="bottom"/>
          </w:tcPr>
          <w:p w:rsidR="0096491E" w:rsidRPr="0096491E" w:rsidP="0096491E" w14:paraId="524A718D"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4" w:space="0" w:color="auto"/>
              <w:right w:val="single" w:sz="6" w:space="0" w:color="auto"/>
            </w:tcBorders>
            <w:vAlign w:val="bottom"/>
          </w:tcPr>
          <w:p w:rsidR="0096491E" w:rsidRPr="0096491E" w:rsidP="0096491E" w14:paraId="0CF31BFF"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371</w:t>
            </w:r>
          </w:p>
        </w:tc>
        <w:tc>
          <w:tcPr>
            <w:tcW w:w="1670" w:type="dxa"/>
            <w:tcBorders>
              <w:top w:val="single" w:sz="6" w:space="0" w:color="auto"/>
              <w:left w:val="single" w:sz="6" w:space="0" w:color="auto"/>
              <w:bottom w:val="single" w:sz="4" w:space="0" w:color="auto"/>
              <w:right w:val="single" w:sz="6" w:space="0" w:color="auto"/>
            </w:tcBorders>
            <w:vAlign w:val="bottom"/>
          </w:tcPr>
          <w:p w:rsidR="0096491E" w:rsidRPr="0096491E" w:rsidP="0096491E" w14:paraId="6585BD15"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-24 hrs.</w:t>
            </w:r>
          </w:p>
          <w:p w:rsidR="0096491E" w:rsidRPr="0096491E" w:rsidP="0096491E" w14:paraId="56B3B85A"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4" w:space="0" w:color="auto"/>
              <w:right w:val="single" w:sz="4" w:space="0" w:color="auto"/>
            </w:tcBorders>
            <w:vAlign w:val="bottom"/>
          </w:tcPr>
          <w:p w:rsidR="0096491E" w:rsidRPr="0096491E" w:rsidP="0096491E" w14:paraId="47B439D9"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-8,904 hrs.</w:t>
            </w:r>
          </w:p>
          <w:p w:rsidR="0096491E" w:rsidRPr="0096491E" w:rsidP="0096491E" w14:paraId="681C1BE9"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-$629,245.68</w:t>
            </w:r>
          </w:p>
        </w:tc>
      </w:tr>
      <w:tr w14:paraId="796A21F6" w14:textId="77777777" w:rsidTr="001C2EC7">
        <w:tblPrEx>
          <w:tblW w:w="0" w:type="auto"/>
          <w:tblLook w:val="00A0"/>
        </w:tblPrEx>
        <w:trPr>
          <w:trHeight w:val="780"/>
        </w:trPr>
        <w:tc>
          <w:tcPr>
            <w:tcW w:w="1617" w:type="dxa"/>
            <w:vMerge/>
            <w:tcBorders>
              <w:left w:val="single" w:sz="4" w:space="0" w:color="auto"/>
              <w:bottom w:val="single" w:sz="4" w:space="0" w:color="auto"/>
              <w:right w:val="single" w:sz="6" w:space="0" w:color="auto"/>
            </w:tcBorders>
            <w:hideMark/>
          </w:tcPr>
          <w:p w:rsidR="0096491E" w:rsidRPr="0096491E" w:rsidP="0096491E" w14:paraId="39FB7AE5" w14:textId="77777777">
            <w:pPr>
              <w:spacing w:after="0" w:line="240" w:lineRule="auto"/>
              <w:rPr>
                <w:rFonts w:ascii="Times New Roman" w:eastAsia="Times New Roman" w:hAnsi="Times New Roman" w:cs="Times New Roman"/>
                <w:b/>
                <w:sz w:val="24"/>
                <w:szCs w:val="24"/>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7FA67443"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1,210 (GO)</w:t>
            </w:r>
          </w:p>
        </w:tc>
        <w:tc>
          <w:tcPr>
            <w:tcW w:w="1439"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2FC71CB6"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04A53B07"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1,210</w:t>
            </w:r>
          </w:p>
        </w:tc>
        <w:tc>
          <w:tcPr>
            <w:tcW w:w="1670" w:type="dxa"/>
            <w:tcBorders>
              <w:top w:val="single" w:sz="6" w:space="0" w:color="auto"/>
              <w:left w:val="single" w:sz="6" w:space="0" w:color="auto"/>
              <w:bottom w:val="single" w:sz="4" w:space="0" w:color="auto"/>
              <w:right w:val="single" w:sz="6" w:space="0" w:color="auto"/>
            </w:tcBorders>
            <w:vAlign w:val="bottom"/>
            <w:hideMark/>
          </w:tcPr>
          <w:p w:rsidR="0096491E" w:rsidRPr="0096491E" w:rsidP="0096491E" w14:paraId="51D624E7"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-24 hrs.</w:t>
            </w:r>
          </w:p>
          <w:p w:rsidR="0096491E" w:rsidRPr="0096491E" w:rsidP="0096491E" w14:paraId="1F5295F3"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-$1,696.08/hr.</w:t>
            </w:r>
          </w:p>
        </w:tc>
        <w:tc>
          <w:tcPr>
            <w:tcW w:w="1800" w:type="dxa"/>
            <w:tcBorders>
              <w:top w:val="single" w:sz="6" w:space="0" w:color="auto"/>
              <w:left w:val="single" w:sz="6" w:space="0" w:color="auto"/>
              <w:bottom w:val="single" w:sz="4" w:space="0" w:color="auto"/>
              <w:right w:val="single" w:sz="4" w:space="0" w:color="auto"/>
            </w:tcBorders>
            <w:vAlign w:val="bottom"/>
            <w:hideMark/>
          </w:tcPr>
          <w:p w:rsidR="0096491E" w:rsidRPr="0096491E" w:rsidP="0096491E" w14:paraId="3E4F518F"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-29,040 hrs.</w:t>
            </w:r>
          </w:p>
          <w:p w:rsidR="0096491E" w:rsidRPr="0096491E" w:rsidP="0096491E" w14:paraId="03F8C354"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-$2,052,256.80</w:t>
            </w:r>
          </w:p>
        </w:tc>
      </w:tr>
      <w:tr w14:paraId="4A3F0FF5" w14:textId="77777777" w:rsidTr="0096491E">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96491E" w:rsidRPr="0096491E" w:rsidP="0096491E" w14:paraId="77A5E043" w14:textId="77777777">
            <w:pPr>
              <w:spacing w:after="0" w:line="240" w:lineRule="auto"/>
              <w:rPr>
                <w:rFonts w:ascii="Times New Roman" w:eastAsia="Times New Roman" w:hAnsi="Times New Roman" w:cs="Times New Roman"/>
                <w:b/>
                <w:sz w:val="24"/>
                <w:szCs w:val="24"/>
              </w:rPr>
            </w:pPr>
            <w:r w:rsidRPr="0096491E">
              <w:rPr>
                <w:rFonts w:ascii="Times New Roman" w:eastAsia="Times New Roman" w:hAnsi="Times New Roman" w:cs="Times New Roman"/>
                <w:b/>
                <w:sz w:val="24"/>
                <w:szCs w:val="24"/>
              </w:rPr>
              <w:t xml:space="preserve">Total Reduction in 725A for </w:t>
            </w:r>
          </w:p>
          <w:p w:rsidR="0096491E" w:rsidRPr="0096491E" w:rsidP="0096491E" w14:paraId="31995AF5" w14:textId="77777777">
            <w:pPr>
              <w:spacing w:after="0" w:line="240" w:lineRule="auto"/>
              <w:rPr>
                <w:rFonts w:ascii="Times New Roman" w:eastAsia="Times New Roman" w:hAnsi="Times New Roman" w:cs="Times New Roman"/>
                <w:b/>
                <w:sz w:val="24"/>
                <w:szCs w:val="24"/>
              </w:rPr>
            </w:pPr>
            <w:r w:rsidRPr="0096491E">
              <w:rPr>
                <w:rFonts w:ascii="Times New Roman" w:eastAsia="Times New Roman" w:hAnsi="Times New Roman" w:cs="Times New Roman"/>
                <w:b/>
                <w:bCs/>
                <w:sz w:val="24"/>
                <w:szCs w:val="24"/>
              </w:rPr>
              <w:t>PRC-017-1</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63434324" w14:textId="77777777">
            <w:pPr>
              <w:spacing w:after="0" w:line="240" w:lineRule="auto"/>
              <w:rPr>
                <w:rFonts w:ascii="Times New Roman" w:eastAsia="Times New Roman" w:hAnsi="Times New Roman" w:cs="Times New Roman"/>
                <w:sz w:val="24"/>
                <w:szCs w:val="24"/>
                <w:highlight w:val="lightGray"/>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2673A9A0" w14:textId="77777777">
            <w:pPr>
              <w:spacing w:after="0" w:line="240" w:lineRule="auto"/>
              <w:rPr>
                <w:rFonts w:ascii="Times New Roman" w:eastAsia="Times New Roman" w:hAnsi="Times New Roman" w:cs="Times New Roman"/>
                <w:sz w:val="24"/>
                <w:szCs w:val="24"/>
                <w:highlight w:val="lightGray"/>
              </w:rPr>
            </w:pPr>
          </w:p>
        </w:tc>
        <w:tc>
          <w:tcPr>
            <w:tcW w:w="135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3E3F2808" w14:textId="77777777">
            <w:pPr>
              <w:spacing w:after="0" w:line="240" w:lineRule="auto"/>
              <w:rPr>
                <w:rFonts w:ascii="Times New Roman" w:eastAsia="Times New Roman" w:hAnsi="Times New Roman" w:cs="Times New Roman"/>
                <w:sz w:val="24"/>
                <w:szCs w:val="24"/>
                <w:highlight w:val="lightGray"/>
              </w:rPr>
            </w:pPr>
          </w:p>
        </w:tc>
        <w:tc>
          <w:tcPr>
            <w:tcW w:w="1670" w:type="dxa"/>
            <w:tcBorders>
              <w:top w:val="single" w:sz="6" w:space="0" w:color="auto"/>
              <w:left w:val="single" w:sz="6" w:space="0" w:color="auto"/>
              <w:bottom w:val="single" w:sz="4" w:space="0" w:color="auto"/>
              <w:right w:val="single" w:sz="6" w:space="0" w:color="auto"/>
            </w:tcBorders>
            <w:shd w:val="clear" w:color="auto" w:fill="BFBFBF"/>
            <w:vAlign w:val="bottom"/>
          </w:tcPr>
          <w:p w:rsidR="0096491E" w:rsidRPr="0096491E" w:rsidP="0096491E" w14:paraId="17EF8AA2" w14:textId="77777777">
            <w:pPr>
              <w:spacing w:after="0" w:line="240" w:lineRule="auto"/>
              <w:rPr>
                <w:rFonts w:ascii="Times New Roman" w:eastAsia="Times New Roman" w:hAnsi="Times New Roman" w:cs="Times New Roman"/>
                <w:sz w:val="24"/>
                <w:szCs w:val="24"/>
                <w:highlight w:val="lightGray"/>
              </w:rPr>
            </w:pPr>
          </w:p>
        </w:tc>
        <w:tc>
          <w:tcPr>
            <w:tcW w:w="1800" w:type="dxa"/>
            <w:tcBorders>
              <w:top w:val="single" w:sz="6" w:space="0" w:color="auto"/>
              <w:left w:val="single" w:sz="6" w:space="0" w:color="auto"/>
              <w:bottom w:val="single" w:sz="4" w:space="0" w:color="auto"/>
              <w:right w:val="single" w:sz="4" w:space="0" w:color="auto"/>
            </w:tcBorders>
            <w:vAlign w:val="bottom"/>
          </w:tcPr>
          <w:p w:rsidR="0096491E" w:rsidRPr="0096491E" w:rsidP="0096491E" w14:paraId="5BA62684"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-63,864 hrs.</w:t>
            </w:r>
          </w:p>
          <w:p w:rsidR="0096491E" w:rsidRPr="0096491E" w:rsidP="0096491E" w14:paraId="1020829A"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-$4,513,268.88</w:t>
            </w:r>
          </w:p>
        </w:tc>
      </w:tr>
    </w:tbl>
    <w:p w:rsidR="0096491E" w:rsidRPr="0096491E" w:rsidP="0096491E" w14:paraId="705404D0" w14:textId="77777777">
      <w:pPr>
        <w:spacing w:after="0" w:line="480" w:lineRule="auto"/>
        <w:rPr>
          <w:rFonts w:ascii="Times New Roman" w:eastAsia="Times New Roman" w:hAnsi="Times New Roman" w:cs="Times New Roman"/>
          <w:i/>
          <w:sz w:val="26"/>
          <w:szCs w:val="26"/>
        </w:rPr>
      </w:pPr>
    </w:p>
    <w:p w:rsidR="0096491E" w:rsidRPr="0096491E" w:rsidP="0096491E" w14:paraId="6249A575" w14:textId="15BFB870">
      <w:pPr>
        <w:spacing w:after="0" w:line="240" w:lineRule="auto"/>
        <w:rPr>
          <w:rFonts w:ascii="Times New Roman" w:eastAsia="Times New Roman" w:hAnsi="Times New Roman" w:cs="Times New Roman"/>
          <w:b/>
          <w:bCs/>
          <w:sz w:val="26"/>
          <w:szCs w:val="24"/>
        </w:rPr>
      </w:pPr>
      <w:r w:rsidRPr="0096491E">
        <w:rPr>
          <w:rFonts w:ascii="Times New Roman" w:eastAsia="Times New Roman" w:hAnsi="Times New Roman" w:cs="Times New Roman"/>
          <w:b/>
          <w:bCs/>
          <w:sz w:val="26"/>
          <w:szCs w:val="24"/>
        </w:rPr>
        <w:t>725A Master</w:t>
      </w:r>
      <w:r w:rsidR="00D179C8">
        <w:rPr>
          <w:rFonts w:ascii="Times New Roman" w:eastAsia="Times New Roman" w:hAnsi="Times New Roman" w:cs="Times New Roman"/>
          <w:b/>
          <w:bCs/>
          <w:sz w:val="26"/>
          <w:szCs w:val="24"/>
        </w:rPr>
        <w:t xml:space="preserve"> table</w:t>
      </w:r>
    </w:p>
    <w:tbl>
      <w:tblPr>
        <w:tblW w:w="90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487"/>
        <w:gridCol w:w="1221"/>
        <w:gridCol w:w="1440"/>
        <w:gridCol w:w="1350"/>
        <w:gridCol w:w="1620"/>
        <w:gridCol w:w="1890"/>
      </w:tblGrid>
      <w:tr w14:paraId="2C03DACC" w14:textId="77777777" w:rsidTr="001C2EC7">
        <w:tblPrEx>
          <w:tblW w:w="90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1497"/>
        </w:trPr>
        <w:tc>
          <w:tcPr>
            <w:tcW w:w="1487"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96491E" w:rsidRPr="0096491E" w:rsidP="0096491E" w14:paraId="3E5D6A1F"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w:t>
            </w:r>
          </w:p>
        </w:tc>
        <w:tc>
          <w:tcPr>
            <w:tcW w:w="1221"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96491E" w:rsidRPr="0096491E" w:rsidP="0096491E" w14:paraId="20BD0154"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b/>
                <w:bCs/>
                <w:sz w:val="24"/>
                <w:szCs w:val="24"/>
              </w:rPr>
              <w:t>Number of Entity</w:t>
            </w:r>
            <w:r>
              <w:rPr>
                <w:rFonts w:ascii="Times New Roman" w:eastAsia="Times New Roman" w:hAnsi="Times New Roman" w:cs="Times New Roman"/>
                <w:bCs/>
                <w:sz w:val="24"/>
                <w:szCs w:val="24"/>
                <w:vertAlign w:val="superscript"/>
              </w:rPr>
              <w:footnoteReference w:id="22"/>
            </w:r>
            <w:r w:rsidRPr="0096491E">
              <w:rPr>
                <w:rFonts w:ascii="Times New Roman" w:eastAsia="Times New Roman" w:hAnsi="Times New Roman" w:cs="Times New Roman"/>
                <w:b/>
                <w:bCs/>
                <w:sz w:val="24"/>
                <w:szCs w:val="24"/>
              </w:rPr>
              <w:t xml:space="preserve"> (1)</w:t>
            </w:r>
            <w:r w:rsidRPr="0096491E">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96491E" w:rsidRPr="0096491E" w:rsidP="0096491E" w14:paraId="0DE8B3BC"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b/>
                <w:bCs/>
                <w:sz w:val="24"/>
                <w:szCs w:val="24"/>
              </w:rPr>
              <w:t>Number of Annual Responses Per Entity (2)</w:t>
            </w:r>
            <w:r w:rsidRPr="0096491E">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96491E" w:rsidRPr="0096491E" w:rsidP="0096491E" w14:paraId="3343D9F6"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b/>
                <w:bCs/>
                <w:sz w:val="24"/>
                <w:szCs w:val="24"/>
              </w:rPr>
              <w:t>Total Number of Responses (1) *(2) = (3)</w:t>
            </w:r>
            <w:r w:rsidRPr="0096491E">
              <w:rPr>
                <w:rFonts w:ascii="Times New Roman" w:eastAsia="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96491E" w:rsidRPr="0096491E" w:rsidP="0096491E" w14:paraId="4D0D81B7"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b/>
                <w:bCs/>
                <w:sz w:val="24"/>
                <w:szCs w:val="24"/>
              </w:rPr>
              <w:t xml:space="preserve">Average Number of Burden Hours </w:t>
            </w:r>
            <w:r w:rsidRPr="0096491E">
              <w:rPr>
                <w:rFonts w:ascii="Times New Roman" w:eastAsia="Times New Roman" w:hAnsi="Times New Roman" w:cs="Times New Roman"/>
                <w:b/>
                <w:bCs/>
                <w:sz w:val="24"/>
                <w:szCs w:val="24"/>
              </w:rPr>
              <w:t>per Response</w:t>
            </w:r>
            <w:r>
              <w:rPr>
                <w:rFonts w:ascii="Times New Roman" w:eastAsia="Times New Roman" w:hAnsi="Times New Roman" w:cs="Times New Roman"/>
                <w:bCs/>
                <w:sz w:val="24"/>
                <w:szCs w:val="24"/>
                <w:vertAlign w:val="superscript"/>
              </w:rPr>
              <w:footnoteReference w:id="23"/>
            </w:r>
            <w:r w:rsidRPr="0096491E">
              <w:rPr>
                <w:rFonts w:ascii="Times New Roman" w:eastAsia="Times New Roman" w:hAnsi="Times New Roman" w:cs="Times New Roman"/>
                <w:b/>
                <w:bCs/>
                <w:sz w:val="24"/>
                <w:szCs w:val="24"/>
              </w:rPr>
              <w:t xml:space="preserve"> (4)</w:t>
            </w:r>
            <w:r w:rsidRPr="0096491E">
              <w:rPr>
                <w:rFonts w:ascii="Times New Roman" w:eastAsia="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BFBFBF"/>
            <w:vAlign w:val="center"/>
            <w:hideMark/>
          </w:tcPr>
          <w:p w:rsidR="0096491E" w:rsidRPr="0096491E" w:rsidP="0096491E" w14:paraId="1A363109"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b/>
                <w:bCs/>
                <w:sz w:val="24"/>
                <w:szCs w:val="24"/>
              </w:rPr>
              <w:t>Total Burden Hours (3) *(4) = (5)</w:t>
            </w:r>
            <w:r w:rsidRPr="0096491E">
              <w:rPr>
                <w:rFonts w:ascii="Times New Roman" w:eastAsia="Times New Roman" w:hAnsi="Times New Roman" w:cs="Times New Roman"/>
                <w:sz w:val="24"/>
                <w:szCs w:val="24"/>
              </w:rPr>
              <w:t> </w:t>
            </w:r>
          </w:p>
        </w:tc>
      </w:tr>
      <w:tr w14:paraId="74F7514E" w14:textId="77777777" w:rsidTr="001C2EC7">
        <w:tblPrEx>
          <w:tblW w:w="9008" w:type="dxa"/>
          <w:tblLayout w:type="fixed"/>
          <w:tblCellMar>
            <w:left w:w="0" w:type="dxa"/>
            <w:right w:w="0" w:type="dxa"/>
          </w:tblCellMar>
          <w:tblLook w:val="04A0"/>
        </w:tblPrEx>
        <w:trPr>
          <w:trHeight w:val="381"/>
        </w:trPr>
        <w:tc>
          <w:tcPr>
            <w:tcW w:w="9008" w:type="dxa"/>
            <w:gridSpan w:val="6"/>
            <w:tcBorders>
              <w:top w:val="single" w:sz="6"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2AED8440"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b/>
                <w:bCs/>
                <w:sz w:val="24"/>
                <w:szCs w:val="24"/>
              </w:rPr>
              <w:t xml:space="preserve">FERC-725A  </w:t>
            </w:r>
          </w:p>
        </w:tc>
      </w:tr>
      <w:tr w14:paraId="236E5B0F" w14:textId="77777777" w:rsidTr="001C2EC7">
        <w:tblPrEx>
          <w:tblW w:w="9008" w:type="dxa"/>
          <w:tblLayout w:type="fixed"/>
          <w:tblCellMar>
            <w:left w:w="0" w:type="dxa"/>
            <w:right w:w="0" w:type="dxa"/>
          </w:tblCellMar>
          <w:tblLook w:val="04A0"/>
        </w:tblPrEx>
        <w:trPr>
          <w:trHeight w:val="705"/>
        </w:trPr>
        <w:tc>
          <w:tcPr>
            <w:tcW w:w="1487" w:type="dxa"/>
            <w:tcBorders>
              <w:top w:val="single" w:sz="6" w:space="0" w:color="auto"/>
              <w:left w:val="single" w:sz="6" w:space="0" w:color="auto"/>
              <w:bottom w:val="single" w:sz="6" w:space="0" w:color="auto"/>
              <w:right w:val="single" w:sz="6" w:space="0" w:color="auto"/>
            </w:tcBorders>
            <w:shd w:val="clear" w:color="auto" w:fill="auto"/>
            <w:vAlign w:val="center"/>
          </w:tcPr>
          <w:p w:rsidR="0096491E" w:rsidRPr="0096491E" w:rsidP="0096491E" w14:paraId="4EF7172B"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INT-006-5</w:t>
            </w:r>
          </w:p>
        </w:tc>
        <w:tc>
          <w:tcPr>
            <w:tcW w:w="1221" w:type="dxa"/>
            <w:tcBorders>
              <w:top w:val="single" w:sz="6" w:space="0" w:color="auto"/>
              <w:left w:val="single" w:sz="6" w:space="0" w:color="auto"/>
              <w:bottom w:val="single" w:sz="6" w:space="0" w:color="auto"/>
              <w:right w:val="single" w:sz="6" w:space="0" w:color="auto"/>
            </w:tcBorders>
            <w:shd w:val="clear" w:color="auto" w:fill="auto"/>
          </w:tcPr>
          <w:p w:rsidR="0096491E" w:rsidRPr="0096491E" w:rsidP="0096491E" w14:paraId="7840B3F2"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168 (BA, TSP)</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65443742"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0508D1FF"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3E6CD025"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120 hrs. </w:t>
            </w:r>
          </w:p>
          <w:p w:rsidR="0096491E" w:rsidRPr="0096491E" w:rsidP="0096491E" w14:paraId="6F79F13B"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$8,480.40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342863D0"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20,160 hrs. </w:t>
            </w:r>
          </w:p>
          <w:p w:rsidR="0096491E" w:rsidRPr="0096491E" w:rsidP="0096491E" w14:paraId="0C89F450"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$1,424,707.20</w:t>
            </w:r>
          </w:p>
        </w:tc>
      </w:tr>
      <w:tr w14:paraId="00E3C81B" w14:textId="77777777" w:rsidTr="001C2EC7">
        <w:tblPrEx>
          <w:tblW w:w="9008" w:type="dxa"/>
          <w:tblLayout w:type="fixed"/>
          <w:tblCellMar>
            <w:left w:w="0" w:type="dxa"/>
            <w:right w:w="0" w:type="dxa"/>
          </w:tblCellMar>
          <w:tblLook w:val="04A0"/>
        </w:tblPrEx>
        <w:trPr>
          <w:trHeight w:val="780"/>
        </w:trPr>
        <w:tc>
          <w:tcPr>
            <w:tcW w:w="1487" w:type="dxa"/>
            <w:tcBorders>
              <w:top w:val="single" w:sz="6" w:space="0" w:color="auto"/>
              <w:left w:val="single" w:sz="6" w:space="0" w:color="auto"/>
              <w:bottom w:val="single" w:sz="6" w:space="0" w:color="auto"/>
              <w:right w:val="single" w:sz="6" w:space="0" w:color="auto"/>
            </w:tcBorders>
            <w:shd w:val="clear" w:color="auto" w:fill="auto"/>
            <w:vAlign w:val="center"/>
          </w:tcPr>
          <w:p w:rsidR="0096491E" w:rsidRPr="0096491E" w:rsidP="0096491E" w14:paraId="5BA8188D"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INT-009-3</w:t>
            </w:r>
          </w:p>
        </w:tc>
        <w:tc>
          <w:tcPr>
            <w:tcW w:w="1221" w:type="dxa"/>
            <w:tcBorders>
              <w:top w:val="single" w:sz="6" w:space="0" w:color="auto"/>
              <w:left w:val="single" w:sz="6" w:space="0" w:color="auto"/>
              <w:bottom w:val="single" w:sz="6" w:space="0" w:color="auto"/>
              <w:right w:val="single" w:sz="6" w:space="0" w:color="auto"/>
            </w:tcBorders>
            <w:shd w:val="clear" w:color="auto" w:fill="auto"/>
          </w:tcPr>
          <w:p w:rsidR="0096491E" w:rsidRPr="0096491E" w:rsidP="0096491E" w14:paraId="5AC2CBB6"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98 (BA)</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7E0DF3EF"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78540A76"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98</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4B224DC6"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120 hrs. </w:t>
            </w:r>
          </w:p>
          <w:p w:rsidR="0096491E" w:rsidRPr="0096491E" w:rsidP="0096491E" w14:paraId="7E0E76F9"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$8,480.40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0BF72AB1"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11,760 hrs. </w:t>
            </w:r>
          </w:p>
          <w:p w:rsidR="0096491E" w:rsidRPr="0096491E" w:rsidP="0096491E" w14:paraId="242D8213"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$831,079.20</w:t>
            </w:r>
          </w:p>
        </w:tc>
      </w:tr>
      <w:tr w14:paraId="44935046" w14:textId="77777777" w:rsidTr="001C2EC7">
        <w:tblPrEx>
          <w:tblW w:w="9008" w:type="dxa"/>
          <w:tblLayout w:type="fixed"/>
          <w:tblCellMar>
            <w:left w:w="0" w:type="dxa"/>
            <w:right w:w="0" w:type="dxa"/>
          </w:tblCellMar>
          <w:tblLook w:val="04A0"/>
        </w:tblPrEx>
        <w:trPr>
          <w:trHeight w:val="780"/>
        </w:trPr>
        <w:tc>
          <w:tcPr>
            <w:tcW w:w="1487" w:type="dxa"/>
            <w:tcBorders>
              <w:top w:val="single" w:sz="6" w:space="0" w:color="auto"/>
              <w:left w:val="single" w:sz="6" w:space="0" w:color="auto"/>
              <w:bottom w:val="single" w:sz="6" w:space="0" w:color="auto"/>
              <w:right w:val="single" w:sz="6" w:space="0" w:color="auto"/>
            </w:tcBorders>
            <w:shd w:val="clear" w:color="auto" w:fill="auto"/>
            <w:vAlign w:val="center"/>
          </w:tcPr>
          <w:p w:rsidR="0096491E" w:rsidRPr="0096491E" w:rsidP="0096491E" w14:paraId="3D8065F0" w14:textId="77777777">
            <w:pPr>
              <w:spacing w:after="0" w:line="240" w:lineRule="auto"/>
              <w:rPr>
                <w:rFonts w:ascii="Times New Roman" w:eastAsia="Times New Roman" w:hAnsi="Times New Roman" w:cs="Times New Roman"/>
                <w:b/>
                <w:bCs/>
                <w:sz w:val="24"/>
                <w:szCs w:val="24"/>
              </w:rPr>
            </w:pPr>
            <w:bookmarkStart w:id="1" w:name="_Hlk181356991"/>
            <w:r w:rsidRPr="0096491E">
              <w:rPr>
                <w:rFonts w:ascii="Times New Roman" w:eastAsia="Times New Roman" w:hAnsi="Times New Roman" w:cs="Times New Roman"/>
                <w:b/>
                <w:bCs/>
                <w:sz w:val="24"/>
                <w:szCs w:val="24"/>
              </w:rPr>
              <w:t>TOP-001-6</w:t>
            </w:r>
            <w:bookmarkEnd w:id="1"/>
          </w:p>
        </w:tc>
        <w:tc>
          <w:tcPr>
            <w:tcW w:w="1221" w:type="dxa"/>
            <w:tcBorders>
              <w:top w:val="single" w:sz="6" w:space="0" w:color="auto"/>
              <w:left w:val="single" w:sz="6" w:space="0" w:color="auto"/>
              <w:bottom w:val="single" w:sz="6" w:space="0" w:color="auto"/>
              <w:right w:val="single" w:sz="6" w:space="0" w:color="auto"/>
            </w:tcBorders>
            <w:shd w:val="clear" w:color="auto" w:fill="auto"/>
          </w:tcPr>
          <w:p w:rsidR="0096491E" w:rsidRPr="0096491E" w:rsidP="0096491E" w14:paraId="01D36F86"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1,567 (BA, TOP,</w:t>
            </w:r>
          </w:p>
          <w:p w:rsidR="0096491E" w:rsidRPr="0096491E" w:rsidP="0096491E" w14:paraId="276A23A0"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GOP, DP)</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2DE57098"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561D3BED"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1567</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3A90E297"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120 hrs. </w:t>
            </w:r>
          </w:p>
          <w:p w:rsidR="0096491E" w:rsidRPr="0096491E" w:rsidP="0096491E" w14:paraId="63519F7B"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$8,480.40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4D602FB6"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188,040 hrs. </w:t>
            </w:r>
          </w:p>
          <w:p w:rsidR="0096491E" w:rsidRPr="0096491E" w:rsidP="0096491E" w14:paraId="7E1346E2"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$13,288,787.80</w:t>
            </w:r>
          </w:p>
        </w:tc>
      </w:tr>
      <w:tr w14:paraId="6BB43BF5" w14:textId="77777777" w:rsidTr="001C2EC7">
        <w:tblPrEx>
          <w:tblW w:w="9008" w:type="dxa"/>
          <w:tblLayout w:type="fixed"/>
          <w:tblCellMar>
            <w:left w:w="0" w:type="dxa"/>
            <w:right w:w="0" w:type="dxa"/>
          </w:tblCellMar>
          <w:tblLook w:val="04A0"/>
        </w:tblPrEx>
        <w:trPr>
          <w:trHeight w:val="780"/>
        </w:trPr>
        <w:tc>
          <w:tcPr>
            <w:tcW w:w="1487" w:type="dxa"/>
            <w:tcBorders>
              <w:top w:val="single" w:sz="6" w:space="0" w:color="auto"/>
              <w:left w:val="single" w:sz="6" w:space="0" w:color="auto"/>
              <w:bottom w:val="single" w:sz="6" w:space="0" w:color="auto"/>
              <w:right w:val="single" w:sz="6" w:space="0" w:color="auto"/>
            </w:tcBorders>
            <w:shd w:val="clear" w:color="auto" w:fill="auto"/>
            <w:vAlign w:val="center"/>
          </w:tcPr>
          <w:p w:rsidR="0096491E" w:rsidRPr="0096491E" w:rsidP="0096491E" w14:paraId="627B7727"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TOP-002-5</w:t>
            </w:r>
          </w:p>
        </w:tc>
        <w:tc>
          <w:tcPr>
            <w:tcW w:w="1221" w:type="dxa"/>
            <w:tcBorders>
              <w:top w:val="single" w:sz="6" w:space="0" w:color="auto"/>
              <w:left w:val="single" w:sz="6" w:space="0" w:color="auto"/>
              <w:bottom w:val="single" w:sz="6" w:space="0" w:color="auto"/>
              <w:right w:val="single" w:sz="6" w:space="0" w:color="auto"/>
            </w:tcBorders>
            <w:shd w:val="clear" w:color="auto" w:fill="auto"/>
          </w:tcPr>
          <w:p w:rsidR="0096491E" w:rsidRPr="0096491E" w:rsidP="0096491E" w14:paraId="3596F852"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422 (TO, BA)</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7BC143DE"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405592EF"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422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2DF2BB42"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120 hrs. </w:t>
            </w:r>
          </w:p>
          <w:p w:rsidR="0096491E" w:rsidRPr="0096491E" w:rsidP="0096491E" w14:paraId="5406A40C"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$8,480.40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1DD04EBB"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50,640 hrs. </w:t>
            </w:r>
          </w:p>
          <w:p w:rsidR="0096491E" w:rsidRPr="0096491E" w:rsidP="0096491E" w14:paraId="5B6924C3"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$3,578,728.80</w:t>
            </w:r>
          </w:p>
        </w:tc>
      </w:tr>
      <w:tr w14:paraId="576348C5" w14:textId="77777777" w:rsidTr="001C2EC7">
        <w:tblPrEx>
          <w:tblW w:w="9008" w:type="dxa"/>
          <w:tblLayout w:type="fixed"/>
          <w:tblCellMar>
            <w:left w:w="0" w:type="dxa"/>
            <w:right w:w="0" w:type="dxa"/>
          </w:tblCellMar>
          <w:tblLook w:val="04A0"/>
        </w:tblPrEx>
        <w:trPr>
          <w:trHeight w:val="1308"/>
        </w:trPr>
        <w:tc>
          <w:tcPr>
            <w:tcW w:w="1487" w:type="dxa"/>
            <w:tcBorders>
              <w:top w:val="single" w:sz="6" w:space="0" w:color="auto"/>
              <w:left w:val="single" w:sz="6" w:space="0" w:color="auto"/>
              <w:bottom w:val="single" w:sz="6" w:space="0" w:color="auto"/>
              <w:right w:val="single" w:sz="6" w:space="0" w:color="auto"/>
            </w:tcBorders>
            <w:shd w:val="clear" w:color="auto" w:fill="auto"/>
            <w:vAlign w:val="center"/>
          </w:tcPr>
          <w:p w:rsidR="0096491E" w:rsidRPr="0096491E" w:rsidP="0096491E" w14:paraId="7C6D0E27" w14:textId="77777777">
            <w:pPr>
              <w:spacing w:after="0" w:line="240" w:lineRule="auto"/>
              <w:rPr>
                <w:rFonts w:ascii="Times New Roman" w:eastAsia="Times New Roman" w:hAnsi="Times New Roman" w:cs="Times New Roman"/>
                <w:b/>
                <w:bCs/>
                <w:sz w:val="24"/>
                <w:szCs w:val="24"/>
              </w:rPr>
            </w:pPr>
            <w:bookmarkStart w:id="2" w:name="_Hlk181357080"/>
            <w:r w:rsidRPr="0096491E">
              <w:rPr>
                <w:rFonts w:ascii="Times New Roman" w:eastAsia="Times New Roman" w:hAnsi="Times New Roman" w:cs="Times New Roman"/>
                <w:b/>
                <w:bCs/>
                <w:sz w:val="24"/>
                <w:szCs w:val="24"/>
              </w:rPr>
              <w:t>TOP-003-6.1</w:t>
            </w:r>
            <w:bookmarkEnd w:id="2"/>
          </w:p>
        </w:tc>
        <w:tc>
          <w:tcPr>
            <w:tcW w:w="1221" w:type="dxa"/>
            <w:tcBorders>
              <w:top w:val="single" w:sz="6" w:space="0" w:color="auto"/>
              <w:left w:val="single" w:sz="6" w:space="0" w:color="auto"/>
              <w:bottom w:val="single" w:sz="6" w:space="0" w:color="auto"/>
              <w:right w:val="single" w:sz="6" w:space="0" w:color="auto"/>
            </w:tcBorders>
            <w:shd w:val="clear" w:color="auto" w:fill="auto"/>
          </w:tcPr>
          <w:p w:rsidR="0096491E" w:rsidRPr="0096491E" w:rsidP="0096491E" w14:paraId="7EC4DA96"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1,567 (BA, TOP,</w:t>
            </w:r>
          </w:p>
          <w:p w:rsidR="0096491E" w:rsidRPr="0096491E" w:rsidP="0096491E" w14:paraId="6102A666"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GOP, DP)</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3DB68546"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1E23AFB0"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1567</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5A17C3EF"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120 hrs. </w:t>
            </w:r>
          </w:p>
          <w:p w:rsidR="0096491E" w:rsidRPr="0096491E" w:rsidP="0096491E" w14:paraId="5CC48F39"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$8,480.40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7BB77105"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188,040 hrs. </w:t>
            </w:r>
          </w:p>
          <w:p w:rsidR="0096491E" w:rsidRPr="0096491E" w:rsidP="0096491E" w14:paraId="4777BB8F"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$13,288,786.80</w:t>
            </w:r>
          </w:p>
        </w:tc>
      </w:tr>
      <w:tr w14:paraId="4C55B768" w14:textId="77777777" w:rsidTr="001C2EC7">
        <w:tblPrEx>
          <w:tblW w:w="9008" w:type="dxa"/>
          <w:tblLayout w:type="fixed"/>
          <w:tblCellMar>
            <w:left w:w="0" w:type="dxa"/>
            <w:right w:w="0" w:type="dxa"/>
          </w:tblCellMar>
          <w:tblLook w:val="04A0"/>
        </w:tblPrEx>
        <w:trPr>
          <w:trHeight w:val="780"/>
        </w:trPr>
        <w:tc>
          <w:tcPr>
            <w:tcW w:w="1487" w:type="dxa"/>
            <w:tcBorders>
              <w:top w:val="single" w:sz="6" w:space="0" w:color="auto"/>
              <w:left w:val="single" w:sz="6" w:space="0" w:color="auto"/>
              <w:bottom w:val="single" w:sz="6" w:space="0" w:color="auto"/>
              <w:right w:val="single" w:sz="6" w:space="0" w:color="auto"/>
            </w:tcBorders>
            <w:shd w:val="clear" w:color="auto" w:fill="auto"/>
            <w:vAlign w:val="center"/>
          </w:tcPr>
          <w:p w:rsidR="0096491E" w:rsidRPr="0096491E" w:rsidP="0096491E" w14:paraId="16EB9605"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TOP-010-1(i)</w:t>
            </w:r>
          </w:p>
        </w:tc>
        <w:tc>
          <w:tcPr>
            <w:tcW w:w="1221" w:type="dxa"/>
            <w:tcBorders>
              <w:top w:val="single" w:sz="6" w:space="0" w:color="auto"/>
              <w:left w:val="single" w:sz="6" w:space="0" w:color="auto"/>
              <w:bottom w:val="single" w:sz="6" w:space="0" w:color="auto"/>
              <w:right w:val="single" w:sz="6" w:space="0" w:color="auto"/>
            </w:tcBorders>
            <w:shd w:val="clear" w:color="auto" w:fill="auto"/>
          </w:tcPr>
          <w:p w:rsidR="0096491E" w:rsidRPr="0096491E" w:rsidP="0096491E" w14:paraId="66E6F93C"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422 (TO, BA)</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45F44E36"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4869382C"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422</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079CBF90"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120 hrs. </w:t>
            </w:r>
          </w:p>
          <w:p w:rsidR="0096491E" w:rsidRPr="0096491E" w:rsidP="0096491E" w14:paraId="236DA70B"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$8,480.40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96491E" w14:paraId="40AE1F85"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50,640 hrs. </w:t>
            </w:r>
          </w:p>
          <w:p w:rsidR="0096491E" w:rsidRPr="0096491E" w:rsidP="0096491E" w14:paraId="72FC18F0"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$3,578,728.80</w:t>
            </w:r>
          </w:p>
        </w:tc>
      </w:tr>
      <w:tr w14:paraId="22689D9E" w14:textId="77777777" w:rsidTr="001C2EC7">
        <w:tblPrEx>
          <w:tblW w:w="9008" w:type="dxa"/>
          <w:tblLayout w:type="fixed"/>
          <w:tblCellMar>
            <w:left w:w="0" w:type="dxa"/>
            <w:right w:w="0" w:type="dxa"/>
          </w:tblCellMar>
          <w:tblLook w:val="04A0"/>
        </w:tblPrEx>
        <w:trPr>
          <w:trHeight w:val="780"/>
        </w:trPr>
        <w:tc>
          <w:tcPr>
            <w:tcW w:w="1487" w:type="dxa"/>
            <w:tcBorders>
              <w:top w:val="single" w:sz="6" w:space="0" w:color="auto"/>
              <w:left w:val="single" w:sz="6" w:space="0" w:color="auto"/>
              <w:bottom w:val="single" w:sz="6" w:space="0" w:color="auto"/>
              <w:right w:val="single" w:sz="6" w:space="0" w:color="auto"/>
            </w:tcBorders>
            <w:shd w:val="clear" w:color="auto" w:fill="auto"/>
            <w:vAlign w:val="center"/>
          </w:tcPr>
          <w:p w:rsidR="0096491E" w:rsidRPr="0096491E" w:rsidP="0096491E" w14:paraId="0F69F351" w14:textId="77777777">
            <w:pPr>
              <w:spacing w:after="0" w:line="240" w:lineRule="auto"/>
              <w:rPr>
                <w:rFonts w:ascii="Times New Roman" w:eastAsia="Times New Roman" w:hAnsi="Times New Roman" w:cs="Times New Roman"/>
                <w:b/>
                <w:bCs/>
                <w:sz w:val="24"/>
                <w:szCs w:val="24"/>
              </w:rPr>
            </w:pPr>
            <w:r w:rsidRPr="0096491E">
              <w:rPr>
                <w:rFonts w:ascii="Times New Roman" w:eastAsia="Times New Roman" w:hAnsi="Times New Roman" w:cs="Times New Roman"/>
                <w:b/>
                <w:bCs/>
                <w:sz w:val="24"/>
                <w:szCs w:val="24"/>
              </w:rPr>
              <w:t xml:space="preserve">725A BPS Record Keeping </w:t>
            </w:r>
          </w:p>
        </w:tc>
        <w:tc>
          <w:tcPr>
            <w:tcW w:w="1221" w:type="dxa"/>
            <w:tcBorders>
              <w:top w:val="single" w:sz="6" w:space="0" w:color="auto"/>
              <w:left w:val="single" w:sz="6" w:space="0" w:color="auto"/>
              <w:bottom w:val="single" w:sz="6" w:space="0" w:color="auto"/>
              <w:right w:val="single" w:sz="6" w:space="0" w:color="auto"/>
            </w:tcBorders>
            <w:shd w:val="clear" w:color="auto" w:fill="auto"/>
          </w:tcPr>
          <w:p w:rsidR="0096491E" w:rsidRPr="0096491E" w:rsidP="00B832B9" w14:paraId="6EA8186E"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3,711 (All)</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96491E" w:rsidRPr="0096491E" w:rsidP="00B832B9" w14:paraId="41BE2208"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96491E" w:rsidP="00B832B9" w14:paraId="59F0908F" w14:textId="25443618">
            <w:pPr>
              <w:spacing w:after="0" w:line="240" w:lineRule="auto"/>
              <w:jc w:val="center"/>
              <w:rPr>
                <w:rFonts w:ascii="Times New Roman" w:eastAsia="Times New Roman" w:hAnsi="Times New Roman" w:cs="Times New Roman"/>
                <w:sz w:val="24"/>
                <w:szCs w:val="24"/>
              </w:rPr>
            </w:pPr>
          </w:p>
          <w:p w:rsidR="00B832B9" w:rsidP="00B832B9" w14:paraId="7FF971D7" w14:textId="77777777">
            <w:pPr>
              <w:spacing w:after="0" w:line="240" w:lineRule="auto"/>
              <w:jc w:val="center"/>
              <w:rPr>
                <w:rFonts w:ascii="Times New Roman" w:eastAsia="Times New Roman" w:hAnsi="Times New Roman" w:cs="Times New Roman"/>
                <w:sz w:val="24"/>
                <w:szCs w:val="24"/>
              </w:rPr>
            </w:pPr>
          </w:p>
          <w:p w:rsidR="00B832B9" w:rsidRPr="0096491E" w:rsidP="00B832B9" w14:paraId="362C604D" w14:textId="04FCDD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3,711</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D179C8" w14:paraId="5F774A2E" w14:textId="4061F6B5">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160 hrs.</w:t>
            </w:r>
          </w:p>
          <w:p w:rsidR="0096491E" w:rsidRPr="0096491E" w:rsidP="00D179C8" w14:paraId="7E65A93D"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$11,307.20</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tcPr>
          <w:p w:rsidR="0096491E" w:rsidRPr="0096491E" w:rsidP="00B832B9" w14:paraId="1D1A83E5" w14:textId="4E21F6AE">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593,760 hrs.</w:t>
            </w:r>
          </w:p>
          <w:p w:rsidR="0096491E" w:rsidRPr="0096491E" w:rsidP="00B832B9" w14:paraId="1D42B00D" w14:textId="77777777">
            <w:pPr>
              <w:spacing w:after="0" w:line="240" w:lineRule="auto"/>
              <w:jc w:val="center"/>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$41,961,019.20</w:t>
            </w:r>
          </w:p>
        </w:tc>
      </w:tr>
      <w:tr w14:paraId="67CF06A4" w14:textId="77777777" w:rsidTr="001C2EC7">
        <w:tblPrEx>
          <w:tblW w:w="9008" w:type="dxa"/>
          <w:tblLayout w:type="fixed"/>
          <w:tblCellMar>
            <w:left w:w="0" w:type="dxa"/>
            <w:right w:w="0" w:type="dxa"/>
          </w:tblCellMar>
          <w:tblLook w:val="04A0"/>
        </w:tblPrEx>
        <w:trPr>
          <w:trHeight w:val="780"/>
        </w:trPr>
        <w:tc>
          <w:tcPr>
            <w:tcW w:w="1487" w:type="dxa"/>
            <w:tcBorders>
              <w:top w:val="single" w:sz="6" w:space="0" w:color="auto"/>
              <w:left w:val="single" w:sz="6" w:space="0" w:color="auto"/>
              <w:bottom w:val="single" w:sz="6" w:space="0" w:color="auto"/>
              <w:right w:val="single" w:sz="6" w:space="0" w:color="auto"/>
            </w:tcBorders>
            <w:shd w:val="clear" w:color="auto" w:fill="auto"/>
            <w:hideMark/>
          </w:tcPr>
          <w:p w:rsidR="0096491E" w:rsidRPr="0096491E" w:rsidP="0096491E" w14:paraId="22738766"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b/>
                <w:bCs/>
                <w:sz w:val="24"/>
                <w:szCs w:val="24"/>
              </w:rPr>
              <w:t xml:space="preserve">FERC 725A Total </w:t>
            </w:r>
          </w:p>
          <w:p w:rsidR="0096491E" w:rsidRPr="0096491E" w:rsidP="0096491E" w14:paraId="451E1518" w14:textId="77777777">
            <w:pPr>
              <w:spacing w:after="0" w:line="240" w:lineRule="auto"/>
              <w:rPr>
                <w:rFonts w:ascii="Times New Roman" w:eastAsia="Times New Roman" w:hAnsi="Times New Roman" w:cs="Times New Roman"/>
                <w:sz w:val="24"/>
                <w:szCs w:val="24"/>
              </w:rPr>
            </w:pPr>
          </w:p>
        </w:tc>
        <w:tc>
          <w:tcPr>
            <w:tcW w:w="1221"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2E1C06AC"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w:t>
            </w:r>
          </w:p>
        </w:tc>
        <w:tc>
          <w:tcPr>
            <w:tcW w:w="1440"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0438BCDE"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w:t>
            </w:r>
          </w:p>
        </w:tc>
        <w:tc>
          <w:tcPr>
            <w:tcW w:w="1350"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96491E" w:rsidRPr="0096491E" w:rsidP="0096491E" w14:paraId="0FB255F6" w14:textId="77777777">
            <w:pPr>
              <w:spacing w:after="0" w:line="240" w:lineRule="auto"/>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w:t>
            </w:r>
          </w:p>
        </w:tc>
        <w:tc>
          <w:tcPr>
            <w:tcW w:w="1620" w:type="dxa"/>
            <w:tcBorders>
              <w:top w:val="single" w:sz="6" w:space="0" w:color="auto"/>
              <w:left w:val="single" w:sz="6" w:space="0" w:color="auto"/>
              <w:bottom w:val="single" w:sz="6" w:space="0" w:color="auto"/>
              <w:right w:val="single" w:sz="6" w:space="0" w:color="auto"/>
            </w:tcBorders>
            <w:shd w:val="clear" w:color="auto" w:fill="BFBFBF"/>
            <w:vAlign w:val="bottom"/>
            <w:hideMark/>
          </w:tcPr>
          <w:p w:rsidR="0096491E" w:rsidRPr="0096491E" w:rsidP="00D179C8" w14:paraId="47987284"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w:t>
            </w:r>
          </w:p>
        </w:tc>
        <w:tc>
          <w:tcPr>
            <w:tcW w:w="189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6491E" w:rsidRPr="0096491E" w:rsidP="0096491E" w14:paraId="3E6E1BFA"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 xml:space="preserve">                1,103,040 hrs. </w:t>
            </w:r>
          </w:p>
          <w:p w:rsidR="0096491E" w:rsidRPr="0096491E" w:rsidP="0096491E" w14:paraId="2134207C" w14:textId="77777777">
            <w:pPr>
              <w:spacing w:after="0" w:line="240" w:lineRule="auto"/>
              <w:jc w:val="right"/>
              <w:rPr>
                <w:rFonts w:ascii="Times New Roman" w:eastAsia="Times New Roman" w:hAnsi="Times New Roman" w:cs="Times New Roman"/>
                <w:sz w:val="24"/>
                <w:szCs w:val="24"/>
              </w:rPr>
            </w:pPr>
            <w:r w:rsidRPr="0096491E">
              <w:rPr>
                <w:rFonts w:ascii="Times New Roman" w:eastAsia="Times New Roman" w:hAnsi="Times New Roman" w:cs="Times New Roman"/>
                <w:sz w:val="24"/>
                <w:szCs w:val="24"/>
              </w:rPr>
              <w:t>$77,951,836.80</w:t>
            </w:r>
          </w:p>
        </w:tc>
      </w:tr>
    </w:tbl>
    <w:p w:rsidR="00B356F5" w:rsidP="00553DAE" w14:paraId="521B3A8E" w14:textId="77777777">
      <w:pPr>
        <w:pStyle w:val="ListParagraph"/>
        <w:spacing w:after="0" w:line="240" w:lineRule="auto"/>
        <w:ind w:left="360"/>
        <w:rPr>
          <w:rFonts w:ascii="Times New Roman" w:hAnsi="Times New Roman" w:cs="Times New Roman"/>
          <w:b/>
          <w:sz w:val="24"/>
          <w:szCs w:val="24"/>
        </w:rPr>
      </w:pPr>
    </w:p>
    <w:p w:rsidR="00D80FBD" w:rsidRPr="00BD0FD5" w:rsidP="0092596C" w14:paraId="6E56DD0C" w14:textId="1A024B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 OF THE TOTAL ANNUAL COST BURDEN TO RESPONDENTS</w:t>
      </w:r>
    </w:p>
    <w:p w:rsidR="00E636D7" w:rsidRPr="00BD0FD5" w:rsidP="0092596C" w14:paraId="156AFB31" w14:textId="77777777">
      <w:pPr>
        <w:spacing w:after="0" w:line="240" w:lineRule="auto"/>
        <w:rPr>
          <w:rFonts w:ascii="Times New Roman" w:hAnsi="Times New Roman" w:cs="Times New Roman"/>
          <w:sz w:val="24"/>
          <w:szCs w:val="24"/>
        </w:rPr>
      </w:pPr>
    </w:p>
    <w:p w:rsidR="004552E9" w:rsidRPr="00BD0FD5" w:rsidP="0092596C" w14:paraId="44333495" w14:textId="77777777">
      <w:pPr>
        <w:spacing w:after="0" w:line="240" w:lineRule="auto"/>
        <w:rPr>
          <w:rFonts w:ascii="Times New Roman" w:hAnsi="Times New Roman"/>
          <w:sz w:val="24"/>
          <w:szCs w:val="24"/>
        </w:rPr>
      </w:pPr>
      <w:r w:rsidRPr="00BD0FD5">
        <w:rPr>
          <w:rFonts w:ascii="Times New Roman" w:hAnsi="Times New Roman"/>
          <w:sz w:val="24"/>
          <w:szCs w:val="24"/>
        </w:rPr>
        <w:t xml:space="preserve">There is no start-up or other non-labor hour cost associated with </w:t>
      </w:r>
      <w:r w:rsidRPr="00BD0FD5" w:rsidR="006A5231">
        <w:rPr>
          <w:rFonts w:ascii="Times New Roman" w:hAnsi="Times New Roman"/>
          <w:sz w:val="24"/>
          <w:szCs w:val="24"/>
        </w:rPr>
        <w:t>this collection</w:t>
      </w:r>
      <w:r w:rsidRPr="00BD0FD5">
        <w:rPr>
          <w:rFonts w:ascii="Times New Roman" w:hAnsi="Times New Roman"/>
          <w:sz w:val="24"/>
          <w:szCs w:val="24"/>
        </w:rPr>
        <w:t xml:space="preserve">.  </w:t>
      </w:r>
    </w:p>
    <w:p w:rsidR="00E636D7" w:rsidRPr="00BD0FD5" w:rsidP="0092596C" w14:paraId="7B75114A" w14:textId="77777777">
      <w:pPr>
        <w:spacing w:after="0" w:line="240" w:lineRule="auto"/>
        <w:rPr>
          <w:rFonts w:ascii="Times New Roman" w:hAnsi="Times New Roman" w:cs="Times New Roman"/>
          <w:sz w:val="24"/>
          <w:szCs w:val="24"/>
        </w:rPr>
      </w:pPr>
    </w:p>
    <w:p w:rsidR="00E636D7" w:rsidRPr="00BD0FD5" w:rsidP="0092596C" w14:paraId="552549EE"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ESTIMATED ANNUALIZED COST TO FEDERAL GOVERNMENT</w:t>
      </w:r>
    </w:p>
    <w:p w:rsidR="00A276F5" w:rsidRPr="00BD0FD5" w:rsidP="0092596C" w14:paraId="129207A8" w14:textId="77777777">
      <w:pPr>
        <w:spacing w:after="0" w:line="240" w:lineRule="auto"/>
        <w:rPr>
          <w:rFonts w:ascii="Times New Roman" w:hAnsi="Times New Roman" w:cs="Times New Roman"/>
          <w:sz w:val="24"/>
          <w:szCs w:val="24"/>
        </w:rPr>
      </w:pPr>
    </w:p>
    <w:p w:rsidR="001B66CF" w:rsidRPr="005D02C5" w:rsidP="001B66CF" w14:paraId="20A89DBE" w14:textId="77777777">
      <w:pPr>
        <w:spacing w:after="0" w:line="240" w:lineRule="auto"/>
        <w:rPr>
          <w:rFonts w:ascii="Times New Roman" w:eastAsia="Calibri" w:hAnsi="Times New Roman" w:cs="Times New Roman"/>
          <w:sz w:val="24"/>
          <w:szCs w:val="24"/>
        </w:rPr>
      </w:pPr>
      <w:bookmarkStart w:id="3" w:name="_Hlk157654709"/>
      <w:r w:rsidRPr="005D02C5">
        <w:rPr>
          <w:rFonts w:ascii="Times New Roman" w:eastAsia="Calibri" w:hAnsi="Times New Roman" w:cs="Times New Roman"/>
          <w:sz w:val="24"/>
          <w:szCs w:val="24"/>
        </w:rPr>
        <w:t>The estimate of the cost for ‘analysis and processing of filings’</w:t>
      </w:r>
      <w:r>
        <w:rPr>
          <w:rFonts w:ascii="Times New Roman" w:eastAsia="Calibri" w:hAnsi="Times New Roman" w:cs="Times New Roman"/>
          <w:sz w:val="24"/>
          <w:szCs w:val="24"/>
          <w:vertAlign w:val="superscript"/>
        </w:rPr>
        <w:footnoteReference w:id="24"/>
      </w:r>
      <w:r w:rsidRPr="005D02C5">
        <w:rPr>
          <w:rFonts w:ascii="Times New Roman" w:eastAsia="Calibri" w:hAnsi="Times New Roman" w:cs="Times New Roman"/>
          <w:sz w:val="24"/>
          <w:szCs w:val="24"/>
          <w:vertAlign w:val="superscript"/>
        </w:rPr>
        <w:t xml:space="preserve"> </w:t>
      </w:r>
      <w:r w:rsidRPr="005D02C5">
        <w:rPr>
          <w:rFonts w:ascii="Times New Roman" w:eastAsia="Calibri" w:hAnsi="Times New Roman" w:cs="Times New Roman"/>
          <w:sz w:val="24"/>
          <w:szCs w:val="24"/>
        </w:rPr>
        <w:t xml:space="preserve">is based on salaries and benefits for professional and clerical support.  </w:t>
      </w:r>
      <w:bookmarkEnd w:id="3"/>
      <w:r w:rsidRPr="005D02C5">
        <w:rPr>
          <w:rFonts w:ascii="Times New Roman" w:eastAsia="Calibri" w:hAnsi="Times New Roman" w:cs="Times New Roman"/>
          <w:sz w:val="24"/>
          <w:szCs w:val="24"/>
        </w:rPr>
        <w:t xml:space="preserve">This estimated cost represents staff analysis, decision-making, and review of any actual filings submitted in response to the information collection.  </w:t>
      </w:r>
    </w:p>
    <w:p w:rsidR="001B66CF" w:rsidRPr="005D02C5" w:rsidP="001B66CF" w14:paraId="7FB8557D" w14:textId="77777777">
      <w:pPr>
        <w:spacing w:after="0" w:line="240" w:lineRule="auto"/>
        <w:rPr>
          <w:rFonts w:ascii="Times New Roman" w:eastAsia="Calibri" w:hAnsi="Times New Roman" w:cs="Times New Roman"/>
          <w:sz w:val="24"/>
          <w:szCs w:val="24"/>
        </w:rPr>
      </w:pPr>
    </w:p>
    <w:p w:rsidR="001B66CF" w:rsidRPr="005D02C5" w:rsidP="001B66CF" w14:paraId="5DB4A9F3" w14:textId="77777777">
      <w:pPr>
        <w:spacing w:after="0" w:line="240" w:lineRule="auto"/>
        <w:rPr>
          <w:rFonts w:ascii="Times New Roman" w:eastAsia="Calibri" w:hAnsi="Times New Roman" w:cs="Times New Roman"/>
          <w:sz w:val="24"/>
          <w:szCs w:val="24"/>
        </w:rPr>
      </w:pPr>
      <w:r w:rsidRPr="005D02C5">
        <w:rPr>
          <w:rFonts w:ascii="Times New Roman" w:eastAsia="Calibri" w:hAnsi="Times New Roman" w:cs="Times New Roman"/>
          <w:sz w:val="24"/>
          <w:szCs w:val="24"/>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1B66CF" w:rsidRPr="005D02C5" w:rsidP="001B66CF" w14:paraId="76E8ADC2"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3985"/>
      </w:tblGrid>
      <w:tr w14:paraId="6E059B37" w14:textId="77777777" w:rsidTr="007C5EB4">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1B66CF" w:rsidRPr="005D02C5" w:rsidP="001B66CF" w14:paraId="575EED8D" w14:textId="77777777">
            <w:pPr>
              <w:autoSpaceDE w:val="0"/>
              <w:autoSpaceDN w:val="0"/>
              <w:adjustRightInd w:val="0"/>
              <w:spacing w:after="0" w:line="240" w:lineRule="auto"/>
              <w:rPr>
                <w:rFonts w:ascii="Times New Roman" w:eastAsia="Times New Roman" w:hAnsi="Times New Roman" w:cs="Times New Roman"/>
                <w:sz w:val="24"/>
                <w:szCs w:val="24"/>
              </w:rPr>
            </w:pPr>
          </w:p>
        </w:tc>
        <w:tc>
          <w:tcPr>
            <w:tcW w:w="3201" w:type="dxa"/>
            <w:shd w:val="clear" w:color="auto" w:fill="CCCCCC"/>
          </w:tcPr>
          <w:p w:rsidR="001B66CF" w:rsidRPr="005D02C5" w:rsidP="001B66CF" w14:paraId="6FCC20A6" w14:textId="77777777">
            <w:pPr>
              <w:autoSpaceDE w:val="0"/>
              <w:autoSpaceDN w:val="0"/>
              <w:adjustRightInd w:val="0"/>
              <w:spacing w:after="0" w:line="240" w:lineRule="auto"/>
              <w:rPr>
                <w:rFonts w:ascii="Times New Roman" w:eastAsia="Times New Roman" w:hAnsi="Times New Roman" w:cs="Times New Roman"/>
                <w:b/>
                <w:sz w:val="24"/>
                <w:szCs w:val="24"/>
              </w:rPr>
            </w:pPr>
            <w:r w:rsidRPr="005D02C5">
              <w:rPr>
                <w:rFonts w:ascii="Times New Roman" w:eastAsia="Times New Roman" w:hAnsi="Times New Roman" w:cs="Times New Roman"/>
                <w:b/>
                <w:sz w:val="24"/>
                <w:szCs w:val="24"/>
              </w:rPr>
              <w:t>Number of Employees (FTEs)</w:t>
            </w:r>
          </w:p>
        </w:tc>
        <w:tc>
          <w:tcPr>
            <w:tcW w:w="3985" w:type="dxa"/>
            <w:shd w:val="clear" w:color="auto" w:fill="CCCCCC"/>
          </w:tcPr>
          <w:p w:rsidR="001B66CF" w:rsidRPr="005D02C5" w:rsidP="001B66CF" w14:paraId="050D65C3" w14:textId="77777777">
            <w:pPr>
              <w:autoSpaceDE w:val="0"/>
              <w:autoSpaceDN w:val="0"/>
              <w:adjustRightInd w:val="0"/>
              <w:spacing w:after="0" w:line="240" w:lineRule="auto"/>
              <w:rPr>
                <w:rFonts w:ascii="Times New Roman" w:eastAsia="Times New Roman" w:hAnsi="Times New Roman" w:cs="Times New Roman"/>
                <w:b/>
                <w:sz w:val="24"/>
                <w:szCs w:val="24"/>
              </w:rPr>
            </w:pPr>
            <w:r w:rsidRPr="005D02C5">
              <w:rPr>
                <w:rFonts w:ascii="Times New Roman" w:eastAsia="Times New Roman" w:hAnsi="Times New Roman" w:cs="Times New Roman"/>
                <w:b/>
                <w:sz w:val="24"/>
                <w:szCs w:val="24"/>
              </w:rPr>
              <w:t>Estimated Annual Federal Cost</w:t>
            </w:r>
          </w:p>
        </w:tc>
      </w:tr>
      <w:tr w14:paraId="42CA9A47" w14:textId="77777777" w:rsidTr="00952F08">
        <w:tblPrEx>
          <w:tblW w:w="10368" w:type="dxa"/>
          <w:tblLook w:val="01E0"/>
        </w:tblPrEx>
        <w:trPr>
          <w:trHeight w:val="377"/>
        </w:trPr>
        <w:tc>
          <w:tcPr>
            <w:tcW w:w="3182" w:type="dxa"/>
            <w:shd w:val="clear" w:color="auto" w:fill="auto"/>
          </w:tcPr>
          <w:p w:rsidR="001B66CF" w:rsidRPr="005D02C5" w:rsidP="001B66CF" w14:paraId="682081B7" w14:textId="77777777">
            <w:pPr>
              <w:autoSpaceDE w:val="0"/>
              <w:autoSpaceDN w:val="0"/>
              <w:adjustRightInd w:val="0"/>
              <w:spacing w:after="0" w:line="240" w:lineRule="auto"/>
              <w:rPr>
                <w:rFonts w:ascii="Times New Roman" w:eastAsia="Times New Roman" w:hAnsi="Times New Roman" w:cs="Times New Roman"/>
                <w:sz w:val="24"/>
                <w:szCs w:val="24"/>
              </w:rPr>
            </w:pPr>
            <w:r w:rsidRPr="005D02C5">
              <w:rPr>
                <w:rFonts w:ascii="Times New Roman" w:eastAsia="Times New Roman" w:hAnsi="Times New Roman" w:cs="Times New Roman"/>
                <w:sz w:val="24"/>
                <w:szCs w:val="24"/>
              </w:rPr>
              <w:t>Analysis and Processing of filings</w:t>
            </w:r>
          </w:p>
        </w:tc>
        <w:tc>
          <w:tcPr>
            <w:tcW w:w="3201" w:type="dxa"/>
            <w:shd w:val="clear" w:color="auto" w:fill="auto"/>
            <w:vAlign w:val="center"/>
          </w:tcPr>
          <w:p w:rsidR="001B66CF" w:rsidRPr="005D02C5" w:rsidP="001B66CF" w14:paraId="421D49AF" w14:textId="6CDE7F74">
            <w:pPr>
              <w:autoSpaceDE w:val="0"/>
              <w:autoSpaceDN w:val="0"/>
              <w:adjustRightInd w:val="0"/>
              <w:spacing w:after="0" w:line="240" w:lineRule="auto"/>
              <w:jc w:val="right"/>
              <w:rPr>
                <w:rFonts w:ascii="Times New Roman" w:eastAsia="Times New Roman" w:hAnsi="Times New Roman" w:cs="Times New Roman"/>
                <w:sz w:val="24"/>
                <w:szCs w:val="24"/>
              </w:rPr>
            </w:pPr>
            <w:r w:rsidRPr="005D02C5">
              <w:rPr>
                <w:rFonts w:ascii="Times New Roman" w:eastAsia="Times New Roman" w:hAnsi="Times New Roman" w:cs="Times New Roman"/>
                <w:sz w:val="24"/>
                <w:szCs w:val="24"/>
              </w:rPr>
              <w:t>0</w:t>
            </w:r>
          </w:p>
        </w:tc>
        <w:tc>
          <w:tcPr>
            <w:tcW w:w="3985" w:type="dxa"/>
            <w:shd w:val="clear" w:color="auto" w:fill="auto"/>
            <w:vAlign w:val="center"/>
          </w:tcPr>
          <w:p w:rsidR="001B66CF" w:rsidRPr="005D02C5" w:rsidP="001B66CF" w14:paraId="78A0903E" w14:textId="172DFA8F">
            <w:pPr>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5D02C5">
              <w:rPr>
                <w:rFonts w:ascii="Times New Roman" w:eastAsia="Times New Roman" w:hAnsi="Times New Roman" w:cs="Times New Roman"/>
                <w:sz w:val="24"/>
                <w:szCs w:val="24"/>
              </w:rPr>
              <w:t>$0</w:t>
            </w:r>
          </w:p>
        </w:tc>
      </w:tr>
      <w:tr w14:paraId="2BC4BA8A" w14:textId="77777777" w:rsidTr="007C5EB4">
        <w:tblPrEx>
          <w:tblW w:w="10368" w:type="dxa"/>
          <w:tblLook w:val="01E0"/>
        </w:tblPrEx>
        <w:tc>
          <w:tcPr>
            <w:tcW w:w="3182" w:type="dxa"/>
            <w:shd w:val="clear" w:color="auto" w:fill="auto"/>
          </w:tcPr>
          <w:p w:rsidR="001B66CF" w:rsidRPr="005D02C5" w:rsidP="001B66CF" w14:paraId="718D6417" w14:textId="77777777">
            <w:pPr>
              <w:autoSpaceDE w:val="0"/>
              <w:autoSpaceDN w:val="0"/>
              <w:adjustRightInd w:val="0"/>
              <w:spacing w:after="0" w:line="240" w:lineRule="auto"/>
              <w:rPr>
                <w:rFonts w:ascii="Times New Roman" w:eastAsia="Times New Roman" w:hAnsi="Times New Roman" w:cs="Times New Roman"/>
                <w:sz w:val="24"/>
                <w:szCs w:val="24"/>
              </w:rPr>
            </w:pPr>
            <w:r w:rsidRPr="005D02C5">
              <w:rPr>
                <w:rFonts w:ascii="Times New Roman" w:eastAsia="Times New Roman" w:hAnsi="Times New Roman" w:cs="Times New Roman"/>
                <w:sz w:val="24"/>
                <w:szCs w:val="24"/>
              </w:rPr>
              <w:t>PRA Administrative Cost</w:t>
            </w:r>
          </w:p>
        </w:tc>
        <w:tc>
          <w:tcPr>
            <w:tcW w:w="3201" w:type="dxa"/>
            <w:shd w:val="clear" w:color="auto" w:fill="auto"/>
            <w:vAlign w:val="center"/>
          </w:tcPr>
          <w:p w:rsidR="001B66CF" w:rsidRPr="005D02C5" w:rsidP="001B66CF" w14:paraId="5845BF70" w14:textId="77777777">
            <w:pPr>
              <w:autoSpaceDE w:val="0"/>
              <w:autoSpaceDN w:val="0"/>
              <w:adjustRightInd w:val="0"/>
              <w:spacing w:after="0" w:line="240" w:lineRule="auto"/>
              <w:jc w:val="right"/>
              <w:rPr>
                <w:rFonts w:ascii="Times New Roman" w:eastAsia="Times New Roman" w:hAnsi="Times New Roman" w:cs="Times New Roman"/>
                <w:sz w:val="24"/>
                <w:szCs w:val="24"/>
              </w:rPr>
            </w:pPr>
          </w:p>
        </w:tc>
        <w:tc>
          <w:tcPr>
            <w:tcW w:w="3985" w:type="dxa"/>
            <w:shd w:val="clear" w:color="auto" w:fill="auto"/>
            <w:vAlign w:val="center"/>
          </w:tcPr>
          <w:p w:rsidR="001B66CF" w:rsidRPr="005D02C5" w:rsidP="001B66CF" w14:paraId="06CE19E9" w14:textId="17AA09B5">
            <w:pPr>
              <w:autoSpaceDE w:val="0"/>
              <w:autoSpaceDN w:val="0"/>
              <w:adjustRightInd w:val="0"/>
              <w:spacing w:after="0" w:line="240" w:lineRule="auto"/>
              <w:jc w:val="right"/>
              <w:rPr>
                <w:rFonts w:ascii="Times New Roman" w:eastAsia="Times New Roman" w:hAnsi="Times New Roman" w:cs="Times New Roman"/>
                <w:sz w:val="24"/>
                <w:szCs w:val="24"/>
              </w:rPr>
            </w:pPr>
            <w:r w:rsidRPr="005D02C5">
              <w:rPr>
                <w:rFonts w:ascii="Times New Roman" w:eastAsia="Times New Roman" w:hAnsi="Times New Roman" w:cs="Times New Roman"/>
                <w:sz w:val="24"/>
                <w:szCs w:val="24"/>
              </w:rPr>
              <w:t>$</w:t>
            </w:r>
            <w:r w:rsidRPr="005D02C5" w:rsidR="00952F08">
              <w:rPr>
                <w:rFonts w:ascii="Times New Roman" w:eastAsia="Times New Roman" w:hAnsi="Times New Roman" w:cs="Times New Roman"/>
                <w:sz w:val="24"/>
                <w:szCs w:val="24"/>
              </w:rPr>
              <w:t>8,</w:t>
            </w:r>
            <w:r w:rsidRPr="005D02C5" w:rsidR="009F357D">
              <w:rPr>
                <w:rFonts w:ascii="Times New Roman" w:eastAsia="Times New Roman" w:hAnsi="Times New Roman" w:cs="Times New Roman"/>
                <w:sz w:val="24"/>
                <w:szCs w:val="24"/>
              </w:rPr>
              <w:t>396</w:t>
            </w:r>
          </w:p>
        </w:tc>
      </w:tr>
      <w:tr w14:paraId="6B8F4D89" w14:textId="77777777" w:rsidTr="007C5EB4">
        <w:tblPrEx>
          <w:tblW w:w="10368" w:type="dxa"/>
          <w:tblLook w:val="01E0"/>
        </w:tblPrEx>
        <w:tc>
          <w:tcPr>
            <w:tcW w:w="3182" w:type="dxa"/>
            <w:shd w:val="clear" w:color="auto" w:fill="auto"/>
          </w:tcPr>
          <w:p w:rsidR="001B66CF" w:rsidRPr="005D02C5" w:rsidP="001B66CF" w14:paraId="35351122" w14:textId="77777777">
            <w:pPr>
              <w:autoSpaceDE w:val="0"/>
              <w:autoSpaceDN w:val="0"/>
              <w:adjustRightInd w:val="0"/>
              <w:spacing w:after="0" w:line="240" w:lineRule="auto"/>
              <w:rPr>
                <w:rFonts w:ascii="Times New Roman" w:eastAsia="Times New Roman" w:hAnsi="Times New Roman" w:cs="Times New Roman"/>
                <w:b/>
                <w:sz w:val="24"/>
                <w:szCs w:val="24"/>
              </w:rPr>
            </w:pPr>
            <w:r w:rsidRPr="005D02C5">
              <w:rPr>
                <w:rFonts w:ascii="Times New Roman" w:eastAsia="Times New Roman" w:hAnsi="Times New Roman" w:cs="Times New Roman"/>
                <w:b/>
                <w:sz w:val="24"/>
                <w:szCs w:val="24"/>
              </w:rPr>
              <w:t>FERC Total</w:t>
            </w:r>
          </w:p>
        </w:tc>
        <w:tc>
          <w:tcPr>
            <w:tcW w:w="3201" w:type="dxa"/>
            <w:shd w:val="clear" w:color="auto" w:fill="auto"/>
            <w:vAlign w:val="center"/>
          </w:tcPr>
          <w:p w:rsidR="001B66CF" w:rsidRPr="005D02C5" w:rsidP="001B66CF" w14:paraId="4FDF0664" w14:textId="77777777">
            <w:pPr>
              <w:autoSpaceDE w:val="0"/>
              <w:autoSpaceDN w:val="0"/>
              <w:adjustRightInd w:val="0"/>
              <w:spacing w:after="0" w:line="240" w:lineRule="auto"/>
              <w:jc w:val="right"/>
              <w:rPr>
                <w:rFonts w:ascii="Times New Roman" w:eastAsia="Times New Roman" w:hAnsi="Times New Roman" w:cs="Times New Roman"/>
                <w:sz w:val="24"/>
                <w:szCs w:val="24"/>
              </w:rPr>
            </w:pPr>
          </w:p>
        </w:tc>
        <w:tc>
          <w:tcPr>
            <w:tcW w:w="3985" w:type="dxa"/>
            <w:shd w:val="clear" w:color="auto" w:fill="auto"/>
            <w:vAlign w:val="center"/>
          </w:tcPr>
          <w:p w:rsidR="001B66CF" w:rsidRPr="005D02C5" w:rsidP="001B66CF" w14:paraId="3A04F748" w14:textId="6648516F">
            <w:pPr>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5D02C5">
              <w:rPr>
                <w:rFonts w:ascii="Times New Roman" w:eastAsia="Times New Roman" w:hAnsi="Times New Roman" w:cs="Times New Roman"/>
                <w:sz w:val="24"/>
                <w:szCs w:val="24"/>
              </w:rPr>
              <w:t>$</w:t>
            </w:r>
            <w:r w:rsidRPr="005D02C5" w:rsidR="00952F08">
              <w:rPr>
                <w:rFonts w:ascii="Times New Roman" w:eastAsia="Times New Roman" w:hAnsi="Times New Roman" w:cs="Times New Roman"/>
                <w:sz w:val="24"/>
                <w:szCs w:val="24"/>
              </w:rPr>
              <w:t>8,</w:t>
            </w:r>
            <w:r w:rsidRPr="005D02C5" w:rsidR="009F357D">
              <w:rPr>
                <w:rFonts w:ascii="Times New Roman" w:eastAsia="Times New Roman" w:hAnsi="Times New Roman" w:cs="Times New Roman"/>
                <w:sz w:val="24"/>
                <w:szCs w:val="24"/>
              </w:rPr>
              <w:t>396</w:t>
            </w:r>
          </w:p>
        </w:tc>
      </w:tr>
    </w:tbl>
    <w:p w:rsidR="001B66CF" w:rsidRPr="001B66CF" w:rsidP="001B66CF" w14:paraId="739E6C70" w14:textId="77777777">
      <w:pPr>
        <w:autoSpaceDE w:val="0"/>
        <w:autoSpaceDN w:val="0"/>
        <w:adjustRightInd w:val="0"/>
        <w:spacing w:after="0" w:line="240" w:lineRule="auto"/>
        <w:rPr>
          <w:rFonts w:ascii="Times New Roman" w:eastAsia="Times New Roman" w:hAnsi="Times New Roman" w:cs="Times New Roman"/>
          <w:sz w:val="26"/>
          <w:szCs w:val="26"/>
        </w:rPr>
      </w:pPr>
    </w:p>
    <w:p w:rsidR="00A276F5" w:rsidP="0092596C" w14:paraId="73EF5D58" w14:textId="16C7EEC3">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REASONS FOR CHANGES IN BURDEN INCLUDING THE NEED FOR ANY INCREASE</w:t>
      </w:r>
    </w:p>
    <w:p w:rsidR="007F1AC1" w:rsidP="007F1AC1" w14:paraId="0F1F5B93" w14:textId="008EE442">
      <w:pPr>
        <w:spacing w:after="0" w:line="240" w:lineRule="auto"/>
        <w:rPr>
          <w:rFonts w:ascii="Times New Roman" w:hAnsi="Times New Roman" w:cs="Times New Roman"/>
          <w:b/>
          <w:sz w:val="24"/>
          <w:szCs w:val="24"/>
        </w:rPr>
      </w:pPr>
    </w:p>
    <w:p w:rsidR="0092596C" w:rsidP="0092596C" w14:paraId="4AE01BB6" w14:textId="1347B11A">
      <w:pPr>
        <w:spacing w:after="0" w:line="240" w:lineRule="auto"/>
        <w:rPr>
          <w:rFonts w:ascii="Times New Roman" w:hAnsi="Times New Roman" w:cs="Times New Roman"/>
          <w:bCs/>
          <w:sz w:val="24"/>
          <w:szCs w:val="24"/>
        </w:rPr>
      </w:pPr>
      <w:r w:rsidRPr="007F1AC1">
        <w:rPr>
          <w:rFonts w:ascii="Times New Roman" w:hAnsi="Times New Roman" w:cs="Times New Roman"/>
          <w:bCs/>
          <w:sz w:val="24"/>
          <w:szCs w:val="24"/>
        </w:rPr>
        <w:t xml:space="preserve">The net changes for </w:t>
      </w:r>
      <w:r w:rsidR="0096491E">
        <w:rPr>
          <w:rFonts w:ascii="Times New Roman" w:hAnsi="Times New Roman" w:cs="Times New Roman"/>
          <w:bCs/>
          <w:sz w:val="24"/>
          <w:szCs w:val="24"/>
        </w:rPr>
        <w:t>725A</w:t>
      </w:r>
      <w:r w:rsidRPr="007F1AC1">
        <w:rPr>
          <w:rFonts w:ascii="Times New Roman" w:hAnsi="Times New Roman" w:cs="Times New Roman"/>
          <w:bCs/>
          <w:sz w:val="24"/>
          <w:szCs w:val="24"/>
        </w:rPr>
        <w:t xml:space="preserve">, </w:t>
      </w:r>
      <w:r w:rsidR="0096491E">
        <w:rPr>
          <w:rFonts w:ascii="Times New Roman" w:hAnsi="Times New Roman" w:cs="Times New Roman"/>
          <w:bCs/>
          <w:sz w:val="24"/>
          <w:szCs w:val="24"/>
        </w:rPr>
        <w:t>any</w:t>
      </w:r>
      <w:r w:rsidR="00C754A4">
        <w:rPr>
          <w:rFonts w:ascii="Times New Roman" w:hAnsi="Times New Roman" w:cs="Times New Roman"/>
          <w:bCs/>
          <w:sz w:val="24"/>
          <w:szCs w:val="24"/>
        </w:rPr>
        <w:t xml:space="preserve"> further adjustments in the total are due to fluctuations</w:t>
      </w:r>
      <w:r w:rsidR="00B832B9">
        <w:rPr>
          <w:rFonts w:ascii="Times New Roman" w:hAnsi="Times New Roman" w:cs="Times New Roman"/>
          <w:bCs/>
          <w:sz w:val="24"/>
          <w:szCs w:val="24"/>
        </w:rPr>
        <w:t xml:space="preserve">, transfer, removal, streamlining collections </w:t>
      </w:r>
      <w:r w:rsidR="00C754A4">
        <w:rPr>
          <w:rFonts w:ascii="Times New Roman" w:hAnsi="Times New Roman" w:cs="Times New Roman"/>
          <w:bCs/>
          <w:sz w:val="24"/>
          <w:szCs w:val="24"/>
        </w:rPr>
        <w:t xml:space="preserve">in industry and corrections of the estimates. </w:t>
      </w:r>
      <w:r w:rsidR="004A4647">
        <w:rPr>
          <w:rFonts w:ascii="Times New Roman" w:hAnsi="Times New Roman" w:cs="Times New Roman"/>
          <w:bCs/>
          <w:sz w:val="24"/>
          <w:szCs w:val="24"/>
        </w:rPr>
        <w:t xml:space="preserve">Previously approved </w:t>
      </w:r>
      <w:r w:rsidR="00416A69">
        <w:rPr>
          <w:rFonts w:ascii="Times New Roman" w:hAnsi="Times New Roman" w:cs="Times New Roman"/>
          <w:bCs/>
          <w:sz w:val="24"/>
          <w:szCs w:val="24"/>
        </w:rPr>
        <w:t>7,290</w:t>
      </w:r>
      <w:r w:rsidR="004A4647">
        <w:rPr>
          <w:rFonts w:ascii="Times New Roman" w:hAnsi="Times New Roman" w:cs="Times New Roman"/>
          <w:bCs/>
          <w:sz w:val="24"/>
          <w:szCs w:val="24"/>
        </w:rPr>
        <w:t xml:space="preserve"> respondents and </w:t>
      </w:r>
      <w:r w:rsidR="00553DAE">
        <w:rPr>
          <w:rFonts w:ascii="Times New Roman" w:hAnsi="Times New Roman" w:cs="Times New Roman"/>
          <w:bCs/>
          <w:sz w:val="24"/>
          <w:szCs w:val="24"/>
        </w:rPr>
        <w:t>1,</w:t>
      </w:r>
      <w:r w:rsidR="00416A69">
        <w:rPr>
          <w:rFonts w:ascii="Times New Roman" w:hAnsi="Times New Roman" w:cs="Times New Roman"/>
          <w:bCs/>
          <w:sz w:val="24"/>
          <w:szCs w:val="24"/>
        </w:rPr>
        <w:t xml:space="preserve">407,238 </w:t>
      </w:r>
      <w:r w:rsidR="004A4647">
        <w:rPr>
          <w:rFonts w:ascii="Times New Roman" w:hAnsi="Times New Roman" w:cs="Times New Roman"/>
          <w:bCs/>
          <w:sz w:val="24"/>
          <w:szCs w:val="24"/>
        </w:rPr>
        <w:t xml:space="preserve">hrs.  Currently, </w:t>
      </w:r>
      <w:r w:rsidR="00416A69">
        <w:rPr>
          <w:rFonts w:ascii="Times New Roman" w:hAnsi="Times New Roman" w:cs="Times New Roman"/>
          <w:bCs/>
          <w:sz w:val="24"/>
          <w:szCs w:val="24"/>
        </w:rPr>
        <w:t xml:space="preserve">665 </w:t>
      </w:r>
      <w:r w:rsidR="004A4647">
        <w:rPr>
          <w:rFonts w:ascii="Times New Roman" w:hAnsi="Times New Roman" w:cs="Times New Roman"/>
          <w:bCs/>
          <w:sz w:val="24"/>
          <w:szCs w:val="24"/>
        </w:rPr>
        <w:t xml:space="preserve">responses and </w:t>
      </w:r>
      <w:r w:rsidR="00416A69">
        <w:rPr>
          <w:rFonts w:ascii="Times New Roman" w:hAnsi="Times New Roman" w:cs="Times New Roman"/>
          <w:bCs/>
          <w:sz w:val="24"/>
          <w:szCs w:val="24"/>
        </w:rPr>
        <w:t>-304,198</w:t>
      </w:r>
      <w:r w:rsidR="004A4647">
        <w:rPr>
          <w:rFonts w:ascii="Times New Roman" w:hAnsi="Times New Roman" w:cs="Times New Roman"/>
          <w:bCs/>
          <w:sz w:val="24"/>
          <w:szCs w:val="24"/>
        </w:rPr>
        <w:t xml:space="preserve"> hrs</w:t>
      </w:r>
      <w:r w:rsidR="00D15902">
        <w:rPr>
          <w:rFonts w:ascii="Times New Roman" w:hAnsi="Times New Roman" w:cs="Times New Roman"/>
          <w:bCs/>
          <w:sz w:val="24"/>
          <w:szCs w:val="24"/>
        </w:rPr>
        <w:t xml:space="preserve">. </w:t>
      </w:r>
      <w:r w:rsidR="004E4E81">
        <w:rPr>
          <w:rFonts w:ascii="Times New Roman" w:hAnsi="Times New Roman" w:cs="Times New Roman"/>
          <w:bCs/>
          <w:sz w:val="24"/>
          <w:szCs w:val="24"/>
        </w:rPr>
        <w:t>are</w:t>
      </w:r>
      <w:r w:rsidR="00AF1EB6">
        <w:rPr>
          <w:rFonts w:ascii="Times New Roman" w:hAnsi="Times New Roman" w:cs="Times New Roman"/>
          <w:bCs/>
          <w:sz w:val="24"/>
          <w:szCs w:val="24"/>
        </w:rPr>
        <w:t xml:space="preserve"> an</w:t>
      </w:r>
      <w:r w:rsidR="004E4E81">
        <w:rPr>
          <w:rFonts w:ascii="Times New Roman" w:hAnsi="Times New Roman" w:cs="Times New Roman"/>
          <w:bCs/>
          <w:sz w:val="24"/>
          <w:szCs w:val="24"/>
        </w:rPr>
        <w:t xml:space="preserve"> </w:t>
      </w:r>
      <w:r w:rsidR="00AF1EB6">
        <w:rPr>
          <w:rFonts w:ascii="Times New Roman" w:hAnsi="Times New Roman" w:cs="Times New Roman"/>
          <w:bCs/>
          <w:sz w:val="24"/>
          <w:szCs w:val="24"/>
        </w:rPr>
        <w:t>estimate for</w:t>
      </w:r>
      <w:r w:rsidR="00B356F5">
        <w:rPr>
          <w:rFonts w:ascii="Times New Roman" w:hAnsi="Times New Roman" w:cs="Times New Roman"/>
          <w:bCs/>
          <w:sz w:val="24"/>
          <w:szCs w:val="24"/>
        </w:rPr>
        <w:t xml:space="preserve"> annual burden</w:t>
      </w:r>
      <w:r w:rsidR="00D15902">
        <w:rPr>
          <w:rFonts w:ascii="Times New Roman" w:hAnsi="Times New Roman" w:cs="Times New Roman"/>
          <w:bCs/>
          <w:sz w:val="24"/>
          <w:szCs w:val="24"/>
        </w:rPr>
        <w:t>.</w:t>
      </w:r>
      <w:r w:rsidR="004A4647">
        <w:rPr>
          <w:rFonts w:ascii="Times New Roman" w:hAnsi="Times New Roman" w:cs="Times New Roman"/>
          <w:bCs/>
          <w:sz w:val="24"/>
          <w:szCs w:val="24"/>
        </w:rPr>
        <w:t xml:space="preserve"> The new updated total for </w:t>
      </w:r>
      <w:r w:rsidR="0096491E">
        <w:rPr>
          <w:rFonts w:ascii="Times New Roman" w:hAnsi="Times New Roman" w:cs="Times New Roman"/>
          <w:bCs/>
          <w:sz w:val="24"/>
          <w:szCs w:val="24"/>
        </w:rPr>
        <w:t xml:space="preserve">all remaining collections </w:t>
      </w:r>
      <w:r w:rsidR="00B832B9">
        <w:rPr>
          <w:rFonts w:ascii="Times New Roman" w:hAnsi="Times New Roman" w:cs="Times New Roman"/>
          <w:bCs/>
          <w:sz w:val="24"/>
          <w:szCs w:val="24"/>
        </w:rPr>
        <w:t xml:space="preserve">INT-009-3, TOP-001-6, TOP-00205, TOP-003-6.1, TOP-010-1(i), and Bulk-Power System Recordkeeping totals </w:t>
      </w:r>
      <w:r w:rsidR="0096491E">
        <w:rPr>
          <w:rFonts w:ascii="Times New Roman" w:hAnsi="Times New Roman" w:cs="Times New Roman"/>
          <w:bCs/>
          <w:sz w:val="24"/>
          <w:szCs w:val="24"/>
        </w:rPr>
        <w:t>within 725A</w:t>
      </w:r>
      <w:r w:rsidR="004A4647">
        <w:rPr>
          <w:rFonts w:ascii="Times New Roman" w:hAnsi="Times New Roman" w:cs="Times New Roman"/>
          <w:bCs/>
          <w:sz w:val="24"/>
          <w:szCs w:val="24"/>
        </w:rPr>
        <w:t xml:space="preserve"> creates the differences state</w:t>
      </w:r>
      <w:r w:rsidR="00B832B9">
        <w:rPr>
          <w:rFonts w:ascii="Times New Roman" w:hAnsi="Times New Roman" w:cs="Times New Roman"/>
          <w:bCs/>
          <w:sz w:val="24"/>
          <w:szCs w:val="24"/>
        </w:rPr>
        <w:t>d</w:t>
      </w:r>
      <w:r w:rsidR="004A4647">
        <w:rPr>
          <w:rFonts w:ascii="Times New Roman" w:hAnsi="Times New Roman" w:cs="Times New Roman"/>
          <w:bCs/>
          <w:sz w:val="24"/>
          <w:szCs w:val="24"/>
        </w:rPr>
        <w:t xml:space="preserve"> in the box below:</w:t>
      </w:r>
    </w:p>
    <w:p w:rsidR="004A4647" w:rsidRPr="007F1AC1" w:rsidP="0092596C" w14:paraId="2CC04602" w14:textId="77777777">
      <w:pPr>
        <w:spacing w:after="0" w:line="240" w:lineRule="auto"/>
        <w:rPr>
          <w:rFonts w:ascii="Times New Roman" w:hAnsi="Times New Roman" w:cs="Times New Roman"/>
          <w:bCs/>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674047A8" w14:textId="77777777" w:rsidTr="0092596C">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92596C" w:rsidRPr="00BD0FD5" w:rsidP="00776623" w14:paraId="1293FBB2" w14:textId="77777777">
            <w:pPr>
              <w:spacing w:after="0" w:line="240" w:lineRule="auto"/>
              <w:jc w:val="center"/>
              <w:rPr>
                <w:rFonts w:ascii="Times New Roman" w:hAnsi="Times New Roman"/>
                <w:b/>
                <w:sz w:val="24"/>
                <w:szCs w:val="24"/>
              </w:rPr>
            </w:pPr>
            <w:r w:rsidRPr="007D1EDB">
              <w:rPr>
                <w:rFonts w:ascii="Times New Roman" w:hAnsi="Times New Roman"/>
                <w:b/>
                <w:sz w:val="24"/>
                <w:szCs w:val="24"/>
              </w:rPr>
              <w:t>FERC-725</w:t>
            </w:r>
            <w:r w:rsidRPr="007D1EDB" w:rsidR="007D1EDB">
              <w:rPr>
                <w:rFonts w:ascii="Times New Roman" w:hAnsi="Times New Roman"/>
                <w:b/>
                <w:sz w:val="24"/>
                <w:szCs w:val="24"/>
              </w:rPr>
              <w:t>A</w:t>
            </w:r>
          </w:p>
        </w:tc>
        <w:tc>
          <w:tcPr>
            <w:tcW w:w="1461" w:type="dxa"/>
            <w:shd w:val="clear" w:color="auto" w:fill="D9D9D9"/>
            <w:vAlign w:val="bottom"/>
          </w:tcPr>
          <w:p w:rsidR="0092596C" w:rsidRPr="00BD0FD5" w:rsidP="0092596C" w14:paraId="522BA8B1"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Total Request</w:t>
            </w:r>
          </w:p>
        </w:tc>
        <w:tc>
          <w:tcPr>
            <w:tcW w:w="1620" w:type="dxa"/>
            <w:shd w:val="clear" w:color="auto" w:fill="D9D9D9"/>
            <w:vAlign w:val="bottom"/>
          </w:tcPr>
          <w:p w:rsidR="0092596C" w:rsidRPr="00BD0FD5" w:rsidP="0092596C" w14:paraId="6FF35DA6"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Previously Approved</w:t>
            </w:r>
          </w:p>
        </w:tc>
        <w:tc>
          <w:tcPr>
            <w:tcW w:w="1800" w:type="dxa"/>
            <w:shd w:val="clear" w:color="auto" w:fill="D9D9D9"/>
            <w:vAlign w:val="bottom"/>
          </w:tcPr>
          <w:p w:rsidR="0092596C" w:rsidRPr="00BD0FD5" w:rsidP="0092596C" w14:paraId="665C90DB"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Adjustment in Estimate</w:t>
            </w:r>
          </w:p>
        </w:tc>
        <w:tc>
          <w:tcPr>
            <w:tcW w:w="1800" w:type="dxa"/>
            <w:shd w:val="clear" w:color="auto" w:fill="D9D9D9"/>
            <w:vAlign w:val="bottom"/>
          </w:tcPr>
          <w:p w:rsidR="0092596C" w:rsidRPr="00BD0FD5" w:rsidP="0092596C" w14:paraId="082DFC9A" w14:textId="77777777">
            <w:pPr>
              <w:spacing w:after="0" w:line="240" w:lineRule="auto"/>
              <w:jc w:val="center"/>
              <w:rPr>
                <w:rFonts w:ascii="Times New Roman" w:hAnsi="Times New Roman"/>
                <w:b/>
                <w:sz w:val="24"/>
                <w:szCs w:val="24"/>
              </w:rPr>
            </w:pPr>
            <w:r w:rsidRPr="00BD0FD5">
              <w:rPr>
                <w:rFonts w:ascii="Times New Roman" w:hAnsi="Times New Roman"/>
                <w:b/>
                <w:sz w:val="24"/>
                <w:szCs w:val="24"/>
              </w:rPr>
              <w:t>Change Due to Agency Discretion</w:t>
            </w:r>
          </w:p>
        </w:tc>
      </w:tr>
      <w:tr w14:paraId="7045158B" w14:textId="77777777" w:rsidTr="0092596C">
        <w:tblPrEx>
          <w:tblW w:w="9360" w:type="dxa"/>
          <w:tblInd w:w="18" w:type="dxa"/>
          <w:tblLook w:val="01E0"/>
        </w:tblPrEx>
        <w:trPr>
          <w:trHeight w:val="591"/>
        </w:trPr>
        <w:tc>
          <w:tcPr>
            <w:tcW w:w="2679" w:type="dxa"/>
          </w:tcPr>
          <w:p w:rsidR="0092596C" w:rsidRPr="00BD0FD5" w:rsidP="0092596C" w14:paraId="2809DC36" w14:textId="77777777">
            <w:pPr>
              <w:spacing w:after="0" w:line="240" w:lineRule="auto"/>
              <w:jc w:val="center"/>
              <w:rPr>
                <w:rFonts w:ascii="Times New Roman" w:hAnsi="Times New Roman"/>
                <w:sz w:val="24"/>
                <w:szCs w:val="24"/>
              </w:rPr>
            </w:pPr>
            <w:r w:rsidRPr="00BD0FD5">
              <w:rPr>
                <w:rFonts w:ascii="Times New Roman" w:hAnsi="Times New Roman"/>
                <w:sz w:val="24"/>
                <w:szCs w:val="24"/>
              </w:rPr>
              <w:t>Annual Number of Responses</w:t>
            </w:r>
          </w:p>
        </w:tc>
        <w:tc>
          <w:tcPr>
            <w:tcW w:w="1461" w:type="dxa"/>
            <w:vAlign w:val="center"/>
          </w:tcPr>
          <w:p w:rsidR="0004709E" w:rsidRPr="00BD0FD5" w:rsidP="0092596C" w14:paraId="1D51D7D7" w14:textId="1C37F4BF">
            <w:pPr>
              <w:spacing w:after="0" w:line="240" w:lineRule="auto"/>
              <w:jc w:val="right"/>
              <w:rPr>
                <w:rFonts w:ascii="Times New Roman" w:hAnsi="Times New Roman"/>
                <w:sz w:val="24"/>
                <w:szCs w:val="24"/>
              </w:rPr>
            </w:pPr>
            <w:r>
              <w:rPr>
                <w:rFonts w:ascii="Times New Roman" w:hAnsi="Times New Roman"/>
                <w:sz w:val="24"/>
                <w:szCs w:val="24"/>
              </w:rPr>
              <w:t>7,</w:t>
            </w:r>
            <w:r w:rsidR="00416A69">
              <w:rPr>
                <w:rFonts w:ascii="Times New Roman" w:hAnsi="Times New Roman"/>
                <w:sz w:val="24"/>
                <w:szCs w:val="24"/>
              </w:rPr>
              <w:t>955</w:t>
            </w:r>
          </w:p>
        </w:tc>
        <w:tc>
          <w:tcPr>
            <w:tcW w:w="1620" w:type="dxa"/>
            <w:vAlign w:val="center"/>
          </w:tcPr>
          <w:p w:rsidR="0092596C" w:rsidRPr="00BD0FD5" w:rsidP="0092596C" w14:paraId="67D20CE0" w14:textId="1FD8DCDD">
            <w:pPr>
              <w:spacing w:after="0" w:line="240" w:lineRule="auto"/>
              <w:jc w:val="right"/>
              <w:rPr>
                <w:rFonts w:ascii="Times New Roman" w:hAnsi="Times New Roman"/>
                <w:sz w:val="24"/>
                <w:szCs w:val="24"/>
              </w:rPr>
            </w:pPr>
            <w:r>
              <w:rPr>
                <w:rFonts w:ascii="Times New Roman" w:hAnsi="Times New Roman"/>
                <w:sz w:val="24"/>
                <w:szCs w:val="24"/>
              </w:rPr>
              <w:t>7,290</w:t>
            </w:r>
          </w:p>
        </w:tc>
        <w:tc>
          <w:tcPr>
            <w:tcW w:w="1800" w:type="dxa"/>
            <w:vAlign w:val="center"/>
          </w:tcPr>
          <w:p w:rsidR="0092596C" w:rsidRPr="00BD0FD5" w:rsidP="0092596C" w14:paraId="0044C8F1" w14:textId="7D4324B7">
            <w:pPr>
              <w:spacing w:after="0" w:line="240" w:lineRule="auto"/>
              <w:jc w:val="right"/>
              <w:rPr>
                <w:rFonts w:ascii="Times New Roman" w:hAnsi="Times New Roman"/>
                <w:sz w:val="24"/>
                <w:szCs w:val="24"/>
              </w:rPr>
            </w:pPr>
            <w:r>
              <w:rPr>
                <w:rFonts w:ascii="Times New Roman" w:hAnsi="Times New Roman"/>
                <w:sz w:val="24"/>
                <w:szCs w:val="24"/>
              </w:rPr>
              <w:t>665</w:t>
            </w:r>
          </w:p>
        </w:tc>
        <w:tc>
          <w:tcPr>
            <w:tcW w:w="1800" w:type="dxa"/>
            <w:vAlign w:val="center"/>
          </w:tcPr>
          <w:p w:rsidR="0004709E" w:rsidRPr="00BD0FD5" w:rsidP="00107834" w14:paraId="69DD77AD" w14:textId="10DF8012">
            <w:pPr>
              <w:spacing w:after="0" w:line="240" w:lineRule="auto"/>
              <w:jc w:val="right"/>
              <w:rPr>
                <w:rFonts w:ascii="Times New Roman" w:hAnsi="Times New Roman"/>
                <w:sz w:val="24"/>
                <w:szCs w:val="24"/>
              </w:rPr>
            </w:pPr>
            <w:r>
              <w:rPr>
                <w:rFonts w:ascii="Times New Roman" w:hAnsi="Times New Roman"/>
                <w:sz w:val="24"/>
                <w:szCs w:val="24"/>
              </w:rPr>
              <w:t>0</w:t>
            </w:r>
          </w:p>
        </w:tc>
      </w:tr>
      <w:tr w14:paraId="102D20C6" w14:textId="77777777" w:rsidTr="0092596C">
        <w:tblPrEx>
          <w:tblW w:w="9360" w:type="dxa"/>
          <w:tblInd w:w="18" w:type="dxa"/>
          <w:tblLook w:val="01E0"/>
        </w:tblPrEx>
        <w:trPr>
          <w:trHeight w:val="575"/>
        </w:trPr>
        <w:tc>
          <w:tcPr>
            <w:tcW w:w="2679" w:type="dxa"/>
          </w:tcPr>
          <w:p w:rsidR="0092596C" w:rsidRPr="00BD0FD5" w:rsidP="0092596C" w14:paraId="25585ABA" w14:textId="065743C6">
            <w:pPr>
              <w:spacing w:after="0" w:line="240" w:lineRule="auto"/>
              <w:jc w:val="center"/>
              <w:rPr>
                <w:rFonts w:ascii="Times New Roman" w:hAnsi="Times New Roman"/>
                <w:sz w:val="24"/>
                <w:szCs w:val="24"/>
              </w:rPr>
            </w:pPr>
            <w:r w:rsidRPr="00BD0FD5">
              <w:rPr>
                <w:rFonts w:ascii="Times New Roman" w:hAnsi="Times New Roman"/>
                <w:sz w:val="24"/>
                <w:szCs w:val="24"/>
              </w:rPr>
              <w:t>Annual Time Burden (</w:t>
            </w:r>
            <w:r w:rsidRPr="00BD0FD5" w:rsidR="00896DEA">
              <w:rPr>
                <w:rFonts w:ascii="Times New Roman" w:hAnsi="Times New Roman"/>
                <w:sz w:val="24"/>
                <w:szCs w:val="24"/>
              </w:rPr>
              <w:t>Hr.</w:t>
            </w:r>
            <w:r w:rsidRPr="00BD0FD5">
              <w:rPr>
                <w:rFonts w:ascii="Times New Roman" w:hAnsi="Times New Roman"/>
                <w:sz w:val="24"/>
                <w:szCs w:val="24"/>
              </w:rPr>
              <w:t>)</w:t>
            </w:r>
          </w:p>
        </w:tc>
        <w:tc>
          <w:tcPr>
            <w:tcW w:w="1461" w:type="dxa"/>
            <w:vAlign w:val="center"/>
          </w:tcPr>
          <w:p w:rsidR="0004709E" w:rsidRPr="00BD0FD5" w:rsidP="00107834" w14:paraId="499D5455" w14:textId="58FB4325">
            <w:pPr>
              <w:spacing w:after="0" w:line="240" w:lineRule="auto"/>
              <w:jc w:val="right"/>
              <w:rPr>
                <w:rFonts w:ascii="Times New Roman" w:hAnsi="Times New Roman"/>
                <w:sz w:val="24"/>
                <w:szCs w:val="24"/>
              </w:rPr>
            </w:pPr>
            <w:r>
              <w:rPr>
                <w:rFonts w:ascii="Times New Roman" w:hAnsi="Times New Roman"/>
                <w:sz w:val="24"/>
                <w:szCs w:val="24"/>
              </w:rPr>
              <w:t>1,</w:t>
            </w:r>
            <w:r w:rsidR="00416A69">
              <w:rPr>
                <w:rFonts w:ascii="Times New Roman" w:hAnsi="Times New Roman"/>
                <w:sz w:val="24"/>
                <w:szCs w:val="24"/>
              </w:rPr>
              <w:t>103,040</w:t>
            </w:r>
          </w:p>
        </w:tc>
        <w:tc>
          <w:tcPr>
            <w:tcW w:w="1620" w:type="dxa"/>
            <w:vAlign w:val="center"/>
          </w:tcPr>
          <w:p w:rsidR="0092596C" w:rsidRPr="00BD0FD5" w:rsidP="0092596C" w14:paraId="33B914A6" w14:textId="697F3499">
            <w:pPr>
              <w:spacing w:after="0" w:line="240" w:lineRule="auto"/>
              <w:jc w:val="right"/>
              <w:rPr>
                <w:rFonts w:ascii="Times New Roman" w:hAnsi="Times New Roman"/>
                <w:sz w:val="24"/>
                <w:szCs w:val="24"/>
              </w:rPr>
            </w:pPr>
            <w:r>
              <w:rPr>
                <w:rFonts w:ascii="Times New Roman" w:hAnsi="Times New Roman"/>
                <w:sz w:val="24"/>
                <w:szCs w:val="24"/>
              </w:rPr>
              <w:t>1,</w:t>
            </w:r>
            <w:r w:rsidR="00416A69">
              <w:rPr>
                <w:rFonts w:ascii="Times New Roman" w:hAnsi="Times New Roman"/>
                <w:sz w:val="24"/>
                <w:szCs w:val="24"/>
              </w:rPr>
              <w:t>407,238</w:t>
            </w:r>
          </w:p>
        </w:tc>
        <w:tc>
          <w:tcPr>
            <w:tcW w:w="1800" w:type="dxa"/>
            <w:vAlign w:val="center"/>
          </w:tcPr>
          <w:p w:rsidR="0092596C" w:rsidRPr="00BD0FD5" w:rsidP="0092596C" w14:paraId="5E5A00FD" w14:textId="2832C94B">
            <w:pPr>
              <w:spacing w:after="0" w:line="240" w:lineRule="auto"/>
              <w:jc w:val="right"/>
              <w:rPr>
                <w:rFonts w:ascii="Times New Roman" w:hAnsi="Times New Roman"/>
                <w:sz w:val="24"/>
                <w:szCs w:val="24"/>
              </w:rPr>
            </w:pPr>
            <w:r>
              <w:rPr>
                <w:rFonts w:ascii="Times New Roman" w:hAnsi="Times New Roman"/>
                <w:sz w:val="24"/>
                <w:szCs w:val="24"/>
              </w:rPr>
              <w:t>-304,198</w:t>
            </w:r>
          </w:p>
        </w:tc>
        <w:tc>
          <w:tcPr>
            <w:tcW w:w="1800" w:type="dxa"/>
            <w:vAlign w:val="center"/>
          </w:tcPr>
          <w:p w:rsidR="0004709E" w:rsidRPr="00BD0FD5" w:rsidP="00107834" w14:paraId="3DE4DE33" w14:textId="17EAB315">
            <w:pPr>
              <w:spacing w:after="0" w:line="240" w:lineRule="auto"/>
              <w:jc w:val="right"/>
              <w:rPr>
                <w:rFonts w:ascii="Times New Roman" w:hAnsi="Times New Roman"/>
                <w:sz w:val="24"/>
                <w:szCs w:val="24"/>
              </w:rPr>
            </w:pPr>
            <w:r>
              <w:rPr>
                <w:rFonts w:ascii="Times New Roman" w:hAnsi="Times New Roman"/>
                <w:sz w:val="24"/>
                <w:szCs w:val="24"/>
              </w:rPr>
              <w:t>0</w:t>
            </w:r>
          </w:p>
        </w:tc>
      </w:tr>
      <w:tr w14:paraId="26B9EE03" w14:textId="77777777" w:rsidTr="0092596C">
        <w:tblPrEx>
          <w:tblW w:w="9360" w:type="dxa"/>
          <w:tblInd w:w="18" w:type="dxa"/>
          <w:tblLook w:val="01E0"/>
        </w:tblPrEx>
        <w:trPr>
          <w:trHeight w:val="295"/>
        </w:trPr>
        <w:tc>
          <w:tcPr>
            <w:tcW w:w="2679" w:type="dxa"/>
          </w:tcPr>
          <w:p w:rsidR="0092596C" w:rsidRPr="00BD0FD5" w:rsidP="0092596C" w14:paraId="2E4F0208" w14:textId="77777777">
            <w:pPr>
              <w:spacing w:after="0" w:line="240" w:lineRule="auto"/>
              <w:jc w:val="center"/>
              <w:rPr>
                <w:rFonts w:ascii="Times New Roman" w:hAnsi="Times New Roman"/>
                <w:sz w:val="24"/>
                <w:szCs w:val="24"/>
              </w:rPr>
            </w:pPr>
            <w:r w:rsidRPr="00BD0FD5">
              <w:rPr>
                <w:rFonts w:ascii="Times New Roman" w:hAnsi="Times New Roman"/>
                <w:sz w:val="24"/>
                <w:szCs w:val="24"/>
              </w:rPr>
              <w:t>Annual Cost Burden ($)</w:t>
            </w:r>
          </w:p>
        </w:tc>
        <w:tc>
          <w:tcPr>
            <w:tcW w:w="1461" w:type="dxa"/>
            <w:vAlign w:val="center"/>
          </w:tcPr>
          <w:p w:rsidR="0004709E" w:rsidRPr="00BD0FD5" w:rsidP="00107834" w14:paraId="280DA5EE" w14:textId="7566935A">
            <w:pPr>
              <w:spacing w:after="0" w:line="240" w:lineRule="auto"/>
              <w:jc w:val="right"/>
              <w:rPr>
                <w:rFonts w:ascii="Times New Roman" w:hAnsi="Times New Roman"/>
                <w:sz w:val="24"/>
                <w:szCs w:val="24"/>
              </w:rPr>
            </w:pPr>
            <w:r>
              <w:rPr>
                <w:rFonts w:ascii="Times New Roman" w:hAnsi="Times New Roman"/>
                <w:sz w:val="24"/>
                <w:szCs w:val="24"/>
              </w:rPr>
              <w:t>371,100</w:t>
            </w:r>
          </w:p>
        </w:tc>
        <w:tc>
          <w:tcPr>
            <w:tcW w:w="1620" w:type="dxa"/>
            <w:vAlign w:val="center"/>
          </w:tcPr>
          <w:p w:rsidR="0092596C" w:rsidRPr="00BD0FD5" w:rsidP="0092596C" w14:paraId="2EA357B4" w14:textId="5C6B71EF">
            <w:pPr>
              <w:spacing w:after="0" w:line="240" w:lineRule="auto"/>
              <w:jc w:val="right"/>
              <w:rPr>
                <w:rFonts w:ascii="Times New Roman" w:hAnsi="Times New Roman"/>
                <w:sz w:val="24"/>
                <w:szCs w:val="24"/>
              </w:rPr>
            </w:pPr>
            <w:r>
              <w:rPr>
                <w:rFonts w:ascii="Times New Roman" w:hAnsi="Times New Roman"/>
                <w:sz w:val="24"/>
                <w:szCs w:val="24"/>
              </w:rPr>
              <w:t>156,953</w:t>
            </w:r>
          </w:p>
        </w:tc>
        <w:tc>
          <w:tcPr>
            <w:tcW w:w="1800" w:type="dxa"/>
            <w:vAlign w:val="center"/>
          </w:tcPr>
          <w:p w:rsidR="0092596C" w:rsidRPr="00BD0FD5" w:rsidP="0092596C" w14:paraId="4B686FBA" w14:textId="317AB252">
            <w:pPr>
              <w:spacing w:after="0" w:line="240" w:lineRule="auto"/>
              <w:jc w:val="right"/>
              <w:rPr>
                <w:rFonts w:ascii="Times New Roman" w:hAnsi="Times New Roman"/>
                <w:sz w:val="24"/>
                <w:szCs w:val="24"/>
              </w:rPr>
            </w:pPr>
            <w:r>
              <w:rPr>
                <w:rFonts w:ascii="Times New Roman" w:hAnsi="Times New Roman"/>
                <w:sz w:val="24"/>
                <w:szCs w:val="24"/>
              </w:rPr>
              <w:t>214,147</w:t>
            </w:r>
          </w:p>
        </w:tc>
        <w:tc>
          <w:tcPr>
            <w:tcW w:w="1800" w:type="dxa"/>
            <w:vAlign w:val="center"/>
          </w:tcPr>
          <w:p w:rsidR="0092596C" w:rsidRPr="00BD0FD5" w:rsidP="0092596C" w14:paraId="00931C86" w14:textId="59B1F5D5">
            <w:pPr>
              <w:spacing w:after="0" w:line="240" w:lineRule="auto"/>
              <w:jc w:val="right"/>
              <w:rPr>
                <w:rFonts w:ascii="Times New Roman" w:hAnsi="Times New Roman"/>
                <w:sz w:val="24"/>
                <w:szCs w:val="24"/>
              </w:rPr>
            </w:pPr>
            <w:r>
              <w:rPr>
                <w:rFonts w:ascii="Times New Roman" w:hAnsi="Times New Roman"/>
                <w:sz w:val="24"/>
                <w:szCs w:val="24"/>
              </w:rPr>
              <w:t>0</w:t>
            </w:r>
          </w:p>
        </w:tc>
      </w:tr>
    </w:tbl>
    <w:p w:rsidR="00970FE4" w:rsidRPr="00BD0FD5" w:rsidP="0092596C" w14:paraId="45ECBECF" w14:textId="77777777">
      <w:pPr>
        <w:spacing w:after="0" w:line="240" w:lineRule="auto"/>
        <w:rPr>
          <w:rFonts w:ascii="Times New Roman" w:hAnsi="Times New Roman" w:cs="Times New Roman"/>
          <w:sz w:val="24"/>
          <w:szCs w:val="24"/>
        </w:rPr>
      </w:pPr>
    </w:p>
    <w:p w:rsidR="00A276F5" w:rsidRPr="00BD0FD5" w:rsidP="0092596C" w14:paraId="2660E8C0"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TIME SCHEDULE FOR PUBLICATION OF DATA</w:t>
      </w:r>
    </w:p>
    <w:p w:rsidR="00826750" w:rsidRPr="00BD0FD5" w:rsidP="0092596C" w14:paraId="6ECDCBF0" w14:textId="77777777">
      <w:pPr>
        <w:spacing w:after="0" w:line="240" w:lineRule="auto"/>
        <w:rPr>
          <w:rFonts w:ascii="Times New Roman" w:hAnsi="Times New Roman" w:cs="Times New Roman"/>
          <w:sz w:val="24"/>
          <w:szCs w:val="24"/>
        </w:rPr>
      </w:pPr>
    </w:p>
    <w:p w:rsidR="00414F32" w:rsidRPr="00BD0FD5" w:rsidP="0092596C" w14:paraId="6815AD3F" w14:textId="2B2A3918">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There are no data publications as part of this collection</w:t>
      </w:r>
      <w:r w:rsidR="005D02C5">
        <w:rPr>
          <w:rFonts w:ascii="Times New Roman" w:hAnsi="Times New Roman" w:cs="Times New Roman"/>
          <w:sz w:val="24"/>
          <w:szCs w:val="24"/>
        </w:rPr>
        <w:t>.</w:t>
      </w:r>
    </w:p>
    <w:p w:rsidR="00414F32" w:rsidRPr="00BD0FD5" w:rsidP="0092596C" w14:paraId="22A43BDB" w14:textId="77777777">
      <w:pPr>
        <w:spacing w:after="0" w:line="240" w:lineRule="auto"/>
        <w:rPr>
          <w:rFonts w:ascii="Times New Roman" w:hAnsi="Times New Roman" w:cs="Times New Roman"/>
          <w:sz w:val="24"/>
          <w:szCs w:val="24"/>
        </w:rPr>
      </w:pPr>
    </w:p>
    <w:p w:rsidR="00414F32" w:rsidRPr="00BD0FD5" w:rsidP="0092596C" w14:paraId="1198FE9A"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DISPLAY OF EXPIRATION DATE</w:t>
      </w:r>
    </w:p>
    <w:p w:rsidR="00414F32" w:rsidRPr="00BD0FD5" w:rsidP="0092596C" w14:paraId="356C1CB5" w14:textId="77777777">
      <w:pPr>
        <w:spacing w:after="0" w:line="240" w:lineRule="auto"/>
        <w:rPr>
          <w:rFonts w:ascii="Times New Roman" w:hAnsi="Times New Roman" w:cs="Times New Roman"/>
          <w:sz w:val="24"/>
          <w:szCs w:val="24"/>
        </w:rPr>
      </w:pPr>
    </w:p>
    <w:p w:rsidR="00B16372" w:rsidRPr="00BD0FD5" w:rsidP="0092596C" w14:paraId="0F961F87" w14:textId="77777777">
      <w:pPr>
        <w:spacing w:after="0" w:line="240" w:lineRule="auto"/>
        <w:rPr>
          <w:rFonts w:ascii="Times New Roman" w:hAnsi="Times New Roman" w:cs="Times New Roman"/>
          <w:sz w:val="24"/>
          <w:szCs w:val="24"/>
        </w:rPr>
      </w:pPr>
      <w:r w:rsidRPr="00BD0FD5">
        <w:rPr>
          <w:rFonts w:ascii="Times New Roman" w:hAnsi="Times New Roman" w:cs="Times New Roman"/>
          <w:sz w:val="24"/>
          <w:szCs w:val="24"/>
        </w:rPr>
        <w:t>It is not appropriate to display the expiration date because the information is not collected on a preformatted form</w:t>
      </w:r>
      <w:r w:rsidR="003F119D">
        <w:rPr>
          <w:rFonts w:ascii="Times New Roman" w:hAnsi="Times New Roman" w:cs="Times New Roman"/>
          <w:sz w:val="24"/>
          <w:szCs w:val="24"/>
        </w:rPr>
        <w:t xml:space="preserve"> or is part of a Reliability Standard, which do not display OMB expiration dates.</w:t>
      </w:r>
    </w:p>
    <w:p w:rsidR="00414F32" w:rsidRPr="00BD0FD5" w:rsidP="0092596C" w14:paraId="0D44345F" w14:textId="77777777">
      <w:pPr>
        <w:spacing w:after="0" w:line="240" w:lineRule="auto"/>
        <w:rPr>
          <w:rFonts w:ascii="Times New Roman" w:hAnsi="Times New Roman" w:cs="Times New Roman"/>
          <w:sz w:val="24"/>
          <w:szCs w:val="24"/>
        </w:rPr>
      </w:pPr>
    </w:p>
    <w:p w:rsidR="00414F32" w:rsidRPr="00BD0FD5" w:rsidP="0092596C" w14:paraId="0C99C814" w14:textId="77777777">
      <w:pPr>
        <w:pStyle w:val="ListParagraph"/>
        <w:numPr>
          <w:ilvl w:val="0"/>
          <w:numId w:val="1"/>
        </w:numPr>
        <w:spacing w:after="0" w:line="240" w:lineRule="auto"/>
        <w:ind w:left="360"/>
        <w:rPr>
          <w:rFonts w:ascii="Times New Roman" w:hAnsi="Times New Roman" w:cs="Times New Roman"/>
          <w:b/>
          <w:sz w:val="24"/>
          <w:szCs w:val="24"/>
        </w:rPr>
      </w:pPr>
      <w:r w:rsidRPr="00BD0FD5">
        <w:rPr>
          <w:rFonts w:ascii="Times New Roman" w:hAnsi="Times New Roman" w:cs="Times New Roman"/>
          <w:b/>
          <w:sz w:val="24"/>
          <w:szCs w:val="24"/>
        </w:rPr>
        <w:t>EXCEPTIONS TO THE CERTIFICATION STATEMENT</w:t>
      </w:r>
    </w:p>
    <w:p w:rsidR="0057700F" w:rsidRPr="00BD0FD5" w:rsidP="0092596C" w14:paraId="029D5726" w14:textId="77777777">
      <w:pPr>
        <w:spacing w:after="0" w:line="240" w:lineRule="auto"/>
        <w:rPr>
          <w:rFonts w:ascii="Times New Roman" w:hAnsi="Times New Roman" w:cs="Times New Roman"/>
          <w:b/>
          <w:sz w:val="24"/>
          <w:szCs w:val="24"/>
        </w:rPr>
      </w:pPr>
    </w:p>
    <w:p w:rsidR="00B16372" w:rsidRPr="00BD0FD5" w:rsidP="0092596C" w14:paraId="692502E7" w14:textId="77777777">
      <w:pPr>
        <w:spacing w:after="0" w:line="240" w:lineRule="auto"/>
        <w:rPr>
          <w:rFonts w:ascii="Times New Roman" w:hAnsi="Times New Roman" w:cs="Times New Roman"/>
          <w:b/>
          <w:sz w:val="24"/>
          <w:szCs w:val="24"/>
        </w:rPr>
      </w:pPr>
      <w:r w:rsidRPr="00BD0FD5">
        <w:rPr>
          <w:rFonts w:ascii="Times New Roman" w:eastAsia="Calibri" w:hAnsi="Times New Roman" w:cs="Times New Roman"/>
          <w:sz w:val="24"/>
          <w:szCs w:val="24"/>
        </w:rPr>
        <w:t>The Commission does not use statistical methods for this collection.  Therefore</w:t>
      </w:r>
      <w:r w:rsidRPr="00BD0FD5" w:rsidR="003D69FC">
        <w:rPr>
          <w:rFonts w:ascii="Times New Roman" w:eastAsia="Calibri" w:hAnsi="Times New Roman" w:cs="Times New Roman"/>
          <w:sz w:val="24"/>
          <w:szCs w:val="24"/>
        </w:rPr>
        <w:t>,</w:t>
      </w:r>
      <w:r w:rsidRPr="00BD0FD5">
        <w:rPr>
          <w:rFonts w:ascii="Times New Roman" w:eastAsia="Calibri" w:hAnsi="Times New Roman" w:cs="Times New Roman"/>
          <w:sz w:val="24"/>
          <w:szCs w:val="24"/>
        </w:rPr>
        <w:t xml:space="preserve"> the Commission does not certify that the collection uses statistical methods.</w:t>
      </w:r>
    </w:p>
    <w:p w:rsidR="00970FE4" w:rsidRPr="00BD0FD5" w:rsidP="0092596C" w14:paraId="4BED374E" w14:textId="77777777">
      <w:pPr>
        <w:spacing w:after="0" w:line="240" w:lineRule="auto"/>
        <w:rPr>
          <w:rFonts w:ascii="Times New Roman" w:hAnsi="Times New Roman" w:cs="Times New Roman"/>
          <w:sz w:val="24"/>
          <w:szCs w:val="24"/>
        </w:rPr>
      </w:pPr>
    </w:p>
    <w:p w:rsidR="00414F32" w:rsidRPr="00BD0FD5" w:rsidP="0092596C" w14:paraId="666F7E94" w14:textId="77777777">
      <w:pPr>
        <w:spacing w:after="0" w:line="240" w:lineRule="auto"/>
        <w:rPr>
          <w:rFonts w:ascii="Times New Roman" w:hAnsi="Times New Roman" w:cs="Times New Roman"/>
          <w:sz w:val="24"/>
          <w:szCs w:val="24"/>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EE7794" w14:paraId="60067388" w14:textId="77777777">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Pr>
            <w:rFonts w:ascii="Times New Roman" w:hAnsi="Times New Roman" w:cs="Times New Roman"/>
            <w:noProof/>
          </w:rPr>
          <w:t>1</w:t>
        </w:r>
        <w:r w:rsidRPr="00781137">
          <w:rPr>
            <w:rFonts w:ascii="Times New Roman" w:hAnsi="Times New Roman" w:cs="Times New Roman"/>
            <w:noProof/>
          </w:rPr>
          <w:fldChar w:fldCharType="end"/>
        </w:r>
      </w:p>
    </w:sdtContent>
  </w:sdt>
  <w:p w:rsidR="00EE7794" w14:paraId="728B05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376D" w:rsidP="00FD66F1" w14:paraId="22650503" w14:textId="77777777">
      <w:pPr>
        <w:spacing w:after="0" w:line="240" w:lineRule="auto"/>
      </w:pPr>
      <w:r>
        <w:separator/>
      </w:r>
    </w:p>
  </w:footnote>
  <w:footnote w:type="continuationSeparator" w:id="1">
    <w:p w:rsidR="00C2376D" w:rsidP="00FD66F1" w14:paraId="350216AA" w14:textId="77777777">
      <w:pPr>
        <w:spacing w:after="0" w:line="240" w:lineRule="auto"/>
      </w:pPr>
      <w:r>
        <w:continuationSeparator/>
      </w:r>
    </w:p>
  </w:footnote>
  <w:footnote w:id="2">
    <w:p w:rsidR="00EE7794" w:rsidRPr="008A757A" w:rsidP="007F0136" w14:paraId="78A9B43F" w14:textId="24AC5642">
      <w:pPr>
        <w:pStyle w:val="FootnoteText"/>
        <w:rPr>
          <w:sz w:val="26"/>
          <w:szCs w:val="26"/>
        </w:rPr>
      </w:pPr>
      <w:r w:rsidRPr="005D02C5">
        <w:rPr>
          <w:rStyle w:val="FootnoteReference"/>
          <w:sz w:val="24"/>
          <w:szCs w:val="24"/>
          <w:vertAlign w:val="superscript"/>
        </w:rPr>
        <w:footnoteRef/>
      </w:r>
      <w:r w:rsidRPr="005D02C5">
        <w:rPr>
          <w:sz w:val="24"/>
          <w:szCs w:val="24"/>
          <w:vertAlign w:val="superscript"/>
        </w:rPr>
        <w:t xml:space="preserve"> </w:t>
      </w:r>
      <w:r w:rsidRPr="005D02C5">
        <w:rPr>
          <w:sz w:val="24"/>
          <w:szCs w:val="24"/>
        </w:rPr>
        <w:t>Details of the current ERO Reliability Standard processes are available on the NERC website at</w:t>
      </w:r>
      <w:r w:rsidRPr="005D02C5" w:rsidR="00C42BFF">
        <w:rPr>
          <w:sz w:val="24"/>
          <w:szCs w:val="24"/>
        </w:rPr>
        <w:t xml:space="preserve"> </w:t>
      </w:r>
      <w:hyperlink r:id="rId1" w:history="1">
        <w:r w:rsidRPr="005D02C5" w:rsidR="00C42BFF">
          <w:rPr>
            <w:rStyle w:val="Hyperlink"/>
            <w:sz w:val="24"/>
            <w:szCs w:val="24"/>
          </w:rPr>
          <w:t>https://www.nerc.com/pa/comp/RegistrationReferenceDocsDL/User%20Guide_ERO%20Portal.pdf</w:t>
        </w:r>
      </w:hyperlink>
      <w:r w:rsidR="00C42BFF">
        <w:rPr>
          <w:sz w:val="26"/>
          <w:szCs w:val="26"/>
        </w:rPr>
        <w:t xml:space="preserve"> </w:t>
      </w:r>
      <w:r w:rsidRPr="008A757A">
        <w:rPr>
          <w:sz w:val="26"/>
          <w:szCs w:val="26"/>
        </w:rPr>
        <w:t>.</w:t>
      </w:r>
    </w:p>
  </w:footnote>
  <w:footnote w:id="3">
    <w:p w:rsidR="00EE7794" w:rsidRPr="009F357D" w:rsidP="0000315F" w14:paraId="4D036DF4" w14:textId="1B88DC8F">
      <w:pPr>
        <w:pStyle w:val="FootnoteText"/>
        <w:rPr>
          <w:sz w:val="26"/>
          <w:szCs w:val="26"/>
        </w:rPr>
      </w:pPr>
      <w:r w:rsidRPr="005D02C5">
        <w:rPr>
          <w:sz w:val="24"/>
          <w:szCs w:val="24"/>
          <w:vertAlign w:val="superscript"/>
        </w:rPr>
        <w:footnoteRef/>
      </w:r>
      <w:r w:rsidRPr="009F357D">
        <w:rPr>
          <w:sz w:val="26"/>
          <w:szCs w:val="26"/>
          <w:vertAlign w:val="superscript"/>
        </w:rPr>
        <w:t xml:space="preserve"> </w:t>
      </w:r>
      <w:r w:rsidRPr="005D02C5">
        <w:rPr>
          <w:sz w:val="24"/>
          <w:szCs w:val="24"/>
        </w:rPr>
        <w:t>8</w:t>
      </w:r>
      <w:r w:rsidR="001470D4">
        <w:rPr>
          <w:sz w:val="24"/>
          <w:szCs w:val="24"/>
        </w:rPr>
        <w:t>9</w:t>
      </w:r>
      <w:r w:rsidRPr="005D02C5">
        <w:rPr>
          <w:sz w:val="24"/>
          <w:szCs w:val="24"/>
        </w:rPr>
        <w:t xml:space="preserve"> FR </w:t>
      </w:r>
      <w:r w:rsidRPr="005D02C5" w:rsidR="00095C1D">
        <w:rPr>
          <w:sz w:val="24"/>
          <w:szCs w:val="24"/>
        </w:rPr>
        <w:t>6</w:t>
      </w:r>
      <w:r w:rsidR="00AA6FF0">
        <w:rPr>
          <w:sz w:val="24"/>
          <w:szCs w:val="24"/>
        </w:rPr>
        <w:t>6375</w:t>
      </w:r>
      <w:r w:rsidRPr="005D02C5">
        <w:rPr>
          <w:sz w:val="24"/>
          <w:szCs w:val="24"/>
        </w:rPr>
        <w:t xml:space="preserve">, </w:t>
      </w:r>
      <w:r w:rsidR="00AA6FF0">
        <w:rPr>
          <w:sz w:val="24"/>
          <w:szCs w:val="24"/>
        </w:rPr>
        <w:t>August</w:t>
      </w:r>
      <w:r w:rsidRPr="005D02C5">
        <w:rPr>
          <w:sz w:val="24"/>
          <w:szCs w:val="24"/>
        </w:rPr>
        <w:t xml:space="preserve"> </w:t>
      </w:r>
      <w:r w:rsidR="00AA6FF0">
        <w:rPr>
          <w:sz w:val="24"/>
          <w:szCs w:val="24"/>
        </w:rPr>
        <w:t>15</w:t>
      </w:r>
      <w:r w:rsidRPr="005D02C5">
        <w:rPr>
          <w:sz w:val="24"/>
          <w:szCs w:val="24"/>
        </w:rPr>
        <w:t>, 202</w:t>
      </w:r>
      <w:r w:rsidR="00AA6FF0">
        <w:rPr>
          <w:sz w:val="24"/>
          <w:szCs w:val="24"/>
        </w:rPr>
        <w:t>4</w:t>
      </w:r>
    </w:p>
  </w:footnote>
  <w:footnote w:id="4">
    <w:p w:rsidR="00EE7794" w:rsidRPr="009F357D" w:rsidP="0000315F" w14:paraId="179DFE03" w14:textId="18597072">
      <w:pPr>
        <w:pStyle w:val="FootnoteText"/>
        <w:rPr>
          <w:sz w:val="26"/>
          <w:szCs w:val="26"/>
        </w:rPr>
      </w:pPr>
      <w:r w:rsidRPr="005D02C5">
        <w:rPr>
          <w:rStyle w:val="FootnoteReference"/>
          <w:sz w:val="24"/>
          <w:szCs w:val="24"/>
          <w:vertAlign w:val="superscript"/>
        </w:rPr>
        <w:footnoteRef/>
      </w:r>
      <w:r w:rsidRPr="009F357D">
        <w:rPr>
          <w:sz w:val="26"/>
          <w:szCs w:val="26"/>
        </w:rPr>
        <w:t xml:space="preserve"> </w:t>
      </w:r>
      <w:r w:rsidRPr="005D02C5">
        <w:rPr>
          <w:sz w:val="24"/>
          <w:szCs w:val="24"/>
        </w:rPr>
        <w:t>8</w:t>
      </w:r>
      <w:r w:rsidRPr="005D02C5" w:rsidR="00095C1D">
        <w:rPr>
          <w:sz w:val="24"/>
          <w:szCs w:val="24"/>
        </w:rPr>
        <w:t>9</w:t>
      </w:r>
      <w:r w:rsidRPr="005D02C5">
        <w:rPr>
          <w:sz w:val="24"/>
          <w:szCs w:val="24"/>
        </w:rPr>
        <w:t xml:space="preserve"> FR </w:t>
      </w:r>
      <w:r w:rsidRPr="00A2168A" w:rsidR="00A2168A">
        <w:rPr>
          <w:sz w:val="24"/>
          <w:szCs w:val="24"/>
        </w:rPr>
        <w:t>88269</w:t>
      </w:r>
      <w:r w:rsidRPr="005D02C5">
        <w:rPr>
          <w:sz w:val="24"/>
          <w:szCs w:val="24"/>
        </w:rPr>
        <w:t xml:space="preserve">, </w:t>
      </w:r>
      <w:r w:rsidR="00AA6FF0">
        <w:rPr>
          <w:sz w:val="24"/>
          <w:szCs w:val="24"/>
        </w:rPr>
        <w:t>November</w:t>
      </w:r>
      <w:r w:rsidRPr="005D02C5" w:rsidR="00655B82">
        <w:rPr>
          <w:sz w:val="24"/>
          <w:szCs w:val="24"/>
        </w:rPr>
        <w:t xml:space="preserve"> </w:t>
      </w:r>
      <w:r w:rsidR="00A2168A">
        <w:rPr>
          <w:sz w:val="24"/>
          <w:szCs w:val="24"/>
        </w:rPr>
        <w:t>7</w:t>
      </w:r>
      <w:r w:rsidRPr="005D02C5" w:rsidR="00655B82">
        <w:rPr>
          <w:sz w:val="24"/>
          <w:szCs w:val="24"/>
        </w:rPr>
        <w:t>,</w:t>
      </w:r>
      <w:r w:rsidRPr="005D02C5">
        <w:rPr>
          <w:sz w:val="24"/>
          <w:szCs w:val="24"/>
        </w:rPr>
        <w:t xml:space="preserve"> 202</w:t>
      </w:r>
      <w:r w:rsidRPr="005D02C5" w:rsidR="00095C1D">
        <w:rPr>
          <w:sz w:val="24"/>
          <w:szCs w:val="24"/>
        </w:rPr>
        <w:t>4</w:t>
      </w:r>
    </w:p>
  </w:footnote>
  <w:footnote w:id="5">
    <w:p w:rsidR="0096491E" w:rsidRPr="008E7A57" w:rsidP="0096491E" w14:paraId="0C3EBA5E" w14:textId="77777777">
      <w:pPr>
        <w:pStyle w:val="FootnoteText"/>
        <w:rPr>
          <w:sz w:val="24"/>
          <w:szCs w:val="24"/>
        </w:rPr>
      </w:pPr>
      <w:r w:rsidRPr="00A2168A">
        <w:rPr>
          <w:rStyle w:val="FootnoteReference"/>
          <w:sz w:val="26"/>
          <w:szCs w:val="26"/>
          <w:vertAlign w:val="superscript"/>
        </w:rPr>
        <w:footnoteRef/>
      </w:r>
      <w:r w:rsidRPr="00A2168A">
        <w:rPr>
          <w:sz w:val="26"/>
          <w:szCs w:val="26"/>
          <w:vertAlign w:val="superscript"/>
        </w:rPr>
        <w:t xml:space="preserve"> </w:t>
      </w:r>
      <w:r w:rsidRPr="008E7A57">
        <w:rPr>
          <w:sz w:val="24"/>
          <w:szCs w:val="24"/>
        </w:rPr>
        <w:t xml:space="preserve">RAS are automatic protection systems designed to detect abnormal or predetermined system </w:t>
      </w:r>
      <w:r w:rsidRPr="00373598">
        <w:rPr>
          <w:sz w:val="24"/>
          <w:szCs w:val="24"/>
        </w:rPr>
        <w:t>conditions and</w:t>
      </w:r>
      <w:r w:rsidRPr="008E7A57">
        <w:rPr>
          <w:sz w:val="24"/>
          <w:szCs w:val="24"/>
        </w:rPr>
        <w:t xml:space="preserve"> take corrective actions other than and/or in addition to the isolation of faulted components to maintain system reliability.  </w:t>
      </w:r>
    </w:p>
  </w:footnote>
  <w:footnote w:id="6">
    <w:p w:rsidR="0096491E" w:rsidRPr="008E7A57" w:rsidP="0096491E" w14:paraId="5D805421" w14:textId="44C09C24">
      <w:pPr>
        <w:pStyle w:val="FootnoteText"/>
        <w:spacing w:after="260"/>
        <w:rPr>
          <w:sz w:val="24"/>
          <w:szCs w:val="24"/>
        </w:rPr>
      </w:pPr>
      <w:r w:rsidRPr="00446145">
        <w:rPr>
          <w:rStyle w:val="FootnoteReference"/>
        </w:rPr>
        <w:footnoteRef/>
      </w:r>
      <w:r w:rsidRPr="00446145">
        <w:rPr>
          <w:sz w:val="26"/>
          <w:szCs w:val="26"/>
        </w:rPr>
        <w:t xml:space="preserve"> </w:t>
      </w:r>
      <w:r w:rsidRPr="008E7A57">
        <w:rPr>
          <w:sz w:val="24"/>
          <w:szCs w:val="24"/>
        </w:rPr>
        <w:t xml:space="preserve">Burden is defined as the total time, effort, or financial resources expended by persons to generate, maintain, retain, or disclose or provide information to or for a federal agency. </w:t>
      </w:r>
      <w:r w:rsidR="00366B4D">
        <w:rPr>
          <w:sz w:val="24"/>
          <w:szCs w:val="24"/>
        </w:rPr>
        <w:t xml:space="preserve"> </w:t>
      </w:r>
      <w:r w:rsidRPr="008E7A57">
        <w:rPr>
          <w:sz w:val="24"/>
          <w:szCs w:val="24"/>
        </w:rPr>
        <w:t>For further explanation of what is included in the information collection burden, refer to 5 CFR Part 1320.</w:t>
      </w:r>
    </w:p>
  </w:footnote>
  <w:footnote w:id="7">
    <w:p w:rsidR="0096491E" w:rsidP="00366B4D" w14:paraId="1F2867BB" w14:textId="5BA105F1">
      <w:pPr>
        <w:pStyle w:val="FootnoteText"/>
        <w:rPr>
          <w:sz w:val="24"/>
          <w:szCs w:val="24"/>
        </w:rPr>
      </w:pPr>
      <w:r w:rsidRPr="00A2168A">
        <w:rPr>
          <w:rStyle w:val="FootnoteReference"/>
          <w:sz w:val="26"/>
          <w:szCs w:val="26"/>
          <w:vertAlign w:val="superscript"/>
        </w:rPr>
        <w:footnoteRef/>
      </w:r>
      <w:r w:rsidRPr="00A2168A">
        <w:rPr>
          <w:sz w:val="26"/>
          <w:szCs w:val="26"/>
          <w:vertAlign w:val="superscript"/>
        </w:rPr>
        <w:t xml:space="preserve"> </w:t>
      </w:r>
      <w:r w:rsidRPr="008E7A57">
        <w:rPr>
          <w:sz w:val="24"/>
          <w:szCs w:val="24"/>
        </w:rPr>
        <w:t>This is a list of NERC registered entities who under 725A need to follow the NERC Standards.  BA=Balancing Authority (98); DP = Distribution Provider (371); GP = Generator Owner (1,210); Generator Operator (1028); PA/PC Planning Authority/Planning Coordinator (62); RC=Reliability Coordinator (12); RP = Resource Planner (159); RSG = Reserve Sharing Group (8); FRSG = Frequency Response Sharing Group (1); TO = Transmission Owner (324); TOP = Transmission Operator (165); TP = Transmission Provided (203); TSP = Transmission Service Provider (70); for a sum total of (3,711).  The same entity may have multiple registration obligation to follow under 725A, so an individual entity’s obligation increases based on registration functions.  These values were derived from the NERC Compliance data of April 16, 2024, using only unique United States registered entities</w:t>
      </w:r>
      <w:r w:rsidR="00366B4D">
        <w:rPr>
          <w:sz w:val="24"/>
          <w:szCs w:val="24"/>
        </w:rPr>
        <w:t>.</w:t>
      </w:r>
    </w:p>
    <w:p w:rsidR="00366B4D" w:rsidRPr="008E7A57" w:rsidP="007B7C54" w14:paraId="7269E8C0" w14:textId="77777777">
      <w:pPr>
        <w:pStyle w:val="FootnoteText"/>
        <w:rPr>
          <w:sz w:val="24"/>
          <w:szCs w:val="24"/>
        </w:rPr>
      </w:pPr>
    </w:p>
  </w:footnote>
  <w:footnote w:id="8">
    <w:p w:rsidR="0096491E" w:rsidRPr="00A2168A" w:rsidP="0096491E" w14:paraId="2C54B173" w14:textId="2305B627">
      <w:pPr>
        <w:pStyle w:val="FootnoteText"/>
        <w:spacing w:after="260"/>
        <w:rPr>
          <w:sz w:val="24"/>
          <w:szCs w:val="24"/>
        </w:rPr>
      </w:pPr>
      <w:r w:rsidRPr="00A2168A">
        <w:rPr>
          <w:rStyle w:val="FootnoteReference"/>
          <w:sz w:val="26"/>
          <w:szCs w:val="26"/>
          <w:vertAlign w:val="superscript"/>
        </w:rPr>
        <w:footnoteRef/>
      </w:r>
      <w:r w:rsidRPr="00A2168A">
        <w:rPr>
          <w:sz w:val="26"/>
          <w:szCs w:val="26"/>
          <w:vertAlign w:val="superscript"/>
        </w:rPr>
        <w:t xml:space="preserve"> </w:t>
      </w:r>
      <w:r w:rsidRPr="008E7A57">
        <w:rPr>
          <w:sz w:val="24"/>
          <w:szCs w:val="24"/>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 w:id="9">
    <w:p w:rsidR="0096491E" w:rsidRPr="007B7C54" w:rsidP="00FB46D8" w14:paraId="48285B6C" w14:textId="77777777">
      <w:pPr>
        <w:pStyle w:val="FootnoteText"/>
        <w:spacing w:after="260"/>
        <w:rPr>
          <w:sz w:val="24"/>
          <w:szCs w:val="24"/>
        </w:rPr>
      </w:pPr>
      <w:r w:rsidRPr="00A2168A">
        <w:rPr>
          <w:rStyle w:val="FootnoteReference"/>
          <w:sz w:val="26"/>
          <w:szCs w:val="26"/>
          <w:vertAlign w:val="superscript"/>
        </w:rPr>
        <w:footnoteRef/>
      </w:r>
      <w:r w:rsidRPr="00A2168A">
        <w:rPr>
          <w:sz w:val="26"/>
          <w:szCs w:val="26"/>
          <w:vertAlign w:val="superscript"/>
        </w:rPr>
        <w:t xml:space="preserve"> </w:t>
      </w:r>
      <w:r w:rsidRPr="007B7C54">
        <w:rPr>
          <w:sz w:val="24"/>
          <w:szCs w:val="24"/>
        </w:rPr>
        <w:t xml:space="preserve">For PER-003-2: RC=Reliability Coordinator; BA=Balancing Authority; TOP=Transmission Operator; TO=Transmission Owner; GOP=Generator Operator.  The NERC compliance registry table April 16, 2024, was used to perform analysis.  </w:t>
      </w:r>
    </w:p>
  </w:footnote>
  <w:footnote w:id="10">
    <w:p w:rsidR="0096491E" w:rsidRPr="007B7C54" w:rsidP="00FB46D8" w14:paraId="4F48257C" w14:textId="77777777">
      <w:pPr>
        <w:pStyle w:val="FootnoteText"/>
        <w:spacing w:after="260"/>
        <w:rPr>
          <w:sz w:val="24"/>
          <w:szCs w:val="24"/>
        </w:rPr>
      </w:pPr>
      <w:r w:rsidRPr="007B7C54">
        <w:rPr>
          <w:rStyle w:val="FootnoteReference"/>
          <w:sz w:val="24"/>
          <w:szCs w:val="24"/>
          <w:vertAlign w:val="superscript"/>
        </w:rPr>
        <w:footnoteRef/>
      </w:r>
      <w:r w:rsidRPr="007B7C54">
        <w:rPr>
          <w:sz w:val="24"/>
          <w:szCs w:val="24"/>
        </w:rPr>
        <w:t xml:space="preserve"> The estimated hourly cost (salary plus benefits) is a combination based on the Bureau of Labor Statistics (BLS), as of 2024. The estimates for cost per response are loaded hourly wage figure (includes benefits) based on two occupational categories for 2023 found on the Bureau of Labor Statistics website (</w:t>
      </w:r>
      <w:hyperlink r:id="rId2" w:history="1">
        <w:r w:rsidRPr="007B7C54">
          <w:rPr>
            <w:color w:val="0000FF"/>
            <w:sz w:val="24"/>
            <w:szCs w:val="24"/>
            <w:u w:val="single"/>
          </w:rPr>
          <w:t>http://www.bls.gov/oes/current/naics2_22.htm</w:t>
        </w:r>
      </w:hyperlink>
      <w:r w:rsidRPr="007B7C54">
        <w:rPr>
          <w:sz w:val="24"/>
          <w:szCs w:val="24"/>
        </w:rPr>
        <w:t xml:space="preserve">): </w:t>
      </w:r>
    </w:p>
    <w:p w:rsidR="0096491E" w:rsidRPr="007B7C54" w:rsidP="0096491E" w14:paraId="1DD2EB6D" w14:textId="77777777">
      <w:pPr>
        <w:numPr>
          <w:ilvl w:val="0"/>
          <w:numId w:val="34"/>
        </w:numPr>
        <w:spacing w:after="260" w:line="240" w:lineRule="auto"/>
        <w:rPr>
          <w:rFonts w:ascii="Times New Roman" w:hAnsi="Times New Roman" w:cs="Times New Roman"/>
          <w:sz w:val="24"/>
          <w:szCs w:val="24"/>
        </w:rPr>
      </w:pPr>
      <w:r w:rsidRPr="007B7C54">
        <w:rPr>
          <w:rFonts w:ascii="Times New Roman" w:hAnsi="Times New Roman" w:cs="Times New Roman"/>
          <w:sz w:val="24"/>
          <w:szCs w:val="24"/>
        </w:rPr>
        <w:t>Electrical Engineer (Occupation Code: 17-2071): $79.31 (to calculate the reporting requirements)</w:t>
      </w:r>
    </w:p>
    <w:p w:rsidR="0096491E" w:rsidRPr="007B7C54" w:rsidP="0096491E" w14:paraId="3F9E8539" w14:textId="77777777">
      <w:pPr>
        <w:numPr>
          <w:ilvl w:val="0"/>
          <w:numId w:val="34"/>
        </w:numPr>
        <w:spacing w:after="260" w:line="240" w:lineRule="auto"/>
        <w:rPr>
          <w:sz w:val="24"/>
          <w:szCs w:val="24"/>
        </w:rPr>
      </w:pPr>
      <w:r w:rsidRPr="007B7C54">
        <w:rPr>
          <w:rFonts w:ascii="Times New Roman" w:hAnsi="Times New Roman" w:cs="Times New Roman"/>
          <w:sz w:val="24"/>
          <w:szCs w:val="24"/>
        </w:rPr>
        <w:t>Office and Administrative Support (Occupation Code: 43-0000): $48.59 (to calculate the recordkeeping requirements)</w:t>
      </w:r>
    </w:p>
  </w:footnote>
  <w:footnote w:id="11">
    <w:p w:rsidR="0096491E" w:rsidRPr="007B7C54" w:rsidP="0096491E" w14:paraId="3F69A044" w14:textId="77777777">
      <w:pPr>
        <w:pStyle w:val="FootnoteText"/>
        <w:rPr>
          <w:sz w:val="24"/>
          <w:szCs w:val="24"/>
        </w:rPr>
      </w:pPr>
      <w:r w:rsidRPr="00A2168A">
        <w:rPr>
          <w:rStyle w:val="FootnoteReference"/>
          <w:sz w:val="26"/>
          <w:szCs w:val="26"/>
          <w:vertAlign w:val="superscript"/>
        </w:rPr>
        <w:footnoteRef/>
      </w:r>
      <w:r w:rsidRPr="00A2168A">
        <w:rPr>
          <w:sz w:val="26"/>
          <w:szCs w:val="26"/>
        </w:rPr>
        <w:t xml:space="preserve"> </w:t>
      </w:r>
      <w:r w:rsidRPr="007B7C54">
        <w:rPr>
          <w:sz w:val="24"/>
          <w:szCs w:val="24"/>
        </w:rPr>
        <w:t>These values were derived from the NERC Compliance data of April 16, 2024, using only unique United States registered entities.</w:t>
      </w:r>
    </w:p>
    <w:p w:rsidR="0096491E" w:rsidRPr="007B7C54" w:rsidP="0096491E" w14:paraId="52363242" w14:textId="77777777">
      <w:pPr>
        <w:pStyle w:val="FootnoteText"/>
        <w:rPr>
          <w:sz w:val="24"/>
          <w:szCs w:val="24"/>
        </w:rPr>
      </w:pPr>
    </w:p>
  </w:footnote>
  <w:footnote w:id="12">
    <w:p w:rsidR="0096491E" w:rsidRPr="007B7C54" w:rsidP="0096491E" w14:paraId="0432FADA" w14:textId="77777777">
      <w:pPr>
        <w:pStyle w:val="FootnoteText"/>
        <w:rPr>
          <w:sz w:val="24"/>
          <w:szCs w:val="24"/>
        </w:rPr>
      </w:pPr>
      <w:r w:rsidRPr="00E532C9">
        <w:rPr>
          <w:rStyle w:val="FootnoteReference"/>
          <w:sz w:val="26"/>
          <w:szCs w:val="26"/>
          <w:vertAlign w:val="superscript"/>
        </w:rPr>
        <w:footnoteRef/>
      </w:r>
      <w:r w:rsidRPr="00E532C9">
        <w:rPr>
          <w:sz w:val="26"/>
          <w:szCs w:val="26"/>
          <w:vertAlign w:val="superscript"/>
        </w:rPr>
        <w:t xml:space="preserve"> </w:t>
      </w:r>
      <w:r w:rsidRPr="007B7C54">
        <w:rPr>
          <w:sz w:val="24"/>
          <w:szCs w:val="24"/>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96491E" w:rsidRPr="007B7C54" w:rsidP="0096491E" w14:paraId="32CE2DC0" w14:textId="77777777">
      <w:pPr>
        <w:pStyle w:val="FootnoteText"/>
        <w:rPr>
          <w:sz w:val="24"/>
          <w:szCs w:val="24"/>
        </w:rPr>
      </w:pPr>
    </w:p>
  </w:footnote>
  <w:footnote w:id="13">
    <w:p w:rsidR="0096491E" w:rsidRPr="00E532C9" w:rsidP="0096491E" w14:paraId="53419E2F" w14:textId="7EEF40F5">
      <w:pPr>
        <w:pStyle w:val="FootnoteText"/>
        <w:rPr>
          <w:sz w:val="24"/>
          <w:szCs w:val="24"/>
        </w:rPr>
      </w:pPr>
      <w:r w:rsidRPr="00E532C9">
        <w:rPr>
          <w:rStyle w:val="FootnoteReference"/>
          <w:sz w:val="26"/>
          <w:szCs w:val="26"/>
          <w:vertAlign w:val="superscript"/>
        </w:rPr>
        <w:footnoteRef/>
      </w:r>
      <w:r w:rsidRPr="00E532C9">
        <w:rPr>
          <w:sz w:val="26"/>
          <w:szCs w:val="26"/>
        </w:rPr>
        <w:t xml:space="preserve"> </w:t>
      </w:r>
      <w:r w:rsidRPr="007B7C54">
        <w:rPr>
          <w:sz w:val="24"/>
          <w:szCs w:val="24"/>
        </w:rPr>
        <w:t>These values were derived from the NERC Compliance data of April 16, 2024, using only unique United States registered entities.</w:t>
      </w:r>
    </w:p>
  </w:footnote>
  <w:footnote w:id="14">
    <w:p w:rsidR="0096491E" w:rsidRPr="00E532C9" w:rsidP="0096491E" w14:paraId="193E6FBB" w14:textId="0C718DA3">
      <w:pPr>
        <w:pStyle w:val="FootnoteText"/>
        <w:rPr>
          <w:sz w:val="24"/>
          <w:szCs w:val="24"/>
        </w:rPr>
      </w:pPr>
      <w:r w:rsidRPr="00E532C9">
        <w:rPr>
          <w:rStyle w:val="FootnoteReference"/>
          <w:sz w:val="26"/>
          <w:szCs w:val="26"/>
          <w:vertAlign w:val="superscript"/>
        </w:rPr>
        <w:footnoteRef/>
      </w:r>
      <w:r w:rsidRPr="00343697">
        <w:rPr>
          <w:sz w:val="24"/>
          <w:szCs w:val="24"/>
          <w:vertAlign w:val="superscript"/>
        </w:rPr>
        <w:t xml:space="preserve"> </w:t>
      </w:r>
      <w:r w:rsidRPr="00366B4D">
        <w:rPr>
          <w:sz w:val="24"/>
          <w:szCs w:val="24"/>
        </w:rPr>
        <w:t>The estimated hourly cost (salary plus benefits) is a combination based on the Bureau of</w:t>
      </w:r>
      <w:r w:rsidRPr="008E7A57">
        <w:rPr>
          <w:sz w:val="24"/>
          <w:szCs w:val="24"/>
        </w:rPr>
        <w:t xml:space="preserve">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 w:id="15">
    <w:p w:rsidR="0096491E" w:rsidRPr="00E532C9" w:rsidP="0096491E" w14:paraId="42B44305" w14:textId="27F2573C">
      <w:pPr>
        <w:pStyle w:val="FootnoteText"/>
        <w:rPr>
          <w:sz w:val="24"/>
          <w:szCs w:val="24"/>
        </w:rPr>
      </w:pPr>
      <w:r w:rsidRPr="00E532C9">
        <w:rPr>
          <w:rStyle w:val="FootnoteReference"/>
          <w:sz w:val="26"/>
          <w:szCs w:val="26"/>
          <w:vertAlign w:val="superscript"/>
        </w:rPr>
        <w:footnoteRef/>
      </w:r>
      <w:r w:rsidRPr="00E532C9">
        <w:rPr>
          <w:sz w:val="26"/>
          <w:szCs w:val="26"/>
          <w:vertAlign w:val="superscript"/>
        </w:rPr>
        <w:t xml:space="preserve"> </w:t>
      </w:r>
      <w:r w:rsidRPr="008E7A57">
        <w:rPr>
          <w:sz w:val="24"/>
          <w:szCs w:val="24"/>
        </w:rPr>
        <w:t>These values were derived from the NERC Compliance data of April 16, 2024, using only unique United States registered entities.</w:t>
      </w:r>
    </w:p>
  </w:footnote>
  <w:footnote w:id="16">
    <w:p w:rsidR="0096491E" w:rsidRPr="008E7A57" w:rsidP="0096491E" w14:paraId="187BE784" w14:textId="77777777">
      <w:pPr>
        <w:pStyle w:val="FootnoteText"/>
        <w:rPr>
          <w:sz w:val="24"/>
          <w:szCs w:val="24"/>
        </w:rPr>
      </w:pPr>
      <w:r w:rsidRPr="00E532C9">
        <w:rPr>
          <w:rStyle w:val="FootnoteReference"/>
          <w:sz w:val="26"/>
          <w:szCs w:val="26"/>
          <w:vertAlign w:val="superscript"/>
        </w:rPr>
        <w:footnoteRef/>
      </w:r>
      <w:r w:rsidRPr="00E532C9">
        <w:rPr>
          <w:sz w:val="26"/>
          <w:szCs w:val="26"/>
          <w:vertAlign w:val="superscript"/>
        </w:rPr>
        <w:t xml:space="preserve"> </w:t>
      </w:r>
      <w:r w:rsidRPr="008E7A57">
        <w:rPr>
          <w:sz w:val="24"/>
          <w:szCs w:val="24"/>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96491E" w:rsidP="0096491E" w14:paraId="646D7E7B" w14:textId="77777777">
      <w:pPr>
        <w:pStyle w:val="FootnoteText"/>
      </w:pPr>
    </w:p>
  </w:footnote>
  <w:footnote w:id="17">
    <w:p w:rsidR="00366B4D" w:rsidRPr="008E7A57" w:rsidP="0096491E" w14:paraId="3F5C8CED" w14:textId="36213175">
      <w:pPr>
        <w:pStyle w:val="FootnoteText"/>
        <w:rPr>
          <w:sz w:val="24"/>
          <w:szCs w:val="24"/>
        </w:rPr>
      </w:pPr>
      <w:r w:rsidRPr="00E532C9">
        <w:rPr>
          <w:rStyle w:val="FootnoteReference"/>
          <w:sz w:val="26"/>
          <w:szCs w:val="26"/>
          <w:vertAlign w:val="superscript"/>
        </w:rPr>
        <w:footnoteRef/>
      </w:r>
      <w:r w:rsidRPr="00E532C9">
        <w:rPr>
          <w:sz w:val="26"/>
          <w:szCs w:val="26"/>
          <w:vertAlign w:val="superscript"/>
        </w:rPr>
        <w:t xml:space="preserve"> </w:t>
      </w:r>
      <w:r w:rsidRPr="008E7A57">
        <w:rPr>
          <w:sz w:val="24"/>
          <w:szCs w:val="24"/>
        </w:rPr>
        <w:t xml:space="preserve">For PRC-011-0 (Undervoltage Load Shedding System Maintenance and Testing) Reliability Standard, not ever applicable TO (324) and DP (371) have UVLS programs.  Staff estimates that fifty percent of the TOs and DPs need to follow PRC-011-0, so the number of entities will be TO (162) and DP (181). </w:t>
      </w:r>
    </w:p>
  </w:footnote>
  <w:footnote w:id="18">
    <w:p w:rsidR="0096491E" w:rsidP="0096491E" w14:paraId="4CB5F625" w14:textId="77777777">
      <w:pPr>
        <w:pStyle w:val="FootnoteText"/>
      </w:pPr>
      <w:r w:rsidRPr="00E532C9">
        <w:rPr>
          <w:rStyle w:val="FootnoteReference"/>
          <w:sz w:val="26"/>
          <w:szCs w:val="26"/>
          <w:vertAlign w:val="superscript"/>
        </w:rPr>
        <w:footnoteRef/>
      </w:r>
      <w:r w:rsidRPr="00E532C9">
        <w:rPr>
          <w:sz w:val="26"/>
          <w:szCs w:val="26"/>
          <w:vertAlign w:val="superscript"/>
        </w:rPr>
        <w:t xml:space="preserve"> </w:t>
      </w:r>
      <w:r w:rsidRPr="008E7A57">
        <w:rPr>
          <w:sz w:val="24"/>
          <w:szCs w:val="24"/>
        </w:rPr>
        <w:t>These values were derived from the NERC Compliance data of April 16, 2024, using only unique United States registered entities.  For PRC-011-0 only half of the TO = Transmission Owner (324/2 = 162) and DP = Distribution Provider (371/2 = 180.5, rounded to 181).</w:t>
      </w:r>
    </w:p>
  </w:footnote>
  <w:footnote w:id="19">
    <w:p w:rsidR="0096491E" w:rsidRPr="008E7A57" w:rsidP="0096491E" w14:paraId="7BB0BCD5" w14:textId="77777777">
      <w:pPr>
        <w:pStyle w:val="FootnoteText"/>
        <w:rPr>
          <w:sz w:val="24"/>
          <w:szCs w:val="24"/>
        </w:rPr>
      </w:pPr>
      <w:r>
        <w:rPr>
          <w:rStyle w:val="FootnoteReference"/>
        </w:rPr>
        <w:footnoteRef/>
      </w:r>
      <w:r>
        <w:t xml:space="preserve"> </w:t>
      </w:r>
      <w:r w:rsidRPr="008E7A57">
        <w:rPr>
          <w:sz w:val="24"/>
          <w:szCs w:val="24"/>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96491E" w:rsidRPr="008E7A57" w:rsidP="0096491E" w14:paraId="46493DF3" w14:textId="77777777">
      <w:pPr>
        <w:pStyle w:val="FootnoteText"/>
        <w:ind w:firstLine="720"/>
        <w:rPr>
          <w:sz w:val="24"/>
          <w:szCs w:val="24"/>
        </w:rPr>
      </w:pPr>
    </w:p>
  </w:footnote>
  <w:footnote w:id="20">
    <w:p w:rsidR="0096491E" w:rsidRPr="008E7A57" w:rsidP="0096491E" w14:paraId="02DA75D0" w14:textId="77777777">
      <w:pPr>
        <w:pStyle w:val="FootnoteText"/>
        <w:rPr>
          <w:sz w:val="24"/>
          <w:szCs w:val="24"/>
        </w:rPr>
      </w:pPr>
      <w:r w:rsidRPr="00E532C9">
        <w:rPr>
          <w:rStyle w:val="FootnoteReference"/>
          <w:sz w:val="26"/>
          <w:szCs w:val="26"/>
          <w:vertAlign w:val="superscript"/>
        </w:rPr>
        <w:footnoteRef/>
      </w:r>
      <w:r w:rsidRPr="00E532C9">
        <w:rPr>
          <w:sz w:val="26"/>
          <w:szCs w:val="26"/>
          <w:vertAlign w:val="superscript"/>
        </w:rPr>
        <w:t xml:space="preserve"> </w:t>
      </w:r>
      <w:r w:rsidRPr="008E7A57">
        <w:rPr>
          <w:sz w:val="24"/>
          <w:szCs w:val="24"/>
        </w:rPr>
        <w:t xml:space="preserve">These values were derived from the NERC Compliance data of April 16, </w:t>
      </w:r>
      <w:r w:rsidRPr="00F04BC3">
        <w:rPr>
          <w:sz w:val="24"/>
          <w:szCs w:val="24"/>
        </w:rPr>
        <w:t>2024,</w:t>
      </w:r>
      <w:r w:rsidRPr="008E7A57">
        <w:rPr>
          <w:sz w:val="24"/>
          <w:szCs w:val="24"/>
        </w:rPr>
        <w:t xml:space="preserve"> using only unique United States registered entities.</w:t>
      </w:r>
    </w:p>
    <w:p w:rsidR="0096491E" w:rsidP="0096491E" w14:paraId="11E65A92" w14:textId="77777777">
      <w:pPr>
        <w:pStyle w:val="FootnoteText"/>
      </w:pPr>
    </w:p>
  </w:footnote>
  <w:footnote w:id="21">
    <w:p w:rsidR="0096491E" w:rsidRPr="008E7A57" w:rsidP="0096491E" w14:paraId="4D2D5ABF" w14:textId="77777777">
      <w:pPr>
        <w:pStyle w:val="FootnoteText"/>
        <w:rPr>
          <w:sz w:val="24"/>
          <w:szCs w:val="24"/>
        </w:rPr>
      </w:pPr>
      <w:r w:rsidRPr="00E532C9">
        <w:rPr>
          <w:rStyle w:val="FootnoteReference"/>
          <w:sz w:val="26"/>
          <w:szCs w:val="26"/>
          <w:vertAlign w:val="superscript"/>
        </w:rPr>
        <w:footnoteRef/>
      </w:r>
      <w:r w:rsidRPr="00E532C9">
        <w:rPr>
          <w:sz w:val="26"/>
          <w:szCs w:val="26"/>
          <w:vertAlign w:val="superscript"/>
        </w:rPr>
        <w:t xml:space="preserve"> </w:t>
      </w:r>
      <w:r w:rsidRPr="008E7A57">
        <w:rPr>
          <w:sz w:val="24"/>
          <w:szCs w:val="24"/>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96491E" w:rsidRPr="008E7A57" w:rsidP="0096491E" w14:paraId="5FFF3BB5" w14:textId="77777777">
      <w:pPr>
        <w:pStyle w:val="FootnoteText"/>
        <w:rPr>
          <w:sz w:val="24"/>
          <w:szCs w:val="24"/>
        </w:rPr>
      </w:pPr>
    </w:p>
  </w:footnote>
  <w:footnote w:id="22">
    <w:p w:rsidR="0096491E" w:rsidRPr="008E7A57" w:rsidP="0096491E" w14:paraId="5DA2854A" w14:textId="77777777">
      <w:pPr>
        <w:pStyle w:val="FootnoteText"/>
        <w:rPr>
          <w:sz w:val="24"/>
          <w:szCs w:val="24"/>
        </w:rPr>
      </w:pPr>
      <w:r w:rsidRPr="00E532C9">
        <w:rPr>
          <w:rStyle w:val="FootnoteReference"/>
          <w:sz w:val="26"/>
          <w:szCs w:val="26"/>
          <w:vertAlign w:val="superscript"/>
        </w:rPr>
        <w:footnoteRef/>
      </w:r>
      <w:r w:rsidRPr="00E532C9">
        <w:rPr>
          <w:sz w:val="26"/>
          <w:szCs w:val="26"/>
          <w:vertAlign w:val="superscript"/>
        </w:rPr>
        <w:t xml:space="preserve"> </w:t>
      </w:r>
      <w:r w:rsidRPr="008E7A57">
        <w:rPr>
          <w:sz w:val="24"/>
          <w:szCs w:val="24"/>
        </w:rPr>
        <w:t xml:space="preserve">This is a list of NERC registered entities who under 725A need to follow the NERC Standards.  BA=Balancing Authority (98); DP = Distribution Provider (371); GP = Generator Owner (1,210); Generator Operator (1028); PA/PC Planning Authority/Planning Coordinator (62); RC=Reliability Coordinator (12); RP = Resource Planner (159); RSG = Reserve Sharing Group (8); FRSG = Frequency Response Sharing Group (1); TO = Transmission Owner (324); TOP = Transmission Operator (165); TP = Transmission Provided (203); TSP = Transmission Service Provider (70); for a sum total of (3,711).  The same entity may have multiple registration obligation to follow under 725A, so an individual entity’s obligation increases based on registration functions.  These values were derived from the NERC Compliance data of April 16, </w:t>
      </w:r>
      <w:r w:rsidRPr="00F43D39">
        <w:rPr>
          <w:sz w:val="24"/>
          <w:szCs w:val="24"/>
        </w:rPr>
        <w:t>2024,</w:t>
      </w:r>
      <w:r w:rsidRPr="008E7A57">
        <w:rPr>
          <w:sz w:val="24"/>
          <w:szCs w:val="24"/>
        </w:rPr>
        <w:t xml:space="preserve"> using only unique United States registered entities.</w:t>
      </w:r>
    </w:p>
    <w:p w:rsidR="0096491E" w:rsidRPr="00E532C9" w:rsidP="0096491E" w14:paraId="3EE04F5C" w14:textId="77777777">
      <w:pPr>
        <w:pStyle w:val="FootnoteText"/>
        <w:rPr>
          <w:sz w:val="26"/>
          <w:szCs w:val="26"/>
        </w:rPr>
      </w:pPr>
    </w:p>
  </w:footnote>
  <w:footnote w:id="23">
    <w:p w:rsidR="0096491E" w:rsidRPr="008E7A57" w:rsidP="0096491E" w14:paraId="3E515058" w14:textId="77777777">
      <w:pPr>
        <w:pStyle w:val="FootnoteText"/>
        <w:rPr>
          <w:sz w:val="24"/>
          <w:szCs w:val="24"/>
        </w:rPr>
      </w:pPr>
      <w:r w:rsidRPr="00E532C9">
        <w:rPr>
          <w:rStyle w:val="FootnoteReference"/>
          <w:sz w:val="26"/>
          <w:szCs w:val="26"/>
          <w:vertAlign w:val="superscript"/>
        </w:rPr>
        <w:footnoteRef/>
      </w:r>
      <w:r w:rsidRPr="00343697">
        <w:rPr>
          <w:vertAlign w:val="superscript"/>
        </w:rPr>
        <w:t xml:space="preserve"> </w:t>
      </w:r>
      <w:r w:rsidRPr="008E7A57">
        <w:rPr>
          <w:sz w:val="24"/>
          <w:szCs w:val="24"/>
        </w:rPr>
        <w:t xml:space="preserve">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 </w:t>
      </w:r>
    </w:p>
  </w:footnote>
  <w:footnote w:id="24">
    <w:p w:rsidR="00EE7794" w:rsidRPr="005D02C5" w:rsidP="001B66CF" w14:paraId="1FB305A4" w14:textId="73476650">
      <w:pPr>
        <w:pStyle w:val="FootnoteText"/>
        <w:rPr>
          <w:sz w:val="24"/>
          <w:szCs w:val="24"/>
        </w:rPr>
      </w:pPr>
      <w:r w:rsidRPr="005D02C5">
        <w:rPr>
          <w:sz w:val="24"/>
          <w:szCs w:val="24"/>
          <w:vertAlign w:val="superscript"/>
        </w:rPr>
        <w:footnoteRef/>
      </w:r>
      <w:r w:rsidRPr="005D02C5">
        <w:rPr>
          <w:sz w:val="24"/>
          <w:szCs w:val="24"/>
          <w:vertAlign w:val="superscript"/>
        </w:rPr>
        <w:t xml:space="preserve"> </w:t>
      </w:r>
      <w:r w:rsidRPr="005D02C5">
        <w:rPr>
          <w:sz w:val="24"/>
          <w:szCs w:val="24"/>
        </w:rPr>
        <w:t>The estimate uses the FERC’s FY 202</w:t>
      </w:r>
      <w:r w:rsidRPr="005D02C5" w:rsidR="009F357D">
        <w:rPr>
          <w:sz w:val="24"/>
          <w:szCs w:val="24"/>
        </w:rPr>
        <w:t>4</w:t>
      </w:r>
      <w:r w:rsidRPr="005D02C5">
        <w:rPr>
          <w:sz w:val="24"/>
          <w:szCs w:val="24"/>
        </w:rPr>
        <w:t xml:space="preserve"> average annual salary plus benefits of one FERC FTE (full-time equivalent [$</w:t>
      </w:r>
      <w:r w:rsidRPr="005D02C5" w:rsidR="009F357D">
        <w:rPr>
          <w:sz w:val="24"/>
          <w:szCs w:val="24"/>
        </w:rPr>
        <w:t>207</w:t>
      </w:r>
      <w:r w:rsidRPr="005D02C5">
        <w:rPr>
          <w:sz w:val="24"/>
          <w:szCs w:val="24"/>
        </w:rPr>
        <w:t>,</w:t>
      </w:r>
      <w:r w:rsidRPr="005D02C5" w:rsidR="009F357D">
        <w:rPr>
          <w:sz w:val="24"/>
          <w:szCs w:val="24"/>
        </w:rPr>
        <w:t>786</w:t>
      </w:r>
      <w:r w:rsidRPr="005D02C5">
        <w:rPr>
          <w:sz w:val="24"/>
          <w:szCs w:val="24"/>
        </w:rPr>
        <w:t xml:space="preserve"> per year or $</w:t>
      </w:r>
      <w:r w:rsidRPr="005D02C5" w:rsidR="00952F08">
        <w:rPr>
          <w:sz w:val="24"/>
          <w:szCs w:val="24"/>
        </w:rPr>
        <w:t>100</w:t>
      </w:r>
      <w:r w:rsidRPr="005D02C5">
        <w:rPr>
          <w:sz w:val="24"/>
          <w:szCs w:val="24"/>
        </w:rPr>
        <w:t xml:space="preserve">.00 per hour]).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7794" w:rsidRPr="00416A69" w:rsidP="00B3407F" w14:paraId="3A568B8C" w14:textId="09931DAD">
    <w:pPr>
      <w:pStyle w:val="Header"/>
      <w:rPr>
        <w:rFonts w:ascii="Times New Roman" w:hAnsi="Times New Roman"/>
        <w:sz w:val="24"/>
        <w:szCs w:val="24"/>
      </w:rPr>
    </w:pPr>
    <w:r>
      <w:rPr>
        <w:rFonts w:ascii="Times New Roman" w:hAnsi="Times New Roman"/>
        <w:sz w:val="24"/>
        <w:szCs w:val="24"/>
      </w:rPr>
      <w:t xml:space="preserve">FERC-725A (OMB Control No.:1902-0244)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616BCF"/>
    <w:multiLevelType w:val="hybridMultilevel"/>
    <w:tmpl w:val="D5E44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256264B"/>
    <w:multiLevelType w:val="hybridMultilevel"/>
    <w:tmpl w:val="64D22C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2E80CF9"/>
    <w:multiLevelType w:val="hybridMultilevel"/>
    <w:tmpl w:val="C65E7E40"/>
    <w:lvl w:ilvl="0">
      <w:start w:val="1"/>
      <w:numFmt w:val="bullet"/>
      <w:lvlText w:val=""/>
      <w:lvlJc w:val="left"/>
      <w:pPr>
        <w:tabs>
          <w:tab w:val="num" w:pos="490"/>
        </w:tabs>
        <w:ind w:left="490" w:hanging="360"/>
      </w:pPr>
      <w:rPr>
        <w:rFonts w:ascii="Symbol" w:hAnsi="Symbol" w:hint="default"/>
      </w:rPr>
    </w:lvl>
    <w:lvl w:ilvl="1" w:tentative="1">
      <w:start w:val="1"/>
      <w:numFmt w:val="bullet"/>
      <w:lvlText w:val="o"/>
      <w:lvlJc w:val="left"/>
      <w:pPr>
        <w:tabs>
          <w:tab w:val="num" w:pos="1210"/>
        </w:tabs>
        <w:ind w:left="1210" w:hanging="360"/>
      </w:pPr>
      <w:rPr>
        <w:rFonts w:ascii="Courier New" w:hAnsi="Courier New" w:hint="default"/>
      </w:rPr>
    </w:lvl>
    <w:lvl w:ilvl="2" w:tentative="1">
      <w:start w:val="1"/>
      <w:numFmt w:val="bullet"/>
      <w:lvlText w:val=""/>
      <w:lvlJc w:val="left"/>
      <w:pPr>
        <w:tabs>
          <w:tab w:val="num" w:pos="1930"/>
        </w:tabs>
        <w:ind w:left="1930" w:hanging="360"/>
      </w:pPr>
      <w:rPr>
        <w:rFonts w:ascii="Wingdings" w:hAnsi="Wingdings" w:hint="default"/>
      </w:rPr>
    </w:lvl>
    <w:lvl w:ilvl="3" w:tentative="1">
      <w:start w:val="1"/>
      <w:numFmt w:val="bullet"/>
      <w:lvlText w:val=""/>
      <w:lvlJc w:val="left"/>
      <w:pPr>
        <w:tabs>
          <w:tab w:val="num" w:pos="2650"/>
        </w:tabs>
        <w:ind w:left="2650" w:hanging="360"/>
      </w:pPr>
      <w:rPr>
        <w:rFonts w:ascii="Symbol" w:hAnsi="Symbol" w:hint="default"/>
      </w:rPr>
    </w:lvl>
    <w:lvl w:ilvl="4" w:tentative="1">
      <w:start w:val="1"/>
      <w:numFmt w:val="bullet"/>
      <w:lvlText w:val="o"/>
      <w:lvlJc w:val="left"/>
      <w:pPr>
        <w:tabs>
          <w:tab w:val="num" w:pos="3370"/>
        </w:tabs>
        <w:ind w:left="3370" w:hanging="360"/>
      </w:pPr>
      <w:rPr>
        <w:rFonts w:ascii="Courier New" w:hAnsi="Courier New" w:hint="default"/>
      </w:rPr>
    </w:lvl>
    <w:lvl w:ilvl="5" w:tentative="1">
      <w:start w:val="1"/>
      <w:numFmt w:val="bullet"/>
      <w:lvlText w:val=""/>
      <w:lvlJc w:val="left"/>
      <w:pPr>
        <w:tabs>
          <w:tab w:val="num" w:pos="4090"/>
        </w:tabs>
        <w:ind w:left="4090" w:hanging="360"/>
      </w:pPr>
      <w:rPr>
        <w:rFonts w:ascii="Wingdings" w:hAnsi="Wingdings" w:hint="default"/>
      </w:rPr>
    </w:lvl>
    <w:lvl w:ilvl="6" w:tentative="1">
      <w:start w:val="1"/>
      <w:numFmt w:val="bullet"/>
      <w:lvlText w:val=""/>
      <w:lvlJc w:val="left"/>
      <w:pPr>
        <w:tabs>
          <w:tab w:val="num" w:pos="4810"/>
        </w:tabs>
        <w:ind w:left="4810" w:hanging="360"/>
      </w:pPr>
      <w:rPr>
        <w:rFonts w:ascii="Symbol" w:hAnsi="Symbol" w:hint="default"/>
      </w:rPr>
    </w:lvl>
    <w:lvl w:ilvl="7" w:tentative="1">
      <w:start w:val="1"/>
      <w:numFmt w:val="bullet"/>
      <w:lvlText w:val="o"/>
      <w:lvlJc w:val="left"/>
      <w:pPr>
        <w:tabs>
          <w:tab w:val="num" w:pos="5530"/>
        </w:tabs>
        <w:ind w:left="5530" w:hanging="360"/>
      </w:pPr>
      <w:rPr>
        <w:rFonts w:ascii="Courier New" w:hAnsi="Courier New" w:hint="default"/>
      </w:rPr>
    </w:lvl>
    <w:lvl w:ilvl="8" w:tentative="1">
      <w:start w:val="1"/>
      <w:numFmt w:val="bullet"/>
      <w:lvlText w:val=""/>
      <w:lvlJc w:val="left"/>
      <w:pPr>
        <w:tabs>
          <w:tab w:val="num" w:pos="6250"/>
        </w:tabs>
        <w:ind w:left="6250" w:hanging="360"/>
      </w:pPr>
      <w:rPr>
        <w:rFonts w:ascii="Wingdings" w:hAnsi="Wingdings" w:hint="default"/>
      </w:rPr>
    </w:lvl>
  </w:abstractNum>
  <w:abstractNum w:abstractNumId="13">
    <w:nsid w:val="1821664C"/>
    <w:multiLevelType w:val="hybridMultilevel"/>
    <w:tmpl w:val="A91056F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91B4D7D"/>
    <w:multiLevelType w:val="hybridMultilevel"/>
    <w:tmpl w:val="66D473C4"/>
    <w:lvl w:ilvl="0">
      <w:start w:val="0"/>
      <w:numFmt w:val="bullet"/>
      <w:lvlText w:val=""/>
      <w:lvlJc w:val="left"/>
      <w:pPr>
        <w:ind w:left="810" w:hanging="360"/>
      </w:pPr>
      <w:rPr>
        <w:rFonts w:ascii="Times New Roman" w:hAnsi="Times New Roman" w:eastAsiaTheme="minorHAns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5">
    <w:nsid w:val="1E334585"/>
    <w:multiLevelType w:val="hybridMultilevel"/>
    <w:tmpl w:val="70ECB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C3951C5"/>
    <w:multiLevelType w:val="hybridMultilevel"/>
    <w:tmpl w:val="CC068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nsid w:val="3D3844F1"/>
    <w:multiLevelType w:val="hybridMultilevel"/>
    <w:tmpl w:val="213A0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0430F52"/>
    <w:multiLevelType w:val="hybridMultilevel"/>
    <w:tmpl w:val="D004E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9527D0"/>
    <w:multiLevelType w:val="hybridMultilevel"/>
    <w:tmpl w:val="C6043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B7425B"/>
    <w:multiLevelType w:val="hybridMultilevel"/>
    <w:tmpl w:val="825A398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155789"/>
    <w:multiLevelType w:val="hybridMultilevel"/>
    <w:tmpl w:val="F5E053C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4">
    <w:nsid w:val="568B5F24"/>
    <w:multiLevelType w:val="hybridMultilevel"/>
    <w:tmpl w:val="60E21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0E7BFE"/>
    <w:multiLevelType w:val="hybridMultilevel"/>
    <w:tmpl w:val="23A86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C03409"/>
    <w:multiLevelType w:val="hybridMultilevel"/>
    <w:tmpl w:val="0F2EB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B5975AC"/>
    <w:multiLevelType w:val="hybridMultilevel"/>
    <w:tmpl w:val="2FFAF80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B893EE1"/>
    <w:multiLevelType w:val="hybridMultilevel"/>
    <w:tmpl w:val="FEB892DE"/>
    <w:lvl w:ilvl="0">
      <w:start w:val="1"/>
      <w:numFmt w:val="bullet"/>
      <w:lvlText w:val=""/>
      <w:lvlJc w:val="left"/>
      <w:pPr>
        <w:ind w:left="845" w:hanging="360"/>
      </w:pPr>
      <w:rPr>
        <w:rFonts w:ascii="Symbol" w:hAnsi="Symbol" w:hint="default"/>
      </w:rPr>
    </w:lvl>
    <w:lvl w:ilvl="1" w:tentative="1">
      <w:start w:val="1"/>
      <w:numFmt w:val="bullet"/>
      <w:lvlText w:val="o"/>
      <w:lvlJc w:val="left"/>
      <w:pPr>
        <w:ind w:left="1565" w:hanging="360"/>
      </w:pPr>
      <w:rPr>
        <w:rFonts w:ascii="Courier New" w:hAnsi="Courier New" w:cs="Courier New" w:hint="default"/>
      </w:rPr>
    </w:lvl>
    <w:lvl w:ilvl="2" w:tentative="1">
      <w:start w:val="1"/>
      <w:numFmt w:val="bullet"/>
      <w:lvlText w:val=""/>
      <w:lvlJc w:val="left"/>
      <w:pPr>
        <w:ind w:left="2285" w:hanging="360"/>
      </w:pPr>
      <w:rPr>
        <w:rFonts w:ascii="Wingdings" w:hAnsi="Wingdings" w:hint="default"/>
      </w:rPr>
    </w:lvl>
    <w:lvl w:ilvl="3" w:tentative="1">
      <w:start w:val="1"/>
      <w:numFmt w:val="bullet"/>
      <w:lvlText w:val=""/>
      <w:lvlJc w:val="left"/>
      <w:pPr>
        <w:ind w:left="3005" w:hanging="360"/>
      </w:pPr>
      <w:rPr>
        <w:rFonts w:ascii="Symbol" w:hAnsi="Symbol" w:hint="default"/>
      </w:rPr>
    </w:lvl>
    <w:lvl w:ilvl="4" w:tentative="1">
      <w:start w:val="1"/>
      <w:numFmt w:val="bullet"/>
      <w:lvlText w:val="o"/>
      <w:lvlJc w:val="left"/>
      <w:pPr>
        <w:ind w:left="3725" w:hanging="360"/>
      </w:pPr>
      <w:rPr>
        <w:rFonts w:ascii="Courier New" w:hAnsi="Courier New" w:cs="Courier New" w:hint="default"/>
      </w:rPr>
    </w:lvl>
    <w:lvl w:ilvl="5" w:tentative="1">
      <w:start w:val="1"/>
      <w:numFmt w:val="bullet"/>
      <w:lvlText w:val=""/>
      <w:lvlJc w:val="left"/>
      <w:pPr>
        <w:ind w:left="4445" w:hanging="360"/>
      </w:pPr>
      <w:rPr>
        <w:rFonts w:ascii="Wingdings" w:hAnsi="Wingdings" w:hint="default"/>
      </w:rPr>
    </w:lvl>
    <w:lvl w:ilvl="6" w:tentative="1">
      <w:start w:val="1"/>
      <w:numFmt w:val="bullet"/>
      <w:lvlText w:val=""/>
      <w:lvlJc w:val="left"/>
      <w:pPr>
        <w:ind w:left="5165" w:hanging="360"/>
      </w:pPr>
      <w:rPr>
        <w:rFonts w:ascii="Symbol" w:hAnsi="Symbol" w:hint="default"/>
      </w:rPr>
    </w:lvl>
    <w:lvl w:ilvl="7" w:tentative="1">
      <w:start w:val="1"/>
      <w:numFmt w:val="bullet"/>
      <w:lvlText w:val="o"/>
      <w:lvlJc w:val="left"/>
      <w:pPr>
        <w:ind w:left="5885" w:hanging="360"/>
      </w:pPr>
      <w:rPr>
        <w:rFonts w:ascii="Courier New" w:hAnsi="Courier New" w:cs="Courier New" w:hint="default"/>
      </w:rPr>
    </w:lvl>
    <w:lvl w:ilvl="8" w:tentative="1">
      <w:start w:val="1"/>
      <w:numFmt w:val="bullet"/>
      <w:lvlText w:val=""/>
      <w:lvlJc w:val="left"/>
      <w:pPr>
        <w:ind w:left="6605" w:hanging="360"/>
      </w:pPr>
      <w:rPr>
        <w:rFonts w:ascii="Wingdings" w:hAnsi="Wingdings" w:hint="default"/>
      </w:rPr>
    </w:lvl>
  </w:abstractNum>
  <w:abstractNum w:abstractNumId="31">
    <w:nsid w:val="73D16E82"/>
    <w:multiLevelType w:val="hybridMultilevel"/>
    <w:tmpl w:val="9D22A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7460736"/>
    <w:multiLevelType w:val="hybridMultilevel"/>
    <w:tmpl w:val="804A2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323776929">
    <w:abstractNumId w:val="21"/>
  </w:num>
  <w:num w:numId="2" w16cid:durableId="915751243">
    <w:abstractNumId w:val="17"/>
  </w:num>
  <w:num w:numId="3" w16cid:durableId="1293946896">
    <w:abstractNumId w:val="25"/>
  </w:num>
  <w:num w:numId="4" w16cid:durableId="1436091641">
    <w:abstractNumId w:val="27"/>
  </w:num>
  <w:num w:numId="5" w16cid:durableId="1921406157">
    <w:abstractNumId w:val="33"/>
  </w:num>
  <w:num w:numId="6" w16cid:durableId="14423070">
    <w:abstractNumId w:val="30"/>
  </w:num>
  <w:num w:numId="7" w16cid:durableId="2142646014">
    <w:abstractNumId w:val="12"/>
  </w:num>
  <w:num w:numId="8" w16cid:durableId="1254823451">
    <w:abstractNumId w:val="26"/>
  </w:num>
  <w:num w:numId="9" w16cid:durableId="1873224179">
    <w:abstractNumId w:val="9"/>
  </w:num>
  <w:num w:numId="10" w16cid:durableId="1678270927">
    <w:abstractNumId w:val="7"/>
  </w:num>
  <w:num w:numId="11" w16cid:durableId="1627810625">
    <w:abstractNumId w:val="6"/>
  </w:num>
  <w:num w:numId="12" w16cid:durableId="1866210627">
    <w:abstractNumId w:val="5"/>
  </w:num>
  <w:num w:numId="13" w16cid:durableId="61829278">
    <w:abstractNumId w:val="4"/>
  </w:num>
  <w:num w:numId="14" w16cid:durableId="259991411">
    <w:abstractNumId w:val="8"/>
  </w:num>
  <w:num w:numId="15" w16cid:durableId="555505193">
    <w:abstractNumId w:val="3"/>
  </w:num>
  <w:num w:numId="16" w16cid:durableId="1143542012">
    <w:abstractNumId w:val="2"/>
  </w:num>
  <w:num w:numId="17" w16cid:durableId="524365255">
    <w:abstractNumId w:val="1"/>
  </w:num>
  <w:num w:numId="18" w16cid:durableId="880945020">
    <w:abstractNumId w:val="0"/>
  </w:num>
  <w:num w:numId="19" w16cid:durableId="577010712">
    <w:abstractNumId w:val="28"/>
  </w:num>
  <w:num w:numId="20" w16cid:durableId="1184202359">
    <w:abstractNumId w:val="16"/>
  </w:num>
  <w:num w:numId="21" w16cid:durableId="2110391215">
    <w:abstractNumId w:val="10"/>
  </w:num>
  <w:num w:numId="22" w16cid:durableId="633340772">
    <w:abstractNumId w:val="32"/>
  </w:num>
  <w:num w:numId="23" w16cid:durableId="1398748299">
    <w:abstractNumId w:val="18"/>
  </w:num>
  <w:num w:numId="24" w16cid:durableId="1802384467">
    <w:abstractNumId w:val="19"/>
  </w:num>
  <w:num w:numId="25" w16cid:durableId="1375931538">
    <w:abstractNumId w:val="31"/>
  </w:num>
  <w:num w:numId="26" w16cid:durableId="1216896924">
    <w:abstractNumId w:val="13"/>
  </w:num>
  <w:num w:numId="27" w16cid:durableId="1528636776">
    <w:abstractNumId w:val="29"/>
  </w:num>
  <w:num w:numId="28" w16cid:durableId="59642191">
    <w:abstractNumId w:val="11"/>
  </w:num>
  <w:num w:numId="29" w16cid:durableId="525096984">
    <w:abstractNumId w:val="14"/>
  </w:num>
  <w:num w:numId="30" w16cid:durableId="1962952520">
    <w:abstractNumId w:val="23"/>
  </w:num>
  <w:num w:numId="31" w16cid:durableId="1978754302">
    <w:abstractNumId w:val="24"/>
  </w:num>
  <w:num w:numId="32" w16cid:durableId="638538646">
    <w:abstractNumId w:val="15"/>
  </w:num>
  <w:num w:numId="33" w16cid:durableId="2112384744">
    <w:abstractNumId w:val="22"/>
  </w:num>
  <w:num w:numId="34" w16cid:durableId="3735051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13E8"/>
    <w:rsid w:val="00001EC7"/>
    <w:rsid w:val="0000315F"/>
    <w:rsid w:val="000042C0"/>
    <w:rsid w:val="00004303"/>
    <w:rsid w:val="000047AA"/>
    <w:rsid w:val="00004D85"/>
    <w:rsid w:val="00011946"/>
    <w:rsid w:val="0002242D"/>
    <w:rsid w:val="000317C5"/>
    <w:rsid w:val="00032AB7"/>
    <w:rsid w:val="00033749"/>
    <w:rsid w:val="00035845"/>
    <w:rsid w:val="0004709E"/>
    <w:rsid w:val="00052CFA"/>
    <w:rsid w:val="000541C7"/>
    <w:rsid w:val="00054B9A"/>
    <w:rsid w:val="00057A9A"/>
    <w:rsid w:val="00071443"/>
    <w:rsid w:val="00071E8E"/>
    <w:rsid w:val="00095C1D"/>
    <w:rsid w:val="000A441A"/>
    <w:rsid w:val="000B0C37"/>
    <w:rsid w:val="000B4923"/>
    <w:rsid w:val="000D1962"/>
    <w:rsid w:val="000E4604"/>
    <w:rsid w:val="000F532B"/>
    <w:rsid w:val="00107834"/>
    <w:rsid w:val="00107E20"/>
    <w:rsid w:val="00132DA0"/>
    <w:rsid w:val="001372FF"/>
    <w:rsid w:val="00143103"/>
    <w:rsid w:val="001470D4"/>
    <w:rsid w:val="001513C0"/>
    <w:rsid w:val="00173D95"/>
    <w:rsid w:val="0017787C"/>
    <w:rsid w:val="00181727"/>
    <w:rsid w:val="00182858"/>
    <w:rsid w:val="00185730"/>
    <w:rsid w:val="00190012"/>
    <w:rsid w:val="001920F6"/>
    <w:rsid w:val="001B02F2"/>
    <w:rsid w:val="001B66CF"/>
    <w:rsid w:val="001C300E"/>
    <w:rsid w:val="001D0D91"/>
    <w:rsid w:val="001F1AD2"/>
    <w:rsid w:val="001F4608"/>
    <w:rsid w:val="002051EB"/>
    <w:rsid w:val="00210748"/>
    <w:rsid w:val="00210902"/>
    <w:rsid w:val="00212FCA"/>
    <w:rsid w:val="00217FA7"/>
    <w:rsid w:val="002249B4"/>
    <w:rsid w:val="00231EBD"/>
    <w:rsid w:val="0026674D"/>
    <w:rsid w:val="00270229"/>
    <w:rsid w:val="00275E54"/>
    <w:rsid w:val="002800F3"/>
    <w:rsid w:val="00291C3B"/>
    <w:rsid w:val="00293DD1"/>
    <w:rsid w:val="002B13E2"/>
    <w:rsid w:val="002B502D"/>
    <w:rsid w:val="002C7345"/>
    <w:rsid w:val="002D57E3"/>
    <w:rsid w:val="002E48FF"/>
    <w:rsid w:val="002E6793"/>
    <w:rsid w:val="002E73DC"/>
    <w:rsid w:val="002E7D81"/>
    <w:rsid w:val="0030268B"/>
    <w:rsid w:val="00312AD1"/>
    <w:rsid w:val="00324D7D"/>
    <w:rsid w:val="00330A2A"/>
    <w:rsid w:val="00333EE2"/>
    <w:rsid w:val="00343697"/>
    <w:rsid w:val="003437A2"/>
    <w:rsid w:val="00366B4D"/>
    <w:rsid w:val="00373598"/>
    <w:rsid w:val="00375447"/>
    <w:rsid w:val="00375A46"/>
    <w:rsid w:val="003A2655"/>
    <w:rsid w:val="003B25DD"/>
    <w:rsid w:val="003B3477"/>
    <w:rsid w:val="003C0A4F"/>
    <w:rsid w:val="003D1571"/>
    <w:rsid w:val="003D69FC"/>
    <w:rsid w:val="003F119D"/>
    <w:rsid w:val="00406E7C"/>
    <w:rsid w:val="00414F32"/>
    <w:rsid w:val="00415C53"/>
    <w:rsid w:val="00416A69"/>
    <w:rsid w:val="004230F2"/>
    <w:rsid w:val="00446145"/>
    <w:rsid w:val="004552E9"/>
    <w:rsid w:val="00471EC4"/>
    <w:rsid w:val="004779B9"/>
    <w:rsid w:val="004951E2"/>
    <w:rsid w:val="004A4647"/>
    <w:rsid w:val="004B01EE"/>
    <w:rsid w:val="004B502E"/>
    <w:rsid w:val="004B7A8E"/>
    <w:rsid w:val="004C4C89"/>
    <w:rsid w:val="004D0868"/>
    <w:rsid w:val="004D7929"/>
    <w:rsid w:val="004E4E81"/>
    <w:rsid w:val="004F6977"/>
    <w:rsid w:val="004F7A4D"/>
    <w:rsid w:val="00504E92"/>
    <w:rsid w:val="00505748"/>
    <w:rsid w:val="00522F69"/>
    <w:rsid w:val="005235FC"/>
    <w:rsid w:val="00530462"/>
    <w:rsid w:val="0053287C"/>
    <w:rsid w:val="005335A7"/>
    <w:rsid w:val="00553DAE"/>
    <w:rsid w:val="0055794B"/>
    <w:rsid w:val="0056728B"/>
    <w:rsid w:val="00571C5E"/>
    <w:rsid w:val="00572435"/>
    <w:rsid w:val="0057700F"/>
    <w:rsid w:val="00577CC7"/>
    <w:rsid w:val="00580974"/>
    <w:rsid w:val="00583863"/>
    <w:rsid w:val="005A2792"/>
    <w:rsid w:val="005B4642"/>
    <w:rsid w:val="005B74EF"/>
    <w:rsid w:val="005B77CE"/>
    <w:rsid w:val="005D02C5"/>
    <w:rsid w:val="005E4870"/>
    <w:rsid w:val="005E7290"/>
    <w:rsid w:val="005F1C3C"/>
    <w:rsid w:val="005F2922"/>
    <w:rsid w:val="0060709A"/>
    <w:rsid w:val="00615C10"/>
    <w:rsid w:val="006166FA"/>
    <w:rsid w:val="0062484E"/>
    <w:rsid w:val="00653BD5"/>
    <w:rsid w:val="00655B82"/>
    <w:rsid w:val="00656F55"/>
    <w:rsid w:val="00660BBE"/>
    <w:rsid w:val="00664BC0"/>
    <w:rsid w:val="006825A5"/>
    <w:rsid w:val="006835EB"/>
    <w:rsid w:val="00690136"/>
    <w:rsid w:val="0069254C"/>
    <w:rsid w:val="006A5231"/>
    <w:rsid w:val="006B2F13"/>
    <w:rsid w:val="006B5910"/>
    <w:rsid w:val="006C2979"/>
    <w:rsid w:val="006D67DF"/>
    <w:rsid w:val="006D74D9"/>
    <w:rsid w:val="006D7EBE"/>
    <w:rsid w:val="006E33D4"/>
    <w:rsid w:val="006E488E"/>
    <w:rsid w:val="006E6BF1"/>
    <w:rsid w:val="00705F66"/>
    <w:rsid w:val="007165A2"/>
    <w:rsid w:val="0072126E"/>
    <w:rsid w:val="00730307"/>
    <w:rsid w:val="0073424E"/>
    <w:rsid w:val="00734692"/>
    <w:rsid w:val="00734D39"/>
    <w:rsid w:val="00736846"/>
    <w:rsid w:val="007527C4"/>
    <w:rsid w:val="00763EAE"/>
    <w:rsid w:val="00764D4D"/>
    <w:rsid w:val="00765963"/>
    <w:rsid w:val="007666A8"/>
    <w:rsid w:val="00773039"/>
    <w:rsid w:val="00773AEB"/>
    <w:rsid w:val="00776623"/>
    <w:rsid w:val="00781137"/>
    <w:rsid w:val="00781EA6"/>
    <w:rsid w:val="0078478E"/>
    <w:rsid w:val="00787670"/>
    <w:rsid w:val="00787FED"/>
    <w:rsid w:val="007965A3"/>
    <w:rsid w:val="007A2F92"/>
    <w:rsid w:val="007A7A19"/>
    <w:rsid w:val="007B3E16"/>
    <w:rsid w:val="007B7C54"/>
    <w:rsid w:val="007C31D6"/>
    <w:rsid w:val="007C5EB4"/>
    <w:rsid w:val="007D1EDB"/>
    <w:rsid w:val="007D4C3D"/>
    <w:rsid w:val="007E08EF"/>
    <w:rsid w:val="007E12BA"/>
    <w:rsid w:val="007E7C0F"/>
    <w:rsid w:val="007F0136"/>
    <w:rsid w:val="007F1AC1"/>
    <w:rsid w:val="007F1BCE"/>
    <w:rsid w:val="007F2CD9"/>
    <w:rsid w:val="007F58DE"/>
    <w:rsid w:val="007F7801"/>
    <w:rsid w:val="00802C7F"/>
    <w:rsid w:val="00804051"/>
    <w:rsid w:val="00804148"/>
    <w:rsid w:val="0081469B"/>
    <w:rsid w:val="00824B30"/>
    <w:rsid w:val="00826750"/>
    <w:rsid w:val="00836ACB"/>
    <w:rsid w:val="00841DE0"/>
    <w:rsid w:val="00845C73"/>
    <w:rsid w:val="00847190"/>
    <w:rsid w:val="008474CD"/>
    <w:rsid w:val="00847B85"/>
    <w:rsid w:val="008619E1"/>
    <w:rsid w:val="00876F75"/>
    <w:rsid w:val="008838BF"/>
    <w:rsid w:val="00883F19"/>
    <w:rsid w:val="00896DEA"/>
    <w:rsid w:val="008A0CCC"/>
    <w:rsid w:val="008A21A4"/>
    <w:rsid w:val="008A757A"/>
    <w:rsid w:val="008B0A37"/>
    <w:rsid w:val="008B703B"/>
    <w:rsid w:val="008C1F0A"/>
    <w:rsid w:val="008C288D"/>
    <w:rsid w:val="008C4831"/>
    <w:rsid w:val="008C71BB"/>
    <w:rsid w:val="008D7121"/>
    <w:rsid w:val="008E70CD"/>
    <w:rsid w:val="008E7A57"/>
    <w:rsid w:val="008F16EE"/>
    <w:rsid w:val="008F3AD3"/>
    <w:rsid w:val="00913A8B"/>
    <w:rsid w:val="009234F6"/>
    <w:rsid w:val="00924C11"/>
    <w:rsid w:val="0092596C"/>
    <w:rsid w:val="00952F08"/>
    <w:rsid w:val="00954E34"/>
    <w:rsid w:val="0096491E"/>
    <w:rsid w:val="00970FE4"/>
    <w:rsid w:val="00973D7D"/>
    <w:rsid w:val="0098144A"/>
    <w:rsid w:val="00994129"/>
    <w:rsid w:val="009A2394"/>
    <w:rsid w:val="009A6041"/>
    <w:rsid w:val="009A6326"/>
    <w:rsid w:val="009C7ADC"/>
    <w:rsid w:val="009D4D24"/>
    <w:rsid w:val="009E1190"/>
    <w:rsid w:val="009E1A6A"/>
    <w:rsid w:val="009E68B7"/>
    <w:rsid w:val="009F357D"/>
    <w:rsid w:val="009F358B"/>
    <w:rsid w:val="009F534F"/>
    <w:rsid w:val="00A03A01"/>
    <w:rsid w:val="00A10267"/>
    <w:rsid w:val="00A124D2"/>
    <w:rsid w:val="00A2168A"/>
    <w:rsid w:val="00A25080"/>
    <w:rsid w:val="00A276F5"/>
    <w:rsid w:val="00A32B85"/>
    <w:rsid w:val="00A4336A"/>
    <w:rsid w:val="00A548BE"/>
    <w:rsid w:val="00A54D7D"/>
    <w:rsid w:val="00A72E7B"/>
    <w:rsid w:val="00A9662B"/>
    <w:rsid w:val="00A968FB"/>
    <w:rsid w:val="00A96B65"/>
    <w:rsid w:val="00AA6FF0"/>
    <w:rsid w:val="00AC488E"/>
    <w:rsid w:val="00AC5B54"/>
    <w:rsid w:val="00AD3A82"/>
    <w:rsid w:val="00AD3DE5"/>
    <w:rsid w:val="00AD4CC5"/>
    <w:rsid w:val="00AD5F1C"/>
    <w:rsid w:val="00AD7868"/>
    <w:rsid w:val="00AE0BDD"/>
    <w:rsid w:val="00AE205C"/>
    <w:rsid w:val="00AF1EB6"/>
    <w:rsid w:val="00AF32F2"/>
    <w:rsid w:val="00B06088"/>
    <w:rsid w:val="00B1381C"/>
    <w:rsid w:val="00B16372"/>
    <w:rsid w:val="00B3407F"/>
    <w:rsid w:val="00B356F5"/>
    <w:rsid w:val="00B44058"/>
    <w:rsid w:val="00B5301A"/>
    <w:rsid w:val="00B62DC2"/>
    <w:rsid w:val="00B82D54"/>
    <w:rsid w:val="00B832B9"/>
    <w:rsid w:val="00B86284"/>
    <w:rsid w:val="00B862DA"/>
    <w:rsid w:val="00B87A7F"/>
    <w:rsid w:val="00B90CE5"/>
    <w:rsid w:val="00BA1C7D"/>
    <w:rsid w:val="00BA5743"/>
    <w:rsid w:val="00BA57C6"/>
    <w:rsid w:val="00BA7C56"/>
    <w:rsid w:val="00BC2D1E"/>
    <w:rsid w:val="00BC302C"/>
    <w:rsid w:val="00BD0FD5"/>
    <w:rsid w:val="00C00D70"/>
    <w:rsid w:val="00C01698"/>
    <w:rsid w:val="00C17B1E"/>
    <w:rsid w:val="00C2376D"/>
    <w:rsid w:val="00C3435C"/>
    <w:rsid w:val="00C42BFF"/>
    <w:rsid w:val="00C510DD"/>
    <w:rsid w:val="00C55BB7"/>
    <w:rsid w:val="00C57485"/>
    <w:rsid w:val="00C60EDC"/>
    <w:rsid w:val="00C754A4"/>
    <w:rsid w:val="00C867EB"/>
    <w:rsid w:val="00C96857"/>
    <w:rsid w:val="00CA495F"/>
    <w:rsid w:val="00CA4F8C"/>
    <w:rsid w:val="00CA59C3"/>
    <w:rsid w:val="00CA6D5C"/>
    <w:rsid w:val="00CB5C60"/>
    <w:rsid w:val="00CC086F"/>
    <w:rsid w:val="00CD061C"/>
    <w:rsid w:val="00CD537B"/>
    <w:rsid w:val="00CD7DBB"/>
    <w:rsid w:val="00CE34E4"/>
    <w:rsid w:val="00CF734E"/>
    <w:rsid w:val="00D037AB"/>
    <w:rsid w:val="00D05648"/>
    <w:rsid w:val="00D05A7F"/>
    <w:rsid w:val="00D119C3"/>
    <w:rsid w:val="00D15902"/>
    <w:rsid w:val="00D179C8"/>
    <w:rsid w:val="00D20588"/>
    <w:rsid w:val="00D31FF3"/>
    <w:rsid w:val="00D34336"/>
    <w:rsid w:val="00D479B7"/>
    <w:rsid w:val="00D53C96"/>
    <w:rsid w:val="00D60B08"/>
    <w:rsid w:val="00D734E6"/>
    <w:rsid w:val="00D80FBD"/>
    <w:rsid w:val="00D900B6"/>
    <w:rsid w:val="00DB14A2"/>
    <w:rsid w:val="00DC3363"/>
    <w:rsid w:val="00DC4E36"/>
    <w:rsid w:val="00DD0209"/>
    <w:rsid w:val="00DD1F76"/>
    <w:rsid w:val="00DD2B39"/>
    <w:rsid w:val="00DF401D"/>
    <w:rsid w:val="00DF56DA"/>
    <w:rsid w:val="00DF739D"/>
    <w:rsid w:val="00E05FA3"/>
    <w:rsid w:val="00E11CA6"/>
    <w:rsid w:val="00E14565"/>
    <w:rsid w:val="00E20612"/>
    <w:rsid w:val="00E32FBE"/>
    <w:rsid w:val="00E532C9"/>
    <w:rsid w:val="00E547E3"/>
    <w:rsid w:val="00E57AAC"/>
    <w:rsid w:val="00E636D7"/>
    <w:rsid w:val="00E71CB8"/>
    <w:rsid w:val="00E77D58"/>
    <w:rsid w:val="00E87A4F"/>
    <w:rsid w:val="00E920BC"/>
    <w:rsid w:val="00EA5DC5"/>
    <w:rsid w:val="00EA7D56"/>
    <w:rsid w:val="00EB1FF5"/>
    <w:rsid w:val="00EB3E6F"/>
    <w:rsid w:val="00EC0232"/>
    <w:rsid w:val="00ED5560"/>
    <w:rsid w:val="00EE4C15"/>
    <w:rsid w:val="00EE7794"/>
    <w:rsid w:val="00EF0B6E"/>
    <w:rsid w:val="00F04BC3"/>
    <w:rsid w:val="00F12DC2"/>
    <w:rsid w:val="00F14EDE"/>
    <w:rsid w:val="00F152DF"/>
    <w:rsid w:val="00F2167C"/>
    <w:rsid w:val="00F21C1A"/>
    <w:rsid w:val="00F35839"/>
    <w:rsid w:val="00F43D39"/>
    <w:rsid w:val="00F55597"/>
    <w:rsid w:val="00F61AF6"/>
    <w:rsid w:val="00F63BAB"/>
    <w:rsid w:val="00F670DA"/>
    <w:rsid w:val="00FA0AF5"/>
    <w:rsid w:val="00FB0397"/>
    <w:rsid w:val="00FB16E6"/>
    <w:rsid w:val="00FB46D8"/>
    <w:rsid w:val="00FB482A"/>
    <w:rsid w:val="00FC1142"/>
    <w:rsid w:val="00FD66F1"/>
    <w:rsid w:val="00FF0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 Char1 Char,Footnote Text Char Char Char1,Footnote Text Char1 Char Char1,Footnote Text Char1 Char2,Footnote Text Char3 Char,Footnote Text MRP Char,fn1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table" w:styleId="TableGrid">
    <w:name w:val="Table Grid"/>
    <w:basedOn w:val="TableNormal"/>
    <w:uiPriority w:val="39"/>
    <w:rsid w:val="0092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2BFF"/>
    <w:rPr>
      <w:color w:val="605E5C"/>
      <w:shd w:val="clear" w:color="auto" w:fill="E1DFDD"/>
    </w:rPr>
  </w:style>
  <w:style w:type="table" w:customStyle="1" w:styleId="TableGrid1">
    <w:name w:val="Table Grid1"/>
    <w:basedOn w:val="TableNormal"/>
    <w:next w:val="TableGrid"/>
    <w:uiPriority w:val="39"/>
    <w:rsid w:val="00952F08"/>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5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nerc.com/pa/comp/RegistrationReferenceDocsDL/User%20Guide_ERO%20Portal.pdf" TargetMode="External" /><Relationship Id="rId2" Type="http://schemas.openxmlformats.org/officeDocument/2006/relationships/hyperlink" Target="http://www.bls.gov/oes/current/naics2_2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07F3B-4487-46B2-97E6-F3EB0E4B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3727</Words>
  <Characters>20054</Characters>
  <Application>Microsoft Office Word</Application>
  <DocSecurity>0</DocSecurity>
  <Lines>401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2024-11-04T20:14:00Z</dcterms:created>
  <dcterms:modified xsi:type="dcterms:W3CDTF">2024-11-07T13:31:00Z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65013864-d474-4b50-8baf-9abadadb9c0d</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2024-11-01T15:19:03Z</vt:lpwstr>
  </property>
  <property fmtid="{D5CDD505-2E9C-101B-9397-08002B2CF9AE}" pid="8" name="MSIP_Label_bd24d06a-0e85-4d57-b1e0-ba34b1abc708_SiteId">
    <vt:lpwstr>19caa9e9-04ff-43fa-885f-d77fac387903</vt:lpwstr>
  </property>
  <property fmtid="{D5CDD505-2E9C-101B-9397-08002B2CF9AE}" pid="9" name="_NewReviewCycle">
    <vt:lpwstr/>
  </property>
</Properties>
</file>