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13FD" w:rsidP="00DE13FD" w:rsidRDefault="00DE13FD" w14:paraId="7ED33BD3" w14:textId="77777777">
      <w:pPr>
        <w:pStyle w:val="BodyText"/>
        <w:jc w:val="right"/>
        <w:rPr>
          <w:sz w:val="20"/>
        </w:rPr>
      </w:pPr>
      <w:r>
        <w:rPr>
          <w:sz w:val="20"/>
        </w:rPr>
        <w:t>OMB Control No. 1902-0114</w:t>
      </w:r>
    </w:p>
    <w:p w:rsidR="00DE13FD" w:rsidP="00DE13FD" w:rsidRDefault="00DE13FD" w14:paraId="08AB00F8" w14:textId="77200581">
      <w:pPr>
        <w:pStyle w:val="BodyText"/>
        <w:jc w:val="right"/>
        <w:rPr>
          <w:sz w:val="20"/>
        </w:rPr>
      </w:pPr>
      <w:r>
        <w:rPr>
          <w:sz w:val="20"/>
        </w:rPr>
        <w:t xml:space="preserve">Expiration Date:  </w:t>
      </w:r>
      <w:r w:rsidR="00915537">
        <w:rPr>
          <w:sz w:val="20"/>
        </w:rPr>
        <w:t>nn/nn/nnnn</w:t>
      </w:r>
    </w:p>
    <w:p w:rsidR="00DE13FD" w:rsidP="00DE13FD" w:rsidRDefault="00DE13FD" w14:paraId="798AB120" w14:textId="2350F28D">
      <w:pPr>
        <w:pStyle w:val="BodyText"/>
        <w:jc w:val="right"/>
        <w:rPr>
          <w:sz w:val="20"/>
        </w:rPr>
      </w:pPr>
    </w:p>
    <w:p w:rsidR="00DE13FD" w:rsidRDefault="00DE13FD" w14:paraId="51000592" w14:textId="77777777">
      <w:pPr>
        <w:pStyle w:val="BodyText"/>
        <w:rPr>
          <w:sz w:val="20"/>
        </w:rPr>
      </w:pPr>
    </w:p>
    <w:p w:rsidR="00996EC7" w:rsidRDefault="00996EC7" w14:paraId="28D53D78" w14:textId="77777777">
      <w:pPr>
        <w:pStyle w:val="BodyText"/>
        <w:spacing w:before="5"/>
        <w:rPr>
          <w:sz w:val="22"/>
        </w:rPr>
      </w:pPr>
    </w:p>
    <w:p w:rsidR="00996EC7" w:rsidRDefault="00F31AEB" w14:paraId="17A3DFCA" w14:textId="77777777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editId="457F6B26" wp14:anchorId="5FF1420A">
            <wp:simplePos x="0" y="0"/>
            <wp:positionH relativeFrom="page">
              <wp:posOffset>1143000</wp:posOffset>
            </wp:positionH>
            <wp:positionV relativeFrom="paragraph">
              <wp:posOffset>-310321</wp:posOffset>
            </wp:positionV>
            <wp:extent cx="1142999" cy="114299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9" cy="1142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Federal</w:t>
      </w:r>
      <w:r>
        <w:rPr>
          <w:spacing w:val="-2"/>
        </w:rPr>
        <w:t xml:space="preserve"> </w:t>
      </w:r>
      <w:r>
        <w:t>Energy</w:t>
      </w:r>
      <w:r>
        <w:rPr>
          <w:spacing w:val="-4"/>
        </w:rPr>
        <w:t xml:space="preserve"> </w:t>
      </w:r>
      <w:r>
        <w:t>Regulatory</w:t>
      </w:r>
      <w:r>
        <w:rPr>
          <w:spacing w:val="-1"/>
        </w:rPr>
        <w:t xml:space="preserve"> </w:t>
      </w:r>
      <w:r>
        <w:t>Commission</w:t>
      </w:r>
    </w:p>
    <w:p w:rsidR="00996EC7" w:rsidRDefault="00F31AEB" w14:paraId="04CD0EE5" w14:textId="77777777">
      <w:pPr>
        <w:pStyle w:val="Heading1"/>
        <w:spacing w:line="274" w:lineRule="exact"/>
        <w:ind w:left="2465" w:right="618"/>
        <w:jc w:val="center"/>
        <w:rPr>
          <w:rFonts w:ascii="Arial"/>
        </w:rPr>
      </w:pPr>
      <w:r>
        <w:rPr>
          <w:rFonts w:ascii="Arial"/>
          <w:w w:val="105"/>
        </w:rPr>
        <w:t>Form</w:t>
      </w:r>
      <w:r>
        <w:rPr>
          <w:rFonts w:ascii="Arial"/>
          <w:spacing w:val="-16"/>
          <w:w w:val="105"/>
        </w:rPr>
        <w:t xml:space="preserve"> </w:t>
      </w:r>
      <w:r>
        <w:rPr>
          <w:rFonts w:ascii="Arial"/>
          <w:w w:val="105"/>
        </w:rPr>
        <w:t>566</w:t>
      </w:r>
    </w:p>
    <w:p w:rsidR="00996EC7" w:rsidRDefault="00996EC7" w14:paraId="49C117BF" w14:textId="77777777">
      <w:pPr>
        <w:pStyle w:val="BodyText"/>
        <w:rPr>
          <w:rFonts w:ascii="Arial"/>
          <w:b/>
          <w:sz w:val="20"/>
        </w:rPr>
      </w:pPr>
    </w:p>
    <w:p w:rsidR="00996EC7" w:rsidRDefault="00996EC7" w14:paraId="0FB8C8D7" w14:textId="77777777">
      <w:pPr>
        <w:pStyle w:val="BodyText"/>
        <w:rPr>
          <w:rFonts w:ascii="Arial"/>
          <w:b/>
          <w:sz w:val="20"/>
        </w:rPr>
      </w:pPr>
    </w:p>
    <w:p w:rsidR="00996EC7" w:rsidRDefault="00996EC7" w14:paraId="3EFD9A66" w14:textId="77777777">
      <w:pPr>
        <w:pStyle w:val="BodyText"/>
        <w:rPr>
          <w:rFonts w:ascii="Arial"/>
          <w:b/>
          <w:sz w:val="20"/>
        </w:rPr>
      </w:pPr>
    </w:p>
    <w:p w:rsidR="00996EC7" w:rsidRDefault="00996EC7" w14:paraId="22192109" w14:textId="77777777">
      <w:pPr>
        <w:pStyle w:val="BodyText"/>
        <w:spacing w:before="3"/>
        <w:rPr>
          <w:rFonts w:ascii="Arial"/>
          <w:b/>
          <w:sz w:val="26"/>
        </w:rPr>
      </w:pPr>
    </w:p>
    <w:p w:rsidR="00996EC7" w:rsidRDefault="00F31AEB" w14:paraId="391511EA" w14:textId="77777777">
      <w:pPr>
        <w:pStyle w:val="BodyText"/>
        <w:spacing w:before="90"/>
        <w:ind w:left="120"/>
      </w:pPr>
      <w:r>
        <w:t>Please</w:t>
      </w:r>
      <w:r>
        <w:rPr>
          <w:spacing w:val="8"/>
        </w:rPr>
        <w:t xml:space="preserve"> </w:t>
      </w:r>
      <w:r>
        <w:t>refer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6"/>
        </w:rPr>
        <w:t xml:space="preserve"> </w:t>
      </w:r>
      <w:hyperlink r:id="rId11">
        <w:r>
          <w:rPr>
            <w:color w:val="0000FF"/>
            <w:u w:val="single" w:color="0000FF"/>
          </w:rPr>
          <w:t>eFiling</w:t>
        </w:r>
        <w:r>
          <w:rPr>
            <w:color w:val="0000FF"/>
            <w:spacing w:val="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User</w:t>
        </w:r>
        <w:r>
          <w:rPr>
            <w:color w:val="0000FF"/>
            <w:spacing w:val="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Guide</w:t>
        </w:r>
        <w:r>
          <w:rPr>
            <w:color w:val="0000FF"/>
            <w:spacing w:val="9"/>
          </w:rPr>
          <w:t xml:space="preserve"> </w:t>
        </w:r>
      </w:hyperlink>
      <w:r>
        <w:t>for</w:t>
      </w:r>
      <w:r>
        <w:rPr>
          <w:spacing w:val="9"/>
        </w:rPr>
        <w:t xml:space="preserve"> </w:t>
      </w:r>
      <w:r>
        <w:t>general</w:t>
      </w:r>
      <w:r>
        <w:rPr>
          <w:spacing w:val="11"/>
        </w:rPr>
        <w:t xml:space="preserve"> </w:t>
      </w:r>
      <w:r>
        <w:t>filing</w:t>
      </w:r>
      <w:r>
        <w:rPr>
          <w:spacing w:val="7"/>
        </w:rPr>
        <w:t xml:space="preserve"> </w:t>
      </w:r>
      <w:r>
        <w:t>instructions.</w:t>
      </w:r>
    </w:p>
    <w:p w:rsidR="00996EC7" w:rsidRDefault="00F31AEB" w14:paraId="785D07F5" w14:textId="77777777">
      <w:pPr>
        <w:pStyle w:val="Heading1"/>
        <w:spacing w:before="220"/>
      </w:pPr>
      <w:r>
        <w:t>Filing</w:t>
      </w:r>
      <w:r>
        <w:rPr>
          <w:spacing w:val="7"/>
        </w:rPr>
        <w:t xml:space="preserve"> </w:t>
      </w:r>
      <w:r>
        <w:t>Type</w:t>
      </w:r>
      <w:r>
        <w:rPr>
          <w:spacing w:val="6"/>
        </w:rPr>
        <w:t xml:space="preserve"> </w:t>
      </w:r>
      <w:r>
        <w:t>Selection:</w:t>
      </w:r>
    </w:p>
    <w:p w:rsidR="00996EC7" w:rsidRDefault="00F31AEB" w14:paraId="24074CEC" w14:textId="7777777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214" w:line="292" w:lineRule="exact"/>
        <w:rPr>
          <w:sz w:val="24"/>
        </w:rPr>
      </w:pPr>
      <w:r>
        <w:rPr>
          <w:sz w:val="24"/>
        </w:rPr>
        <w:t>New</w:t>
      </w:r>
      <w:r>
        <w:rPr>
          <w:spacing w:val="7"/>
          <w:sz w:val="24"/>
        </w:rPr>
        <w:t xml:space="preserve"> </w:t>
      </w:r>
      <w:r>
        <w:rPr>
          <w:sz w:val="24"/>
        </w:rPr>
        <w:t>Docket</w:t>
      </w:r>
      <w:r>
        <w:rPr>
          <w:spacing w:val="8"/>
          <w:sz w:val="24"/>
        </w:rPr>
        <w:t xml:space="preserve"> </w:t>
      </w:r>
      <w:r>
        <w:rPr>
          <w:sz w:val="24"/>
        </w:rPr>
        <w:t>Number</w:t>
      </w:r>
    </w:p>
    <w:p w:rsidR="00996EC7" w:rsidRDefault="00F31AEB" w14:paraId="471ECA95" w14:textId="77777777">
      <w:pPr>
        <w:pStyle w:val="BodyText"/>
        <w:spacing w:line="295" w:lineRule="exact"/>
        <w:ind w:left="1200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80"/>
        </w:rPr>
        <w:t xml:space="preserve"> </w:t>
      </w:r>
      <w:r>
        <w:t>Electric</w:t>
      </w:r>
      <w:r>
        <w:rPr>
          <w:spacing w:val="6"/>
        </w:rPr>
        <w:t xml:space="preserve"> </w:t>
      </w:r>
      <w:r>
        <w:t>|</w:t>
      </w:r>
      <w:r>
        <w:rPr>
          <w:spacing w:val="3"/>
        </w:rPr>
        <w:t xml:space="preserve"> </w:t>
      </w:r>
      <w:r>
        <w:t>Report/</w:t>
      </w:r>
      <w:r>
        <w:rPr>
          <w:spacing w:val="8"/>
        </w:rPr>
        <w:t xml:space="preserve"> </w:t>
      </w:r>
      <w:r>
        <w:t>Form</w:t>
      </w:r>
      <w:r>
        <w:rPr>
          <w:spacing w:val="8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Docket</w:t>
      </w:r>
      <w:r>
        <w:rPr>
          <w:spacing w:val="8"/>
        </w:rPr>
        <w:t xml:space="preserve"> </w:t>
      </w:r>
      <w:r>
        <w:t>Number</w:t>
      </w:r>
      <w:r>
        <w:rPr>
          <w:spacing w:val="7"/>
        </w:rPr>
        <w:t xml:space="preserve"> </w:t>
      </w:r>
      <w:r>
        <w:t>|</w:t>
      </w:r>
      <w:r>
        <w:rPr>
          <w:spacing w:val="2"/>
        </w:rPr>
        <w:t xml:space="preserve"> </w:t>
      </w:r>
      <w:r>
        <w:t>Report</w:t>
      </w:r>
      <w:r>
        <w:rPr>
          <w:spacing w:val="8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Form</w:t>
      </w:r>
    </w:p>
    <w:p w:rsidR="00996EC7" w:rsidRDefault="00F31AEB" w14:paraId="034E8F99" w14:textId="77777777">
      <w:pPr>
        <w:pStyle w:val="Heading1"/>
        <w:spacing w:before="200"/>
      </w:pPr>
      <w:r>
        <w:t>Submission</w:t>
      </w:r>
      <w:r>
        <w:rPr>
          <w:spacing w:val="9"/>
        </w:rPr>
        <w:t xml:space="preserve"> </w:t>
      </w:r>
      <w:r>
        <w:t>Description:</w:t>
      </w:r>
    </w:p>
    <w:p w:rsidR="00996EC7" w:rsidRDefault="00F31AEB" w14:paraId="77E78F69" w14:textId="7777777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sz w:val="24"/>
        </w:rPr>
      </w:pPr>
      <w:r>
        <w:rPr>
          <w:sz w:val="24"/>
        </w:rPr>
        <w:t>“FERC-566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[Your</w:t>
      </w:r>
      <w:r>
        <w:rPr>
          <w:spacing w:val="10"/>
          <w:sz w:val="24"/>
        </w:rPr>
        <w:t xml:space="preserve"> </w:t>
      </w:r>
      <w:r>
        <w:rPr>
          <w:sz w:val="24"/>
        </w:rPr>
        <w:t>Utility</w:t>
      </w:r>
      <w:r>
        <w:rPr>
          <w:spacing w:val="3"/>
          <w:sz w:val="24"/>
        </w:rPr>
        <w:t xml:space="preserve"> </w:t>
      </w:r>
      <w:r>
        <w:rPr>
          <w:sz w:val="24"/>
        </w:rPr>
        <w:t>/</w:t>
      </w:r>
      <w:r>
        <w:rPr>
          <w:spacing w:val="11"/>
          <w:sz w:val="24"/>
        </w:rPr>
        <w:t xml:space="preserve"> </w:t>
      </w:r>
      <w:r>
        <w:rPr>
          <w:sz w:val="24"/>
        </w:rPr>
        <w:t>Filing</w:t>
      </w:r>
      <w:r>
        <w:rPr>
          <w:spacing w:val="8"/>
          <w:sz w:val="24"/>
        </w:rPr>
        <w:t xml:space="preserve"> </w:t>
      </w:r>
      <w:r>
        <w:rPr>
          <w:sz w:val="24"/>
        </w:rPr>
        <w:t>Company</w:t>
      </w:r>
      <w:r>
        <w:rPr>
          <w:spacing w:val="3"/>
          <w:sz w:val="24"/>
        </w:rPr>
        <w:t xml:space="preserve"> </w:t>
      </w:r>
      <w:r>
        <w:rPr>
          <w:sz w:val="24"/>
        </w:rPr>
        <w:t>Name]”</w:t>
      </w:r>
    </w:p>
    <w:p w:rsidR="00880B91" w:rsidRDefault="00880B91" w14:paraId="09759D25" w14:textId="77777777">
      <w:pPr>
        <w:pStyle w:val="BodyText"/>
        <w:rPr>
          <w:sz w:val="20"/>
        </w:rPr>
      </w:pPr>
    </w:p>
    <w:p w:rsidR="00310958" w:rsidP="000A46E9" w:rsidRDefault="00310958" w14:paraId="15665D91" w14:textId="0B23EA3B">
      <w:pPr>
        <w:pStyle w:val="BodyText"/>
        <w:jc w:val="center"/>
        <w:rPr>
          <w:b/>
          <w:bCs/>
          <w:sz w:val="20"/>
        </w:rPr>
      </w:pPr>
      <w:r>
        <w:rPr>
          <w:b/>
          <w:bCs/>
          <w:sz w:val="20"/>
        </w:rPr>
        <w:t>NOTICES</w:t>
      </w:r>
    </w:p>
    <w:p w:rsidRPr="003B4D04" w:rsidR="000A46E9" w:rsidP="003B4D04" w:rsidRDefault="000A46E9" w14:paraId="7BDD95F9" w14:textId="77777777">
      <w:pPr>
        <w:pStyle w:val="BodyText"/>
        <w:jc w:val="center"/>
        <w:rPr>
          <w:sz w:val="20"/>
        </w:rPr>
      </w:pPr>
    </w:p>
    <w:p w:rsidR="00310958" w:rsidP="00310958" w:rsidRDefault="00310958" w14:paraId="13203535" w14:textId="77777777">
      <w:pPr>
        <w:pStyle w:val="BodyText"/>
      </w:pPr>
      <w:r>
        <w:rPr>
          <w:b/>
          <w:bCs/>
        </w:rPr>
        <w:t xml:space="preserve">The Paperwork Reduction Act </w:t>
      </w:r>
      <w:r>
        <w:t>requires Federal agencies to furnish you with the following information in connection with this form.</w:t>
      </w:r>
    </w:p>
    <w:p w:rsidR="00310958" w:rsidP="00310958" w:rsidRDefault="00310958" w14:paraId="55A5E834" w14:textId="77777777">
      <w:pPr>
        <w:pStyle w:val="BodyText"/>
      </w:pPr>
    </w:p>
    <w:p w:rsidR="00310958" w:rsidP="00310958" w:rsidRDefault="00310958" w14:paraId="58C9E456" w14:textId="77777777">
      <w:pPr>
        <w:pStyle w:val="BodyText"/>
      </w:pPr>
      <w:r>
        <w:t xml:space="preserve">The Federal Energy Regulatory Commission (Commission) collects this information in connection with 16 U.S.C. 825d and 18 CFR 43.6, so that </w:t>
      </w:r>
      <w:r w:rsidRPr="00EC743E">
        <w:t xml:space="preserve">the Commission </w:t>
      </w:r>
      <w:r>
        <w:t>can</w:t>
      </w:r>
      <w:r w:rsidRPr="00EC743E">
        <w:t xml:space="preserve"> determine whether public or private interests will be adversely affected by business relationships between public utilities and their 20 largest purchasers of electricity.</w:t>
      </w:r>
    </w:p>
    <w:p w:rsidR="00310958" w:rsidP="00310958" w:rsidRDefault="00310958" w14:paraId="5449A217" w14:textId="77777777">
      <w:pPr>
        <w:pStyle w:val="BodyText"/>
      </w:pPr>
    </w:p>
    <w:p w:rsidR="00310958" w:rsidP="00310958" w:rsidRDefault="00310958" w14:paraId="27DC26F2" w14:textId="77777777">
      <w:pPr>
        <w:pStyle w:val="BodyText"/>
      </w:pPr>
      <w:r>
        <w:t>Submission of the requested information is mandatory.</w:t>
      </w:r>
    </w:p>
    <w:p w:rsidR="00310958" w:rsidP="00310958" w:rsidRDefault="00310958" w14:paraId="43CEDC8B" w14:textId="77777777">
      <w:pPr>
        <w:pStyle w:val="BodyText"/>
      </w:pPr>
    </w:p>
    <w:p w:rsidR="00310958" w:rsidP="00310958" w:rsidRDefault="00310958" w14:paraId="71EF9709" w14:textId="77777777">
      <w:pPr>
        <w:pStyle w:val="BodyText"/>
      </w:pPr>
      <w:r>
        <w:t>You do not have to respond to this or any other Federal agency-sponsored information collection unless it displays a valid control number (44 U.S.C. 3512(a)).</w:t>
      </w:r>
    </w:p>
    <w:p w:rsidR="00310958" w:rsidP="00310958" w:rsidRDefault="00310958" w14:paraId="0F822C9C" w14:textId="77777777">
      <w:pPr>
        <w:pStyle w:val="BodyText"/>
      </w:pPr>
    </w:p>
    <w:p w:rsidRPr="00995F82" w:rsidR="00310958" w:rsidP="00310958" w:rsidRDefault="00310958" w14:paraId="0FF6055C" w14:textId="77777777">
      <w:pPr>
        <w:pStyle w:val="BodyText"/>
      </w:pPr>
      <w:r>
        <w:rPr>
          <w:b/>
          <w:bCs/>
        </w:rPr>
        <w:t>BURDEN HOURS STATEMENT</w:t>
      </w:r>
      <w:r w:rsidRPr="00E60236">
        <w:t xml:space="preserve">:  </w:t>
      </w:r>
      <w:r>
        <w:t xml:space="preserve">The estimated average public reporting burden for this information collection is 4 hours per response, </w:t>
      </w:r>
      <w:r w:rsidRPr="00995F82">
        <w:t>including the time for reviewing instructions, searching existing data sources, gathering and</w:t>
      </w:r>
      <w:r>
        <w:t xml:space="preserve"> </w:t>
      </w:r>
      <w:r w:rsidRPr="00995F82">
        <w:t xml:space="preserve">maintaining the </w:t>
      </w:r>
      <w:r>
        <w:t xml:space="preserve">required </w:t>
      </w:r>
      <w:r w:rsidRPr="00995F82">
        <w:t>data, and completing and reviewing the collection of information.</w:t>
      </w:r>
      <w:r>
        <w:t xml:space="preserve">  You may send comments regarding this burden estimate or any aspect of this collection of information, including suggestions for reducing the burden, to the </w:t>
      </w:r>
      <w:r w:rsidRPr="00995F82">
        <w:t>Federal Energy Regulatory Commission, 888 First Street NE, Washington, DC</w:t>
      </w:r>
      <w:r>
        <w:t xml:space="preserve"> </w:t>
      </w:r>
      <w:r w:rsidRPr="00995F82">
        <w:t>20426 (Attention: Information Clearance Officer); and to the Office of Information and Regulatory Affairs, Office of</w:t>
      </w:r>
      <w:r>
        <w:t xml:space="preserve"> </w:t>
      </w:r>
      <w:r w:rsidRPr="00995F82">
        <w:t>Management and Budget, Washington, DC 20503 (Attention: Desk Officer for the Federal Energy Regulatory</w:t>
      </w:r>
      <w:r>
        <w:t xml:space="preserve"> </w:t>
      </w:r>
      <w:r w:rsidRPr="00995F82">
        <w:t>Commission</w:t>
      </w:r>
      <w:r>
        <w:t>).</w:t>
      </w:r>
    </w:p>
    <w:p w:rsidRPr="00995F82" w:rsidR="00996EC7" w:rsidRDefault="00996EC7" w14:paraId="29638B4F" w14:textId="77777777">
      <w:pPr>
        <w:pStyle w:val="BodyText"/>
      </w:pPr>
    </w:p>
    <w:p w:rsidRPr="00995F82" w:rsidR="00996EC7" w:rsidRDefault="00996EC7" w14:paraId="6AE40C2B" w14:textId="77777777">
      <w:pPr>
        <w:pStyle w:val="BodyText"/>
      </w:pPr>
    </w:p>
    <w:p w:rsidRPr="00995F82" w:rsidR="00996EC7" w:rsidRDefault="00996EC7" w14:paraId="49B3CFD9" w14:textId="77777777">
      <w:pPr>
        <w:pStyle w:val="BodyText"/>
      </w:pPr>
    </w:p>
    <w:p w:rsidRPr="00995F82" w:rsidR="00996EC7" w:rsidRDefault="00996EC7" w14:paraId="123985FC" w14:textId="77777777">
      <w:pPr>
        <w:pStyle w:val="BodyText"/>
      </w:pPr>
    </w:p>
    <w:p w:rsidRPr="00995F82" w:rsidR="00996EC7" w:rsidRDefault="00996EC7" w14:paraId="43D5D955" w14:textId="77777777">
      <w:pPr>
        <w:pStyle w:val="BodyText"/>
      </w:pPr>
    </w:p>
    <w:p w:rsidR="00996EC7" w:rsidRDefault="00996EC7" w14:paraId="7DFF61F9" w14:textId="77777777">
      <w:pPr>
        <w:pStyle w:val="BodyText"/>
        <w:rPr>
          <w:sz w:val="20"/>
        </w:rPr>
      </w:pPr>
    </w:p>
    <w:p w:rsidR="009B649E" w:rsidRDefault="009B649E" w14:paraId="78A1B1BB" w14:textId="0E912556">
      <w:pPr>
        <w:pStyle w:val="BodyText"/>
        <w:rPr>
          <w:sz w:val="29"/>
        </w:rPr>
      </w:pPr>
    </w:p>
    <w:p w:rsidR="00996EC7" w:rsidRDefault="00F31AEB" w14:paraId="1AFFBC8E" w14:textId="759E1F44">
      <w:pPr>
        <w:tabs>
          <w:tab w:val="left" w:pos="7233"/>
          <w:tab w:val="left" w:pos="9089"/>
        </w:tabs>
        <w:spacing w:before="101"/>
        <w:ind w:left="518" w:right="104" w:hanging="380"/>
        <w:rPr>
          <w:rFonts w:ascii="Verdana"/>
          <w:sz w:val="16"/>
        </w:rPr>
      </w:pPr>
      <w:r>
        <w:rPr>
          <w:rFonts w:ascii="Verdana"/>
          <w:sz w:val="16"/>
          <w:u w:val="single"/>
        </w:rPr>
        <w:t xml:space="preserve"> </w:t>
      </w:r>
      <w:r>
        <w:rPr>
          <w:rFonts w:ascii="Verdana"/>
          <w:sz w:val="16"/>
          <w:u w:val="single"/>
        </w:rPr>
        <w:tab/>
      </w:r>
      <w:r>
        <w:rPr>
          <w:rFonts w:ascii="Verdana"/>
          <w:sz w:val="16"/>
          <w:u w:val="single"/>
        </w:rPr>
        <w:tab/>
      </w:r>
      <w:r>
        <w:rPr>
          <w:rFonts w:ascii="Verdana"/>
          <w:sz w:val="16"/>
          <w:u w:val="single"/>
        </w:rPr>
        <w:tab/>
      </w:r>
      <w:r>
        <w:rPr>
          <w:rFonts w:ascii="Verdana"/>
          <w:spacing w:val="-2"/>
          <w:sz w:val="16"/>
        </w:rPr>
        <w:t>_</w:t>
      </w:r>
      <w:r>
        <w:rPr>
          <w:rFonts w:ascii="Verdana"/>
          <w:spacing w:val="-54"/>
          <w:sz w:val="16"/>
        </w:rPr>
        <w:t xml:space="preserve"> </w:t>
      </w:r>
      <w:r>
        <w:rPr>
          <w:rFonts w:ascii="Verdana"/>
          <w:sz w:val="16"/>
        </w:rPr>
        <w:t>1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of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1</w:t>
      </w:r>
      <w:r>
        <w:rPr>
          <w:rFonts w:ascii="Verdana"/>
          <w:sz w:val="16"/>
        </w:rPr>
        <w:tab/>
        <w:t>Date</w:t>
      </w:r>
      <w:r>
        <w:rPr>
          <w:rFonts w:ascii="Verdana"/>
          <w:spacing w:val="-1"/>
          <w:sz w:val="16"/>
        </w:rPr>
        <w:t xml:space="preserve"> </w:t>
      </w:r>
      <w:r w:rsidR="009756F3">
        <w:rPr>
          <w:rFonts w:ascii="Verdana"/>
          <w:sz w:val="16"/>
        </w:rPr>
        <w:t>July 9, 2021</w:t>
      </w:r>
    </w:p>
    <w:sectPr w:rsidR="00996EC7">
      <w:type w:val="continuous"/>
      <w:pgSz w:w="12240" w:h="15840"/>
      <w:pgMar w:top="720" w:right="126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FBEC64" w14:textId="77777777" w:rsidR="002D46F3" w:rsidRDefault="002D46F3" w:rsidP="00154E3D">
      <w:r>
        <w:separator/>
      </w:r>
    </w:p>
  </w:endnote>
  <w:endnote w:type="continuationSeparator" w:id="0">
    <w:p w14:paraId="6416DA2B" w14:textId="77777777" w:rsidR="002D46F3" w:rsidRDefault="002D46F3" w:rsidP="0015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BB2331" w14:textId="77777777" w:rsidR="002D46F3" w:rsidRDefault="002D46F3" w:rsidP="00154E3D">
      <w:r>
        <w:separator/>
      </w:r>
    </w:p>
  </w:footnote>
  <w:footnote w:type="continuationSeparator" w:id="0">
    <w:p w14:paraId="4167BCB6" w14:textId="77777777" w:rsidR="002D46F3" w:rsidRDefault="002D46F3" w:rsidP="0015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4C52C1"/>
    <w:multiLevelType w:val="hybridMultilevel"/>
    <w:tmpl w:val="DD4096AE"/>
    <w:lvl w:ilvl="0" w:tplc="28B05F28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8403AC2">
      <w:numFmt w:val="bullet"/>
      <w:lvlText w:val="•"/>
      <w:lvlJc w:val="left"/>
      <w:pPr>
        <w:ind w:left="1560" w:hanging="360"/>
      </w:pPr>
      <w:rPr>
        <w:rFonts w:hint="default"/>
        <w:lang w:val="en-US" w:eastAsia="en-US" w:bidi="ar-SA"/>
      </w:rPr>
    </w:lvl>
    <w:lvl w:ilvl="2" w:tplc="6C8EE03E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3" w:tplc="3F027EF8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4" w:tplc="769A6580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5" w:tplc="6EB6B97E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6" w:tplc="945C368E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ar-SA"/>
      </w:rPr>
    </w:lvl>
    <w:lvl w:ilvl="7" w:tplc="4558A6B0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16A403C0">
      <w:numFmt w:val="bullet"/>
      <w:lvlText w:val="•"/>
      <w:lvlJc w:val="left"/>
      <w:pPr>
        <w:ind w:left="758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EC7"/>
    <w:rsid w:val="000420C1"/>
    <w:rsid w:val="000A46E9"/>
    <w:rsid w:val="000F1E09"/>
    <w:rsid w:val="00154E3D"/>
    <w:rsid w:val="00164BE5"/>
    <w:rsid w:val="002D46F3"/>
    <w:rsid w:val="00310958"/>
    <w:rsid w:val="00337559"/>
    <w:rsid w:val="00346C1F"/>
    <w:rsid w:val="00367133"/>
    <w:rsid w:val="003918FF"/>
    <w:rsid w:val="003A7C92"/>
    <w:rsid w:val="003B4D04"/>
    <w:rsid w:val="003F5034"/>
    <w:rsid w:val="00415FF5"/>
    <w:rsid w:val="004770F9"/>
    <w:rsid w:val="00477624"/>
    <w:rsid w:val="004B6A6E"/>
    <w:rsid w:val="004C026F"/>
    <w:rsid w:val="004E1A12"/>
    <w:rsid w:val="005365B0"/>
    <w:rsid w:val="005E3E12"/>
    <w:rsid w:val="0079674F"/>
    <w:rsid w:val="007F3EA4"/>
    <w:rsid w:val="00850FAC"/>
    <w:rsid w:val="008616F0"/>
    <w:rsid w:val="00865541"/>
    <w:rsid w:val="00880B91"/>
    <w:rsid w:val="008915EB"/>
    <w:rsid w:val="008B1702"/>
    <w:rsid w:val="00915537"/>
    <w:rsid w:val="009756F3"/>
    <w:rsid w:val="00994C60"/>
    <w:rsid w:val="00995F82"/>
    <w:rsid w:val="00996EC7"/>
    <w:rsid w:val="009B649E"/>
    <w:rsid w:val="009D74E8"/>
    <w:rsid w:val="00A1130E"/>
    <w:rsid w:val="00AD03B5"/>
    <w:rsid w:val="00AE5B7E"/>
    <w:rsid w:val="00B70F94"/>
    <w:rsid w:val="00BD1FC9"/>
    <w:rsid w:val="00BE5709"/>
    <w:rsid w:val="00C005B0"/>
    <w:rsid w:val="00C0235E"/>
    <w:rsid w:val="00D42ACC"/>
    <w:rsid w:val="00DB3736"/>
    <w:rsid w:val="00DE13FD"/>
    <w:rsid w:val="00E03030"/>
    <w:rsid w:val="00E60236"/>
    <w:rsid w:val="00E72728"/>
    <w:rsid w:val="00E771F2"/>
    <w:rsid w:val="00EC743E"/>
    <w:rsid w:val="00EE0FBE"/>
    <w:rsid w:val="00F22F76"/>
    <w:rsid w:val="00F31AEB"/>
    <w:rsid w:val="00F34DAB"/>
    <w:rsid w:val="00F7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B31956"/>
  <w15:docId w15:val="{8593C386-6F5A-457B-AA15-241E98E0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1" w:line="339" w:lineRule="exact"/>
      <w:ind w:left="2469" w:right="618"/>
      <w:jc w:val="center"/>
    </w:pPr>
    <w:rPr>
      <w:rFonts w:ascii="Verdana" w:eastAsia="Verdana" w:hAnsi="Verdana" w:cs="Verdan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13"/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770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0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erc.gov/docs-filing/efiling-user-guide.pdf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EAC7F601CD76438313764BE493CC4F" ma:contentTypeVersion="6" ma:contentTypeDescription="Create a new document." ma:contentTypeScope="" ma:versionID="f517e9b7ca6c7492c414f7d5fcac3330">
  <xsd:schema xmlns:xsd="http://www.w3.org/2001/XMLSchema" xmlns:xs="http://www.w3.org/2001/XMLSchema" xmlns:p="http://schemas.microsoft.com/office/2006/metadata/properties" xmlns:ns3="087c83cf-0993-4cd6-bfdc-b1c6ea4d56ce" targetNamespace="http://schemas.microsoft.com/office/2006/metadata/properties" ma:root="true" ma:fieldsID="8a2ac875463418fbe98dc29aeb6316f8" ns3:_="">
    <xsd:import namespace="087c83cf-0993-4cd6-bfdc-b1c6ea4d56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c83cf-0993-4cd6-bfdc-b1c6ea4d56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2B6E00-432F-4144-A41D-F153524F7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c83cf-0993-4cd6-bfdc-b1c6ea4d56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734A60-2CDD-45B4-AEBE-73E5C4E33C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7A6AD1-1B5A-41F2-A2A0-0D98A99934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288</Words>
  <Characters>1646</Characters>
  <Application>Microsoft Office Word</Application>
  <DocSecurity>0</DocSecurity>
  <Lines>13</Lines>
  <Paragraphs>3</Paragraphs>
  <ScaleCrop>false</ScaleCrop>
  <Company>Federal Energy Regulatory Commission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566 efiling Instructions</dc:title>
  <dc:subject>Form 566 efiling Instructions</dc:subject>
  <dc:creator>FERC</dc:creator>
  <cp:keywords>Form 566 efiling Instructions</cp:keywords>
  <cp:lastModifiedBy>Jean Sonneman</cp:lastModifiedBy>
  <cp:revision>54</cp:revision>
  <dcterms:created xsi:type="dcterms:W3CDTF">2021-07-08T12:30:00Z</dcterms:created>
  <dcterms:modified xsi:type="dcterms:W3CDTF">2021-08-03T18:50:00Z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2014-04-22T00:00:00Z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2021-07-06T00:00:00Z</vt:filetime>
  </property>
  <property fmtid="{D5CDD505-2E9C-101B-9397-08002B2CF9AE}" pid="5" name="MSIP_Label_6155a89b-0f08-4a93-8ea2-8a916d6643b5_Enabled">
    <vt:lpwstr>True</vt:lpwstr>
  </property>
  <property fmtid="{D5CDD505-2E9C-101B-9397-08002B2CF9AE}" pid="6" name="MSIP_Label_6155a89b-0f08-4a93-8ea2-8a916d6643b5_SiteId">
    <vt:lpwstr>19caa9e9-04ff-43fa-885f-d77fac387903</vt:lpwstr>
  </property>
  <property fmtid="{D5CDD505-2E9C-101B-9397-08002B2CF9AE}" pid="7" name="MSIP_Label_6155a89b-0f08-4a93-8ea2-8a916d6643b5_Owner">
    <vt:lpwstr>Jean.Sonneman@ferc.gov</vt:lpwstr>
  </property>
  <property fmtid="{D5CDD505-2E9C-101B-9397-08002B2CF9AE}" pid="8" name="MSIP_Label_6155a89b-0f08-4a93-8ea2-8a916d6643b5_SetDate">
    <vt:lpwstr>2021-07-08T12:29:34.5432640Z</vt:lpwstr>
  </property>
  <property fmtid="{D5CDD505-2E9C-101B-9397-08002B2CF9AE}" pid="9" name="MSIP_Label_6155a89b-0f08-4a93-8ea2-8a916d6643b5_Name">
    <vt:lpwstr>General</vt:lpwstr>
  </property>
  <property fmtid="{D5CDD505-2E9C-101B-9397-08002B2CF9AE}" pid="10" name="MSIP_Label_6155a89b-0f08-4a93-8ea2-8a916d6643b5_Application">
    <vt:lpwstr>Microsoft Azure Information Protection</vt:lpwstr>
  </property>
  <property fmtid="{D5CDD505-2E9C-101B-9397-08002B2CF9AE}" pid="11" name="MSIP_Label_6155a89b-0f08-4a93-8ea2-8a916d6643b5_ActionId">
    <vt:lpwstr>ffda3cbb-c7b8-439e-a3f5-1d070bbc5e72</vt:lpwstr>
  </property>
  <property fmtid="{D5CDD505-2E9C-101B-9397-08002B2CF9AE}" pid="12" name="MSIP_Label_6155a89b-0f08-4a93-8ea2-8a916d6643b5_Extended_MSFT_Method">
    <vt:lpwstr>Manual</vt:lpwstr>
  </property>
  <property fmtid="{D5CDD505-2E9C-101B-9397-08002B2CF9AE}" pid="13" name="Sensitivity">
    <vt:lpwstr>General</vt:lpwstr>
  </property>
  <property fmtid="{D5CDD505-2E9C-101B-9397-08002B2CF9AE}" pid="14" name="ContentTypeId">
    <vt:lpwstr>0x0101003EEAC7F601CD76438313764BE493CC4F</vt:lpwstr>
  </property>
</Properties>
</file>