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E4792" w:rsidRPr="00FE4792" w:rsidP="00FE4792" w14:paraId="57097F8C" w14:textId="75F1110C">
      <w:pPr>
        <w:widowControl w:val="0"/>
        <w:tabs>
          <w:tab w:val="center" w:pos="4680"/>
        </w:tabs>
        <w:jc w:val="center"/>
        <w:rPr>
          <w:b/>
        </w:rPr>
      </w:pPr>
      <w:r w:rsidRPr="119B6C0A">
        <w:rPr>
          <w:b/>
        </w:rPr>
        <w:t>FEDERAL RAILROAD ADMINISTRATION</w:t>
      </w:r>
    </w:p>
    <w:p w:rsidR="00FE4792" w:rsidRPr="00FE4792" w:rsidP="00FE4792" w14:paraId="226F0BC8" w14:textId="6413CCA3">
      <w:pPr>
        <w:widowControl w:val="0"/>
        <w:tabs>
          <w:tab w:val="center" w:pos="4680"/>
        </w:tabs>
        <w:jc w:val="center"/>
        <w:rPr>
          <w:b/>
          <w:szCs w:val="24"/>
        </w:rPr>
      </w:pPr>
      <w:r>
        <w:rPr>
          <w:b/>
          <w:szCs w:val="24"/>
        </w:rPr>
        <w:t>Filing of Dedicated Cars</w:t>
      </w:r>
    </w:p>
    <w:p w:rsidR="00FE4792" w:rsidRPr="00FE4792" w:rsidP="00FE4792" w14:paraId="1923BD0B" w14:textId="77777777">
      <w:pPr>
        <w:widowControl w:val="0"/>
        <w:tabs>
          <w:tab w:val="center" w:pos="4680"/>
        </w:tabs>
        <w:jc w:val="center"/>
        <w:rPr>
          <w:b/>
          <w:szCs w:val="24"/>
        </w:rPr>
      </w:pPr>
      <w:r w:rsidRPr="00FE4792">
        <w:rPr>
          <w:b/>
          <w:szCs w:val="24"/>
        </w:rPr>
        <w:t>(Title 49 Code</w:t>
      </w:r>
      <w:r w:rsidR="002E529C">
        <w:rPr>
          <w:b/>
          <w:szCs w:val="24"/>
        </w:rPr>
        <w:t xml:space="preserve"> of Federal Regulations Part 215</w:t>
      </w:r>
      <w:r w:rsidRPr="00FE4792">
        <w:rPr>
          <w:b/>
          <w:szCs w:val="24"/>
        </w:rPr>
        <w:t>)</w:t>
      </w:r>
    </w:p>
    <w:p w:rsidR="00FE4792" w:rsidRPr="00FE4792" w:rsidP="00FE4792" w14:paraId="0B180A1E" w14:textId="77777777">
      <w:pPr>
        <w:widowControl w:val="0"/>
        <w:tabs>
          <w:tab w:val="center" w:pos="4680"/>
        </w:tabs>
        <w:jc w:val="center"/>
        <w:rPr>
          <w:b/>
          <w:szCs w:val="24"/>
        </w:rPr>
      </w:pPr>
      <w:r w:rsidRPr="00FE4792">
        <w:rPr>
          <w:b/>
          <w:szCs w:val="24"/>
        </w:rPr>
        <w:t xml:space="preserve">SUPPORTING JUSTIFICATION </w:t>
      </w:r>
    </w:p>
    <w:p w:rsidR="00BD3D47" w:rsidRPr="00725CCA" w:rsidP="58965A1C" w14:paraId="3F30D477" w14:textId="651DD6B0">
      <w:pPr>
        <w:widowControl w:val="0"/>
        <w:jc w:val="center"/>
        <w:rPr>
          <w:b/>
          <w:bCs/>
        </w:rPr>
      </w:pPr>
      <w:r w:rsidRPr="33B7F21C">
        <w:rPr>
          <w:b/>
          <w:bCs/>
        </w:rPr>
        <w:t>RIN 2130-AC94</w:t>
      </w:r>
      <w:r>
        <w:rPr>
          <w:b/>
          <w:bCs/>
        </w:rPr>
        <w:t xml:space="preserve">; </w:t>
      </w:r>
      <w:r w:rsidRPr="33B7F21C" w:rsidR="00FE4792">
        <w:rPr>
          <w:b/>
          <w:bCs/>
        </w:rPr>
        <w:t>OMB Control No. 2130-0502</w:t>
      </w:r>
      <w:r w:rsidRPr="33B7F21C">
        <w:rPr>
          <w:b/>
          <w:bCs/>
        </w:rPr>
        <w:t xml:space="preserve"> </w:t>
      </w:r>
    </w:p>
    <w:p w:rsidR="00FE4792" w:rsidRPr="00FE4792" w:rsidP="00FE4792" w14:paraId="3448E070" w14:textId="4F53B564">
      <w:pPr>
        <w:widowControl w:val="0"/>
        <w:tabs>
          <w:tab w:val="center" w:pos="4680"/>
        </w:tabs>
        <w:jc w:val="center"/>
        <w:rPr>
          <w:b/>
          <w:szCs w:val="24"/>
        </w:rPr>
      </w:pPr>
    </w:p>
    <w:p w:rsidR="003C539D" w:rsidRPr="00D863FB" w:rsidP="009C450E" w14:paraId="6AD703B9" w14:textId="77777777">
      <w:pPr>
        <w:widowControl w:val="0"/>
        <w:tabs>
          <w:tab w:val="center" w:pos="4680"/>
        </w:tabs>
        <w:rPr>
          <w:b/>
          <w:szCs w:val="24"/>
        </w:rPr>
      </w:pPr>
    </w:p>
    <w:p w:rsidR="003C539D" w:rsidRPr="00D863FB" w:rsidP="453F6831" w14:paraId="55B6C4A5" w14:textId="38349033">
      <w:pPr>
        <w:widowControl w:val="0"/>
        <w:ind w:left="720"/>
        <w:rPr>
          <w:u w:val="single"/>
        </w:rPr>
      </w:pPr>
      <w:r w:rsidRPr="453F6831">
        <w:rPr>
          <w:u w:val="single"/>
        </w:rPr>
        <w:t>Summary of Submission</w:t>
      </w:r>
    </w:p>
    <w:p w:rsidR="003C539D" w:rsidRPr="00D863FB" w:rsidP="003C539D" w14:paraId="5FA2D245" w14:textId="77777777">
      <w:pPr>
        <w:widowControl w:val="0"/>
        <w:ind w:left="720"/>
        <w:rPr>
          <w:szCs w:val="24"/>
          <w:u w:val="single"/>
        </w:rPr>
      </w:pPr>
    </w:p>
    <w:p w:rsidR="003D3120" w:rsidRPr="008D03FB" w:rsidP="003D3120" w14:paraId="2B158EDB" w14:textId="07705A28">
      <w:pPr>
        <w:widowControl w:val="0"/>
        <w:numPr>
          <w:ilvl w:val="1"/>
          <w:numId w:val="3"/>
        </w:numPr>
        <w:rPr>
          <w:szCs w:val="24"/>
        </w:rPr>
      </w:pPr>
      <w:r w:rsidRPr="008D03FB">
        <w:rPr>
          <w:szCs w:val="24"/>
        </w:rPr>
        <w:t xml:space="preserve">This submission is a revision to the last </w:t>
      </w:r>
      <w:r w:rsidRPr="008D03FB">
        <w:rPr>
          <w:szCs w:val="24"/>
        </w:rPr>
        <w:t>approved submission pertaining to Part 215 (</w:t>
      </w:r>
      <w:r w:rsidRPr="008D03FB" w:rsidR="00E32A08">
        <w:rPr>
          <w:szCs w:val="24"/>
        </w:rPr>
        <w:t>Filing of Dedicated Cars</w:t>
      </w:r>
      <w:r w:rsidRPr="008D03FB">
        <w:rPr>
          <w:szCs w:val="24"/>
        </w:rPr>
        <w:t xml:space="preserve">), that was approved by the Office of Management and Budget (OMB) </w:t>
      </w:r>
      <w:r w:rsidRPr="008D03FB" w:rsidR="00F829ED">
        <w:rPr>
          <w:szCs w:val="24"/>
        </w:rPr>
        <w:t>April 24</w:t>
      </w:r>
      <w:r w:rsidRPr="008D03FB">
        <w:rPr>
          <w:szCs w:val="24"/>
        </w:rPr>
        <w:t>, 202</w:t>
      </w:r>
      <w:r w:rsidRPr="008D03FB" w:rsidR="00953455">
        <w:rPr>
          <w:szCs w:val="24"/>
        </w:rPr>
        <w:t>3</w:t>
      </w:r>
      <w:r w:rsidRPr="008D03FB">
        <w:rPr>
          <w:szCs w:val="24"/>
        </w:rPr>
        <w:t xml:space="preserve">, which expires </w:t>
      </w:r>
      <w:r w:rsidRPr="008D03FB" w:rsidR="00A910FE">
        <w:rPr>
          <w:szCs w:val="24"/>
        </w:rPr>
        <w:t>April 30</w:t>
      </w:r>
      <w:r w:rsidRPr="008D03FB">
        <w:rPr>
          <w:szCs w:val="24"/>
        </w:rPr>
        <w:t>, 202</w:t>
      </w:r>
      <w:r w:rsidRPr="008D03FB" w:rsidR="00953455">
        <w:rPr>
          <w:szCs w:val="24"/>
        </w:rPr>
        <w:t>6</w:t>
      </w:r>
      <w:r w:rsidRPr="008D03FB">
        <w:rPr>
          <w:szCs w:val="24"/>
        </w:rPr>
        <w:t xml:space="preserve">. </w:t>
      </w:r>
    </w:p>
    <w:p w:rsidR="003D3120" w:rsidRPr="003D3120" w:rsidP="003D3120" w14:paraId="751632DC" w14:textId="77777777">
      <w:pPr>
        <w:widowControl w:val="0"/>
        <w:ind w:left="1080"/>
        <w:rPr>
          <w:szCs w:val="24"/>
        </w:rPr>
      </w:pPr>
    </w:p>
    <w:p w:rsidR="003D3120" w:rsidP="00AD2864" w14:paraId="6A53F52B" w14:textId="72C3EBDE">
      <w:pPr>
        <w:widowControl w:val="0"/>
        <w:numPr>
          <w:ilvl w:val="1"/>
          <w:numId w:val="3"/>
        </w:numPr>
        <w:rPr>
          <w:szCs w:val="24"/>
        </w:rPr>
      </w:pPr>
      <w:r>
        <w:t xml:space="preserve">The Federal Railroad Administration (hereafter “FRA” or “the Agency”) </w:t>
      </w:r>
      <w:r w:rsidRPr="00A6078E">
        <w:rPr>
          <w:szCs w:val="24"/>
        </w:rPr>
        <w:t xml:space="preserve">is publishing a </w:t>
      </w:r>
      <w:r w:rsidRPr="00A6078E" w:rsidR="00B930E8">
        <w:rPr>
          <w:szCs w:val="24"/>
        </w:rPr>
        <w:t>final rule</w:t>
      </w:r>
      <w:r w:rsidRPr="00A6078E">
        <w:rPr>
          <w:szCs w:val="24"/>
        </w:rPr>
        <w:t xml:space="preserve"> revising Part 2</w:t>
      </w:r>
      <w:r w:rsidRPr="00A6078E" w:rsidR="005052B4">
        <w:rPr>
          <w:szCs w:val="24"/>
        </w:rPr>
        <w:t>15</w:t>
      </w:r>
      <w:r w:rsidRPr="00A6078E">
        <w:rPr>
          <w:szCs w:val="24"/>
        </w:rPr>
        <w:t xml:space="preserve"> titled </w:t>
      </w:r>
      <w:r w:rsidRPr="00A6078E" w:rsidR="005052B4">
        <w:rPr>
          <w:szCs w:val="24"/>
          <w:u w:val="single"/>
        </w:rPr>
        <w:t xml:space="preserve">Freight Car Safety Standards Implementing the </w:t>
      </w:r>
      <w:r>
        <w:rPr>
          <w:szCs w:val="24"/>
          <w:u w:val="single"/>
        </w:rPr>
        <w:t>Infrastructure Investment and Jobs</w:t>
      </w:r>
      <w:r w:rsidRPr="00A6078E" w:rsidR="00A6078E">
        <w:rPr>
          <w:szCs w:val="24"/>
          <w:u w:val="single"/>
        </w:rPr>
        <w:t xml:space="preserve"> Act</w:t>
      </w:r>
      <w:r w:rsidRPr="00A6078E">
        <w:rPr>
          <w:szCs w:val="24"/>
        </w:rPr>
        <w:t xml:space="preserve"> in the </w:t>
      </w:r>
      <w:r w:rsidRPr="00A6078E">
        <w:rPr>
          <w:i/>
          <w:iCs/>
          <w:szCs w:val="24"/>
        </w:rPr>
        <w:t>Federal Register</w:t>
      </w:r>
      <w:r w:rsidRPr="00A6078E">
        <w:rPr>
          <w:szCs w:val="24"/>
        </w:rPr>
        <w:t xml:space="preserve"> </w:t>
      </w:r>
      <w:r w:rsidRPr="00A6078E" w:rsidR="00A6078E">
        <w:rPr>
          <w:szCs w:val="24"/>
        </w:rPr>
        <w:t xml:space="preserve">(FR) </w:t>
      </w:r>
      <w:r w:rsidRPr="00A6078E">
        <w:rPr>
          <w:szCs w:val="24"/>
        </w:rPr>
        <w:t>on</w:t>
      </w:r>
      <w:r>
        <w:rPr>
          <w:szCs w:val="24"/>
        </w:rPr>
        <w:t xml:space="preserve"> December 19, 2024</w:t>
      </w:r>
      <w:r w:rsidRPr="00A6078E">
        <w:rPr>
          <w:szCs w:val="24"/>
        </w:rPr>
        <w:t xml:space="preserve">. </w:t>
      </w:r>
      <w:r w:rsidRPr="002265AC">
        <w:rPr>
          <w:szCs w:val="24"/>
        </w:rPr>
        <w:t xml:space="preserve"> See</w:t>
      </w:r>
      <w:r w:rsidRPr="00A6078E">
        <w:rPr>
          <w:szCs w:val="24"/>
        </w:rPr>
        <w:t xml:space="preserve"> 8</w:t>
      </w:r>
      <w:r w:rsidRPr="00A6078E" w:rsidR="00B930E8">
        <w:rPr>
          <w:szCs w:val="24"/>
        </w:rPr>
        <w:t>9</w:t>
      </w:r>
      <w:r w:rsidRPr="00A6078E">
        <w:rPr>
          <w:szCs w:val="24"/>
        </w:rPr>
        <w:t xml:space="preserve"> FR </w:t>
      </w:r>
      <w:r>
        <w:rPr>
          <w:szCs w:val="24"/>
        </w:rPr>
        <w:t>103677</w:t>
      </w:r>
      <w:r w:rsidRPr="00A6078E">
        <w:rPr>
          <w:szCs w:val="24"/>
        </w:rPr>
        <w:t xml:space="preserve">.  </w:t>
      </w:r>
    </w:p>
    <w:p w:rsidR="00A6078E" w:rsidRPr="003D3120" w:rsidP="00A6078E" w14:paraId="37622FAD" w14:textId="77777777">
      <w:pPr>
        <w:widowControl w:val="0"/>
        <w:ind w:left="1080"/>
        <w:rPr>
          <w:szCs w:val="24"/>
        </w:rPr>
      </w:pPr>
    </w:p>
    <w:p w:rsidR="003D3120" w:rsidRPr="003D3120" w:rsidP="003D3120" w14:paraId="31F16B55" w14:textId="6BF854DF">
      <w:pPr>
        <w:widowControl w:val="0"/>
        <w:numPr>
          <w:ilvl w:val="1"/>
          <w:numId w:val="3"/>
        </w:numPr>
        <w:rPr>
          <w:szCs w:val="24"/>
        </w:rPr>
      </w:pPr>
      <w:r w:rsidRPr="003D3120">
        <w:rPr>
          <w:szCs w:val="24"/>
        </w:rPr>
        <w:t xml:space="preserve">Program change increased the burden by </w:t>
      </w:r>
      <w:r w:rsidR="007C01CD">
        <w:rPr>
          <w:szCs w:val="24"/>
        </w:rPr>
        <w:t>46</w:t>
      </w:r>
      <w:r w:rsidR="006C715D">
        <w:rPr>
          <w:szCs w:val="24"/>
        </w:rPr>
        <w:t xml:space="preserve"> </w:t>
      </w:r>
      <w:r w:rsidRPr="003D3120">
        <w:rPr>
          <w:szCs w:val="24"/>
        </w:rPr>
        <w:t xml:space="preserve">hours and </w:t>
      </w:r>
      <w:r w:rsidR="00041B23">
        <w:rPr>
          <w:szCs w:val="24"/>
        </w:rPr>
        <w:t>increased</w:t>
      </w:r>
      <w:r w:rsidRPr="003D3120">
        <w:rPr>
          <w:szCs w:val="24"/>
        </w:rPr>
        <w:t xml:space="preserve"> respons</w:t>
      </w:r>
      <w:r w:rsidRPr="003D3120">
        <w:rPr>
          <w:szCs w:val="24"/>
        </w:rPr>
        <w:t xml:space="preserve">es by </w:t>
      </w:r>
      <w:r w:rsidR="00B26B6D">
        <w:rPr>
          <w:szCs w:val="24"/>
        </w:rPr>
        <w:t>3</w:t>
      </w:r>
      <w:r w:rsidR="00E3254B">
        <w:rPr>
          <w:szCs w:val="24"/>
        </w:rPr>
        <w:t>5</w:t>
      </w:r>
      <w:r w:rsidRPr="003D3120">
        <w:rPr>
          <w:szCs w:val="24"/>
        </w:rPr>
        <w:t>.</w:t>
      </w:r>
    </w:p>
    <w:p w:rsidR="00DC35B3" w:rsidRPr="008A5B6D" w:rsidP="00DC35B3" w14:paraId="1FDBA90D" w14:textId="77777777">
      <w:pPr>
        <w:widowControl w:val="0"/>
        <w:ind w:left="1080"/>
        <w:outlineLvl w:val="0"/>
        <w:rPr>
          <w:szCs w:val="24"/>
        </w:rPr>
      </w:pPr>
    </w:p>
    <w:p w:rsidR="00DC35B3" w:rsidRPr="008A5B6D" w:rsidP="00DC35B3" w14:paraId="48F1111E" w14:textId="6AF9A23D">
      <w:pPr>
        <w:widowControl w:val="0"/>
        <w:numPr>
          <w:ilvl w:val="1"/>
          <w:numId w:val="3"/>
        </w:numPr>
        <w:outlineLvl w:val="0"/>
        <w:rPr>
          <w:szCs w:val="24"/>
        </w:rPr>
      </w:pPr>
      <w:r w:rsidRPr="008A5B6D">
        <w:rPr>
          <w:szCs w:val="24"/>
        </w:rPr>
        <w:t xml:space="preserve">The answer to question number 12 itemizes all information collection requirements. </w:t>
      </w:r>
    </w:p>
    <w:p w:rsidR="00DC35B3" w:rsidRPr="008A5B6D" w:rsidP="00DC35B3" w14:paraId="632A8AFB" w14:textId="77777777">
      <w:pPr>
        <w:widowControl w:val="0"/>
        <w:ind w:left="1080"/>
        <w:outlineLvl w:val="0"/>
        <w:rPr>
          <w:szCs w:val="24"/>
        </w:rPr>
      </w:pPr>
    </w:p>
    <w:p w:rsidR="00E14614" w:rsidRPr="00D863FB" w:rsidP="00FD16C9" w14:paraId="202F6A2F" w14:textId="77777777">
      <w:pPr>
        <w:widowControl w:val="0"/>
        <w:numPr>
          <w:ilvl w:val="0"/>
          <w:numId w:val="4"/>
        </w:numPr>
        <w:ind w:left="720"/>
        <w:rPr>
          <w:szCs w:val="24"/>
        </w:rPr>
      </w:pPr>
      <w:r w:rsidRPr="00D863FB">
        <w:rPr>
          <w:b/>
          <w:szCs w:val="24"/>
          <w:u w:val="single"/>
        </w:rPr>
        <w:t>Circumstances that make collection of the information necessary</w:t>
      </w:r>
      <w:r w:rsidRPr="007E62DC">
        <w:rPr>
          <w:szCs w:val="24"/>
        </w:rPr>
        <w:t>.</w:t>
      </w:r>
    </w:p>
    <w:p w:rsidR="00E14614" w:rsidRPr="00D863FB" w14:paraId="56095A06" w14:textId="77777777">
      <w:pPr>
        <w:widowControl w:val="0"/>
        <w:ind w:left="720"/>
        <w:rPr>
          <w:szCs w:val="24"/>
        </w:rPr>
      </w:pPr>
    </w:p>
    <w:p w:rsidR="00AD6ACB" w:rsidRPr="00D863FB" w14:paraId="705B2B4B" w14:textId="77777777">
      <w:pPr>
        <w:widowControl w:val="0"/>
        <w:ind w:left="720"/>
        <w:rPr>
          <w:szCs w:val="24"/>
        </w:rPr>
      </w:pPr>
      <w:r w:rsidRPr="00D863FB">
        <w:rPr>
          <w:szCs w:val="24"/>
        </w:rPr>
        <w:t xml:space="preserve">On October 16, 1970, Congress enacted Public Law 91-458 (now 49 U.S.C. 20103), the </w:t>
      </w:r>
      <w:r w:rsidRPr="00D863FB">
        <w:rPr>
          <w:szCs w:val="24"/>
        </w:rPr>
        <w:t>Federal Railroad Safety Act of 1970.  This Act gave the Secretary of Transportation the authority to prescribe as necessary appropriate rules, regulations, orders, and standards for all areas of railroad safety.</w:t>
      </w:r>
    </w:p>
    <w:p w:rsidR="00AD6ACB" w:rsidRPr="00D863FB" w14:paraId="7498C644" w14:textId="77777777">
      <w:pPr>
        <w:widowControl w:val="0"/>
        <w:rPr>
          <w:szCs w:val="24"/>
        </w:rPr>
      </w:pPr>
    </w:p>
    <w:p w:rsidR="00DC35B3" w14:paraId="7209B9E4" w14:textId="0CE1BE22">
      <w:pPr>
        <w:widowControl w:val="0"/>
        <w:ind w:left="720"/>
        <w:rPr>
          <w:szCs w:val="24"/>
        </w:rPr>
      </w:pPr>
      <w:r w:rsidRPr="00DC35B3">
        <w:rPr>
          <w:szCs w:val="24"/>
        </w:rPr>
        <w:t xml:space="preserve">Title 49 CFR part 215 contains freight car </w:t>
      </w:r>
      <w:r w:rsidRPr="00DC35B3">
        <w:rPr>
          <w:szCs w:val="24"/>
        </w:rPr>
        <w:t>safety standards, including conditions for freight cars in dedicated service.  “Dedicated service” means the exclusive assignment of railroad cars to the transportation of freight between specified points under the conditions listed in 49 CFR 215.5(d), inc</w:t>
      </w:r>
      <w:r w:rsidRPr="00DC35B3">
        <w:rPr>
          <w:szCs w:val="24"/>
        </w:rPr>
        <w:t>luding stenciling, or otherwise displaying, in clear legible letters on each side of the car body, the words “Dedicated Service.”  The railroad must notify FRA in writing that the cars are to be operated in dedicated service.</w:t>
      </w:r>
    </w:p>
    <w:p w:rsidR="00C10E41" w14:paraId="20D4043C" w14:textId="25161AE6">
      <w:pPr>
        <w:widowControl w:val="0"/>
        <w:ind w:left="720"/>
        <w:rPr>
          <w:szCs w:val="24"/>
        </w:rPr>
      </w:pPr>
    </w:p>
    <w:p w:rsidR="002E2A2E" w:rsidP="0038273F" w14:paraId="2DAEAB10" w14:textId="583D3437">
      <w:pPr>
        <w:widowControl w:val="0"/>
        <w:ind w:left="720"/>
      </w:pPr>
      <w:r w:rsidRPr="5716317F">
        <w:t>On November 15, 2021, Preside</w:t>
      </w:r>
      <w:r w:rsidRPr="5716317F">
        <w:t xml:space="preserve">nt </w:t>
      </w:r>
      <w:r w:rsidRPr="5716317F" w:rsidR="00263689">
        <w:t xml:space="preserve">Joseph R. </w:t>
      </w:r>
      <w:r w:rsidRPr="5716317F">
        <w:t xml:space="preserve">Biden signed the </w:t>
      </w:r>
      <w:r w:rsidRPr="00F33F5E" w:rsidR="00AB7B14">
        <w:t xml:space="preserve">Infrastructure Investment and Jobs </w:t>
      </w:r>
      <w:r w:rsidRPr="00F33F5E" w:rsidR="00517085">
        <w:t>Act</w:t>
      </w:r>
      <w:r w:rsidR="00517085">
        <w:rPr>
          <w:szCs w:val="24"/>
        </w:rPr>
        <w:t xml:space="preserve"> </w:t>
      </w:r>
      <w:r w:rsidR="00517085">
        <w:t>(</w:t>
      </w:r>
      <w:r w:rsidR="001508FF">
        <w:t>the Act)</w:t>
      </w:r>
      <w:r>
        <w:rPr>
          <w:rStyle w:val="FootnoteReference"/>
          <w:szCs w:val="24"/>
        </w:rPr>
        <w:footnoteReference w:id="3"/>
      </w:r>
      <w:r w:rsidR="007B4BDB">
        <w:t>.</w:t>
      </w:r>
      <w:bookmarkStart w:id="0" w:name="_Hlk126407388"/>
      <w:r w:rsidR="007B4BDB">
        <w:rPr>
          <w:szCs w:val="24"/>
        </w:rPr>
        <w:t xml:space="preserve"> </w:t>
      </w:r>
      <w:bookmarkEnd w:id="0"/>
      <w:r w:rsidR="0016228C">
        <w:rPr>
          <w:szCs w:val="24"/>
        </w:rPr>
        <w:t xml:space="preserve"> Section 22425 of the Act</w:t>
      </w:r>
      <w:r w:rsidRPr="5716317F">
        <w:t xml:space="preserve"> </w:t>
      </w:r>
      <w:r w:rsidR="00FE76C2">
        <w:t>places certain restri</w:t>
      </w:r>
      <w:r w:rsidR="00712148">
        <w:t>ctions on newly built</w:t>
      </w:r>
      <w:r w:rsidRPr="5716317F">
        <w:t xml:space="preserve"> freight cars </w:t>
      </w:r>
      <w:r w:rsidR="00712148">
        <w:t>placed into service</w:t>
      </w:r>
      <w:r w:rsidRPr="5716317F">
        <w:t xml:space="preserve"> </w:t>
      </w:r>
      <w:r w:rsidR="000E2ED1">
        <w:t xml:space="preserve">in </w:t>
      </w:r>
      <w:r w:rsidRPr="5716317F">
        <w:t xml:space="preserve">the </w:t>
      </w:r>
      <w:r w:rsidR="00953401">
        <w:t>United States (</w:t>
      </w:r>
      <w:r w:rsidRPr="5716317F">
        <w:t>U.S.</w:t>
      </w:r>
      <w:r w:rsidR="00953401">
        <w:t>)</w:t>
      </w:r>
      <w:r w:rsidRPr="009F6138">
        <w:rPr>
          <w:szCs w:val="24"/>
        </w:rPr>
        <w:t xml:space="preserve">, </w:t>
      </w:r>
      <w:r w:rsidR="00FC3479">
        <w:t>including</w:t>
      </w:r>
      <w:r w:rsidRPr="5716317F">
        <w:t xml:space="preserve">: (1) </w:t>
      </w:r>
      <w:r w:rsidR="0008034B">
        <w:t xml:space="preserve">limiting content </w:t>
      </w:r>
      <w:r w:rsidR="0028526E">
        <w:t xml:space="preserve">that </w:t>
      </w:r>
      <w:r w:rsidRPr="5716317F" w:rsidR="0028526E">
        <w:t>originates</w:t>
      </w:r>
      <w:r w:rsidRPr="5716317F">
        <w:t xml:space="preserve"> from a </w:t>
      </w:r>
      <w:r w:rsidRPr="5716317F" w:rsidR="001470C1">
        <w:t xml:space="preserve">country of concern (COC) or is sourced from a state-owned enterprise (SOE); </w:t>
      </w:r>
      <w:r w:rsidR="00477B5C">
        <w:t xml:space="preserve">and </w:t>
      </w:r>
      <w:r w:rsidRPr="5716317F">
        <w:t xml:space="preserve">(2) </w:t>
      </w:r>
      <w:r w:rsidR="0028526E">
        <w:t xml:space="preserve">prohibiting </w:t>
      </w:r>
      <w:r w:rsidRPr="5716317F" w:rsidR="0028526E">
        <w:t>the</w:t>
      </w:r>
      <w:r w:rsidRPr="5716317F">
        <w:t xml:space="preserve"> use of </w:t>
      </w:r>
      <w:r w:rsidR="00C27FAD">
        <w:t xml:space="preserve">sensitive </w:t>
      </w:r>
      <w:r w:rsidRPr="5716317F">
        <w:t xml:space="preserve">technology </w:t>
      </w:r>
      <w:r w:rsidR="00836801">
        <w:t xml:space="preserve">that originates from a COC or SOE. </w:t>
      </w:r>
      <w:r w:rsidRPr="009F6138">
        <w:rPr>
          <w:szCs w:val="24"/>
        </w:rPr>
        <w:t xml:space="preserve"> </w:t>
      </w:r>
      <w:r w:rsidR="007B4BDB">
        <w:rPr>
          <w:szCs w:val="24"/>
        </w:rPr>
        <w:t xml:space="preserve">The Act mandates that FRA issue a regulation to monitor and enforce industry’s compliance with the </w:t>
      </w:r>
      <w:r w:rsidR="007B4BDB">
        <w:rPr>
          <w:szCs w:val="24"/>
        </w:rPr>
        <w:t>standards of the Act.</w:t>
      </w:r>
      <w:r w:rsidRPr="009F6138">
        <w:rPr>
          <w:szCs w:val="24"/>
        </w:rPr>
        <w:t xml:space="preserve"> </w:t>
      </w:r>
      <w:r w:rsidR="001F24C0">
        <w:t>T</w:t>
      </w:r>
      <w:r w:rsidR="0097301F">
        <w:t xml:space="preserve">he </w:t>
      </w:r>
      <w:r w:rsidR="00AD32C4">
        <w:t xml:space="preserve">Secretary of </w:t>
      </w:r>
      <w:r w:rsidR="001D3CF2">
        <w:t xml:space="preserve">Transportation </w:t>
      </w:r>
      <w:r w:rsidR="00E64C55">
        <w:t xml:space="preserve">conferred FRA with the responsibility </w:t>
      </w:r>
      <w:r w:rsidR="001D7386">
        <w:t xml:space="preserve">of </w:t>
      </w:r>
      <w:r w:rsidR="00E64C55">
        <w:t xml:space="preserve">implementing the </w:t>
      </w:r>
      <w:r w:rsidR="001F24C0">
        <w:t>Act</w:t>
      </w:r>
      <w:r w:rsidR="001D7386">
        <w:t xml:space="preserve">.  </w:t>
      </w:r>
      <w:r>
        <w:t xml:space="preserve">On December 8, 2023, FRA published a </w:t>
      </w:r>
      <w:r w:rsidR="000F196E">
        <w:t>n</w:t>
      </w:r>
      <w:r>
        <w:t xml:space="preserve">otice of </w:t>
      </w:r>
      <w:r w:rsidR="000F196E">
        <w:t>p</w:t>
      </w:r>
      <w:r>
        <w:t xml:space="preserve">roposed </w:t>
      </w:r>
      <w:r w:rsidR="000F196E">
        <w:t>r</w:t>
      </w:r>
      <w:r>
        <w:t>ulemaking</w:t>
      </w:r>
      <w:r w:rsidR="006E5630">
        <w:t xml:space="preserve"> (NPRM)</w:t>
      </w:r>
      <w:r>
        <w:rPr>
          <w:rStyle w:val="FootnoteReference"/>
        </w:rPr>
        <w:footnoteReference w:id="4"/>
      </w:r>
      <w:r w:rsidR="0046749D">
        <w:t xml:space="preserve"> </w:t>
      </w:r>
      <w:r w:rsidR="004C2C34">
        <w:t xml:space="preserve">to initiate a rulemaking </w:t>
      </w:r>
      <w:r w:rsidR="009309F4">
        <w:t xml:space="preserve">as </w:t>
      </w:r>
      <w:r w:rsidR="0046749D">
        <w:t>required by the Act</w:t>
      </w:r>
      <w:r w:rsidR="009309F4">
        <w:t>.</w:t>
      </w:r>
      <w:r>
        <w:rPr>
          <w:rStyle w:val="FootnoteReference"/>
        </w:rPr>
        <w:footnoteReference w:id="5"/>
      </w:r>
      <w:r w:rsidR="0046749D">
        <w:t xml:space="preserve"> </w:t>
      </w:r>
      <w:r w:rsidR="009309F4">
        <w:t xml:space="preserve"> The NPRM </w:t>
      </w:r>
      <w:r w:rsidR="00465B25">
        <w:t xml:space="preserve">proposed </w:t>
      </w:r>
      <w:r>
        <w:t>amend</w:t>
      </w:r>
      <w:r w:rsidR="00465B25">
        <w:t>ing</w:t>
      </w:r>
      <w:r>
        <w:t xml:space="preserve"> the Freight Car Safety Standards (FCSS) to </w:t>
      </w:r>
      <w:r w:rsidR="00315101">
        <w:t xml:space="preserve">incorporate </w:t>
      </w:r>
      <w:r w:rsidR="00517085">
        <w:t>the Act’s</w:t>
      </w:r>
      <w:r w:rsidR="00E92504">
        <w:t xml:space="preserve"> </w:t>
      </w:r>
      <w:r w:rsidR="004C2BD5">
        <w:t xml:space="preserve">requirements </w:t>
      </w:r>
      <w:r w:rsidR="002F0189">
        <w:t xml:space="preserve">into </w:t>
      </w:r>
      <w:r w:rsidR="003375A4">
        <w:t xml:space="preserve">the Federal </w:t>
      </w:r>
      <w:r w:rsidR="002F0189">
        <w:t>regulation</w:t>
      </w:r>
      <w:r w:rsidR="00772B28">
        <w:t>s</w:t>
      </w:r>
      <w:r w:rsidR="002F0189">
        <w:t xml:space="preserve"> and establish FRA’s process to monitor and enforce industry’s compliance with th</w:t>
      </w:r>
      <w:r w:rsidR="00002340">
        <w:t>os</w:t>
      </w:r>
      <w:r w:rsidR="002F0189">
        <w:t xml:space="preserve">e </w:t>
      </w:r>
      <w:r w:rsidR="00002340">
        <w:t>requirements</w:t>
      </w:r>
      <w:r w:rsidR="00191639">
        <w:t>.</w:t>
      </w:r>
      <w:r w:rsidR="0000745C">
        <w:t xml:space="preserve"> </w:t>
      </w:r>
      <w:r w:rsidR="00E95D4F">
        <w:t xml:space="preserve">This final rule </w:t>
      </w:r>
      <w:r w:rsidR="00DC1CDD">
        <w:t>will</w:t>
      </w:r>
      <w:r w:rsidR="00E95D4F">
        <w:t xml:space="preserve"> fulfill FRA’s obligation to issue a rulemaking </w:t>
      </w:r>
      <w:r w:rsidR="00A45F37">
        <w:t>to</w:t>
      </w:r>
      <w:r w:rsidR="00E95D4F">
        <w:t xml:space="preserve"> implement the Act.</w:t>
      </w:r>
    </w:p>
    <w:p w:rsidR="001E0FF9" w:rsidP="0038273F" w14:paraId="5A811FCE" w14:textId="77777777">
      <w:pPr>
        <w:widowControl w:val="0"/>
        <w:ind w:left="720"/>
      </w:pPr>
    </w:p>
    <w:p w:rsidR="002F73D5" w:rsidRPr="00D863FB" w:rsidP="002F73D5" w14:paraId="1821B93D" w14:textId="77777777">
      <w:pPr>
        <w:widowControl w:val="0"/>
        <w:numPr>
          <w:ilvl w:val="0"/>
          <w:numId w:val="5"/>
        </w:numPr>
        <w:ind w:hanging="720"/>
        <w:rPr>
          <w:szCs w:val="24"/>
        </w:rPr>
      </w:pPr>
      <w:r w:rsidRPr="00D863FB">
        <w:rPr>
          <w:b/>
          <w:szCs w:val="24"/>
          <w:u w:val="single"/>
        </w:rPr>
        <w:t>How, by whom, and for what purpose the information is to be used</w:t>
      </w:r>
      <w:r w:rsidRPr="007E62DC">
        <w:rPr>
          <w:szCs w:val="24"/>
        </w:rPr>
        <w:t>.</w:t>
      </w:r>
    </w:p>
    <w:p w:rsidR="002F73D5" w:rsidRPr="00D863FB" w:rsidP="002F73D5" w14:paraId="60CC0883" w14:textId="77777777">
      <w:pPr>
        <w:widowControl w:val="0"/>
        <w:rPr>
          <w:szCs w:val="24"/>
        </w:rPr>
      </w:pPr>
    </w:p>
    <w:p w:rsidR="0020384B" w:rsidP="0020384B" w14:paraId="7BC6BE19" w14:textId="119E3A19">
      <w:pPr>
        <w:widowControl w:val="0"/>
        <w:ind w:left="720"/>
        <w:rPr>
          <w:szCs w:val="24"/>
        </w:rPr>
      </w:pPr>
      <w:r>
        <w:t xml:space="preserve">49 CFR part 215 prescribes the minimum Federal </w:t>
      </w:r>
      <w:r w:rsidR="00CF14C5">
        <w:t xml:space="preserve">rail </w:t>
      </w:r>
      <w:r>
        <w:t xml:space="preserve">safety standards for railroad freight cars.  </w:t>
      </w:r>
      <w:r>
        <w:rPr>
          <w:szCs w:val="24"/>
        </w:rPr>
        <w:t>Under the existing regulation, t</w:t>
      </w:r>
      <w:r w:rsidRPr="00DC35B3">
        <w:rPr>
          <w:szCs w:val="24"/>
        </w:rPr>
        <w:t xml:space="preserve">he railroad must notify FRA in writing </w:t>
      </w:r>
      <w:r>
        <w:rPr>
          <w:szCs w:val="24"/>
        </w:rPr>
        <w:t>when</w:t>
      </w:r>
      <w:r w:rsidRPr="00DC35B3">
        <w:rPr>
          <w:szCs w:val="24"/>
        </w:rPr>
        <w:t xml:space="preserve"> cars are to be operated in dedicated service.</w:t>
      </w:r>
      <w:r>
        <w:rPr>
          <w:szCs w:val="24"/>
        </w:rPr>
        <w:t xml:space="preserve">  </w:t>
      </w:r>
      <w:r w:rsidRPr="00D863FB">
        <w:rPr>
          <w:szCs w:val="24"/>
        </w:rPr>
        <w:t xml:space="preserve">FRA reviews </w:t>
      </w:r>
      <w:r>
        <w:rPr>
          <w:szCs w:val="24"/>
        </w:rPr>
        <w:t xml:space="preserve">the </w:t>
      </w:r>
      <w:r w:rsidRPr="00D863FB">
        <w:rPr>
          <w:szCs w:val="24"/>
        </w:rPr>
        <w:t xml:space="preserve">information </w:t>
      </w:r>
      <w:r>
        <w:rPr>
          <w:szCs w:val="24"/>
        </w:rPr>
        <w:t>collect</w:t>
      </w:r>
      <w:r>
        <w:rPr>
          <w:szCs w:val="24"/>
        </w:rPr>
        <w:t xml:space="preserve">ed </w:t>
      </w:r>
      <w:r w:rsidRPr="00D863FB">
        <w:rPr>
          <w:szCs w:val="24"/>
        </w:rPr>
        <w:t xml:space="preserve">to determine if the equipment is safe to operate and if the operation qualifies for dedicated service.  </w:t>
      </w:r>
    </w:p>
    <w:p w:rsidR="0020384B" w:rsidP="00545640" w14:paraId="2928B831" w14:textId="77777777">
      <w:pPr>
        <w:ind w:left="720"/>
      </w:pPr>
    </w:p>
    <w:p w:rsidR="000A4EC7" w:rsidP="00545640" w14:paraId="5655BF9F" w14:textId="3C9FCC4A">
      <w:pPr>
        <w:ind w:left="720"/>
      </w:pPr>
      <w:r>
        <w:t>With this final rule</w:t>
      </w:r>
      <w:r w:rsidR="002643B8">
        <w:t>,</w:t>
      </w:r>
      <w:r>
        <w:t xml:space="preserve"> under </w:t>
      </w:r>
      <w:r w:rsidR="002643B8">
        <w:t>part 215</w:t>
      </w:r>
      <w:r>
        <w:t xml:space="preserve">, subpart </w:t>
      </w:r>
      <w:r w:rsidR="00534ED3">
        <w:t>E</w:t>
      </w:r>
      <w:r w:rsidR="00E63547">
        <w:t xml:space="preserve">, </w:t>
      </w:r>
      <w:r w:rsidR="002643B8">
        <w:t xml:space="preserve">FRA </w:t>
      </w:r>
      <w:r w:rsidR="00E63547">
        <w:t>w</w:t>
      </w:r>
      <w:r w:rsidR="00BA19E3">
        <w:t xml:space="preserve">ill </w:t>
      </w:r>
      <w:r>
        <w:t xml:space="preserve">codify a process for FRA to monitor and enforce compliance </w:t>
      </w:r>
      <w:r w:rsidR="002643B8">
        <w:t>as mandated by the Act</w:t>
      </w:r>
      <w:r>
        <w:t>.  To ca</w:t>
      </w:r>
      <w:r>
        <w:t xml:space="preserve">rry out the Act’s certification requirement, FRA </w:t>
      </w:r>
      <w:r w:rsidR="002643B8">
        <w:t xml:space="preserve">will </w:t>
      </w:r>
      <w:r>
        <w:t>require railroad freight car manufacturers to</w:t>
      </w:r>
      <w:r w:rsidR="00591D58">
        <w:t xml:space="preserve"> certify </w:t>
      </w:r>
      <w:r w:rsidR="00B506EF">
        <w:t xml:space="preserve">annually by electronic </w:t>
      </w:r>
      <w:r w:rsidR="00DF2913">
        <w:t>submission to</w:t>
      </w:r>
      <w:r w:rsidR="00E5316F">
        <w:t xml:space="preserve"> FRA that each freight car </w:t>
      </w:r>
      <w:r w:rsidR="00CA08DF">
        <w:t xml:space="preserve">introduced into service </w:t>
      </w:r>
      <w:r w:rsidR="00E5316F">
        <w:t xml:space="preserve">complies with the Act before it operates on the U.S. </w:t>
      </w:r>
      <w:r w:rsidR="00DF26AE">
        <w:t>general railroad system of transportation.</w:t>
      </w:r>
      <w:r>
        <w:t xml:space="preserve">  The </w:t>
      </w:r>
      <w:r w:rsidR="00DF26AE">
        <w:t>certification</w:t>
      </w:r>
      <w:r>
        <w:t xml:space="preserve"> </w:t>
      </w:r>
      <w:r w:rsidR="00CA08DF">
        <w:t xml:space="preserve">must </w:t>
      </w:r>
      <w:r w:rsidR="00853B8D">
        <w:t>identify each c</w:t>
      </w:r>
      <w:r w:rsidR="00062BD1">
        <w:t xml:space="preserve">ar being offered for </w:t>
      </w:r>
      <w:r w:rsidR="002234FA">
        <w:t>operation and</w:t>
      </w:r>
      <w:r w:rsidR="00C74A35">
        <w:t xml:space="preserve"> include the manufacturer’s name and the name of the individual responsible for certifying compliance with the </w:t>
      </w:r>
      <w:r w:rsidR="00DD3CE2">
        <w:t>Act.</w:t>
      </w:r>
      <w:r>
        <w:t xml:space="preserve">  </w:t>
      </w:r>
      <w:r w:rsidR="00CA08DF">
        <w:t>T</w:t>
      </w:r>
      <w:r w:rsidR="005C64A1">
        <w:t xml:space="preserve">he manufacturers </w:t>
      </w:r>
      <w:r w:rsidR="00CA08DF">
        <w:t>will</w:t>
      </w:r>
      <w:r w:rsidR="005C64A1">
        <w:t xml:space="preserve"> </w:t>
      </w:r>
      <w:r w:rsidR="00CA08DF">
        <w:t xml:space="preserve">also </w:t>
      </w:r>
      <w:r w:rsidR="005C64A1">
        <w:t>be required to maintain all records showing information to support certification including content calculations</w:t>
      </w:r>
      <w:r w:rsidR="00CA08DF">
        <w:t xml:space="preserve"> from COC and/or SOE.</w:t>
      </w:r>
      <w:r w:rsidR="005C64A1">
        <w:t xml:space="preserve"> </w:t>
      </w:r>
      <w:r w:rsidR="00CA08DF">
        <w:t>Lastly, manufacturers must make available</w:t>
      </w:r>
      <w:r w:rsidR="005C64A1">
        <w:t xml:space="preserve"> such records to FRA upon request.  </w:t>
      </w:r>
    </w:p>
    <w:p w:rsidR="0079189C" w:rsidP="00420D13" w14:paraId="5F661218" w14:textId="77777777">
      <w:pPr>
        <w:widowControl w:val="0"/>
        <w:ind w:left="720"/>
        <w:rPr>
          <w:szCs w:val="24"/>
        </w:rPr>
      </w:pPr>
    </w:p>
    <w:p w:rsidR="000D10B5" w:rsidRPr="00420D13" w:rsidP="00420D13" w14:paraId="7CFC97A1" w14:textId="77777777">
      <w:pPr>
        <w:widowControl w:val="0"/>
        <w:numPr>
          <w:ilvl w:val="0"/>
          <w:numId w:val="5"/>
        </w:numPr>
        <w:ind w:hanging="720"/>
        <w:rPr>
          <w:szCs w:val="24"/>
        </w:rPr>
      </w:pPr>
      <w:r w:rsidRPr="00420D13">
        <w:rPr>
          <w:b/>
          <w:szCs w:val="24"/>
          <w:u w:val="single"/>
        </w:rPr>
        <w:t>Extent of automated information collection.</w:t>
      </w:r>
    </w:p>
    <w:p w:rsidR="00C10E41" w:rsidP="00C10E41" w14:paraId="513BD2E1" w14:textId="3484EBE8">
      <w:pPr>
        <w:widowControl w:val="0"/>
      </w:pPr>
    </w:p>
    <w:p w:rsidR="00C10E41" w:rsidRPr="00C00B9A" w:rsidP="00C00B9A" w14:paraId="1BBB2A3C" w14:textId="00E9678A">
      <w:pPr>
        <w:ind w:left="720"/>
      </w:pPr>
      <w:r w:rsidRPr="005E3B94">
        <w:t xml:space="preserve">FRA strongly encourages the use of advanced information technology, wherever feasible, to reduce </w:t>
      </w:r>
      <w:r>
        <w:t xml:space="preserve">the </w:t>
      </w:r>
      <w:r w:rsidRPr="005E3B94">
        <w:t>burden on respondents.</w:t>
      </w:r>
      <w:r w:rsidR="00C00B9A">
        <w:t xml:space="preserve"> </w:t>
      </w:r>
      <w:r w:rsidR="00D220F2">
        <w:t xml:space="preserve"> </w:t>
      </w:r>
      <w:r w:rsidR="001E78B8">
        <w:t xml:space="preserve">FRA estimates that approximately </w:t>
      </w:r>
      <w:r w:rsidR="003305E4">
        <w:t>9</w:t>
      </w:r>
      <w:r w:rsidR="00D91649">
        <w:t xml:space="preserve">5 percent of all </w:t>
      </w:r>
      <w:r w:rsidR="008A234F">
        <w:t>responses will be collected electronically</w:t>
      </w:r>
      <w:r w:rsidR="00C06EFC">
        <w:t>.</w:t>
      </w:r>
    </w:p>
    <w:p w:rsidR="000F72F4" w:rsidRPr="00D863FB" w:rsidP="005F1B84" w14:paraId="2F3BD629" w14:textId="3C2800C1">
      <w:pPr>
        <w:widowControl w:val="0"/>
      </w:pPr>
    </w:p>
    <w:p w:rsidR="005F1B84" w:rsidRPr="007E62DC" w:rsidP="005F1B84" w14:paraId="2593AF53" w14:textId="77777777">
      <w:pPr>
        <w:widowControl w:val="0"/>
        <w:rPr>
          <w:szCs w:val="24"/>
        </w:rPr>
      </w:pPr>
      <w:r w:rsidRPr="00D863FB">
        <w:rPr>
          <w:b/>
          <w:szCs w:val="24"/>
        </w:rPr>
        <w:t>4.</w:t>
      </w:r>
      <w:r w:rsidRPr="00D863FB">
        <w:rPr>
          <w:b/>
          <w:szCs w:val="24"/>
        </w:rPr>
        <w:tab/>
      </w:r>
      <w:r w:rsidRPr="00D863FB">
        <w:rPr>
          <w:b/>
          <w:szCs w:val="24"/>
          <w:u w:val="single"/>
        </w:rPr>
        <w:t>Efforts to identify duplication</w:t>
      </w:r>
      <w:r w:rsidRPr="007E62DC">
        <w:rPr>
          <w:szCs w:val="24"/>
        </w:rPr>
        <w:t>.</w:t>
      </w:r>
    </w:p>
    <w:p w:rsidR="00AD6ACB" w:rsidRPr="00D863FB" w14:paraId="2DB9C11F" w14:textId="77777777">
      <w:pPr>
        <w:widowControl w:val="0"/>
        <w:rPr>
          <w:szCs w:val="24"/>
        </w:rPr>
      </w:pPr>
    </w:p>
    <w:p w:rsidR="008874E7" w:rsidP="008874E7" w14:paraId="77C8DA5E" w14:textId="5C9DF571">
      <w:pPr>
        <w:ind w:left="720"/>
        <w:rPr>
          <w:szCs w:val="24"/>
        </w:rPr>
      </w:pPr>
      <w:r>
        <w:rPr>
          <w:szCs w:val="24"/>
        </w:rPr>
        <w:t>The information collection requirements</w:t>
      </w:r>
      <w:r w:rsidR="002643B8">
        <w:rPr>
          <w:szCs w:val="24"/>
        </w:rPr>
        <w:t xml:space="preserve"> </w:t>
      </w:r>
      <w:r w:rsidRPr="00C10E41" w:rsidR="00FE460F">
        <w:rPr>
          <w:szCs w:val="24"/>
        </w:rPr>
        <w:t>are</w:t>
      </w:r>
      <w:r w:rsidR="00464982">
        <w:rPr>
          <w:szCs w:val="24"/>
        </w:rPr>
        <w:t xml:space="preserve"> </w:t>
      </w:r>
      <w:r w:rsidRPr="00C10E41" w:rsidR="00C10E41">
        <w:rPr>
          <w:szCs w:val="24"/>
        </w:rPr>
        <w:t xml:space="preserve">not duplicated </w:t>
      </w:r>
      <w:r w:rsidR="002643B8">
        <w:rPr>
          <w:szCs w:val="24"/>
        </w:rPr>
        <w:t>elsewhere</w:t>
      </w:r>
      <w:r w:rsidRPr="00C10E41" w:rsidR="00C10E41">
        <w:rPr>
          <w:szCs w:val="24"/>
        </w:rPr>
        <w:t>.</w:t>
      </w:r>
      <w:r w:rsidR="00C00B9A">
        <w:rPr>
          <w:szCs w:val="24"/>
        </w:rPr>
        <w:t xml:space="preserve">  </w:t>
      </w:r>
      <w:r w:rsidRPr="00C10E41" w:rsidR="00C10E41">
        <w:rPr>
          <w:szCs w:val="24"/>
        </w:rPr>
        <w:t xml:space="preserve">Similar data </w:t>
      </w:r>
      <w:r w:rsidR="002643B8">
        <w:rPr>
          <w:szCs w:val="24"/>
        </w:rPr>
        <w:t>are</w:t>
      </w:r>
      <w:r w:rsidRPr="00C10E41" w:rsidR="00C10E41">
        <w:rPr>
          <w:szCs w:val="24"/>
        </w:rPr>
        <w:t xml:space="preserve"> </w:t>
      </w:r>
      <w:r w:rsidR="0039785D">
        <w:rPr>
          <w:szCs w:val="24"/>
        </w:rPr>
        <w:t xml:space="preserve">not </w:t>
      </w:r>
      <w:r w:rsidRPr="00C10E41" w:rsidR="00C10E41">
        <w:rPr>
          <w:szCs w:val="24"/>
        </w:rPr>
        <w:t>available from any other source</w:t>
      </w:r>
      <w:r w:rsidR="002643B8">
        <w:rPr>
          <w:szCs w:val="24"/>
        </w:rPr>
        <w:t>s</w:t>
      </w:r>
      <w:r w:rsidRPr="00C10E41" w:rsidR="00C10E41">
        <w:rPr>
          <w:szCs w:val="24"/>
        </w:rPr>
        <w:t>.</w:t>
      </w:r>
    </w:p>
    <w:p w:rsidR="000448AB" w:rsidP="008874E7" w14:paraId="784564EC" w14:textId="77777777">
      <w:pPr>
        <w:ind w:left="720"/>
        <w:rPr>
          <w:szCs w:val="24"/>
        </w:rPr>
      </w:pPr>
    </w:p>
    <w:p w:rsidR="0013485A" w:rsidRPr="007A4550" w:rsidP="007A4550" w14:paraId="31EA7122" w14:textId="208D8C55">
      <w:pPr>
        <w:rPr>
          <w:szCs w:val="24"/>
          <w:u w:val="single"/>
        </w:rPr>
      </w:pPr>
      <w:r w:rsidRPr="007A4550">
        <w:rPr>
          <w:b/>
          <w:szCs w:val="24"/>
        </w:rPr>
        <w:t>5.</w:t>
      </w:r>
      <w:r>
        <w:rPr>
          <w:b/>
          <w:szCs w:val="24"/>
        </w:rPr>
        <w:tab/>
      </w:r>
      <w:r w:rsidRPr="007A4550">
        <w:rPr>
          <w:b/>
          <w:szCs w:val="24"/>
          <w:u w:val="single"/>
        </w:rPr>
        <w:t>Efforts to minimize the burden on small businesses</w:t>
      </w:r>
      <w:r w:rsidRPr="007A4550">
        <w:rPr>
          <w:szCs w:val="24"/>
          <w:u w:val="single"/>
        </w:rPr>
        <w:t>.</w:t>
      </w:r>
    </w:p>
    <w:p w:rsidR="007A4550" w:rsidRPr="007A4550" w:rsidP="007A4550" w14:paraId="6773627F" w14:textId="77777777">
      <w:pPr>
        <w:pStyle w:val="ListParagraph"/>
        <w:rPr>
          <w:szCs w:val="24"/>
        </w:rPr>
      </w:pPr>
    </w:p>
    <w:p w:rsidR="00283C0B" w:rsidP="003E212C" w14:paraId="20DB9CF0" w14:textId="6FBE6701">
      <w:pPr>
        <w:ind w:left="720"/>
      </w:pPr>
      <w:r w:rsidRPr="00F9286D">
        <w:t xml:space="preserve">Freight car manufacturers are classified within </w:t>
      </w:r>
      <w:r w:rsidR="001D3089">
        <w:t>the North American Industry Classification System (</w:t>
      </w:r>
      <w:r w:rsidRPr="00F9286D">
        <w:t>NAICS</w:t>
      </w:r>
      <w:r w:rsidR="001D3089">
        <w:t>)</w:t>
      </w:r>
      <w:r w:rsidRPr="00F9286D">
        <w:t xml:space="preserve"> 336510 </w:t>
      </w:r>
      <w:r w:rsidRPr="00F9286D">
        <w:rPr>
          <w:i/>
        </w:rPr>
        <w:t>Railroad rolling stock manufacturing</w:t>
      </w:r>
      <w:r w:rsidRPr="00F9286D">
        <w:t>.</w:t>
      </w:r>
      <w:r>
        <w:rPr>
          <w:vertAlign w:val="superscript"/>
        </w:rPr>
        <w:footnoteReference w:id="6"/>
      </w:r>
      <w:r w:rsidRPr="00F9286D">
        <w:t xml:space="preserve">  The SBA size standard for NAICS 336510 is 1,500 employees.</w:t>
      </w:r>
      <w:r>
        <w:rPr>
          <w:vertAlign w:val="superscript"/>
        </w:rPr>
        <w:footnoteReference w:id="7"/>
      </w:r>
      <w:r w:rsidRPr="00F9286D">
        <w:t xml:space="preserve">  </w:t>
      </w:r>
    </w:p>
    <w:p w:rsidR="00283C0B" w:rsidP="003E212C" w14:paraId="652ABF8E" w14:textId="77777777">
      <w:pPr>
        <w:ind w:left="720"/>
      </w:pPr>
    </w:p>
    <w:p w:rsidR="003E212C" w:rsidRPr="003E212C" w:rsidP="003E212C" w14:paraId="7AD5B508" w14:textId="094562F1">
      <w:pPr>
        <w:ind w:left="720"/>
      </w:pPr>
      <w:r>
        <w:t xml:space="preserve">Based on FRA subject matter </w:t>
      </w:r>
      <w:r>
        <w:t>expert input, three of the six freight car manufacturers are considered small entities</w:t>
      </w:r>
      <w:r w:rsidR="16B34CEA">
        <w:t>,</w:t>
      </w:r>
      <w:r w:rsidR="00D44843">
        <w:t xml:space="preserve"> t</w:t>
      </w:r>
      <w:r w:rsidR="16B34CEA">
        <w:t>h</w:t>
      </w:r>
      <w:r w:rsidR="00C21FDE">
        <w:t>e</w:t>
      </w:r>
      <w:r w:rsidR="16B34CEA">
        <w:t xml:space="preserve"> analysis </w:t>
      </w:r>
      <w:r w:rsidR="008C13BE">
        <w:t>conducted in this final rule,</w:t>
      </w:r>
      <w:r w:rsidR="16B34CEA">
        <w:t xml:space="preserve"> conclude</w:t>
      </w:r>
      <w:r w:rsidR="008C13BE">
        <w:t>d</w:t>
      </w:r>
      <w:r w:rsidR="16B34CEA">
        <w:t xml:space="preserve"> that the three small freight car manufacturers currently comply with the proposed requirements in this rule related to content and sensitive technology limitations.  Therefore, </w:t>
      </w:r>
      <w:r w:rsidR="0033B772">
        <w:t>FRA</w:t>
      </w:r>
      <w:r w:rsidR="16B34CEA">
        <w:t xml:space="preserve"> concludes that the provisions related to content and sensitive technology limitations w</w:t>
      </w:r>
      <w:r w:rsidR="00FE57E2">
        <w:t xml:space="preserve">ill have no impact on the </w:t>
      </w:r>
      <w:r w:rsidR="16B34CEA">
        <w:t xml:space="preserve">three small freight car manufacturers. </w:t>
      </w:r>
    </w:p>
    <w:p w:rsidR="00F9286D" w:rsidRPr="00F9286D" w:rsidP="00F9286D" w14:paraId="4D2E8104" w14:textId="738EF1A2">
      <w:pPr>
        <w:ind w:left="720"/>
      </w:pPr>
    </w:p>
    <w:p w:rsidR="005E0E32" w:rsidP="005E0E32" w14:paraId="0EC8ADB1" w14:textId="2154E250">
      <w:pPr>
        <w:ind w:left="720"/>
      </w:pPr>
      <w:r>
        <w:t>T</w:t>
      </w:r>
      <w:r w:rsidRPr="005E0E32">
        <w:t>he three small freight car manufact</w:t>
      </w:r>
      <w:r w:rsidRPr="005E0E32">
        <w:t>urers</w:t>
      </w:r>
      <w:r>
        <w:t xml:space="preserve"> will be required to comply with the new compliance certification requirements of this final rule </w:t>
      </w:r>
      <w:r w:rsidRPr="005E0E32">
        <w:t>related to: (1) affirming newly designed freight cars comply with the Act; (2) annual certification of compliance letter; and (3) participation in a peri</w:t>
      </w:r>
      <w:r w:rsidRPr="005E0E32">
        <w:t xml:space="preserve">odic audit of freight car manufacturers.  </w:t>
      </w:r>
      <w:r w:rsidR="000205AC">
        <w:t xml:space="preserve">FRA </w:t>
      </w:r>
      <w:r w:rsidRPr="000205AC" w:rsidR="000205AC">
        <w:t xml:space="preserve">estimates that each year small manufacturers introduce approximately six unique freight car design builds.  For each of these introductions, the small manufacturer would need to inform FRA that the new designs are compliant with the Act.  </w:t>
      </w:r>
      <w:r>
        <w:t xml:space="preserve">However, the associated paperwork burden (1.25 hours for each freight car) does not impose a significant burden on these small businesses. </w:t>
      </w:r>
    </w:p>
    <w:p w:rsidR="000F2821" w:rsidRPr="005E0E32" w:rsidP="005E0E32" w14:paraId="35442EB9" w14:textId="0B08E0A1">
      <w:pPr>
        <w:ind w:left="720"/>
      </w:pPr>
    </w:p>
    <w:p w:rsidR="00021A33" w:rsidP="00021A33" w14:paraId="0F9A68DA" w14:textId="436630B1">
      <w:pPr>
        <w:widowControl w:val="0"/>
        <w:ind w:left="720" w:hanging="720"/>
        <w:rPr>
          <w:szCs w:val="24"/>
        </w:rPr>
      </w:pPr>
      <w:r w:rsidRPr="00D863FB">
        <w:rPr>
          <w:b/>
          <w:szCs w:val="24"/>
        </w:rPr>
        <w:t>6.</w:t>
      </w:r>
      <w:r w:rsidRPr="00D863FB">
        <w:rPr>
          <w:b/>
          <w:szCs w:val="24"/>
        </w:rPr>
        <w:tab/>
      </w:r>
      <w:r w:rsidRPr="00D863FB">
        <w:rPr>
          <w:b/>
          <w:szCs w:val="24"/>
          <w:u w:val="single"/>
        </w:rPr>
        <w:t>Impact of less frequent collection of information</w:t>
      </w:r>
      <w:r w:rsidRPr="007E62DC">
        <w:rPr>
          <w:szCs w:val="24"/>
        </w:rPr>
        <w:t>.</w:t>
      </w:r>
    </w:p>
    <w:p w:rsidR="00E67530" w:rsidRPr="00D863FB" w:rsidP="00021A33" w14:paraId="41ED84F5" w14:textId="77777777">
      <w:pPr>
        <w:widowControl w:val="0"/>
        <w:ind w:left="720" w:hanging="720"/>
        <w:rPr>
          <w:b/>
          <w:szCs w:val="24"/>
        </w:rPr>
      </w:pPr>
    </w:p>
    <w:p w:rsidR="00D82A5F" w:rsidRPr="00D82A5F" w:rsidP="00D82A5F" w14:paraId="68CC9B3D" w14:textId="14E6ABBE">
      <w:pPr>
        <w:widowControl w:val="0"/>
        <w:ind w:left="720"/>
        <w:rPr>
          <w:szCs w:val="24"/>
        </w:rPr>
      </w:pPr>
      <w:r>
        <w:rPr>
          <w:szCs w:val="24"/>
        </w:rPr>
        <w:t xml:space="preserve">The collection of information under this </w:t>
      </w:r>
      <w:r w:rsidR="00AA277D">
        <w:rPr>
          <w:szCs w:val="24"/>
        </w:rPr>
        <w:t>final</w:t>
      </w:r>
      <w:r>
        <w:rPr>
          <w:szCs w:val="24"/>
        </w:rPr>
        <w:t xml:space="preserve"> rule </w:t>
      </w:r>
      <w:r w:rsidRPr="0009207F" w:rsidR="0009207F">
        <w:rPr>
          <w:szCs w:val="24"/>
        </w:rPr>
        <w:t>aids FRA’s comprehensive safety program and serves to promote safe rail travel and the safe operation of trains for both the traveling public and railroad workers.</w:t>
      </w:r>
      <w:r w:rsidR="0009207F">
        <w:rPr>
          <w:szCs w:val="24"/>
        </w:rPr>
        <w:t xml:space="preserve">  For </w:t>
      </w:r>
      <w:r w:rsidR="00CE4B1A">
        <w:rPr>
          <w:szCs w:val="24"/>
        </w:rPr>
        <w:t>instance, without the information collected:</w:t>
      </w:r>
    </w:p>
    <w:p w:rsidR="00155591" w:rsidP="00C10E41" w14:paraId="3B80686D" w14:textId="0E37E255">
      <w:pPr>
        <w:widowControl w:val="0"/>
        <w:ind w:left="720"/>
        <w:rPr>
          <w:szCs w:val="24"/>
        </w:rPr>
      </w:pPr>
    </w:p>
    <w:p w:rsidR="00503D84" w:rsidP="00503D84" w14:paraId="48F95841" w14:textId="3D9E7E9A">
      <w:pPr>
        <w:widowControl w:val="0"/>
        <w:ind w:left="720"/>
        <w:rPr>
          <w:szCs w:val="24"/>
        </w:rPr>
      </w:pPr>
      <w:r>
        <w:rPr>
          <w:szCs w:val="24"/>
        </w:rPr>
        <w:t xml:space="preserve">Under </w:t>
      </w:r>
      <w:r w:rsidRPr="009404A6">
        <w:rPr>
          <w:szCs w:val="24"/>
        </w:rPr>
        <w:t>§215.403(a)(1)</w:t>
      </w:r>
      <w:r>
        <w:rPr>
          <w:szCs w:val="24"/>
        </w:rPr>
        <w:t>(ii)</w:t>
      </w:r>
      <w:r w:rsidR="005F456D">
        <w:rPr>
          <w:szCs w:val="24"/>
        </w:rPr>
        <w:t xml:space="preserve"> FRA </w:t>
      </w:r>
      <w:r w:rsidR="000076A0">
        <w:rPr>
          <w:szCs w:val="24"/>
        </w:rPr>
        <w:t>will require</w:t>
      </w:r>
      <w:r w:rsidR="005F456D">
        <w:rPr>
          <w:szCs w:val="24"/>
        </w:rPr>
        <w:t xml:space="preserve"> that</w:t>
      </w:r>
      <w:r w:rsidR="00FF6174">
        <w:rPr>
          <w:szCs w:val="24"/>
        </w:rPr>
        <w:t xml:space="preserve"> railroad freight car manufacturers </w:t>
      </w:r>
      <w:r w:rsidR="00FE2B13">
        <w:rPr>
          <w:szCs w:val="24"/>
        </w:rPr>
        <w:t xml:space="preserve">maintain all records showing information support certification, including content calculations, and </w:t>
      </w:r>
      <w:r w:rsidR="000076A0">
        <w:rPr>
          <w:szCs w:val="24"/>
        </w:rPr>
        <w:t>make</w:t>
      </w:r>
      <w:r w:rsidR="00FE2B13">
        <w:rPr>
          <w:szCs w:val="24"/>
        </w:rPr>
        <w:t xml:space="preserve"> available </w:t>
      </w:r>
      <w:r w:rsidR="000076A0">
        <w:rPr>
          <w:szCs w:val="24"/>
        </w:rPr>
        <w:t xml:space="preserve">such records </w:t>
      </w:r>
      <w:r w:rsidR="00FE2B13">
        <w:rPr>
          <w:szCs w:val="24"/>
        </w:rPr>
        <w:t xml:space="preserve">to FRA upon request.  </w:t>
      </w:r>
      <w:r w:rsidR="007E3E00">
        <w:rPr>
          <w:szCs w:val="24"/>
        </w:rPr>
        <w:t>Specifically,</w:t>
      </w:r>
      <w:r w:rsidR="00620DBF">
        <w:rPr>
          <w:szCs w:val="24"/>
        </w:rPr>
        <w:t xml:space="preserve"> </w:t>
      </w:r>
      <w:r w:rsidR="00D90984">
        <w:rPr>
          <w:szCs w:val="24"/>
        </w:rPr>
        <w:t>t</w:t>
      </w:r>
      <w:r w:rsidR="006F6757">
        <w:rPr>
          <w:szCs w:val="24"/>
        </w:rPr>
        <w:t xml:space="preserve">his </w:t>
      </w:r>
      <w:r w:rsidR="001F505D">
        <w:rPr>
          <w:szCs w:val="24"/>
        </w:rPr>
        <w:t>collection of information</w:t>
      </w:r>
      <w:r w:rsidR="00C04337">
        <w:rPr>
          <w:szCs w:val="24"/>
        </w:rPr>
        <w:t xml:space="preserve"> </w:t>
      </w:r>
      <w:r w:rsidR="001F505D">
        <w:rPr>
          <w:szCs w:val="24"/>
        </w:rPr>
        <w:t>provide</w:t>
      </w:r>
      <w:r w:rsidR="00C04337">
        <w:rPr>
          <w:szCs w:val="24"/>
        </w:rPr>
        <w:t>s</w:t>
      </w:r>
      <w:r w:rsidR="001F505D">
        <w:rPr>
          <w:szCs w:val="24"/>
        </w:rPr>
        <w:t xml:space="preserve"> FRA access to the information </w:t>
      </w:r>
      <w:r w:rsidR="00F931F9">
        <w:rPr>
          <w:szCs w:val="24"/>
        </w:rPr>
        <w:t xml:space="preserve">on </w:t>
      </w:r>
      <w:r w:rsidR="009E717E">
        <w:rPr>
          <w:szCs w:val="24"/>
        </w:rPr>
        <w:t>s</w:t>
      </w:r>
      <w:r w:rsidR="001D43CC">
        <w:rPr>
          <w:szCs w:val="24"/>
        </w:rPr>
        <w:t xml:space="preserve">ensitive </w:t>
      </w:r>
      <w:r w:rsidR="00061E3D">
        <w:rPr>
          <w:szCs w:val="24"/>
        </w:rPr>
        <w:t xml:space="preserve">technology being placed on </w:t>
      </w:r>
      <w:r w:rsidR="002C30E5">
        <w:rPr>
          <w:szCs w:val="24"/>
        </w:rPr>
        <w:t xml:space="preserve">newly built </w:t>
      </w:r>
      <w:r w:rsidR="00061E3D">
        <w:rPr>
          <w:szCs w:val="24"/>
        </w:rPr>
        <w:t>freight cars</w:t>
      </w:r>
      <w:r w:rsidR="00BA705E">
        <w:rPr>
          <w:szCs w:val="24"/>
        </w:rPr>
        <w:t xml:space="preserve">, which if coming from </w:t>
      </w:r>
      <w:r w:rsidR="00737698">
        <w:rPr>
          <w:szCs w:val="24"/>
        </w:rPr>
        <w:t>a COC</w:t>
      </w:r>
      <w:r w:rsidR="000420EC">
        <w:rPr>
          <w:szCs w:val="24"/>
        </w:rPr>
        <w:t xml:space="preserve"> </w:t>
      </w:r>
      <w:r w:rsidR="008F24D3">
        <w:rPr>
          <w:szCs w:val="24"/>
        </w:rPr>
        <w:t>or SOE</w:t>
      </w:r>
      <w:r w:rsidR="00B7703B">
        <w:rPr>
          <w:szCs w:val="24"/>
        </w:rPr>
        <w:t>,</w:t>
      </w:r>
      <w:r w:rsidR="008F24D3">
        <w:rPr>
          <w:szCs w:val="24"/>
        </w:rPr>
        <w:t xml:space="preserve"> </w:t>
      </w:r>
      <w:r w:rsidR="00B8158C">
        <w:rPr>
          <w:szCs w:val="24"/>
        </w:rPr>
        <w:t xml:space="preserve">could </w:t>
      </w:r>
      <w:r w:rsidR="00CF714A">
        <w:rPr>
          <w:szCs w:val="24"/>
        </w:rPr>
        <w:t xml:space="preserve">potentially </w:t>
      </w:r>
      <w:r w:rsidR="00B8158C">
        <w:rPr>
          <w:szCs w:val="24"/>
        </w:rPr>
        <w:t>compro</w:t>
      </w:r>
      <w:r w:rsidR="00E87C0F">
        <w:rPr>
          <w:szCs w:val="24"/>
        </w:rPr>
        <w:t>mise rail safety.</w:t>
      </w:r>
      <w:r w:rsidR="007E3E00">
        <w:rPr>
          <w:rStyle w:val="CommentReference"/>
        </w:rPr>
        <w:t xml:space="preserve"> </w:t>
      </w:r>
    </w:p>
    <w:p w:rsidR="00503D84" w:rsidRPr="00503D84" w:rsidP="00503D84" w14:paraId="579FF4F4" w14:textId="77777777">
      <w:pPr>
        <w:widowControl w:val="0"/>
        <w:ind w:left="720"/>
        <w:rPr>
          <w:szCs w:val="24"/>
        </w:rPr>
      </w:pPr>
    </w:p>
    <w:p w:rsidR="00B24648" w:rsidP="00B24648" w14:paraId="0BC3567D" w14:textId="4F1AC440">
      <w:pPr>
        <w:widowControl w:val="0"/>
        <w:ind w:left="720"/>
        <w:rPr>
          <w:szCs w:val="24"/>
        </w:rPr>
      </w:pPr>
      <w:r>
        <w:rPr>
          <w:szCs w:val="24"/>
        </w:rPr>
        <w:t>T</w:t>
      </w:r>
      <w:r w:rsidRPr="00B24648">
        <w:rPr>
          <w:szCs w:val="24"/>
        </w:rPr>
        <w:t>h</w:t>
      </w:r>
      <w:r>
        <w:rPr>
          <w:szCs w:val="24"/>
        </w:rPr>
        <w:t>is</w:t>
      </w:r>
      <w:r w:rsidRPr="00B24648">
        <w:rPr>
          <w:szCs w:val="24"/>
        </w:rPr>
        <w:t xml:space="preserve"> </w:t>
      </w:r>
      <w:r>
        <w:rPr>
          <w:szCs w:val="24"/>
        </w:rPr>
        <w:t>final</w:t>
      </w:r>
      <w:r w:rsidRPr="00B24648">
        <w:rPr>
          <w:szCs w:val="24"/>
        </w:rPr>
        <w:t xml:space="preserve"> rule w</w:t>
      </w:r>
      <w:r w:rsidR="00583A58">
        <w:rPr>
          <w:szCs w:val="24"/>
        </w:rPr>
        <w:t>ill help to</w:t>
      </w:r>
      <w:r w:rsidRPr="00B24648">
        <w:rPr>
          <w:szCs w:val="24"/>
        </w:rPr>
        <w:t xml:space="preserve"> protect the U.S. rail system from risks that come from manufacturing freight cars with sensitive technology and technological components, necessary to the functionality of the sensitive technology, from a COC or SOE such as potential vulnerabilities in in</w:t>
      </w:r>
      <w:r w:rsidRPr="00B24648">
        <w:rPr>
          <w:szCs w:val="24"/>
        </w:rPr>
        <w:t xml:space="preserve">formation security.  As such, </w:t>
      </w:r>
      <w:r>
        <w:rPr>
          <w:szCs w:val="24"/>
        </w:rPr>
        <w:t xml:space="preserve">the information collections under this </w:t>
      </w:r>
      <w:r w:rsidRPr="00B24648">
        <w:rPr>
          <w:szCs w:val="24"/>
        </w:rPr>
        <w:t>rule w</w:t>
      </w:r>
      <w:r>
        <w:rPr>
          <w:szCs w:val="24"/>
        </w:rPr>
        <w:t>ill</w:t>
      </w:r>
      <w:r w:rsidRPr="00B24648">
        <w:rPr>
          <w:szCs w:val="24"/>
        </w:rPr>
        <w:t xml:space="preserve"> mitigate potential issues related to compromised national security and corporate espionage.</w:t>
      </w:r>
    </w:p>
    <w:p w:rsidR="000448AB" w:rsidP="00B24648" w14:paraId="59D20D10" w14:textId="77777777">
      <w:pPr>
        <w:widowControl w:val="0"/>
        <w:ind w:left="720"/>
        <w:rPr>
          <w:szCs w:val="24"/>
        </w:rPr>
      </w:pPr>
    </w:p>
    <w:p w:rsidR="002C6F1F" w:rsidP="00B24648" w14:paraId="7BEDC2EB" w14:textId="77777777">
      <w:pPr>
        <w:widowControl w:val="0"/>
        <w:ind w:left="720"/>
        <w:rPr>
          <w:szCs w:val="24"/>
        </w:rPr>
      </w:pPr>
    </w:p>
    <w:p w:rsidR="00263EF0" w:rsidRPr="00D863FB" w:rsidP="00263EF0" w14:paraId="5009B4F9" w14:textId="77777777">
      <w:pPr>
        <w:widowControl w:val="0"/>
        <w:ind w:left="720" w:hanging="720"/>
        <w:rPr>
          <w:szCs w:val="24"/>
        </w:rPr>
      </w:pPr>
      <w:r w:rsidRPr="00D863FB">
        <w:rPr>
          <w:b/>
          <w:szCs w:val="24"/>
        </w:rPr>
        <w:t>7.</w:t>
      </w:r>
      <w:r w:rsidRPr="00D863FB">
        <w:rPr>
          <w:b/>
          <w:szCs w:val="24"/>
        </w:rPr>
        <w:tab/>
      </w:r>
      <w:r w:rsidRPr="00D863FB">
        <w:rPr>
          <w:b/>
          <w:szCs w:val="24"/>
          <w:u w:val="single"/>
        </w:rPr>
        <w:t>Special circumstances</w:t>
      </w:r>
      <w:r w:rsidRPr="007E62DC">
        <w:rPr>
          <w:szCs w:val="24"/>
        </w:rPr>
        <w:t>.</w:t>
      </w:r>
    </w:p>
    <w:p w:rsidR="00263EF0" w:rsidRPr="00D863FB" w:rsidP="00263EF0" w14:paraId="1F70975D" w14:textId="77777777">
      <w:pPr>
        <w:widowControl w:val="0"/>
        <w:rPr>
          <w:szCs w:val="24"/>
        </w:rPr>
      </w:pPr>
    </w:p>
    <w:p w:rsidR="00A2046A" w:rsidP="000448AB" w14:paraId="643E6F50" w14:textId="6C8E56A7">
      <w:pPr>
        <w:ind w:firstLine="720"/>
      </w:pPr>
      <w:r>
        <w:t xml:space="preserve">There are no special circumstances. </w:t>
      </w:r>
    </w:p>
    <w:p w:rsidR="000448AB" w:rsidP="000448AB" w14:paraId="4273C209" w14:textId="77777777">
      <w:pPr>
        <w:ind w:firstLine="720"/>
        <w:rPr>
          <w:szCs w:val="24"/>
        </w:rPr>
      </w:pPr>
    </w:p>
    <w:p w:rsidR="00F720E1" w:rsidRPr="00D863FB" w:rsidP="00F720E1" w14:paraId="4A414B9E" w14:textId="77777777">
      <w:pPr>
        <w:widowControl w:val="0"/>
        <w:ind w:left="720" w:hanging="720"/>
        <w:rPr>
          <w:b/>
          <w:szCs w:val="24"/>
        </w:rPr>
      </w:pPr>
      <w:r w:rsidRPr="00D863FB">
        <w:rPr>
          <w:b/>
          <w:szCs w:val="24"/>
        </w:rPr>
        <w:t>8.</w:t>
      </w:r>
      <w:r w:rsidRPr="00D863FB">
        <w:rPr>
          <w:b/>
          <w:szCs w:val="24"/>
        </w:rPr>
        <w:tab/>
      </w:r>
      <w:r w:rsidRPr="00D863FB">
        <w:rPr>
          <w:b/>
          <w:szCs w:val="24"/>
          <w:u w:val="single"/>
        </w:rPr>
        <w:t>Compliance with</w:t>
      </w:r>
      <w:r w:rsidRPr="00D863FB">
        <w:rPr>
          <w:b/>
          <w:szCs w:val="24"/>
          <w:u w:val="single"/>
        </w:rPr>
        <w:t xml:space="preserve"> </w:t>
      </w:r>
      <w:r w:rsidR="00482427">
        <w:rPr>
          <w:b/>
          <w:szCs w:val="24"/>
          <w:u w:val="single"/>
        </w:rPr>
        <w:t xml:space="preserve">Title </w:t>
      </w:r>
      <w:r w:rsidRPr="00D863FB">
        <w:rPr>
          <w:b/>
          <w:szCs w:val="24"/>
          <w:u w:val="single"/>
        </w:rPr>
        <w:t>5 C</w:t>
      </w:r>
      <w:r w:rsidR="00482427">
        <w:rPr>
          <w:b/>
          <w:szCs w:val="24"/>
          <w:u w:val="single"/>
        </w:rPr>
        <w:t xml:space="preserve">ode of </w:t>
      </w:r>
      <w:r w:rsidRPr="00D863FB">
        <w:rPr>
          <w:b/>
          <w:szCs w:val="24"/>
          <w:u w:val="single"/>
        </w:rPr>
        <w:t>F</w:t>
      </w:r>
      <w:r w:rsidR="00482427">
        <w:rPr>
          <w:b/>
          <w:szCs w:val="24"/>
          <w:u w:val="single"/>
        </w:rPr>
        <w:t xml:space="preserve">ederal </w:t>
      </w:r>
      <w:r w:rsidRPr="00D863FB">
        <w:rPr>
          <w:b/>
          <w:szCs w:val="24"/>
          <w:u w:val="single"/>
        </w:rPr>
        <w:t>R</w:t>
      </w:r>
      <w:r w:rsidR="00482427">
        <w:rPr>
          <w:b/>
          <w:szCs w:val="24"/>
          <w:u w:val="single"/>
        </w:rPr>
        <w:t xml:space="preserve">egulations </w:t>
      </w:r>
      <w:r w:rsidRPr="000A54C5" w:rsidR="00482427">
        <w:rPr>
          <w:b/>
          <w:szCs w:val="24"/>
          <w:u w:val="single"/>
        </w:rPr>
        <w:t>§</w:t>
      </w:r>
      <w:r w:rsidRPr="00D863FB">
        <w:rPr>
          <w:b/>
          <w:szCs w:val="24"/>
          <w:u w:val="single"/>
        </w:rPr>
        <w:t xml:space="preserve"> 1320.8</w:t>
      </w:r>
      <w:r w:rsidRPr="007E62DC">
        <w:rPr>
          <w:szCs w:val="24"/>
        </w:rPr>
        <w:t>.</w:t>
      </w:r>
    </w:p>
    <w:p w:rsidR="00AD6ACB" w:rsidRPr="00D863FB" w:rsidP="00537DC6" w14:paraId="45FEDA65" w14:textId="77777777">
      <w:pPr>
        <w:widowControl w:val="0"/>
        <w:rPr>
          <w:szCs w:val="24"/>
        </w:rPr>
      </w:pPr>
    </w:p>
    <w:p w:rsidR="004739B3" w:rsidP="004739B3" w14:paraId="52D06E36" w14:textId="23C9F0A9">
      <w:pPr>
        <w:widowControl w:val="0"/>
        <w:ind w:left="720"/>
      </w:pPr>
      <w:r w:rsidRPr="00EF4602">
        <w:t>FRA</w:t>
      </w:r>
      <w:r w:rsidR="00583A58">
        <w:t xml:space="preserve"> is publishing a </w:t>
      </w:r>
      <w:r w:rsidR="003B670C">
        <w:t>f</w:t>
      </w:r>
      <w:r w:rsidR="00583A58">
        <w:t xml:space="preserve">inal </w:t>
      </w:r>
      <w:r w:rsidR="003B670C">
        <w:t>rule</w:t>
      </w:r>
      <w:r w:rsidR="00583A58">
        <w:t xml:space="preserve"> in the </w:t>
      </w:r>
      <w:r w:rsidRPr="00EF4602">
        <w:t xml:space="preserve">Federal Register </w:t>
      </w:r>
      <w:r w:rsidR="00583A58">
        <w:t xml:space="preserve">on </w:t>
      </w:r>
      <w:r>
        <w:t>December 19, 2024</w:t>
      </w:r>
      <w:r>
        <w:t>,</w:t>
      </w:r>
      <w:r>
        <w:rPr>
          <w:rStyle w:val="FootnoteReference"/>
        </w:rPr>
        <w:footnoteReference w:id="8"/>
      </w:r>
      <w:r w:rsidRPr="00EF4602">
        <w:t xml:space="preserve"> titled </w:t>
      </w:r>
      <w:r w:rsidRPr="008E37F1" w:rsidR="003F5E33">
        <w:rPr>
          <w:szCs w:val="24"/>
          <w:u w:val="single"/>
        </w:rPr>
        <w:t xml:space="preserve">Freight Car Safety Standards Implementing the </w:t>
      </w:r>
      <w:r w:rsidR="000B27B8">
        <w:rPr>
          <w:szCs w:val="24"/>
          <w:u w:val="single"/>
        </w:rPr>
        <w:t>Infrastructure Investment and Jobs</w:t>
      </w:r>
      <w:r w:rsidRPr="008E37F1" w:rsidR="003F5E33">
        <w:rPr>
          <w:szCs w:val="24"/>
          <w:u w:val="single"/>
        </w:rPr>
        <w:t xml:space="preserve"> Act</w:t>
      </w:r>
      <w:r>
        <w:rPr>
          <w:szCs w:val="24"/>
          <w:u w:val="single"/>
        </w:rPr>
        <w:t>.</w:t>
      </w:r>
      <w:r w:rsidRPr="00EF4602">
        <w:t xml:space="preserve"> </w:t>
      </w:r>
    </w:p>
    <w:p w:rsidR="00583A58" w:rsidP="004739B3" w14:paraId="7F878840" w14:textId="0D830BAB">
      <w:pPr>
        <w:widowControl w:val="0"/>
        <w:ind w:left="720"/>
      </w:pPr>
    </w:p>
    <w:p w:rsidR="00BD456E" w:rsidP="004739B3" w14:paraId="4B1ABA32" w14:textId="77777777">
      <w:pPr>
        <w:widowControl w:val="0"/>
        <w:ind w:left="720"/>
      </w:pPr>
      <w:r w:rsidRPr="00583A58">
        <w:t xml:space="preserve">FRA received </w:t>
      </w:r>
      <w:r w:rsidR="00247098">
        <w:t>18</w:t>
      </w:r>
      <w:r w:rsidRPr="00583A58">
        <w:t xml:space="preserve"> comments in response to the NPRM published on </w:t>
      </w:r>
      <w:r>
        <w:t>December 8</w:t>
      </w:r>
      <w:r w:rsidRPr="00583A58">
        <w:t xml:space="preserve">, </w:t>
      </w:r>
      <w:r>
        <w:t>2024</w:t>
      </w:r>
      <w:r>
        <w:rPr>
          <w:rStyle w:val="FootnoteReference"/>
        </w:rPr>
        <w:footnoteReference w:id="9"/>
      </w:r>
      <w:r w:rsidRPr="00583A58">
        <w:t xml:space="preserve">. </w:t>
      </w:r>
      <w:r w:rsidR="00191BE7">
        <w:t>Of the 18 comments received, four</w:t>
      </w:r>
      <w:r>
        <w:rPr>
          <w:rStyle w:val="FootnoteReference"/>
        </w:rPr>
        <w:footnoteReference w:id="10"/>
      </w:r>
      <w:r w:rsidR="00191BE7">
        <w:t xml:space="preserve"> discussed issues pertaining to the information collection requirements of the compliance certification requirements.  Commenters</w:t>
      </w:r>
      <w:r>
        <w:rPr>
          <w:rStyle w:val="FootnoteReference"/>
        </w:rPr>
        <w:footnoteReference w:id="11"/>
      </w:r>
      <w:r w:rsidR="00191BE7">
        <w:t xml:space="preserve"> </w:t>
      </w:r>
      <w:r>
        <w:t xml:space="preserve">also </w:t>
      </w:r>
      <w:r w:rsidR="00191BE7">
        <w:t xml:space="preserve">advocated a five-year limit to the recordkeeping requirement.  FRA disagrees, because records may be needed to enforce the Act beyond a five-year period.  </w:t>
      </w:r>
    </w:p>
    <w:p w:rsidR="00BD456E" w:rsidP="004739B3" w14:paraId="308B6F6C" w14:textId="77777777">
      <w:pPr>
        <w:widowControl w:val="0"/>
        <w:ind w:left="720"/>
      </w:pPr>
    </w:p>
    <w:p w:rsidR="00583A58" w:rsidRPr="00EF4602" w:rsidP="004739B3" w14:paraId="776361E1" w14:textId="04383B3D">
      <w:pPr>
        <w:widowControl w:val="0"/>
        <w:ind w:left="720"/>
      </w:pPr>
      <w:r>
        <w:t>Commenters also suggest</w:t>
      </w:r>
      <w:r w:rsidR="00BD456E">
        <w:t xml:space="preserve">ed that FRA should provide a standard certification form for manufacturers to certify compliance.  FRA disagrees and adopts the proposed rule, which provides FRA the information needed to implement the certification requirements and allows manufacturers flexibility to determine how best to comply.  If desired, the industry may expand upon the minimum certification requirements and create an industry-wide certification form. </w:t>
      </w:r>
      <w:r>
        <w:t xml:space="preserve"> </w:t>
      </w:r>
      <w:r w:rsidRPr="00583A58">
        <w:t>The details of those comments and FRA response are covered in the final rule document.</w:t>
      </w:r>
    </w:p>
    <w:p w:rsidR="00C00B9A" w:rsidRPr="007469FD" w:rsidP="00C00B9A" w14:paraId="12C42B22" w14:textId="77777777">
      <w:pPr>
        <w:widowControl w:val="0"/>
        <w:ind w:left="720"/>
      </w:pPr>
    </w:p>
    <w:p w:rsidR="00F47AE5" w:rsidRPr="00D863FB" w:rsidP="00F47AE5" w14:paraId="525B607A" w14:textId="77777777">
      <w:pPr>
        <w:widowControl w:val="0"/>
        <w:ind w:left="720" w:hanging="720"/>
        <w:rPr>
          <w:b/>
          <w:szCs w:val="24"/>
        </w:rPr>
      </w:pPr>
      <w:r w:rsidRPr="00D863FB">
        <w:rPr>
          <w:b/>
          <w:szCs w:val="24"/>
        </w:rPr>
        <w:t>9.</w:t>
      </w:r>
      <w:r w:rsidRPr="00D863FB">
        <w:rPr>
          <w:b/>
          <w:szCs w:val="24"/>
        </w:rPr>
        <w:tab/>
      </w:r>
      <w:r w:rsidRPr="00D863FB">
        <w:rPr>
          <w:b/>
          <w:szCs w:val="24"/>
          <w:u w:val="single"/>
        </w:rPr>
        <w:t>Payments or gifts to respondents</w:t>
      </w:r>
      <w:r w:rsidRPr="007E62DC">
        <w:rPr>
          <w:szCs w:val="24"/>
        </w:rPr>
        <w:t>.</w:t>
      </w:r>
    </w:p>
    <w:p w:rsidR="00F47AE5" w:rsidRPr="00D863FB" w:rsidP="00F47AE5" w14:paraId="1691144B" w14:textId="77777777">
      <w:pPr>
        <w:widowControl w:val="0"/>
        <w:rPr>
          <w:szCs w:val="24"/>
        </w:rPr>
      </w:pPr>
    </w:p>
    <w:p w:rsidR="00AD6ACB" w:rsidRPr="00D863FB" w:rsidP="009E343B" w14:paraId="56C45145" w14:textId="77777777">
      <w:pPr>
        <w:widowControl w:val="0"/>
        <w:ind w:left="720"/>
        <w:rPr>
          <w:b/>
          <w:szCs w:val="24"/>
        </w:rPr>
      </w:pPr>
      <w:r w:rsidRPr="00D863FB">
        <w:rPr>
          <w:szCs w:val="24"/>
        </w:rPr>
        <w:t xml:space="preserve">There are no monetary </w:t>
      </w:r>
      <w:r w:rsidRPr="00D863FB">
        <w:rPr>
          <w:szCs w:val="24"/>
        </w:rPr>
        <w:t>payments or gifts made to respondents associated with the information collection requirements contained in this regulation.</w:t>
      </w:r>
    </w:p>
    <w:p w:rsidR="004C7819" w:rsidRPr="00D863FB" w14:paraId="446E9D9B" w14:textId="77777777">
      <w:pPr>
        <w:widowControl w:val="0"/>
        <w:rPr>
          <w:b/>
          <w:szCs w:val="24"/>
        </w:rPr>
      </w:pPr>
    </w:p>
    <w:p w:rsidR="00D11C39" w:rsidRPr="00D863FB" w:rsidP="00D11C39" w14:paraId="62A11F78" w14:textId="7AF021E8">
      <w:pPr>
        <w:widowControl w:val="0"/>
        <w:rPr>
          <w:szCs w:val="24"/>
        </w:rPr>
      </w:pPr>
      <w:r w:rsidRPr="00D863FB">
        <w:rPr>
          <w:b/>
          <w:szCs w:val="24"/>
        </w:rPr>
        <w:t>10.</w:t>
      </w:r>
      <w:r w:rsidRPr="00D863FB">
        <w:rPr>
          <w:b/>
          <w:szCs w:val="24"/>
        </w:rPr>
        <w:tab/>
      </w:r>
      <w:r w:rsidRPr="00D863FB">
        <w:rPr>
          <w:b/>
          <w:szCs w:val="24"/>
          <w:u w:val="single"/>
        </w:rPr>
        <w:t>Assurance of confidentiality</w:t>
      </w:r>
      <w:r w:rsidRPr="007E62DC">
        <w:rPr>
          <w:szCs w:val="24"/>
        </w:rPr>
        <w:t>.</w:t>
      </w:r>
    </w:p>
    <w:p w:rsidR="00AE5495" w:rsidRPr="00D863FB" w14:paraId="5A412877" w14:textId="77777777">
      <w:pPr>
        <w:widowControl w:val="0"/>
        <w:ind w:left="720"/>
        <w:rPr>
          <w:szCs w:val="24"/>
        </w:rPr>
      </w:pPr>
    </w:p>
    <w:p w:rsidR="000E7E01" w:rsidRPr="00D863FB" w14:paraId="10BA5053" w14:textId="77777777">
      <w:pPr>
        <w:widowControl w:val="0"/>
        <w:ind w:left="720"/>
        <w:rPr>
          <w:szCs w:val="24"/>
        </w:rPr>
      </w:pPr>
      <w:r w:rsidRPr="00D863FB">
        <w:rPr>
          <w:szCs w:val="24"/>
        </w:rPr>
        <w:t xml:space="preserve">Information collected is not of a confidential nature, and FRA pledges no confidentiality. </w:t>
      </w:r>
    </w:p>
    <w:p w:rsidR="00AD6ACB" w:rsidRPr="00D863FB" w14:paraId="56A833A1" w14:textId="77777777">
      <w:pPr>
        <w:widowControl w:val="0"/>
        <w:rPr>
          <w:szCs w:val="24"/>
        </w:rPr>
      </w:pPr>
    </w:p>
    <w:p w:rsidR="000403AD" w:rsidRPr="00D863FB" w:rsidP="000403AD" w14:paraId="0DD1792A" w14:textId="77777777">
      <w:pPr>
        <w:widowControl w:val="0"/>
        <w:ind w:left="720" w:hanging="720"/>
        <w:rPr>
          <w:szCs w:val="24"/>
        </w:rPr>
      </w:pPr>
      <w:r w:rsidRPr="00D863FB">
        <w:rPr>
          <w:b/>
          <w:szCs w:val="24"/>
        </w:rPr>
        <w:t>11.</w:t>
      </w:r>
      <w:r w:rsidRPr="00D863FB">
        <w:rPr>
          <w:b/>
          <w:szCs w:val="24"/>
        </w:rPr>
        <w:tab/>
      </w:r>
      <w:r w:rsidRPr="00D863FB">
        <w:rPr>
          <w:b/>
          <w:szCs w:val="24"/>
          <w:u w:val="single"/>
        </w:rPr>
        <w:t>Justification for any questions of a sensitive nature</w:t>
      </w:r>
      <w:r w:rsidRPr="007E62DC">
        <w:rPr>
          <w:szCs w:val="24"/>
        </w:rPr>
        <w:t>.</w:t>
      </w:r>
    </w:p>
    <w:p w:rsidR="00AA70B1" w:rsidRPr="00D863FB" w:rsidP="00BA7764" w14:paraId="3821F349" w14:textId="77777777">
      <w:pPr>
        <w:widowControl w:val="0"/>
        <w:rPr>
          <w:szCs w:val="24"/>
        </w:rPr>
      </w:pPr>
    </w:p>
    <w:p w:rsidR="00AD6ACB" w14:paraId="097F05C0" w14:textId="452D89D9">
      <w:pPr>
        <w:widowControl w:val="0"/>
        <w:ind w:left="720"/>
        <w:rPr>
          <w:szCs w:val="24"/>
        </w:rPr>
      </w:pPr>
      <w:r w:rsidRPr="00D863FB">
        <w:rPr>
          <w:szCs w:val="24"/>
        </w:rPr>
        <w:t>This information collection does not contain any data of a personal or sensitive nature.</w:t>
      </w:r>
    </w:p>
    <w:p w:rsidR="00651C96" w14:paraId="7492BCD6" w14:textId="77777777">
      <w:pPr>
        <w:widowControl w:val="0"/>
        <w:ind w:left="720"/>
        <w:rPr>
          <w:szCs w:val="24"/>
        </w:rPr>
      </w:pPr>
    </w:p>
    <w:p w:rsidR="000448AB" w:rsidP="004B3D3B" w14:paraId="115F04F3" w14:textId="0B6A6A09">
      <w:pPr>
        <w:widowControl w:val="0"/>
        <w:rPr>
          <w:b/>
          <w:bCs/>
        </w:rPr>
        <w:sectPr w:rsidSect="000448AB">
          <w:headerReference w:type="even" r:id="rId9"/>
          <w:headerReference w:type="default" r:id="rId10"/>
          <w:footerReference w:type="even" r:id="rId11"/>
          <w:footerReference w:type="default" r:id="rId12"/>
          <w:endnotePr>
            <w:numFmt w:val="lowerLetter"/>
          </w:endnotePr>
          <w:pgSz w:w="12240" w:h="15840"/>
          <w:pgMar w:top="1440" w:right="1080" w:bottom="1440" w:left="1080" w:header="1440" w:footer="619" w:gutter="0"/>
          <w:cols w:space="720"/>
          <w:docGrid w:linePitch="326"/>
        </w:sectPr>
      </w:pPr>
    </w:p>
    <w:p w:rsidR="004B3D3B" w:rsidRPr="00D863FB" w:rsidP="004B3D3B" w14:paraId="156BFD0F" w14:textId="6DE79B46">
      <w:pPr>
        <w:widowControl w:val="0"/>
        <w:rPr>
          <w:b/>
          <w:bCs/>
          <w:szCs w:val="24"/>
        </w:rPr>
      </w:pPr>
      <w:r w:rsidRPr="27AA8757">
        <w:rPr>
          <w:b/>
          <w:bCs/>
        </w:rPr>
        <w:t xml:space="preserve"> </w:t>
      </w:r>
      <w:r w:rsidRPr="00D863FB">
        <w:rPr>
          <w:b/>
          <w:bCs/>
          <w:szCs w:val="24"/>
        </w:rPr>
        <w:t>12.       </w:t>
      </w:r>
      <w:r w:rsidRPr="00D863FB">
        <w:rPr>
          <w:b/>
          <w:bCs/>
          <w:szCs w:val="24"/>
          <w:u w:val="single"/>
        </w:rPr>
        <w:t>Estimate of burden hours for information collected</w:t>
      </w:r>
      <w:r w:rsidRPr="007E62DC">
        <w:rPr>
          <w:bCs/>
          <w:szCs w:val="24"/>
        </w:rPr>
        <w:t>.</w:t>
      </w:r>
    </w:p>
    <w:p w:rsidR="00AD6ACB" w:rsidRPr="00D863FB" w14:paraId="6AD7E2F7" w14:textId="77777777">
      <w:pPr>
        <w:widowControl w:val="0"/>
        <w:rPr>
          <w:szCs w:val="24"/>
        </w:rPr>
      </w:pPr>
    </w:p>
    <w:p w:rsidR="00AD6ACB" w:rsidP="00172269" w14:paraId="2692225E" w14:textId="16E7EBCE">
      <w:pPr>
        <w:widowControl w:val="0"/>
        <w:ind w:left="720"/>
        <w:rPr>
          <w:szCs w:val="24"/>
        </w:rPr>
      </w:pPr>
      <w:r w:rsidRPr="00C00B9A">
        <w:rPr>
          <w:szCs w:val="24"/>
        </w:rPr>
        <w:t>The estimates for the respondent universe, annual responses, and average time per responses are based on the experience and expertise of FRA’s Office of Railroad Safety.</w:t>
      </w:r>
      <w:r>
        <w:rPr>
          <w:szCs w:val="24"/>
        </w:rPr>
        <w:t xml:space="preserve">  </w:t>
      </w:r>
    </w:p>
    <w:p w:rsidR="00EE18AD" w:rsidP="00172269" w14:paraId="7E506AF5" w14:textId="77777777">
      <w:pPr>
        <w:widowControl w:val="0"/>
        <w:ind w:left="720"/>
        <w:rPr>
          <w:szCs w:val="24"/>
        </w:rPr>
      </w:pPr>
    </w:p>
    <w:tbl>
      <w:tblPr>
        <w:tblW w:w="13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36"/>
        <w:gridCol w:w="1620"/>
        <w:gridCol w:w="1305"/>
        <w:gridCol w:w="1260"/>
        <w:gridCol w:w="1260"/>
        <w:gridCol w:w="1620"/>
        <w:gridCol w:w="3394"/>
      </w:tblGrid>
      <w:tr w14:paraId="2C64D0CC" w14:textId="03F75B66" w:rsidTr="008874E7">
        <w:tblPrEx>
          <w:tblW w:w="13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944"/>
        </w:trPr>
        <w:tc>
          <w:tcPr>
            <w:tcW w:w="3055" w:type="dxa"/>
            <w:shd w:val="clear" w:color="auto" w:fill="auto"/>
            <w:hideMark/>
          </w:tcPr>
          <w:p w:rsidR="005C2D0D" w:rsidRPr="005C2D0D" w:rsidP="005C2D0D" w14:paraId="1555ADFA" w14:textId="77777777">
            <w:pPr>
              <w:jc w:val="center"/>
              <w:rPr>
                <w:color w:val="000000"/>
                <w:sz w:val="20"/>
              </w:rPr>
            </w:pPr>
            <w:r w:rsidRPr="005C2D0D">
              <w:rPr>
                <w:color w:val="000000"/>
                <w:sz w:val="20"/>
              </w:rPr>
              <w:t>CFR Section</w:t>
            </w:r>
          </w:p>
        </w:tc>
        <w:tc>
          <w:tcPr>
            <w:tcW w:w="1620" w:type="dxa"/>
            <w:shd w:val="clear" w:color="auto" w:fill="auto"/>
            <w:hideMark/>
          </w:tcPr>
          <w:p w:rsidR="005C2D0D" w:rsidRPr="005C2D0D" w:rsidP="00965C3B" w14:paraId="1300156F" w14:textId="77777777">
            <w:pPr>
              <w:jc w:val="center"/>
              <w:rPr>
                <w:color w:val="000000"/>
                <w:sz w:val="20"/>
              </w:rPr>
            </w:pPr>
            <w:r w:rsidRPr="005C2D0D">
              <w:rPr>
                <w:color w:val="000000"/>
                <w:sz w:val="20"/>
              </w:rPr>
              <w:t>Respondent Universe</w:t>
            </w:r>
          </w:p>
        </w:tc>
        <w:tc>
          <w:tcPr>
            <w:tcW w:w="1260" w:type="dxa"/>
            <w:shd w:val="clear" w:color="auto" w:fill="auto"/>
            <w:hideMark/>
          </w:tcPr>
          <w:p w:rsidR="005C2D0D" w:rsidRPr="005C2D0D" w:rsidP="005C2D0D" w14:paraId="0542ECFD" w14:textId="77777777">
            <w:pPr>
              <w:jc w:val="center"/>
              <w:rPr>
                <w:color w:val="000000"/>
                <w:sz w:val="20"/>
              </w:rPr>
            </w:pPr>
            <w:r w:rsidRPr="005C2D0D">
              <w:rPr>
                <w:color w:val="000000"/>
                <w:sz w:val="20"/>
              </w:rPr>
              <w:t>Total Annual Responses (A)</w:t>
            </w:r>
          </w:p>
        </w:tc>
        <w:tc>
          <w:tcPr>
            <w:tcW w:w="1260" w:type="dxa"/>
            <w:shd w:val="clear" w:color="auto" w:fill="auto"/>
            <w:hideMark/>
          </w:tcPr>
          <w:p w:rsidR="005C2D0D" w:rsidRPr="005C2D0D" w:rsidP="005C2D0D" w14:paraId="738A5915" w14:textId="77777777">
            <w:pPr>
              <w:jc w:val="center"/>
              <w:rPr>
                <w:color w:val="000000"/>
                <w:sz w:val="20"/>
              </w:rPr>
            </w:pPr>
            <w:r w:rsidRPr="005C2D0D">
              <w:rPr>
                <w:color w:val="000000"/>
                <w:sz w:val="20"/>
              </w:rPr>
              <w:t>Average Time per Response (B)</w:t>
            </w:r>
          </w:p>
        </w:tc>
        <w:tc>
          <w:tcPr>
            <w:tcW w:w="1260" w:type="dxa"/>
            <w:shd w:val="clear" w:color="auto" w:fill="auto"/>
            <w:hideMark/>
          </w:tcPr>
          <w:p w:rsidR="005C2D0D" w:rsidRPr="005C2D0D" w:rsidP="005C2D0D" w14:paraId="1D887D28" w14:textId="77777777">
            <w:pPr>
              <w:jc w:val="center"/>
              <w:rPr>
                <w:color w:val="000000"/>
                <w:sz w:val="20"/>
              </w:rPr>
            </w:pPr>
            <w:r w:rsidRPr="005C2D0D">
              <w:rPr>
                <w:color w:val="000000"/>
                <w:sz w:val="20"/>
              </w:rPr>
              <w:t>Total Annual Burden hours (C=A*B)</w:t>
            </w:r>
          </w:p>
        </w:tc>
        <w:tc>
          <w:tcPr>
            <w:tcW w:w="1620" w:type="dxa"/>
            <w:shd w:val="clear" w:color="auto" w:fill="auto"/>
            <w:hideMark/>
          </w:tcPr>
          <w:p w:rsidR="009B5777" w:rsidP="005C2D0D" w14:paraId="1A75ACE8" w14:textId="77777777">
            <w:pPr>
              <w:jc w:val="center"/>
              <w:rPr>
                <w:color w:val="000000"/>
                <w:sz w:val="20"/>
              </w:rPr>
            </w:pPr>
            <w:r w:rsidRPr="005C2D0D">
              <w:rPr>
                <w:color w:val="000000"/>
                <w:sz w:val="20"/>
              </w:rPr>
              <w:t xml:space="preserve">Total cost </w:t>
            </w:r>
            <w:r>
              <w:rPr>
                <w:rStyle w:val="FootnoteReference"/>
                <w:color w:val="000000"/>
                <w:sz w:val="20"/>
              </w:rPr>
              <w:footnoteReference w:id="12"/>
            </w:r>
            <w:r w:rsidRPr="005C2D0D">
              <w:rPr>
                <w:color w:val="000000"/>
                <w:sz w:val="20"/>
              </w:rPr>
              <w:t xml:space="preserve">equivalent in U.S. dollar </w:t>
            </w:r>
            <w:r w:rsidRPr="005C2D0D">
              <w:rPr>
                <w:color w:val="000000"/>
                <w:sz w:val="20"/>
              </w:rPr>
              <w:br/>
              <w:t xml:space="preserve">(D = C * </w:t>
            </w:r>
          </w:p>
          <w:p w:rsidR="005C2D0D" w:rsidRPr="005C2D0D" w:rsidP="005C2D0D" w14:paraId="18362B32" w14:textId="29B4DC57">
            <w:pPr>
              <w:jc w:val="center"/>
              <w:rPr>
                <w:color w:val="000000"/>
                <w:sz w:val="20"/>
              </w:rPr>
            </w:pPr>
            <w:r w:rsidRPr="005C2D0D">
              <w:rPr>
                <w:color w:val="000000"/>
                <w:sz w:val="20"/>
              </w:rPr>
              <w:t>wage rates)</w:t>
            </w:r>
          </w:p>
        </w:tc>
        <w:tc>
          <w:tcPr>
            <w:tcW w:w="3420" w:type="dxa"/>
          </w:tcPr>
          <w:p w:rsidR="005C2D0D" w:rsidRPr="005C2D0D" w:rsidP="005C2D0D" w14:paraId="437A03F6" w14:textId="158A2E57">
            <w:pPr>
              <w:jc w:val="center"/>
              <w:rPr>
                <w:color w:val="000000"/>
                <w:sz w:val="20"/>
              </w:rPr>
            </w:pPr>
            <w:r w:rsidRPr="0075139F">
              <w:rPr>
                <w:color w:val="000000"/>
                <w:sz w:val="20"/>
              </w:rPr>
              <w:t>Section analyses and estimates</w:t>
            </w:r>
          </w:p>
        </w:tc>
      </w:tr>
      <w:tr w14:paraId="475597FF" w14:textId="148E10C8" w:rsidTr="008874E7">
        <w:tblPrEx>
          <w:tblW w:w="13495" w:type="dxa"/>
          <w:tblLook w:val="04A0"/>
        </w:tblPrEx>
        <w:trPr>
          <w:trHeight w:val="510"/>
        </w:trPr>
        <w:tc>
          <w:tcPr>
            <w:tcW w:w="3055" w:type="dxa"/>
            <w:shd w:val="clear" w:color="auto" w:fill="auto"/>
            <w:hideMark/>
          </w:tcPr>
          <w:p w:rsidR="005C2D0D" w:rsidRPr="005C2D0D" w:rsidP="005C2D0D" w14:paraId="062793D5" w14:textId="77777777">
            <w:pPr>
              <w:rPr>
                <w:color w:val="000000"/>
                <w:sz w:val="20"/>
              </w:rPr>
            </w:pPr>
            <w:r w:rsidRPr="005C2D0D">
              <w:rPr>
                <w:color w:val="000000"/>
                <w:sz w:val="20"/>
              </w:rPr>
              <w:t xml:space="preserve">215.5(d)(6)—Dedicated </w:t>
            </w:r>
            <w:r w:rsidRPr="005C2D0D">
              <w:rPr>
                <w:color w:val="000000"/>
                <w:sz w:val="20"/>
              </w:rPr>
              <w:t>Service—Notification to FRA</w:t>
            </w:r>
          </w:p>
        </w:tc>
        <w:tc>
          <w:tcPr>
            <w:tcW w:w="1620" w:type="dxa"/>
            <w:shd w:val="clear" w:color="auto" w:fill="auto"/>
            <w:noWrap/>
            <w:hideMark/>
          </w:tcPr>
          <w:p w:rsidR="00884367" w:rsidP="00781B49" w14:paraId="64966704" w14:textId="37A86ECD">
            <w:pPr>
              <w:jc w:val="center"/>
              <w:rPr>
                <w:color w:val="000000"/>
                <w:sz w:val="20"/>
              </w:rPr>
            </w:pPr>
            <w:r w:rsidRPr="005C2D0D">
              <w:rPr>
                <w:color w:val="000000"/>
                <w:sz w:val="20"/>
              </w:rPr>
              <w:t>784</w:t>
            </w:r>
          </w:p>
          <w:p w:rsidR="005C2D0D" w:rsidRPr="005C2D0D" w:rsidP="00781B49" w14:paraId="375EFE83" w14:textId="721D2EB9">
            <w:pPr>
              <w:jc w:val="center"/>
              <w:rPr>
                <w:color w:val="000000"/>
                <w:sz w:val="20"/>
              </w:rPr>
            </w:pPr>
            <w:r w:rsidRPr="005C2D0D">
              <w:rPr>
                <w:color w:val="000000"/>
                <w:sz w:val="20"/>
              </w:rPr>
              <w:t>railroads</w:t>
            </w:r>
          </w:p>
        </w:tc>
        <w:tc>
          <w:tcPr>
            <w:tcW w:w="1260" w:type="dxa"/>
            <w:shd w:val="clear" w:color="auto" w:fill="auto"/>
            <w:hideMark/>
          </w:tcPr>
          <w:p w:rsidR="00884367" w:rsidP="00781B49" w14:paraId="14DABEF8" w14:textId="756AFA22">
            <w:pPr>
              <w:jc w:val="center"/>
              <w:rPr>
                <w:color w:val="000000"/>
                <w:sz w:val="20"/>
              </w:rPr>
            </w:pPr>
            <w:r w:rsidRPr="005C2D0D">
              <w:rPr>
                <w:color w:val="000000"/>
                <w:sz w:val="20"/>
              </w:rPr>
              <w:t>4</w:t>
            </w:r>
          </w:p>
          <w:p w:rsidR="005C2D0D" w:rsidRPr="005C2D0D" w:rsidP="00781B49" w14:paraId="5256C0E7" w14:textId="6D2DE5EE">
            <w:pPr>
              <w:jc w:val="center"/>
              <w:rPr>
                <w:color w:val="000000"/>
                <w:sz w:val="20"/>
              </w:rPr>
            </w:pPr>
            <w:r w:rsidRPr="005C2D0D">
              <w:rPr>
                <w:color w:val="000000"/>
                <w:sz w:val="20"/>
              </w:rPr>
              <w:t>notifications</w:t>
            </w:r>
          </w:p>
        </w:tc>
        <w:tc>
          <w:tcPr>
            <w:tcW w:w="1260" w:type="dxa"/>
            <w:shd w:val="clear" w:color="auto" w:fill="auto"/>
            <w:noWrap/>
            <w:hideMark/>
          </w:tcPr>
          <w:p w:rsidR="0016570C" w:rsidP="00781B49" w14:paraId="3A6C79D9" w14:textId="28356EBA">
            <w:pPr>
              <w:jc w:val="center"/>
              <w:rPr>
                <w:color w:val="000000"/>
                <w:sz w:val="20"/>
              </w:rPr>
            </w:pPr>
            <w:r w:rsidRPr="005C2D0D">
              <w:rPr>
                <w:color w:val="000000"/>
                <w:sz w:val="20"/>
              </w:rPr>
              <w:t>1</w:t>
            </w:r>
          </w:p>
          <w:p w:rsidR="005C2D0D" w:rsidRPr="005C2D0D" w:rsidP="00781B49" w14:paraId="65334B89" w14:textId="71D2AE0F">
            <w:pPr>
              <w:jc w:val="center"/>
              <w:rPr>
                <w:color w:val="000000"/>
                <w:sz w:val="20"/>
              </w:rPr>
            </w:pPr>
            <w:r w:rsidRPr="005C2D0D">
              <w:rPr>
                <w:color w:val="000000"/>
                <w:sz w:val="20"/>
              </w:rPr>
              <w:t>hour</w:t>
            </w:r>
          </w:p>
        </w:tc>
        <w:tc>
          <w:tcPr>
            <w:tcW w:w="1260" w:type="dxa"/>
            <w:shd w:val="clear" w:color="auto" w:fill="auto"/>
            <w:noWrap/>
            <w:hideMark/>
          </w:tcPr>
          <w:p w:rsidR="0016570C" w:rsidP="00781B49" w14:paraId="2ABF049C" w14:textId="66A59678">
            <w:pPr>
              <w:jc w:val="center"/>
              <w:rPr>
                <w:color w:val="000000"/>
                <w:sz w:val="20"/>
              </w:rPr>
            </w:pPr>
            <w:r w:rsidRPr="005C2D0D">
              <w:rPr>
                <w:color w:val="000000"/>
                <w:sz w:val="20"/>
              </w:rPr>
              <w:t>4.00</w:t>
            </w:r>
          </w:p>
          <w:p w:rsidR="005C2D0D" w:rsidRPr="005C2D0D" w:rsidP="00781B49" w14:paraId="7BE5BD01" w14:textId="180C4BA7">
            <w:pPr>
              <w:jc w:val="center"/>
              <w:rPr>
                <w:color w:val="000000"/>
                <w:sz w:val="20"/>
              </w:rPr>
            </w:pPr>
            <w:r w:rsidRPr="005C2D0D">
              <w:rPr>
                <w:color w:val="000000"/>
                <w:sz w:val="20"/>
              </w:rPr>
              <w:t>hours</w:t>
            </w:r>
          </w:p>
        </w:tc>
        <w:tc>
          <w:tcPr>
            <w:tcW w:w="1620" w:type="dxa"/>
            <w:shd w:val="clear" w:color="auto" w:fill="auto"/>
            <w:noWrap/>
            <w:hideMark/>
          </w:tcPr>
          <w:p w:rsidR="005C2D0D" w:rsidRPr="005C2D0D" w:rsidP="00781B49" w14:paraId="3790C154" w14:textId="2B9F3A15">
            <w:pPr>
              <w:jc w:val="center"/>
              <w:rPr>
                <w:color w:val="000000"/>
                <w:sz w:val="20"/>
              </w:rPr>
            </w:pPr>
            <w:r w:rsidRPr="005C2D0D">
              <w:rPr>
                <w:color w:val="000000"/>
                <w:sz w:val="20"/>
              </w:rPr>
              <w:t>$3</w:t>
            </w:r>
            <w:r w:rsidR="0030104D">
              <w:rPr>
                <w:color w:val="000000"/>
                <w:sz w:val="20"/>
              </w:rPr>
              <w:t>56.52</w:t>
            </w:r>
          </w:p>
        </w:tc>
        <w:tc>
          <w:tcPr>
            <w:tcW w:w="3420" w:type="dxa"/>
          </w:tcPr>
          <w:p w:rsidR="00AD4847" w:rsidRPr="00AD4847" w:rsidP="00AD4847" w14:paraId="52CDA0A5" w14:textId="77777777">
            <w:pPr>
              <w:rPr>
                <w:sz w:val="20"/>
              </w:rPr>
            </w:pPr>
            <w:r w:rsidRPr="00AD4847">
              <w:rPr>
                <w:sz w:val="20"/>
              </w:rPr>
              <w:t>Railroads are required to notify FRA in writing that the cars are to be operated in dedicated service.</w:t>
            </w:r>
          </w:p>
          <w:p w:rsidR="00AD4847" w:rsidRPr="00AD4847" w:rsidP="00AD4847" w14:paraId="3598B402" w14:textId="77777777">
            <w:pPr>
              <w:rPr>
                <w:sz w:val="20"/>
              </w:rPr>
            </w:pPr>
          </w:p>
          <w:p w:rsidR="005C2D0D" w:rsidRPr="005C2D0D" w:rsidP="00AD4847" w14:paraId="29267876" w14:textId="06E4D7FF">
            <w:pPr>
              <w:rPr>
                <w:color w:val="000000"/>
                <w:sz w:val="20"/>
              </w:rPr>
            </w:pPr>
            <w:r>
              <w:rPr>
                <w:sz w:val="20"/>
              </w:rPr>
              <w:t xml:space="preserve">After careful review, </w:t>
            </w:r>
            <w:r w:rsidRPr="0075139F" w:rsidR="00AD4847">
              <w:rPr>
                <w:sz w:val="20"/>
              </w:rPr>
              <w:t xml:space="preserve">FRA estimates it </w:t>
            </w:r>
            <w:r>
              <w:rPr>
                <w:sz w:val="20"/>
              </w:rPr>
              <w:t xml:space="preserve">will take </w:t>
            </w:r>
            <w:r>
              <w:rPr>
                <w:sz w:val="20"/>
              </w:rPr>
              <w:t>approximately 1</w:t>
            </w:r>
            <w:r w:rsidRPr="0075139F" w:rsidR="00AD4847">
              <w:rPr>
                <w:sz w:val="20"/>
              </w:rPr>
              <w:t xml:space="preserve"> hour to prepare each notification.</w:t>
            </w:r>
          </w:p>
        </w:tc>
      </w:tr>
      <w:tr w14:paraId="7DC5C5F3" w14:textId="7B52DE53" w:rsidTr="008874E7">
        <w:tblPrEx>
          <w:tblW w:w="13495" w:type="dxa"/>
          <w:tblLook w:val="04A0"/>
        </w:tblPrEx>
        <w:trPr>
          <w:trHeight w:val="1845"/>
        </w:trPr>
        <w:tc>
          <w:tcPr>
            <w:tcW w:w="3055" w:type="dxa"/>
            <w:shd w:val="clear" w:color="auto" w:fill="auto"/>
            <w:hideMark/>
          </w:tcPr>
          <w:p w:rsidR="00737730" w:rsidP="005C2D0D" w14:paraId="3116FBDF" w14:textId="77777777">
            <w:pPr>
              <w:rPr>
                <w:color w:val="000000"/>
                <w:sz w:val="20"/>
              </w:rPr>
            </w:pPr>
            <w:r w:rsidRPr="3C1E4E1A">
              <w:rPr>
                <w:color w:val="000000" w:themeColor="text1"/>
                <w:sz w:val="20"/>
              </w:rPr>
              <w:t>215.403(a)(1)—Certification of Compliance— Manufacturers to electronically certify to FRA that the cars comply with the requirements of this subpart</w:t>
            </w:r>
          </w:p>
          <w:p w:rsidR="005C2D0D" w:rsidRPr="008874E7" w:rsidP="005C2D0D" w14:paraId="39B4DB5E" w14:textId="243296BE">
            <w:pPr>
              <w:rPr>
                <w:i/>
                <w:iCs/>
                <w:color w:val="000000"/>
                <w:sz w:val="20"/>
              </w:rPr>
            </w:pPr>
            <w:r w:rsidRPr="008874E7">
              <w:rPr>
                <w:i/>
                <w:iCs/>
                <w:color w:val="000000"/>
                <w:sz w:val="20"/>
              </w:rPr>
              <w:t>(New requirement)</w:t>
            </w:r>
          </w:p>
        </w:tc>
        <w:tc>
          <w:tcPr>
            <w:tcW w:w="1620" w:type="dxa"/>
            <w:shd w:val="clear" w:color="auto" w:fill="auto"/>
            <w:noWrap/>
            <w:hideMark/>
          </w:tcPr>
          <w:p w:rsidR="00884367" w:rsidP="00781B49" w14:paraId="355903CF" w14:textId="53AF8623">
            <w:pPr>
              <w:jc w:val="center"/>
              <w:rPr>
                <w:color w:val="000000"/>
                <w:sz w:val="20"/>
              </w:rPr>
            </w:pPr>
            <w:r w:rsidRPr="005C2D0D">
              <w:rPr>
                <w:color w:val="000000"/>
                <w:sz w:val="20"/>
              </w:rPr>
              <w:t>6</w:t>
            </w:r>
          </w:p>
          <w:p w:rsidR="005C2D0D" w:rsidRPr="005C2D0D" w:rsidP="00781B49" w14:paraId="6A5074CC" w14:textId="446016D7">
            <w:pPr>
              <w:jc w:val="center"/>
              <w:rPr>
                <w:color w:val="000000"/>
                <w:sz w:val="20"/>
              </w:rPr>
            </w:pPr>
            <w:r w:rsidRPr="005C2D0D">
              <w:rPr>
                <w:color w:val="000000"/>
                <w:sz w:val="20"/>
              </w:rPr>
              <w:t>manufacturers</w:t>
            </w:r>
          </w:p>
        </w:tc>
        <w:tc>
          <w:tcPr>
            <w:tcW w:w="1260" w:type="dxa"/>
            <w:shd w:val="clear" w:color="auto" w:fill="auto"/>
            <w:hideMark/>
          </w:tcPr>
          <w:p w:rsidR="00884367" w:rsidP="00781B49" w14:paraId="33627C79" w14:textId="240AF233">
            <w:pPr>
              <w:jc w:val="center"/>
              <w:rPr>
                <w:color w:val="000000"/>
                <w:sz w:val="20"/>
              </w:rPr>
            </w:pPr>
            <w:r w:rsidRPr="005C2D0D">
              <w:rPr>
                <w:color w:val="000000"/>
                <w:sz w:val="20"/>
              </w:rPr>
              <w:t>35</w:t>
            </w:r>
          </w:p>
          <w:p w:rsidR="005C2D0D" w:rsidRPr="005C2D0D" w:rsidP="00781B49" w14:paraId="2B9D932C" w14:textId="08B4F4C4">
            <w:pPr>
              <w:jc w:val="center"/>
              <w:rPr>
                <w:color w:val="000000"/>
                <w:sz w:val="20"/>
              </w:rPr>
            </w:pPr>
            <w:r>
              <w:rPr>
                <w:color w:val="000000"/>
                <w:sz w:val="20"/>
              </w:rPr>
              <w:t>Certifications</w:t>
            </w:r>
          </w:p>
        </w:tc>
        <w:tc>
          <w:tcPr>
            <w:tcW w:w="1260" w:type="dxa"/>
            <w:shd w:val="clear" w:color="auto" w:fill="auto"/>
            <w:noWrap/>
            <w:hideMark/>
          </w:tcPr>
          <w:p w:rsidR="0016570C" w:rsidP="00781B49" w14:paraId="445D52DB" w14:textId="24E5A9F1">
            <w:pPr>
              <w:jc w:val="center"/>
              <w:rPr>
                <w:color w:val="000000"/>
                <w:sz w:val="20"/>
              </w:rPr>
            </w:pPr>
            <w:r w:rsidRPr="005C2D0D">
              <w:rPr>
                <w:color w:val="000000"/>
                <w:sz w:val="20"/>
              </w:rPr>
              <w:t>1.25</w:t>
            </w:r>
          </w:p>
          <w:p w:rsidR="005C2D0D" w:rsidRPr="005C2D0D" w:rsidP="00781B49" w14:paraId="5723C963" w14:textId="0663F93D">
            <w:pPr>
              <w:jc w:val="center"/>
              <w:rPr>
                <w:color w:val="000000"/>
                <w:sz w:val="20"/>
              </w:rPr>
            </w:pPr>
            <w:r w:rsidRPr="005C2D0D">
              <w:rPr>
                <w:color w:val="000000"/>
                <w:sz w:val="20"/>
              </w:rPr>
              <w:t>hours</w:t>
            </w:r>
          </w:p>
        </w:tc>
        <w:tc>
          <w:tcPr>
            <w:tcW w:w="1260" w:type="dxa"/>
            <w:shd w:val="clear" w:color="auto" w:fill="auto"/>
            <w:noWrap/>
            <w:hideMark/>
          </w:tcPr>
          <w:p w:rsidR="00884367" w:rsidP="00781B49" w14:paraId="6EEFB429" w14:textId="798A730D">
            <w:pPr>
              <w:jc w:val="center"/>
              <w:rPr>
                <w:color w:val="000000"/>
                <w:sz w:val="20"/>
              </w:rPr>
            </w:pPr>
            <w:r w:rsidRPr="005C2D0D">
              <w:rPr>
                <w:color w:val="000000"/>
                <w:sz w:val="20"/>
              </w:rPr>
              <w:t>43.75</w:t>
            </w:r>
          </w:p>
          <w:p w:rsidR="005C2D0D" w:rsidRPr="005C2D0D" w:rsidP="00781B49" w14:paraId="12F1C2F8" w14:textId="7D1021DA">
            <w:pPr>
              <w:jc w:val="center"/>
              <w:rPr>
                <w:color w:val="000000"/>
                <w:sz w:val="20"/>
              </w:rPr>
            </w:pPr>
            <w:r w:rsidRPr="005C2D0D">
              <w:rPr>
                <w:color w:val="000000"/>
                <w:sz w:val="20"/>
              </w:rPr>
              <w:t>hours</w:t>
            </w:r>
          </w:p>
        </w:tc>
        <w:tc>
          <w:tcPr>
            <w:tcW w:w="1620" w:type="dxa"/>
            <w:shd w:val="clear" w:color="auto" w:fill="auto"/>
            <w:noWrap/>
            <w:hideMark/>
          </w:tcPr>
          <w:p w:rsidR="005C2D0D" w:rsidRPr="005C2D0D" w:rsidP="00781B49" w14:paraId="5FD15C10" w14:textId="16840362">
            <w:pPr>
              <w:jc w:val="center"/>
              <w:rPr>
                <w:color w:val="000000"/>
                <w:sz w:val="20"/>
              </w:rPr>
            </w:pPr>
            <w:r w:rsidRPr="005C2D0D">
              <w:rPr>
                <w:color w:val="000000"/>
                <w:sz w:val="20"/>
              </w:rPr>
              <w:t>$</w:t>
            </w:r>
            <w:r w:rsidR="0030104D">
              <w:rPr>
                <w:color w:val="000000"/>
                <w:sz w:val="20"/>
              </w:rPr>
              <w:t>3,084.81</w:t>
            </w:r>
          </w:p>
        </w:tc>
        <w:tc>
          <w:tcPr>
            <w:tcW w:w="3420" w:type="dxa"/>
          </w:tcPr>
          <w:p w:rsidR="005C2D0D" w:rsidP="005C2D0D" w14:paraId="0811275D" w14:textId="77777777">
            <w:pPr>
              <w:rPr>
                <w:color w:val="000000"/>
                <w:sz w:val="20"/>
              </w:rPr>
            </w:pPr>
            <w:r>
              <w:rPr>
                <w:color w:val="000000"/>
                <w:sz w:val="20"/>
              </w:rPr>
              <w:t>Prior to providing any cars for operation on the United States general rail</w:t>
            </w:r>
            <w:r w:rsidR="00097149">
              <w:rPr>
                <w:color w:val="000000"/>
                <w:sz w:val="20"/>
              </w:rPr>
              <w:t>road system of transportation, each freight car manufacturer shall electronically certify to FRA that the cars comply w</w:t>
            </w:r>
            <w:r w:rsidR="00503E66">
              <w:rPr>
                <w:color w:val="000000"/>
                <w:sz w:val="20"/>
              </w:rPr>
              <w:t>ith the 49 U.S.C. 20171</w:t>
            </w:r>
            <w:r w:rsidR="00355F24">
              <w:rPr>
                <w:color w:val="000000"/>
                <w:sz w:val="20"/>
              </w:rPr>
              <w:t>.</w:t>
            </w:r>
          </w:p>
          <w:p w:rsidR="00355F24" w:rsidP="005C2D0D" w14:paraId="089E19A5" w14:textId="77777777">
            <w:pPr>
              <w:rPr>
                <w:color w:val="000000"/>
                <w:sz w:val="20"/>
              </w:rPr>
            </w:pPr>
          </w:p>
          <w:p w:rsidR="00355F24" w:rsidRPr="005C2D0D" w:rsidP="005C2D0D" w14:paraId="35281B60" w14:textId="5A0A79DB">
            <w:pPr>
              <w:rPr>
                <w:color w:val="000000"/>
                <w:sz w:val="20"/>
              </w:rPr>
            </w:pPr>
            <w:r>
              <w:rPr>
                <w:color w:val="000000"/>
                <w:sz w:val="20"/>
              </w:rPr>
              <w:t xml:space="preserve">After careful review, FRA estimates that it will take approximately </w:t>
            </w:r>
            <w:r w:rsidR="00C31ACD">
              <w:rPr>
                <w:color w:val="000000"/>
                <w:sz w:val="20"/>
              </w:rPr>
              <w:t xml:space="preserve">1.25 hours for each affirmation. </w:t>
            </w:r>
          </w:p>
        </w:tc>
      </w:tr>
      <w:tr w14:paraId="70842605" w14:textId="1BF394BF" w:rsidTr="008874E7">
        <w:tblPrEx>
          <w:tblW w:w="13495" w:type="dxa"/>
          <w:tblLook w:val="04A0"/>
        </w:tblPrEx>
        <w:trPr>
          <w:trHeight w:val="701"/>
        </w:trPr>
        <w:tc>
          <w:tcPr>
            <w:tcW w:w="3055" w:type="dxa"/>
            <w:shd w:val="clear" w:color="auto" w:fill="auto"/>
            <w:hideMark/>
          </w:tcPr>
          <w:p w:rsidR="00737730" w:rsidP="005C2D0D" w14:paraId="2DF8DDCE" w14:textId="77777777">
            <w:pPr>
              <w:rPr>
                <w:color w:val="000000"/>
                <w:sz w:val="20"/>
              </w:rPr>
            </w:pPr>
            <w:r w:rsidRPr="005C2D0D">
              <w:rPr>
                <w:color w:val="000000"/>
                <w:sz w:val="20"/>
              </w:rPr>
              <w:t xml:space="preserve">—(a)(1)(ii) Records and such records shall be made available to FRA upon request </w:t>
            </w:r>
          </w:p>
          <w:p w:rsidR="005C2D0D" w:rsidRPr="008874E7" w:rsidP="005C2D0D" w14:paraId="2747E9F3" w14:textId="0E60ADD1">
            <w:pPr>
              <w:rPr>
                <w:i/>
                <w:iCs/>
                <w:color w:val="000000"/>
                <w:sz w:val="20"/>
              </w:rPr>
            </w:pPr>
            <w:r w:rsidRPr="008874E7">
              <w:rPr>
                <w:i/>
                <w:iCs/>
                <w:color w:val="000000"/>
                <w:sz w:val="20"/>
              </w:rPr>
              <w:t>(New requirement)</w:t>
            </w:r>
          </w:p>
        </w:tc>
        <w:tc>
          <w:tcPr>
            <w:tcW w:w="1620" w:type="dxa"/>
            <w:shd w:val="clear" w:color="auto" w:fill="auto"/>
            <w:noWrap/>
            <w:hideMark/>
          </w:tcPr>
          <w:p w:rsidR="00884367" w:rsidP="00781B49" w14:paraId="71E728A3" w14:textId="0FB9DA7D">
            <w:pPr>
              <w:jc w:val="center"/>
              <w:rPr>
                <w:color w:val="000000"/>
                <w:sz w:val="20"/>
              </w:rPr>
            </w:pPr>
            <w:r w:rsidRPr="005C2D0D">
              <w:rPr>
                <w:color w:val="000000"/>
                <w:sz w:val="20"/>
              </w:rPr>
              <w:t>6</w:t>
            </w:r>
          </w:p>
          <w:p w:rsidR="005C2D0D" w:rsidRPr="005C2D0D" w:rsidP="00781B49" w14:paraId="0CE6CDB2" w14:textId="0EDA9086">
            <w:pPr>
              <w:jc w:val="center"/>
              <w:rPr>
                <w:color w:val="000000"/>
                <w:sz w:val="20"/>
              </w:rPr>
            </w:pPr>
            <w:r w:rsidRPr="005C2D0D">
              <w:rPr>
                <w:color w:val="000000"/>
                <w:sz w:val="20"/>
              </w:rPr>
              <w:t>manufacturers</w:t>
            </w:r>
          </w:p>
        </w:tc>
        <w:tc>
          <w:tcPr>
            <w:tcW w:w="1260" w:type="dxa"/>
            <w:shd w:val="clear" w:color="auto" w:fill="auto"/>
            <w:hideMark/>
          </w:tcPr>
          <w:p w:rsidR="00884367" w:rsidP="00781B49" w14:paraId="71E9C1BA" w14:textId="52FA4E24">
            <w:pPr>
              <w:jc w:val="center"/>
              <w:rPr>
                <w:color w:val="000000"/>
                <w:sz w:val="20"/>
              </w:rPr>
            </w:pPr>
            <w:r w:rsidRPr="005C2D0D">
              <w:rPr>
                <w:color w:val="000000"/>
                <w:sz w:val="20"/>
              </w:rPr>
              <w:t>0.33</w:t>
            </w:r>
          </w:p>
          <w:p w:rsidR="005C2D0D" w:rsidRPr="005C2D0D" w:rsidP="00781B49" w14:paraId="0D6DE4E8" w14:textId="3FA32C5D">
            <w:pPr>
              <w:jc w:val="center"/>
              <w:rPr>
                <w:color w:val="000000"/>
                <w:sz w:val="20"/>
              </w:rPr>
            </w:pPr>
            <w:r w:rsidRPr="005C2D0D">
              <w:rPr>
                <w:color w:val="000000"/>
                <w:sz w:val="20"/>
              </w:rPr>
              <w:t>Reports</w:t>
            </w:r>
          </w:p>
        </w:tc>
        <w:tc>
          <w:tcPr>
            <w:tcW w:w="1260" w:type="dxa"/>
            <w:shd w:val="clear" w:color="auto" w:fill="auto"/>
            <w:noWrap/>
            <w:hideMark/>
          </w:tcPr>
          <w:p w:rsidR="0016570C" w:rsidP="00781B49" w14:paraId="1F34F161" w14:textId="19B54A43">
            <w:pPr>
              <w:jc w:val="center"/>
              <w:rPr>
                <w:color w:val="000000"/>
                <w:sz w:val="20"/>
              </w:rPr>
            </w:pPr>
            <w:r w:rsidRPr="005C2D0D">
              <w:rPr>
                <w:color w:val="000000"/>
                <w:sz w:val="20"/>
              </w:rPr>
              <w:t>6</w:t>
            </w:r>
          </w:p>
          <w:p w:rsidR="005C2D0D" w:rsidRPr="005C2D0D" w:rsidP="00781B49" w14:paraId="4BF35772" w14:textId="64FB7E9B">
            <w:pPr>
              <w:jc w:val="center"/>
              <w:rPr>
                <w:color w:val="000000"/>
                <w:sz w:val="20"/>
              </w:rPr>
            </w:pPr>
            <w:r w:rsidRPr="005C2D0D">
              <w:rPr>
                <w:color w:val="000000"/>
                <w:sz w:val="20"/>
              </w:rPr>
              <w:t>hours</w:t>
            </w:r>
          </w:p>
        </w:tc>
        <w:tc>
          <w:tcPr>
            <w:tcW w:w="1260" w:type="dxa"/>
            <w:shd w:val="clear" w:color="auto" w:fill="auto"/>
            <w:noWrap/>
            <w:hideMark/>
          </w:tcPr>
          <w:p w:rsidR="00884367" w:rsidP="00781B49" w14:paraId="22B1FF12" w14:textId="4F6CA46C">
            <w:pPr>
              <w:jc w:val="center"/>
              <w:rPr>
                <w:color w:val="000000"/>
                <w:sz w:val="20"/>
              </w:rPr>
            </w:pPr>
            <w:r w:rsidRPr="005C2D0D">
              <w:rPr>
                <w:color w:val="000000"/>
                <w:sz w:val="20"/>
              </w:rPr>
              <w:t>1.98</w:t>
            </w:r>
          </w:p>
          <w:p w:rsidR="005C2D0D" w:rsidRPr="005C2D0D" w:rsidP="00781B49" w14:paraId="516E8EF9" w14:textId="3104DD7E">
            <w:pPr>
              <w:jc w:val="center"/>
              <w:rPr>
                <w:color w:val="000000"/>
                <w:sz w:val="20"/>
              </w:rPr>
            </w:pPr>
            <w:r w:rsidRPr="005C2D0D">
              <w:rPr>
                <w:color w:val="000000"/>
                <w:sz w:val="20"/>
              </w:rPr>
              <w:t>hours</w:t>
            </w:r>
          </w:p>
        </w:tc>
        <w:tc>
          <w:tcPr>
            <w:tcW w:w="1620" w:type="dxa"/>
            <w:shd w:val="clear" w:color="auto" w:fill="auto"/>
            <w:noWrap/>
            <w:hideMark/>
          </w:tcPr>
          <w:p w:rsidR="005C2D0D" w:rsidRPr="005C2D0D" w:rsidP="00781B49" w14:paraId="196FC924" w14:textId="61829294">
            <w:pPr>
              <w:jc w:val="center"/>
              <w:rPr>
                <w:color w:val="000000"/>
                <w:sz w:val="20"/>
              </w:rPr>
            </w:pPr>
            <w:r w:rsidRPr="005C2D0D">
              <w:rPr>
                <w:color w:val="000000"/>
                <w:sz w:val="20"/>
              </w:rPr>
              <w:t>$</w:t>
            </w:r>
            <w:r w:rsidR="0030104D">
              <w:rPr>
                <w:color w:val="000000"/>
                <w:sz w:val="20"/>
              </w:rPr>
              <w:t>139.61</w:t>
            </w:r>
          </w:p>
        </w:tc>
        <w:tc>
          <w:tcPr>
            <w:tcW w:w="3420" w:type="dxa"/>
          </w:tcPr>
          <w:p w:rsidR="00115746" w:rsidRPr="00115746" w:rsidP="00115746" w14:paraId="169E23E2" w14:textId="77777777">
            <w:pPr>
              <w:rPr>
                <w:color w:val="000000"/>
                <w:sz w:val="20"/>
              </w:rPr>
            </w:pPr>
            <w:r w:rsidRPr="00115746">
              <w:rPr>
                <w:color w:val="000000"/>
                <w:sz w:val="20"/>
              </w:rPr>
              <w:t>This collection is labor intensive which is reflected in the high average time per response. Total annual burden however is low due to FRA projecting that such a request for records would be a rare occurrence because of strict penalties associated with non</w:t>
            </w:r>
            <w:r w:rsidRPr="00115746">
              <w:rPr>
                <w:color w:val="000000"/>
                <w:sz w:val="20"/>
              </w:rPr>
              <w:t xml:space="preserve">-compliance.  </w:t>
            </w:r>
          </w:p>
          <w:p w:rsidR="00115746" w:rsidRPr="00115746" w:rsidP="00115746" w14:paraId="4BD35970" w14:textId="77777777">
            <w:pPr>
              <w:rPr>
                <w:color w:val="000000"/>
                <w:sz w:val="20"/>
              </w:rPr>
            </w:pPr>
          </w:p>
          <w:p w:rsidR="005C2D0D" w:rsidRPr="005C2D0D" w:rsidP="00C31ACD" w14:paraId="6A9E2A31" w14:textId="46E785AA">
            <w:pPr>
              <w:rPr>
                <w:color w:val="000000"/>
                <w:sz w:val="20"/>
              </w:rPr>
            </w:pPr>
            <w:r>
              <w:rPr>
                <w:color w:val="000000"/>
                <w:sz w:val="20"/>
              </w:rPr>
              <w:t xml:space="preserve">After careful review, </w:t>
            </w:r>
            <w:r w:rsidRPr="00115746" w:rsidR="00115746">
              <w:rPr>
                <w:color w:val="000000"/>
                <w:sz w:val="20"/>
              </w:rPr>
              <w:t xml:space="preserve">FRA estimates that it will take </w:t>
            </w:r>
            <w:r>
              <w:rPr>
                <w:color w:val="000000"/>
                <w:sz w:val="20"/>
              </w:rPr>
              <w:t xml:space="preserve">approximately </w:t>
            </w:r>
            <w:r w:rsidRPr="00115746" w:rsidR="00115746">
              <w:rPr>
                <w:color w:val="000000"/>
                <w:sz w:val="20"/>
              </w:rPr>
              <w:t xml:space="preserve">6 hours to make these records available. </w:t>
            </w:r>
          </w:p>
        </w:tc>
      </w:tr>
      <w:tr w14:paraId="46693348" w14:textId="498BD075" w:rsidTr="000448AB">
        <w:tblPrEx>
          <w:tblW w:w="13495" w:type="dxa"/>
          <w:tblLook w:val="04A0"/>
        </w:tblPrEx>
        <w:trPr>
          <w:trHeight w:val="980"/>
        </w:trPr>
        <w:tc>
          <w:tcPr>
            <w:tcW w:w="3055" w:type="dxa"/>
            <w:shd w:val="clear" w:color="auto" w:fill="auto"/>
            <w:hideMark/>
          </w:tcPr>
          <w:p w:rsidR="005C2D0D" w:rsidRPr="005C2D0D" w:rsidP="005C2D0D" w14:paraId="5E855A09" w14:textId="4A55AF14">
            <w:pPr>
              <w:rPr>
                <w:color w:val="000000"/>
                <w:sz w:val="20"/>
              </w:rPr>
            </w:pPr>
            <w:r w:rsidRPr="005C2D0D">
              <w:rPr>
                <w:color w:val="000000"/>
                <w:sz w:val="20"/>
              </w:rPr>
              <w:t>Total</w:t>
            </w:r>
            <w:r>
              <w:rPr>
                <w:rStyle w:val="FootnoteReference"/>
                <w:color w:val="000000"/>
                <w:sz w:val="20"/>
              </w:rPr>
              <w:footnoteReference w:id="13"/>
            </w:r>
          </w:p>
        </w:tc>
        <w:tc>
          <w:tcPr>
            <w:tcW w:w="1620" w:type="dxa"/>
            <w:shd w:val="clear" w:color="auto" w:fill="auto"/>
            <w:noWrap/>
            <w:hideMark/>
          </w:tcPr>
          <w:p w:rsidR="009B5777" w:rsidP="009B5777" w14:paraId="01BCE7CA" w14:textId="721A54AD">
            <w:pPr>
              <w:jc w:val="center"/>
              <w:rPr>
                <w:color w:val="000000"/>
                <w:sz w:val="20"/>
              </w:rPr>
            </w:pPr>
            <w:r w:rsidRPr="005C2D0D">
              <w:rPr>
                <w:color w:val="000000"/>
                <w:sz w:val="20"/>
              </w:rPr>
              <w:t>784</w:t>
            </w:r>
          </w:p>
          <w:p w:rsidR="009B5777" w:rsidP="009B5777" w14:paraId="0895B3AB" w14:textId="772F5B78">
            <w:pPr>
              <w:jc w:val="center"/>
              <w:rPr>
                <w:color w:val="000000"/>
                <w:sz w:val="20"/>
              </w:rPr>
            </w:pPr>
            <w:r w:rsidRPr="005C2D0D">
              <w:rPr>
                <w:color w:val="000000"/>
                <w:sz w:val="20"/>
              </w:rPr>
              <w:t xml:space="preserve">railroads + </w:t>
            </w:r>
            <w:r w:rsidRPr="005C2D0D">
              <w:rPr>
                <w:color w:val="000000"/>
                <w:sz w:val="20"/>
              </w:rPr>
              <w:br/>
              <w:t>6</w:t>
            </w:r>
          </w:p>
          <w:p w:rsidR="005C2D0D" w:rsidRPr="005C2D0D" w:rsidP="009B5777" w14:paraId="3CDC01A8" w14:textId="6ED4F6B6">
            <w:pPr>
              <w:jc w:val="center"/>
              <w:rPr>
                <w:color w:val="000000"/>
                <w:sz w:val="20"/>
              </w:rPr>
            </w:pPr>
            <w:r w:rsidRPr="005C2D0D">
              <w:rPr>
                <w:color w:val="000000"/>
                <w:sz w:val="20"/>
              </w:rPr>
              <w:t>manufacturers</w:t>
            </w:r>
            <w:r w:rsidRPr="005C2D0D">
              <w:rPr>
                <w:color w:val="000000"/>
                <w:sz w:val="20"/>
              </w:rPr>
              <w:br/>
            </w:r>
          </w:p>
        </w:tc>
        <w:tc>
          <w:tcPr>
            <w:tcW w:w="1260" w:type="dxa"/>
            <w:shd w:val="clear" w:color="auto" w:fill="auto"/>
            <w:hideMark/>
          </w:tcPr>
          <w:p w:rsidR="005C2D0D" w:rsidRPr="005C2D0D" w:rsidP="006A7B32" w14:paraId="5F386392" w14:textId="467E19EC">
            <w:pPr>
              <w:jc w:val="center"/>
              <w:rPr>
                <w:color w:val="000000"/>
                <w:sz w:val="20"/>
              </w:rPr>
            </w:pPr>
            <w:r>
              <w:rPr>
                <w:color w:val="000000"/>
                <w:sz w:val="20"/>
              </w:rPr>
              <w:t>39</w:t>
            </w:r>
            <w:r w:rsidRPr="005C2D0D">
              <w:rPr>
                <w:color w:val="000000"/>
                <w:sz w:val="20"/>
              </w:rPr>
              <w:t xml:space="preserve"> notifications</w:t>
            </w:r>
          </w:p>
        </w:tc>
        <w:tc>
          <w:tcPr>
            <w:tcW w:w="1260" w:type="dxa"/>
            <w:shd w:val="clear" w:color="auto" w:fill="auto"/>
            <w:noWrap/>
            <w:hideMark/>
          </w:tcPr>
          <w:p w:rsidR="005C2D0D" w:rsidRPr="005C2D0D" w:rsidP="005C2D0D" w14:paraId="1150B434" w14:textId="77777777">
            <w:pPr>
              <w:rPr>
                <w:color w:val="000000"/>
                <w:sz w:val="20"/>
              </w:rPr>
            </w:pPr>
            <w:r w:rsidRPr="005C2D0D">
              <w:rPr>
                <w:color w:val="000000"/>
                <w:sz w:val="20"/>
              </w:rPr>
              <w:t xml:space="preserve"> N/A</w:t>
            </w:r>
          </w:p>
        </w:tc>
        <w:tc>
          <w:tcPr>
            <w:tcW w:w="1260" w:type="dxa"/>
            <w:shd w:val="clear" w:color="auto" w:fill="auto"/>
            <w:noWrap/>
            <w:hideMark/>
          </w:tcPr>
          <w:p w:rsidR="00884367" w:rsidP="006A7B32" w14:paraId="069EB621" w14:textId="7C86EACA">
            <w:pPr>
              <w:jc w:val="center"/>
              <w:rPr>
                <w:color w:val="000000"/>
                <w:sz w:val="20"/>
              </w:rPr>
            </w:pPr>
            <w:r>
              <w:rPr>
                <w:color w:val="000000"/>
                <w:sz w:val="20"/>
              </w:rPr>
              <w:t>50</w:t>
            </w:r>
          </w:p>
          <w:p w:rsidR="005C2D0D" w:rsidRPr="005C2D0D" w:rsidP="006A7B32" w14:paraId="601DF266" w14:textId="62EF04F9">
            <w:pPr>
              <w:jc w:val="center"/>
              <w:rPr>
                <w:color w:val="000000"/>
                <w:sz w:val="20"/>
              </w:rPr>
            </w:pPr>
            <w:r w:rsidRPr="005C2D0D">
              <w:rPr>
                <w:color w:val="000000"/>
                <w:sz w:val="20"/>
              </w:rPr>
              <w:t>hours</w:t>
            </w:r>
          </w:p>
        </w:tc>
        <w:tc>
          <w:tcPr>
            <w:tcW w:w="1620" w:type="dxa"/>
            <w:shd w:val="clear" w:color="auto" w:fill="auto"/>
            <w:noWrap/>
            <w:hideMark/>
          </w:tcPr>
          <w:p w:rsidR="005C2D0D" w:rsidRPr="005C2D0D" w:rsidP="005C2D0D" w14:paraId="77E92624" w14:textId="720FB04B">
            <w:pPr>
              <w:rPr>
                <w:color w:val="000000"/>
                <w:sz w:val="20"/>
              </w:rPr>
            </w:pPr>
            <w:r w:rsidRPr="005C2D0D">
              <w:rPr>
                <w:color w:val="000000"/>
                <w:sz w:val="20"/>
              </w:rPr>
              <w:t>$3,</w:t>
            </w:r>
            <w:r w:rsidR="0030104D">
              <w:rPr>
                <w:color w:val="000000"/>
                <w:sz w:val="20"/>
              </w:rPr>
              <w:t>581</w:t>
            </w:r>
            <w:r w:rsidRPr="005C2D0D">
              <w:rPr>
                <w:color w:val="000000"/>
                <w:sz w:val="20"/>
              </w:rPr>
              <w:t xml:space="preserve"> </w:t>
            </w:r>
          </w:p>
        </w:tc>
        <w:tc>
          <w:tcPr>
            <w:tcW w:w="3420" w:type="dxa"/>
          </w:tcPr>
          <w:p w:rsidR="005C2D0D" w:rsidRPr="005C2D0D" w:rsidP="005C2D0D" w14:paraId="13C8EF59" w14:textId="77777777">
            <w:pPr>
              <w:rPr>
                <w:color w:val="000000"/>
                <w:sz w:val="20"/>
              </w:rPr>
            </w:pPr>
          </w:p>
        </w:tc>
      </w:tr>
    </w:tbl>
    <w:p w:rsidR="00EE18AD" w:rsidP="00172269" w14:paraId="2B2FA1DE" w14:textId="77777777">
      <w:pPr>
        <w:widowControl w:val="0"/>
        <w:ind w:left="720"/>
        <w:rPr>
          <w:szCs w:val="24"/>
        </w:rPr>
      </w:pPr>
    </w:p>
    <w:p w:rsidR="00E279E0" w:rsidP="00E279E0" w14:paraId="43B31D28" w14:textId="51A45CA3">
      <w:pPr>
        <w:widowControl w:val="0"/>
        <w:rPr>
          <w:szCs w:val="24"/>
        </w:rPr>
      </w:pPr>
      <w:r w:rsidRPr="00D863FB">
        <w:rPr>
          <w:b/>
          <w:szCs w:val="24"/>
        </w:rPr>
        <w:t>13.</w:t>
      </w:r>
      <w:r w:rsidRPr="00D863FB">
        <w:rPr>
          <w:b/>
          <w:szCs w:val="24"/>
        </w:rPr>
        <w:tab/>
      </w:r>
      <w:r w:rsidRPr="00D863FB">
        <w:rPr>
          <w:b/>
          <w:szCs w:val="24"/>
          <w:u w:val="single"/>
        </w:rPr>
        <w:t xml:space="preserve">Estimate of total annual costs to </w:t>
      </w:r>
      <w:r w:rsidRPr="00D863FB">
        <w:rPr>
          <w:b/>
          <w:szCs w:val="24"/>
          <w:u w:val="single"/>
        </w:rPr>
        <w:t>respondents</w:t>
      </w:r>
      <w:r w:rsidRPr="00D863FB">
        <w:rPr>
          <w:szCs w:val="24"/>
        </w:rPr>
        <w:t>.</w:t>
      </w:r>
    </w:p>
    <w:p w:rsidR="009F7AE1" w:rsidRPr="00D863FB" w:rsidP="00E279E0" w14:paraId="26E2A702" w14:textId="77777777">
      <w:pPr>
        <w:widowControl w:val="0"/>
        <w:rPr>
          <w:szCs w:val="24"/>
        </w:rPr>
      </w:pPr>
    </w:p>
    <w:p w:rsidR="000448AB" w:rsidP="000448AB" w14:paraId="57A52AFA" w14:textId="77777777">
      <w:pPr>
        <w:widowControl w:val="0"/>
        <w:ind w:left="720"/>
      </w:pPr>
      <w:r>
        <w:t xml:space="preserve">There is no additional cost to the respondents outside of the burden hours accounted for under </w:t>
      </w:r>
      <w:r w:rsidR="000C4971">
        <w:t>question number 12.</w:t>
      </w:r>
    </w:p>
    <w:p w:rsidR="00FF4F68" w:rsidP="000448AB" w14:paraId="12E62E42" w14:textId="79E8161C">
      <w:pPr>
        <w:widowControl w:val="0"/>
        <w:ind w:left="720"/>
      </w:pPr>
      <w:r>
        <w:t xml:space="preserve"> </w:t>
      </w:r>
    </w:p>
    <w:p w:rsidR="00C50A74" w:rsidRPr="00D863FB" w:rsidP="0090251E" w14:paraId="705F6B81" w14:textId="2101E465">
      <w:pPr>
        <w:widowControl w:val="0"/>
        <w:rPr>
          <w:b/>
          <w:szCs w:val="24"/>
        </w:rPr>
      </w:pPr>
      <w:r w:rsidRPr="00D863FB">
        <w:rPr>
          <w:b/>
          <w:szCs w:val="24"/>
        </w:rPr>
        <w:t>14.</w:t>
      </w:r>
      <w:r w:rsidRPr="00D863FB">
        <w:rPr>
          <w:b/>
          <w:szCs w:val="24"/>
        </w:rPr>
        <w:tab/>
      </w:r>
      <w:r w:rsidRPr="00D863FB">
        <w:rPr>
          <w:b/>
          <w:szCs w:val="24"/>
          <w:u w:val="single"/>
        </w:rPr>
        <w:t>Estimate of Cost to Federal Government</w:t>
      </w:r>
      <w:r w:rsidRPr="00D863FB">
        <w:rPr>
          <w:szCs w:val="24"/>
        </w:rPr>
        <w:t>.</w:t>
      </w:r>
    </w:p>
    <w:p w:rsidR="00AD6ACB" w:rsidRPr="00D863FB" w14:paraId="17AC2768" w14:textId="77777777">
      <w:pPr>
        <w:widowControl w:val="0"/>
        <w:rPr>
          <w:szCs w:val="24"/>
        </w:rPr>
      </w:pPr>
    </w:p>
    <w:p w:rsidR="00561B7F" w:rsidP="00D477F9" w14:paraId="6334EA93" w14:textId="3CBC826C">
      <w:pPr>
        <w:widowControl w:val="0"/>
        <w:ind w:left="720"/>
        <w:rPr>
          <w:szCs w:val="24"/>
        </w:rPr>
      </w:pPr>
      <w:r w:rsidRPr="00561B7F">
        <w:rPr>
          <w:szCs w:val="24"/>
        </w:rPr>
        <w:t xml:space="preserve">FRA estimates that approximately </w:t>
      </w:r>
      <w:r>
        <w:rPr>
          <w:szCs w:val="24"/>
        </w:rPr>
        <w:t>two</w:t>
      </w:r>
      <w:r w:rsidRPr="00561B7F">
        <w:rPr>
          <w:szCs w:val="24"/>
        </w:rPr>
        <w:t xml:space="preserve"> hours (at the GS-14 level</w:t>
      </w:r>
      <w:r w:rsidR="008722A8">
        <w:rPr>
          <w:szCs w:val="24"/>
        </w:rPr>
        <w:t>, step 5</w:t>
      </w:r>
      <w:r w:rsidRPr="00561B7F">
        <w:rPr>
          <w:szCs w:val="24"/>
        </w:rPr>
        <w:t xml:space="preserve">) are spent processing the respondents’ </w:t>
      </w:r>
      <w:r>
        <w:rPr>
          <w:szCs w:val="24"/>
        </w:rPr>
        <w:t>notifications</w:t>
      </w:r>
      <w:r w:rsidRPr="00561B7F">
        <w:rPr>
          <w:szCs w:val="24"/>
        </w:rPr>
        <w:t>.  This excludes time spent during routine compliance and enforcement activities.  To calculate the government administrative cost, the 2</w:t>
      </w:r>
      <w:r>
        <w:rPr>
          <w:szCs w:val="24"/>
        </w:rPr>
        <w:t>0</w:t>
      </w:r>
      <w:r w:rsidR="000A183B">
        <w:rPr>
          <w:szCs w:val="24"/>
        </w:rPr>
        <w:t>2</w:t>
      </w:r>
      <w:r w:rsidR="00D07194">
        <w:rPr>
          <w:szCs w:val="24"/>
        </w:rPr>
        <w:t>4</w:t>
      </w:r>
      <w:r w:rsidRPr="00561B7F">
        <w:rPr>
          <w:szCs w:val="24"/>
        </w:rPr>
        <w:t xml:space="preserve"> Office of Personnel Manageme</w:t>
      </w:r>
      <w:r w:rsidRPr="00561B7F">
        <w:rPr>
          <w:szCs w:val="24"/>
        </w:rPr>
        <w:t xml:space="preserve">nt wage rates were used.   Wages were considered at the burdened wage rate by multiplying the actual wage rate by an overhead cost of 75 percent (or times 1.75).  Multiplying </w:t>
      </w:r>
      <w:r w:rsidR="00CA61AD">
        <w:rPr>
          <w:szCs w:val="24"/>
        </w:rPr>
        <w:t>2</w:t>
      </w:r>
      <w:r w:rsidRPr="00561B7F" w:rsidR="00CA61AD">
        <w:rPr>
          <w:szCs w:val="24"/>
        </w:rPr>
        <w:t xml:space="preserve"> </w:t>
      </w:r>
      <w:r w:rsidRPr="00561B7F">
        <w:rPr>
          <w:szCs w:val="24"/>
        </w:rPr>
        <w:t>times $</w:t>
      </w:r>
      <w:r w:rsidR="000A183B">
        <w:rPr>
          <w:szCs w:val="24"/>
        </w:rPr>
        <w:t>7</w:t>
      </w:r>
      <w:r w:rsidR="00D07194">
        <w:rPr>
          <w:szCs w:val="24"/>
        </w:rPr>
        <w:t>5.70</w:t>
      </w:r>
      <w:r w:rsidRPr="00561B7F">
        <w:rPr>
          <w:szCs w:val="24"/>
        </w:rPr>
        <w:t xml:space="preserve"> per hour times 1.75 (75 percent for overhead) equals $</w:t>
      </w:r>
      <w:r>
        <w:rPr>
          <w:szCs w:val="24"/>
        </w:rPr>
        <w:t>2</w:t>
      </w:r>
      <w:r w:rsidR="00BA1E9D">
        <w:rPr>
          <w:szCs w:val="24"/>
        </w:rPr>
        <w:t>65</w:t>
      </w:r>
      <w:r>
        <w:rPr>
          <w:szCs w:val="24"/>
        </w:rPr>
        <w:t xml:space="preserve"> (rounded</w:t>
      </w:r>
      <w:r>
        <w:rPr>
          <w:szCs w:val="24"/>
        </w:rPr>
        <w:t xml:space="preserve">) </w:t>
      </w:r>
      <w:r w:rsidRPr="00561B7F">
        <w:rPr>
          <w:szCs w:val="24"/>
        </w:rPr>
        <w:t>in annualized costs.</w:t>
      </w:r>
    </w:p>
    <w:p w:rsidR="0024529F" w:rsidP="002F2ADA" w14:paraId="225F5DA9" w14:textId="77777777">
      <w:pPr>
        <w:widowControl w:val="0"/>
        <w:ind w:left="720" w:hanging="720"/>
        <w:rPr>
          <w:b/>
          <w:szCs w:val="24"/>
        </w:rPr>
        <w:sectPr w:rsidSect="000448AB">
          <w:endnotePr>
            <w:numFmt w:val="lowerLetter"/>
          </w:endnotePr>
          <w:pgSz w:w="15840" w:h="12240" w:orient="landscape"/>
          <w:pgMar w:top="1080" w:right="1440" w:bottom="1080" w:left="1440" w:header="1440" w:footer="619" w:gutter="0"/>
          <w:cols w:space="720"/>
          <w:docGrid w:linePitch="326"/>
        </w:sectPr>
      </w:pPr>
      <w:bookmarkStart w:id="1" w:name="_Hlk120005634"/>
    </w:p>
    <w:p w:rsidR="002F2ADA" w:rsidRPr="00D863FB" w:rsidP="002F2ADA" w14:paraId="1CBE5A4F" w14:textId="77777777">
      <w:pPr>
        <w:widowControl w:val="0"/>
        <w:ind w:left="720" w:hanging="720"/>
        <w:rPr>
          <w:szCs w:val="24"/>
        </w:rPr>
      </w:pPr>
      <w:r w:rsidRPr="00D863FB">
        <w:rPr>
          <w:b/>
          <w:szCs w:val="24"/>
        </w:rPr>
        <w:t>15.</w:t>
      </w:r>
      <w:r w:rsidRPr="00D863FB">
        <w:rPr>
          <w:b/>
          <w:szCs w:val="24"/>
        </w:rPr>
        <w:tab/>
      </w:r>
      <w:r w:rsidRPr="00D863FB">
        <w:rPr>
          <w:b/>
          <w:szCs w:val="24"/>
          <w:u w:val="single"/>
        </w:rPr>
        <w:t>Explanation of program changes and adjustments</w:t>
      </w:r>
      <w:r w:rsidRPr="00D863FB">
        <w:rPr>
          <w:szCs w:val="24"/>
        </w:rPr>
        <w:t>.</w:t>
      </w:r>
    </w:p>
    <w:p w:rsidR="00AD6ACB" w:rsidRPr="00D863FB" w14:paraId="4D9B587F" w14:textId="77777777">
      <w:pPr>
        <w:widowControl w:val="0"/>
        <w:rPr>
          <w:szCs w:val="24"/>
        </w:rPr>
      </w:pPr>
    </w:p>
    <w:p w:rsidR="00576EE0" w14:paraId="1F3F25B1" w14:textId="423A0B81">
      <w:pPr>
        <w:widowControl w:val="0"/>
        <w:ind w:left="720"/>
        <w:rPr>
          <w:szCs w:val="24"/>
        </w:rPr>
      </w:pPr>
      <w:r w:rsidRPr="00576EE0">
        <w:rPr>
          <w:szCs w:val="24"/>
        </w:rPr>
        <w:t xml:space="preserve">This is a revision to a current collection of information.  The current OMB inventory for this information collection shows a total burden of </w:t>
      </w:r>
      <w:r>
        <w:rPr>
          <w:szCs w:val="24"/>
        </w:rPr>
        <w:t>4</w:t>
      </w:r>
      <w:r w:rsidRPr="00576EE0">
        <w:rPr>
          <w:szCs w:val="24"/>
        </w:rPr>
        <w:t xml:space="preserve"> hours and </w:t>
      </w:r>
      <w:r>
        <w:rPr>
          <w:szCs w:val="24"/>
        </w:rPr>
        <w:t>4</w:t>
      </w:r>
      <w:r w:rsidRPr="00576EE0">
        <w:rPr>
          <w:szCs w:val="24"/>
        </w:rPr>
        <w:t xml:space="preserve"> responses, while the requesting inventory estimates a total burden of </w:t>
      </w:r>
      <w:r w:rsidR="005E5F49">
        <w:rPr>
          <w:szCs w:val="24"/>
        </w:rPr>
        <w:t>50</w:t>
      </w:r>
      <w:r>
        <w:rPr>
          <w:szCs w:val="24"/>
        </w:rPr>
        <w:t xml:space="preserve"> </w:t>
      </w:r>
      <w:r w:rsidRPr="00576EE0">
        <w:rPr>
          <w:szCs w:val="24"/>
        </w:rPr>
        <w:t xml:space="preserve">hours and </w:t>
      </w:r>
      <w:r w:rsidR="009E766E">
        <w:rPr>
          <w:szCs w:val="24"/>
        </w:rPr>
        <w:t>39</w:t>
      </w:r>
      <w:r w:rsidR="0097330D">
        <w:rPr>
          <w:szCs w:val="24"/>
        </w:rPr>
        <w:t xml:space="preserve"> </w:t>
      </w:r>
      <w:r w:rsidRPr="00576EE0">
        <w:rPr>
          <w:szCs w:val="24"/>
        </w:rPr>
        <w:t xml:space="preserve">responses.  Overall, the burden for this submission has increased by </w:t>
      </w:r>
      <w:r w:rsidR="005E5F49">
        <w:rPr>
          <w:szCs w:val="24"/>
        </w:rPr>
        <w:t>46</w:t>
      </w:r>
      <w:r w:rsidRPr="00576EE0">
        <w:rPr>
          <w:szCs w:val="24"/>
        </w:rPr>
        <w:t xml:space="preserve"> hours and increased by </w:t>
      </w:r>
      <w:r w:rsidR="00D95F3C">
        <w:rPr>
          <w:szCs w:val="24"/>
        </w:rPr>
        <w:t>3</w:t>
      </w:r>
      <w:r w:rsidR="00C00F92">
        <w:rPr>
          <w:szCs w:val="24"/>
        </w:rPr>
        <w:t>5</w:t>
      </w:r>
      <w:r w:rsidRPr="00576EE0">
        <w:rPr>
          <w:szCs w:val="24"/>
        </w:rPr>
        <w:t xml:space="preserve"> responses.  The increase in burden is solely due to a program change. </w:t>
      </w:r>
    </w:p>
    <w:p w:rsidR="00BF4037" w14:paraId="79574531" w14:textId="77777777">
      <w:pPr>
        <w:widowControl w:val="0"/>
        <w:ind w:left="720"/>
        <w:rPr>
          <w:szCs w:val="24"/>
        </w:rPr>
      </w:pPr>
    </w:p>
    <w:tbl>
      <w:tblPr>
        <w:tblW w:w="0" w:type="auto"/>
        <w:tblInd w:w="625" w:type="dxa"/>
        <w:tblLook w:val="04A0"/>
      </w:tblPr>
      <w:tblGrid>
        <w:gridCol w:w="3400"/>
        <w:gridCol w:w="1905"/>
        <w:gridCol w:w="1919"/>
        <w:gridCol w:w="1321"/>
        <w:gridCol w:w="1315"/>
        <w:gridCol w:w="1304"/>
        <w:gridCol w:w="1161"/>
      </w:tblGrid>
      <w:tr w14:paraId="76EC5443" w14:textId="77777777" w:rsidTr="008D03FB">
        <w:tblPrEx>
          <w:tblW w:w="0" w:type="auto"/>
          <w:tblInd w:w="625" w:type="dxa"/>
          <w:tblLook w:val="04A0"/>
        </w:tblPrEx>
        <w:trPr>
          <w:trHeight w:val="300"/>
        </w:trPr>
        <w:tc>
          <w:tcPr>
            <w:tcW w:w="340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2C7188" w:rsidRPr="004140EE" w:rsidP="002C7188" w14:paraId="466CBDAF" w14:textId="77777777">
            <w:pPr>
              <w:jc w:val="center"/>
              <w:rPr>
                <w:b/>
                <w:bCs/>
                <w:color w:val="000000"/>
                <w:sz w:val="20"/>
              </w:rPr>
            </w:pPr>
            <w:r w:rsidRPr="004140EE">
              <w:rPr>
                <w:b/>
                <w:bCs/>
                <w:color w:val="000000"/>
                <w:sz w:val="20"/>
              </w:rPr>
              <w:t>CFR Section</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2C7188" w:rsidRPr="004140EE" w:rsidP="002C7188" w14:paraId="54B5ABDA" w14:textId="77777777">
            <w:pPr>
              <w:jc w:val="center"/>
              <w:rPr>
                <w:b/>
                <w:bCs/>
                <w:color w:val="000000"/>
                <w:sz w:val="20"/>
              </w:rPr>
            </w:pPr>
            <w:r w:rsidRPr="004140EE">
              <w:rPr>
                <w:b/>
                <w:bCs/>
                <w:color w:val="000000"/>
                <w:sz w:val="20"/>
              </w:rPr>
              <w:t>Total Annual Responses</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2C7188" w:rsidRPr="004140EE" w:rsidP="002C7188" w14:paraId="588EBCC2" w14:textId="77777777">
            <w:pPr>
              <w:jc w:val="center"/>
              <w:rPr>
                <w:b/>
                <w:bCs/>
                <w:color w:val="000000"/>
                <w:sz w:val="20"/>
              </w:rPr>
            </w:pPr>
            <w:r w:rsidRPr="004140EE">
              <w:rPr>
                <w:b/>
                <w:bCs/>
                <w:color w:val="000000"/>
                <w:sz w:val="20"/>
              </w:rPr>
              <w:t>Total Annual Burden Hours</w:t>
            </w:r>
          </w:p>
        </w:tc>
      </w:tr>
      <w:tr w14:paraId="65B71A1C" w14:textId="77777777" w:rsidTr="008D03FB">
        <w:tblPrEx>
          <w:tblW w:w="0" w:type="auto"/>
          <w:tblInd w:w="625" w:type="dxa"/>
          <w:tblLook w:val="04A0"/>
        </w:tblPrEx>
        <w:trPr>
          <w:trHeight w:val="945"/>
        </w:trPr>
        <w:tc>
          <w:tcPr>
            <w:tcW w:w="3401" w:type="dxa"/>
            <w:vMerge/>
            <w:tcBorders>
              <w:top w:val="single" w:sz="4" w:space="0" w:color="auto"/>
              <w:left w:val="single" w:sz="4" w:space="0" w:color="auto"/>
              <w:bottom w:val="single" w:sz="4" w:space="0" w:color="000000"/>
              <w:right w:val="single" w:sz="4" w:space="0" w:color="auto"/>
            </w:tcBorders>
            <w:vAlign w:val="center"/>
            <w:hideMark/>
          </w:tcPr>
          <w:p w:rsidR="002C7188" w:rsidRPr="00965C3B" w:rsidP="002C7188" w14:paraId="63697CDB" w14:textId="77777777">
            <w:pPr>
              <w:rPr>
                <w:b/>
                <w:bCs/>
                <w:color w:val="000000"/>
                <w:sz w:val="20"/>
              </w:rPr>
            </w:pPr>
          </w:p>
        </w:tc>
        <w:tc>
          <w:tcPr>
            <w:tcW w:w="0" w:type="auto"/>
            <w:tcBorders>
              <w:top w:val="nil"/>
              <w:left w:val="nil"/>
              <w:bottom w:val="single" w:sz="4" w:space="0" w:color="auto"/>
              <w:right w:val="single" w:sz="4" w:space="0" w:color="auto"/>
            </w:tcBorders>
            <w:shd w:val="clear" w:color="auto" w:fill="auto"/>
            <w:hideMark/>
          </w:tcPr>
          <w:p w:rsidR="002C7188" w:rsidRPr="00965C3B" w:rsidP="002C7188" w14:paraId="60E7DAC3" w14:textId="77777777">
            <w:pPr>
              <w:jc w:val="center"/>
              <w:rPr>
                <w:color w:val="000000"/>
                <w:sz w:val="20"/>
              </w:rPr>
            </w:pPr>
            <w:r w:rsidRPr="00965C3B">
              <w:rPr>
                <w:color w:val="000000"/>
                <w:sz w:val="20"/>
              </w:rPr>
              <w:t>Previous Submission (Average Time per Response)</w:t>
            </w:r>
          </w:p>
        </w:tc>
        <w:tc>
          <w:tcPr>
            <w:tcW w:w="0" w:type="auto"/>
            <w:tcBorders>
              <w:top w:val="nil"/>
              <w:left w:val="nil"/>
              <w:bottom w:val="single" w:sz="4" w:space="0" w:color="auto"/>
              <w:right w:val="single" w:sz="4" w:space="0" w:color="auto"/>
            </w:tcBorders>
            <w:shd w:val="clear" w:color="auto" w:fill="auto"/>
            <w:hideMark/>
          </w:tcPr>
          <w:p w:rsidR="002C7188" w:rsidRPr="00965C3B" w:rsidP="002C7188" w14:paraId="39C058AF" w14:textId="77777777">
            <w:pPr>
              <w:jc w:val="center"/>
              <w:rPr>
                <w:color w:val="000000"/>
                <w:sz w:val="20"/>
              </w:rPr>
            </w:pPr>
            <w:r w:rsidRPr="00965C3B">
              <w:rPr>
                <w:color w:val="000000"/>
                <w:sz w:val="20"/>
              </w:rPr>
              <w:t>Current Submission (Average Time per Response)</w:t>
            </w:r>
          </w:p>
        </w:tc>
        <w:tc>
          <w:tcPr>
            <w:tcW w:w="0" w:type="auto"/>
            <w:tcBorders>
              <w:top w:val="nil"/>
              <w:left w:val="nil"/>
              <w:bottom w:val="single" w:sz="4" w:space="0" w:color="auto"/>
              <w:right w:val="single" w:sz="4" w:space="0" w:color="auto"/>
            </w:tcBorders>
            <w:shd w:val="clear" w:color="auto" w:fill="auto"/>
            <w:hideMark/>
          </w:tcPr>
          <w:p w:rsidR="002C7188" w:rsidRPr="00965C3B" w:rsidP="002C7188" w14:paraId="2317165B" w14:textId="77777777">
            <w:pPr>
              <w:jc w:val="center"/>
              <w:rPr>
                <w:color w:val="000000"/>
                <w:sz w:val="20"/>
              </w:rPr>
            </w:pPr>
            <w:r w:rsidRPr="00965C3B">
              <w:rPr>
                <w:color w:val="000000"/>
                <w:sz w:val="20"/>
              </w:rPr>
              <w:t>Difference</w:t>
            </w:r>
          </w:p>
        </w:tc>
        <w:tc>
          <w:tcPr>
            <w:tcW w:w="0" w:type="auto"/>
            <w:tcBorders>
              <w:top w:val="nil"/>
              <w:left w:val="nil"/>
              <w:bottom w:val="single" w:sz="4" w:space="0" w:color="auto"/>
              <w:right w:val="single" w:sz="4" w:space="0" w:color="auto"/>
            </w:tcBorders>
            <w:shd w:val="clear" w:color="auto" w:fill="auto"/>
            <w:hideMark/>
          </w:tcPr>
          <w:p w:rsidR="002C7188" w:rsidRPr="00965C3B" w:rsidP="002C7188" w14:paraId="47C1604C" w14:textId="77777777">
            <w:pPr>
              <w:jc w:val="center"/>
              <w:rPr>
                <w:color w:val="000000"/>
                <w:sz w:val="20"/>
              </w:rPr>
            </w:pPr>
            <w:r w:rsidRPr="00965C3B">
              <w:rPr>
                <w:color w:val="000000"/>
                <w:sz w:val="20"/>
              </w:rPr>
              <w:t>Previous Submission</w:t>
            </w:r>
          </w:p>
        </w:tc>
        <w:tc>
          <w:tcPr>
            <w:tcW w:w="0" w:type="auto"/>
            <w:tcBorders>
              <w:top w:val="nil"/>
              <w:left w:val="nil"/>
              <w:bottom w:val="single" w:sz="4" w:space="0" w:color="auto"/>
              <w:right w:val="single" w:sz="4" w:space="0" w:color="auto"/>
            </w:tcBorders>
            <w:shd w:val="clear" w:color="auto" w:fill="auto"/>
            <w:hideMark/>
          </w:tcPr>
          <w:p w:rsidR="002C7188" w:rsidRPr="00965C3B" w:rsidP="002C7188" w14:paraId="60982923" w14:textId="77777777">
            <w:pPr>
              <w:jc w:val="center"/>
              <w:rPr>
                <w:color w:val="000000"/>
                <w:sz w:val="20"/>
              </w:rPr>
            </w:pPr>
            <w:r w:rsidRPr="00965C3B">
              <w:rPr>
                <w:color w:val="000000"/>
                <w:sz w:val="20"/>
              </w:rPr>
              <w:t xml:space="preserve">Current Submission </w:t>
            </w:r>
          </w:p>
        </w:tc>
        <w:tc>
          <w:tcPr>
            <w:tcW w:w="0" w:type="auto"/>
            <w:tcBorders>
              <w:top w:val="nil"/>
              <w:left w:val="nil"/>
              <w:bottom w:val="single" w:sz="4" w:space="0" w:color="auto"/>
              <w:right w:val="single" w:sz="4" w:space="0" w:color="auto"/>
            </w:tcBorders>
            <w:shd w:val="clear" w:color="auto" w:fill="auto"/>
            <w:hideMark/>
          </w:tcPr>
          <w:p w:rsidR="002C7188" w:rsidRPr="00965C3B" w:rsidP="002C7188" w14:paraId="486F0246" w14:textId="77777777">
            <w:pPr>
              <w:jc w:val="center"/>
              <w:rPr>
                <w:color w:val="000000"/>
                <w:sz w:val="20"/>
              </w:rPr>
            </w:pPr>
            <w:r w:rsidRPr="00965C3B">
              <w:rPr>
                <w:color w:val="000000"/>
                <w:sz w:val="20"/>
              </w:rPr>
              <w:t>Difference</w:t>
            </w:r>
          </w:p>
        </w:tc>
      </w:tr>
      <w:tr w14:paraId="61DB2651" w14:textId="77777777" w:rsidTr="008D03FB">
        <w:tblPrEx>
          <w:tblW w:w="0" w:type="auto"/>
          <w:tblInd w:w="625" w:type="dxa"/>
          <w:tblLook w:val="04A0"/>
        </w:tblPrEx>
        <w:trPr>
          <w:trHeight w:val="1277"/>
        </w:trPr>
        <w:tc>
          <w:tcPr>
            <w:tcW w:w="3401" w:type="dxa"/>
            <w:tcBorders>
              <w:top w:val="nil"/>
              <w:left w:val="single" w:sz="4" w:space="0" w:color="auto"/>
              <w:bottom w:val="single" w:sz="4" w:space="0" w:color="auto"/>
              <w:right w:val="single" w:sz="4" w:space="0" w:color="auto"/>
            </w:tcBorders>
            <w:shd w:val="clear" w:color="auto" w:fill="auto"/>
            <w:hideMark/>
          </w:tcPr>
          <w:p w:rsidR="002C7188" w:rsidRPr="004140EE" w:rsidP="002C7188" w14:paraId="3C71867A" w14:textId="77777777">
            <w:pPr>
              <w:rPr>
                <w:color w:val="000000"/>
                <w:sz w:val="20"/>
              </w:rPr>
            </w:pPr>
            <w:r w:rsidRPr="004140EE">
              <w:rPr>
                <w:color w:val="000000"/>
                <w:sz w:val="20"/>
              </w:rPr>
              <w:t>215.403(a)(1)—Certification of Compliance— Manufacturers to electronically certify to FRA that the cars comply with the requirements of this subpart (New requirement)</w:t>
            </w:r>
          </w:p>
        </w:tc>
        <w:tc>
          <w:tcPr>
            <w:tcW w:w="0" w:type="auto"/>
            <w:tcBorders>
              <w:top w:val="nil"/>
              <w:left w:val="nil"/>
              <w:bottom w:val="single" w:sz="4" w:space="0" w:color="auto"/>
              <w:right w:val="single" w:sz="4" w:space="0" w:color="auto"/>
            </w:tcBorders>
            <w:shd w:val="clear" w:color="auto" w:fill="auto"/>
            <w:hideMark/>
          </w:tcPr>
          <w:p w:rsidR="002C7188" w:rsidRPr="004140EE" w:rsidP="004140EE" w14:paraId="6A40DC25" w14:textId="048DAC3E">
            <w:pPr>
              <w:jc w:val="center"/>
              <w:rPr>
                <w:color w:val="000000"/>
                <w:sz w:val="20"/>
              </w:rPr>
            </w:pPr>
            <w:r>
              <w:rPr>
                <w:color w:val="000000"/>
                <w:sz w:val="20"/>
              </w:rPr>
              <w:t>0</w:t>
            </w:r>
          </w:p>
        </w:tc>
        <w:tc>
          <w:tcPr>
            <w:tcW w:w="0" w:type="auto"/>
            <w:tcBorders>
              <w:top w:val="nil"/>
              <w:left w:val="nil"/>
              <w:bottom w:val="single" w:sz="4" w:space="0" w:color="auto"/>
              <w:right w:val="single" w:sz="4" w:space="0" w:color="auto"/>
            </w:tcBorders>
            <w:shd w:val="clear" w:color="auto" w:fill="auto"/>
            <w:hideMark/>
          </w:tcPr>
          <w:p w:rsidR="002C7188" w:rsidRPr="004140EE" w:rsidP="004140EE" w14:paraId="554A71E0" w14:textId="3546A00D">
            <w:pPr>
              <w:jc w:val="center"/>
              <w:rPr>
                <w:color w:val="000000"/>
                <w:sz w:val="20"/>
              </w:rPr>
            </w:pPr>
            <w:r w:rsidRPr="004140EE">
              <w:rPr>
                <w:color w:val="000000"/>
                <w:sz w:val="20"/>
              </w:rPr>
              <w:t xml:space="preserve">35.00 </w:t>
            </w:r>
            <w:r w:rsidR="00475490">
              <w:rPr>
                <w:color w:val="000000"/>
                <w:sz w:val="20"/>
              </w:rPr>
              <w:t>c</w:t>
            </w:r>
            <w:r w:rsidR="00972F1B">
              <w:rPr>
                <w:color w:val="000000"/>
                <w:sz w:val="20"/>
              </w:rPr>
              <w:t>ertifications</w:t>
            </w:r>
            <w:r w:rsidRPr="004140EE">
              <w:rPr>
                <w:color w:val="000000"/>
                <w:sz w:val="20"/>
              </w:rPr>
              <w:br/>
              <w:t xml:space="preserve"> (1 hour)</w:t>
            </w:r>
          </w:p>
        </w:tc>
        <w:tc>
          <w:tcPr>
            <w:tcW w:w="0" w:type="auto"/>
            <w:tcBorders>
              <w:top w:val="nil"/>
              <w:left w:val="nil"/>
              <w:bottom w:val="single" w:sz="4" w:space="0" w:color="auto"/>
              <w:right w:val="single" w:sz="4" w:space="0" w:color="auto"/>
            </w:tcBorders>
            <w:shd w:val="clear" w:color="auto" w:fill="auto"/>
            <w:hideMark/>
          </w:tcPr>
          <w:p w:rsidR="002C7188" w:rsidRPr="004140EE" w:rsidP="004140EE" w14:paraId="23FF7093" w14:textId="7176EBCF">
            <w:pPr>
              <w:jc w:val="center"/>
              <w:rPr>
                <w:color w:val="000000"/>
                <w:sz w:val="20"/>
              </w:rPr>
            </w:pPr>
            <w:r w:rsidRPr="004140EE">
              <w:rPr>
                <w:color w:val="000000"/>
                <w:sz w:val="20"/>
              </w:rPr>
              <w:t xml:space="preserve">35.00 </w:t>
            </w:r>
            <w:r w:rsidR="00475490">
              <w:rPr>
                <w:color w:val="000000"/>
                <w:sz w:val="20"/>
              </w:rPr>
              <w:t>a</w:t>
            </w:r>
            <w:r w:rsidRPr="004140EE">
              <w:rPr>
                <w:color w:val="000000"/>
                <w:sz w:val="20"/>
              </w:rPr>
              <w:t>ffirmations</w:t>
            </w:r>
          </w:p>
        </w:tc>
        <w:tc>
          <w:tcPr>
            <w:tcW w:w="0" w:type="auto"/>
            <w:tcBorders>
              <w:top w:val="nil"/>
              <w:left w:val="nil"/>
              <w:bottom w:val="single" w:sz="4" w:space="0" w:color="auto"/>
              <w:right w:val="single" w:sz="4" w:space="0" w:color="auto"/>
            </w:tcBorders>
            <w:shd w:val="clear" w:color="auto" w:fill="auto"/>
            <w:noWrap/>
            <w:hideMark/>
          </w:tcPr>
          <w:p w:rsidR="002C7188" w:rsidRPr="004140EE" w:rsidP="004140EE" w14:paraId="198E74D9" w14:textId="7A416346">
            <w:pPr>
              <w:jc w:val="center"/>
              <w:rPr>
                <w:color w:val="000000"/>
                <w:sz w:val="20"/>
              </w:rPr>
            </w:pPr>
            <w:r>
              <w:rPr>
                <w:color w:val="000000"/>
                <w:sz w:val="20"/>
              </w:rPr>
              <w:t>0</w:t>
            </w:r>
          </w:p>
        </w:tc>
        <w:tc>
          <w:tcPr>
            <w:tcW w:w="0" w:type="auto"/>
            <w:tcBorders>
              <w:top w:val="nil"/>
              <w:left w:val="nil"/>
              <w:bottom w:val="single" w:sz="4" w:space="0" w:color="auto"/>
              <w:right w:val="single" w:sz="4" w:space="0" w:color="auto"/>
            </w:tcBorders>
            <w:shd w:val="clear" w:color="auto" w:fill="auto"/>
            <w:noWrap/>
            <w:hideMark/>
          </w:tcPr>
          <w:p w:rsidR="002C7188" w:rsidRPr="004140EE" w:rsidP="004140EE" w14:paraId="09255A37" w14:textId="77777777">
            <w:pPr>
              <w:jc w:val="center"/>
              <w:rPr>
                <w:color w:val="000000"/>
                <w:sz w:val="20"/>
              </w:rPr>
            </w:pPr>
            <w:r w:rsidRPr="004140EE">
              <w:rPr>
                <w:color w:val="000000"/>
                <w:sz w:val="20"/>
              </w:rPr>
              <w:t>43.75 hours</w:t>
            </w:r>
          </w:p>
        </w:tc>
        <w:tc>
          <w:tcPr>
            <w:tcW w:w="0" w:type="auto"/>
            <w:tcBorders>
              <w:top w:val="nil"/>
              <w:left w:val="nil"/>
              <w:bottom w:val="single" w:sz="4" w:space="0" w:color="auto"/>
              <w:right w:val="single" w:sz="4" w:space="0" w:color="auto"/>
            </w:tcBorders>
            <w:shd w:val="clear" w:color="auto" w:fill="auto"/>
            <w:noWrap/>
            <w:hideMark/>
          </w:tcPr>
          <w:p w:rsidR="002C7188" w:rsidRPr="004140EE" w:rsidP="004140EE" w14:paraId="790297FD" w14:textId="77777777">
            <w:pPr>
              <w:jc w:val="center"/>
              <w:rPr>
                <w:color w:val="000000"/>
                <w:sz w:val="20"/>
              </w:rPr>
            </w:pPr>
            <w:r w:rsidRPr="004140EE">
              <w:rPr>
                <w:color w:val="000000"/>
                <w:sz w:val="20"/>
              </w:rPr>
              <w:t>43.75 hours</w:t>
            </w:r>
          </w:p>
        </w:tc>
      </w:tr>
      <w:tr w14:paraId="58328E9C" w14:textId="77777777" w:rsidTr="008D03FB">
        <w:tblPrEx>
          <w:tblW w:w="0" w:type="auto"/>
          <w:tblInd w:w="625" w:type="dxa"/>
          <w:tblLook w:val="04A0"/>
        </w:tblPrEx>
        <w:trPr>
          <w:trHeight w:val="800"/>
        </w:trPr>
        <w:tc>
          <w:tcPr>
            <w:tcW w:w="3401" w:type="dxa"/>
            <w:tcBorders>
              <w:top w:val="nil"/>
              <w:left w:val="single" w:sz="4" w:space="0" w:color="auto"/>
              <w:bottom w:val="single" w:sz="4" w:space="0" w:color="auto"/>
              <w:right w:val="single" w:sz="4" w:space="0" w:color="auto"/>
            </w:tcBorders>
            <w:shd w:val="clear" w:color="auto" w:fill="auto"/>
            <w:hideMark/>
          </w:tcPr>
          <w:p w:rsidR="002C7188" w:rsidRPr="004140EE" w:rsidP="002C7188" w14:paraId="20C9FB8B" w14:textId="77777777">
            <w:pPr>
              <w:rPr>
                <w:color w:val="000000"/>
                <w:sz w:val="20"/>
              </w:rPr>
            </w:pPr>
            <w:r w:rsidRPr="004140EE">
              <w:rPr>
                <w:color w:val="000000"/>
                <w:sz w:val="20"/>
              </w:rPr>
              <w:t>—(a)(1)(ii) Records and such records shall be made available to FRA upon request (New requirement)</w:t>
            </w:r>
          </w:p>
        </w:tc>
        <w:tc>
          <w:tcPr>
            <w:tcW w:w="0" w:type="auto"/>
            <w:tcBorders>
              <w:top w:val="nil"/>
              <w:left w:val="nil"/>
              <w:bottom w:val="single" w:sz="4" w:space="0" w:color="auto"/>
              <w:right w:val="single" w:sz="4" w:space="0" w:color="auto"/>
            </w:tcBorders>
            <w:shd w:val="clear" w:color="auto" w:fill="auto"/>
            <w:hideMark/>
          </w:tcPr>
          <w:p w:rsidR="002C7188" w:rsidRPr="004140EE" w:rsidP="004140EE" w14:paraId="7FC3C5CE" w14:textId="10053877">
            <w:pPr>
              <w:jc w:val="center"/>
              <w:rPr>
                <w:color w:val="000000"/>
                <w:sz w:val="20"/>
              </w:rPr>
            </w:pPr>
            <w:r>
              <w:rPr>
                <w:color w:val="000000"/>
                <w:sz w:val="20"/>
              </w:rPr>
              <w:t>0</w:t>
            </w:r>
          </w:p>
        </w:tc>
        <w:tc>
          <w:tcPr>
            <w:tcW w:w="0" w:type="auto"/>
            <w:tcBorders>
              <w:top w:val="nil"/>
              <w:left w:val="nil"/>
              <w:bottom w:val="single" w:sz="4" w:space="0" w:color="auto"/>
              <w:right w:val="single" w:sz="4" w:space="0" w:color="auto"/>
            </w:tcBorders>
            <w:shd w:val="clear" w:color="auto" w:fill="auto"/>
            <w:hideMark/>
          </w:tcPr>
          <w:p w:rsidR="002C7188" w:rsidRPr="004140EE" w:rsidP="004140EE" w14:paraId="14886686" w14:textId="3353D671">
            <w:pPr>
              <w:jc w:val="center"/>
              <w:rPr>
                <w:color w:val="000000"/>
                <w:sz w:val="20"/>
              </w:rPr>
            </w:pPr>
            <w:r w:rsidRPr="004140EE">
              <w:rPr>
                <w:color w:val="000000"/>
                <w:sz w:val="20"/>
              </w:rPr>
              <w:t xml:space="preserve">0.33 </w:t>
            </w:r>
            <w:r w:rsidR="00475490">
              <w:rPr>
                <w:color w:val="000000"/>
                <w:sz w:val="20"/>
              </w:rPr>
              <w:t>r</w:t>
            </w:r>
            <w:r w:rsidRPr="004140EE">
              <w:rPr>
                <w:color w:val="000000"/>
                <w:sz w:val="20"/>
              </w:rPr>
              <w:t>eports</w:t>
            </w:r>
            <w:r w:rsidRPr="004140EE">
              <w:rPr>
                <w:color w:val="000000"/>
                <w:sz w:val="20"/>
              </w:rPr>
              <w:br/>
              <w:t xml:space="preserve"> (6 hours)</w:t>
            </w:r>
          </w:p>
        </w:tc>
        <w:tc>
          <w:tcPr>
            <w:tcW w:w="0" w:type="auto"/>
            <w:tcBorders>
              <w:top w:val="nil"/>
              <w:left w:val="nil"/>
              <w:bottom w:val="single" w:sz="4" w:space="0" w:color="auto"/>
              <w:right w:val="single" w:sz="4" w:space="0" w:color="auto"/>
            </w:tcBorders>
            <w:shd w:val="clear" w:color="auto" w:fill="auto"/>
            <w:hideMark/>
          </w:tcPr>
          <w:p w:rsidR="002C7188" w:rsidRPr="004140EE" w:rsidP="004140EE" w14:paraId="4FD1F1BA" w14:textId="32568325">
            <w:pPr>
              <w:jc w:val="center"/>
              <w:rPr>
                <w:color w:val="000000"/>
                <w:sz w:val="20"/>
              </w:rPr>
            </w:pPr>
            <w:r w:rsidRPr="004140EE">
              <w:rPr>
                <w:color w:val="000000"/>
                <w:sz w:val="20"/>
              </w:rPr>
              <w:t xml:space="preserve">0.33 </w:t>
            </w:r>
            <w:r w:rsidR="00475490">
              <w:rPr>
                <w:color w:val="000000"/>
                <w:sz w:val="20"/>
              </w:rPr>
              <w:t>r</w:t>
            </w:r>
            <w:r w:rsidRPr="004140EE">
              <w:rPr>
                <w:color w:val="000000"/>
                <w:sz w:val="20"/>
              </w:rPr>
              <w:t>eports</w:t>
            </w:r>
          </w:p>
        </w:tc>
        <w:tc>
          <w:tcPr>
            <w:tcW w:w="0" w:type="auto"/>
            <w:tcBorders>
              <w:top w:val="nil"/>
              <w:left w:val="nil"/>
              <w:bottom w:val="single" w:sz="4" w:space="0" w:color="auto"/>
              <w:right w:val="single" w:sz="4" w:space="0" w:color="auto"/>
            </w:tcBorders>
            <w:shd w:val="clear" w:color="auto" w:fill="auto"/>
            <w:noWrap/>
            <w:hideMark/>
          </w:tcPr>
          <w:p w:rsidR="002C7188" w:rsidRPr="004140EE" w:rsidP="004140EE" w14:paraId="44335E9C" w14:textId="3BF1F0F8">
            <w:pPr>
              <w:jc w:val="center"/>
              <w:rPr>
                <w:color w:val="000000"/>
                <w:sz w:val="20"/>
              </w:rPr>
            </w:pPr>
            <w:r>
              <w:rPr>
                <w:color w:val="000000"/>
                <w:sz w:val="20"/>
              </w:rPr>
              <w:t>0</w:t>
            </w:r>
          </w:p>
        </w:tc>
        <w:tc>
          <w:tcPr>
            <w:tcW w:w="0" w:type="auto"/>
            <w:tcBorders>
              <w:top w:val="nil"/>
              <w:left w:val="nil"/>
              <w:bottom w:val="single" w:sz="4" w:space="0" w:color="auto"/>
              <w:right w:val="single" w:sz="4" w:space="0" w:color="auto"/>
            </w:tcBorders>
            <w:shd w:val="clear" w:color="auto" w:fill="auto"/>
            <w:noWrap/>
            <w:hideMark/>
          </w:tcPr>
          <w:p w:rsidR="002C7188" w:rsidRPr="004140EE" w:rsidP="004140EE" w14:paraId="01C1720C" w14:textId="77777777">
            <w:pPr>
              <w:jc w:val="center"/>
              <w:rPr>
                <w:color w:val="000000"/>
                <w:sz w:val="20"/>
              </w:rPr>
            </w:pPr>
            <w:r w:rsidRPr="004140EE">
              <w:rPr>
                <w:color w:val="000000"/>
                <w:sz w:val="20"/>
              </w:rPr>
              <w:t>1.98 hours</w:t>
            </w:r>
          </w:p>
        </w:tc>
        <w:tc>
          <w:tcPr>
            <w:tcW w:w="0" w:type="auto"/>
            <w:tcBorders>
              <w:top w:val="nil"/>
              <w:left w:val="nil"/>
              <w:bottom w:val="single" w:sz="4" w:space="0" w:color="auto"/>
              <w:right w:val="single" w:sz="4" w:space="0" w:color="auto"/>
            </w:tcBorders>
            <w:shd w:val="clear" w:color="auto" w:fill="auto"/>
            <w:noWrap/>
            <w:hideMark/>
          </w:tcPr>
          <w:p w:rsidR="002C7188" w:rsidRPr="004140EE" w:rsidP="004140EE" w14:paraId="7540F4FF" w14:textId="77777777">
            <w:pPr>
              <w:jc w:val="center"/>
              <w:rPr>
                <w:color w:val="000000"/>
                <w:sz w:val="20"/>
              </w:rPr>
            </w:pPr>
            <w:r w:rsidRPr="004140EE">
              <w:rPr>
                <w:color w:val="000000"/>
                <w:sz w:val="20"/>
              </w:rPr>
              <w:t>1.98 hours</w:t>
            </w:r>
          </w:p>
        </w:tc>
      </w:tr>
      <w:tr w14:paraId="5870C613" w14:textId="77777777" w:rsidTr="008D03FB">
        <w:tblPrEx>
          <w:tblW w:w="0" w:type="auto"/>
          <w:tblInd w:w="625" w:type="dxa"/>
          <w:tblLook w:val="04A0"/>
        </w:tblPrEx>
        <w:trPr>
          <w:trHeight w:val="510"/>
        </w:trPr>
        <w:tc>
          <w:tcPr>
            <w:tcW w:w="3401" w:type="dxa"/>
            <w:tcBorders>
              <w:top w:val="nil"/>
              <w:left w:val="single" w:sz="4" w:space="0" w:color="auto"/>
              <w:bottom w:val="single" w:sz="4" w:space="0" w:color="auto"/>
              <w:right w:val="single" w:sz="4" w:space="0" w:color="auto"/>
            </w:tcBorders>
            <w:shd w:val="clear" w:color="auto" w:fill="auto"/>
            <w:hideMark/>
          </w:tcPr>
          <w:p w:rsidR="002C7188" w:rsidRPr="00280A86" w:rsidP="002C7188" w14:paraId="5D26718D" w14:textId="77777777">
            <w:pPr>
              <w:rPr>
                <w:color w:val="000000"/>
                <w:sz w:val="20"/>
              </w:rPr>
            </w:pPr>
            <w:r w:rsidRPr="00280A86">
              <w:rPr>
                <w:color w:val="000000"/>
                <w:sz w:val="20"/>
              </w:rPr>
              <w:t>Total</w:t>
            </w:r>
          </w:p>
        </w:tc>
        <w:tc>
          <w:tcPr>
            <w:tcW w:w="0" w:type="auto"/>
            <w:tcBorders>
              <w:top w:val="nil"/>
              <w:left w:val="nil"/>
              <w:bottom w:val="single" w:sz="4" w:space="0" w:color="auto"/>
              <w:right w:val="single" w:sz="4" w:space="0" w:color="auto"/>
            </w:tcBorders>
            <w:shd w:val="clear" w:color="auto" w:fill="auto"/>
            <w:hideMark/>
          </w:tcPr>
          <w:p w:rsidR="00711EDD" w:rsidP="00280A86" w14:paraId="3F185D1D" w14:textId="77777777">
            <w:pPr>
              <w:jc w:val="center"/>
              <w:rPr>
                <w:color w:val="000000"/>
                <w:sz w:val="20"/>
              </w:rPr>
            </w:pPr>
            <w:r w:rsidRPr="00280A86">
              <w:rPr>
                <w:color w:val="000000"/>
                <w:sz w:val="20"/>
              </w:rPr>
              <w:t xml:space="preserve">4 </w:t>
            </w:r>
          </w:p>
          <w:p w:rsidR="002C7188" w:rsidRPr="00280A86" w:rsidP="00280A86" w14:paraId="26DF1314" w14:textId="1C9FF21F">
            <w:pPr>
              <w:jc w:val="center"/>
              <w:rPr>
                <w:color w:val="000000"/>
                <w:sz w:val="20"/>
              </w:rPr>
            </w:pPr>
            <w:r w:rsidRPr="00280A86">
              <w:rPr>
                <w:color w:val="000000"/>
                <w:sz w:val="20"/>
              </w:rPr>
              <w:t>notifications</w:t>
            </w:r>
          </w:p>
        </w:tc>
        <w:tc>
          <w:tcPr>
            <w:tcW w:w="0" w:type="auto"/>
            <w:tcBorders>
              <w:top w:val="nil"/>
              <w:left w:val="nil"/>
              <w:bottom w:val="single" w:sz="4" w:space="0" w:color="auto"/>
              <w:right w:val="single" w:sz="4" w:space="0" w:color="auto"/>
            </w:tcBorders>
            <w:shd w:val="clear" w:color="auto" w:fill="auto"/>
            <w:hideMark/>
          </w:tcPr>
          <w:p w:rsidR="00711EDD" w:rsidP="00280A86" w14:paraId="2BA9654C" w14:textId="77777777">
            <w:pPr>
              <w:jc w:val="center"/>
              <w:rPr>
                <w:color w:val="000000"/>
                <w:sz w:val="20"/>
              </w:rPr>
            </w:pPr>
            <w:r>
              <w:rPr>
                <w:color w:val="000000"/>
                <w:sz w:val="20"/>
              </w:rPr>
              <w:t>39</w:t>
            </w:r>
            <w:r w:rsidRPr="00280A86" w:rsidR="002C7188">
              <w:rPr>
                <w:color w:val="000000"/>
                <w:sz w:val="20"/>
              </w:rPr>
              <w:t xml:space="preserve"> </w:t>
            </w:r>
          </w:p>
          <w:p w:rsidR="002C7188" w:rsidRPr="00280A86" w:rsidP="00280A86" w14:paraId="56EBAC79" w14:textId="3EED2B78">
            <w:pPr>
              <w:jc w:val="center"/>
              <w:rPr>
                <w:color w:val="000000"/>
                <w:sz w:val="20"/>
              </w:rPr>
            </w:pPr>
            <w:r w:rsidRPr="00280A86">
              <w:rPr>
                <w:color w:val="000000"/>
                <w:sz w:val="20"/>
              </w:rPr>
              <w:t>notifications</w:t>
            </w:r>
          </w:p>
        </w:tc>
        <w:tc>
          <w:tcPr>
            <w:tcW w:w="0" w:type="auto"/>
            <w:tcBorders>
              <w:top w:val="nil"/>
              <w:left w:val="nil"/>
              <w:bottom w:val="single" w:sz="4" w:space="0" w:color="auto"/>
              <w:right w:val="single" w:sz="4" w:space="0" w:color="auto"/>
            </w:tcBorders>
            <w:shd w:val="clear" w:color="auto" w:fill="auto"/>
            <w:hideMark/>
          </w:tcPr>
          <w:p w:rsidR="002C7188" w:rsidRPr="00280A86" w:rsidP="00280A86" w14:paraId="2A447F5E" w14:textId="6C541A63">
            <w:pPr>
              <w:jc w:val="center"/>
              <w:rPr>
                <w:color w:val="000000"/>
                <w:sz w:val="20"/>
              </w:rPr>
            </w:pPr>
            <w:r w:rsidRPr="00280A86">
              <w:rPr>
                <w:color w:val="000000"/>
                <w:sz w:val="20"/>
              </w:rPr>
              <w:t>3</w:t>
            </w:r>
            <w:r w:rsidR="00E54004">
              <w:rPr>
                <w:color w:val="000000"/>
                <w:sz w:val="20"/>
              </w:rPr>
              <w:t>5</w:t>
            </w:r>
            <w:r w:rsidR="00475490">
              <w:rPr>
                <w:color w:val="000000"/>
                <w:sz w:val="20"/>
              </w:rPr>
              <w:t xml:space="preserve"> </w:t>
            </w:r>
            <w:r w:rsidRPr="00280A86">
              <w:rPr>
                <w:color w:val="000000"/>
                <w:sz w:val="20"/>
              </w:rPr>
              <w:t>notifications</w:t>
            </w:r>
          </w:p>
        </w:tc>
        <w:tc>
          <w:tcPr>
            <w:tcW w:w="0" w:type="auto"/>
            <w:tcBorders>
              <w:top w:val="nil"/>
              <w:left w:val="nil"/>
              <w:bottom w:val="single" w:sz="4" w:space="0" w:color="auto"/>
              <w:right w:val="single" w:sz="4" w:space="0" w:color="auto"/>
            </w:tcBorders>
            <w:shd w:val="clear" w:color="auto" w:fill="auto"/>
            <w:noWrap/>
            <w:hideMark/>
          </w:tcPr>
          <w:p w:rsidR="002C7188" w:rsidRPr="00280A86" w:rsidP="00280A86" w14:paraId="20D6F1B9" w14:textId="718534C2">
            <w:pPr>
              <w:jc w:val="center"/>
              <w:rPr>
                <w:color w:val="000000"/>
                <w:sz w:val="20"/>
              </w:rPr>
            </w:pPr>
            <w:r>
              <w:rPr>
                <w:color w:val="000000"/>
                <w:sz w:val="20"/>
              </w:rPr>
              <w:t>0</w:t>
            </w:r>
          </w:p>
        </w:tc>
        <w:tc>
          <w:tcPr>
            <w:tcW w:w="0" w:type="auto"/>
            <w:tcBorders>
              <w:top w:val="nil"/>
              <w:left w:val="nil"/>
              <w:bottom w:val="single" w:sz="4" w:space="0" w:color="auto"/>
              <w:right w:val="single" w:sz="4" w:space="0" w:color="auto"/>
            </w:tcBorders>
            <w:shd w:val="clear" w:color="auto" w:fill="auto"/>
            <w:noWrap/>
            <w:hideMark/>
          </w:tcPr>
          <w:p w:rsidR="002C7188" w:rsidRPr="00280A86" w:rsidP="00280A86" w14:paraId="7103FF00" w14:textId="05821AEA">
            <w:pPr>
              <w:jc w:val="center"/>
              <w:rPr>
                <w:color w:val="000000"/>
                <w:sz w:val="20"/>
              </w:rPr>
            </w:pPr>
            <w:r>
              <w:rPr>
                <w:color w:val="000000"/>
                <w:sz w:val="20"/>
              </w:rPr>
              <w:t>50</w:t>
            </w:r>
            <w:r w:rsidRPr="00280A86">
              <w:rPr>
                <w:color w:val="000000"/>
                <w:sz w:val="20"/>
              </w:rPr>
              <w:t xml:space="preserve"> hours</w:t>
            </w:r>
          </w:p>
        </w:tc>
        <w:tc>
          <w:tcPr>
            <w:tcW w:w="0" w:type="auto"/>
            <w:tcBorders>
              <w:top w:val="nil"/>
              <w:left w:val="nil"/>
              <w:bottom w:val="single" w:sz="4" w:space="0" w:color="auto"/>
              <w:right w:val="single" w:sz="4" w:space="0" w:color="auto"/>
            </w:tcBorders>
            <w:shd w:val="clear" w:color="auto" w:fill="auto"/>
            <w:noWrap/>
            <w:hideMark/>
          </w:tcPr>
          <w:p w:rsidR="002C7188" w:rsidRPr="00280A86" w:rsidP="00280A86" w14:paraId="415A9710" w14:textId="7B99D407">
            <w:pPr>
              <w:jc w:val="center"/>
              <w:rPr>
                <w:color w:val="000000"/>
                <w:sz w:val="20"/>
              </w:rPr>
            </w:pPr>
            <w:r>
              <w:rPr>
                <w:color w:val="000000"/>
                <w:sz w:val="20"/>
              </w:rPr>
              <w:t>46</w:t>
            </w:r>
            <w:r w:rsidRPr="00280A86">
              <w:rPr>
                <w:color w:val="000000"/>
                <w:sz w:val="20"/>
              </w:rPr>
              <w:t xml:space="preserve"> hours</w:t>
            </w:r>
          </w:p>
        </w:tc>
      </w:tr>
    </w:tbl>
    <w:p w:rsidR="00861C34" w14:paraId="7AAF5FE0" w14:textId="3651AC05">
      <w:pPr>
        <w:widowControl w:val="0"/>
        <w:ind w:left="720"/>
        <w:rPr>
          <w:szCs w:val="24"/>
        </w:rPr>
      </w:pPr>
    </w:p>
    <w:p w:rsidR="004F4252" w:rsidRPr="00D863FB" w:rsidP="004F4252" w14:paraId="34FDFD20" w14:textId="77777777">
      <w:pPr>
        <w:widowControl w:val="0"/>
        <w:ind w:left="720" w:hanging="720"/>
        <w:rPr>
          <w:b/>
          <w:szCs w:val="24"/>
        </w:rPr>
      </w:pPr>
      <w:r w:rsidRPr="00D863FB">
        <w:rPr>
          <w:b/>
          <w:szCs w:val="24"/>
        </w:rPr>
        <w:t>16.</w:t>
      </w:r>
      <w:r w:rsidRPr="00D863FB">
        <w:rPr>
          <w:b/>
          <w:szCs w:val="24"/>
        </w:rPr>
        <w:tab/>
      </w:r>
      <w:r w:rsidRPr="00D863FB">
        <w:rPr>
          <w:b/>
          <w:szCs w:val="24"/>
          <w:u w:val="single"/>
        </w:rPr>
        <w:t>Publication of results of data collection</w:t>
      </w:r>
      <w:r w:rsidRPr="007E62DC">
        <w:rPr>
          <w:szCs w:val="24"/>
        </w:rPr>
        <w:t>.</w:t>
      </w:r>
    </w:p>
    <w:p w:rsidR="00AD6ACB" w:rsidRPr="00D863FB" w14:paraId="0EE48C12" w14:textId="77777777">
      <w:pPr>
        <w:widowControl w:val="0"/>
        <w:rPr>
          <w:szCs w:val="24"/>
        </w:rPr>
      </w:pPr>
    </w:p>
    <w:p w:rsidR="00AD6ACB" w:rsidP="00561B7F" w14:paraId="197206CF" w14:textId="76B6C6C2">
      <w:pPr>
        <w:widowControl w:val="0"/>
        <w:ind w:firstLine="720"/>
        <w:rPr>
          <w:szCs w:val="24"/>
        </w:rPr>
      </w:pPr>
      <w:r w:rsidRPr="00561B7F">
        <w:rPr>
          <w:szCs w:val="24"/>
        </w:rPr>
        <w:t>FRA plans no tabulation, or publication of responses.</w:t>
      </w:r>
    </w:p>
    <w:p w:rsidR="00561B7F" w:rsidRPr="00D863FB" w:rsidP="00561B7F" w14:paraId="5CF40313" w14:textId="77777777">
      <w:pPr>
        <w:widowControl w:val="0"/>
        <w:ind w:firstLine="720"/>
        <w:rPr>
          <w:szCs w:val="24"/>
        </w:rPr>
      </w:pPr>
    </w:p>
    <w:p w:rsidR="00257075" w:rsidRPr="00D863FB" w:rsidP="00257075" w14:paraId="467BF583" w14:textId="04B01A5F">
      <w:pPr>
        <w:widowControl w:val="0"/>
        <w:ind w:left="720" w:hanging="720"/>
        <w:rPr>
          <w:b/>
          <w:szCs w:val="24"/>
        </w:rPr>
      </w:pPr>
      <w:r w:rsidRPr="00D863FB">
        <w:rPr>
          <w:b/>
          <w:szCs w:val="24"/>
        </w:rPr>
        <w:t>17.</w:t>
      </w:r>
      <w:r w:rsidRPr="00D863FB">
        <w:rPr>
          <w:b/>
          <w:szCs w:val="24"/>
        </w:rPr>
        <w:tab/>
      </w:r>
      <w:r w:rsidRPr="00D863FB">
        <w:rPr>
          <w:b/>
          <w:szCs w:val="24"/>
          <w:u w:val="single"/>
        </w:rPr>
        <w:t>Approval for not displaying the expiration date for OMB approval</w:t>
      </w:r>
      <w:r w:rsidRPr="007E62DC">
        <w:rPr>
          <w:szCs w:val="24"/>
        </w:rPr>
        <w:t>.</w:t>
      </w:r>
    </w:p>
    <w:p w:rsidR="00AD6ACB" w:rsidRPr="00D863FB" w:rsidP="000C4DAE" w14:paraId="1C8672EA" w14:textId="77777777">
      <w:pPr>
        <w:widowControl w:val="0"/>
        <w:rPr>
          <w:szCs w:val="24"/>
        </w:rPr>
      </w:pPr>
    </w:p>
    <w:p w:rsidR="00AD6ACB" w:rsidP="00561B7F" w14:paraId="4C6CED20" w14:textId="6CF3A8E0">
      <w:pPr>
        <w:widowControl w:val="0"/>
        <w:ind w:firstLine="720"/>
        <w:rPr>
          <w:szCs w:val="24"/>
        </w:rPr>
      </w:pPr>
      <w:r w:rsidRPr="00561B7F">
        <w:rPr>
          <w:szCs w:val="24"/>
        </w:rPr>
        <w:t>FRA is not seeking approval to not display the expiration date.</w:t>
      </w:r>
    </w:p>
    <w:p w:rsidR="00561B7F" w:rsidRPr="00D863FB" w14:paraId="5AA279A8" w14:textId="77777777">
      <w:pPr>
        <w:widowControl w:val="0"/>
        <w:rPr>
          <w:szCs w:val="24"/>
        </w:rPr>
      </w:pPr>
    </w:p>
    <w:p w:rsidR="00240148" w:rsidRPr="00D863FB" w:rsidP="00240148" w14:paraId="09D1D027" w14:textId="77777777">
      <w:pPr>
        <w:widowControl w:val="0"/>
        <w:ind w:left="720" w:hanging="720"/>
        <w:rPr>
          <w:b/>
          <w:szCs w:val="24"/>
        </w:rPr>
      </w:pPr>
      <w:r w:rsidRPr="00D863FB">
        <w:rPr>
          <w:b/>
          <w:szCs w:val="24"/>
        </w:rPr>
        <w:t>18.</w:t>
      </w:r>
      <w:r w:rsidRPr="00D863FB">
        <w:rPr>
          <w:b/>
          <w:szCs w:val="24"/>
        </w:rPr>
        <w:tab/>
      </w:r>
      <w:r w:rsidRPr="00D863FB">
        <w:rPr>
          <w:b/>
          <w:szCs w:val="24"/>
          <w:u w:val="single"/>
        </w:rPr>
        <w:t>Exception to certification statement</w:t>
      </w:r>
      <w:r w:rsidRPr="007E62DC">
        <w:rPr>
          <w:szCs w:val="24"/>
        </w:rPr>
        <w:t>.</w:t>
      </w:r>
    </w:p>
    <w:p w:rsidR="00240148" w:rsidRPr="00D863FB" w:rsidP="00240148" w14:paraId="512B0E61" w14:textId="77777777">
      <w:pPr>
        <w:widowControl w:val="0"/>
        <w:rPr>
          <w:b/>
          <w:szCs w:val="24"/>
        </w:rPr>
      </w:pPr>
    </w:p>
    <w:p w:rsidR="00AD6ACB" w:rsidRPr="00D863FB" w14:paraId="7BD39180" w14:textId="77777777">
      <w:pPr>
        <w:widowControl w:val="0"/>
        <w:ind w:left="720"/>
        <w:rPr>
          <w:szCs w:val="24"/>
        </w:rPr>
      </w:pPr>
      <w:r w:rsidRPr="00D863FB">
        <w:rPr>
          <w:szCs w:val="24"/>
        </w:rPr>
        <w:t>No exceptions are taken at this time.</w:t>
      </w:r>
      <w:bookmarkEnd w:id="1"/>
    </w:p>
    <w:sectPr w:rsidSect="000448AB">
      <w:endnotePr>
        <w:numFmt w:val="lowerLetter"/>
      </w:endnotePr>
      <w:pgSz w:w="15840" w:h="12240" w:orient="landscape"/>
      <w:pgMar w:top="1080" w:right="1440" w:bottom="1080" w:left="1440" w:header="1440" w:footer="619"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77F9" w14:paraId="320E313B" w14:textId="77777777">
    <w:pPr>
      <w:pStyle w:val="Footer"/>
      <w:jc w:val="center"/>
    </w:pPr>
    <w:r>
      <w:fldChar w:fldCharType="begin"/>
    </w:r>
    <w:r>
      <w:instrText xml:space="preserve"> PAGE   \* MERGEFORMAT </w:instrText>
    </w:r>
    <w:r>
      <w:fldChar w:fldCharType="separate"/>
    </w:r>
    <w:r w:rsidR="002E529C">
      <w:rPr>
        <w:noProof/>
      </w:rPr>
      <w:t>6</w:t>
    </w:r>
    <w:r>
      <w:rPr>
        <w:noProof/>
      </w:rPr>
      <w:fldChar w:fldCharType="end"/>
    </w:r>
  </w:p>
  <w:p w:rsidR="00537DC6" w14:paraId="65836159" w14:textId="77777777">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77F9" w14:paraId="6C5AB609" w14:textId="77777777">
    <w:pPr>
      <w:pStyle w:val="Footer"/>
      <w:jc w:val="center"/>
    </w:pPr>
    <w:r>
      <w:fldChar w:fldCharType="begin"/>
    </w:r>
    <w:r>
      <w:instrText xml:space="preserve"> PAGE   \* MERGEFORMAT </w:instrText>
    </w:r>
    <w:r>
      <w:fldChar w:fldCharType="separate"/>
    </w:r>
    <w:r w:rsidR="002E529C">
      <w:rPr>
        <w:noProof/>
      </w:rPr>
      <w:t>5</w:t>
    </w:r>
    <w:r>
      <w:rPr>
        <w:noProof/>
      </w:rPr>
      <w:fldChar w:fldCharType="end"/>
    </w:r>
  </w:p>
  <w:p w:rsidR="00537DC6" w14:paraId="6F0674C6" w14:textId="77777777">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27E01" w14:paraId="4B34440B" w14:textId="77777777">
      <w:r>
        <w:separator/>
      </w:r>
    </w:p>
  </w:footnote>
  <w:footnote w:type="continuationSeparator" w:id="1">
    <w:p w:rsidR="00827E01" w14:paraId="72CDBE54" w14:textId="77777777">
      <w:r>
        <w:continuationSeparator/>
      </w:r>
    </w:p>
  </w:footnote>
  <w:footnote w:type="continuationNotice" w:id="2">
    <w:p w:rsidR="00827E01" w14:paraId="07D62FA2" w14:textId="77777777"/>
  </w:footnote>
  <w:footnote w:id="3">
    <w:p w:rsidR="00267B46" w14:paraId="27F6C8D6" w14:textId="3CF9F13D">
      <w:pPr>
        <w:pStyle w:val="FootnoteText"/>
      </w:pPr>
      <w:r>
        <w:rPr>
          <w:rStyle w:val="FootnoteReference"/>
        </w:rPr>
        <w:footnoteRef/>
      </w:r>
      <w:r>
        <w:t xml:space="preserve"> </w:t>
      </w:r>
      <w:r w:rsidRPr="009F1169" w:rsidR="009F1169">
        <w:t>Part of the Infrastructure Investment and Jobs Act (IIJA), the Stopping America’s Foreign Enemies Through Rail and Infrastructure National Security Act (or the SAFE TRAINS Act). Sec. 22425, Pub. L. 117-58, 135 Stat. 752 (Nov. 15, 2021) (codified at 49 U.S.C. 20171)</w:t>
      </w:r>
      <w:r w:rsidR="001E4AA4">
        <w:t>.</w:t>
      </w:r>
    </w:p>
  </w:footnote>
  <w:footnote w:id="4">
    <w:p w:rsidR="002E2A2E" w:rsidRPr="008874E7" w14:paraId="11FED611" w14:textId="59F17412">
      <w:pPr>
        <w:pStyle w:val="FootnoteText"/>
      </w:pPr>
      <w:r w:rsidRPr="008874E7">
        <w:rPr>
          <w:rStyle w:val="FootnoteReference"/>
        </w:rPr>
        <w:footnoteRef/>
      </w:r>
      <w:r w:rsidRPr="008874E7">
        <w:t xml:space="preserve">88 FR 85561 </w:t>
      </w:r>
    </w:p>
  </w:footnote>
  <w:footnote w:id="5">
    <w:p w:rsidR="0046749D" w:rsidRPr="008874E7" w:rsidP="0046749D" w14:paraId="29A335CB" w14:textId="77777777">
      <w:pPr>
        <w:pStyle w:val="FootnoteText"/>
      </w:pPr>
      <w:r w:rsidRPr="008874E7">
        <w:rPr>
          <w:rStyle w:val="FootnoteReference"/>
        </w:rPr>
        <w:footnoteRef/>
      </w:r>
      <w:r w:rsidRPr="008874E7">
        <w:t>The Infrastructure Investment and Jobs Act (IIJA), Sec. 22425, Public Law 117-58, 135 Stat. 752 (Nov. 15, 2021) (codified at 49 U.S.C. 2017) and</w:t>
      </w:r>
      <w:r w:rsidRPr="008874E7">
        <w:t xml:space="preserve"> generally referred to in this rule as the Act, or section 20171).</w:t>
      </w:r>
    </w:p>
  </w:footnote>
  <w:footnote w:id="6">
    <w:p w:rsidR="00F9286D" w:rsidRPr="004805B1" w:rsidP="00F9286D" w14:paraId="0C185EC2" w14:textId="77777777">
      <w:pPr>
        <w:pStyle w:val="FootnoteText"/>
      </w:pPr>
      <w:r w:rsidRPr="004805B1">
        <w:rPr>
          <w:rStyle w:val="FootnoteReference"/>
        </w:rPr>
        <w:footnoteRef/>
      </w:r>
      <w:r w:rsidRPr="004805B1">
        <w:t xml:space="preserve"> This NAICS classification compromises </w:t>
      </w:r>
      <w:r w:rsidRPr="00993AAF">
        <w:rPr>
          <w:shd w:val="clear" w:color="auto" w:fill="FFFFFF"/>
        </w:rPr>
        <w:t xml:space="preserve">establishments primarily engaged in one or more of the following: (1) manufacturing and/or rebuilding locomotives, locomotive frames, and </w:t>
      </w:r>
      <w:r w:rsidRPr="00993AAF">
        <w:rPr>
          <w:shd w:val="clear" w:color="auto" w:fill="FFFFFF"/>
        </w:rPr>
        <w:t>parts; (2) manufacturing railroad, street, and rapid transit cars and car equipment for operation on rails for freight and passenger service; and (3) manufacturing rail layers, ballast distributors, rail tamping equipment, and other railway track maintenan</w:t>
      </w:r>
      <w:r w:rsidRPr="00993AAF">
        <w:rPr>
          <w:shd w:val="clear" w:color="auto" w:fill="FFFFFF"/>
        </w:rPr>
        <w:t>ce equipmen</w:t>
      </w:r>
      <w:r w:rsidRPr="004805B1">
        <w:rPr>
          <w:color w:val="333333"/>
          <w:shd w:val="clear" w:color="auto" w:fill="FFFFFF"/>
        </w:rPr>
        <w:t>t.</w:t>
      </w:r>
      <w:r>
        <w:rPr>
          <w:color w:val="333333"/>
          <w:shd w:val="clear" w:color="auto" w:fill="FFFFFF"/>
        </w:rPr>
        <w:t xml:space="preserve"> </w:t>
      </w:r>
      <w:hyperlink r:id="rId1" w:history="1">
        <w:r w:rsidRPr="00553D1C">
          <w:rPr>
            <w:rStyle w:val="Hyperlink"/>
          </w:rPr>
          <w:t>https://www.census.gov/naics/?input=336510&amp;year=2022&amp;details=336510</w:t>
        </w:r>
      </w:hyperlink>
      <w:r w:rsidRPr="00BE2730">
        <w:t xml:space="preserve"> </w:t>
      </w:r>
    </w:p>
  </w:footnote>
  <w:footnote w:id="7">
    <w:p w:rsidR="00F9286D" w:rsidP="00F9286D" w14:paraId="1DF7E5F6" w14:textId="77777777">
      <w:pPr>
        <w:pStyle w:val="FootnoteText"/>
      </w:pPr>
      <w:r w:rsidRPr="004805B1">
        <w:rPr>
          <w:rStyle w:val="FootnoteReference"/>
        </w:rPr>
        <w:footnoteRef/>
      </w:r>
      <w:r w:rsidRPr="004805B1">
        <w:t xml:space="preserve"> “Table of Small Business Size Standard”, U.S. Small B</w:t>
      </w:r>
      <w:r w:rsidRPr="004805B1">
        <w:t xml:space="preserve">usiness Administration, Size Standards effective as of March 17, 2023, p. </w:t>
      </w:r>
      <w:r w:rsidRPr="00BE2730">
        <w:t>16 of 41</w:t>
      </w:r>
      <w:r>
        <w:t xml:space="preserve"> </w:t>
      </w:r>
      <w:hyperlink r:id="rId2" w:history="1">
        <w:r w:rsidRPr="00553D1C">
          <w:rPr>
            <w:rStyle w:val="Hyperlink"/>
          </w:rPr>
          <w:t>https://www.sba.gov/document/support-table-size-standards</w:t>
        </w:r>
      </w:hyperlink>
      <w:r>
        <w:rPr>
          <w:rStyle w:val="Hyperlink"/>
        </w:rPr>
        <w:t>.</w:t>
      </w:r>
      <w:r>
        <w:t xml:space="preserve"> </w:t>
      </w:r>
    </w:p>
  </w:footnote>
  <w:footnote w:id="8">
    <w:p w:rsidR="00D53561" w14:paraId="2C163C0B" w14:textId="1240D979">
      <w:pPr>
        <w:pStyle w:val="FootnoteText"/>
      </w:pPr>
      <w:r>
        <w:rPr>
          <w:rStyle w:val="FootnoteReference"/>
        </w:rPr>
        <w:footnoteRef/>
      </w:r>
      <w:r>
        <w:t>89 FR</w:t>
      </w:r>
      <w:r>
        <w:t xml:space="preserve"> 103677</w:t>
      </w:r>
      <w:r>
        <w:t xml:space="preserve"> </w:t>
      </w:r>
    </w:p>
  </w:footnote>
  <w:footnote w:id="9">
    <w:p w:rsidR="00583A58" w:rsidRPr="00711EDD" w14:paraId="4220B56F" w14:textId="6D010447">
      <w:pPr>
        <w:pStyle w:val="FootnoteText"/>
      </w:pPr>
      <w:r w:rsidRPr="00711EDD">
        <w:rPr>
          <w:rStyle w:val="FootnoteReference"/>
        </w:rPr>
        <w:footnoteRef/>
      </w:r>
      <w:r w:rsidRPr="00711EDD">
        <w:t xml:space="preserve"> 89 FR </w:t>
      </w:r>
      <w:r w:rsidRPr="00711EDD" w:rsidR="00711EDD">
        <w:t>85561</w:t>
      </w:r>
    </w:p>
  </w:footnote>
  <w:footnote w:id="10">
    <w:p w:rsidR="00191BE7" w14:paraId="5505F27D" w14:textId="29633CD3">
      <w:pPr>
        <w:pStyle w:val="FootnoteText"/>
      </w:pPr>
      <w:r>
        <w:rPr>
          <w:rStyle w:val="FootnoteReference"/>
        </w:rPr>
        <w:footnoteRef/>
      </w:r>
      <w:r>
        <w:t xml:space="preserve"> </w:t>
      </w:r>
      <w:r w:rsidRPr="00026819">
        <w:t>Trinity Industries, Rail Security Alliance, Railway Supply Institute, Wabtec Corporation.</w:t>
      </w:r>
    </w:p>
  </w:footnote>
  <w:footnote w:id="11">
    <w:p w:rsidR="00131E91" w14:paraId="42614350" w14:textId="6F32558F">
      <w:pPr>
        <w:pStyle w:val="FootnoteText"/>
      </w:pPr>
      <w:r>
        <w:rPr>
          <w:rStyle w:val="FootnoteReference"/>
        </w:rPr>
        <w:footnoteRef/>
      </w:r>
      <w:r>
        <w:t xml:space="preserve"> </w:t>
      </w:r>
      <w:r w:rsidRPr="00026819">
        <w:t xml:space="preserve">Rail Security Alliance, Railway Supply Institute, </w:t>
      </w:r>
      <w:r>
        <w:t xml:space="preserve">and </w:t>
      </w:r>
      <w:r w:rsidRPr="00026819">
        <w:t>Wabtec Corporation.</w:t>
      </w:r>
    </w:p>
  </w:footnote>
  <w:footnote w:id="12">
    <w:p w:rsidR="00E53847" w14:paraId="621EEB05" w14:textId="6D966813">
      <w:pPr>
        <w:pStyle w:val="FootnoteText"/>
      </w:pPr>
      <w:r>
        <w:rPr>
          <w:rStyle w:val="FootnoteReference"/>
        </w:rPr>
        <w:footnoteRef/>
      </w:r>
      <w:r>
        <w:t xml:space="preserve"> </w:t>
      </w:r>
      <w:r w:rsidRPr="00233E13" w:rsidR="00233E13">
        <w:t>The dollar equivalent cost is derived from U.S. Bureau of Labor Statistics, 202</w:t>
      </w:r>
      <w:r w:rsidR="0030104D">
        <w:t>3</w:t>
      </w:r>
      <w:r w:rsidRPr="00233E13" w:rsidR="00233E13">
        <w:t xml:space="preserve"> NAICS 336500 – Railroad Rolling Stock Manufacturing; 13-1000 Business Operations Specialist median wage $</w:t>
      </w:r>
      <w:r w:rsidR="0030104D">
        <w:t>70.51</w:t>
      </w:r>
      <w:r w:rsidRPr="00233E13" w:rsidR="00233E13">
        <w:t xml:space="preserve"> ($</w:t>
      </w:r>
      <w:r w:rsidR="0030104D">
        <w:t>40.29</w:t>
      </w:r>
      <w:r w:rsidRPr="00233E13" w:rsidR="00233E13">
        <w:t xml:space="preserve"> </w:t>
      </w:r>
      <w:r w:rsidR="005502D3">
        <w:t>x</w:t>
      </w:r>
      <w:r w:rsidRPr="00233E13" w:rsidR="00233E13">
        <w:t xml:space="preserve"> 1.75 overhead costs</w:t>
      </w:r>
      <w:r w:rsidR="005502D3">
        <w:t>)</w:t>
      </w:r>
      <w:r w:rsidRPr="00233E13" w:rsidR="00233E13">
        <w:t>.  The one exception is section 215.5 (d)(6), which is derived from the Surface Transportation Board’s Full Year Wage 202</w:t>
      </w:r>
      <w:r w:rsidR="0030104D">
        <w:t>3</w:t>
      </w:r>
      <w:r w:rsidRPr="00233E13" w:rsidR="00233E13">
        <w:t>, group 200 Professional and Administrative</w:t>
      </w:r>
      <w:r w:rsidR="00702FB3">
        <w:t xml:space="preserve"> of $</w:t>
      </w:r>
      <w:r w:rsidR="0030104D">
        <w:t>89.13</w:t>
      </w:r>
      <w:r w:rsidR="005C0E84">
        <w:t xml:space="preserve"> ($</w:t>
      </w:r>
      <w:r w:rsidR="0030104D">
        <w:t>50.93</w:t>
      </w:r>
      <w:r w:rsidR="005C0E84">
        <w:t xml:space="preserve"> x 1.75 overhead costs</w:t>
      </w:r>
      <w:r w:rsidR="005502D3">
        <w:t>)</w:t>
      </w:r>
      <w:r w:rsidR="00475490">
        <w:t>.</w:t>
      </w:r>
    </w:p>
  </w:footnote>
  <w:footnote w:id="13">
    <w:p w:rsidR="00475490" w:rsidP="00475490" w14:paraId="542A5BEB" w14:textId="77777777">
      <w:pPr>
        <w:pStyle w:val="FootnoteText"/>
      </w:pPr>
      <w:r>
        <w:rPr>
          <w:rStyle w:val="FootnoteReference"/>
        </w:rPr>
        <w:footnoteRef/>
      </w:r>
      <w:r>
        <w:t xml:space="preserve"> Totals may not add up due to rounding.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7DC6" w14:paraId="1B900932" w14:textId="77777777">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7DC6" w14:paraId="272BED53" w14:textId="77777777">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663A60"/>
    <w:multiLevelType w:val="hybridMultilevel"/>
    <w:tmpl w:val="371222B8"/>
    <w:lvl w:ilvl="0">
      <w:start w:val="1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33EA61A6"/>
    <w:multiLevelType w:val="hybridMultilevel"/>
    <w:tmpl w:val="5E622AC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3852682D"/>
    <w:multiLevelType w:val="hybridMultilevel"/>
    <w:tmpl w:val="DDC42954"/>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3A2139EF"/>
    <w:multiLevelType w:val="hybridMultilevel"/>
    <w:tmpl w:val="C8BEB312"/>
    <w:lvl w:ilvl="0">
      <w:start w:val="2"/>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41011440"/>
    <w:multiLevelType w:val="hybridMultilevel"/>
    <w:tmpl w:val="E69C96BC"/>
    <w:lvl w:ilvl="0">
      <w:start w:val="1"/>
      <w:numFmt w:val="decimal"/>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E3F1927"/>
    <w:multiLevelType w:val="hybridMultilevel"/>
    <w:tmpl w:val="5992945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26188125">
    <w:abstractNumId w:val="2"/>
  </w:num>
  <w:num w:numId="2" w16cid:durableId="761491862">
    <w:abstractNumId w:val="0"/>
  </w:num>
  <w:num w:numId="3" w16cid:durableId="500122168">
    <w:abstractNumId w:val="1"/>
  </w:num>
  <w:num w:numId="4" w16cid:durableId="1013848940">
    <w:abstractNumId w:val="4"/>
  </w:num>
  <w:num w:numId="5" w16cid:durableId="669869322">
    <w:abstractNumId w:val="3"/>
  </w:num>
  <w:num w:numId="6" w16cid:durableId="1446656430">
    <w:abstractNumId w:val="5"/>
  </w:num>
  <w:num w:numId="7" w16cid:durableId="84983196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lowerLetter"/>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18B"/>
    <w:rsid w:val="00000E39"/>
    <w:rsid w:val="00002340"/>
    <w:rsid w:val="0000255A"/>
    <w:rsid w:val="0000552B"/>
    <w:rsid w:val="0000583C"/>
    <w:rsid w:val="00005FCE"/>
    <w:rsid w:val="0000745C"/>
    <w:rsid w:val="000076A0"/>
    <w:rsid w:val="00010FB0"/>
    <w:rsid w:val="000122C8"/>
    <w:rsid w:val="00014D71"/>
    <w:rsid w:val="00017D54"/>
    <w:rsid w:val="000205AC"/>
    <w:rsid w:val="00021A33"/>
    <w:rsid w:val="00026819"/>
    <w:rsid w:val="00036049"/>
    <w:rsid w:val="000403AD"/>
    <w:rsid w:val="00041B23"/>
    <w:rsid w:val="000420EC"/>
    <w:rsid w:val="000448AB"/>
    <w:rsid w:val="00045C68"/>
    <w:rsid w:val="00061E3D"/>
    <w:rsid w:val="0006216F"/>
    <w:rsid w:val="00062BD1"/>
    <w:rsid w:val="000649DC"/>
    <w:rsid w:val="000677B5"/>
    <w:rsid w:val="00067BDC"/>
    <w:rsid w:val="00067E4C"/>
    <w:rsid w:val="00072924"/>
    <w:rsid w:val="00072AF6"/>
    <w:rsid w:val="000731DA"/>
    <w:rsid w:val="000753F6"/>
    <w:rsid w:val="0008034B"/>
    <w:rsid w:val="000804E3"/>
    <w:rsid w:val="0008569D"/>
    <w:rsid w:val="0009207F"/>
    <w:rsid w:val="00095BF7"/>
    <w:rsid w:val="00096BF1"/>
    <w:rsid w:val="00097149"/>
    <w:rsid w:val="000A183B"/>
    <w:rsid w:val="000A416B"/>
    <w:rsid w:val="000A4333"/>
    <w:rsid w:val="000A4430"/>
    <w:rsid w:val="000A4EC7"/>
    <w:rsid w:val="000A5113"/>
    <w:rsid w:val="000A54C5"/>
    <w:rsid w:val="000A64AA"/>
    <w:rsid w:val="000B0217"/>
    <w:rsid w:val="000B065F"/>
    <w:rsid w:val="000B17DF"/>
    <w:rsid w:val="000B27B8"/>
    <w:rsid w:val="000B2B2C"/>
    <w:rsid w:val="000B4061"/>
    <w:rsid w:val="000B5891"/>
    <w:rsid w:val="000C0689"/>
    <w:rsid w:val="000C0B16"/>
    <w:rsid w:val="000C23A6"/>
    <w:rsid w:val="000C3896"/>
    <w:rsid w:val="000C4971"/>
    <w:rsid w:val="000C4DAE"/>
    <w:rsid w:val="000C790B"/>
    <w:rsid w:val="000C79D3"/>
    <w:rsid w:val="000D0283"/>
    <w:rsid w:val="000D0DCD"/>
    <w:rsid w:val="000D10B5"/>
    <w:rsid w:val="000D1A3A"/>
    <w:rsid w:val="000D35D1"/>
    <w:rsid w:val="000D383A"/>
    <w:rsid w:val="000D3ED1"/>
    <w:rsid w:val="000D74E4"/>
    <w:rsid w:val="000D7DC6"/>
    <w:rsid w:val="000E097F"/>
    <w:rsid w:val="000E1855"/>
    <w:rsid w:val="000E2ED1"/>
    <w:rsid w:val="000E2F79"/>
    <w:rsid w:val="000E3D00"/>
    <w:rsid w:val="000E49E5"/>
    <w:rsid w:val="000E54C9"/>
    <w:rsid w:val="000E781D"/>
    <w:rsid w:val="000E7E01"/>
    <w:rsid w:val="000F196E"/>
    <w:rsid w:val="000F2105"/>
    <w:rsid w:val="000F2821"/>
    <w:rsid w:val="000F2DF9"/>
    <w:rsid w:val="000F315C"/>
    <w:rsid w:val="000F5B0D"/>
    <w:rsid w:val="000F6F38"/>
    <w:rsid w:val="000F71D2"/>
    <w:rsid w:val="000F72E8"/>
    <w:rsid w:val="000F72F4"/>
    <w:rsid w:val="00101039"/>
    <w:rsid w:val="0010394A"/>
    <w:rsid w:val="00105358"/>
    <w:rsid w:val="00106A36"/>
    <w:rsid w:val="00113F45"/>
    <w:rsid w:val="00115746"/>
    <w:rsid w:val="0011592C"/>
    <w:rsid w:val="00115942"/>
    <w:rsid w:val="00117078"/>
    <w:rsid w:val="001210E1"/>
    <w:rsid w:val="00122F65"/>
    <w:rsid w:val="00123DB8"/>
    <w:rsid w:val="00124AFC"/>
    <w:rsid w:val="00127B36"/>
    <w:rsid w:val="00131D6E"/>
    <w:rsid w:val="00131E91"/>
    <w:rsid w:val="00132BBF"/>
    <w:rsid w:val="0013485A"/>
    <w:rsid w:val="00136667"/>
    <w:rsid w:val="001410A8"/>
    <w:rsid w:val="00141E69"/>
    <w:rsid w:val="001421EA"/>
    <w:rsid w:val="00143C34"/>
    <w:rsid w:val="001440B9"/>
    <w:rsid w:val="00144321"/>
    <w:rsid w:val="00144D40"/>
    <w:rsid w:val="001465B9"/>
    <w:rsid w:val="00146799"/>
    <w:rsid w:val="001470C1"/>
    <w:rsid w:val="001508FF"/>
    <w:rsid w:val="00153DA3"/>
    <w:rsid w:val="00155591"/>
    <w:rsid w:val="001577D7"/>
    <w:rsid w:val="0016228C"/>
    <w:rsid w:val="00163906"/>
    <w:rsid w:val="0016570C"/>
    <w:rsid w:val="001679B1"/>
    <w:rsid w:val="00167A59"/>
    <w:rsid w:val="001702B8"/>
    <w:rsid w:val="00172269"/>
    <w:rsid w:val="001754E8"/>
    <w:rsid w:val="00182DA9"/>
    <w:rsid w:val="0018592B"/>
    <w:rsid w:val="001863B7"/>
    <w:rsid w:val="00191639"/>
    <w:rsid w:val="00191BE7"/>
    <w:rsid w:val="00192139"/>
    <w:rsid w:val="00193B47"/>
    <w:rsid w:val="001954AC"/>
    <w:rsid w:val="001A02FB"/>
    <w:rsid w:val="001A06E6"/>
    <w:rsid w:val="001A2034"/>
    <w:rsid w:val="001A29EC"/>
    <w:rsid w:val="001A3523"/>
    <w:rsid w:val="001B0A74"/>
    <w:rsid w:val="001B0B27"/>
    <w:rsid w:val="001B5750"/>
    <w:rsid w:val="001B6678"/>
    <w:rsid w:val="001B6FE7"/>
    <w:rsid w:val="001B7F74"/>
    <w:rsid w:val="001C1259"/>
    <w:rsid w:val="001C1602"/>
    <w:rsid w:val="001C23B4"/>
    <w:rsid w:val="001C2D52"/>
    <w:rsid w:val="001C7226"/>
    <w:rsid w:val="001C7248"/>
    <w:rsid w:val="001D2153"/>
    <w:rsid w:val="001D3089"/>
    <w:rsid w:val="001D3CF2"/>
    <w:rsid w:val="001D43CC"/>
    <w:rsid w:val="001D65AC"/>
    <w:rsid w:val="001D7386"/>
    <w:rsid w:val="001E061B"/>
    <w:rsid w:val="001E0FF9"/>
    <w:rsid w:val="001E4AA4"/>
    <w:rsid w:val="001E76EE"/>
    <w:rsid w:val="001E78B8"/>
    <w:rsid w:val="001F12FF"/>
    <w:rsid w:val="001F24A0"/>
    <w:rsid w:val="001F24C0"/>
    <w:rsid w:val="001F3927"/>
    <w:rsid w:val="001F505D"/>
    <w:rsid w:val="001F5E80"/>
    <w:rsid w:val="0020074C"/>
    <w:rsid w:val="00201541"/>
    <w:rsid w:val="0020384B"/>
    <w:rsid w:val="00206B2A"/>
    <w:rsid w:val="00214C0E"/>
    <w:rsid w:val="00215EF4"/>
    <w:rsid w:val="00216644"/>
    <w:rsid w:val="00216F32"/>
    <w:rsid w:val="0021718B"/>
    <w:rsid w:val="002227D4"/>
    <w:rsid w:val="002234FA"/>
    <w:rsid w:val="00224A9F"/>
    <w:rsid w:val="002265AC"/>
    <w:rsid w:val="00233E13"/>
    <w:rsid w:val="00233F36"/>
    <w:rsid w:val="00235837"/>
    <w:rsid w:val="00235CC9"/>
    <w:rsid w:val="00236F20"/>
    <w:rsid w:val="00237C2B"/>
    <w:rsid w:val="00240148"/>
    <w:rsid w:val="0024125E"/>
    <w:rsid w:val="00241F5B"/>
    <w:rsid w:val="0024529F"/>
    <w:rsid w:val="00245687"/>
    <w:rsid w:val="002459F8"/>
    <w:rsid w:val="00247098"/>
    <w:rsid w:val="00250F46"/>
    <w:rsid w:val="00252197"/>
    <w:rsid w:val="002564BB"/>
    <w:rsid w:val="00257075"/>
    <w:rsid w:val="002618F1"/>
    <w:rsid w:val="00262479"/>
    <w:rsid w:val="00263689"/>
    <w:rsid w:val="00263EF0"/>
    <w:rsid w:val="002643B8"/>
    <w:rsid w:val="002670CA"/>
    <w:rsid w:val="00267B46"/>
    <w:rsid w:val="00267CBC"/>
    <w:rsid w:val="00270237"/>
    <w:rsid w:val="00270E37"/>
    <w:rsid w:val="00275347"/>
    <w:rsid w:val="00277A09"/>
    <w:rsid w:val="00277A7A"/>
    <w:rsid w:val="00277C43"/>
    <w:rsid w:val="00280A86"/>
    <w:rsid w:val="00281BEE"/>
    <w:rsid w:val="00282606"/>
    <w:rsid w:val="00283C0B"/>
    <w:rsid w:val="00284865"/>
    <w:rsid w:val="0028526E"/>
    <w:rsid w:val="00290AA1"/>
    <w:rsid w:val="002962B8"/>
    <w:rsid w:val="00296642"/>
    <w:rsid w:val="002A5B2E"/>
    <w:rsid w:val="002A5E41"/>
    <w:rsid w:val="002B045A"/>
    <w:rsid w:val="002B1FCC"/>
    <w:rsid w:val="002B21DD"/>
    <w:rsid w:val="002B4A09"/>
    <w:rsid w:val="002B4F94"/>
    <w:rsid w:val="002C07E4"/>
    <w:rsid w:val="002C1745"/>
    <w:rsid w:val="002C30E5"/>
    <w:rsid w:val="002C3EA9"/>
    <w:rsid w:val="002C6E8C"/>
    <w:rsid w:val="002C6F1F"/>
    <w:rsid w:val="002C7188"/>
    <w:rsid w:val="002C7327"/>
    <w:rsid w:val="002D2E5C"/>
    <w:rsid w:val="002D7AD1"/>
    <w:rsid w:val="002D7F1D"/>
    <w:rsid w:val="002E19EF"/>
    <w:rsid w:val="002E1C27"/>
    <w:rsid w:val="002E2A2E"/>
    <w:rsid w:val="002E362A"/>
    <w:rsid w:val="002E529C"/>
    <w:rsid w:val="002F0189"/>
    <w:rsid w:val="002F05BD"/>
    <w:rsid w:val="002F0CC8"/>
    <w:rsid w:val="002F2ADA"/>
    <w:rsid w:val="002F6392"/>
    <w:rsid w:val="002F73D5"/>
    <w:rsid w:val="0030104D"/>
    <w:rsid w:val="00301375"/>
    <w:rsid w:val="00302527"/>
    <w:rsid w:val="00306F08"/>
    <w:rsid w:val="00307B30"/>
    <w:rsid w:val="0031266A"/>
    <w:rsid w:val="00312834"/>
    <w:rsid w:val="00314961"/>
    <w:rsid w:val="00315101"/>
    <w:rsid w:val="0032123B"/>
    <w:rsid w:val="003305E4"/>
    <w:rsid w:val="00330FD3"/>
    <w:rsid w:val="003317D0"/>
    <w:rsid w:val="00332D04"/>
    <w:rsid w:val="003375A4"/>
    <w:rsid w:val="0033B772"/>
    <w:rsid w:val="00342314"/>
    <w:rsid w:val="0034499D"/>
    <w:rsid w:val="00344D69"/>
    <w:rsid w:val="00345728"/>
    <w:rsid w:val="00345B84"/>
    <w:rsid w:val="0034678B"/>
    <w:rsid w:val="00351E6D"/>
    <w:rsid w:val="00353797"/>
    <w:rsid w:val="00355F24"/>
    <w:rsid w:val="00356F8A"/>
    <w:rsid w:val="0036117E"/>
    <w:rsid w:val="0036342E"/>
    <w:rsid w:val="00364EF7"/>
    <w:rsid w:val="0036617D"/>
    <w:rsid w:val="00367EEF"/>
    <w:rsid w:val="00377CA1"/>
    <w:rsid w:val="0038273F"/>
    <w:rsid w:val="00383824"/>
    <w:rsid w:val="003853CD"/>
    <w:rsid w:val="00391FB3"/>
    <w:rsid w:val="00393A34"/>
    <w:rsid w:val="00395219"/>
    <w:rsid w:val="00397612"/>
    <w:rsid w:val="0039785D"/>
    <w:rsid w:val="003A2486"/>
    <w:rsid w:val="003A4C94"/>
    <w:rsid w:val="003A70DE"/>
    <w:rsid w:val="003B3388"/>
    <w:rsid w:val="003B670C"/>
    <w:rsid w:val="003B7447"/>
    <w:rsid w:val="003B7A92"/>
    <w:rsid w:val="003B7AF7"/>
    <w:rsid w:val="003C1835"/>
    <w:rsid w:val="003C320A"/>
    <w:rsid w:val="003C539D"/>
    <w:rsid w:val="003C6D7F"/>
    <w:rsid w:val="003D1295"/>
    <w:rsid w:val="003D3120"/>
    <w:rsid w:val="003D4930"/>
    <w:rsid w:val="003D5FCF"/>
    <w:rsid w:val="003E07C8"/>
    <w:rsid w:val="003E0E2D"/>
    <w:rsid w:val="003E212C"/>
    <w:rsid w:val="003E4F6A"/>
    <w:rsid w:val="003F07C1"/>
    <w:rsid w:val="003F10F5"/>
    <w:rsid w:val="003F350C"/>
    <w:rsid w:val="003F5E33"/>
    <w:rsid w:val="003F64AF"/>
    <w:rsid w:val="003F6FF0"/>
    <w:rsid w:val="00400F0A"/>
    <w:rsid w:val="00403B65"/>
    <w:rsid w:val="0041102F"/>
    <w:rsid w:val="004112D5"/>
    <w:rsid w:val="00411681"/>
    <w:rsid w:val="00411774"/>
    <w:rsid w:val="00411827"/>
    <w:rsid w:val="00413A7D"/>
    <w:rsid w:val="004140EE"/>
    <w:rsid w:val="004156BE"/>
    <w:rsid w:val="0041723D"/>
    <w:rsid w:val="00420D13"/>
    <w:rsid w:val="0042161C"/>
    <w:rsid w:val="00421A2C"/>
    <w:rsid w:val="00425B7A"/>
    <w:rsid w:val="00433732"/>
    <w:rsid w:val="00433D11"/>
    <w:rsid w:val="00433F53"/>
    <w:rsid w:val="00434272"/>
    <w:rsid w:val="00436366"/>
    <w:rsid w:val="0044051C"/>
    <w:rsid w:val="00441D51"/>
    <w:rsid w:val="00442104"/>
    <w:rsid w:val="0044335E"/>
    <w:rsid w:val="0044356E"/>
    <w:rsid w:val="00445D58"/>
    <w:rsid w:val="00456C01"/>
    <w:rsid w:val="004624B9"/>
    <w:rsid w:val="00463F4E"/>
    <w:rsid w:val="004645BA"/>
    <w:rsid w:val="00464982"/>
    <w:rsid w:val="00465B25"/>
    <w:rsid w:val="00465BD5"/>
    <w:rsid w:val="0046749D"/>
    <w:rsid w:val="00467C9A"/>
    <w:rsid w:val="004705C0"/>
    <w:rsid w:val="00471EFE"/>
    <w:rsid w:val="004736C1"/>
    <w:rsid w:val="004739B3"/>
    <w:rsid w:val="00475490"/>
    <w:rsid w:val="00475E3F"/>
    <w:rsid w:val="00477B5C"/>
    <w:rsid w:val="004805B1"/>
    <w:rsid w:val="00482427"/>
    <w:rsid w:val="00490315"/>
    <w:rsid w:val="004953ED"/>
    <w:rsid w:val="004A2B6A"/>
    <w:rsid w:val="004A666A"/>
    <w:rsid w:val="004A7D54"/>
    <w:rsid w:val="004B3651"/>
    <w:rsid w:val="004B3D3B"/>
    <w:rsid w:val="004B7B3D"/>
    <w:rsid w:val="004C11F0"/>
    <w:rsid w:val="004C1FEF"/>
    <w:rsid w:val="004C2BD5"/>
    <w:rsid w:val="004C2C34"/>
    <w:rsid w:val="004C3945"/>
    <w:rsid w:val="004C43F7"/>
    <w:rsid w:val="004C6380"/>
    <w:rsid w:val="004C7819"/>
    <w:rsid w:val="004D1AE9"/>
    <w:rsid w:val="004D3302"/>
    <w:rsid w:val="004D6547"/>
    <w:rsid w:val="004E15AB"/>
    <w:rsid w:val="004E174A"/>
    <w:rsid w:val="004E1AD7"/>
    <w:rsid w:val="004E6948"/>
    <w:rsid w:val="004E78E5"/>
    <w:rsid w:val="004F4252"/>
    <w:rsid w:val="005004DD"/>
    <w:rsid w:val="005033A3"/>
    <w:rsid w:val="00503622"/>
    <w:rsid w:val="00503D84"/>
    <w:rsid w:val="00503E66"/>
    <w:rsid w:val="005052B4"/>
    <w:rsid w:val="00506795"/>
    <w:rsid w:val="0051216A"/>
    <w:rsid w:val="00514E18"/>
    <w:rsid w:val="00515967"/>
    <w:rsid w:val="00517085"/>
    <w:rsid w:val="00522497"/>
    <w:rsid w:val="00525D24"/>
    <w:rsid w:val="00525DD3"/>
    <w:rsid w:val="005261E0"/>
    <w:rsid w:val="005309D8"/>
    <w:rsid w:val="00530F3B"/>
    <w:rsid w:val="00532A64"/>
    <w:rsid w:val="00533562"/>
    <w:rsid w:val="00534ED3"/>
    <w:rsid w:val="005350F4"/>
    <w:rsid w:val="0053522F"/>
    <w:rsid w:val="00536296"/>
    <w:rsid w:val="00536D6B"/>
    <w:rsid w:val="00536DB0"/>
    <w:rsid w:val="00537D5D"/>
    <w:rsid w:val="00537DC6"/>
    <w:rsid w:val="005428AE"/>
    <w:rsid w:val="00545640"/>
    <w:rsid w:val="0054568D"/>
    <w:rsid w:val="005502D3"/>
    <w:rsid w:val="00550F7B"/>
    <w:rsid w:val="0055309C"/>
    <w:rsid w:val="005533B3"/>
    <w:rsid w:val="00553D1C"/>
    <w:rsid w:val="00553F8F"/>
    <w:rsid w:val="005547D1"/>
    <w:rsid w:val="00561B7F"/>
    <w:rsid w:val="00564229"/>
    <w:rsid w:val="005659D8"/>
    <w:rsid w:val="00572F37"/>
    <w:rsid w:val="00576EE0"/>
    <w:rsid w:val="005807B8"/>
    <w:rsid w:val="00582971"/>
    <w:rsid w:val="00582A13"/>
    <w:rsid w:val="00583A58"/>
    <w:rsid w:val="00584F13"/>
    <w:rsid w:val="005878B2"/>
    <w:rsid w:val="00587C11"/>
    <w:rsid w:val="00587CDC"/>
    <w:rsid w:val="005904BA"/>
    <w:rsid w:val="00590CF3"/>
    <w:rsid w:val="00591D58"/>
    <w:rsid w:val="00594542"/>
    <w:rsid w:val="00595EDD"/>
    <w:rsid w:val="005970EE"/>
    <w:rsid w:val="005978F9"/>
    <w:rsid w:val="005A1096"/>
    <w:rsid w:val="005A45F7"/>
    <w:rsid w:val="005A53E1"/>
    <w:rsid w:val="005A54D1"/>
    <w:rsid w:val="005A6F1C"/>
    <w:rsid w:val="005B390F"/>
    <w:rsid w:val="005B4981"/>
    <w:rsid w:val="005B53D5"/>
    <w:rsid w:val="005C0E84"/>
    <w:rsid w:val="005C2D0D"/>
    <w:rsid w:val="005C2E06"/>
    <w:rsid w:val="005C3244"/>
    <w:rsid w:val="005C3E9B"/>
    <w:rsid w:val="005C64A1"/>
    <w:rsid w:val="005D2B7A"/>
    <w:rsid w:val="005D5EAF"/>
    <w:rsid w:val="005D6E3C"/>
    <w:rsid w:val="005E0AB5"/>
    <w:rsid w:val="005E0E32"/>
    <w:rsid w:val="005E36C8"/>
    <w:rsid w:val="005E37C8"/>
    <w:rsid w:val="005E3B94"/>
    <w:rsid w:val="005E3DA0"/>
    <w:rsid w:val="005E5F49"/>
    <w:rsid w:val="005F1B84"/>
    <w:rsid w:val="005F374B"/>
    <w:rsid w:val="005F456D"/>
    <w:rsid w:val="005F57D2"/>
    <w:rsid w:val="005F63DB"/>
    <w:rsid w:val="005F66F6"/>
    <w:rsid w:val="005F7848"/>
    <w:rsid w:val="0060281F"/>
    <w:rsid w:val="00605BD9"/>
    <w:rsid w:val="00612B44"/>
    <w:rsid w:val="00612C07"/>
    <w:rsid w:val="0061349C"/>
    <w:rsid w:val="0061358F"/>
    <w:rsid w:val="00620DBF"/>
    <w:rsid w:val="006212FB"/>
    <w:rsid w:val="00624EB7"/>
    <w:rsid w:val="0062608D"/>
    <w:rsid w:val="0062788B"/>
    <w:rsid w:val="00630D4F"/>
    <w:rsid w:val="0063219D"/>
    <w:rsid w:val="00634031"/>
    <w:rsid w:val="00636403"/>
    <w:rsid w:val="006446A3"/>
    <w:rsid w:val="00646132"/>
    <w:rsid w:val="00651C96"/>
    <w:rsid w:val="00661DB1"/>
    <w:rsid w:val="006636B5"/>
    <w:rsid w:val="00666577"/>
    <w:rsid w:val="0067145E"/>
    <w:rsid w:val="006738C4"/>
    <w:rsid w:val="00677243"/>
    <w:rsid w:val="0068233C"/>
    <w:rsid w:val="0069078B"/>
    <w:rsid w:val="006909D5"/>
    <w:rsid w:val="006927F2"/>
    <w:rsid w:val="00697F0A"/>
    <w:rsid w:val="006A224D"/>
    <w:rsid w:val="006A56D0"/>
    <w:rsid w:val="006A5CAE"/>
    <w:rsid w:val="006A6B8A"/>
    <w:rsid w:val="006A7B32"/>
    <w:rsid w:val="006A7C36"/>
    <w:rsid w:val="006B0954"/>
    <w:rsid w:val="006B273C"/>
    <w:rsid w:val="006B2E7F"/>
    <w:rsid w:val="006B6459"/>
    <w:rsid w:val="006C1603"/>
    <w:rsid w:val="006C41BA"/>
    <w:rsid w:val="006C4746"/>
    <w:rsid w:val="006C53C1"/>
    <w:rsid w:val="006C609F"/>
    <w:rsid w:val="006C6296"/>
    <w:rsid w:val="006C715D"/>
    <w:rsid w:val="006C769E"/>
    <w:rsid w:val="006D0881"/>
    <w:rsid w:val="006D3594"/>
    <w:rsid w:val="006D3915"/>
    <w:rsid w:val="006D3A07"/>
    <w:rsid w:val="006D48B1"/>
    <w:rsid w:val="006D6579"/>
    <w:rsid w:val="006E5630"/>
    <w:rsid w:val="006F20A8"/>
    <w:rsid w:val="006F35AD"/>
    <w:rsid w:val="006F3E8E"/>
    <w:rsid w:val="006F6757"/>
    <w:rsid w:val="007003E2"/>
    <w:rsid w:val="007029C3"/>
    <w:rsid w:val="00702FB3"/>
    <w:rsid w:val="0070385A"/>
    <w:rsid w:val="00710342"/>
    <w:rsid w:val="007119D9"/>
    <w:rsid w:val="00711EDD"/>
    <w:rsid w:val="00712148"/>
    <w:rsid w:val="0071689D"/>
    <w:rsid w:val="0071748F"/>
    <w:rsid w:val="007208DA"/>
    <w:rsid w:val="00721754"/>
    <w:rsid w:val="007241AD"/>
    <w:rsid w:val="00725CCA"/>
    <w:rsid w:val="00734F9C"/>
    <w:rsid w:val="00737698"/>
    <w:rsid w:val="00737730"/>
    <w:rsid w:val="007379DB"/>
    <w:rsid w:val="00740035"/>
    <w:rsid w:val="0074147C"/>
    <w:rsid w:val="007469FD"/>
    <w:rsid w:val="0075139F"/>
    <w:rsid w:val="00751616"/>
    <w:rsid w:val="00755404"/>
    <w:rsid w:val="007558B3"/>
    <w:rsid w:val="00756590"/>
    <w:rsid w:val="00756C55"/>
    <w:rsid w:val="00762318"/>
    <w:rsid w:val="007623F9"/>
    <w:rsid w:val="00771111"/>
    <w:rsid w:val="00772B28"/>
    <w:rsid w:val="007735EF"/>
    <w:rsid w:val="00775AA8"/>
    <w:rsid w:val="0078069D"/>
    <w:rsid w:val="007807DB"/>
    <w:rsid w:val="00781B49"/>
    <w:rsid w:val="00786856"/>
    <w:rsid w:val="0079189C"/>
    <w:rsid w:val="0079330A"/>
    <w:rsid w:val="00793941"/>
    <w:rsid w:val="00793D4B"/>
    <w:rsid w:val="00794E4D"/>
    <w:rsid w:val="007954C0"/>
    <w:rsid w:val="00795524"/>
    <w:rsid w:val="007A00FF"/>
    <w:rsid w:val="007A33D8"/>
    <w:rsid w:val="007A3553"/>
    <w:rsid w:val="007A3E91"/>
    <w:rsid w:val="007A4550"/>
    <w:rsid w:val="007A60EE"/>
    <w:rsid w:val="007B0FC8"/>
    <w:rsid w:val="007B4A3E"/>
    <w:rsid w:val="007B4BDB"/>
    <w:rsid w:val="007B66E4"/>
    <w:rsid w:val="007C0137"/>
    <w:rsid w:val="007C01CD"/>
    <w:rsid w:val="007C02F0"/>
    <w:rsid w:val="007C1D6E"/>
    <w:rsid w:val="007C3CF4"/>
    <w:rsid w:val="007C5539"/>
    <w:rsid w:val="007C6B40"/>
    <w:rsid w:val="007D2BE4"/>
    <w:rsid w:val="007D6EB5"/>
    <w:rsid w:val="007D7A23"/>
    <w:rsid w:val="007D7AC8"/>
    <w:rsid w:val="007E3E00"/>
    <w:rsid w:val="007E445C"/>
    <w:rsid w:val="007E4DE7"/>
    <w:rsid w:val="007E62DC"/>
    <w:rsid w:val="007E7018"/>
    <w:rsid w:val="007F046C"/>
    <w:rsid w:val="007F393D"/>
    <w:rsid w:val="0080029A"/>
    <w:rsid w:val="00804F85"/>
    <w:rsid w:val="00807B0E"/>
    <w:rsid w:val="0081036C"/>
    <w:rsid w:val="00810AEE"/>
    <w:rsid w:val="00811771"/>
    <w:rsid w:val="0082021B"/>
    <w:rsid w:val="00823596"/>
    <w:rsid w:val="008252A9"/>
    <w:rsid w:val="00825A06"/>
    <w:rsid w:val="00827E01"/>
    <w:rsid w:val="00830904"/>
    <w:rsid w:val="00831F03"/>
    <w:rsid w:val="00832067"/>
    <w:rsid w:val="008340FC"/>
    <w:rsid w:val="0083678F"/>
    <w:rsid w:val="00836801"/>
    <w:rsid w:val="00837D50"/>
    <w:rsid w:val="008406CF"/>
    <w:rsid w:val="00841B5F"/>
    <w:rsid w:val="00842C99"/>
    <w:rsid w:val="00847576"/>
    <w:rsid w:val="0085097A"/>
    <w:rsid w:val="008521BE"/>
    <w:rsid w:val="00853B8D"/>
    <w:rsid w:val="00854166"/>
    <w:rsid w:val="00854C54"/>
    <w:rsid w:val="008568DB"/>
    <w:rsid w:val="00856F00"/>
    <w:rsid w:val="0086089F"/>
    <w:rsid w:val="0086190A"/>
    <w:rsid w:val="00861C34"/>
    <w:rsid w:val="008627EA"/>
    <w:rsid w:val="008635B2"/>
    <w:rsid w:val="00864E57"/>
    <w:rsid w:val="00870DDB"/>
    <w:rsid w:val="00871E0E"/>
    <w:rsid w:val="008722A8"/>
    <w:rsid w:val="00875A98"/>
    <w:rsid w:val="00875B6B"/>
    <w:rsid w:val="00876DDB"/>
    <w:rsid w:val="00881031"/>
    <w:rsid w:val="00881C5E"/>
    <w:rsid w:val="00884367"/>
    <w:rsid w:val="008874E7"/>
    <w:rsid w:val="00887A12"/>
    <w:rsid w:val="00894AF7"/>
    <w:rsid w:val="00895FE4"/>
    <w:rsid w:val="008962F5"/>
    <w:rsid w:val="008A234F"/>
    <w:rsid w:val="008A4A5B"/>
    <w:rsid w:val="008A51C8"/>
    <w:rsid w:val="008A5B6D"/>
    <w:rsid w:val="008A7794"/>
    <w:rsid w:val="008A7963"/>
    <w:rsid w:val="008A7ED5"/>
    <w:rsid w:val="008B0524"/>
    <w:rsid w:val="008C13BE"/>
    <w:rsid w:val="008C232A"/>
    <w:rsid w:val="008C5C1B"/>
    <w:rsid w:val="008C7129"/>
    <w:rsid w:val="008C72E9"/>
    <w:rsid w:val="008C7A85"/>
    <w:rsid w:val="008D03FB"/>
    <w:rsid w:val="008D52E2"/>
    <w:rsid w:val="008D5501"/>
    <w:rsid w:val="008D578D"/>
    <w:rsid w:val="008D63B6"/>
    <w:rsid w:val="008E09AC"/>
    <w:rsid w:val="008E2E82"/>
    <w:rsid w:val="008E37F1"/>
    <w:rsid w:val="008E4AAB"/>
    <w:rsid w:val="008E55C3"/>
    <w:rsid w:val="008E6314"/>
    <w:rsid w:val="008E6BCA"/>
    <w:rsid w:val="008F24D3"/>
    <w:rsid w:val="009006C5"/>
    <w:rsid w:val="00900CD7"/>
    <w:rsid w:val="009016DE"/>
    <w:rsid w:val="00901D02"/>
    <w:rsid w:val="009022DB"/>
    <w:rsid w:val="0090251E"/>
    <w:rsid w:val="00912615"/>
    <w:rsid w:val="00912AD8"/>
    <w:rsid w:val="009167AB"/>
    <w:rsid w:val="0092062D"/>
    <w:rsid w:val="00923E01"/>
    <w:rsid w:val="0092477C"/>
    <w:rsid w:val="009309F4"/>
    <w:rsid w:val="009314BF"/>
    <w:rsid w:val="00936B91"/>
    <w:rsid w:val="009404A6"/>
    <w:rsid w:val="00943F00"/>
    <w:rsid w:val="0094568D"/>
    <w:rsid w:val="00945A8E"/>
    <w:rsid w:val="00945E4C"/>
    <w:rsid w:val="00946A2F"/>
    <w:rsid w:val="00946E83"/>
    <w:rsid w:val="00950B8C"/>
    <w:rsid w:val="00953401"/>
    <w:rsid w:val="00953455"/>
    <w:rsid w:val="00954C6A"/>
    <w:rsid w:val="009603B6"/>
    <w:rsid w:val="00962820"/>
    <w:rsid w:val="00963A6B"/>
    <w:rsid w:val="00964A7B"/>
    <w:rsid w:val="00965B5B"/>
    <w:rsid w:val="00965C3B"/>
    <w:rsid w:val="00970698"/>
    <w:rsid w:val="00970D3D"/>
    <w:rsid w:val="00972F1B"/>
    <w:rsid w:val="0097301F"/>
    <w:rsid w:val="0097330D"/>
    <w:rsid w:val="009751D6"/>
    <w:rsid w:val="009811FE"/>
    <w:rsid w:val="00981866"/>
    <w:rsid w:val="0098263E"/>
    <w:rsid w:val="00983B58"/>
    <w:rsid w:val="00984994"/>
    <w:rsid w:val="00986036"/>
    <w:rsid w:val="009904F4"/>
    <w:rsid w:val="00991986"/>
    <w:rsid w:val="00992E4B"/>
    <w:rsid w:val="00993AAF"/>
    <w:rsid w:val="00995429"/>
    <w:rsid w:val="009A2AF3"/>
    <w:rsid w:val="009A5CFB"/>
    <w:rsid w:val="009A6A24"/>
    <w:rsid w:val="009B32D8"/>
    <w:rsid w:val="009B4453"/>
    <w:rsid w:val="009B46DE"/>
    <w:rsid w:val="009B5777"/>
    <w:rsid w:val="009B7BEE"/>
    <w:rsid w:val="009C0487"/>
    <w:rsid w:val="009C08EC"/>
    <w:rsid w:val="009C450E"/>
    <w:rsid w:val="009C53A5"/>
    <w:rsid w:val="009C54FB"/>
    <w:rsid w:val="009C55E9"/>
    <w:rsid w:val="009D4739"/>
    <w:rsid w:val="009D492F"/>
    <w:rsid w:val="009D6E06"/>
    <w:rsid w:val="009E2BB3"/>
    <w:rsid w:val="009E343B"/>
    <w:rsid w:val="009E717E"/>
    <w:rsid w:val="009E766E"/>
    <w:rsid w:val="009F0D4D"/>
    <w:rsid w:val="009F1169"/>
    <w:rsid w:val="009F476A"/>
    <w:rsid w:val="009F6138"/>
    <w:rsid w:val="009F67CA"/>
    <w:rsid w:val="009F7AE1"/>
    <w:rsid w:val="00A00E85"/>
    <w:rsid w:val="00A032E4"/>
    <w:rsid w:val="00A040AD"/>
    <w:rsid w:val="00A121DC"/>
    <w:rsid w:val="00A1220C"/>
    <w:rsid w:val="00A151C0"/>
    <w:rsid w:val="00A16883"/>
    <w:rsid w:val="00A172BA"/>
    <w:rsid w:val="00A20349"/>
    <w:rsid w:val="00A2046A"/>
    <w:rsid w:val="00A26389"/>
    <w:rsid w:val="00A3115A"/>
    <w:rsid w:val="00A33DF3"/>
    <w:rsid w:val="00A3489A"/>
    <w:rsid w:val="00A40C4A"/>
    <w:rsid w:val="00A4229F"/>
    <w:rsid w:val="00A431DE"/>
    <w:rsid w:val="00A438EC"/>
    <w:rsid w:val="00A45C26"/>
    <w:rsid w:val="00A45F37"/>
    <w:rsid w:val="00A46D9C"/>
    <w:rsid w:val="00A55379"/>
    <w:rsid w:val="00A575CE"/>
    <w:rsid w:val="00A6078E"/>
    <w:rsid w:val="00A6090A"/>
    <w:rsid w:val="00A610D3"/>
    <w:rsid w:val="00A6675F"/>
    <w:rsid w:val="00A702D0"/>
    <w:rsid w:val="00A71806"/>
    <w:rsid w:val="00A74E81"/>
    <w:rsid w:val="00A75265"/>
    <w:rsid w:val="00A76612"/>
    <w:rsid w:val="00A83A4E"/>
    <w:rsid w:val="00A854D7"/>
    <w:rsid w:val="00A85DF4"/>
    <w:rsid w:val="00A9101F"/>
    <w:rsid w:val="00A910FE"/>
    <w:rsid w:val="00A913CE"/>
    <w:rsid w:val="00A914DC"/>
    <w:rsid w:val="00A92572"/>
    <w:rsid w:val="00A92829"/>
    <w:rsid w:val="00A9418F"/>
    <w:rsid w:val="00A97CB1"/>
    <w:rsid w:val="00AA1106"/>
    <w:rsid w:val="00AA2539"/>
    <w:rsid w:val="00AA277D"/>
    <w:rsid w:val="00AA27AC"/>
    <w:rsid w:val="00AA53E7"/>
    <w:rsid w:val="00AA70B1"/>
    <w:rsid w:val="00AA71D5"/>
    <w:rsid w:val="00AA7F2D"/>
    <w:rsid w:val="00AB1104"/>
    <w:rsid w:val="00AB3A85"/>
    <w:rsid w:val="00AB7B14"/>
    <w:rsid w:val="00AC21B8"/>
    <w:rsid w:val="00AC2D72"/>
    <w:rsid w:val="00AC34BB"/>
    <w:rsid w:val="00AC52C0"/>
    <w:rsid w:val="00AC536C"/>
    <w:rsid w:val="00AC5710"/>
    <w:rsid w:val="00AC67D3"/>
    <w:rsid w:val="00AD26DD"/>
    <w:rsid w:val="00AD2864"/>
    <w:rsid w:val="00AD31B5"/>
    <w:rsid w:val="00AD32C4"/>
    <w:rsid w:val="00AD3B4B"/>
    <w:rsid w:val="00AD4847"/>
    <w:rsid w:val="00AD4DEA"/>
    <w:rsid w:val="00AD65DB"/>
    <w:rsid w:val="00AD6ACB"/>
    <w:rsid w:val="00AE1553"/>
    <w:rsid w:val="00AE5495"/>
    <w:rsid w:val="00AF07F8"/>
    <w:rsid w:val="00AF5108"/>
    <w:rsid w:val="00AF572A"/>
    <w:rsid w:val="00AF7E5F"/>
    <w:rsid w:val="00B00337"/>
    <w:rsid w:val="00B00C56"/>
    <w:rsid w:val="00B00E0B"/>
    <w:rsid w:val="00B03D6A"/>
    <w:rsid w:val="00B0549F"/>
    <w:rsid w:val="00B0746A"/>
    <w:rsid w:val="00B105F2"/>
    <w:rsid w:val="00B1096E"/>
    <w:rsid w:val="00B12C04"/>
    <w:rsid w:val="00B130F3"/>
    <w:rsid w:val="00B20B58"/>
    <w:rsid w:val="00B22BDD"/>
    <w:rsid w:val="00B22F1C"/>
    <w:rsid w:val="00B233D4"/>
    <w:rsid w:val="00B24065"/>
    <w:rsid w:val="00B2422A"/>
    <w:rsid w:val="00B24648"/>
    <w:rsid w:val="00B24850"/>
    <w:rsid w:val="00B24D58"/>
    <w:rsid w:val="00B26B6D"/>
    <w:rsid w:val="00B27601"/>
    <w:rsid w:val="00B304D7"/>
    <w:rsid w:val="00B31E61"/>
    <w:rsid w:val="00B32124"/>
    <w:rsid w:val="00B3457F"/>
    <w:rsid w:val="00B4416B"/>
    <w:rsid w:val="00B506EF"/>
    <w:rsid w:val="00B5428A"/>
    <w:rsid w:val="00B550D5"/>
    <w:rsid w:val="00B55174"/>
    <w:rsid w:val="00B5598A"/>
    <w:rsid w:val="00B568EF"/>
    <w:rsid w:val="00B62E09"/>
    <w:rsid w:val="00B64630"/>
    <w:rsid w:val="00B706C7"/>
    <w:rsid w:val="00B70B3C"/>
    <w:rsid w:val="00B718FF"/>
    <w:rsid w:val="00B73088"/>
    <w:rsid w:val="00B73B6D"/>
    <w:rsid w:val="00B7410D"/>
    <w:rsid w:val="00B7435B"/>
    <w:rsid w:val="00B7553C"/>
    <w:rsid w:val="00B7703B"/>
    <w:rsid w:val="00B77405"/>
    <w:rsid w:val="00B8158C"/>
    <w:rsid w:val="00B831E3"/>
    <w:rsid w:val="00B8570F"/>
    <w:rsid w:val="00B866D2"/>
    <w:rsid w:val="00B930E8"/>
    <w:rsid w:val="00B95B94"/>
    <w:rsid w:val="00B967BF"/>
    <w:rsid w:val="00BA1786"/>
    <w:rsid w:val="00BA19E3"/>
    <w:rsid w:val="00BA1E9D"/>
    <w:rsid w:val="00BA2BC9"/>
    <w:rsid w:val="00BA3FB1"/>
    <w:rsid w:val="00BA705E"/>
    <w:rsid w:val="00BA7764"/>
    <w:rsid w:val="00BB1F33"/>
    <w:rsid w:val="00BB7F91"/>
    <w:rsid w:val="00BC3D98"/>
    <w:rsid w:val="00BC3E07"/>
    <w:rsid w:val="00BC651F"/>
    <w:rsid w:val="00BD022D"/>
    <w:rsid w:val="00BD2CE2"/>
    <w:rsid w:val="00BD3B71"/>
    <w:rsid w:val="00BD3D47"/>
    <w:rsid w:val="00BD3DE1"/>
    <w:rsid w:val="00BD456E"/>
    <w:rsid w:val="00BD5A37"/>
    <w:rsid w:val="00BD5B99"/>
    <w:rsid w:val="00BD66FF"/>
    <w:rsid w:val="00BD72F1"/>
    <w:rsid w:val="00BE0C93"/>
    <w:rsid w:val="00BE1EB7"/>
    <w:rsid w:val="00BE2730"/>
    <w:rsid w:val="00BE525D"/>
    <w:rsid w:val="00BE570E"/>
    <w:rsid w:val="00BE6DAC"/>
    <w:rsid w:val="00BE7ABA"/>
    <w:rsid w:val="00BF2415"/>
    <w:rsid w:val="00BF4037"/>
    <w:rsid w:val="00BF41CA"/>
    <w:rsid w:val="00BF4D1F"/>
    <w:rsid w:val="00BF661C"/>
    <w:rsid w:val="00BF7BC2"/>
    <w:rsid w:val="00C00B9A"/>
    <w:rsid w:val="00C00F92"/>
    <w:rsid w:val="00C01EAE"/>
    <w:rsid w:val="00C02214"/>
    <w:rsid w:val="00C0315A"/>
    <w:rsid w:val="00C04337"/>
    <w:rsid w:val="00C05632"/>
    <w:rsid w:val="00C06E4C"/>
    <w:rsid w:val="00C06EFC"/>
    <w:rsid w:val="00C10E41"/>
    <w:rsid w:val="00C12AAB"/>
    <w:rsid w:val="00C14FAB"/>
    <w:rsid w:val="00C15408"/>
    <w:rsid w:val="00C15F2A"/>
    <w:rsid w:val="00C16946"/>
    <w:rsid w:val="00C21FDE"/>
    <w:rsid w:val="00C22060"/>
    <w:rsid w:val="00C235C3"/>
    <w:rsid w:val="00C27196"/>
    <w:rsid w:val="00C27BBB"/>
    <w:rsid w:val="00C27D87"/>
    <w:rsid w:val="00C27FAD"/>
    <w:rsid w:val="00C3071A"/>
    <w:rsid w:val="00C31ACD"/>
    <w:rsid w:val="00C32BBB"/>
    <w:rsid w:val="00C3525D"/>
    <w:rsid w:val="00C3770D"/>
    <w:rsid w:val="00C43694"/>
    <w:rsid w:val="00C50466"/>
    <w:rsid w:val="00C50A74"/>
    <w:rsid w:val="00C57B39"/>
    <w:rsid w:val="00C57E46"/>
    <w:rsid w:val="00C66D66"/>
    <w:rsid w:val="00C74A35"/>
    <w:rsid w:val="00C76F4C"/>
    <w:rsid w:val="00C77F54"/>
    <w:rsid w:val="00C85FC6"/>
    <w:rsid w:val="00C87EB9"/>
    <w:rsid w:val="00C90AF2"/>
    <w:rsid w:val="00C925B1"/>
    <w:rsid w:val="00C92CB9"/>
    <w:rsid w:val="00C95E20"/>
    <w:rsid w:val="00C97510"/>
    <w:rsid w:val="00CA08DF"/>
    <w:rsid w:val="00CA1147"/>
    <w:rsid w:val="00CA441F"/>
    <w:rsid w:val="00CA4DD9"/>
    <w:rsid w:val="00CA61AD"/>
    <w:rsid w:val="00CA6917"/>
    <w:rsid w:val="00CC085F"/>
    <w:rsid w:val="00CC0C7A"/>
    <w:rsid w:val="00CC4938"/>
    <w:rsid w:val="00CC58D6"/>
    <w:rsid w:val="00CC5D90"/>
    <w:rsid w:val="00CD3D2A"/>
    <w:rsid w:val="00CD400D"/>
    <w:rsid w:val="00CD6064"/>
    <w:rsid w:val="00CE1C0D"/>
    <w:rsid w:val="00CE2C76"/>
    <w:rsid w:val="00CE33E5"/>
    <w:rsid w:val="00CE4B1A"/>
    <w:rsid w:val="00CE56C0"/>
    <w:rsid w:val="00CF14C5"/>
    <w:rsid w:val="00CF714A"/>
    <w:rsid w:val="00D0056C"/>
    <w:rsid w:val="00D011A7"/>
    <w:rsid w:val="00D04601"/>
    <w:rsid w:val="00D05E52"/>
    <w:rsid w:val="00D068FE"/>
    <w:rsid w:val="00D07194"/>
    <w:rsid w:val="00D07D01"/>
    <w:rsid w:val="00D1164B"/>
    <w:rsid w:val="00D11C39"/>
    <w:rsid w:val="00D1300D"/>
    <w:rsid w:val="00D1555D"/>
    <w:rsid w:val="00D21291"/>
    <w:rsid w:val="00D212E8"/>
    <w:rsid w:val="00D220F2"/>
    <w:rsid w:val="00D22EC7"/>
    <w:rsid w:val="00D3048D"/>
    <w:rsid w:val="00D33BE8"/>
    <w:rsid w:val="00D36998"/>
    <w:rsid w:val="00D36AA4"/>
    <w:rsid w:val="00D37200"/>
    <w:rsid w:val="00D37BD1"/>
    <w:rsid w:val="00D44843"/>
    <w:rsid w:val="00D469B4"/>
    <w:rsid w:val="00D477F9"/>
    <w:rsid w:val="00D478BE"/>
    <w:rsid w:val="00D51A18"/>
    <w:rsid w:val="00D53561"/>
    <w:rsid w:val="00D546FE"/>
    <w:rsid w:val="00D60A89"/>
    <w:rsid w:val="00D61D79"/>
    <w:rsid w:val="00D7162B"/>
    <w:rsid w:val="00D71E92"/>
    <w:rsid w:val="00D742E3"/>
    <w:rsid w:val="00D7493B"/>
    <w:rsid w:val="00D749ED"/>
    <w:rsid w:val="00D74DDB"/>
    <w:rsid w:val="00D759C1"/>
    <w:rsid w:val="00D82A5F"/>
    <w:rsid w:val="00D84AF8"/>
    <w:rsid w:val="00D863FB"/>
    <w:rsid w:val="00D87446"/>
    <w:rsid w:val="00D90984"/>
    <w:rsid w:val="00D91649"/>
    <w:rsid w:val="00D925FC"/>
    <w:rsid w:val="00D9301F"/>
    <w:rsid w:val="00D95F3C"/>
    <w:rsid w:val="00D9689A"/>
    <w:rsid w:val="00DA6DF5"/>
    <w:rsid w:val="00DB22C0"/>
    <w:rsid w:val="00DB2BF9"/>
    <w:rsid w:val="00DB5855"/>
    <w:rsid w:val="00DB6443"/>
    <w:rsid w:val="00DB73F5"/>
    <w:rsid w:val="00DC1043"/>
    <w:rsid w:val="00DC1CDD"/>
    <w:rsid w:val="00DC35B3"/>
    <w:rsid w:val="00DC4D9A"/>
    <w:rsid w:val="00DC4DE4"/>
    <w:rsid w:val="00DC6CAE"/>
    <w:rsid w:val="00DD2EC4"/>
    <w:rsid w:val="00DD3CDE"/>
    <w:rsid w:val="00DD3CE2"/>
    <w:rsid w:val="00DE1828"/>
    <w:rsid w:val="00DE1918"/>
    <w:rsid w:val="00DE2D21"/>
    <w:rsid w:val="00DE2FE5"/>
    <w:rsid w:val="00DE3DB8"/>
    <w:rsid w:val="00DE665F"/>
    <w:rsid w:val="00DF02D7"/>
    <w:rsid w:val="00DF0796"/>
    <w:rsid w:val="00DF26AE"/>
    <w:rsid w:val="00DF2913"/>
    <w:rsid w:val="00E00FBC"/>
    <w:rsid w:val="00E0171C"/>
    <w:rsid w:val="00E04059"/>
    <w:rsid w:val="00E05337"/>
    <w:rsid w:val="00E0658B"/>
    <w:rsid w:val="00E14614"/>
    <w:rsid w:val="00E20775"/>
    <w:rsid w:val="00E23F9E"/>
    <w:rsid w:val="00E27183"/>
    <w:rsid w:val="00E279E0"/>
    <w:rsid w:val="00E27D8E"/>
    <w:rsid w:val="00E31F38"/>
    <w:rsid w:val="00E3254B"/>
    <w:rsid w:val="00E32A08"/>
    <w:rsid w:val="00E33BA6"/>
    <w:rsid w:val="00E346CC"/>
    <w:rsid w:val="00E34C15"/>
    <w:rsid w:val="00E35458"/>
    <w:rsid w:val="00E36CA4"/>
    <w:rsid w:val="00E36FF6"/>
    <w:rsid w:val="00E43F10"/>
    <w:rsid w:val="00E46187"/>
    <w:rsid w:val="00E46989"/>
    <w:rsid w:val="00E5316F"/>
    <w:rsid w:val="00E53847"/>
    <w:rsid w:val="00E53D91"/>
    <w:rsid w:val="00E53DB5"/>
    <w:rsid w:val="00E54004"/>
    <w:rsid w:val="00E54135"/>
    <w:rsid w:val="00E5556B"/>
    <w:rsid w:val="00E5599D"/>
    <w:rsid w:val="00E56AF5"/>
    <w:rsid w:val="00E574BE"/>
    <w:rsid w:val="00E63547"/>
    <w:rsid w:val="00E63973"/>
    <w:rsid w:val="00E64C55"/>
    <w:rsid w:val="00E64E06"/>
    <w:rsid w:val="00E67530"/>
    <w:rsid w:val="00E71CC9"/>
    <w:rsid w:val="00E72D6B"/>
    <w:rsid w:val="00E7303E"/>
    <w:rsid w:val="00E73300"/>
    <w:rsid w:val="00E7334F"/>
    <w:rsid w:val="00E76DEE"/>
    <w:rsid w:val="00E80265"/>
    <w:rsid w:val="00E856A7"/>
    <w:rsid w:val="00E87622"/>
    <w:rsid w:val="00E87C0F"/>
    <w:rsid w:val="00E91E52"/>
    <w:rsid w:val="00E92504"/>
    <w:rsid w:val="00E93B74"/>
    <w:rsid w:val="00E947C0"/>
    <w:rsid w:val="00E949E2"/>
    <w:rsid w:val="00E95D4F"/>
    <w:rsid w:val="00E96A80"/>
    <w:rsid w:val="00EA62F0"/>
    <w:rsid w:val="00EA6E76"/>
    <w:rsid w:val="00EA7735"/>
    <w:rsid w:val="00EA7F29"/>
    <w:rsid w:val="00EB2ECE"/>
    <w:rsid w:val="00EB526B"/>
    <w:rsid w:val="00EB7B30"/>
    <w:rsid w:val="00EB7DEC"/>
    <w:rsid w:val="00EC0DC9"/>
    <w:rsid w:val="00EC229E"/>
    <w:rsid w:val="00EC262B"/>
    <w:rsid w:val="00EC395E"/>
    <w:rsid w:val="00EC3FA7"/>
    <w:rsid w:val="00EC7E48"/>
    <w:rsid w:val="00ED2DB1"/>
    <w:rsid w:val="00ED5276"/>
    <w:rsid w:val="00ED575E"/>
    <w:rsid w:val="00ED5B1D"/>
    <w:rsid w:val="00ED69C9"/>
    <w:rsid w:val="00EE0514"/>
    <w:rsid w:val="00EE18AD"/>
    <w:rsid w:val="00EE1F69"/>
    <w:rsid w:val="00EE27E3"/>
    <w:rsid w:val="00EE44BF"/>
    <w:rsid w:val="00EE4CE2"/>
    <w:rsid w:val="00EE67FE"/>
    <w:rsid w:val="00EF2FDD"/>
    <w:rsid w:val="00EF3739"/>
    <w:rsid w:val="00EF3AD5"/>
    <w:rsid w:val="00EF4602"/>
    <w:rsid w:val="00EF51E7"/>
    <w:rsid w:val="00EF56AA"/>
    <w:rsid w:val="00EF5D1F"/>
    <w:rsid w:val="00EF70D0"/>
    <w:rsid w:val="00F00720"/>
    <w:rsid w:val="00F07DE7"/>
    <w:rsid w:val="00F100C9"/>
    <w:rsid w:val="00F13B24"/>
    <w:rsid w:val="00F15888"/>
    <w:rsid w:val="00F20898"/>
    <w:rsid w:val="00F21592"/>
    <w:rsid w:val="00F224AB"/>
    <w:rsid w:val="00F225C7"/>
    <w:rsid w:val="00F229E4"/>
    <w:rsid w:val="00F2660C"/>
    <w:rsid w:val="00F27AA7"/>
    <w:rsid w:val="00F30994"/>
    <w:rsid w:val="00F3249F"/>
    <w:rsid w:val="00F32605"/>
    <w:rsid w:val="00F33F5E"/>
    <w:rsid w:val="00F352A1"/>
    <w:rsid w:val="00F35574"/>
    <w:rsid w:val="00F40EC4"/>
    <w:rsid w:val="00F44C5A"/>
    <w:rsid w:val="00F45633"/>
    <w:rsid w:val="00F47AE5"/>
    <w:rsid w:val="00F553D1"/>
    <w:rsid w:val="00F55ADF"/>
    <w:rsid w:val="00F55E47"/>
    <w:rsid w:val="00F5603E"/>
    <w:rsid w:val="00F60904"/>
    <w:rsid w:val="00F61F66"/>
    <w:rsid w:val="00F66A4B"/>
    <w:rsid w:val="00F7069E"/>
    <w:rsid w:val="00F70F3C"/>
    <w:rsid w:val="00F720E1"/>
    <w:rsid w:val="00F7315C"/>
    <w:rsid w:val="00F75BC2"/>
    <w:rsid w:val="00F7657E"/>
    <w:rsid w:val="00F7799A"/>
    <w:rsid w:val="00F77C3D"/>
    <w:rsid w:val="00F81119"/>
    <w:rsid w:val="00F815D1"/>
    <w:rsid w:val="00F81F1E"/>
    <w:rsid w:val="00F829ED"/>
    <w:rsid w:val="00F8554A"/>
    <w:rsid w:val="00F86DF0"/>
    <w:rsid w:val="00F922C3"/>
    <w:rsid w:val="00F9286D"/>
    <w:rsid w:val="00F931F9"/>
    <w:rsid w:val="00F96829"/>
    <w:rsid w:val="00F968D1"/>
    <w:rsid w:val="00FA0727"/>
    <w:rsid w:val="00FA258A"/>
    <w:rsid w:val="00FA3589"/>
    <w:rsid w:val="00FA5C3B"/>
    <w:rsid w:val="00FA6A41"/>
    <w:rsid w:val="00FA77B8"/>
    <w:rsid w:val="00FB0B53"/>
    <w:rsid w:val="00FB31A7"/>
    <w:rsid w:val="00FC01B6"/>
    <w:rsid w:val="00FC16E7"/>
    <w:rsid w:val="00FC3479"/>
    <w:rsid w:val="00FD035B"/>
    <w:rsid w:val="00FD1600"/>
    <w:rsid w:val="00FD16C9"/>
    <w:rsid w:val="00FD1DC0"/>
    <w:rsid w:val="00FD70D3"/>
    <w:rsid w:val="00FE2B13"/>
    <w:rsid w:val="00FE31C0"/>
    <w:rsid w:val="00FE4202"/>
    <w:rsid w:val="00FE460F"/>
    <w:rsid w:val="00FE4792"/>
    <w:rsid w:val="00FE508A"/>
    <w:rsid w:val="00FE57E2"/>
    <w:rsid w:val="00FE6D7A"/>
    <w:rsid w:val="00FE76C2"/>
    <w:rsid w:val="00FE784B"/>
    <w:rsid w:val="00FF096B"/>
    <w:rsid w:val="00FF212F"/>
    <w:rsid w:val="00FF4F68"/>
    <w:rsid w:val="00FF516D"/>
    <w:rsid w:val="00FF6174"/>
    <w:rsid w:val="00FF65D5"/>
    <w:rsid w:val="0109FCEB"/>
    <w:rsid w:val="01887995"/>
    <w:rsid w:val="019F4773"/>
    <w:rsid w:val="026F34D5"/>
    <w:rsid w:val="049419E5"/>
    <w:rsid w:val="054F435A"/>
    <w:rsid w:val="08C6F98C"/>
    <w:rsid w:val="099756AC"/>
    <w:rsid w:val="0A75FFE3"/>
    <w:rsid w:val="0B8269A3"/>
    <w:rsid w:val="0BA0A4F4"/>
    <w:rsid w:val="0BA23049"/>
    <w:rsid w:val="0D77BF6D"/>
    <w:rsid w:val="0D7F1DB5"/>
    <w:rsid w:val="0FD43769"/>
    <w:rsid w:val="10042249"/>
    <w:rsid w:val="119B6C0A"/>
    <w:rsid w:val="1286BAAF"/>
    <w:rsid w:val="16B34CEA"/>
    <w:rsid w:val="16B73C3D"/>
    <w:rsid w:val="174C7B61"/>
    <w:rsid w:val="194EEB0C"/>
    <w:rsid w:val="199E2F8D"/>
    <w:rsid w:val="1B400387"/>
    <w:rsid w:val="1B7372BC"/>
    <w:rsid w:val="1D67975F"/>
    <w:rsid w:val="1F3ADC2A"/>
    <w:rsid w:val="218796B9"/>
    <w:rsid w:val="21C67C60"/>
    <w:rsid w:val="230F84C1"/>
    <w:rsid w:val="23566427"/>
    <w:rsid w:val="238EE80E"/>
    <w:rsid w:val="2391A18B"/>
    <w:rsid w:val="27AA8757"/>
    <w:rsid w:val="27AC204A"/>
    <w:rsid w:val="2A04F566"/>
    <w:rsid w:val="2AA539D1"/>
    <w:rsid w:val="2BED02E7"/>
    <w:rsid w:val="2CE87285"/>
    <w:rsid w:val="300D5E93"/>
    <w:rsid w:val="30AAA4FF"/>
    <w:rsid w:val="30C37D03"/>
    <w:rsid w:val="318E214C"/>
    <w:rsid w:val="31B2DE20"/>
    <w:rsid w:val="33B7F21C"/>
    <w:rsid w:val="345A9502"/>
    <w:rsid w:val="36927321"/>
    <w:rsid w:val="3692D604"/>
    <w:rsid w:val="37450DC2"/>
    <w:rsid w:val="39A69894"/>
    <w:rsid w:val="3A671BDF"/>
    <w:rsid w:val="3B1E9CBA"/>
    <w:rsid w:val="3C1E4E1A"/>
    <w:rsid w:val="3C35EBD7"/>
    <w:rsid w:val="3D4E2CE7"/>
    <w:rsid w:val="3ED959D4"/>
    <w:rsid w:val="3F3E269B"/>
    <w:rsid w:val="3FD6889C"/>
    <w:rsid w:val="40284949"/>
    <w:rsid w:val="42910D7B"/>
    <w:rsid w:val="430E6638"/>
    <w:rsid w:val="453F6831"/>
    <w:rsid w:val="45A2067B"/>
    <w:rsid w:val="45BE5F84"/>
    <w:rsid w:val="46D9C192"/>
    <w:rsid w:val="4862FC30"/>
    <w:rsid w:val="4C2C7DBD"/>
    <w:rsid w:val="4C9CCA9C"/>
    <w:rsid w:val="4D5C1B5F"/>
    <w:rsid w:val="4EA38520"/>
    <w:rsid w:val="4FA7E67E"/>
    <w:rsid w:val="500A02F6"/>
    <w:rsid w:val="504FAF4D"/>
    <w:rsid w:val="5077EE1E"/>
    <w:rsid w:val="5170ECF2"/>
    <w:rsid w:val="5393508D"/>
    <w:rsid w:val="548D8C87"/>
    <w:rsid w:val="5515CCE7"/>
    <w:rsid w:val="552516DC"/>
    <w:rsid w:val="563B0D2D"/>
    <w:rsid w:val="5716317F"/>
    <w:rsid w:val="58965A1C"/>
    <w:rsid w:val="5897C733"/>
    <w:rsid w:val="590E655C"/>
    <w:rsid w:val="5BFBC953"/>
    <w:rsid w:val="5E001C4F"/>
    <w:rsid w:val="5E35FB6E"/>
    <w:rsid w:val="6176C2D3"/>
    <w:rsid w:val="617902F4"/>
    <w:rsid w:val="6341424A"/>
    <w:rsid w:val="64812E48"/>
    <w:rsid w:val="658EBD22"/>
    <w:rsid w:val="66057A77"/>
    <w:rsid w:val="6617B03F"/>
    <w:rsid w:val="6736D7A5"/>
    <w:rsid w:val="6D5153E2"/>
    <w:rsid w:val="6DB7279E"/>
    <w:rsid w:val="6DE9D2B0"/>
    <w:rsid w:val="70459143"/>
    <w:rsid w:val="723485F6"/>
    <w:rsid w:val="73F4E1BA"/>
    <w:rsid w:val="756645CF"/>
    <w:rsid w:val="79EA7A4B"/>
    <w:rsid w:val="7A67BDBA"/>
    <w:rsid w:val="7C72E52A"/>
    <w:rsid w:val="7FF739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28017C7"/>
  <w15:docId w15:val="{09020912-877F-454D-9E93-8910F2C91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624B9"/>
    <w:pPr>
      <w:tabs>
        <w:tab w:val="center" w:pos="4320"/>
        <w:tab w:val="right" w:pos="8640"/>
      </w:tabs>
    </w:pPr>
  </w:style>
  <w:style w:type="character" w:styleId="PageNumber">
    <w:name w:val="page number"/>
    <w:basedOn w:val="DefaultParagraphFont"/>
    <w:rsid w:val="004624B9"/>
  </w:style>
  <w:style w:type="paragraph" w:styleId="ListParagraph">
    <w:name w:val="List Paragraph"/>
    <w:basedOn w:val="Normal"/>
    <w:uiPriority w:val="99"/>
    <w:qFormat/>
    <w:rsid w:val="003C539D"/>
    <w:pPr>
      <w:ind w:left="720"/>
    </w:pPr>
  </w:style>
  <w:style w:type="character" w:styleId="CommentReference">
    <w:name w:val="annotation reference"/>
    <w:uiPriority w:val="99"/>
    <w:rsid w:val="006C41BA"/>
    <w:rPr>
      <w:sz w:val="16"/>
      <w:szCs w:val="16"/>
    </w:rPr>
  </w:style>
  <w:style w:type="paragraph" w:styleId="CommentText">
    <w:name w:val="annotation text"/>
    <w:basedOn w:val="Normal"/>
    <w:link w:val="CommentTextChar"/>
    <w:uiPriority w:val="99"/>
    <w:rsid w:val="006C41BA"/>
    <w:rPr>
      <w:sz w:val="20"/>
    </w:rPr>
  </w:style>
  <w:style w:type="character" w:customStyle="1" w:styleId="CommentTextChar">
    <w:name w:val="Comment Text Char"/>
    <w:basedOn w:val="DefaultParagraphFont"/>
    <w:link w:val="CommentText"/>
    <w:uiPriority w:val="99"/>
    <w:rsid w:val="006C41BA"/>
  </w:style>
  <w:style w:type="paragraph" w:styleId="CommentSubject">
    <w:name w:val="annotation subject"/>
    <w:basedOn w:val="CommentText"/>
    <w:next w:val="CommentText"/>
    <w:link w:val="CommentSubjectChar"/>
    <w:rsid w:val="006C41BA"/>
    <w:rPr>
      <w:b/>
      <w:bCs/>
    </w:rPr>
  </w:style>
  <w:style w:type="character" w:customStyle="1" w:styleId="CommentSubjectChar">
    <w:name w:val="Comment Subject Char"/>
    <w:link w:val="CommentSubject"/>
    <w:rsid w:val="006C41BA"/>
    <w:rPr>
      <w:b/>
      <w:bCs/>
    </w:rPr>
  </w:style>
  <w:style w:type="paragraph" w:styleId="BalloonText">
    <w:name w:val="Balloon Text"/>
    <w:basedOn w:val="Normal"/>
    <w:link w:val="BalloonTextChar"/>
    <w:rsid w:val="006C41BA"/>
    <w:rPr>
      <w:rFonts w:ascii="Tahoma" w:hAnsi="Tahoma" w:cs="Tahoma"/>
      <w:sz w:val="16"/>
      <w:szCs w:val="16"/>
    </w:rPr>
  </w:style>
  <w:style w:type="character" w:customStyle="1" w:styleId="BalloonTextChar">
    <w:name w:val="Balloon Text Char"/>
    <w:link w:val="BalloonText"/>
    <w:rsid w:val="006C41BA"/>
    <w:rPr>
      <w:rFonts w:ascii="Tahoma" w:hAnsi="Tahoma" w:cs="Tahoma"/>
      <w:sz w:val="16"/>
      <w:szCs w:val="16"/>
    </w:rPr>
  </w:style>
  <w:style w:type="paragraph" w:styleId="Header">
    <w:name w:val="header"/>
    <w:basedOn w:val="Normal"/>
    <w:link w:val="HeaderChar"/>
    <w:rsid w:val="00172269"/>
    <w:pPr>
      <w:tabs>
        <w:tab w:val="center" w:pos="4680"/>
        <w:tab w:val="right" w:pos="9360"/>
      </w:tabs>
    </w:pPr>
  </w:style>
  <w:style w:type="character" w:customStyle="1" w:styleId="HeaderChar">
    <w:name w:val="Header Char"/>
    <w:link w:val="Header"/>
    <w:rsid w:val="00172269"/>
    <w:rPr>
      <w:sz w:val="24"/>
    </w:rPr>
  </w:style>
  <w:style w:type="character" w:customStyle="1" w:styleId="FooterChar">
    <w:name w:val="Footer Char"/>
    <w:link w:val="Footer"/>
    <w:uiPriority w:val="99"/>
    <w:rsid w:val="001F5E80"/>
    <w:rPr>
      <w:sz w:val="24"/>
    </w:rPr>
  </w:style>
  <w:style w:type="paragraph" w:styleId="FootnoteText">
    <w:name w:val="footnote text"/>
    <w:basedOn w:val="Normal"/>
    <w:link w:val="FootnoteTextChar"/>
    <w:uiPriority w:val="99"/>
    <w:qFormat/>
    <w:rsid w:val="001B0B27"/>
    <w:rPr>
      <w:sz w:val="20"/>
    </w:rPr>
  </w:style>
  <w:style w:type="character" w:customStyle="1" w:styleId="FootnoteTextChar">
    <w:name w:val="Footnote Text Char"/>
    <w:basedOn w:val="DefaultParagraphFont"/>
    <w:link w:val="FootnoteText"/>
    <w:uiPriority w:val="99"/>
    <w:rsid w:val="001B0B27"/>
  </w:style>
  <w:style w:type="character" w:styleId="FootnoteReference">
    <w:name w:val="footnote reference"/>
    <w:uiPriority w:val="99"/>
    <w:qFormat/>
    <w:rsid w:val="001B0B27"/>
    <w:rPr>
      <w:vertAlign w:val="superscript"/>
    </w:rPr>
  </w:style>
  <w:style w:type="paragraph" w:styleId="Revision">
    <w:name w:val="Revision"/>
    <w:hidden/>
    <w:uiPriority w:val="99"/>
    <w:semiHidden/>
    <w:rsid w:val="006C609F"/>
    <w:rPr>
      <w:sz w:val="24"/>
    </w:rPr>
  </w:style>
  <w:style w:type="character" w:styleId="Hyperlink">
    <w:name w:val="Hyperlink"/>
    <w:rsid w:val="008521BE"/>
    <w:rPr>
      <w:color w:val="0000FF"/>
      <w:u w:val="single"/>
    </w:rPr>
  </w:style>
  <w:style w:type="character" w:styleId="UnresolvedMention">
    <w:name w:val="Unresolved Mention"/>
    <w:basedOn w:val="DefaultParagraphFont"/>
    <w:uiPriority w:val="99"/>
    <w:unhideWhenUsed/>
    <w:rsid w:val="00B31E61"/>
    <w:rPr>
      <w:color w:val="605E5C"/>
      <w:shd w:val="clear" w:color="auto" w:fill="E1DFDD"/>
    </w:rPr>
  </w:style>
  <w:style w:type="character" w:styleId="Mention">
    <w:name w:val="Mention"/>
    <w:basedOn w:val="DefaultParagraphFont"/>
    <w:uiPriority w:val="99"/>
    <w:unhideWhenUsed/>
    <w:rsid w:val="00B31E6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census.gov/naics/?input=336510&amp;year=2022&amp;details=336510" TargetMode="External" /><Relationship Id="rId2" Type="http://schemas.openxmlformats.org/officeDocument/2006/relationships/hyperlink" Target="https://www.sba.gov/document/support-table-size-standard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CE616072E16F4192048B84DB1664BA" ma:contentTypeVersion="6" ma:contentTypeDescription="Create a new document." ma:contentTypeScope="" ma:versionID="9007e715eee125748696a59943153d64">
  <xsd:schema xmlns:xsd="http://www.w3.org/2001/XMLSchema" xmlns:xs="http://www.w3.org/2001/XMLSchema" xmlns:p="http://schemas.microsoft.com/office/2006/metadata/properties" xmlns:ns2="04633026-c0e4-4b84-bcbe-406bbff03bb5" xmlns:ns3="31261f41-70b7-4198-a5a2-c0b62003477d" targetNamespace="http://schemas.microsoft.com/office/2006/metadata/properties" ma:root="true" ma:fieldsID="77f6cb953576db358df365fcd9ef88cf" ns2:_="" ns3:_="">
    <xsd:import namespace="04633026-c0e4-4b84-bcbe-406bbff03bb5"/>
    <xsd:import namespace="31261f41-70b7-4198-a5a2-c0b62003477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33026-c0e4-4b84-bcbe-406bbff03b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261f41-70b7-4198-a5a2-c0b6200347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31261f41-70b7-4198-a5a2-c0b62003477d">
      <UserInfo>
        <DisplayName>Peternel, John (FRA)</DisplayName>
        <AccountId>13</AccountId>
        <AccountType/>
      </UserInfo>
      <UserInfo>
        <DisplayName>Quince, Victoria (FRA)</DisplayName>
        <AccountId>11</AccountId>
        <AccountType/>
      </UserInfo>
      <UserInfo>
        <DisplayName>Masci, Michael (FRA)</DisplayName>
        <AccountId>18</AccountId>
        <AccountType/>
      </UserInfo>
      <UserInfo>
        <DisplayName>Fairbanks, Gary (FRA)</DisplayName>
        <AccountId>14</AccountId>
        <AccountType/>
      </UserInfo>
      <UserInfo>
        <DisplayName>Kam, Check (FRA)</DisplayName>
        <AccountId>12</AccountId>
        <AccountType/>
      </UserInfo>
      <UserInfo>
        <DisplayName>Mussington, Arlette (FRA)</DisplayName>
        <AccountId>25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59236-3A9D-4F1A-9829-A6AD276F74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33026-c0e4-4b84-bcbe-406bbff03bb5"/>
    <ds:schemaRef ds:uri="31261f41-70b7-4198-a5a2-c0b6200347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D322D6-AEE0-49B1-91F2-5DB54AB09529}">
  <ds:schemaRefs>
    <ds:schemaRef ds:uri="http://purl.org/dc/dcmitype/"/>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04633026-c0e4-4b84-bcbe-406bbff03bb5"/>
    <ds:schemaRef ds:uri="http://purl.org/dc/terms/"/>
    <ds:schemaRef ds:uri="31261f41-70b7-4198-a5a2-c0b62003477d"/>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6C08B331-F692-45E0-A5E2-C53E04730800}">
  <ds:schemaRefs>
    <ds:schemaRef ds:uri="http://schemas.microsoft.com/sharepoint/v3/contenttype/forms"/>
  </ds:schemaRefs>
</ds:datastoreItem>
</file>

<file path=customXml/itemProps4.xml><?xml version="1.0" encoding="utf-8"?>
<ds:datastoreItem xmlns:ds="http://schemas.openxmlformats.org/officeDocument/2006/customXml" ds:itemID="{D3820B2E-3B1B-4187-972F-3D5A34F65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1975</Words>
  <Characters>11309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FRA</Company>
  <LinksUpToDate>false</LinksUpToDate>
  <CharactersWithSpaces>13258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frauser1</dc:creator>
  <cp:lastModifiedBy>Swafford, Joanne (FRA)</cp:lastModifiedBy>
  <cp:revision>3</cp:revision>
  <cp:lastPrinted>2010-07-06T17:56:00Z</cp:lastPrinted>
  <dcterms:created xsi:type="dcterms:W3CDTF">2024-12-19T13:23:00Z</dcterms:created>
  <dcterms:modified xsi:type="dcterms:W3CDTF">2024-12-19T13:29:00Z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0x0101006DCE616072E16F4192048B84DB1664BA</vt:lpwstr>
  </property>
  <property fmtid="{D5CDD505-2E9C-101B-9397-08002B2CF9AE}" pid="3" name="MediaServiceImageTags">
    <vt:lpwstr/>
  </property>
</Properties>
</file>