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0410" w:rsidP="001D0410" w14:paraId="7ABE149A" w14:textId="77777777">
      <w:pPr>
        <w:spacing w:after="0" w:line="276" w:lineRule="auto"/>
        <w:jc w:val="center"/>
        <w:rPr>
          <w:rFonts w:eastAsia="Times New Roman"/>
          <w:b/>
          <w:bCs/>
        </w:rPr>
      </w:pPr>
      <w:r w:rsidRPr="00B961BF">
        <w:rPr>
          <w:rFonts w:eastAsia="Times New Roman"/>
          <w:b/>
          <w:bCs/>
        </w:rPr>
        <w:t>Supporting Statement for Paperwork Reduction Act Submissions</w:t>
      </w:r>
    </w:p>
    <w:p w:rsidR="001D0410" w:rsidP="001D0410" w14:paraId="1F8EE540" w14:textId="77777777">
      <w:pPr>
        <w:spacing w:after="0" w:line="276" w:lineRule="auto"/>
        <w:jc w:val="center"/>
        <w:rPr>
          <w:rFonts w:ascii="Arial" w:hAnsi="Arial" w:cs="Arial"/>
          <w:color w:val="000000"/>
          <w:sz w:val="18"/>
          <w:szCs w:val="18"/>
          <w:shd w:val="clear" w:color="auto" w:fill="FFFFFF"/>
        </w:rPr>
      </w:pPr>
    </w:p>
    <w:p w:rsidR="001D0410" w:rsidRPr="001D0410" w:rsidP="001D0410" w14:paraId="462BAF61" w14:textId="6D1A2874">
      <w:pPr>
        <w:spacing w:after="0" w:line="360" w:lineRule="auto"/>
        <w:jc w:val="center"/>
        <w:rPr>
          <w:rFonts w:eastAsia="Times New Roman"/>
          <w:b/>
          <w:bCs/>
        </w:rPr>
      </w:pPr>
      <w:r w:rsidRPr="001D0410">
        <w:rPr>
          <w:b/>
          <w:bCs/>
          <w:color w:val="000000"/>
          <w:shd w:val="clear" w:color="auto" w:fill="FFFFFF"/>
        </w:rPr>
        <w:t>Housing for Older Persons Act of 1995 (HOPA) Exemption from Familial Status Prohibitions</w:t>
      </w:r>
    </w:p>
    <w:p w:rsidR="001D0410" w:rsidRPr="00B961BF" w:rsidP="001D0410" w14:paraId="56C15846" w14:textId="3DDD1DD6">
      <w:pPr>
        <w:spacing w:after="0" w:line="276" w:lineRule="auto"/>
        <w:jc w:val="center"/>
        <w:rPr>
          <w:rFonts w:eastAsia="Times New Roman"/>
          <w:b/>
          <w:bCs/>
        </w:rPr>
      </w:pPr>
      <w:r>
        <w:rPr>
          <w:rFonts w:eastAsia="Times New Roman"/>
          <w:b/>
          <w:bCs/>
        </w:rPr>
        <w:t>2529-0046</w:t>
      </w:r>
    </w:p>
    <w:p w:rsidR="00F277FC" w:rsidRPr="00B961BF" w:rsidP="00F277FC" w14:paraId="26CD47AE" w14:textId="77777777">
      <w:pPr>
        <w:spacing w:after="0" w:line="240" w:lineRule="auto"/>
        <w:rPr>
          <w:rFonts w:eastAsia="Times New Roman"/>
        </w:rPr>
      </w:pPr>
    </w:p>
    <w:p w:rsidR="00F277FC" w:rsidRPr="00B961BF" w:rsidP="00F277FC" w14:paraId="425A00E9" w14:textId="77777777">
      <w:pPr>
        <w:spacing w:after="0" w:line="240" w:lineRule="auto"/>
        <w:rPr>
          <w:rFonts w:eastAsia="Times New Roman"/>
        </w:rPr>
      </w:pPr>
    </w:p>
    <w:p w:rsidR="004D0F2F" w:rsidP="004D0F2F" w14:paraId="67266818" w14:textId="77777777">
      <w:pPr>
        <w:rPr>
          <w:rFonts w:ascii="CG Times" w:hAnsi="CG Times"/>
        </w:rPr>
      </w:pPr>
      <w:r>
        <w:rPr>
          <w:rFonts w:ascii="CG Times" w:hAnsi="CG Times"/>
          <w:b/>
        </w:rPr>
        <w:t>A.</w:t>
      </w:r>
      <w:r>
        <w:rPr>
          <w:rFonts w:ascii="CG Times" w:hAnsi="CG Times"/>
          <w:b/>
        </w:rPr>
        <w:tab/>
        <w:t>Justification</w:t>
      </w:r>
    </w:p>
    <w:p w:rsidR="00F277FC" w:rsidP="00F277FC" w14:paraId="7D36D4C1" w14:textId="77777777">
      <w:pPr>
        <w:spacing w:after="0" w:line="240" w:lineRule="auto"/>
        <w:rPr>
          <w:rFonts w:eastAsia="Times New Roman"/>
        </w:rPr>
      </w:pPr>
    </w:p>
    <w:p w:rsidR="00EF32A7" w:rsidP="00EF32A7" w14:paraId="6A16892B" w14:textId="77777777">
      <w:pPr>
        <w:pStyle w:val="ListParagraph"/>
        <w:numPr>
          <w:ilvl w:val="0"/>
          <w:numId w:val="3"/>
        </w:numPr>
        <w:overflowPunct w:val="0"/>
        <w:autoSpaceDE w:val="0"/>
        <w:autoSpaceDN w:val="0"/>
        <w:adjustRightInd w:val="0"/>
        <w:spacing w:after="0" w:line="240" w:lineRule="auto"/>
        <w:ind w:left="1080"/>
        <w:textAlignment w:val="baseline"/>
        <w:rPr>
          <w:b/>
          <w:color w:val="000000"/>
        </w:rPr>
      </w:pPr>
      <w:r w:rsidRPr="000454A0">
        <w:rPr>
          <w:b/>
          <w:color w:val="000000"/>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F32A7" w:rsidRPr="00FB2B33" w:rsidP="00FB2B33" w14:paraId="123724A6" w14:textId="77777777">
      <w:pPr>
        <w:overflowPunct w:val="0"/>
        <w:autoSpaceDE w:val="0"/>
        <w:autoSpaceDN w:val="0"/>
        <w:adjustRightInd w:val="0"/>
        <w:spacing w:after="0" w:line="240" w:lineRule="auto"/>
        <w:textAlignment w:val="baseline"/>
        <w:rPr>
          <w:bCs/>
          <w:color w:val="000000"/>
        </w:rPr>
      </w:pPr>
    </w:p>
    <w:p w:rsidR="00F277FC" w:rsidP="00F277FC" w14:paraId="5905119D" w14:textId="77777777">
      <w:pPr>
        <w:spacing w:after="0" w:line="240" w:lineRule="auto"/>
        <w:ind w:left="1800"/>
        <w:rPr>
          <w:rFonts w:eastAsia="Times New Roman"/>
        </w:rPr>
      </w:pPr>
      <w:r w:rsidRPr="00B961BF">
        <w:rPr>
          <w:rFonts w:eastAsia="Times New Roman"/>
        </w:rPr>
        <w:t>The Fair Housing Amendments Act of 1988 (the Act) [42 U.S.C. 3601 et seq.], as amended by the Housing for Older Persons Act of 1995 (HOPA) [Public Law 104-76], prohibits discrimination in the sale, rental, occupancy, advertising, insuring, or financing of residential dwellings because children under 18 years of age are domiciled in the household (familial status discrimination).  However, section 807(b)(2)(C) of the Act provides an exemption from liability for familial status discrimination for housing that is “</w:t>
      </w:r>
      <w:r w:rsidRPr="00B961BF">
        <w:rPr>
          <w:rFonts w:eastAsia="Times New Roman"/>
          <w:i/>
          <w:iCs/>
        </w:rPr>
        <w:t>intended and operated for occupancy by persons 55 years of age or older</w:t>
      </w:r>
      <w:r w:rsidRPr="00B961BF">
        <w:rPr>
          <w:rFonts w:eastAsia="Times New Roman"/>
        </w:rPr>
        <w:t>.”  A “55 or older” housing facility or community can lawfully refuse to sell or rent dwellings to families with minor children or can lawfully impose different terms and conditions of residency on such families.  A “55 or older” housing facility or community can also lawfully advertise dwellings for sale or rent in a manner that expresses a preference for applicants with no minor children.</w:t>
      </w:r>
    </w:p>
    <w:p w:rsidR="005D0554" w:rsidRPr="00B961BF" w:rsidP="00F277FC" w14:paraId="76308B2F" w14:textId="77777777">
      <w:pPr>
        <w:spacing w:after="0" w:line="240" w:lineRule="auto"/>
        <w:ind w:left="1800"/>
        <w:rPr>
          <w:rFonts w:eastAsia="Times New Roman"/>
        </w:rPr>
      </w:pPr>
    </w:p>
    <w:p w:rsidR="00F277FC" w:rsidRPr="00B961BF" w:rsidP="00F277FC" w14:paraId="328188A1" w14:textId="09BBD52B">
      <w:pPr>
        <w:spacing w:after="0" w:line="240" w:lineRule="auto"/>
        <w:ind w:left="1800"/>
        <w:rPr>
          <w:rFonts w:eastAsia="Times New Roman"/>
        </w:rPr>
      </w:pPr>
      <w:r w:rsidRPr="00B961BF">
        <w:rPr>
          <w:rFonts w:eastAsia="Times New Roman"/>
        </w:rPr>
        <w:t xml:space="preserve">In order to qualify for the “55 or older ” housing exemption:  (1) at least 80% of the occupied units in the housing facility or community must be occupied by at least one person 55 years of age or older; and (2) the housing </w:t>
      </w:r>
      <w:r w:rsidRPr="00F27743" w:rsidR="00AF4CB0">
        <w:rPr>
          <w:rFonts w:eastAsia="Times New Roman"/>
        </w:rPr>
        <w:t>facility or community</w:t>
      </w:r>
      <w:r w:rsidR="00AF4CB0">
        <w:rPr>
          <w:rFonts w:eastAsia="Times New Roman"/>
        </w:rPr>
        <w:t xml:space="preserve"> </w:t>
      </w:r>
      <w:r w:rsidRPr="00B961BF">
        <w:rPr>
          <w:rFonts w:eastAsia="Times New Roman"/>
        </w:rPr>
        <w:t xml:space="preserve">must publish and adhere to policies and procedures that demonstrate the intent to operate housing for persons 55 years of age or older; and (3) the housing </w:t>
      </w:r>
      <w:r w:rsidRPr="00F27743" w:rsidR="00AF4CB0">
        <w:rPr>
          <w:rFonts w:eastAsia="Times New Roman"/>
        </w:rPr>
        <w:t>facility or community</w:t>
      </w:r>
      <w:r w:rsidR="00AF4CB0">
        <w:rPr>
          <w:rFonts w:eastAsia="Times New Roman"/>
        </w:rPr>
        <w:t xml:space="preserve"> </w:t>
      </w:r>
      <w:r w:rsidRPr="00B961BF">
        <w:rPr>
          <w:rFonts w:eastAsia="Times New Roman"/>
        </w:rPr>
        <w:t>must be able to produce, in response to a complaint, proof of compliance with HUD’s regulatory requirements for verification of the ages of occupants of each dwelling unit, supported by “</w:t>
      </w:r>
      <w:r w:rsidRPr="00B961BF">
        <w:rPr>
          <w:rFonts w:eastAsia="Times New Roman"/>
          <w:i/>
        </w:rPr>
        <w:t>reliable surveys and affidavits.</w:t>
      </w:r>
      <w:r w:rsidRPr="00B961BF">
        <w:rPr>
          <w:rFonts w:eastAsia="Times New Roman"/>
        </w:rPr>
        <w:t>”</w:t>
      </w:r>
    </w:p>
    <w:p w:rsidR="00F277FC" w:rsidP="00F277FC" w14:paraId="2E63651A" w14:textId="77777777">
      <w:pPr>
        <w:spacing w:after="0" w:line="240" w:lineRule="auto"/>
        <w:ind w:left="1800"/>
        <w:rPr>
          <w:rFonts w:eastAsia="Times New Roman"/>
        </w:rPr>
      </w:pPr>
    </w:p>
    <w:p w:rsidR="008D7A3C" w:rsidRPr="00B961BF" w:rsidP="00F277FC" w14:paraId="3E548E53" w14:textId="77777777">
      <w:pPr>
        <w:spacing w:after="0" w:line="240" w:lineRule="auto"/>
        <w:ind w:left="1800"/>
        <w:rPr>
          <w:rFonts w:eastAsia="Times New Roman"/>
        </w:rPr>
      </w:pPr>
    </w:p>
    <w:p w:rsidR="008F46C7" w:rsidRPr="004078E4" w:rsidP="008F46C7" w14:paraId="01F63C71" w14:textId="182BAF95">
      <w:pPr>
        <w:pStyle w:val="ListParagraph"/>
        <w:numPr>
          <w:ilvl w:val="0"/>
          <w:numId w:val="3"/>
        </w:numPr>
        <w:overflowPunct w:val="0"/>
        <w:autoSpaceDE w:val="0"/>
        <w:autoSpaceDN w:val="0"/>
        <w:adjustRightInd w:val="0"/>
        <w:spacing w:after="0" w:line="240" w:lineRule="auto"/>
        <w:ind w:left="1080"/>
        <w:textAlignment w:val="baseline"/>
        <w:rPr>
          <w:rFonts w:ascii="CG Times" w:hAnsi="CG Times"/>
          <w:b/>
          <w:bCs/>
        </w:rPr>
      </w:pPr>
      <w:r w:rsidRPr="004078E4">
        <w:rPr>
          <w:rFonts w:ascii="CG Times" w:hAnsi="CG Times"/>
          <w:b/>
          <w:bCs/>
        </w:rPr>
        <w:t>Indicate how, by whom, and for what purpose the information is to be used.  Except for a new collection, indicate the actual use the agency has made of the information received from the current collection.</w:t>
      </w:r>
    </w:p>
    <w:p w:rsidR="00F277FC" w:rsidRPr="00B961BF" w:rsidP="00F277FC" w14:paraId="124E12C9" w14:textId="77777777">
      <w:pPr>
        <w:spacing w:after="0" w:line="240" w:lineRule="auto"/>
        <w:ind w:left="1080"/>
        <w:rPr>
          <w:rFonts w:eastAsia="Times New Roman"/>
        </w:rPr>
      </w:pPr>
    </w:p>
    <w:p w:rsidR="00F277FC" w:rsidRPr="007056AF" w:rsidP="00F277FC" w14:paraId="58335EBE" w14:textId="77777777">
      <w:pPr>
        <w:ind w:left="1800"/>
        <w:rPr>
          <w:rFonts w:eastAsia="Times New Roman"/>
        </w:rPr>
      </w:pPr>
      <w:r w:rsidRPr="00B961BF">
        <w:rPr>
          <w:rFonts w:eastAsia="Times New Roman"/>
        </w:rPr>
        <w:t xml:space="preserve">Under the Fair Housing Act, HUD is required to investigate all jurisdictional complaints alleging that a housing provider refused to sell or rent a dwelling to a qualified person because of the presence of minor children in that person’s household (familial status discrimination).  If, in response to such a complaint, a housing provider asserts that the housing facility or community is exempt from liability for familial status discrimination because it qualifies for the “55 or older” housing exemption, HUD will request supporting documentation which clearly demonstrates that the housing has been consistently operated in compliance with the “55 or older” exemption criteria listed above in Paragraph One.  If the supporting documentation confirms that the housing facility or community complied with all three “55 or older” housing exemption requirements </w:t>
      </w:r>
      <w:r w:rsidRPr="00B961BF">
        <w:rPr>
          <w:rFonts w:eastAsia="Times New Roman"/>
          <w:u w:val="single"/>
        </w:rPr>
        <w:t>as of the date(s) on which the discrimination allegedly occurred</w:t>
      </w:r>
      <w:r w:rsidRPr="00B961BF">
        <w:rPr>
          <w:rFonts w:eastAsia="Times New Roman"/>
        </w:rPr>
        <w:t>, HUD will determine that there is no reasonable cause to believe that the</w:t>
      </w:r>
      <w:r w:rsidRPr="007056AF">
        <w:rPr>
          <w:rFonts w:eastAsia="Times New Roman"/>
        </w:rPr>
        <w:t xml:space="preserve"> housing facility or community violated the Fair Housing Act.</w:t>
      </w:r>
    </w:p>
    <w:p w:rsidR="00F277FC" w:rsidRPr="007056AF" w:rsidP="00F277FC" w14:paraId="45C681EE" w14:textId="77777777">
      <w:pPr>
        <w:spacing w:after="0" w:line="240" w:lineRule="auto"/>
        <w:ind w:left="1800"/>
        <w:rPr>
          <w:rFonts w:eastAsia="Times New Roman"/>
        </w:rPr>
      </w:pPr>
    </w:p>
    <w:p w:rsidR="00F277FC" w:rsidRPr="007056AF" w:rsidP="00F277FC" w14:paraId="6B73584E" w14:textId="641B7956">
      <w:pPr>
        <w:spacing w:after="0" w:line="240" w:lineRule="auto"/>
        <w:ind w:left="1800"/>
        <w:rPr>
          <w:rFonts w:eastAsia="Times New Roman"/>
          <w:i/>
          <w:iCs/>
        </w:rPr>
      </w:pPr>
      <w:r w:rsidRPr="00B45EEC">
        <w:rPr>
          <w:rFonts w:eastAsia="Times New Roman"/>
        </w:rPr>
        <w:t>As defined under section 802(n) of the Fair Housing Act, “’</w:t>
      </w:r>
      <w:r w:rsidRPr="00B45EEC">
        <w:rPr>
          <w:rFonts w:eastAsia="Times New Roman"/>
          <w:i/>
          <w:iCs/>
        </w:rPr>
        <w:t>Respondent</w:t>
      </w:r>
      <w:r w:rsidRPr="00B45EEC">
        <w:rPr>
          <w:rFonts w:eastAsia="Times New Roman"/>
        </w:rPr>
        <w:t xml:space="preserve">’ </w:t>
      </w:r>
      <w:r w:rsidRPr="00B45EEC">
        <w:rPr>
          <w:rFonts w:eastAsia="Times New Roman"/>
          <w:i/>
          <w:iCs/>
        </w:rPr>
        <w:t xml:space="preserve">means (1) the person or other entity accused in a complaint of an unfair housing practice; and (2) any other person or entity identified </w:t>
      </w:r>
      <w:r w:rsidRPr="00B45EEC">
        <w:rPr>
          <w:rFonts w:eastAsia="Times New Roman"/>
          <w:i/>
          <w:iCs/>
        </w:rPr>
        <w:t>in the course of</w:t>
      </w:r>
      <w:r w:rsidRPr="00B45EEC">
        <w:rPr>
          <w:rFonts w:eastAsia="Times New Roman"/>
          <w:i/>
          <w:iCs/>
        </w:rPr>
        <w:t xml:space="preserve"> investigation and notified with respect to respondents so identified under</w:t>
      </w:r>
      <w:r w:rsidRPr="00B45EEC">
        <w:rPr>
          <w:rFonts w:eastAsia="Times New Roman"/>
        </w:rPr>
        <w:t xml:space="preserve"> </w:t>
      </w:r>
      <w:r w:rsidRPr="00B45EEC">
        <w:rPr>
          <w:rFonts w:eastAsia="Times New Roman"/>
          <w:i/>
          <w:iCs/>
        </w:rPr>
        <w:t>section 810(a)</w:t>
      </w:r>
      <w:r w:rsidRPr="00B45EEC">
        <w:rPr>
          <w:rFonts w:eastAsia="Times New Roman"/>
        </w:rPr>
        <w:t xml:space="preserve">.” </w:t>
      </w:r>
      <w:r>
        <w:rPr>
          <w:rFonts w:eastAsia="Times New Roman"/>
        </w:rPr>
        <w:t xml:space="preserve"> For example, the te</w:t>
      </w:r>
      <w:r w:rsidRPr="007056AF">
        <w:rPr>
          <w:rFonts w:eastAsia="Times New Roman"/>
        </w:rPr>
        <w:t>rm “</w:t>
      </w:r>
      <w:r w:rsidRPr="00603C2A" w:rsidR="00603C2A">
        <w:rPr>
          <w:rFonts w:eastAsia="Times New Roman"/>
          <w:i/>
          <w:iCs/>
        </w:rPr>
        <w:t>r</w:t>
      </w:r>
      <w:r w:rsidRPr="00603C2A">
        <w:rPr>
          <w:rFonts w:eastAsia="Times New Roman"/>
          <w:i/>
          <w:iCs/>
        </w:rPr>
        <w:t>espondent</w:t>
      </w:r>
      <w:r w:rsidRPr="007056AF">
        <w:rPr>
          <w:rFonts w:eastAsia="Times New Roman"/>
        </w:rPr>
        <w:t xml:space="preserve">” </w:t>
      </w:r>
      <w:r>
        <w:rPr>
          <w:rFonts w:eastAsia="Times New Roman"/>
        </w:rPr>
        <w:t>could apply to</w:t>
      </w:r>
      <w:r w:rsidRPr="007056AF">
        <w:rPr>
          <w:rFonts w:eastAsia="Times New Roman"/>
        </w:rPr>
        <w:t xml:space="preserve"> (1) a housing </w:t>
      </w:r>
      <w:r w:rsidR="00603C2A">
        <w:rPr>
          <w:rFonts w:eastAsia="Times New Roman"/>
        </w:rPr>
        <w:t xml:space="preserve">facility or community </w:t>
      </w:r>
      <w:r w:rsidRPr="007056AF">
        <w:rPr>
          <w:rFonts w:eastAsia="Times New Roman"/>
        </w:rPr>
        <w:t>intended and operated for occupancy by persons 55 years of age or older, as defined under section 807(b)(2)(c) of the Fair Housing Act; or (2) a housing facility or community that claims eligibility for the “55 or older” housing exemption.  Section 100.304(b) of the HOPA Final Rule defines the term “</w:t>
      </w:r>
      <w:r w:rsidRPr="007056AF">
        <w:rPr>
          <w:rFonts w:eastAsia="Times New Roman"/>
          <w:i/>
          <w:iCs/>
        </w:rPr>
        <w:t>housing</w:t>
      </w:r>
      <w:r w:rsidRPr="007056AF">
        <w:rPr>
          <w:rFonts w:eastAsia="Times New Roman"/>
        </w:rPr>
        <w:t xml:space="preserve"> </w:t>
      </w:r>
      <w:r w:rsidRPr="007056AF">
        <w:rPr>
          <w:rFonts w:eastAsia="Times New Roman"/>
          <w:i/>
          <w:iCs/>
        </w:rPr>
        <w:t>facility or community</w:t>
      </w:r>
      <w:r w:rsidRPr="007056AF">
        <w:rPr>
          <w:rFonts w:eastAsia="Times New Roman"/>
        </w:rPr>
        <w:t>” as “…</w:t>
      </w:r>
      <w:r w:rsidRPr="007056AF">
        <w:rPr>
          <w:rFonts w:eastAsia="Times New Roman"/>
          <w:i/>
          <w:iCs/>
        </w:rPr>
        <w:t>any dwelling or group of dwelling units governed by a common set of rules, regulations or restrictions.  A portion or portions of a single building shall not constitute a housing facility or community.  Examples of a housing facility or community include but are not limited to: (1) a condominium association; (2) a cooperative; (3) a property governed by a homeowners’ or resident association; (4) a municipally zoned area; (5) a leased property under common private ownership; (6) a mobile home park; and (7) a manufactured housing community.”</w:t>
      </w:r>
    </w:p>
    <w:p w:rsidR="00F277FC" w:rsidP="00F277FC" w14:paraId="430FA82A" w14:textId="77777777">
      <w:pPr>
        <w:spacing w:after="0" w:line="240" w:lineRule="auto"/>
        <w:ind w:left="1800"/>
        <w:rPr>
          <w:rFonts w:eastAsia="Times New Roman"/>
          <w:b/>
          <w:bCs/>
        </w:rPr>
      </w:pPr>
    </w:p>
    <w:p w:rsidR="00F277FC" w:rsidP="00F277FC" w14:paraId="4AB3289A" w14:textId="77777777">
      <w:pPr>
        <w:spacing w:after="0" w:line="240" w:lineRule="auto"/>
        <w:ind w:left="1800"/>
        <w:rPr>
          <w:rFonts w:eastAsia="Times New Roman"/>
          <w:b/>
          <w:bCs/>
        </w:rPr>
      </w:pPr>
    </w:p>
    <w:p w:rsidR="007F4746" w:rsidRPr="003D54AB" w:rsidP="007F4746" w14:paraId="660FFE8B" w14:textId="77777777">
      <w:pPr>
        <w:pStyle w:val="ListParagraph"/>
        <w:numPr>
          <w:ilvl w:val="0"/>
          <w:numId w:val="3"/>
        </w:numPr>
        <w:overflowPunct w:val="0"/>
        <w:autoSpaceDE w:val="0"/>
        <w:autoSpaceDN w:val="0"/>
        <w:adjustRightInd w:val="0"/>
        <w:spacing w:after="0" w:line="240" w:lineRule="auto"/>
        <w:ind w:left="1080"/>
        <w:textAlignment w:val="baseline"/>
        <w:rPr>
          <w:b/>
          <w:color w:val="000000"/>
        </w:rPr>
      </w:pPr>
      <w:r w:rsidRPr="003D54AB">
        <w:rPr>
          <w:b/>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277FC" w:rsidRPr="007056AF" w:rsidP="00F277FC" w14:paraId="2DAEB4F8" w14:textId="77777777">
      <w:pPr>
        <w:spacing w:after="0" w:line="240" w:lineRule="auto"/>
        <w:ind w:left="1080"/>
        <w:rPr>
          <w:rFonts w:eastAsia="Times New Roman"/>
          <w:b/>
          <w:bCs/>
        </w:rPr>
      </w:pPr>
    </w:p>
    <w:p w:rsidR="00F277FC" w:rsidP="00F277FC" w14:paraId="226162C4" w14:textId="77777777">
      <w:pPr>
        <w:spacing w:after="0" w:line="240" w:lineRule="auto"/>
        <w:ind w:left="1728"/>
        <w:rPr>
          <w:rFonts w:eastAsia="Times New Roman"/>
        </w:rPr>
      </w:pPr>
      <w:r w:rsidRPr="007056AF">
        <w:rPr>
          <w:rFonts w:eastAsia="Times New Roman"/>
        </w:rPr>
        <w:t xml:space="preserve">HUD does not control how a “55 or older” housing provider maintains or disseminates the required information </w:t>
      </w:r>
      <w:r w:rsidRPr="007056AF">
        <w:rPr>
          <w:rFonts w:eastAsia="Times New Roman"/>
          <w:i/>
          <w:iCs/>
        </w:rPr>
        <w:t>and has no authority to require housing providers to automate their data collection systems</w:t>
      </w:r>
      <w:r w:rsidRPr="007056AF">
        <w:rPr>
          <w:rFonts w:eastAsia="Times New Roman"/>
        </w:rPr>
        <w:t xml:space="preserve">.  The use of technology in </w:t>
      </w:r>
      <w:r w:rsidRPr="007056AF">
        <w:rPr>
          <w:rFonts w:eastAsia="Times New Roman"/>
        </w:rPr>
        <w:t>the information collection process will vary from community to community, based on the size or technical sophistication of the housing facility or community that intends to qualify for the “55 or older” housing exemption.</w:t>
      </w:r>
    </w:p>
    <w:p w:rsidR="00F277FC" w:rsidRPr="00DA3ADD" w:rsidP="00F277FC" w14:paraId="0D16B66C" w14:textId="77777777">
      <w:pPr>
        <w:spacing w:after="0" w:line="240" w:lineRule="auto"/>
        <w:ind w:left="1728"/>
        <w:rPr>
          <w:rFonts w:eastAsia="Times New Roman"/>
        </w:rPr>
      </w:pPr>
    </w:p>
    <w:p w:rsidR="00F277FC" w:rsidRPr="00DA3ADD" w:rsidP="00F277FC" w14:paraId="3B611012" w14:textId="138A68E8">
      <w:pPr>
        <w:spacing w:after="0" w:line="240" w:lineRule="auto"/>
        <w:ind w:left="1728"/>
        <w:rPr>
          <w:rFonts w:eastAsia="Times New Roman"/>
        </w:rPr>
      </w:pPr>
      <w:r w:rsidRPr="00DA3ADD">
        <w:rPr>
          <w:rFonts w:eastAsia="Times New Roman"/>
        </w:rPr>
        <w:t xml:space="preserve">A housing provider that asserts the “55 or older” housing exemption as an affirmative defense to a jurisdictional familial status discrimination complaint may submit evidence of eligibility for the exemption to HUD in person, by mail, fax, e-mail, or electronically via the internet.  A housing provider may submit supporting documentation of eligibility for the exemption to HUD when filing an answer to the complaint as provided under </w:t>
      </w:r>
      <w:r w:rsidR="00652833">
        <w:rPr>
          <w:rFonts w:eastAsia="Times New Roman"/>
        </w:rPr>
        <w:t xml:space="preserve">section </w:t>
      </w:r>
      <w:r w:rsidRPr="00DA3ADD">
        <w:rPr>
          <w:rFonts w:eastAsia="Times New Roman"/>
        </w:rPr>
        <w:t xml:space="preserve">810(a)(1)(B)(iii) of the Act and under 24 </w:t>
      </w:r>
      <w:r w:rsidRPr="00F27743">
        <w:rPr>
          <w:rFonts w:eastAsia="Times New Roman"/>
        </w:rPr>
        <w:t>C.F.R. Part 103</w:t>
      </w:r>
      <w:r w:rsidRPr="00DA3ADD">
        <w:rPr>
          <w:rFonts w:eastAsia="Times New Roman"/>
        </w:rPr>
        <w:t xml:space="preserve">, Subpart D, §103.203(a) of HUD’s </w:t>
      </w:r>
      <w:r w:rsidR="00674853">
        <w:rPr>
          <w:rFonts w:eastAsia="Times New Roman"/>
        </w:rPr>
        <w:t xml:space="preserve">Fair Housing Act </w:t>
      </w:r>
      <w:r w:rsidRPr="00DA3ADD">
        <w:rPr>
          <w:rFonts w:eastAsia="Times New Roman"/>
        </w:rPr>
        <w:t>implementing regulation, which states:</w:t>
      </w:r>
    </w:p>
    <w:p w:rsidR="00F277FC" w:rsidRPr="00DA3ADD" w:rsidP="00F277FC" w14:paraId="15B25D48" w14:textId="77777777">
      <w:pPr>
        <w:spacing w:after="0" w:line="240" w:lineRule="auto"/>
        <w:ind w:left="1728"/>
        <w:rPr>
          <w:rFonts w:eastAsia="Times New Roman"/>
        </w:rPr>
      </w:pPr>
    </w:p>
    <w:p w:rsidR="00F277FC" w:rsidRPr="00DA3ADD" w:rsidP="00F277FC" w14:paraId="76B1455B" w14:textId="77777777">
      <w:pPr>
        <w:spacing w:after="0" w:line="240" w:lineRule="auto"/>
        <w:ind w:left="1728"/>
        <w:rPr>
          <w:rFonts w:eastAsia="Times New Roman"/>
          <w:i/>
          <w:iCs/>
        </w:rPr>
      </w:pPr>
      <w:r w:rsidRPr="00DA3ADD">
        <w:rPr>
          <w:rFonts w:eastAsia="Times New Roman"/>
        </w:rPr>
        <w:t>“</w:t>
      </w:r>
      <w:r w:rsidRPr="00DA3ADD">
        <w:rPr>
          <w:rFonts w:eastAsia="Times New Roman"/>
          <w:i/>
          <w:iCs/>
        </w:rPr>
        <w:t xml:space="preserve">The respondent may file an answer not later than ten days after receipt of the notice described in §103.50.  </w:t>
      </w:r>
      <w:r w:rsidRPr="00DA3ADD">
        <w:rPr>
          <w:rFonts w:eastAsia="Times New Roman"/>
          <w:i/>
          <w:iCs/>
          <w:u w:val="single"/>
        </w:rPr>
        <w:t>The respondent may assert any defense that might be available to a defendant in a court of law</w:t>
      </w:r>
      <w:r w:rsidRPr="00DA3ADD">
        <w:rPr>
          <w:rFonts w:eastAsia="Times New Roman"/>
          <w:i/>
          <w:iCs/>
        </w:rPr>
        <w:t>.  The answer must be signed and affirmed by the respondent.  The affirmation must state: ‘I declare under penalty of perjury that the foregoing is true and correct.’”</w:t>
      </w:r>
    </w:p>
    <w:p w:rsidR="00F277FC" w:rsidRPr="00687E6D" w:rsidP="00F277FC" w14:paraId="09BEA8BA" w14:textId="77777777">
      <w:pPr>
        <w:spacing w:after="0" w:line="240" w:lineRule="auto"/>
        <w:ind w:left="1728"/>
        <w:rPr>
          <w:rFonts w:eastAsia="Times New Roman"/>
          <w:b/>
          <w:bCs/>
        </w:rPr>
      </w:pPr>
    </w:p>
    <w:p w:rsidR="00F277FC" w:rsidRPr="00DA3ADD" w:rsidP="00F277FC" w14:paraId="725B9400" w14:textId="7C1FEDEE">
      <w:pPr>
        <w:spacing w:after="0" w:line="240" w:lineRule="auto"/>
        <w:ind w:left="1728"/>
        <w:rPr>
          <w:rFonts w:eastAsia="Times New Roman"/>
        </w:rPr>
      </w:pPr>
      <w:r w:rsidRPr="00DA3ADD">
        <w:rPr>
          <w:rFonts w:eastAsia="Times New Roman"/>
        </w:rPr>
        <w:t>During a complaint investigation, housing providers may also submit supporting documentation of eligibility for the “55 or older” housing exemption to HUD in person, by mail, fax, e-mail, or electronically via mobile storage devices such as CDs and USBs, in response to a Data Request Letter</w:t>
      </w:r>
      <w:r w:rsidR="007947C4">
        <w:rPr>
          <w:rFonts w:eastAsia="Times New Roman"/>
        </w:rPr>
        <w:t>,</w:t>
      </w:r>
      <w:r w:rsidR="00614118">
        <w:rPr>
          <w:rFonts w:eastAsia="Times New Roman"/>
        </w:rPr>
        <w:t xml:space="preserve"> or </w:t>
      </w:r>
      <w:r w:rsidR="00B365E7">
        <w:rPr>
          <w:rFonts w:eastAsia="Times New Roman"/>
        </w:rPr>
        <w:t xml:space="preserve">in response to a </w:t>
      </w:r>
      <w:r w:rsidR="00E44E3B">
        <w:rPr>
          <w:rFonts w:eastAsia="Times New Roman"/>
        </w:rPr>
        <w:t>s</w:t>
      </w:r>
      <w:r w:rsidR="00B365E7">
        <w:rPr>
          <w:rFonts w:eastAsia="Times New Roman"/>
        </w:rPr>
        <w:t xml:space="preserve">ubpoena </w:t>
      </w:r>
      <w:r w:rsidR="00E04D9F">
        <w:rPr>
          <w:rFonts w:eastAsia="Times New Roman"/>
        </w:rPr>
        <w:t xml:space="preserve">issued </w:t>
      </w:r>
      <w:r w:rsidR="008443FA">
        <w:rPr>
          <w:rFonts w:eastAsia="Times New Roman"/>
        </w:rPr>
        <w:t xml:space="preserve">under authority of </w:t>
      </w:r>
      <w:r w:rsidR="00CF5B0E">
        <w:rPr>
          <w:rFonts w:eastAsia="Times New Roman"/>
        </w:rPr>
        <w:t xml:space="preserve">section </w:t>
      </w:r>
      <w:r w:rsidR="00E04D9F">
        <w:rPr>
          <w:rFonts w:eastAsia="Times New Roman"/>
        </w:rPr>
        <w:t>811 of the Fair Housing Act</w:t>
      </w:r>
      <w:r w:rsidRPr="00DA3ADD">
        <w:rPr>
          <w:rFonts w:eastAsia="Times New Roman"/>
        </w:rPr>
        <w:t>.  HUD Investigators may also review and copy housing providers’ supporting documentation in person during on-site inspections of subject housing facilities or communities.</w:t>
      </w:r>
    </w:p>
    <w:p w:rsidR="00F277FC" w:rsidRPr="00DA3ADD" w:rsidP="00F277FC" w14:paraId="3E49B930" w14:textId="77777777">
      <w:pPr>
        <w:spacing w:after="0" w:line="240" w:lineRule="auto"/>
        <w:ind w:left="1728"/>
        <w:rPr>
          <w:rFonts w:eastAsia="Times New Roman"/>
        </w:rPr>
      </w:pPr>
    </w:p>
    <w:p w:rsidR="00F277FC" w:rsidRPr="00F70B5B" w:rsidP="00F277FC" w14:paraId="2D524393" w14:textId="0F268A99">
      <w:pPr>
        <w:spacing w:after="0" w:line="240" w:lineRule="auto"/>
        <w:ind w:left="1728"/>
        <w:rPr>
          <w:rFonts w:eastAsia="Times New Roman"/>
        </w:rPr>
      </w:pPr>
      <w:r w:rsidRPr="00DA3ADD">
        <w:rPr>
          <w:rFonts w:eastAsia="Times New Roman"/>
        </w:rPr>
        <w:t xml:space="preserve">On </w:t>
      </w:r>
      <w:r w:rsidR="004F03DC">
        <w:rPr>
          <w:rFonts w:eastAsia="Times New Roman"/>
        </w:rPr>
        <w:t xml:space="preserve">December 8, </w:t>
      </w:r>
      <w:r w:rsidR="00087578">
        <w:rPr>
          <w:rFonts w:eastAsia="Times New Roman"/>
        </w:rPr>
        <w:t>2023,</w:t>
      </w:r>
      <w:r w:rsidRPr="00DA3ADD">
        <w:rPr>
          <w:rFonts w:eastAsia="Times New Roman"/>
        </w:rPr>
        <w:t xml:space="preserve"> FHEO’s Office of Information Services &amp; Communication issued a</w:t>
      </w:r>
      <w:r w:rsidR="003868A6">
        <w:rPr>
          <w:rFonts w:eastAsia="Times New Roman"/>
        </w:rPr>
        <w:t xml:space="preserve">n updated </w:t>
      </w:r>
      <w:r w:rsidRPr="00DA3ADD">
        <w:rPr>
          <w:rFonts w:eastAsia="Times New Roman"/>
        </w:rPr>
        <w:t xml:space="preserve">Privacy Impact Assessment (PIA) for </w:t>
      </w:r>
      <w:r w:rsidR="004711D7">
        <w:rPr>
          <w:rFonts w:eastAsia="Times New Roman"/>
        </w:rPr>
        <w:t xml:space="preserve">FHEO’s </w:t>
      </w:r>
      <w:r w:rsidRPr="00DA3ADD">
        <w:rPr>
          <w:rFonts w:eastAsia="Times New Roman"/>
        </w:rPr>
        <w:t>electronic HUD Enforcement Management System (HEMS) database.  HEMS, implemented in 2014, is FHEO’s authorized automated repository for case records and documentary evidence collected during Fair Housing Act complaint investigations</w:t>
      </w:r>
      <w:r w:rsidR="009167F8">
        <w:rPr>
          <w:rFonts w:eastAsia="Times New Roman"/>
        </w:rPr>
        <w:t xml:space="preserve"> </w:t>
      </w:r>
      <w:r w:rsidRPr="00F27743" w:rsidR="009167F8">
        <w:rPr>
          <w:rFonts w:eastAsia="Times New Roman"/>
        </w:rPr>
        <w:t>[42 U.S.C. 3601 et seq.; 24 C.F.R. Part 100]</w:t>
      </w:r>
      <w:r w:rsidRPr="00DA3ADD">
        <w:rPr>
          <w:rFonts w:eastAsia="Times New Roman"/>
        </w:rPr>
        <w:t xml:space="preserve">, including jurisdictional familial status discrimination complaints for which Respondents asserted the “55 or older” housing exemption as an affirmative defense.  FHEO’s HEMS PIA describes: (1) the legal authority that permits FHEO’s collection of information; (2) the specific type of information used by HEMS; (3) how and why HEMS uses the information; (4) whether the system provides notice to individuals that their information is generated by the system; (5) the length of time that HEMS retains the information; (6) whether and with whom the system disseminates information; (7) procedures individuals may use to access </w:t>
      </w:r>
      <w:r w:rsidRPr="00F70B5B">
        <w:rPr>
          <w:rFonts w:eastAsia="Times New Roman"/>
        </w:rPr>
        <w:t xml:space="preserve">or amend information used by the system; and (8) physical, technical, and administrative safeguards applied to the system to secure the information.  HEMS is also FHEO’s authorized automated repository for </w:t>
      </w:r>
      <w:r w:rsidRPr="00F70B5B">
        <w:rPr>
          <w:rFonts w:eastAsia="Times New Roman"/>
        </w:rPr>
        <w:t>information collected during the course of administrative complaint investigations and compliance reviews conducted under Title VI of the Civil Rights Act of 1964</w:t>
      </w:r>
      <w:r w:rsidR="00F7206C">
        <w:rPr>
          <w:rFonts w:eastAsia="Times New Roman"/>
        </w:rPr>
        <w:t xml:space="preserve"> </w:t>
      </w:r>
      <w:r w:rsidR="000A5F01">
        <w:rPr>
          <w:rFonts w:eastAsia="Times New Roman"/>
        </w:rPr>
        <w:t>[42 U.S.C. 2000</w:t>
      </w:r>
      <w:r w:rsidR="00E26522">
        <w:rPr>
          <w:rFonts w:eastAsia="Times New Roman"/>
        </w:rPr>
        <w:t>d-2000</w:t>
      </w:r>
      <w:r w:rsidR="00434CD4">
        <w:rPr>
          <w:rFonts w:eastAsia="Times New Roman"/>
        </w:rPr>
        <w:t>d-7</w:t>
      </w:r>
      <w:r w:rsidR="00E26522">
        <w:rPr>
          <w:rFonts w:eastAsia="Times New Roman"/>
        </w:rPr>
        <w:t>]</w:t>
      </w:r>
      <w:r w:rsidRPr="00F70B5B">
        <w:rPr>
          <w:rFonts w:eastAsia="Times New Roman"/>
        </w:rPr>
        <w:t>; Section 504 of the Rehabilitation Act of 1973</w:t>
      </w:r>
      <w:r w:rsidR="00E26522">
        <w:rPr>
          <w:rFonts w:eastAsia="Times New Roman"/>
        </w:rPr>
        <w:t xml:space="preserve"> [</w:t>
      </w:r>
      <w:r w:rsidR="00791F35">
        <w:rPr>
          <w:rFonts w:eastAsia="Times New Roman"/>
        </w:rPr>
        <w:t>29 U.S.C. 794]</w:t>
      </w:r>
      <w:r w:rsidRPr="00F70B5B">
        <w:rPr>
          <w:rFonts w:eastAsia="Times New Roman"/>
        </w:rPr>
        <w:t xml:space="preserve">; Section 109 </w:t>
      </w:r>
      <w:r w:rsidRPr="00F27743">
        <w:rPr>
          <w:rFonts w:eastAsia="Times New Roman"/>
        </w:rPr>
        <w:t xml:space="preserve">of </w:t>
      </w:r>
      <w:r w:rsidRPr="00F27743" w:rsidR="009167F8">
        <w:rPr>
          <w:rFonts w:eastAsia="Times New Roman"/>
        </w:rPr>
        <w:t>Title I</w:t>
      </w:r>
      <w:r w:rsidR="009167F8">
        <w:rPr>
          <w:rFonts w:eastAsia="Times New Roman"/>
        </w:rPr>
        <w:t xml:space="preserve"> of </w:t>
      </w:r>
      <w:r w:rsidRPr="00F70B5B">
        <w:rPr>
          <w:rFonts w:eastAsia="Times New Roman"/>
        </w:rPr>
        <w:t>the Housing &amp; Community Development Act of 1974</w:t>
      </w:r>
      <w:r w:rsidR="00791F35">
        <w:rPr>
          <w:rFonts w:eastAsia="Times New Roman"/>
        </w:rPr>
        <w:t xml:space="preserve"> [</w:t>
      </w:r>
      <w:r w:rsidR="008245F6">
        <w:rPr>
          <w:rFonts w:eastAsia="Times New Roman"/>
        </w:rPr>
        <w:t xml:space="preserve">42 U.S.C. </w:t>
      </w:r>
      <w:r w:rsidR="00BB552C">
        <w:rPr>
          <w:rFonts w:eastAsia="Times New Roman"/>
        </w:rPr>
        <w:t>5309]</w:t>
      </w:r>
      <w:r w:rsidRPr="00F70B5B">
        <w:rPr>
          <w:rFonts w:eastAsia="Times New Roman"/>
        </w:rPr>
        <w:t>; Title II of the Americans with Disabilities Act of 1990</w:t>
      </w:r>
      <w:r w:rsidR="00BB552C">
        <w:rPr>
          <w:rFonts w:eastAsia="Times New Roman"/>
        </w:rPr>
        <w:t xml:space="preserve"> </w:t>
      </w:r>
      <w:r w:rsidRPr="00F27743" w:rsidR="00BB552C">
        <w:rPr>
          <w:rFonts w:eastAsia="Times New Roman"/>
        </w:rPr>
        <w:t>[</w:t>
      </w:r>
      <w:r w:rsidRPr="00F27743" w:rsidR="003B421C">
        <w:rPr>
          <w:rFonts w:eastAsia="Times New Roman"/>
        </w:rPr>
        <w:t xml:space="preserve">42 U.S.C. §§ </w:t>
      </w:r>
      <w:r w:rsidRPr="00F27743" w:rsidR="006E0B07">
        <w:rPr>
          <w:rFonts w:eastAsia="Times New Roman"/>
        </w:rPr>
        <w:t>121</w:t>
      </w:r>
      <w:r w:rsidRPr="00F27743" w:rsidR="00567EE5">
        <w:rPr>
          <w:rFonts w:eastAsia="Times New Roman"/>
        </w:rPr>
        <w:t>3</w:t>
      </w:r>
      <w:r w:rsidRPr="00F27743" w:rsidR="006E0B07">
        <w:rPr>
          <w:rFonts w:eastAsia="Times New Roman"/>
        </w:rPr>
        <w:t>1</w:t>
      </w:r>
      <w:r w:rsidRPr="00F27743" w:rsidR="00567EE5">
        <w:rPr>
          <w:rFonts w:eastAsia="Times New Roman"/>
        </w:rPr>
        <w:t>-12165</w:t>
      </w:r>
      <w:r w:rsidRPr="00F27743" w:rsidR="006E0B07">
        <w:rPr>
          <w:rFonts w:eastAsia="Times New Roman"/>
        </w:rPr>
        <w:t>]</w:t>
      </w:r>
      <w:r w:rsidRPr="00F70B5B">
        <w:rPr>
          <w:rFonts w:eastAsia="Times New Roman"/>
        </w:rPr>
        <w:t xml:space="preserve">; </w:t>
      </w:r>
      <w:r w:rsidRPr="00F27743" w:rsidR="00567EE5">
        <w:rPr>
          <w:rFonts w:eastAsia="Times New Roman"/>
        </w:rPr>
        <w:t>Title III</w:t>
      </w:r>
      <w:r w:rsidR="00567EE5">
        <w:rPr>
          <w:rFonts w:eastAsia="Times New Roman"/>
        </w:rPr>
        <w:t xml:space="preserve"> of the Americans with Disabilities Act of 1990 </w:t>
      </w:r>
      <w:r w:rsidRPr="00F27743" w:rsidR="00567EE5">
        <w:rPr>
          <w:rFonts w:eastAsia="Times New Roman"/>
        </w:rPr>
        <w:t>[42 U.S.C. §§ 12181-12189]</w:t>
      </w:r>
      <w:r w:rsidR="00567EE5">
        <w:rPr>
          <w:rFonts w:eastAsia="Times New Roman"/>
        </w:rPr>
        <w:t xml:space="preserve">; </w:t>
      </w:r>
      <w:r w:rsidRPr="00F70B5B">
        <w:rPr>
          <w:rFonts w:eastAsia="Times New Roman"/>
        </w:rPr>
        <w:t>the Age Discrimination Act of 1975</w:t>
      </w:r>
      <w:r w:rsidR="00D67F33">
        <w:rPr>
          <w:rFonts w:eastAsia="Times New Roman"/>
        </w:rPr>
        <w:t xml:space="preserve"> [42 U.S.C. §</w:t>
      </w:r>
      <w:r w:rsidR="00C264FE">
        <w:rPr>
          <w:rFonts w:eastAsia="Times New Roman"/>
        </w:rPr>
        <w:t>§</w:t>
      </w:r>
      <w:r w:rsidR="00E30FD2">
        <w:rPr>
          <w:rFonts w:eastAsia="Times New Roman"/>
        </w:rPr>
        <w:t xml:space="preserve"> </w:t>
      </w:r>
      <w:r w:rsidR="00C264FE">
        <w:rPr>
          <w:rFonts w:eastAsia="Times New Roman"/>
        </w:rPr>
        <w:t>6101-6107]</w:t>
      </w:r>
      <w:r w:rsidRPr="00F70B5B">
        <w:rPr>
          <w:rFonts w:eastAsia="Times New Roman"/>
        </w:rPr>
        <w:t>; Title IX of the Education Amendments Act of 1972</w:t>
      </w:r>
      <w:r w:rsidR="00C264FE">
        <w:rPr>
          <w:rFonts w:eastAsia="Times New Roman"/>
        </w:rPr>
        <w:t xml:space="preserve"> [</w:t>
      </w:r>
      <w:r w:rsidR="005832CA">
        <w:rPr>
          <w:rFonts w:eastAsia="Times New Roman"/>
        </w:rPr>
        <w:t xml:space="preserve">20 U.S.C. §§ </w:t>
      </w:r>
      <w:r w:rsidR="00DA760B">
        <w:rPr>
          <w:rFonts w:eastAsia="Times New Roman"/>
        </w:rPr>
        <w:t>1681-1688]</w:t>
      </w:r>
      <w:r w:rsidRPr="00F70B5B">
        <w:rPr>
          <w:rFonts w:eastAsia="Times New Roman"/>
        </w:rPr>
        <w:t>; the Architectural Barriers Act of 1968</w:t>
      </w:r>
      <w:r w:rsidR="00802F39">
        <w:rPr>
          <w:rFonts w:eastAsia="Times New Roman"/>
        </w:rPr>
        <w:t xml:space="preserve"> [42 U.S.C. 4151 et seq.]</w:t>
      </w:r>
      <w:r w:rsidRPr="00F70B5B">
        <w:rPr>
          <w:rFonts w:eastAsia="Times New Roman"/>
        </w:rPr>
        <w:t xml:space="preserve">; </w:t>
      </w:r>
      <w:r w:rsidR="00017F61">
        <w:rPr>
          <w:rFonts w:eastAsia="Times New Roman"/>
        </w:rPr>
        <w:t xml:space="preserve">the 2022 </w:t>
      </w:r>
      <w:r w:rsidR="00DD5462">
        <w:rPr>
          <w:rFonts w:eastAsia="Times New Roman"/>
        </w:rPr>
        <w:t>re</w:t>
      </w:r>
      <w:r w:rsidR="00017F61">
        <w:rPr>
          <w:rFonts w:eastAsia="Times New Roman"/>
        </w:rPr>
        <w:t>authorization of the Violence Against Women Act</w:t>
      </w:r>
      <w:r w:rsidR="00DD5462">
        <w:rPr>
          <w:rFonts w:eastAsia="Times New Roman"/>
        </w:rPr>
        <w:t xml:space="preserve"> (VAWA</w:t>
      </w:r>
      <w:r w:rsidR="00C01A06">
        <w:rPr>
          <w:rFonts w:eastAsia="Times New Roman"/>
        </w:rPr>
        <w:t xml:space="preserve"> 2022</w:t>
      </w:r>
      <w:r w:rsidR="00DD5462">
        <w:rPr>
          <w:rFonts w:eastAsia="Times New Roman"/>
        </w:rPr>
        <w:t>)</w:t>
      </w:r>
      <w:r w:rsidR="00802F39">
        <w:rPr>
          <w:rFonts w:eastAsia="Times New Roman"/>
        </w:rPr>
        <w:t xml:space="preserve"> [</w:t>
      </w:r>
      <w:r w:rsidRPr="00F27743" w:rsidR="0085305D">
        <w:rPr>
          <w:rFonts w:eastAsia="Times New Roman"/>
        </w:rPr>
        <w:t xml:space="preserve">34 U.S.C. </w:t>
      </w:r>
      <w:r w:rsidRPr="00F27743" w:rsidR="006C0361">
        <w:rPr>
          <w:rFonts w:eastAsia="Times New Roman"/>
        </w:rPr>
        <w:t xml:space="preserve">12291; 34 U.S.C. 12471-12475; 34 U.S.C. </w:t>
      </w:r>
      <w:r w:rsidRPr="00F27743" w:rsidR="0085305D">
        <w:rPr>
          <w:rFonts w:eastAsia="Times New Roman"/>
        </w:rPr>
        <w:t>12</w:t>
      </w:r>
      <w:r w:rsidRPr="00F27743" w:rsidR="006C0361">
        <w:rPr>
          <w:rFonts w:eastAsia="Times New Roman"/>
        </w:rPr>
        <w:t>4</w:t>
      </w:r>
      <w:r w:rsidRPr="00F27743" w:rsidR="001104E0">
        <w:rPr>
          <w:rFonts w:eastAsia="Times New Roman"/>
        </w:rPr>
        <w:t>91-1249</w:t>
      </w:r>
      <w:r w:rsidRPr="00F27743" w:rsidR="006C0361">
        <w:rPr>
          <w:rFonts w:eastAsia="Times New Roman"/>
        </w:rPr>
        <w:t>6</w:t>
      </w:r>
      <w:r w:rsidRPr="00F27743" w:rsidR="00E6337A">
        <w:rPr>
          <w:rFonts w:eastAsia="Times New Roman"/>
        </w:rPr>
        <w:t>; 24 C.F.R. Part 5, Subpart L, 5.2001-5.2011</w:t>
      </w:r>
      <w:r w:rsidR="0085305D">
        <w:rPr>
          <w:rFonts w:eastAsia="Times New Roman"/>
        </w:rPr>
        <w:t>]</w:t>
      </w:r>
      <w:r w:rsidR="00DD5462">
        <w:rPr>
          <w:rFonts w:eastAsia="Times New Roman"/>
        </w:rPr>
        <w:t xml:space="preserve">; </w:t>
      </w:r>
      <w:r w:rsidRPr="00F70B5B">
        <w:rPr>
          <w:rFonts w:eastAsia="Times New Roman"/>
        </w:rPr>
        <w:t>and Executive Orders 12549 and 12689.</w:t>
      </w:r>
    </w:p>
    <w:p w:rsidR="00F277FC" w:rsidP="00F277FC" w14:paraId="47F72FC6" w14:textId="77777777">
      <w:pPr>
        <w:spacing w:after="0" w:line="240" w:lineRule="auto"/>
        <w:ind w:left="1728"/>
        <w:rPr>
          <w:rFonts w:eastAsia="Times New Roman"/>
        </w:rPr>
      </w:pPr>
    </w:p>
    <w:p w:rsidR="0078373E" w:rsidP="00F277FC" w14:paraId="1A33D63D" w14:textId="77777777">
      <w:pPr>
        <w:spacing w:after="0" w:line="240" w:lineRule="auto"/>
        <w:ind w:left="1728"/>
        <w:rPr>
          <w:rFonts w:eastAsia="Times New Roman"/>
        </w:rPr>
      </w:pPr>
    </w:p>
    <w:p w:rsidR="00E9738D" w:rsidRPr="001113CA" w:rsidP="00E9738D" w14:paraId="1C16F683" w14:textId="77777777">
      <w:pPr>
        <w:pStyle w:val="ListParagraph"/>
        <w:numPr>
          <w:ilvl w:val="0"/>
          <w:numId w:val="3"/>
        </w:numPr>
        <w:overflowPunct w:val="0"/>
        <w:autoSpaceDE w:val="0"/>
        <w:autoSpaceDN w:val="0"/>
        <w:adjustRightInd w:val="0"/>
        <w:spacing w:after="0" w:line="240" w:lineRule="auto"/>
        <w:ind w:left="1080"/>
        <w:textAlignment w:val="baseline"/>
        <w:rPr>
          <w:b/>
          <w:bCs/>
        </w:rPr>
      </w:pPr>
      <w:r w:rsidRPr="001113CA">
        <w:rPr>
          <w:b/>
          <w:bCs/>
        </w:rPr>
        <w:t xml:space="preserve">Describe efforts to identify duplication.  Show specifically why any similar information already available cannot be used or modified for use for the purpose described in Item 2 above. </w:t>
      </w:r>
    </w:p>
    <w:p w:rsidR="00F277FC" w:rsidRPr="00F70B5B" w:rsidP="00B7659D" w14:paraId="5AA2BDE8" w14:textId="77777777">
      <w:pPr>
        <w:spacing w:after="0" w:line="240" w:lineRule="auto"/>
        <w:ind w:left="720"/>
        <w:rPr>
          <w:rFonts w:eastAsia="Times New Roman"/>
        </w:rPr>
      </w:pPr>
    </w:p>
    <w:p w:rsidR="00F277FC" w:rsidP="00F277FC" w14:paraId="305C5DE6" w14:textId="77777777">
      <w:pPr>
        <w:spacing w:after="0" w:line="240" w:lineRule="auto"/>
        <w:ind w:left="1800"/>
        <w:rPr>
          <w:rFonts w:eastAsia="Times New Roman"/>
        </w:rPr>
      </w:pPr>
      <w:r w:rsidRPr="007056AF">
        <w:rPr>
          <w:rFonts w:eastAsia="Times New Roman"/>
        </w:rPr>
        <w:t xml:space="preserve">Each information collection under the HOPA Final Rule will be unique to the </w:t>
      </w:r>
      <w:r>
        <w:rPr>
          <w:rFonts w:eastAsia="Times New Roman"/>
        </w:rPr>
        <w:t xml:space="preserve">characteristics of the </w:t>
      </w:r>
      <w:r w:rsidRPr="007056AF">
        <w:rPr>
          <w:rFonts w:eastAsia="Times New Roman"/>
        </w:rPr>
        <w:t xml:space="preserve">housing facility or community that intends to qualify for the “55 or older” housing exemption.  </w:t>
      </w:r>
    </w:p>
    <w:p w:rsidR="00B7659D" w:rsidP="00F277FC" w14:paraId="6D7837A3" w14:textId="77777777">
      <w:pPr>
        <w:spacing w:after="0" w:line="240" w:lineRule="auto"/>
        <w:ind w:left="1800"/>
        <w:rPr>
          <w:rFonts w:eastAsia="Times New Roman"/>
        </w:rPr>
      </w:pPr>
    </w:p>
    <w:p w:rsidR="00B7659D" w:rsidP="00F277FC" w14:paraId="3E1359F8" w14:textId="77777777">
      <w:pPr>
        <w:spacing w:after="0" w:line="240" w:lineRule="auto"/>
        <w:ind w:left="1800"/>
        <w:rPr>
          <w:rFonts w:eastAsia="Times New Roman"/>
        </w:rPr>
      </w:pPr>
    </w:p>
    <w:p w:rsidR="00D63F02" w:rsidP="00D63F02" w14:paraId="3CB3ED64" w14:textId="77777777">
      <w:pPr>
        <w:pStyle w:val="ListParagraph"/>
        <w:numPr>
          <w:ilvl w:val="0"/>
          <w:numId w:val="3"/>
        </w:numPr>
        <w:overflowPunct w:val="0"/>
        <w:autoSpaceDE w:val="0"/>
        <w:autoSpaceDN w:val="0"/>
        <w:adjustRightInd w:val="0"/>
        <w:spacing w:after="0" w:line="240" w:lineRule="auto"/>
        <w:ind w:left="1080"/>
        <w:textAlignment w:val="baseline"/>
        <w:rPr>
          <w:rFonts w:ascii="CG Times" w:hAnsi="CG Times"/>
          <w:b/>
          <w:bCs/>
        </w:rPr>
      </w:pPr>
      <w:r w:rsidRPr="00F87FD0">
        <w:rPr>
          <w:rFonts w:ascii="CG Times" w:hAnsi="CG Times"/>
          <w:b/>
          <w:bCs/>
        </w:rPr>
        <w:t>If the collection of information affects small businesses or other small entities (Item 5 of Form OMB-83i), describe any efforts used to minimize burden.</w:t>
      </w:r>
    </w:p>
    <w:p w:rsidR="00F277FC" w:rsidRPr="007056AF" w:rsidP="00F277FC" w14:paraId="5CB714D8" w14:textId="77777777">
      <w:pPr>
        <w:spacing w:after="0" w:line="240" w:lineRule="auto"/>
        <w:rPr>
          <w:rFonts w:eastAsia="Times New Roman"/>
        </w:rPr>
      </w:pPr>
    </w:p>
    <w:p w:rsidR="00F277FC" w:rsidRPr="007056AF" w:rsidP="00F277FC" w14:paraId="76A7982E" w14:textId="220DAEC5">
      <w:pPr>
        <w:spacing w:after="0" w:line="240" w:lineRule="auto"/>
        <w:ind w:left="1800"/>
        <w:rPr>
          <w:rFonts w:eastAsia="Times New Roman"/>
        </w:rPr>
      </w:pPr>
      <w:r w:rsidRPr="007056AF">
        <w:rPr>
          <w:rFonts w:eastAsia="Times New Roman"/>
        </w:rPr>
        <w:t xml:space="preserve">The information collection requirement imposes no additional burden on small businesses and other small entities that operate “55 or older” housing facilities or communities.  Under </w:t>
      </w:r>
      <w:r w:rsidR="00FE57F0">
        <w:rPr>
          <w:rFonts w:eastAsia="Times New Roman"/>
        </w:rPr>
        <w:t>section 807(b)(2)</w:t>
      </w:r>
      <w:r w:rsidR="00773821">
        <w:rPr>
          <w:rFonts w:eastAsia="Times New Roman"/>
        </w:rPr>
        <w:t xml:space="preserve">(C) of </w:t>
      </w:r>
      <w:r w:rsidRPr="007056AF">
        <w:rPr>
          <w:rFonts w:eastAsia="Times New Roman"/>
        </w:rPr>
        <w:t>the Fair Housing Act and the HOPA Final Rule, a housing provider that intends to qualify for the “55 or older” housing exemption must collect, maintain, and update reliable age verification information that demonstrates the provider’s compliance with the exemption criteria.  HUD has no statutory authority to waive or modify the “55 or older” exemption’s record-keeping requirements based on the size of a particular housing facility or community.  However, HUD believes that, as a practical matter, the fewer the total number of units in a housing facility or community, the lighter the information collection burden per unit for the “55 or older” housing provider.</w:t>
      </w:r>
    </w:p>
    <w:p w:rsidR="00F277FC" w:rsidP="00F277FC" w14:paraId="16860444" w14:textId="77777777">
      <w:pPr>
        <w:spacing w:after="0" w:line="240" w:lineRule="auto"/>
        <w:rPr>
          <w:rFonts w:eastAsia="Times New Roman"/>
        </w:rPr>
      </w:pPr>
    </w:p>
    <w:p w:rsidR="00F74426" w:rsidRPr="007056AF" w:rsidP="00F277FC" w14:paraId="1E2D786E" w14:textId="77777777">
      <w:pPr>
        <w:spacing w:after="0" w:line="240" w:lineRule="auto"/>
        <w:rPr>
          <w:rFonts w:eastAsia="Times New Roman"/>
        </w:rPr>
      </w:pPr>
    </w:p>
    <w:p w:rsidR="00DB26CF" w:rsidP="00DB26CF" w14:paraId="6BAD2803" w14:textId="77777777">
      <w:pPr>
        <w:pStyle w:val="ListParagraph"/>
        <w:numPr>
          <w:ilvl w:val="0"/>
          <w:numId w:val="3"/>
        </w:numPr>
        <w:overflowPunct w:val="0"/>
        <w:autoSpaceDE w:val="0"/>
        <w:autoSpaceDN w:val="0"/>
        <w:adjustRightInd w:val="0"/>
        <w:spacing w:after="0" w:line="240" w:lineRule="auto"/>
        <w:ind w:left="1080"/>
        <w:textAlignment w:val="baseline"/>
        <w:rPr>
          <w:rFonts w:ascii="CG Times" w:hAnsi="CG Times"/>
          <w:b/>
          <w:bCs/>
        </w:rPr>
      </w:pPr>
      <w:r w:rsidRPr="00931B34">
        <w:rPr>
          <w:rFonts w:ascii="CG Times" w:hAnsi="CG Times"/>
          <w:b/>
          <w:bCs/>
        </w:rPr>
        <w:t>Describe the consequence to Federal program or policy activities if the collection is not conducted or is conducted less frequently, as well as any technical or legal obstacles to reducing burden.</w:t>
      </w:r>
    </w:p>
    <w:p w:rsidR="00DB26CF" w:rsidRPr="00931B34" w:rsidP="00DB26CF" w14:paraId="6AF7726C" w14:textId="77777777">
      <w:pPr>
        <w:pStyle w:val="ListParagraph"/>
        <w:overflowPunct w:val="0"/>
        <w:autoSpaceDE w:val="0"/>
        <w:autoSpaceDN w:val="0"/>
        <w:adjustRightInd w:val="0"/>
        <w:spacing w:after="0" w:line="240" w:lineRule="auto"/>
        <w:ind w:left="1080"/>
        <w:textAlignment w:val="baseline"/>
        <w:rPr>
          <w:rFonts w:ascii="CG Times" w:hAnsi="CG Times"/>
          <w:b/>
          <w:bCs/>
        </w:rPr>
      </w:pPr>
    </w:p>
    <w:p w:rsidR="00F277FC" w:rsidRPr="007056AF" w:rsidP="00F277FC" w14:paraId="79BA5D3D" w14:textId="7012FE68">
      <w:pPr>
        <w:spacing w:after="0" w:line="240" w:lineRule="auto"/>
        <w:ind w:left="1800"/>
        <w:rPr>
          <w:rFonts w:eastAsia="Times New Roman"/>
        </w:rPr>
      </w:pPr>
      <w:r w:rsidRPr="007056AF">
        <w:rPr>
          <w:rFonts w:eastAsia="Times New Roman"/>
        </w:rPr>
        <w:t xml:space="preserve">The information collection requirements contained in §§100.306 and 100.307 of the HOPA Final Rule are necessary to meet the eligibility criteria for the “55 </w:t>
      </w:r>
      <w:r>
        <w:rPr>
          <w:rFonts w:eastAsia="Times New Roman"/>
        </w:rPr>
        <w:t>or</w:t>
      </w:r>
      <w:r w:rsidRPr="007056AF">
        <w:rPr>
          <w:rFonts w:eastAsia="Times New Roman"/>
        </w:rPr>
        <w:t xml:space="preserve"> older” housing exemption established under section 807(b)(2)(C) of the Fair Housing Act.  The Act does not authorize HUD to waive or modify the record keeping requirements for the “55 or older” housing exemption.  Housing providers must demonstrate ongoing compliance with the Act’s “55 or older” housing exemption requirements for as long as the housing facility or community intends to qualify for the exemption.  The Act does not authorize HUD to </w:t>
      </w:r>
      <w:r w:rsidRPr="007056AF">
        <w:rPr>
          <w:rFonts w:eastAsia="Times New Roman"/>
          <w:u w:val="single"/>
        </w:rPr>
        <w:t>certify</w:t>
      </w:r>
      <w:r w:rsidRPr="007056AF">
        <w:rPr>
          <w:rFonts w:eastAsia="Times New Roman"/>
        </w:rPr>
        <w:t xml:space="preserve"> that a housing facility or community qualifies for </w:t>
      </w:r>
      <w:r>
        <w:rPr>
          <w:rFonts w:eastAsia="Times New Roman"/>
        </w:rPr>
        <w:t xml:space="preserve">the </w:t>
      </w:r>
      <w:r w:rsidRPr="007056AF">
        <w:rPr>
          <w:rFonts w:eastAsia="Times New Roman"/>
        </w:rPr>
        <w:t xml:space="preserve">“55 or older” housing exemption for an </w:t>
      </w:r>
      <w:r>
        <w:rPr>
          <w:rFonts w:eastAsia="Times New Roman"/>
        </w:rPr>
        <w:t xml:space="preserve">indefinite </w:t>
      </w:r>
      <w:r>
        <w:rPr>
          <w:rFonts w:eastAsia="Times New Roman"/>
        </w:rPr>
        <w:t>time period</w:t>
      </w:r>
      <w:r>
        <w:rPr>
          <w:rFonts w:eastAsia="Times New Roman"/>
        </w:rPr>
        <w:t>.</w:t>
      </w:r>
      <w:r w:rsidRPr="007056AF">
        <w:rPr>
          <w:rFonts w:eastAsia="Times New Roman"/>
        </w:rPr>
        <w:t xml:space="preserve">  Further, HUD cannot predict when or </w:t>
      </w:r>
      <w:r w:rsidRPr="00CF186E" w:rsidR="00E6337A">
        <w:rPr>
          <w:rFonts w:eastAsia="Times New Roman"/>
        </w:rPr>
        <w:t>whether</w:t>
      </w:r>
      <w:r w:rsidRPr="007056AF">
        <w:rPr>
          <w:rFonts w:eastAsia="Times New Roman"/>
        </w:rPr>
        <w:t xml:space="preserve"> a jurisdictional familial status-based housing discrimination complaint will be filed with HUD against a particular housing facility or community.  Under section 810(a)(1)(A)(i) of the Act, an aggrieved person may file a housing discrimination complaint with HUD not later than one year from the date on which the discriminatory housing practice allegedly occurred or ended.</w:t>
      </w:r>
    </w:p>
    <w:p w:rsidR="00F277FC" w:rsidRPr="007056AF" w:rsidP="00F277FC" w14:paraId="7D97E7D0" w14:textId="77777777">
      <w:pPr>
        <w:spacing w:after="0" w:line="240" w:lineRule="auto"/>
        <w:ind w:left="1800"/>
        <w:rPr>
          <w:rFonts w:eastAsia="Times New Roman"/>
        </w:rPr>
      </w:pPr>
    </w:p>
    <w:p w:rsidR="00F277FC" w:rsidRPr="007056AF" w:rsidP="00F277FC" w14:paraId="47A5241A" w14:textId="77777777">
      <w:pPr>
        <w:spacing w:after="0" w:line="240" w:lineRule="auto"/>
        <w:ind w:left="1800"/>
        <w:rPr>
          <w:rFonts w:eastAsia="Times New Roman"/>
        </w:rPr>
      </w:pPr>
      <w:r w:rsidRPr="007056AF">
        <w:rPr>
          <w:rFonts w:eastAsia="Times New Roman"/>
        </w:rPr>
        <w:t>The information required under section 807(b)(2)(C) of the Fair Housing Act and the HOPA Final Rule will be collected in the normal course of business in connection with the sale, rental</w:t>
      </w:r>
      <w:r>
        <w:rPr>
          <w:rFonts w:eastAsia="Times New Roman"/>
        </w:rPr>
        <w:t>,</w:t>
      </w:r>
      <w:r w:rsidRPr="007056AF">
        <w:rPr>
          <w:rFonts w:eastAsia="Times New Roman"/>
        </w:rPr>
        <w:t xml:space="preserve"> or occupancy of dwelling units situated in a “55 or older” housing facility or community.  The creation of such records should occur in the normal course of sale or rental transactions and should require minimal time.</w:t>
      </w:r>
    </w:p>
    <w:p w:rsidR="00F277FC" w:rsidRPr="007056AF" w:rsidP="00F277FC" w14:paraId="2566D7EF" w14:textId="77777777">
      <w:pPr>
        <w:spacing w:after="0" w:line="240" w:lineRule="auto"/>
        <w:ind w:left="1800"/>
        <w:rPr>
          <w:rFonts w:eastAsia="Times New Roman"/>
        </w:rPr>
      </w:pPr>
    </w:p>
    <w:p w:rsidR="00F277FC" w:rsidRPr="00B45EEC" w:rsidP="00F277FC" w14:paraId="7576A12C" w14:textId="79600EB3">
      <w:pPr>
        <w:ind w:left="1800"/>
        <w:rPr>
          <w:rFonts w:eastAsia="Times New Roman"/>
        </w:rPr>
      </w:pPr>
      <w:r w:rsidRPr="007056AF">
        <w:rPr>
          <w:rFonts w:eastAsia="Times New Roman"/>
        </w:rPr>
        <w:t>The statutory and regulatory requirement to “</w:t>
      </w:r>
      <w:r w:rsidRPr="00E91864">
        <w:rPr>
          <w:rFonts w:eastAsia="Times New Roman"/>
          <w:i/>
          <w:iCs/>
        </w:rPr>
        <w:t>publish and adhere to</w:t>
      </w:r>
      <w:r w:rsidRPr="007056AF">
        <w:rPr>
          <w:rFonts w:eastAsia="Times New Roman"/>
        </w:rPr>
        <w:t>” reliable age verification rules, policies and procedures for screening current and</w:t>
      </w:r>
      <w:r w:rsidRPr="00B45EEC">
        <w:rPr>
          <w:rFonts w:eastAsia="Times New Roman"/>
        </w:rPr>
        <w:t xml:space="preserve"> prospective occupants is the usual and customary practice of the “senior housing” industry, without regard to the requirements of the Act or the HOPA Final Rule.  The procedures for verifying </w:t>
      </w:r>
      <w:r w:rsidR="00321F97">
        <w:rPr>
          <w:rFonts w:eastAsia="Times New Roman"/>
        </w:rPr>
        <w:t xml:space="preserve">the </w:t>
      </w:r>
      <w:r w:rsidRPr="00B45EEC">
        <w:rPr>
          <w:rFonts w:eastAsia="Times New Roman"/>
        </w:rPr>
        <w:t>ages of current residents of a housing facility or community may require an initial survey and periodic reviews and updates of existing age verification records for each occupied dwelling unit.  Section 100.307(c) of the HOPA Final Rule requires that such updates must take place “</w:t>
      </w:r>
      <w:r w:rsidRPr="00B45EEC">
        <w:rPr>
          <w:rFonts w:eastAsia="Times New Roman"/>
          <w:i/>
          <w:iCs/>
        </w:rPr>
        <w:t>at least once every two years.”</w:t>
      </w:r>
      <w:r w:rsidRPr="00B45EEC">
        <w:rPr>
          <w:rFonts w:eastAsia="Times New Roman"/>
        </w:rPr>
        <w:t xml:space="preserve">  The </w:t>
      </w:r>
      <w:r w:rsidRPr="00B45EEC">
        <w:rPr>
          <w:rFonts w:eastAsia="Times New Roman"/>
          <w:i/>
          <w:iCs/>
        </w:rPr>
        <w:t>Preamble</w:t>
      </w:r>
      <w:r w:rsidRPr="00B45EEC">
        <w:rPr>
          <w:rFonts w:eastAsia="Times New Roman"/>
        </w:rPr>
        <w:t xml:space="preserve"> to the HOPA Final Rule </w:t>
      </w:r>
      <w:r>
        <w:rPr>
          <w:rFonts w:eastAsia="Times New Roman"/>
        </w:rPr>
        <w:t xml:space="preserve">[page 16328] </w:t>
      </w:r>
      <w:r w:rsidRPr="00B45EEC">
        <w:rPr>
          <w:rFonts w:eastAsia="Times New Roman"/>
        </w:rPr>
        <w:t>offers the following rationale for this regulatory requirement:</w:t>
      </w:r>
    </w:p>
    <w:p w:rsidR="00F277FC" w:rsidRPr="00B45EEC" w:rsidP="00F277FC" w14:paraId="6311FB69" w14:textId="77777777">
      <w:pPr>
        <w:spacing w:after="0" w:line="240" w:lineRule="auto"/>
        <w:ind w:left="1800"/>
        <w:rPr>
          <w:rFonts w:eastAsia="Times New Roman"/>
        </w:rPr>
      </w:pPr>
    </w:p>
    <w:p w:rsidR="00F277FC" w:rsidRPr="00B45EEC" w:rsidP="00F277FC" w14:paraId="43E6D0AC" w14:textId="77777777">
      <w:pPr>
        <w:spacing w:after="0" w:line="240" w:lineRule="auto"/>
        <w:ind w:left="1800"/>
        <w:rPr>
          <w:rFonts w:eastAsia="Times New Roman"/>
          <w:i/>
          <w:iCs/>
        </w:rPr>
      </w:pPr>
      <w:r w:rsidRPr="00B45EEC">
        <w:rPr>
          <w:rFonts w:eastAsia="Times New Roman"/>
        </w:rPr>
        <w:t>“</w:t>
      </w:r>
      <w:r w:rsidRPr="00B45EEC">
        <w:rPr>
          <w:rFonts w:eastAsia="Times New Roman"/>
          <w:i/>
          <w:iCs/>
        </w:rPr>
        <w:t>Some commenters objected to the ‘re-survey’ of the park every two years as being unduly burdensome, especially if the list is actively updated on an ongoing basis.  While HUD is sympathetic to those well-managed communities [that] actively update lists of residents, it does not feel that such communities will be unduly burdened by the update since the information required will be readily available in the files.  HUD’s experience in this area gives it reason to believe that if surveys are not required to be updated periodically the quality of the recordkeeping will deteriorate and create the opportunity for the excessive litigation Congress sought to prevent.  The re-</w:t>
      </w:r>
      <w:r w:rsidRPr="00B45EEC">
        <w:rPr>
          <w:rFonts w:eastAsia="Times New Roman"/>
          <w:i/>
          <w:iCs/>
        </w:rPr>
        <w:t>survey does not require that all supporting documents be collected again---only that the community confirm that those persons counted as occupying dwellings for purposes of meeting the 80% occupancy requirement are, in fact, still in occupancy.”</w:t>
      </w:r>
    </w:p>
    <w:p w:rsidR="00F277FC" w:rsidP="00F277FC" w14:paraId="08E0350C" w14:textId="77777777">
      <w:pPr>
        <w:contextualSpacing/>
        <w:rPr>
          <w:rFonts w:eastAsia="Times New Roman"/>
        </w:rPr>
      </w:pPr>
    </w:p>
    <w:p w:rsidR="00F74426" w:rsidP="00F277FC" w14:paraId="149849E4" w14:textId="77777777">
      <w:pPr>
        <w:contextualSpacing/>
        <w:rPr>
          <w:rFonts w:eastAsia="Times New Roman"/>
        </w:rPr>
      </w:pPr>
    </w:p>
    <w:p w:rsidR="00345388" w:rsidRPr="000F3963" w:rsidP="00345388" w14:paraId="51D8D60E" w14:textId="77777777">
      <w:pPr>
        <w:ind w:left="1080"/>
        <w:rPr>
          <w:b/>
          <w:bCs/>
        </w:rPr>
      </w:pPr>
      <w:r>
        <w:rPr>
          <w:rFonts w:ascii="CG Times" w:hAnsi="CG Times"/>
        </w:rPr>
        <w:t xml:space="preserve">7.  </w:t>
      </w:r>
      <w:r w:rsidRPr="000F3963">
        <w:rPr>
          <w:b/>
          <w:bCs/>
        </w:rPr>
        <w:t>Explain any special circumstances that would cause an information collection to be conducted in a manner:</w:t>
      </w:r>
    </w:p>
    <w:p w:rsidR="00F277FC" w:rsidRPr="002D11CB" w:rsidP="00F277FC" w14:paraId="402F8728" w14:textId="77777777">
      <w:pPr>
        <w:spacing w:after="0" w:line="240" w:lineRule="auto"/>
        <w:ind w:left="1728"/>
        <w:rPr>
          <w:rFonts w:eastAsia="Times New Roman"/>
        </w:rPr>
      </w:pPr>
      <w:r w:rsidRPr="002D11CB">
        <w:rPr>
          <w:rFonts w:eastAsia="Times New Roman"/>
        </w:rPr>
        <w:t>requiring respondents to report information to the agency more than quarterly</w:t>
      </w:r>
      <w:r>
        <w:rPr>
          <w:rFonts w:eastAsia="Times New Roman"/>
        </w:rPr>
        <w:t xml:space="preserve">; </w:t>
      </w:r>
    </w:p>
    <w:p w:rsidR="00F277FC" w:rsidRPr="002D11CB" w:rsidP="00F277FC" w14:paraId="7A60CD43" w14:textId="77777777">
      <w:pPr>
        <w:spacing w:after="0" w:line="240" w:lineRule="auto"/>
        <w:ind w:left="1728"/>
        <w:rPr>
          <w:rFonts w:eastAsia="Times New Roman"/>
          <w:b/>
        </w:rPr>
      </w:pPr>
      <w:r w:rsidRPr="002D11CB">
        <w:rPr>
          <w:rFonts w:eastAsia="Times New Roman"/>
          <w:b/>
        </w:rPr>
        <w:t>Not Applicable</w:t>
      </w:r>
    </w:p>
    <w:p w:rsidR="00F277FC" w:rsidP="00F277FC" w14:paraId="6EAF8B55" w14:textId="77777777">
      <w:pPr>
        <w:spacing w:after="0" w:line="240" w:lineRule="auto"/>
        <w:ind w:left="1728"/>
        <w:rPr>
          <w:rFonts w:eastAsia="Times New Roman"/>
        </w:rPr>
      </w:pPr>
    </w:p>
    <w:p w:rsidR="00F277FC" w:rsidP="00F277FC" w14:paraId="5F812FCB" w14:textId="77777777">
      <w:pPr>
        <w:spacing w:after="0" w:line="240" w:lineRule="auto"/>
        <w:ind w:left="1728"/>
        <w:rPr>
          <w:rFonts w:eastAsia="Times New Roman"/>
        </w:rPr>
      </w:pPr>
      <w:r w:rsidRPr="002D11CB">
        <w:rPr>
          <w:rFonts w:eastAsia="Times New Roman"/>
        </w:rPr>
        <w:t xml:space="preserve">requiring respondents to prepare a written response to a collection of information </w:t>
      </w:r>
      <w:r>
        <w:rPr>
          <w:rFonts w:eastAsia="Times New Roman"/>
        </w:rPr>
        <w:t xml:space="preserve">in fewer </w:t>
      </w:r>
      <w:r w:rsidRPr="002D11CB">
        <w:rPr>
          <w:rFonts w:eastAsia="Times New Roman"/>
        </w:rPr>
        <w:t xml:space="preserve">than 30 days after </w:t>
      </w:r>
      <w:r>
        <w:rPr>
          <w:rFonts w:eastAsia="Times New Roman"/>
        </w:rPr>
        <w:t xml:space="preserve">receipt of </w:t>
      </w:r>
      <w:r>
        <w:rPr>
          <w:rFonts w:eastAsia="Times New Roman"/>
        </w:rPr>
        <w:t>it;</w:t>
      </w:r>
    </w:p>
    <w:p w:rsidR="00F277FC" w:rsidRPr="002D11CB" w:rsidP="00F277FC" w14:paraId="7A135895" w14:textId="77777777">
      <w:pPr>
        <w:spacing w:after="0" w:line="240" w:lineRule="auto"/>
        <w:ind w:left="1728"/>
        <w:rPr>
          <w:rFonts w:eastAsia="Times New Roman"/>
          <w:b/>
        </w:rPr>
      </w:pPr>
      <w:r w:rsidRPr="002D11CB">
        <w:rPr>
          <w:rFonts w:eastAsia="Times New Roman"/>
          <w:b/>
        </w:rPr>
        <w:t>Not Applicable</w:t>
      </w:r>
    </w:p>
    <w:p w:rsidR="00F277FC" w:rsidP="00F277FC" w14:paraId="533A442A" w14:textId="77777777">
      <w:pPr>
        <w:spacing w:after="0" w:line="240" w:lineRule="auto"/>
        <w:ind w:left="1728"/>
        <w:rPr>
          <w:rFonts w:eastAsia="Times New Roman"/>
        </w:rPr>
      </w:pPr>
    </w:p>
    <w:p w:rsidR="00F277FC" w:rsidRPr="002D11CB" w:rsidP="00F277FC" w14:paraId="7D55D8CB" w14:textId="77777777">
      <w:pPr>
        <w:spacing w:after="0" w:line="240" w:lineRule="auto"/>
        <w:ind w:left="1728"/>
        <w:rPr>
          <w:rFonts w:eastAsia="Times New Roman"/>
        </w:rPr>
      </w:pPr>
      <w:r w:rsidRPr="002D11CB">
        <w:rPr>
          <w:rFonts w:eastAsia="Times New Roman"/>
        </w:rPr>
        <w:t>requiring respondents to submit more than an original and two copies of any document;</w:t>
      </w:r>
    </w:p>
    <w:p w:rsidR="00F277FC" w:rsidRPr="002D11CB" w:rsidP="00F277FC" w14:paraId="616AE645" w14:textId="77777777">
      <w:pPr>
        <w:spacing w:after="0" w:line="240" w:lineRule="auto"/>
        <w:ind w:left="1728"/>
        <w:rPr>
          <w:rFonts w:eastAsia="Times New Roman"/>
          <w:b/>
        </w:rPr>
      </w:pPr>
      <w:r w:rsidRPr="002D11CB">
        <w:rPr>
          <w:rFonts w:eastAsia="Times New Roman"/>
          <w:b/>
        </w:rPr>
        <w:t>Not Applicable</w:t>
      </w:r>
    </w:p>
    <w:p w:rsidR="00F277FC" w:rsidP="00F277FC" w14:paraId="5D10CF17" w14:textId="77777777">
      <w:pPr>
        <w:spacing w:after="0" w:line="240" w:lineRule="auto"/>
        <w:ind w:left="1728"/>
        <w:rPr>
          <w:rFonts w:eastAsia="Times New Roman"/>
        </w:rPr>
      </w:pPr>
    </w:p>
    <w:p w:rsidR="00F277FC" w:rsidRPr="002D11CB" w:rsidP="00F277FC" w14:paraId="68E58004" w14:textId="77777777">
      <w:pPr>
        <w:spacing w:after="0" w:line="240" w:lineRule="auto"/>
        <w:ind w:left="1728"/>
        <w:rPr>
          <w:rFonts w:eastAsia="Times New Roman"/>
        </w:rPr>
      </w:pPr>
      <w:r w:rsidRPr="002D11CB">
        <w:rPr>
          <w:rFonts w:eastAsia="Times New Roman"/>
        </w:rPr>
        <w:t>requiring respondents to retain record</w:t>
      </w:r>
      <w:r>
        <w:rPr>
          <w:rFonts w:eastAsia="Times New Roman"/>
        </w:rPr>
        <w:t>s</w:t>
      </w:r>
      <w:r w:rsidRPr="002D11CB">
        <w:rPr>
          <w:rFonts w:eastAsia="Times New Roman"/>
        </w:rPr>
        <w:t>, other than health, medical, government contract, grant-in-aid, or tax records, for more than three years;</w:t>
      </w:r>
    </w:p>
    <w:p w:rsidR="00F277FC" w:rsidRPr="002D11CB" w:rsidP="00F277FC" w14:paraId="476D116A" w14:textId="77777777">
      <w:pPr>
        <w:spacing w:after="0" w:line="240" w:lineRule="auto"/>
        <w:ind w:left="1728"/>
        <w:rPr>
          <w:rFonts w:eastAsia="Times New Roman"/>
          <w:b/>
        </w:rPr>
      </w:pPr>
      <w:r w:rsidRPr="002D11CB">
        <w:rPr>
          <w:rFonts w:eastAsia="Times New Roman"/>
          <w:b/>
        </w:rPr>
        <w:t>Not Applicable</w:t>
      </w:r>
    </w:p>
    <w:p w:rsidR="00F277FC" w:rsidP="00F277FC" w14:paraId="3E41E1EE" w14:textId="77777777">
      <w:pPr>
        <w:spacing w:after="0" w:line="240" w:lineRule="auto"/>
        <w:ind w:left="1728"/>
        <w:rPr>
          <w:rFonts w:eastAsia="Times New Roman"/>
        </w:rPr>
      </w:pPr>
    </w:p>
    <w:p w:rsidR="00F277FC" w:rsidP="00F277FC" w14:paraId="008539D0" w14:textId="77777777">
      <w:pPr>
        <w:spacing w:after="0" w:line="240" w:lineRule="auto"/>
        <w:ind w:left="1728"/>
        <w:rPr>
          <w:rFonts w:eastAsia="Times New Roman"/>
        </w:rPr>
      </w:pPr>
      <w:r>
        <w:rPr>
          <w:rFonts w:eastAsia="Times New Roman"/>
        </w:rPr>
        <w:t>in connection with a statistical survey, that is not designed to produce valid and reliable results that can be generalized to the universe of study;</w:t>
      </w:r>
    </w:p>
    <w:p w:rsidR="00F277FC" w:rsidRPr="001E3199" w:rsidP="00F277FC" w14:paraId="12078595" w14:textId="77777777">
      <w:pPr>
        <w:spacing w:after="0" w:line="240" w:lineRule="auto"/>
        <w:ind w:left="1728"/>
        <w:rPr>
          <w:rFonts w:eastAsia="Times New Roman"/>
          <w:b/>
        </w:rPr>
      </w:pPr>
      <w:r w:rsidRPr="001E3199">
        <w:rPr>
          <w:rFonts w:eastAsia="Times New Roman"/>
          <w:b/>
        </w:rPr>
        <w:t>Not Applicable</w:t>
      </w:r>
    </w:p>
    <w:p w:rsidR="00F277FC" w:rsidP="00F277FC" w14:paraId="459C4E44" w14:textId="77777777">
      <w:pPr>
        <w:spacing w:after="0" w:line="240" w:lineRule="auto"/>
        <w:ind w:left="1728"/>
        <w:rPr>
          <w:rFonts w:eastAsia="Times New Roman"/>
        </w:rPr>
      </w:pPr>
    </w:p>
    <w:p w:rsidR="00F277FC" w:rsidP="00F277FC" w14:paraId="18736155" w14:textId="77777777">
      <w:pPr>
        <w:spacing w:after="0" w:line="240" w:lineRule="auto"/>
        <w:ind w:left="1728"/>
        <w:rPr>
          <w:rFonts w:eastAsia="Times New Roman"/>
        </w:rPr>
      </w:pPr>
      <w:r>
        <w:rPr>
          <w:rFonts w:eastAsia="Times New Roman"/>
        </w:rPr>
        <w:t>requiring the use of a statistical data classification that has not been reviewed and approved by the OMB;</w:t>
      </w:r>
    </w:p>
    <w:p w:rsidR="00F277FC" w:rsidRPr="00C732DB" w:rsidP="00F277FC" w14:paraId="1D69B4C6" w14:textId="77777777">
      <w:pPr>
        <w:spacing w:after="0" w:line="240" w:lineRule="auto"/>
        <w:ind w:left="1728"/>
        <w:rPr>
          <w:rFonts w:eastAsia="Times New Roman"/>
          <w:b/>
        </w:rPr>
      </w:pPr>
      <w:r w:rsidRPr="00C732DB">
        <w:rPr>
          <w:rFonts w:eastAsia="Times New Roman"/>
          <w:b/>
        </w:rPr>
        <w:t>Not Applicable</w:t>
      </w:r>
    </w:p>
    <w:p w:rsidR="00F277FC" w:rsidP="00F277FC" w14:paraId="7B48E0ED" w14:textId="77777777">
      <w:pPr>
        <w:spacing w:after="0" w:line="240" w:lineRule="auto"/>
        <w:ind w:left="1728"/>
        <w:rPr>
          <w:rFonts w:eastAsia="Times New Roman"/>
        </w:rPr>
      </w:pPr>
    </w:p>
    <w:p w:rsidR="00F277FC" w:rsidP="00F277FC" w14:paraId="35E9CB80" w14:textId="77777777">
      <w:pPr>
        <w:spacing w:after="0" w:line="240" w:lineRule="auto"/>
        <w:ind w:left="1728"/>
        <w:rPr>
          <w:rFonts w:eastAsia="Times New Roman"/>
        </w:rPr>
      </w:pPr>
      <w:r>
        <w:rPr>
          <w:rFonts w:eastAsia="Times New Roma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F277FC" w:rsidRPr="00C732DB" w:rsidP="00F277FC" w14:paraId="6530BA73" w14:textId="77777777">
      <w:pPr>
        <w:spacing w:after="0" w:line="240" w:lineRule="auto"/>
        <w:ind w:left="1728"/>
        <w:rPr>
          <w:rFonts w:eastAsia="Times New Roman"/>
          <w:b/>
        </w:rPr>
      </w:pPr>
      <w:r w:rsidRPr="00C732DB">
        <w:rPr>
          <w:rFonts w:eastAsia="Times New Roman"/>
          <w:b/>
        </w:rPr>
        <w:t>Not Applicable</w:t>
      </w:r>
    </w:p>
    <w:p w:rsidR="00F277FC" w:rsidP="00F277FC" w14:paraId="196DBC86" w14:textId="77777777">
      <w:pPr>
        <w:spacing w:after="0" w:line="240" w:lineRule="auto"/>
        <w:ind w:left="1080"/>
        <w:rPr>
          <w:rFonts w:eastAsia="Times New Roman"/>
        </w:rPr>
      </w:pPr>
    </w:p>
    <w:p w:rsidR="00F277FC" w:rsidP="00F277FC" w14:paraId="21E625FE" w14:textId="77777777">
      <w:pPr>
        <w:spacing w:after="0" w:line="240" w:lineRule="auto"/>
        <w:ind w:left="1728"/>
        <w:rPr>
          <w:rFonts w:eastAsia="Times New Roman"/>
        </w:rPr>
      </w:pPr>
      <w:r>
        <w:rPr>
          <w:rFonts w:eastAsia="Times New Roman"/>
        </w:rPr>
        <w:t>requiring respondents to submit proprietary trade secrets, or other confidential information unless the agency can demonstrate that it has instituted procedures to protect the information’s confidentiality to the extent permitted by law.</w:t>
      </w:r>
    </w:p>
    <w:p w:rsidR="00F277FC" w:rsidRPr="00C732DB" w:rsidP="00F277FC" w14:paraId="154C356D" w14:textId="77777777">
      <w:pPr>
        <w:spacing w:after="0" w:line="240" w:lineRule="auto"/>
        <w:ind w:left="1728"/>
        <w:rPr>
          <w:rFonts w:eastAsia="Times New Roman"/>
          <w:b/>
        </w:rPr>
      </w:pPr>
      <w:r w:rsidRPr="00C732DB">
        <w:rPr>
          <w:rFonts w:eastAsia="Times New Roman"/>
          <w:b/>
        </w:rPr>
        <w:t>Not Applicable</w:t>
      </w:r>
    </w:p>
    <w:p w:rsidR="00F277FC" w:rsidRPr="00B45EEC" w:rsidP="00F277FC" w14:paraId="27AA5A42" w14:textId="77777777">
      <w:pPr>
        <w:spacing w:after="0" w:line="240" w:lineRule="auto"/>
        <w:ind w:left="1080"/>
        <w:rPr>
          <w:rFonts w:eastAsia="Times New Roman"/>
        </w:rPr>
      </w:pPr>
    </w:p>
    <w:p w:rsidR="00F277FC" w:rsidRPr="00B45EEC" w:rsidP="00F277FC" w14:paraId="4D5570A4" w14:textId="77777777">
      <w:pPr>
        <w:spacing w:after="0" w:line="240" w:lineRule="auto"/>
        <w:ind w:left="1800"/>
        <w:rPr>
          <w:rFonts w:eastAsia="Times New Roman"/>
        </w:rPr>
      </w:pPr>
      <w:r w:rsidRPr="00B45EEC">
        <w:rPr>
          <w:rFonts w:eastAsia="Times New Roman"/>
        </w:rPr>
        <w:t>No special circumstances apply to the information collection requirements of the Fair Housing Act, the HOPA of 1995, or the HOPA Final Rule.</w:t>
      </w:r>
    </w:p>
    <w:p w:rsidR="00F277FC" w:rsidP="00F277FC" w14:paraId="61CF152C" w14:textId="77777777">
      <w:pPr>
        <w:spacing w:after="0" w:line="240" w:lineRule="auto"/>
        <w:rPr>
          <w:rFonts w:eastAsia="Times New Roman"/>
        </w:rPr>
      </w:pPr>
    </w:p>
    <w:p w:rsidR="00F277FC" w:rsidRPr="00B45EEC" w:rsidP="00F277FC" w14:paraId="6104D576" w14:textId="77777777">
      <w:pPr>
        <w:spacing w:after="0" w:line="240" w:lineRule="auto"/>
        <w:rPr>
          <w:rFonts w:eastAsia="Times New Roman"/>
        </w:rPr>
      </w:pPr>
    </w:p>
    <w:p w:rsidR="00F351F4" w:rsidRPr="00C879B4" w:rsidP="00F351F4" w14:paraId="1F30F08E" w14:textId="3604890A">
      <w:pPr>
        <w:ind w:left="720"/>
        <w:rPr>
          <w:b/>
          <w:color w:val="000000"/>
        </w:rPr>
      </w:pPr>
      <w:bookmarkStart w:id="0" w:name="_Hlk151389052"/>
      <w:r w:rsidRPr="00C879B4">
        <w:rPr>
          <w:b/>
          <w:color w:val="000000"/>
        </w:rPr>
        <w:t xml:space="preserve">8. </w:t>
      </w:r>
      <w:r w:rsidR="00F622FE">
        <w:rPr>
          <w:b/>
          <w:color w:val="000000"/>
        </w:rPr>
        <w:t xml:space="preserve"> </w:t>
      </w:r>
      <w:r w:rsidRPr="00C879B4">
        <w:rPr>
          <w:b/>
          <w:color w:val="000000"/>
        </w:rPr>
        <w:t>If applicable, provide a copy</w:t>
      </w:r>
      <w:r>
        <w:rPr>
          <w:b/>
          <w:color w:val="000000"/>
        </w:rPr>
        <w:t>,</w:t>
      </w:r>
      <w:r w:rsidRPr="00C879B4">
        <w:rPr>
          <w:b/>
          <w:color w:val="000000"/>
        </w:rPr>
        <w:t xml:space="preserve"> and identify the date and page number of publication in the </w:t>
      </w:r>
      <w:r w:rsidRPr="0017048C">
        <w:rPr>
          <w:b/>
          <w:i/>
          <w:iCs/>
          <w:color w:val="000000"/>
        </w:rPr>
        <w:t>Federal Register</w:t>
      </w:r>
      <w:r w:rsidRPr="00C879B4">
        <w:rPr>
          <w:b/>
          <w:color w:val="000000"/>
        </w:rPr>
        <w:t xml:space="preserve"> of the agency's </w:t>
      </w:r>
      <w:r>
        <w:rPr>
          <w:b/>
          <w:color w:val="000000"/>
        </w:rPr>
        <w:t>N</w:t>
      </w:r>
      <w:r w:rsidRPr="00C879B4">
        <w:rPr>
          <w:b/>
          <w:color w:val="000000"/>
        </w:rPr>
        <w:t xml:space="preserve">otice, required by 5 CFR 1320.8(d), soliciting comments on the information collection prior to submission to OMB. </w:t>
      </w:r>
      <w:r>
        <w:rPr>
          <w:b/>
          <w:color w:val="000000"/>
        </w:rPr>
        <w:t xml:space="preserve"> </w:t>
      </w:r>
      <w:r w:rsidRPr="00C879B4">
        <w:rPr>
          <w:b/>
          <w:color w:val="000000"/>
        </w:rPr>
        <w:t xml:space="preserve">Summarize public comments received in response to that notice and describe actions taken by the agency in response to these comments. </w:t>
      </w:r>
      <w:r>
        <w:rPr>
          <w:b/>
          <w:color w:val="000000"/>
        </w:rPr>
        <w:t xml:space="preserve"> </w:t>
      </w:r>
      <w:r w:rsidRPr="00C879B4">
        <w:rPr>
          <w:b/>
          <w:color w:val="000000"/>
        </w:rPr>
        <w:t xml:space="preserve">Specifically address comments received on cost and hour burden. </w:t>
      </w:r>
      <w:r>
        <w:rPr>
          <w:b/>
          <w:color w:val="000000"/>
        </w:rPr>
        <w:t xml:space="preserve"> </w:t>
      </w:r>
      <w:r w:rsidRPr="00C879B4">
        <w:rPr>
          <w:b/>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r>
        <w:rPr>
          <w:b/>
          <w:color w:val="000000"/>
        </w:rPr>
        <w:t xml:space="preserve"> </w:t>
      </w:r>
      <w:r w:rsidRPr="00C879B4">
        <w:rPr>
          <w:b/>
          <w:color w:val="000000"/>
        </w:rPr>
        <w:t xml:space="preserve">Consultation with representatives of those from whom information is to be obtained or those who must compile records should occur at least once every 3 years - even if the collection of information activity is the same as in prior periods. </w:t>
      </w:r>
      <w:r>
        <w:rPr>
          <w:b/>
          <w:color w:val="000000"/>
        </w:rPr>
        <w:t xml:space="preserve"> </w:t>
      </w:r>
      <w:r w:rsidRPr="00C879B4">
        <w:rPr>
          <w:b/>
          <w:color w:val="000000"/>
        </w:rPr>
        <w:t>There may be circumstances that may preclude consultation in a specific situation.</w:t>
      </w:r>
      <w:r>
        <w:rPr>
          <w:b/>
          <w:color w:val="000000"/>
        </w:rPr>
        <w:t xml:space="preserve"> </w:t>
      </w:r>
      <w:r w:rsidRPr="00C879B4">
        <w:rPr>
          <w:b/>
          <w:color w:val="000000"/>
        </w:rPr>
        <w:t xml:space="preserve"> These circumstances should be explained. </w:t>
      </w:r>
    </w:p>
    <w:bookmarkEnd w:id="0"/>
    <w:p w:rsidR="00F277FC" w:rsidRPr="00B45EEC" w:rsidP="00F277FC" w14:paraId="2AA046B5" w14:textId="77777777">
      <w:pPr>
        <w:spacing w:after="0" w:line="240" w:lineRule="auto"/>
        <w:rPr>
          <w:rFonts w:eastAsia="Times New Roman"/>
        </w:rPr>
      </w:pPr>
    </w:p>
    <w:p w:rsidR="00AF4A32" w:rsidP="00AF4A32" w14:paraId="7BABAEEB" w14:textId="5ECBE0B8">
      <w:pPr>
        <w:ind w:left="720"/>
        <w:rPr>
          <w:rFonts w:ascii="CG Times" w:hAnsi="CG Times"/>
        </w:rPr>
      </w:pPr>
      <w:r>
        <w:rPr>
          <w:rFonts w:ascii="CG Times" w:hAnsi="CG Times"/>
        </w:rPr>
        <w:t>Attached is a copy of FHEO’s “</w:t>
      </w:r>
      <w:r>
        <w:rPr>
          <w:rFonts w:ascii="CG Times" w:hAnsi="CG Times"/>
          <w:i/>
        </w:rPr>
        <w:t>60-Day N</w:t>
      </w:r>
      <w:r w:rsidRPr="00B61E3E">
        <w:rPr>
          <w:rFonts w:ascii="CG Times" w:hAnsi="CG Times"/>
          <w:i/>
        </w:rPr>
        <w:t xml:space="preserve">otice of Proposed </w:t>
      </w:r>
      <w:r>
        <w:rPr>
          <w:rFonts w:ascii="CG Times" w:hAnsi="CG Times"/>
          <w:i/>
        </w:rPr>
        <w:t>Informa</w:t>
      </w:r>
      <w:r w:rsidRPr="00B61E3E">
        <w:rPr>
          <w:rFonts w:ascii="CG Times" w:hAnsi="CG Times"/>
          <w:i/>
        </w:rPr>
        <w:t>tion Collection--Comment Request</w:t>
      </w:r>
      <w:r>
        <w:rPr>
          <w:rFonts w:ascii="CG Times" w:hAnsi="CG Times"/>
        </w:rPr>
        <w:t xml:space="preserve">” that solicits comments from the public and affected agencies prior to submission to the OMB.  The </w:t>
      </w:r>
      <w:r w:rsidRPr="00C15589">
        <w:rPr>
          <w:rFonts w:ascii="CG Times" w:hAnsi="CG Times"/>
          <w:i/>
          <w:iCs/>
        </w:rPr>
        <w:t>60-Day</w:t>
      </w:r>
      <w:r>
        <w:rPr>
          <w:rFonts w:ascii="CG Times" w:hAnsi="CG Times"/>
        </w:rPr>
        <w:t xml:space="preserve"> </w:t>
      </w:r>
      <w:r w:rsidRPr="0002575B">
        <w:rPr>
          <w:rFonts w:ascii="CG Times" w:hAnsi="CG Times"/>
          <w:i/>
        </w:rPr>
        <w:t>Notice</w:t>
      </w:r>
      <w:r>
        <w:rPr>
          <w:rFonts w:ascii="CG Times" w:hAnsi="CG Times"/>
        </w:rPr>
        <w:t xml:space="preserve"> [</w:t>
      </w:r>
      <w:r w:rsidRPr="00CF186E">
        <w:rPr>
          <w:rFonts w:ascii="CG Times" w:hAnsi="CG Times"/>
          <w:b/>
          <w:bCs/>
        </w:rPr>
        <w:t>FR-70</w:t>
      </w:r>
      <w:r w:rsidRPr="00CF186E" w:rsidR="0009370E">
        <w:rPr>
          <w:rFonts w:ascii="CG Times" w:hAnsi="CG Times"/>
          <w:b/>
          <w:bCs/>
        </w:rPr>
        <w:t>83</w:t>
      </w:r>
      <w:r w:rsidRPr="00CF186E">
        <w:rPr>
          <w:rFonts w:ascii="CG Times" w:hAnsi="CG Times"/>
          <w:b/>
          <w:bCs/>
        </w:rPr>
        <w:t>-N-01</w:t>
      </w:r>
      <w:r>
        <w:rPr>
          <w:rFonts w:ascii="CG Times" w:hAnsi="CG Times"/>
        </w:rPr>
        <w:t xml:space="preserve">] was published in Volume 89, Number 60, pages 21265-21266 of the </w:t>
      </w:r>
      <w:r>
        <w:rPr>
          <w:rFonts w:ascii="CG Times" w:hAnsi="CG Times"/>
          <w:i/>
        </w:rPr>
        <w:t>Federal Register</w:t>
      </w:r>
      <w:r>
        <w:rPr>
          <w:rFonts w:ascii="CG Times" w:hAnsi="CG Times"/>
        </w:rPr>
        <w:t xml:space="preserve"> on </w:t>
      </w:r>
      <w:r w:rsidR="00744477">
        <w:rPr>
          <w:rFonts w:ascii="CG Times" w:hAnsi="CG Times"/>
        </w:rPr>
        <w:t xml:space="preserve">Wednesday, </w:t>
      </w:r>
      <w:r>
        <w:rPr>
          <w:rFonts w:ascii="CG Times" w:hAnsi="CG Times"/>
        </w:rPr>
        <w:t>March 2</w:t>
      </w:r>
      <w:r w:rsidR="00744477">
        <w:rPr>
          <w:rFonts w:ascii="CG Times" w:hAnsi="CG Times"/>
        </w:rPr>
        <w:t>7</w:t>
      </w:r>
      <w:r>
        <w:rPr>
          <w:rFonts w:ascii="CG Times" w:hAnsi="CG Times"/>
        </w:rPr>
        <w:t>, 2024.  The public comment period expire</w:t>
      </w:r>
      <w:r w:rsidR="00F74426">
        <w:rPr>
          <w:rFonts w:ascii="CG Times" w:hAnsi="CG Times"/>
        </w:rPr>
        <w:t>d</w:t>
      </w:r>
      <w:r>
        <w:rPr>
          <w:rFonts w:ascii="CG Times" w:hAnsi="CG Times"/>
        </w:rPr>
        <w:t xml:space="preserve"> on Tuesday, May 28, 2024</w:t>
      </w:r>
      <w:r w:rsidR="00F74426">
        <w:rPr>
          <w:rFonts w:ascii="CG Times" w:hAnsi="CG Times"/>
        </w:rPr>
        <w:t>.  HUD/</w:t>
      </w:r>
      <w:r>
        <w:rPr>
          <w:rFonts w:ascii="CG Times" w:hAnsi="CG Times"/>
        </w:rPr>
        <w:t>FHEO received no comments in response to this Notice.</w:t>
      </w:r>
    </w:p>
    <w:p w:rsidR="00AF4A32" w:rsidP="00AF4A32" w14:paraId="4286DA2A" w14:textId="77777777">
      <w:pPr>
        <w:spacing w:after="0" w:line="240" w:lineRule="auto"/>
        <w:rPr>
          <w:rFonts w:eastAsia="Times New Roman"/>
        </w:rPr>
      </w:pPr>
    </w:p>
    <w:p w:rsidR="00AF4A32" w:rsidP="00AF4A32" w14:paraId="1C9258DE" w14:textId="74EA2942">
      <w:pPr>
        <w:ind w:left="720"/>
        <w:rPr>
          <w:rFonts w:ascii="CG Times" w:hAnsi="CG Times"/>
        </w:rPr>
      </w:pPr>
      <w:r>
        <w:rPr>
          <w:rFonts w:ascii="CG Times" w:hAnsi="CG Times"/>
        </w:rPr>
        <w:t>No persons or entities outside of HUD were consulted regarding the</w:t>
      </w:r>
      <w:r>
        <w:rPr>
          <w:rFonts w:ascii="CG Times" w:hAnsi="CG Times"/>
        </w:rPr>
        <w:t xml:space="preserve"> HOPA Final Rule’s information collection requirements.  However, this information collection is consistent with the statutory requirement for conducting “</w:t>
      </w:r>
      <w:r w:rsidRPr="00AF4A32">
        <w:rPr>
          <w:rFonts w:ascii="CG Times" w:hAnsi="CG Times"/>
          <w:i/>
          <w:iCs/>
        </w:rPr>
        <w:t>reliable surveys</w:t>
      </w:r>
      <w:r>
        <w:rPr>
          <w:rFonts w:ascii="CG Times" w:hAnsi="CG Times"/>
        </w:rPr>
        <w:t>” and obtaining “</w:t>
      </w:r>
      <w:r w:rsidRPr="00AF4A32">
        <w:rPr>
          <w:rFonts w:ascii="CG Times" w:hAnsi="CG Times"/>
          <w:i/>
          <w:iCs/>
        </w:rPr>
        <w:t>affidavits</w:t>
      </w:r>
      <w:r>
        <w:rPr>
          <w:rFonts w:ascii="CG Times" w:hAnsi="CG Times"/>
        </w:rPr>
        <w:t xml:space="preserve">” to verify the ages of current residents of a housing facility or community </w:t>
      </w:r>
      <w:r>
        <w:rPr>
          <w:rFonts w:ascii="CG Times" w:hAnsi="CG Times"/>
        </w:rPr>
        <w:t>that claims eligibility for the HOPA’s “55 or older” housing exemption</w:t>
      </w:r>
      <w:r w:rsidR="0038596A">
        <w:rPr>
          <w:rFonts w:ascii="CG Times" w:hAnsi="CG Times"/>
        </w:rPr>
        <w:t>.</w:t>
      </w:r>
    </w:p>
    <w:p w:rsidR="00C12692" w:rsidP="00F277FC" w14:paraId="12CC60D8" w14:textId="77777777">
      <w:pPr>
        <w:spacing w:after="0" w:line="240" w:lineRule="auto"/>
        <w:rPr>
          <w:rFonts w:eastAsia="Times New Roman"/>
        </w:rPr>
      </w:pPr>
    </w:p>
    <w:p w:rsidR="00924266" w:rsidRPr="00B45EEC" w:rsidP="00F277FC" w14:paraId="2471E718" w14:textId="77777777">
      <w:pPr>
        <w:spacing w:after="0" w:line="240" w:lineRule="auto"/>
        <w:rPr>
          <w:rFonts w:eastAsia="Times New Roman"/>
        </w:rPr>
      </w:pPr>
    </w:p>
    <w:p w:rsidR="00365955" w:rsidRPr="004B414D" w:rsidP="00365955" w14:paraId="1BC818AD" w14:textId="78338BD9">
      <w:pPr>
        <w:ind w:left="720"/>
        <w:rPr>
          <w:rFonts w:ascii="CG Times" w:hAnsi="CG Times"/>
          <w:b/>
          <w:bCs/>
        </w:rPr>
      </w:pPr>
      <w:r w:rsidRPr="004B414D">
        <w:rPr>
          <w:rFonts w:ascii="CG Times" w:hAnsi="CG Times"/>
          <w:b/>
          <w:bCs/>
        </w:rPr>
        <w:t>9.</w:t>
      </w:r>
      <w:r w:rsidR="00F4472E">
        <w:rPr>
          <w:rFonts w:ascii="CG Times" w:hAnsi="CG Times"/>
          <w:b/>
          <w:bCs/>
        </w:rPr>
        <w:t xml:space="preserve"> </w:t>
      </w:r>
      <w:r w:rsidRPr="004B414D">
        <w:rPr>
          <w:rFonts w:ascii="CG Times" w:hAnsi="CG Times"/>
          <w:b/>
          <w:bCs/>
        </w:rPr>
        <w:t xml:space="preserve"> Explain any decision to provide any payment or gift to respondents, other than renumeration of contractors or grantees.</w:t>
      </w:r>
    </w:p>
    <w:p w:rsidR="00F277FC" w:rsidRPr="00B45EEC" w:rsidP="008846CA" w14:paraId="743FB2A7" w14:textId="77777777">
      <w:pPr>
        <w:spacing w:after="0" w:line="240" w:lineRule="auto"/>
        <w:ind w:left="720"/>
        <w:rPr>
          <w:rFonts w:eastAsia="Times New Roman"/>
        </w:rPr>
      </w:pPr>
      <w:r w:rsidRPr="00B45EEC">
        <w:rPr>
          <w:rFonts w:eastAsia="Times New Roman"/>
        </w:rPr>
        <w:t>As defined under section 802(n) of the Fair Housing Act, “’</w:t>
      </w:r>
      <w:r w:rsidRPr="00B45EEC">
        <w:rPr>
          <w:rFonts w:eastAsia="Times New Roman"/>
          <w:i/>
          <w:iCs/>
        </w:rPr>
        <w:t>Respondent</w:t>
      </w:r>
      <w:r w:rsidRPr="00B45EEC">
        <w:rPr>
          <w:rFonts w:eastAsia="Times New Roman"/>
        </w:rPr>
        <w:t xml:space="preserve">’ </w:t>
      </w:r>
      <w:r w:rsidRPr="00B45EEC">
        <w:rPr>
          <w:rFonts w:eastAsia="Times New Roman"/>
          <w:i/>
          <w:iCs/>
        </w:rPr>
        <w:t xml:space="preserve">means (1) the person or other entity accused in a complaint of an unfair housing practice; and (2) any other person or entity identified </w:t>
      </w:r>
      <w:r w:rsidRPr="00B45EEC">
        <w:rPr>
          <w:rFonts w:eastAsia="Times New Roman"/>
          <w:i/>
          <w:iCs/>
        </w:rPr>
        <w:t>in the course of</w:t>
      </w:r>
      <w:r w:rsidRPr="00B45EEC">
        <w:rPr>
          <w:rFonts w:eastAsia="Times New Roman"/>
          <w:i/>
          <w:iCs/>
        </w:rPr>
        <w:t xml:space="preserve"> investigation and notified with respect to respondents so identified under</w:t>
      </w:r>
      <w:r w:rsidRPr="00B45EEC">
        <w:rPr>
          <w:rFonts w:eastAsia="Times New Roman"/>
        </w:rPr>
        <w:t xml:space="preserve"> </w:t>
      </w:r>
      <w:r w:rsidRPr="00B45EEC">
        <w:rPr>
          <w:rFonts w:eastAsia="Times New Roman"/>
          <w:i/>
          <w:iCs/>
        </w:rPr>
        <w:t>section 810(a)</w:t>
      </w:r>
      <w:r w:rsidRPr="00B45EEC">
        <w:rPr>
          <w:rFonts w:eastAsia="Times New Roman"/>
        </w:rPr>
        <w:t>.”  This proposed information collection involves no payment or gift to any person or entity who is identified as a Respondent in a jurisdictional familial status-based housing discrimination complaint filed with HUD, and who asserts the “55 or older” housing exemption provided under section 807(b)(2)(C) of the Act as an affirmative defense to the complaint.</w:t>
      </w:r>
    </w:p>
    <w:p w:rsidR="00F277FC" w:rsidP="00F277FC" w14:paraId="4AB5A57B" w14:textId="77777777">
      <w:pPr>
        <w:spacing w:after="0" w:line="240" w:lineRule="auto"/>
        <w:rPr>
          <w:rFonts w:eastAsia="Times New Roman"/>
        </w:rPr>
      </w:pPr>
    </w:p>
    <w:p w:rsidR="00E01180" w:rsidRPr="00B45EEC" w:rsidP="00F277FC" w14:paraId="2E86A4D1" w14:textId="77777777">
      <w:pPr>
        <w:spacing w:after="0" w:line="240" w:lineRule="auto"/>
        <w:rPr>
          <w:rFonts w:eastAsia="Times New Roman"/>
        </w:rPr>
      </w:pPr>
    </w:p>
    <w:p w:rsidR="00FD4F06" w:rsidRPr="00C31994" w:rsidP="00FD4F06" w14:paraId="4DBABD12" w14:textId="6C89047B">
      <w:pPr>
        <w:ind w:left="720"/>
        <w:rPr>
          <w:rFonts w:ascii="CG Times" w:hAnsi="CG Times"/>
          <w:b/>
          <w:bCs/>
        </w:rPr>
      </w:pPr>
      <w:r w:rsidRPr="00C31994">
        <w:rPr>
          <w:rFonts w:ascii="CG Times" w:hAnsi="CG Times"/>
          <w:b/>
          <w:bCs/>
        </w:rPr>
        <w:t xml:space="preserve">10. </w:t>
      </w:r>
      <w:r w:rsidR="00F4472E">
        <w:rPr>
          <w:rFonts w:ascii="CG Times" w:hAnsi="CG Times"/>
          <w:b/>
          <w:bCs/>
        </w:rPr>
        <w:t xml:space="preserve"> </w:t>
      </w:r>
      <w:r w:rsidRPr="00C31994">
        <w:rPr>
          <w:rFonts w:ascii="CG Times" w:hAnsi="CG Times"/>
          <w:b/>
          <w:bCs/>
        </w:rPr>
        <w:t>Describe any assurance of confidentiality to respondents and the basis for the assurance in statute, regulation, or agency policy.</w:t>
      </w:r>
    </w:p>
    <w:p w:rsidR="00F277FC" w:rsidRPr="00B45EEC" w:rsidP="00F277FC" w14:paraId="79A60F73" w14:textId="77777777">
      <w:pPr>
        <w:spacing w:after="0" w:line="240" w:lineRule="auto"/>
        <w:ind w:left="1080"/>
        <w:rPr>
          <w:rFonts w:eastAsia="Times New Roman"/>
        </w:rPr>
      </w:pPr>
    </w:p>
    <w:p w:rsidR="00F277FC" w:rsidRPr="007C1141" w:rsidP="00F277FC" w14:paraId="72ABB306" w14:textId="57C551DE">
      <w:pPr>
        <w:ind w:left="1800"/>
        <w:rPr>
          <w:rFonts w:eastAsia="Times New Roman"/>
        </w:rPr>
      </w:pPr>
      <w:r w:rsidRPr="00B45EEC">
        <w:rPr>
          <w:rFonts w:eastAsia="Times New Roman"/>
        </w:rPr>
        <w:t>Only one of the three types of information that would be collected under the HOPA Final Rule raises any question as to confidentiality.  Information concerning the publication of a community</w:t>
      </w:r>
      <w:r>
        <w:rPr>
          <w:rFonts w:eastAsia="Times New Roman"/>
        </w:rPr>
        <w:t xml:space="preserve"> or facility’s </w:t>
      </w:r>
      <w:r w:rsidRPr="00B45EEC">
        <w:rPr>
          <w:rFonts w:eastAsia="Times New Roman"/>
        </w:rPr>
        <w:t xml:space="preserve">housing rules, policies and procedures is not confidential, because such rules, policies and procedures must be publicly disclosed to current and prospective residents, and </w:t>
      </w:r>
      <w:r w:rsidRPr="007C1141">
        <w:rPr>
          <w:rFonts w:eastAsia="Times New Roman"/>
        </w:rPr>
        <w:t xml:space="preserve">to residential real estate professionals, as part of the process of qualifying for the “55 or older” housing exemption.  The occupancy survey </w:t>
      </w:r>
      <w:r w:rsidRPr="007C1141">
        <w:rPr>
          <w:rFonts w:eastAsia="Times New Roman"/>
          <w:u w:val="single"/>
        </w:rPr>
        <w:t>summary</w:t>
      </w:r>
      <w:r w:rsidRPr="007C1141">
        <w:rPr>
          <w:rFonts w:eastAsia="Times New Roman"/>
        </w:rPr>
        <w:t xml:space="preserve"> of results described in §100.307(i) of the HOPA Final Rule does not have to contain confidential information.  It may simply indicate the total number of dwelling units that are occupied by persons 55 years of age or older.  However, the supporting age verification records may contain some private information which would need to be kept confidential until a community or facility asserts the “55 or older” housing exemption as an affirmative defense to a jurisdictional familial status-based housing discrimination complaint filed with HUD.  Sections 100.307(d), (e), and (g) of the HOPA Final Rule (“</w:t>
      </w:r>
      <w:r w:rsidRPr="007C1141">
        <w:rPr>
          <w:rFonts w:eastAsia="Times New Roman"/>
          <w:i/>
          <w:iCs/>
        </w:rPr>
        <w:t>reliable documentation</w:t>
      </w:r>
      <w:r w:rsidRPr="007C1141">
        <w:rPr>
          <w:rFonts w:eastAsia="Times New Roman"/>
        </w:rPr>
        <w:t xml:space="preserve">” of the ages of the occupants) provide a range of options that </w:t>
      </w:r>
      <w:r w:rsidRPr="00CF186E">
        <w:rPr>
          <w:rFonts w:eastAsia="Times New Roman"/>
        </w:rPr>
        <w:t>allow</w:t>
      </w:r>
      <w:r w:rsidRPr="00CF186E" w:rsidR="00A36689">
        <w:rPr>
          <w:rFonts w:eastAsia="Times New Roman"/>
        </w:rPr>
        <w:t>s</w:t>
      </w:r>
      <w:r w:rsidRPr="007C1141">
        <w:rPr>
          <w:rFonts w:eastAsia="Times New Roman"/>
        </w:rPr>
        <w:t xml:space="preserve"> residents to choose the method of age verification that best protects their privacy.  Further, the </w:t>
      </w:r>
      <w:r w:rsidRPr="007C1141">
        <w:rPr>
          <w:rFonts w:eastAsia="Times New Roman"/>
          <w:i/>
          <w:iCs/>
        </w:rPr>
        <w:t>Preamble</w:t>
      </w:r>
      <w:r w:rsidRPr="007C1141">
        <w:rPr>
          <w:rFonts w:eastAsia="Times New Roman"/>
        </w:rPr>
        <w:t xml:space="preserve"> to the HOPA Final Rule </w:t>
      </w:r>
      <w:r>
        <w:rPr>
          <w:rFonts w:eastAsia="Times New Roman"/>
        </w:rPr>
        <w:t xml:space="preserve">[pages 16327, 16328] </w:t>
      </w:r>
      <w:r w:rsidRPr="007C1141">
        <w:rPr>
          <w:rFonts w:eastAsia="Times New Roman"/>
        </w:rPr>
        <w:t xml:space="preserve">contains the following policy guidance issued in response to public comments received on the </w:t>
      </w:r>
      <w:r>
        <w:rPr>
          <w:rFonts w:eastAsia="Times New Roman"/>
        </w:rPr>
        <w:t xml:space="preserve">1997 </w:t>
      </w:r>
      <w:r w:rsidRPr="007C1141">
        <w:rPr>
          <w:rFonts w:eastAsia="Times New Roman"/>
        </w:rPr>
        <w:t>HOPA Proposed Rule:</w:t>
      </w:r>
    </w:p>
    <w:p w:rsidR="00F277FC" w:rsidRPr="00CF186E" w:rsidP="00F277FC" w14:paraId="3FFFDDF2" w14:textId="77777777">
      <w:pPr>
        <w:spacing w:after="0" w:line="240" w:lineRule="auto"/>
        <w:ind w:left="1800"/>
        <w:rPr>
          <w:rFonts w:eastAsia="Times New Roman"/>
          <w:i/>
          <w:iCs/>
          <w:u w:val="single"/>
        </w:rPr>
      </w:pPr>
      <w:r w:rsidRPr="00235200">
        <w:rPr>
          <w:rFonts w:eastAsia="Times New Roman"/>
          <w:i/>
        </w:rPr>
        <w:t>“A summary of the information gathered in support of the occupancy verification should be retained for confirmation purposes.</w:t>
      </w:r>
      <w:r>
        <w:rPr>
          <w:rFonts w:eastAsia="Times New Roman"/>
        </w:rPr>
        <w:t xml:space="preserve">  </w:t>
      </w:r>
      <w:r w:rsidRPr="00E00863">
        <w:rPr>
          <w:rFonts w:eastAsia="Times New Roman"/>
          <w:i/>
          <w:iCs/>
        </w:rPr>
        <w:t xml:space="preserve">Copies of supporting information gathered in support of the occupancy verification may be retained in a separate file with limited access, created for the sole purpose of complying with HOPA, and not in general or resident files that may be widely accessible to employees or other residents.  The segregated documents may be considered confidential and not generally available for public inspection.  </w:t>
      </w:r>
      <w:r w:rsidRPr="00CF186E">
        <w:rPr>
          <w:rFonts w:eastAsia="Times New Roman"/>
          <w:i/>
          <w:iCs/>
          <w:u w:val="single"/>
        </w:rPr>
        <w:t xml:space="preserve">HUD, state or local fair housing enforcement agencies, or the Department of Justice may review this documentation </w:t>
      </w:r>
      <w:r w:rsidRPr="00CF186E">
        <w:rPr>
          <w:rFonts w:eastAsia="Times New Roman"/>
          <w:i/>
          <w:iCs/>
          <w:u w:val="single"/>
        </w:rPr>
        <w:t>during the course of</w:t>
      </w:r>
      <w:r w:rsidRPr="00CF186E">
        <w:rPr>
          <w:rFonts w:eastAsia="Times New Roman"/>
          <w:i/>
          <w:iCs/>
          <w:u w:val="single"/>
        </w:rPr>
        <w:t xml:space="preserve"> an investigation.”</w:t>
      </w:r>
    </w:p>
    <w:p w:rsidR="00F277FC" w:rsidRPr="00E00863" w:rsidP="00F277FC" w14:paraId="55F274FD" w14:textId="77777777">
      <w:pPr>
        <w:spacing w:after="0" w:line="240" w:lineRule="auto"/>
        <w:ind w:left="1800"/>
        <w:rPr>
          <w:rFonts w:eastAsia="Times New Roman"/>
          <w:i/>
          <w:iCs/>
        </w:rPr>
      </w:pPr>
    </w:p>
    <w:p w:rsidR="00F277FC" w:rsidP="00F277FC" w14:paraId="517EF336" w14:textId="77777777">
      <w:pPr>
        <w:spacing w:after="0" w:line="240" w:lineRule="auto"/>
        <w:ind w:left="1800"/>
        <w:rPr>
          <w:rFonts w:eastAsia="Times New Roman"/>
          <w:i/>
          <w:iCs/>
        </w:rPr>
      </w:pPr>
      <w:r w:rsidRPr="00E00863">
        <w:rPr>
          <w:rFonts w:eastAsia="Times New Roman"/>
          <w:i/>
          <w:iCs/>
        </w:rPr>
        <w:t>“There were objections to making public information contained in an age survey for fear that confidential information may be obtained by someone attempting to prey on seniors.  HUD believes that this is a misinterpretation of the requirement.  Only the overall survey summary is required to be available for review, not the supporting documentation.  The word ‘summary’ has been added to this section.”</w:t>
      </w:r>
    </w:p>
    <w:p w:rsidR="00F277FC" w:rsidP="00F277FC" w14:paraId="0E454EA3" w14:textId="77777777">
      <w:pPr>
        <w:spacing w:after="0" w:line="240" w:lineRule="auto"/>
        <w:ind w:left="1800"/>
        <w:rPr>
          <w:rFonts w:eastAsia="Times New Roman"/>
          <w:iCs/>
        </w:rPr>
      </w:pPr>
    </w:p>
    <w:p w:rsidR="00F277FC" w:rsidRPr="00C832C4" w:rsidP="00F277FC" w14:paraId="13E68BE6" w14:textId="1F1BDED3">
      <w:pPr>
        <w:spacing w:after="0" w:line="240" w:lineRule="auto"/>
        <w:ind w:left="1800"/>
        <w:rPr>
          <w:rFonts w:eastAsia="Times New Roman"/>
          <w:iCs/>
        </w:rPr>
      </w:pPr>
      <w:r w:rsidRPr="00C832C4">
        <w:rPr>
          <w:rFonts w:eastAsia="Times New Roman"/>
          <w:iCs/>
        </w:rPr>
        <w:t xml:space="preserve">This language is consistent with policy guidance (including DOJ/HUD Joint Statements) that FHEO has issued with respect to testing evidence; anonymous witnesses; medical records submitted in support of requests for </w:t>
      </w:r>
      <w:r w:rsidRPr="00C832C4">
        <w:rPr>
          <w:rFonts w:eastAsia="Times New Roman"/>
          <w:iCs/>
        </w:rPr>
        <w:t xml:space="preserve">reasonable modifications of existing premises pursuant to </w:t>
      </w:r>
      <w:r w:rsidR="00F976DD">
        <w:rPr>
          <w:rFonts w:eastAsia="Times New Roman"/>
          <w:iCs/>
        </w:rPr>
        <w:t xml:space="preserve">section </w:t>
      </w:r>
      <w:r w:rsidRPr="00C832C4">
        <w:rPr>
          <w:rFonts w:eastAsia="Times New Roman"/>
          <w:iCs/>
        </w:rPr>
        <w:t xml:space="preserve">804(f)(3)(A) of the Fair Housing Act; and medical records submitted in support of requests for reasonable accommodations in rules, policies, practices, or services pursuant to </w:t>
      </w:r>
      <w:r w:rsidR="00F976DD">
        <w:rPr>
          <w:rFonts w:eastAsia="Times New Roman"/>
          <w:iCs/>
        </w:rPr>
        <w:t xml:space="preserve">section </w:t>
      </w:r>
      <w:r w:rsidRPr="00C832C4">
        <w:rPr>
          <w:rFonts w:eastAsia="Times New Roman"/>
          <w:iCs/>
        </w:rPr>
        <w:t>804(f)(3)(B) of the Act.  The “55 or older” housing exemption does not protect housing providers from liability for violations of section 804(f) of the Act.  The reasonable accommodations requirement is referenced at §100.305(e)(4) of the HOPA Final Rule [</w:t>
      </w:r>
      <w:r w:rsidRPr="00C832C4">
        <w:rPr>
          <w:rFonts w:eastAsia="Times New Roman"/>
          <w:i/>
        </w:rPr>
        <w:t>“80% Occupancy”</w:t>
      </w:r>
      <w:r w:rsidRPr="00C832C4">
        <w:rPr>
          <w:rFonts w:eastAsia="Times New Roman"/>
          <w:iCs/>
        </w:rPr>
        <w:t xml:space="preserve">] and is discussed on page 16327 of the </w:t>
      </w:r>
      <w:r w:rsidRPr="00C832C4">
        <w:rPr>
          <w:rFonts w:eastAsia="Times New Roman"/>
          <w:i/>
        </w:rPr>
        <w:t>Preamble</w:t>
      </w:r>
      <w:r w:rsidRPr="00C832C4">
        <w:rPr>
          <w:rFonts w:eastAsia="Times New Roman"/>
          <w:iCs/>
        </w:rPr>
        <w:t>.  Section 810(d)(1) of the Act [“</w:t>
      </w:r>
      <w:r w:rsidRPr="00C832C4">
        <w:rPr>
          <w:rFonts w:eastAsia="Times New Roman"/>
          <w:i/>
        </w:rPr>
        <w:t xml:space="preserve">Prohibitions and Requirements </w:t>
      </w:r>
      <w:r w:rsidRPr="00C832C4">
        <w:rPr>
          <w:rFonts w:eastAsia="Times New Roman"/>
          <w:i/>
        </w:rPr>
        <w:t>With</w:t>
      </w:r>
      <w:r w:rsidRPr="00C832C4">
        <w:rPr>
          <w:rFonts w:eastAsia="Times New Roman"/>
          <w:i/>
        </w:rPr>
        <w:t xml:space="preserve"> Respect to Disclosure of Information</w:t>
      </w:r>
      <w:r w:rsidRPr="00C832C4">
        <w:rPr>
          <w:rFonts w:eastAsia="Times New Roman"/>
          <w:iCs/>
        </w:rPr>
        <w:t>”] established the following restrictions on disclosure of information obtained during conciliation efforts:</w:t>
      </w:r>
    </w:p>
    <w:p w:rsidR="00F277FC" w:rsidP="00F277FC" w14:paraId="0E91B160" w14:textId="77777777">
      <w:pPr>
        <w:spacing w:after="0" w:line="240" w:lineRule="auto"/>
        <w:ind w:left="1800"/>
        <w:rPr>
          <w:rFonts w:eastAsia="Times New Roman"/>
          <w:iCs/>
        </w:rPr>
      </w:pPr>
    </w:p>
    <w:p w:rsidR="00F277FC" w:rsidRPr="00C832C4" w:rsidP="00F277FC" w14:paraId="064E79E8" w14:textId="77777777">
      <w:pPr>
        <w:spacing w:after="0" w:line="240" w:lineRule="auto"/>
        <w:ind w:left="1800"/>
        <w:rPr>
          <w:rFonts w:eastAsia="Times New Roman"/>
          <w:i/>
        </w:rPr>
      </w:pPr>
      <w:r w:rsidRPr="00C832C4">
        <w:rPr>
          <w:rFonts w:eastAsia="Times New Roman"/>
          <w:i/>
        </w:rPr>
        <w:t>“Nothing said or done in the course of conciliation under this title may be made public or used as evidence in a subsequent proceeding without the written consent of the persons concerned.”</w:t>
      </w:r>
    </w:p>
    <w:p w:rsidR="00F277FC" w:rsidRPr="00C832C4" w:rsidP="00F277FC" w14:paraId="0BA77E72" w14:textId="77777777">
      <w:pPr>
        <w:spacing w:after="0" w:line="240" w:lineRule="auto"/>
        <w:ind w:left="1800"/>
        <w:rPr>
          <w:rFonts w:eastAsia="Times New Roman"/>
          <w:iCs/>
        </w:rPr>
      </w:pPr>
    </w:p>
    <w:p w:rsidR="00F277FC" w:rsidRPr="00C832C4" w:rsidP="00F277FC" w14:paraId="33AA81A1" w14:textId="7F2CBB46">
      <w:pPr>
        <w:spacing w:after="0" w:line="240" w:lineRule="auto"/>
        <w:ind w:left="1800"/>
        <w:rPr>
          <w:rFonts w:eastAsia="Times New Roman"/>
          <w:iCs/>
        </w:rPr>
      </w:pPr>
      <w:r w:rsidRPr="00C832C4">
        <w:rPr>
          <w:rFonts w:eastAsia="Times New Roman"/>
          <w:iCs/>
        </w:rPr>
        <w:t xml:space="preserve">Further, 24 C.F.R. Part 103, Subpart E §103.330 of HUD’s </w:t>
      </w:r>
      <w:r w:rsidR="00A36689">
        <w:rPr>
          <w:rFonts w:eastAsia="Times New Roman"/>
          <w:iCs/>
        </w:rPr>
        <w:t xml:space="preserve">Fair Housing Act implementing </w:t>
      </w:r>
      <w:r w:rsidRPr="00C832C4">
        <w:rPr>
          <w:rFonts w:eastAsia="Times New Roman"/>
          <w:iCs/>
        </w:rPr>
        <w:t>regulation reads as follows:</w:t>
      </w:r>
    </w:p>
    <w:p w:rsidR="00F277FC" w:rsidRPr="00C832C4" w:rsidP="00F277FC" w14:paraId="2F3BC964" w14:textId="77777777">
      <w:pPr>
        <w:spacing w:after="0" w:line="240" w:lineRule="auto"/>
        <w:ind w:left="1800"/>
        <w:rPr>
          <w:rFonts w:eastAsia="Times New Roman"/>
          <w:iCs/>
        </w:rPr>
      </w:pPr>
    </w:p>
    <w:p w:rsidR="00F277FC" w:rsidRPr="00C832C4" w:rsidP="00F277FC" w14:paraId="23A9DB3E" w14:textId="44191BEF">
      <w:pPr>
        <w:pStyle w:val="ListParagraph"/>
        <w:numPr>
          <w:ilvl w:val="0"/>
          <w:numId w:val="2"/>
        </w:numPr>
        <w:spacing w:after="0" w:line="240" w:lineRule="auto"/>
        <w:rPr>
          <w:rFonts w:eastAsia="Times New Roman"/>
          <w:i/>
        </w:rPr>
      </w:pPr>
      <w:r w:rsidRPr="00C832C4">
        <w:rPr>
          <w:rFonts w:eastAsia="Times New Roman"/>
          <w:iCs/>
        </w:rPr>
        <w:t>“</w:t>
      </w:r>
      <w:r w:rsidRPr="00C832C4">
        <w:rPr>
          <w:rFonts w:eastAsia="Times New Roman"/>
          <w:i/>
        </w:rPr>
        <w:t>Except as provided in paragraph (b) of this section and §100.230(c</w:t>
      </w:r>
      <w:r w:rsidRPr="00C832C4" w:rsidR="009B4B52">
        <w:rPr>
          <w:rFonts w:eastAsia="Times New Roman"/>
          <w:i/>
        </w:rPr>
        <w:t>) [</w:t>
      </w:r>
      <w:r w:rsidR="009A7798">
        <w:rPr>
          <w:rFonts w:eastAsia="Times New Roman"/>
          <w:i/>
        </w:rPr>
        <w:t>‘</w:t>
      </w:r>
      <w:r w:rsidRPr="00C832C4">
        <w:rPr>
          <w:rFonts w:eastAsia="Times New Roman"/>
          <w:i/>
        </w:rPr>
        <w:t>Final Investigation Report</w:t>
      </w:r>
      <w:r w:rsidR="009A7798">
        <w:rPr>
          <w:rFonts w:eastAsia="Times New Roman"/>
          <w:i/>
        </w:rPr>
        <w:t>’</w:t>
      </w:r>
      <w:r w:rsidRPr="00C832C4">
        <w:rPr>
          <w:rFonts w:eastAsia="Times New Roman"/>
          <w:i/>
        </w:rPr>
        <w:t xml:space="preserve">], nothing that is said or done </w:t>
      </w:r>
      <w:r w:rsidRPr="00C832C4">
        <w:rPr>
          <w:rFonts w:eastAsia="Times New Roman"/>
          <w:i/>
        </w:rPr>
        <w:t>in the course of</w:t>
      </w:r>
      <w:r w:rsidRPr="00C832C4">
        <w:rPr>
          <w:rFonts w:eastAsia="Times New Roman"/>
          <w:i/>
        </w:rPr>
        <w:t xml:space="preserve"> conciliation under this part may be made public or used as evidence in a subsequent administrative hearing under part 180 or in civil actions under title VIII of the Fair Housing Act, without the written consent of the persons concerned.”</w:t>
      </w:r>
    </w:p>
    <w:p w:rsidR="00F277FC" w:rsidRPr="00C832C4" w:rsidP="00F277FC" w14:paraId="464CB22A" w14:textId="77777777">
      <w:pPr>
        <w:pStyle w:val="ListParagraph"/>
        <w:spacing w:after="0" w:line="240" w:lineRule="auto"/>
        <w:ind w:left="2160"/>
        <w:rPr>
          <w:rFonts w:eastAsia="Times New Roman"/>
          <w:i/>
        </w:rPr>
      </w:pPr>
    </w:p>
    <w:p w:rsidR="00F277FC" w:rsidRPr="00C832C4" w:rsidP="00F277FC" w14:paraId="075BCA88" w14:textId="77777777">
      <w:pPr>
        <w:pStyle w:val="ListParagraph"/>
        <w:numPr>
          <w:ilvl w:val="0"/>
          <w:numId w:val="2"/>
        </w:numPr>
        <w:spacing w:after="0" w:line="240" w:lineRule="auto"/>
        <w:rPr>
          <w:rFonts w:eastAsia="Times New Roman"/>
          <w:i/>
        </w:rPr>
      </w:pPr>
      <w:r w:rsidRPr="00C832C4">
        <w:rPr>
          <w:rFonts w:eastAsia="Times New Roman"/>
          <w:i/>
        </w:rPr>
        <w:t>“Conciliation agreements shall be made public, unless the aggrieved person and respondent request nondisclosure and the Assistant Secretary determines that disclosure is not required to further the purposes of the Fair Housing Act.  Notwithstanding a determination that disclosure of a conciliation agreement is not required, the Assistant Secretary may publish tabulated descriptions of the results of all conciliation efforts.”</w:t>
      </w:r>
    </w:p>
    <w:p w:rsidR="00F277FC" w:rsidRPr="00DE2CC5" w:rsidP="00F277FC" w14:paraId="67756BA4" w14:textId="77777777">
      <w:pPr>
        <w:pStyle w:val="ListParagraph"/>
        <w:rPr>
          <w:rFonts w:eastAsia="Times New Roman"/>
          <w:i/>
        </w:rPr>
      </w:pPr>
    </w:p>
    <w:p w:rsidR="004A4F76" w:rsidP="004A4F76" w14:paraId="162A80DB" w14:textId="223CEB1F">
      <w:pPr>
        <w:spacing w:after="0" w:line="240" w:lineRule="auto"/>
        <w:ind w:left="1728"/>
        <w:rPr>
          <w:rFonts w:eastAsia="Times New Roman"/>
        </w:rPr>
      </w:pPr>
      <w:r w:rsidRPr="00DE2CC5">
        <w:rPr>
          <w:rFonts w:eastAsia="Times New Roman"/>
          <w:iCs/>
        </w:rPr>
        <w:t xml:space="preserve">On </w:t>
      </w:r>
      <w:r w:rsidR="00383F1A">
        <w:rPr>
          <w:rFonts w:eastAsia="Times New Roman"/>
          <w:iCs/>
        </w:rPr>
        <w:t xml:space="preserve">December 8, 2023, </w:t>
      </w:r>
      <w:r w:rsidRPr="00DE2CC5">
        <w:rPr>
          <w:rFonts w:eastAsia="Times New Roman"/>
          <w:iCs/>
        </w:rPr>
        <w:t>FHEO’s Office of Information Services and Communication (OISC) issued a</w:t>
      </w:r>
      <w:r w:rsidR="00B9023D">
        <w:rPr>
          <w:rFonts w:eastAsia="Times New Roman"/>
          <w:iCs/>
        </w:rPr>
        <w:t xml:space="preserve">n </w:t>
      </w:r>
      <w:r w:rsidR="00DA0874">
        <w:rPr>
          <w:rFonts w:eastAsia="Times New Roman"/>
          <w:iCs/>
        </w:rPr>
        <w:t xml:space="preserve">updated </w:t>
      </w:r>
      <w:r w:rsidRPr="00DE2CC5" w:rsidR="00DA0874">
        <w:rPr>
          <w:rFonts w:eastAsia="Times New Roman"/>
          <w:iCs/>
        </w:rPr>
        <w:t>Privacy</w:t>
      </w:r>
      <w:r w:rsidRPr="00DE2CC5">
        <w:rPr>
          <w:rFonts w:eastAsia="Times New Roman"/>
          <w:iCs/>
        </w:rPr>
        <w:t xml:space="preserve"> Impact Assessment (PIA) for FHEO’s HUD Enforcement Management System (HEMS).  The PIA describes HEMS as an automated system located on a centralized HUD server that functions as “a repository” for Fair Housing Act complaint-related information and case files collected and maintained during FHEO’s complaint intake and investigation process, including Personally Identifiable Information on Complainants, Respondents, </w:t>
      </w:r>
      <w:r w:rsidR="00B0146D">
        <w:rPr>
          <w:rFonts w:eastAsia="Times New Roman"/>
          <w:iCs/>
        </w:rPr>
        <w:t xml:space="preserve">and </w:t>
      </w:r>
      <w:r w:rsidRPr="00DE2CC5">
        <w:rPr>
          <w:rFonts w:eastAsia="Times New Roman"/>
          <w:iCs/>
        </w:rPr>
        <w:t xml:space="preserve">witnesses interviewed </w:t>
      </w:r>
      <w:r w:rsidRPr="00DE2CC5" w:rsidR="00CF186E">
        <w:rPr>
          <w:rFonts w:eastAsia="Times New Roman"/>
          <w:iCs/>
        </w:rPr>
        <w:t>during</w:t>
      </w:r>
      <w:r w:rsidRPr="00DE2CC5">
        <w:rPr>
          <w:rFonts w:eastAsia="Times New Roman"/>
          <w:iCs/>
        </w:rPr>
        <w:t xml:space="preserve"> a complaint investigation.  </w:t>
      </w:r>
      <w:r w:rsidRPr="00F70B5B">
        <w:rPr>
          <w:rFonts w:eastAsia="Times New Roman"/>
        </w:rPr>
        <w:t xml:space="preserve">HEMS </w:t>
      </w:r>
      <w:r>
        <w:rPr>
          <w:rFonts w:eastAsia="Times New Roman"/>
        </w:rPr>
        <w:t xml:space="preserve">also serves as </w:t>
      </w:r>
      <w:r w:rsidRPr="00F70B5B">
        <w:rPr>
          <w:rFonts w:eastAsia="Times New Roman"/>
        </w:rPr>
        <w:t>FHEO’s authorized automated repository for information collected during the course of administrative complaint investigations and compliance reviews conducted under Title VI of the Civil Rights Act of 1964</w:t>
      </w:r>
      <w:r>
        <w:rPr>
          <w:rFonts w:eastAsia="Times New Roman"/>
        </w:rPr>
        <w:t xml:space="preserve"> [42 U.S.C. 2000d-2000d-7]</w:t>
      </w:r>
      <w:r w:rsidRPr="00F70B5B">
        <w:rPr>
          <w:rFonts w:eastAsia="Times New Roman"/>
        </w:rPr>
        <w:t>; Section 504 of the Rehabilitation Act of 1973</w:t>
      </w:r>
      <w:r>
        <w:rPr>
          <w:rFonts w:eastAsia="Times New Roman"/>
        </w:rPr>
        <w:t xml:space="preserve"> [29 U.S.C. 794]</w:t>
      </w:r>
      <w:r w:rsidRPr="00F70B5B">
        <w:rPr>
          <w:rFonts w:eastAsia="Times New Roman"/>
        </w:rPr>
        <w:t xml:space="preserve">; Section 109 </w:t>
      </w:r>
      <w:r w:rsidRPr="00CF186E">
        <w:rPr>
          <w:rFonts w:eastAsia="Times New Roman"/>
        </w:rPr>
        <w:t>of Title I</w:t>
      </w:r>
      <w:r>
        <w:rPr>
          <w:rFonts w:eastAsia="Times New Roman"/>
        </w:rPr>
        <w:t xml:space="preserve"> of </w:t>
      </w:r>
      <w:r w:rsidRPr="00F70B5B">
        <w:rPr>
          <w:rFonts w:eastAsia="Times New Roman"/>
        </w:rPr>
        <w:t xml:space="preserve">the </w:t>
      </w:r>
      <w:r w:rsidRPr="00F70B5B">
        <w:rPr>
          <w:rFonts w:eastAsia="Times New Roman"/>
        </w:rPr>
        <w:t>Housing &amp; Community Development Act of 1974</w:t>
      </w:r>
      <w:r>
        <w:rPr>
          <w:rFonts w:eastAsia="Times New Roman"/>
        </w:rPr>
        <w:t xml:space="preserve"> [42 U.S.C. 5309]</w:t>
      </w:r>
      <w:r w:rsidRPr="00F70B5B">
        <w:rPr>
          <w:rFonts w:eastAsia="Times New Roman"/>
        </w:rPr>
        <w:t>; Title II of the Americans with Disabilities Act of 1990</w:t>
      </w:r>
      <w:r>
        <w:rPr>
          <w:rFonts w:eastAsia="Times New Roman"/>
        </w:rPr>
        <w:t xml:space="preserve"> </w:t>
      </w:r>
      <w:r w:rsidRPr="00CF186E">
        <w:rPr>
          <w:rFonts w:eastAsia="Times New Roman"/>
        </w:rPr>
        <w:t>[42 U.S.C. §§ 12131-12165]; Title III</w:t>
      </w:r>
      <w:r>
        <w:rPr>
          <w:rFonts w:eastAsia="Times New Roman"/>
        </w:rPr>
        <w:t xml:space="preserve"> of the Americans with Disabilities Act of 1990 </w:t>
      </w:r>
      <w:r w:rsidRPr="00CF186E">
        <w:rPr>
          <w:rFonts w:eastAsia="Times New Roman"/>
        </w:rPr>
        <w:t>[42 U.S.C. §§ 12181-12189]</w:t>
      </w:r>
      <w:r>
        <w:rPr>
          <w:rFonts w:eastAsia="Times New Roman"/>
        </w:rPr>
        <w:t xml:space="preserve">; </w:t>
      </w:r>
      <w:r w:rsidRPr="00F70B5B">
        <w:rPr>
          <w:rFonts w:eastAsia="Times New Roman"/>
        </w:rPr>
        <w:t>the Age Discrimination Act of 1975</w:t>
      </w:r>
      <w:r>
        <w:rPr>
          <w:rFonts w:eastAsia="Times New Roman"/>
        </w:rPr>
        <w:t xml:space="preserve"> [42 U.S.C. §§ 6101-6107]</w:t>
      </w:r>
      <w:r w:rsidRPr="00F70B5B">
        <w:rPr>
          <w:rFonts w:eastAsia="Times New Roman"/>
        </w:rPr>
        <w:t>; Title IX of the Education Amendments Act of 1972</w:t>
      </w:r>
      <w:r>
        <w:rPr>
          <w:rFonts w:eastAsia="Times New Roman"/>
        </w:rPr>
        <w:t xml:space="preserve"> [20 U.S.C. §§ 1681-1688]</w:t>
      </w:r>
      <w:r w:rsidRPr="00F70B5B">
        <w:rPr>
          <w:rFonts w:eastAsia="Times New Roman"/>
        </w:rPr>
        <w:t>; the Architectural Barriers Act of 1968</w:t>
      </w:r>
      <w:r>
        <w:rPr>
          <w:rFonts w:eastAsia="Times New Roman"/>
        </w:rPr>
        <w:t xml:space="preserve"> [42 U.S.C. 4151 et seq.]</w:t>
      </w:r>
      <w:r w:rsidRPr="00F70B5B">
        <w:rPr>
          <w:rFonts w:eastAsia="Times New Roman"/>
        </w:rPr>
        <w:t xml:space="preserve">; </w:t>
      </w:r>
      <w:r>
        <w:rPr>
          <w:rFonts w:eastAsia="Times New Roman"/>
        </w:rPr>
        <w:t>the 2022 reauthorization of the Violence Against Women Act (VAWA 2022) [</w:t>
      </w:r>
      <w:r w:rsidRPr="00CF186E">
        <w:rPr>
          <w:rFonts w:eastAsia="Times New Roman"/>
        </w:rPr>
        <w:t>34 U.S.C. 12291; 34 U.S.C. 12471-12475; 34 U.S.C. 12491-12496; 24 C.F.R. Part 5, Subpart L, 5.2001-5.2011</w:t>
      </w:r>
      <w:r>
        <w:rPr>
          <w:rFonts w:eastAsia="Times New Roman"/>
        </w:rPr>
        <w:t xml:space="preserve">]; </w:t>
      </w:r>
      <w:r w:rsidRPr="00F70B5B">
        <w:rPr>
          <w:rFonts w:eastAsia="Times New Roman"/>
        </w:rPr>
        <w:t>and Executive Orders 12549 and 12689.</w:t>
      </w:r>
    </w:p>
    <w:p w:rsidR="00F277FC" w:rsidP="0087647D" w14:paraId="492FB2B8" w14:textId="77777777">
      <w:pPr>
        <w:spacing w:after="0" w:line="240" w:lineRule="auto"/>
        <w:rPr>
          <w:rFonts w:eastAsia="Times New Roman"/>
          <w:iCs/>
        </w:rPr>
      </w:pPr>
    </w:p>
    <w:p w:rsidR="0087647D" w:rsidRPr="00DE2CC5" w:rsidP="0087647D" w14:paraId="40E505CE" w14:textId="77777777">
      <w:pPr>
        <w:spacing w:after="0" w:line="240" w:lineRule="auto"/>
        <w:rPr>
          <w:rFonts w:eastAsia="Times New Roman"/>
          <w:iCs/>
        </w:rPr>
      </w:pPr>
    </w:p>
    <w:p w:rsidR="00A52E77" w:rsidRPr="003947AB" w:rsidP="00A52E77" w14:paraId="3A3E8A8D" w14:textId="77777777">
      <w:pPr>
        <w:ind w:left="720"/>
        <w:rPr>
          <w:rFonts w:ascii="CG Times" w:hAnsi="CG Times"/>
          <w:b/>
          <w:bCs/>
        </w:rPr>
      </w:pPr>
      <w:bookmarkStart w:id="1" w:name="_Hlk151389369"/>
      <w:r w:rsidRPr="003947AB">
        <w:rPr>
          <w:rFonts w:ascii="CG Times" w:hAnsi="CG Times"/>
          <w:b/>
          <w:bCs/>
        </w:rPr>
        <w:t>11.  Provide any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1"/>
    <w:p w:rsidR="00F277FC" w:rsidRPr="001C3A65" w:rsidP="00F277FC" w14:paraId="751119DA" w14:textId="77777777">
      <w:pPr>
        <w:spacing w:after="0" w:line="240" w:lineRule="auto"/>
        <w:ind w:left="1080"/>
        <w:rPr>
          <w:rFonts w:eastAsia="Times New Roman"/>
        </w:rPr>
      </w:pPr>
    </w:p>
    <w:p w:rsidR="00F277FC" w:rsidRPr="001C3A65" w:rsidP="00F277FC" w14:paraId="2C19C844" w14:textId="778C6535">
      <w:pPr>
        <w:spacing w:after="0" w:line="240" w:lineRule="auto"/>
        <w:ind w:left="1872"/>
        <w:rPr>
          <w:rFonts w:eastAsia="Times New Roman"/>
        </w:rPr>
      </w:pPr>
      <w:r w:rsidRPr="001C3A65">
        <w:rPr>
          <w:rFonts w:eastAsia="Times New Roman"/>
        </w:rPr>
        <w:t>The HOPA Final Rule does not require the collection of information of a sensitive nature.</w:t>
      </w:r>
    </w:p>
    <w:p w:rsidR="00F277FC" w:rsidP="00CE599D" w14:paraId="7424AD25" w14:textId="77777777">
      <w:pPr>
        <w:spacing w:after="0" w:line="240" w:lineRule="auto"/>
        <w:rPr>
          <w:rFonts w:eastAsia="Times New Roman"/>
        </w:rPr>
      </w:pPr>
    </w:p>
    <w:p w:rsidR="00CE599D" w:rsidRPr="001C3A65" w:rsidP="00CE599D" w14:paraId="2E657D39" w14:textId="77777777">
      <w:pPr>
        <w:spacing w:after="0" w:line="240" w:lineRule="auto"/>
        <w:rPr>
          <w:rFonts w:eastAsia="Times New Roman"/>
        </w:rPr>
      </w:pPr>
    </w:p>
    <w:p w:rsidR="00552583" w:rsidRPr="00217FEF" w:rsidP="00552583" w14:paraId="4F851EB7" w14:textId="77777777">
      <w:pPr>
        <w:ind w:left="720"/>
        <w:rPr>
          <w:rFonts w:ascii="CG Times" w:hAnsi="CG Times"/>
          <w:b/>
          <w:bCs/>
        </w:rPr>
      </w:pPr>
      <w:r w:rsidRPr="00217FEF">
        <w:rPr>
          <w:rFonts w:ascii="CG Times" w:hAnsi="CG Times"/>
          <w:b/>
          <w:bCs/>
        </w:rPr>
        <w:t>12. Provide estimates of the hour burden of the collection of information.</w:t>
      </w:r>
    </w:p>
    <w:p w:rsidR="00F277FC" w:rsidRPr="001C3A65" w:rsidP="00F277FC" w14:paraId="075C9309" w14:textId="77777777">
      <w:pPr>
        <w:spacing w:after="0" w:line="240" w:lineRule="auto"/>
        <w:rPr>
          <w:rFonts w:eastAsia="Times New Roman"/>
        </w:rPr>
      </w:pPr>
    </w:p>
    <w:p w:rsidR="00F277FC" w:rsidRPr="001C3A65" w:rsidP="00F277FC" w14:paraId="05818176" w14:textId="4CEDA968">
      <w:pPr>
        <w:spacing w:after="0" w:line="240" w:lineRule="auto"/>
        <w:ind w:left="1800"/>
        <w:rPr>
          <w:rFonts w:eastAsia="Times New Roman"/>
        </w:rPr>
      </w:pPr>
      <w:r w:rsidRPr="001C3A65">
        <w:rPr>
          <w:rFonts w:eastAsia="Times New Roman"/>
        </w:rPr>
        <w:t>No Federal, State</w:t>
      </w:r>
      <w:r>
        <w:rPr>
          <w:rFonts w:eastAsia="Times New Roman"/>
        </w:rPr>
        <w:t>,</w:t>
      </w:r>
      <w:r w:rsidRPr="001C3A65">
        <w:rPr>
          <w:rFonts w:eastAsia="Times New Roman"/>
        </w:rPr>
        <w:t xml:space="preserve"> or local entity, including the Federal Bureau of the Census, routinely collects, compiles</w:t>
      </w:r>
      <w:r>
        <w:rPr>
          <w:rFonts w:eastAsia="Times New Roman"/>
        </w:rPr>
        <w:t>,</w:t>
      </w:r>
      <w:r w:rsidRPr="001C3A65">
        <w:rPr>
          <w:rFonts w:eastAsia="Times New Roman"/>
        </w:rPr>
        <w:t xml:space="preserve"> or maintains data that would enable HUD to ascertain the total number of residential facilities and communities in the United States that are </w:t>
      </w:r>
      <w:r w:rsidR="009B0608">
        <w:rPr>
          <w:rFonts w:eastAsia="Times New Roman"/>
        </w:rPr>
        <w:t>operating</w:t>
      </w:r>
      <w:r w:rsidRPr="001C3A65">
        <w:rPr>
          <w:rFonts w:eastAsia="Times New Roman"/>
        </w:rPr>
        <w:t xml:space="preserve"> as “55 or older” housing at any given time.  In estimating the total annual </w:t>
      </w:r>
      <w:r>
        <w:rPr>
          <w:rFonts w:eastAsia="Times New Roman"/>
        </w:rPr>
        <w:t xml:space="preserve">burden </w:t>
      </w:r>
      <w:r w:rsidRPr="001C3A65">
        <w:rPr>
          <w:rFonts w:eastAsia="Times New Roman"/>
        </w:rPr>
        <w:t>hour</w:t>
      </w:r>
      <w:r>
        <w:rPr>
          <w:rFonts w:eastAsia="Times New Roman"/>
        </w:rPr>
        <w:t>s</w:t>
      </w:r>
      <w:r w:rsidRPr="001C3A65">
        <w:rPr>
          <w:rFonts w:eastAsia="Times New Roman"/>
        </w:rPr>
        <w:t xml:space="preserve"> for this information collection, HUD divided the information collection and reporting activity into three (3) categories as shown </w:t>
      </w:r>
      <w:r>
        <w:rPr>
          <w:rFonts w:eastAsia="Times New Roman"/>
        </w:rPr>
        <w:t>o</w:t>
      </w:r>
      <w:r w:rsidRPr="001C3A65">
        <w:rPr>
          <w:rFonts w:eastAsia="Times New Roman"/>
        </w:rPr>
        <w:t>n the following Chart:</w:t>
      </w:r>
    </w:p>
    <w:p w:rsidR="00F277FC" w:rsidP="00F277FC" w14:paraId="54504064" w14:textId="77777777">
      <w:pPr>
        <w:rPr>
          <w:rFonts w:eastAsia="Times New Roman"/>
        </w:rPr>
      </w:pPr>
    </w:p>
    <w:p w:rsidR="00F277FC" w:rsidP="00F277FC" w14:paraId="25C322D5" w14:textId="77777777">
      <w:pPr>
        <w:contextualSpacing/>
        <w:rPr>
          <w:rFonts w:eastAsia="Times New Roman"/>
        </w:rPr>
      </w:pPr>
    </w:p>
    <w:tbl>
      <w:tblPr>
        <w:tblW w:w="10770" w:type="dxa"/>
        <w:tblInd w:w="108" w:type="dxa"/>
        <w:tblCellMar>
          <w:left w:w="0" w:type="dxa"/>
          <w:right w:w="0" w:type="dxa"/>
        </w:tblCellMar>
        <w:tblLook w:val="04A0"/>
      </w:tblPr>
      <w:tblGrid>
        <w:gridCol w:w="1284"/>
        <w:gridCol w:w="1306"/>
        <w:gridCol w:w="1318"/>
        <w:gridCol w:w="1094"/>
        <w:gridCol w:w="1083"/>
        <w:gridCol w:w="1134"/>
        <w:gridCol w:w="1083"/>
        <w:gridCol w:w="2468"/>
      </w:tblGrid>
      <w:tr w14:paraId="181A7730" w14:textId="77777777" w:rsidTr="001D0410">
        <w:tblPrEx>
          <w:tblW w:w="10770" w:type="dxa"/>
          <w:tblInd w:w="108" w:type="dxa"/>
          <w:tblCellMar>
            <w:left w:w="0" w:type="dxa"/>
            <w:right w:w="0" w:type="dxa"/>
          </w:tblCellMar>
          <w:tblLook w:val="04A0"/>
        </w:tblPrEx>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277FC" w:rsidRPr="001D0410" w:rsidP="00517DC8" w14:paraId="4A1C0B70" w14:textId="77777777">
            <w:pPr>
              <w:overflowPunct w:val="0"/>
              <w:autoSpaceDE w:val="0"/>
              <w:autoSpaceDN w:val="0"/>
              <w:spacing w:after="0" w:line="240" w:lineRule="auto"/>
              <w:jc w:val="center"/>
              <w:rPr>
                <w:b/>
                <w:sz w:val="20"/>
                <w:szCs w:val="20"/>
              </w:rPr>
            </w:pPr>
            <w:r w:rsidRPr="001D0410">
              <w:rPr>
                <w:rFonts w:eastAsia="Times New Roman"/>
                <w:b/>
                <w:sz w:val="20"/>
                <w:szCs w:val="20"/>
              </w:rPr>
              <w:t>Type of Collection Activity</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77FC" w:rsidRPr="001D0410" w:rsidP="00517DC8" w14:paraId="30EF9B29" w14:textId="77777777">
            <w:pPr>
              <w:overflowPunct w:val="0"/>
              <w:autoSpaceDE w:val="0"/>
              <w:autoSpaceDN w:val="0"/>
              <w:spacing w:after="0" w:line="240" w:lineRule="auto"/>
              <w:jc w:val="center"/>
              <w:rPr>
                <w:b/>
                <w:sz w:val="20"/>
                <w:szCs w:val="20"/>
              </w:rPr>
            </w:pPr>
            <w:r w:rsidRPr="001D0410">
              <w:rPr>
                <w:rFonts w:eastAsia="Times New Roman"/>
                <w:b/>
                <w:sz w:val="20"/>
                <w:szCs w:val="20"/>
              </w:rPr>
              <w:t>Estimated Number of Respondents</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77FC" w:rsidRPr="001D0410" w:rsidP="00517DC8" w14:paraId="732034B4" w14:textId="77777777">
            <w:pPr>
              <w:overflowPunct w:val="0"/>
              <w:autoSpaceDE w:val="0"/>
              <w:autoSpaceDN w:val="0"/>
              <w:spacing w:after="0" w:line="240" w:lineRule="auto"/>
              <w:jc w:val="center"/>
              <w:rPr>
                <w:b/>
                <w:sz w:val="20"/>
                <w:szCs w:val="20"/>
              </w:rPr>
            </w:pPr>
            <w:r w:rsidRPr="001D0410">
              <w:rPr>
                <w:rFonts w:eastAsia="Times New Roman"/>
                <w:b/>
                <w:sz w:val="20"/>
                <w:szCs w:val="20"/>
              </w:rPr>
              <w:t>Estimated Frequency of Response</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77FC" w:rsidRPr="001D0410" w:rsidP="00517DC8" w14:paraId="3592E22A" w14:textId="77777777">
            <w:pPr>
              <w:spacing w:after="0" w:line="240" w:lineRule="auto"/>
              <w:jc w:val="center"/>
              <w:rPr>
                <w:b/>
                <w:sz w:val="20"/>
                <w:szCs w:val="20"/>
              </w:rPr>
            </w:pPr>
            <w:r w:rsidRPr="001D0410">
              <w:rPr>
                <w:rFonts w:eastAsia="Times New Roman"/>
                <w:b/>
                <w:sz w:val="20"/>
                <w:szCs w:val="20"/>
              </w:rPr>
              <w:t>Estimated Responses</w:t>
            </w:r>
          </w:p>
          <w:p w:rsidR="00F277FC" w:rsidRPr="001D0410" w:rsidP="00517DC8" w14:paraId="5EFB3A00" w14:textId="77777777">
            <w:pPr>
              <w:overflowPunct w:val="0"/>
              <w:autoSpaceDE w:val="0"/>
              <w:autoSpaceDN w:val="0"/>
              <w:spacing w:after="0" w:line="240" w:lineRule="auto"/>
              <w:jc w:val="center"/>
              <w:rPr>
                <w:b/>
                <w:sz w:val="20"/>
                <w:szCs w:val="20"/>
              </w:rPr>
            </w:pPr>
            <w:r w:rsidRPr="001D0410">
              <w:rPr>
                <w:rFonts w:eastAsia="Times New Roman"/>
                <w:b/>
                <w:sz w:val="20"/>
                <w:szCs w:val="20"/>
              </w:rPr>
              <w:t>Per Annum</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77FC" w:rsidRPr="001D0410" w:rsidP="00517DC8" w14:paraId="66ECFC8C" w14:textId="77777777">
            <w:pPr>
              <w:overflowPunct w:val="0"/>
              <w:autoSpaceDE w:val="0"/>
              <w:autoSpaceDN w:val="0"/>
              <w:spacing w:after="0" w:line="240" w:lineRule="auto"/>
              <w:jc w:val="center"/>
              <w:rPr>
                <w:b/>
                <w:sz w:val="20"/>
                <w:szCs w:val="20"/>
              </w:rPr>
            </w:pPr>
            <w:r w:rsidRPr="001D0410">
              <w:rPr>
                <w:rFonts w:eastAsia="Times New Roman"/>
                <w:b/>
                <w:sz w:val="20"/>
                <w:szCs w:val="20"/>
              </w:rPr>
              <w:t>Estimated Burden Hour Per Response</w:t>
            </w:r>
          </w:p>
        </w:tc>
        <w:tc>
          <w:tcPr>
            <w:tcW w:w="11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77FC" w:rsidRPr="001D0410" w:rsidP="00517DC8" w14:paraId="2CA16BF0" w14:textId="77777777">
            <w:pPr>
              <w:overflowPunct w:val="0"/>
              <w:autoSpaceDE w:val="0"/>
              <w:autoSpaceDN w:val="0"/>
              <w:spacing w:after="0" w:line="240" w:lineRule="auto"/>
              <w:jc w:val="center"/>
              <w:rPr>
                <w:b/>
                <w:sz w:val="20"/>
                <w:szCs w:val="20"/>
              </w:rPr>
            </w:pPr>
            <w:r w:rsidRPr="001D0410">
              <w:rPr>
                <w:rFonts w:eastAsia="Times New Roman"/>
                <w:b/>
                <w:sz w:val="20"/>
                <w:szCs w:val="20"/>
              </w:rPr>
              <w:t>Estimated Annual Burden Hours</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277FC" w:rsidRPr="001D0410" w:rsidP="00517DC8" w14:paraId="47B6B14D" w14:textId="77777777">
            <w:pPr>
              <w:overflowPunct w:val="0"/>
              <w:autoSpaceDE w:val="0"/>
              <w:autoSpaceDN w:val="0"/>
              <w:spacing w:after="0" w:line="240" w:lineRule="auto"/>
              <w:jc w:val="center"/>
              <w:rPr>
                <w:b/>
                <w:sz w:val="20"/>
                <w:szCs w:val="20"/>
              </w:rPr>
            </w:pPr>
            <w:r w:rsidRPr="001D0410">
              <w:rPr>
                <w:rFonts w:eastAsia="Times New Roman"/>
                <w:b/>
                <w:sz w:val="20"/>
                <w:szCs w:val="20"/>
              </w:rPr>
              <w:t>Estimated Hourly Cost Per Response</w:t>
            </w:r>
          </w:p>
        </w:tc>
        <w:tc>
          <w:tcPr>
            <w:tcW w:w="2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46BCAC04" w14:textId="77777777">
            <w:pPr>
              <w:spacing w:after="0" w:line="240" w:lineRule="auto"/>
              <w:jc w:val="center"/>
              <w:rPr>
                <w:b/>
                <w:sz w:val="20"/>
                <w:szCs w:val="20"/>
              </w:rPr>
            </w:pPr>
            <w:r w:rsidRPr="001D0410">
              <w:rPr>
                <w:rFonts w:eastAsia="Times New Roman"/>
                <w:b/>
                <w:sz w:val="20"/>
                <w:szCs w:val="20"/>
              </w:rPr>
              <w:t>Estimated Annual Cost</w:t>
            </w:r>
          </w:p>
          <w:p w:rsidR="00F277FC" w:rsidRPr="001D0410" w:rsidP="00517DC8" w14:paraId="4F1FF583" w14:textId="77777777">
            <w:pPr>
              <w:overflowPunct w:val="0"/>
              <w:autoSpaceDE w:val="0"/>
              <w:autoSpaceDN w:val="0"/>
              <w:spacing w:after="0" w:line="240" w:lineRule="auto"/>
              <w:jc w:val="center"/>
              <w:rPr>
                <w:b/>
                <w:sz w:val="20"/>
                <w:szCs w:val="20"/>
              </w:rPr>
            </w:pPr>
          </w:p>
        </w:tc>
      </w:tr>
      <w:tr w14:paraId="080E7D1D" w14:textId="77777777" w:rsidTr="001D0410">
        <w:tblPrEx>
          <w:tblW w:w="10770" w:type="dxa"/>
          <w:tblInd w:w="108" w:type="dxa"/>
          <w:tblCellMar>
            <w:left w:w="0" w:type="dxa"/>
            <w:right w:w="0" w:type="dxa"/>
          </w:tblCellMar>
          <w:tblLook w:val="04A0"/>
        </w:tblPrEx>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77FC" w:rsidRPr="001D0410" w:rsidP="00517DC8" w14:paraId="4A5B22AF"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u w:val="single"/>
              </w:rPr>
              <w:t>One</w:t>
            </w:r>
            <w:r w:rsidRPr="001D0410">
              <w:rPr>
                <w:rFonts w:eastAsia="Times New Roman"/>
                <w:b/>
                <w:sz w:val="20"/>
                <w:szCs w:val="20"/>
              </w:rPr>
              <w:t xml:space="preserve">: Collect reliable age verification records for at least one occupant per dwelling unit to meet </w:t>
            </w:r>
            <w:r w:rsidRPr="001D0410">
              <w:rPr>
                <w:rFonts w:eastAsia="Times New Roman"/>
                <w:b/>
                <w:sz w:val="20"/>
                <w:szCs w:val="20"/>
              </w:rPr>
              <w:t>the HOPA’s minimum “80% occupancy” requirement</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254E80E6" w14:textId="052C4710">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1,000 (estimated 1</w:t>
            </w:r>
            <w:r w:rsidRPr="001D0410" w:rsidR="00432935">
              <w:rPr>
                <w:rFonts w:eastAsia="Times New Roman"/>
                <w:b/>
                <w:sz w:val="20"/>
                <w:szCs w:val="20"/>
              </w:rPr>
              <w:t>0</w:t>
            </w:r>
            <w:r w:rsidRPr="001D0410">
              <w:rPr>
                <w:rFonts w:eastAsia="Times New Roman"/>
                <w:b/>
                <w:sz w:val="20"/>
                <w:szCs w:val="20"/>
              </w:rPr>
              <w:t>,000 occupants)</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4FB3AB8E"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1 (once per each housing transaction)</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3AC942AC" w14:textId="77777777">
            <w:pPr>
              <w:spacing w:after="0" w:line="240" w:lineRule="auto"/>
              <w:jc w:val="center"/>
              <w:rPr>
                <w:rFonts w:eastAsia="Times New Roman"/>
                <w:b/>
                <w:sz w:val="20"/>
                <w:szCs w:val="20"/>
              </w:rPr>
            </w:pPr>
            <w:r w:rsidRPr="001D0410">
              <w:rPr>
                <w:rFonts w:eastAsia="Times New Roman"/>
                <w:b/>
                <w:sz w:val="20"/>
                <w:szCs w:val="20"/>
              </w:rPr>
              <w:t>10,000</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560FA364"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1</w:t>
            </w:r>
          </w:p>
        </w:tc>
        <w:tc>
          <w:tcPr>
            <w:tcW w:w="115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30FC042D"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1,000</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4F390BD0" w14:textId="29D138C3">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w:t>
            </w:r>
            <w:r w:rsidRPr="001D0410" w:rsidR="00F37773">
              <w:rPr>
                <w:rFonts w:eastAsia="Times New Roman"/>
                <w:b/>
                <w:sz w:val="20"/>
                <w:szCs w:val="20"/>
              </w:rPr>
              <w:t>20.02</w:t>
            </w:r>
          </w:p>
        </w:tc>
        <w:tc>
          <w:tcPr>
            <w:tcW w:w="2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5A86FFC1" w14:textId="7C5D4CE1">
            <w:pPr>
              <w:spacing w:after="0" w:line="240" w:lineRule="auto"/>
              <w:jc w:val="center"/>
              <w:rPr>
                <w:rFonts w:eastAsia="Times New Roman"/>
                <w:b/>
                <w:sz w:val="20"/>
                <w:szCs w:val="20"/>
              </w:rPr>
            </w:pPr>
            <w:r w:rsidRPr="001D0410">
              <w:rPr>
                <w:rFonts w:eastAsia="Times New Roman"/>
                <w:b/>
                <w:sz w:val="20"/>
                <w:szCs w:val="20"/>
              </w:rPr>
              <w:t>$</w:t>
            </w:r>
            <w:r w:rsidRPr="001D0410" w:rsidR="00F37773">
              <w:rPr>
                <w:rFonts w:eastAsia="Times New Roman"/>
                <w:b/>
                <w:sz w:val="20"/>
                <w:szCs w:val="20"/>
              </w:rPr>
              <w:t>20.02</w:t>
            </w:r>
          </w:p>
        </w:tc>
      </w:tr>
      <w:tr w14:paraId="6A3C5FA5" w14:textId="77777777" w:rsidTr="001D0410">
        <w:tblPrEx>
          <w:tblW w:w="10770" w:type="dxa"/>
          <w:tblInd w:w="108" w:type="dxa"/>
          <w:tblCellMar>
            <w:left w:w="0" w:type="dxa"/>
            <w:right w:w="0" w:type="dxa"/>
          </w:tblCellMar>
          <w:tblLook w:val="04A0"/>
        </w:tblPrEx>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77FC" w:rsidRPr="001D0410" w:rsidP="00517DC8" w14:paraId="2EE26786"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u w:val="single"/>
              </w:rPr>
              <w:t>Two</w:t>
            </w:r>
            <w:r w:rsidRPr="001D0410">
              <w:rPr>
                <w:rFonts w:eastAsia="Times New Roman"/>
                <w:b/>
                <w:sz w:val="20"/>
                <w:szCs w:val="20"/>
              </w:rPr>
              <w:t>: Publication of &amp; adherence to policies &amp; procedures that demonstrate intent to operate “55 or older” housing</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3EAA5D0A"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1,000 (estimated 1,000 housing providers)</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28C02EE9"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1 (one-time event for publication)</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6FD47828" w14:textId="77777777">
            <w:pPr>
              <w:spacing w:after="0" w:line="240" w:lineRule="auto"/>
              <w:jc w:val="center"/>
              <w:rPr>
                <w:rFonts w:eastAsia="Times New Roman"/>
                <w:b/>
                <w:sz w:val="20"/>
                <w:szCs w:val="20"/>
              </w:rPr>
            </w:pPr>
            <w:r w:rsidRPr="001D0410">
              <w:rPr>
                <w:rFonts w:eastAsia="Times New Roman"/>
                <w:b/>
                <w:sz w:val="20"/>
                <w:szCs w:val="20"/>
              </w:rPr>
              <w:t>1,000</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45129CBA"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2</w:t>
            </w:r>
          </w:p>
        </w:tc>
        <w:tc>
          <w:tcPr>
            <w:tcW w:w="115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761371B2"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2,000</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62FDA99B" w14:textId="053A69F9">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w:t>
            </w:r>
            <w:r w:rsidRPr="001D0410" w:rsidR="00F37773">
              <w:rPr>
                <w:rFonts w:eastAsia="Times New Roman"/>
                <w:b/>
                <w:sz w:val="20"/>
                <w:szCs w:val="20"/>
              </w:rPr>
              <w:t>20.02</w:t>
            </w:r>
          </w:p>
        </w:tc>
        <w:tc>
          <w:tcPr>
            <w:tcW w:w="2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38608789" w14:textId="46061239">
            <w:pPr>
              <w:spacing w:after="0" w:line="240" w:lineRule="auto"/>
              <w:jc w:val="center"/>
              <w:rPr>
                <w:rFonts w:eastAsia="Times New Roman"/>
                <w:b/>
                <w:sz w:val="20"/>
                <w:szCs w:val="20"/>
              </w:rPr>
            </w:pPr>
            <w:r w:rsidRPr="001D0410">
              <w:rPr>
                <w:rFonts w:eastAsia="Times New Roman"/>
                <w:b/>
                <w:sz w:val="20"/>
                <w:szCs w:val="20"/>
              </w:rPr>
              <w:t>$</w:t>
            </w:r>
            <w:r w:rsidRPr="001D0410" w:rsidR="005B691D">
              <w:rPr>
                <w:rFonts w:eastAsia="Times New Roman"/>
                <w:b/>
                <w:sz w:val="20"/>
                <w:szCs w:val="20"/>
              </w:rPr>
              <w:t>40</w:t>
            </w:r>
            <w:r w:rsidRPr="001D0410" w:rsidR="007C79A9">
              <w:rPr>
                <w:rFonts w:eastAsia="Times New Roman"/>
                <w:b/>
                <w:sz w:val="20"/>
                <w:szCs w:val="20"/>
              </w:rPr>
              <w:t>,</w:t>
            </w:r>
            <w:r w:rsidRPr="001D0410" w:rsidR="005B691D">
              <w:rPr>
                <w:rFonts w:eastAsia="Times New Roman"/>
                <w:b/>
                <w:sz w:val="20"/>
                <w:szCs w:val="20"/>
              </w:rPr>
              <w:t>040</w:t>
            </w:r>
          </w:p>
        </w:tc>
      </w:tr>
      <w:tr w14:paraId="0E46CE9B" w14:textId="77777777" w:rsidTr="001D0410">
        <w:tblPrEx>
          <w:tblW w:w="10770" w:type="dxa"/>
          <w:tblInd w:w="108" w:type="dxa"/>
          <w:tblCellMar>
            <w:left w:w="0" w:type="dxa"/>
            <w:right w:w="0" w:type="dxa"/>
          </w:tblCellMar>
          <w:tblLook w:val="04A0"/>
        </w:tblPrEx>
        <w:tc>
          <w:tcPr>
            <w:tcW w:w="12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277FC" w:rsidRPr="001D0410" w:rsidP="00517DC8" w14:paraId="292E24B8"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u w:val="single"/>
              </w:rPr>
              <w:t>Three</w:t>
            </w:r>
            <w:r w:rsidRPr="001D0410">
              <w:rPr>
                <w:rFonts w:eastAsia="Times New Roman"/>
                <w:b/>
                <w:sz w:val="20"/>
                <w:szCs w:val="20"/>
              </w:rPr>
              <w:t xml:space="preserve">: Periodic updates of age verification records </w:t>
            </w:r>
          </w:p>
        </w:tc>
        <w:tc>
          <w:tcPr>
            <w:tcW w:w="130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6A437045"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1,000 (estimated 1,000 housing providers)</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38370792"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1 (update occupancy records at least once every 2 years)</w:t>
            </w:r>
          </w:p>
        </w:tc>
        <w:tc>
          <w:tcPr>
            <w:tcW w:w="109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322A3339" w14:textId="77777777">
            <w:pPr>
              <w:spacing w:after="0" w:line="240" w:lineRule="auto"/>
              <w:jc w:val="center"/>
              <w:rPr>
                <w:rFonts w:eastAsia="Times New Roman"/>
                <w:b/>
                <w:sz w:val="20"/>
                <w:szCs w:val="20"/>
              </w:rPr>
            </w:pPr>
            <w:r w:rsidRPr="001D0410">
              <w:rPr>
                <w:rFonts w:eastAsia="Times New Roman"/>
                <w:b/>
                <w:sz w:val="20"/>
                <w:szCs w:val="20"/>
              </w:rPr>
              <w:t>1,000</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17FBDA9D"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2.50</w:t>
            </w:r>
          </w:p>
        </w:tc>
        <w:tc>
          <w:tcPr>
            <w:tcW w:w="1153"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33FE88C3"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2,500</w:t>
            </w:r>
          </w:p>
        </w:tc>
        <w:tc>
          <w:tcPr>
            <w:tcW w:w="54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46D15E81" w14:textId="2BD3AF3C">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w:t>
            </w:r>
            <w:r w:rsidRPr="001D0410" w:rsidR="005B691D">
              <w:rPr>
                <w:rFonts w:eastAsia="Times New Roman"/>
                <w:b/>
                <w:sz w:val="20"/>
                <w:szCs w:val="20"/>
              </w:rPr>
              <w:t>20.</w:t>
            </w:r>
            <w:r w:rsidRPr="001D0410" w:rsidR="004F4038">
              <w:rPr>
                <w:rFonts w:eastAsia="Times New Roman"/>
                <w:b/>
                <w:sz w:val="20"/>
                <w:szCs w:val="20"/>
              </w:rPr>
              <w:t>02</w:t>
            </w:r>
          </w:p>
        </w:tc>
        <w:tc>
          <w:tcPr>
            <w:tcW w:w="296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277FC" w:rsidRPr="001D0410" w:rsidP="00517DC8" w14:paraId="69236782" w14:textId="76A30B36">
            <w:pPr>
              <w:spacing w:after="0" w:line="240" w:lineRule="auto"/>
              <w:jc w:val="center"/>
              <w:rPr>
                <w:rFonts w:eastAsia="Times New Roman"/>
                <w:b/>
                <w:sz w:val="20"/>
                <w:szCs w:val="20"/>
              </w:rPr>
            </w:pPr>
            <w:r w:rsidRPr="001D0410">
              <w:rPr>
                <w:rFonts w:eastAsia="Times New Roman"/>
                <w:b/>
                <w:sz w:val="20"/>
                <w:szCs w:val="20"/>
              </w:rPr>
              <w:t>$</w:t>
            </w:r>
            <w:r w:rsidRPr="001D0410" w:rsidR="004F4038">
              <w:rPr>
                <w:rFonts w:eastAsia="Times New Roman"/>
                <w:b/>
                <w:sz w:val="20"/>
                <w:szCs w:val="20"/>
              </w:rPr>
              <w:t>50,050</w:t>
            </w:r>
          </w:p>
        </w:tc>
      </w:tr>
      <w:tr w14:paraId="032D8664" w14:textId="77777777" w:rsidTr="001D0410">
        <w:tblPrEx>
          <w:tblW w:w="10770" w:type="dxa"/>
          <w:tblInd w:w="108" w:type="dxa"/>
          <w:tblCellMar>
            <w:left w:w="0" w:type="dxa"/>
            <w:right w:w="0" w:type="dxa"/>
          </w:tblCellMar>
          <w:tblLook w:val="04A0"/>
        </w:tblPrEx>
        <w:tc>
          <w:tcPr>
            <w:tcW w:w="128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277FC" w:rsidRPr="001D0410" w:rsidP="00517DC8" w14:paraId="4D70C4C2"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Total Estimated Burden Hours &amp; Costs</w:t>
            </w:r>
          </w:p>
        </w:tc>
        <w:tc>
          <w:tcPr>
            <w:tcW w:w="1306"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277FC" w:rsidRPr="001D0410" w:rsidP="00517DC8" w14:paraId="7A392602"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12,000</w:t>
            </w:r>
          </w:p>
        </w:tc>
        <w:tc>
          <w:tcPr>
            <w:tcW w:w="134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277FC" w:rsidRPr="001D0410" w:rsidP="00517DC8" w14:paraId="7D740B44" w14:textId="1B7D0EA6">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3</w:t>
            </w:r>
          </w:p>
        </w:tc>
        <w:tc>
          <w:tcPr>
            <w:tcW w:w="109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277FC" w:rsidRPr="001D0410" w:rsidP="00517DC8" w14:paraId="67E1294F" w14:textId="77777777">
            <w:pPr>
              <w:spacing w:after="0" w:line="240" w:lineRule="auto"/>
              <w:jc w:val="center"/>
              <w:rPr>
                <w:rFonts w:eastAsia="Times New Roman"/>
                <w:b/>
                <w:sz w:val="20"/>
                <w:szCs w:val="20"/>
              </w:rPr>
            </w:pPr>
            <w:r w:rsidRPr="001D0410">
              <w:rPr>
                <w:rFonts w:eastAsia="Times New Roman"/>
                <w:b/>
                <w:sz w:val="20"/>
                <w:szCs w:val="20"/>
              </w:rPr>
              <w:t>12,000</w:t>
            </w:r>
          </w:p>
        </w:tc>
        <w:tc>
          <w:tcPr>
            <w:tcW w:w="108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277FC" w:rsidRPr="001D0410" w:rsidP="00517DC8" w14:paraId="43FAB469"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5,500</w:t>
            </w:r>
          </w:p>
        </w:tc>
        <w:tc>
          <w:tcPr>
            <w:tcW w:w="1153"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277FC" w:rsidRPr="001D0410" w:rsidP="00517DC8" w14:paraId="03E7EB87" w14:textId="77777777">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5,500</w:t>
            </w:r>
          </w:p>
        </w:tc>
        <w:tc>
          <w:tcPr>
            <w:tcW w:w="54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277FC" w:rsidRPr="001D0410" w:rsidP="00517DC8" w14:paraId="7343432D" w14:textId="3BE1EDC3">
            <w:pPr>
              <w:overflowPunct w:val="0"/>
              <w:autoSpaceDE w:val="0"/>
              <w:autoSpaceDN w:val="0"/>
              <w:spacing w:after="0" w:line="240" w:lineRule="auto"/>
              <w:jc w:val="center"/>
              <w:rPr>
                <w:rFonts w:eastAsia="Times New Roman"/>
                <w:b/>
                <w:sz w:val="20"/>
                <w:szCs w:val="20"/>
              </w:rPr>
            </w:pPr>
            <w:r w:rsidRPr="001D0410">
              <w:rPr>
                <w:rFonts w:eastAsia="Times New Roman"/>
                <w:b/>
                <w:sz w:val="20"/>
                <w:szCs w:val="20"/>
              </w:rPr>
              <w:t>$20.02</w:t>
            </w:r>
          </w:p>
        </w:tc>
        <w:tc>
          <w:tcPr>
            <w:tcW w:w="2968"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277FC" w:rsidRPr="001D0410" w:rsidP="00517DC8" w14:paraId="76750AD5" w14:textId="7218DB73">
            <w:pPr>
              <w:spacing w:after="0" w:line="240" w:lineRule="auto"/>
              <w:jc w:val="center"/>
              <w:rPr>
                <w:rFonts w:eastAsia="Times New Roman"/>
                <w:b/>
                <w:sz w:val="20"/>
                <w:szCs w:val="20"/>
              </w:rPr>
            </w:pPr>
            <w:r w:rsidRPr="001D0410">
              <w:rPr>
                <w:rFonts w:eastAsia="Times New Roman"/>
                <w:b/>
                <w:sz w:val="20"/>
                <w:szCs w:val="20"/>
              </w:rPr>
              <w:t>$</w:t>
            </w:r>
            <w:r w:rsidRPr="001D0410" w:rsidR="00576D1D">
              <w:rPr>
                <w:rFonts w:eastAsia="Times New Roman"/>
                <w:b/>
                <w:sz w:val="20"/>
                <w:szCs w:val="20"/>
              </w:rPr>
              <w:t>110,</w:t>
            </w:r>
            <w:r w:rsidRPr="001D0410" w:rsidR="007C79A9">
              <w:rPr>
                <w:rFonts w:eastAsia="Times New Roman"/>
                <w:b/>
                <w:sz w:val="20"/>
                <w:szCs w:val="20"/>
              </w:rPr>
              <w:t>110</w:t>
            </w:r>
          </w:p>
        </w:tc>
      </w:tr>
    </w:tbl>
    <w:p w:rsidR="0087647D" w:rsidRPr="001D0410" w:rsidP="0087647D" w14:paraId="5B7990BF" w14:textId="77777777">
      <w:pPr>
        <w:spacing w:after="0" w:line="240" w:lineRule="auto"/>
        <w:rPr>
          <w:rFonts w:eastAsia="Times New Roman"/>
          <w:sz w:val="20"/>
          <w:szCs w:val="20"/>
        </w:rPr>
      </w:pPr>
    </w:p>
    <w:p w:rsidR="00F277FC" w:rsidRPr="00F36BA5" w:rsidP="00F277FC" w14:paraId="04896B4B" w14:textId="0BAA0908">
      <w:pPr>
        <w:spacing w:after="0" w:line="240" w:lineRule="auto"/>
        <w:ind w:left="1800"/>
        <w:rPr>
          <w:rFonts w:eastAsia="Times New Roman"/>
        </w:rPr>
      </w:pPr>
      <w:r w:rsidRPr="00F36BA5">
        <w:rPr>
          <w:rFonts w:eastAsia="Times New Roman"/>
        </w:rPr>
        <w:t>The Respondents [i.e.</w:t>
      </w:r>
      <w:r>
        <w:rPr>
          <w:rFonts w:eastAsia="Times New Roman"/>
        </w:rPr>
        <w:t>,</w:t>
      </w:r>
      <w:r w:rsidRPr="00F36BA5">
        <w:rPr>
          <w:rFonts w:eastAsia="Times New Roman"/>
        </w:rPr>
        <w:t xml:space="preserve"> </w:t>
      </w:r>
      <w:r w:rsidR="00061C74">
        <w:rPr>
          <w:rFonts w:eastAsia="Times New Roman"/>
        </w:rPr>
        <w:t xml:space="preserve">providers of </w:t>
      </w:r>
      <w:r w:rsidRPr="00061C74">
        <w:rPr>
          <w:rFonts w:eastAsia="Times New Roman"/>
        </w:rPr>
        <w:t>“55 or older</w:t>
      </w:r>
      <w:r w:rsidRPr="00380ED1">
        <w:rPr>
          <w:rFonts w:eastAsia="Times New Roman"/>
        </w:rPr>
        <w:t xml:space="preserve">” </w:t>
      </w:r>
      <w:r w:rsidRPr="00380ED1" w:rsidR="00061C74">
        <w:rPr>
          <w:rFonts w:eastAsia="Times New Roman"/>
        </w:rPr>
        <w:t>h</w:t>
      </w:r>
      <w:r w:rsidRPr="00380ED1">
        <w:rPr>
          <w:rFonts w:eastAsia="Times New Roman"/>
        </w:rPr>
        <w:t xml:space="preserve">ousing </w:t>
      </w:r>
      <w:r w:rsidRPr="00380ED1" w:rsidR="00061C74">
        <w:rPr>
          <w:rFonts w:eastAsia="Times New Roman"/>
        </w:rPr>
        <w:t>facilities or communities</w:t>
      </w:r>
      <w:r w:rsidRPr="00F36BA5">
        <w:rPr>
          <w:rFonts w:eastAsia="Times New Roman"/>
        </w:rPr>
        <w:t xml:space="preserve">] referenced in Categories </w:t>
      </w:r>
      <w:r>
        <w:rPr>
          <w:rFonts w:eastAsia="Times New Roman"/>
          <w:b/>
          <w:bCs/>
          <w:u w:val="single"/>
        </w:rPr>
        <w:t>Two</w:t>
      </w:r>
      <w:r w:rsidRPr="00F36BA5">
        <w:rPr>
          <w:rFonts w:eastAsia="Times New Roman"/>
        </w:rPr>
        <w:t xml:space="preserve"> and </w:t>
      </w:r>
      <w:r w:rsidRPr="00F36BA5">
        <w:rPr>
          <w:rFonts w:eastAsia="Times New Roman"/>
          <w:b/>
          <w:bCs/>
          <w:u w:val="single"/>
        </w:rPr>
        <w:t>Three</w:t>
      </w:r>
      <w:r w:rsidRPr="00F36BA5">
        <w:rPr>
          <w:rFonts w:eastAsia="Times New Roman"/>
        </w:rPr>
        <w:t xml:space="preserve"> on the foregoing Chart are identical.  HUD has estimated that approximately 1,000 housing facilities or communities nationwide would undertake to operate as “55 or older” housing; would adopt and enforce age verification rules, policies</w:t>
      </w:r>
      <w:r>
        <w:rPr>
          <w:rFonts w:eastAsia="Times New Roman"/>
        </w:rPr>
        <w:t>,</w:t>
      </w:r>
      <w:r w:rsidRPr="00F36BA5">
        <w:rPr>
          <w:rFonts w:eastAsia="Times New Roman"/>
        </w:rPr>
        <w:t xml:space="preserve"> and procedures; and would collect and maintain age verification data necessary to achieve and maintain ongoing compliance with HUD’s regulatory requirements for the HOPA exemption.  HUD also has estimated the average number of housing transactions per year at ten (10) transactions per housing facility or community.  HUD has estimated that the occupancy/age verification data would require routine updating with each new housing transaction within the facility or community, and that the number of such transactions per year might vary significantly depending on the size and nature of the housing facility or community.  HUD also estimated that the adoption and publication of age verification rules and procedures by a housing facility or community was “…likely to be a one-time event and in most cases would require no additional burden beyond what is done in the normal course of business.”  HUD’s experience in the administrative enforcement of the Fair Housing Act indicates that, on average, the estimates reasonably reflect the actual burden for these Respondents.</w:t>
      </w:r>
    </w:p>
    <w:p w:rsidR="00F277FC" w:rsidRPr="00F36BA5" w:rsidP="00F277FC" w14:paraId="26E5E23C" w14:textId="77777777">
      <w:pPr>
        <w:spacing w:after="0" w:line="240" w:lineRule="auto"/>
        <w:ind w:left="1800"/>
        <w:rPr>
          <w:rFonts w:eastAsia="Times New Roman"/>
        </w:rPr>
      </w:pPr>
    </w:p>
    <w:p w:rsidR="00F277FC" w:rsidP="00F277FC" w14:paraId="5C24D4ED" w14:textId="77777777">
      <w:pPr>
        <w:spacing w:after="0" w:line="240" w:lineRule="auto"/>
        <w:ind w:left="1800"/>
        <w:rPr>
          <w:rFonts w:eastAsia="Times New Roman"/>
        </w:rPr>
      </w:pPr>
      <w:r w:rsidRPr="00F36BA5">
        <w:rPr>
          <w:rFonts w:eastAsia="Times New Roman"/>
        </w:rPr>
        <w:t xml:space="preserve">HUD has estimated the total annual burden hours for the three </w:t>
      </w:r>
      <w:r>
        <w:rPr>
          <w:rFonts w:eastAsia="Times New Roman"/>
        </w:rPr>
        <w:t xml:space="preserve">HOPA </w:t>
      </w:r>
      <w:r w:rsidRPr="00F36BA5">
        <w:rPr>
          <w:rFonts w:eastAsia="Times New Roman"/>
        </w:rPr>
        <w:t xml:space="preserve">information collection activities at </w:t>
      </w:r>
      <w:r w:rsidRPr="00CD6820">
        <w:rPr>
          <w:rFonts w:eastAsia="Times New Roman"/>
          <w:b/>
          <w:bCs/>
        </w:rPr>
        <w:t>5,500 hours</w:t>
      </w:r>
      <w:r w:rsidRPr="00F36BA5">
        <w:rPr>
          <w:rFonts w:eastAsia="Times New Roman"/>
        </w:rPr>
        <w:t>.  HUD’s experience in the administration of the Fair Housing Act indicates that the estimates, on average, reasonably reflect the actual burden for these Respondents.</w:t>
      </w:r>
    </w:p>
    <w:p w:rsidR="00F277FC" w:rsidP="00F277FC" w14:paraId="0C098173" w14:textId="77777777">
      <w:pPr>
        <w:spacing w:after="0" w:line="240" w:lineRule="auto"/>
        <w:ind w:left="1800"/>
        <w:rPr>
          <w:rFonts w:eastAsia="Times New Roman"/>
        </w:rPr>
      </w:pPr>
    </w:p>
    <w:p w:rsidR="00F277FC" w:rsidRPr="00F36BA5" w:rsidP="00F277FC" w14:paraId="63B7BF70" w14:textId="77777777">
      <w:pPr>
        <w:spacing w:after="0" w:line="240" w:lineRule="auto"/>
        <w:ind w:left="1800"/>
        <w:rPr>
          <w:rFonts w:eastAsia="Times New Roman"/>
        </w:rPr>
      </w:pPr>
    </w:p>
    <w:p w:rsidR="0075217E" w:rsidRPr="00CD20C1" w:rsidP="0075217E" w14:paraId="3CD33403" w14:textId="144DE6B0">
      <w:pPr>
        <w:ind w:left="720"/>
        <w:rPr>
          <w:rFonts w:ascii="CG Times" w:hAnsi="CG Times"/>
          <w:b/>
          <w:bCs/>
        </w:rPr>
      </w:pPr>
      <w:r w:rsidRPr="00CD20C1">
        <w:rPr>
          <w:rFonts w:ascii="CG Times" w:hAnsi="CG Times"/>
          <w:b/>
          <w:bCs/>
        </w:rPr>
        <w:t xml:space="preserve">13. </w:t>
      </w:r>
      <w:r w:rsidR="00997791">
        <w:rPr>
          <w:rFonts w:ascii="CG Times" w:hAnsi="CG Times"/>
          <w:b/>
          <w:bCs/>
        </w:rPr>
        <w:t xml:space="preserve"> </w:t>
      </w:r>
      <w:r w:rsidRPr="00CD20C1">
        <w:rPr>
          <w:rFonts w:ascii="CG Times" w:hAnsi="CG Times"/>
          <w:b/>
          <w:bCs/>
        </w:rPr>
        <w:t>Provide an estimate for the total annual cost burden to respondents or recordkeepers resulting from the collection of information.  (Do not include the cost of any hour burden shown in Items 12 and 14).</w:t>
      </w:r>
    </w:p>
    <w:p w:rsidR="00F277FC" w:rsidRPr="00A008F5" w:rsidP="00F277FC" w14:paraId="53662D9B" w14:textId="77777777">
      <w:pPr>
        <w:spacing w:after="0" w:line="240" w:lineRule="auto"/>
        <w:ind w:left="1080"/>
        <w:rPr>
          <w:rFonts w:eastAsia="Times New Roman"/>
        </w:rPr>
      </w:pPr>
    </w:p>
    <w:p w:rsidR="00F277FC" w:rsidRPr="00F36BA5" w:rsidP="00F277FC" w14:paraId="11F06E33" w14:textId="77777777">
      <w:pPr>
        <w:ind w:left="1728"/>
        <w:contextualSpacing/>
      </w:pPr>
      <w:r w:rsidRPr="00F36BA5">
        <w:t xml:space="preserve">Section 100.304(b) of </w:t>
      </w:r>
      <w:r>
        <w:t xml:space="preserve">the </w:t>
      </w:r>
      <w:r w:rsidRPr="00F36BA5">
        <w:t xml:space="preserve">HOPA </w:t>
      </w:r>
      <w:r>
        <w:t>Final Rule</w:t>
      </w:r>
      <w:r w:rsidRPr="00F36BA5">
        <w:t xml:space="preserve"> provides the following definition of a “</w:t>
      </w:r>
      <w:r w:rsidRPr="00F36BA5">
        <w:rPr>
          <w:i/>
        </w:rPr>
        <w:t>housing facility or community</w:t>
      </w:r>
      <w:r w:rsidRPr="00F36BA5">
        <w:t>”:</w:t>
      </w:r>
    </w:p>
    <w:p w:rsidR="00F277FC" w:rsidRPr="00F36BA5" w:rsidP="00F277FC" w14:paraId="4FC05AAA" w14:textId="77777777">
      <w:pPr>
        <w:contextualSpacing/>
      </w:pPr>
    </w:p>
    <w:p w:rsidR="00F277FC" w:rsidP="00F277FC" w14:paraId="2163182E" w14:textId="5E2A52EC">
      <w:pPr>
        <w:ind w:left="2880"/>
        <w:contextualSpacing/>
      </w:pPr>
      <w:r w:rsidRPr="00F36BA5">
        <w:t>“…</w:t>
      </w:r>
      <w:r w:rsidRPr="00F36BA5">
        <w:rPr>
          <w:i/>
        </w:rPr>
        <w:t xml:space="preserve">any dwelling or group of dwelling units governed by a common set of rules, </w:t>
      </w:r>
      <w:r w:rsidRPr="00F36BA5" w:rsidR="009F59F4">
        <w:rPr>
          <w:i/>
        </w:rPr>
        <w:t>regulations,</w:t>
      </w:r>
      <w:r w:rsidRPr="00F36BA5">
        <w:rPr>
          <w:i/>
        </w:rPr>
        <w:t xml:space="preserve"> or restrictions.  A portion or portions of a single building shall not constitute a housing facility or community.  Examples of a housing facility or community </w:t>
      </w:r>
      <w:r w:rsidRPr="00F36BA5">
        <w:rPr>
          <w:i/>
        </w:rPr>
        <w:t>include</w:t>
      </w:r>
      <w:r>
        <w:rPr>
          <w:i/>
        </w:rPr>
        <w:t>,</w:t>
      </w:r>
      <w:r w:rsidRPr="00F36BA5">
        <w:rPr>
          <w:i/>
        </w:rPr>
        <w:t xml:space="preserve"> but</w:t>
      </w:r>
      <w:r w:rsidRPr="00F36BA5">
        <w:rPr>
          <w:i/>
        </w:rPr>
        <w:t xml:space="preserve"> are not limited to: (1) a condominium association; (2) a cooperative; (3) a property governed by a homeowners’ or resident association; (4) a municipally zoned area; (5) a leased property under common private ownership; (6) a mobile home park; and (7) a manufactured housing community.</w:t>
      </w:r>
      <w:r w:rsidRPr="00F36BA5">
        <w:t>”</w:t>
      </w:r>
    </w:p>
    <w:p w:rsidR="00F277FC" w:rsidP="00D5197C" w14:paraId="71A3702E" w14:textId="77777777">
      <w:pPr>
        <w:contextualSpacing/>
      </w:pPr>
    </w:p>
    <w:p w:rsidR="00F277FC" w:rsidRPr="00F63E07" w:rsidP="00F277FC" w14:paraId="26137BE4" w14:textId="77777777">
      <w:pPr>
        <w:ind w:left="1872"/>
        <w:contextualSpacing/>
      </w:pPr>
      <w:r w:rsidRPr="00F63E07">
        <w:t>Under section 803(b)(2) of the Fair Housing Act, qualified “55 or older” housing facilities or communities could range in size from 4-unit non-owner-occupied apartment building</w:t>
      </w:r>
      <w:r>
        <w:t>s;</w:t>
      </w:r>
      <w:r w:rsidRPr="00F63E07">
        <w:t xml:space="preserve"> to residential developments containing hundreds of single-family houses</w:t>
      </w:r>
      <w:r>
        <w:t>; to</w:t>
      </w:r>
      <w:r w:rsidRPr="00F63E07">
        <w:t xml:space="preserve"> high-rise condominium</w:t>
      </w:r>
      <w:r>
        <w:t xml:space="preserve"> buildings;</w:t>
      </w:r>
      <w:r w:rsidRPr="00F63E07">
        <w:t xml:space="preserve"> to an entire municipal zoning district.  </w:t>
      </w:r>
      <w:r>
        <w:t xml:space="preserve">Considering the wide variations </w:t>
      </w:r>
      <w:r w:rsidRPr="00F63E07">
        <w:t>in size</w:t>
      </w:r>
      <w:r>
        <w:t>;</w:t>
      </w:r>
      <w:r w:rsidRPr="00F63E07">
        <w:t xml:space="preserve"> organization</w:t>
      </w:r>
      <w:r>
        <w:t>;</w:t>
      </w:r>
      <w:r w:rsidRPr="00F63E07">
        <w:t xml:space="preserve"> administration</w:t>
      </w:r>
      <w:r>
        <w:t>;</w:t>
      </w:r>
      <w:r w:rsidRPr="00F63E07">
        <w:t xml:space="preserve"> dwelling </w:t>
      </w:r>
      <w:r>
        <w:t xml:space="preserve">unit configuration; </w:t>
      </w:r>
      <w:r w:rsidRPr="00F63E07">
        <w:t xml:space="preserve">and </w:t>
      </w:r>
      <w:r>
        <w:t xml:space="preserve">geographic locations </w:t>
      </w:r>
      <w:r w:rsidRPr="00F63E07">
        <w:t xml:space="preserve">of “55 </w:t>
      </w:r>
      <w:r>
        <w:t>or</w:t>
      </w:r>
      <w:r w:rsidRPr="00F63E07">
        <w:t xml:space="preserve"> older” housing facilities and communities nationwide, </w:t>
      </w:r>
      <w:r>
        <w:t>the</w:t>
      </w:r>
      <w:r w:rsidRPr="00F63E07">
        <w:t xml:space="preserve"> HOPA </w:t>
      </w:r>
      <w:r>
        <w:t>Final Rule</w:t>
      </w:r>
      <w:r w:rsidRPr="00F63E07">
        <w:t xml:space="preserve"> </w:t>
      </w:r>
      <w:r w:rsidRPr="00900C24">
        <w:rPr>
          <w:i/>
        </w:rPr>
        <w:t>“attempted to address the issue in the broadest possible terms to account for the large variety of senior communities while being sufficiently detailed to provide clear guidance on the requirements of the senior housing exemption, without dictating results which may be inconsistent with local practice or deny flexibility in a variety of circumstances</w:t>
      </w:r>
      <w:r w:rsidRPr="009A1065">
        <w:t>….[and]</w:t>
      </w:r>
      <w:r w:rsidRPr="00900C24">
        <w:rPr>
          <w:i/>
        </w:rPr>
        <w:t xml:space="preserve"> to include any type of housing which could qualify for the exemption</w:t>
      </w:r>
      <w:r w:rsidRPr="00F63E07">
        <w:t xml:space="preserve"> [</w:t>
      </w:r>
      <w:r w:rsidRPr="00F63E07">
        <w:rPr>
          <w:i/>
        </w:rPr>
        <w:t>Preamble</w:t>
      </w:r>
      <w:r w:rsidRPr="00F63E07">
        <w:t>, p</w:t>
      </w:r>
      <w:r>
        <w:t>ages 16325,</w:t>
      </w:r>
      <w:r w:rsidRPr="00F63E07">
        <w:t xml:space="preserve"> 16327].”</w:t>
      </w:r>
    </w:p>
    <w:p w:rsidR="00F277FC" w:rsidP="00F277FC" w14:paraId="548491F3" w14:textId="77777777">
      <w:pPr>
        <w:ind w:left="1872"/>
        <w:contextualSpacing/>
      </w:pPr>
    </w:p>
    <w:p w:rsidR="00F277FC" w:rsidRPr="00F36BA5" w:rsidP="00F277FC" w14:paraId="7CDFF2FC" w14:textId="4FEFD15F">
      <w:pPr>
        <w:ind w:left="1872"/>
        <w:contextualSpacing/>
      </w:pPr>
      <w:r w:rsidRPr="00F36BA5">
        <w:t xml:space="preserve">Under the HOPA, </w:t>
      </w:r>
      <w:r w:rsidRPr="00380ED1" w:rsidR="00061C74">
        <w:t>Respondents</w:t>
      </w:r>
      <w:r w:rsidR="00061C74">
        <w:t xml:space="preserve"> </w:t>
      </w:r>
      <w:r w:rsidRPr="00F36BA5">
        <w:t xml:space="preserve">are not required to submit financial data that would </w:t>
      </w:r>
      <w:r>
        <w:t>allow</w:t>
      </w:r>
      <w:r w:rsidRPr="00F36BA5">
        <w:t xml:space="preserve"> HUD to calculate the actual itemized expenses that </w:t>
      </w:r>
      <w:r w:rsidRPr="00380ED1" w:rsidR="00061C74">
        <w:t>a Respondent</w:t>
      </w:r>
      <w:r w:rsidR="00061C74">
        <w:t xml:space="preserve"> </w:t>
      </w:r>
      <w:r w:rsidRPr="00F36BA5">
        <w:t xml:space="preserve">might incur </w:t>
      </w:r>
      <w:r>
        <w:t>when</w:t>
      </w:r>
      <w:r w:rsidRPr="00F36BA5">
        <w:t xml:space="preserve"> advertising a housing facility or community; screening prospective residents; or periodically updating age verification information on current occupants.  Accordingly, HUD does not collect </w:t>
      </w:r>
      <w:r w:rsidRPr="00F36BA5">
        <w:t xml:space="preserve">financial information from </w:t>
      </w:r>
      <w:r w:rsidRPr="00380ED1" w:rsidR="00061C74">
        <w:t>Respondents</w:t>
      </w:r>
      <w:r w:rsidR="00061C74">
        <w:t xml:space="preserve"> </w:t>
      </w:r>
      <w:r>
        <w:t xml:space="preserve">during </w:t>
      </w:r>
      <w:r w:rsidRPr="00F36BA5">
        <w:t xml:space="preserve">a Fair Housing Act complaint investigation.  A </w:t>
      </w:r>
      <w:r w:rsidRPr="00380ED1" w:rsidR="00061C74">
        <w:t>Respondent</w:t>
      </w:r>
      <w:r w:rsidR="00061C74">
        <w:rPr>
          <w:b/>
          <w:bCs/>
        </w:rPr>
        <w:t xml:space="preserve"> </w:t>
      </w:r>
      <w:r w:rsidRPr="00061C74" w:rsidR="00061C74">
        <w:t>who claims</w:t>
      </w:r>
      <w:r w:rsidRPr="00F36BA5">
        <w:t xml:space="preserve"> the “55 or older” housing exemption as an affirmative defense to a familial status discrimination complaint has the burden of demonstrating that the housing facility or community </w:t>
      </w:r>
      <w:r>
        <w:t xml:space="preserve">consistently </w:t>
      </w:r>
      <w:r w:rsidRPr="00F36BA5">
        <w:t>operates in compliance with the HOPA exemption requirements.  The information collection requirements for the “55 or older” housing exemption provided under sections 100.305 [“</w:t>
      </w:r>
      <w:r w:rsidRPr="00F36BA5">
        <w:rPr>
          <w:i/>
        </w:rPr>
        <w:t>80 percent occupancy</w:t>
      </w:r>
      <w:r w:rsidRPr="00F36BA5">
        <w:t>”]; 100.306 [“</w:t>
      </w:r>
      <w:r w:rsidRPr="00F36BA5">
        <w:rPr>
          <w:i/>
        </w:rPr>
        <w:t>Intent</w:t>
      </w:r>
      <w:r w:rsidRPr="00F36BA5">
        <w:t xml:space="preserve">”]; </w:t>
      </w:r>
      <w:r>
        <w:t>and</w:t>
      </w:r>
      <w:r w:rsidRPr="00F36BA5">
        <w:t xml:space="preserve"> 100.307 [“</w:t>
      </w:r>
      <w:r w:rsidRPr="00F36BA5">
        <w:rPr>
          <w:i/>
        </w:rPr>
        <w:t>Verification of occupancy</w:t>
      </w:r>
      <w:r w:rsidRPr="00F36BA5">
        <w:t xml:space="preserve">”] of </w:t>
      </w:r>
      <w:r>
        <w:t>the HOPA Final Rule</w:t>
      </w:r>
      <w:r w:rsidRPr="00F36BA5">
        <w:t xml:space="preserve"> neither require </w:t>
      </w:r>
      <w:r>
        <w:t>n</w:t>
      </w:r>
      <w:r w:rsidRPr="00F36BA5">
        <w:t xml:space="preserve">or authorize the production or submission of a housing provider’s financial records </w:t>
      </w:r>
      <w:r w:rsidRPr="00F36BA5" w:rsidR="00380ED1">
        <w:t>during</w:t>
      </w:r>
      <w:r w:rsidRPr="00F36BA5">
        <w:t xml:space="preserve"> a Fair Housing Act complaint investigation.  Specifically, section 100.306(a) of </w:t>
      </w:r>
      <w:r>
        <w:t>the</w:t>
      </w:r>
      <w:r w:rsidRPr="00F36BA5">
        <w:t xml:space="preserve"> HOPA </w:t>
      </w:r>
      <w:r>
        <w:t>Final Rule</w:t>
      </w:r>
      <w:r w:rsidRPr="00F36BA5">
        <w:t xml:space="preserve"> identifies the following factors</w:t>
      </w:r>
      <w:r w:rsidR="00061C74">
        <w:t xml:space="preserve">, </w:t>
      </w:r>
      <w:r w:rsidRPr="00380ED1" w:rsidR="00061C74">
        <w:t>among others,</w:t>
      </w:r>
      <w:r w:rsidR="00061C74">
        <w:t xml:space="preserve"> </w:t>
      </w:r>
      <w:r w:rsidRPr="00F36BA5">
        <w:t xml:space="preserve">as relevant in determining whether a housing facility or community has demonstrated </w:t>
      </w:r>
      <w:r>
        <w:t xml:space="preserve">the </w:t>
      </w:r>
      <w:r w:rsidRPr="00F36BA5">
        <w:t xml:space="preserve">intent to operate as “55 or older” housing: </w:t>
      </w:r>
    </w:p>
    <w:p w:rsidR="00F277FC" w:rsidP="00D5197C" w14:paraId="3679BA57" w14:textId="77777777">
      <w:pPr>
        <w:contextualSpacing/>
        <w:rPr>
          <w:i/>
        </w:rPr>
      </w:pPr>
    </w:p>
    <w:p w:rsidR="00F277FC" w:rsidRPr="00F36BA5" w:rsidP="00F277FC" w14:paraId="76EE5AC4" w14:textId="77777777">
      <w:pPr>
        <w:ind w:left="2880"/>
        <w:contextualSpacing/>
        <w:rPr>
          <w:i/>
        </w:rPr>
      </w:pPr>
      <w:r w:rsidRPr="00F36BA5">
        <w:rPr>
          <w:i/>
        </w:rPr>
        <w:t>“(1) the manner in which the housing facility or community is described to prospective residents; (2) any advertising designed to attract prospective residents; (3) lease provisions; (4) written rules, regulations, covenants, deed or other restrictions; (5) the maintenance and consistent application of relevant procedures; (6) actual practices of the housing facility or community; and (7) public posting in common areas of statements describing the facility or community as housing for persons 55 years of age or older.”</w:t>
      </w:r>
    </w:p>
    <w:p w:rsidR="00F277FC" w:rsidP="00F277FC" w14:paraId="311D1621" w14:textId="77777777">
      <w:pPr>
        <w:contextualSpacing/>
      </w:pPr>
    </w:p>
    <w:p w:rsidR="00F277FC" w:rsidRPr="00F36BA5" w:rsidP="00F277FC" w14:paraId="43E6AC75" w14:textId="648DEB15">
      <w:pPr>
        <w:ind w:left="1872"/>
        <w:contextualSpacing/>
      </w:pPr>
      <w:r w:rsidRPr="00F36BA5">
        <w:t>Section 100.307</w:t>
      </w:r>
      <w:r>
        <w:t xml:space="preserve"> </w:t>
      </w:r>
      <w:r w:rsidRPr="00F36BA5">
        <w:t xml:space="preserve">of </w:t>
      </w:r>
      <w:r>
        <w:t>the HOPA Final Rule</w:t>
      </w:r>
      <w:r w:rsidRPr="00F36BA5">
        <w:t xml:space="preserve"> describes the age verification requirements for “55 or older” housing </w:t>
      </w:r>
      <w:r w:rsidRPr="00380ED1" w:rsidR="00942D0D">
        <w:t>facilities or communities</w:t>
      </w:r>
      <w:r w:rsidR="00942D0D">
        <w:t>:</w:t>
      </w:r>
    </w:p>
    <w:p w:rsidR="00F277FC" w:rsidRPr="00F36BA5" w:rsidP="00F277FC" w14:paraId="0372CE63" w14:textId="77777777">
      <w:pPr>
        <w:contextualSpacing/>
        <w:rPr>
          <w:i/>
        </w:rPr>
      </w:pPr>
    </w:p>
    <w:p w:rsidR="00F277FC" w:rsidRPr="00F36BA5" w:rsidP="00F277FC" w14:paraId="6664632F" w14:textId="77777777">
      <w:pPr>
        <w:ind w:left="2880"/>
        <w:contextualSpacing/>
        <w:rPr>
          <w:i/>
        </w:rPr>
      </w:pPr>
      <w:r w:rsidRPr="00F36BA5">
        <w:rPr>
          <w:i/>
        </w:rPr>
        <w:t>“(a) In order for a housing facility or community to qualify as housing for persons 55 years of age or older, it must be able to produce, in response to a complaint filed under this title, verification of compliance with section 100.305 [“80 percent occupancy”] through reliable surveys and affidavits.  (b) A facility or community shall, within 180 days of the effective date of this rule, develop procedures for routinely determining the occupancy of each unit, including the identification of whether at least one occupant of each unit is 55 years of age or older.  Such procedures may be part of a normal leasing or purchasing arrangement.  (c) The procedures described in paragraph (b) of this section must provide for regular updates, through surveys or other means, of the initial information supplied by the occupants of the housing facility or community.  Such updates must take place at least once every two years.”</w:t>
      </w:r>
    </w:p>
    <w:p w:rsidR="00F277FC" w:rsidRPr="00F36BA5" w:rsidP="00F277FC" w14:paraId="343DFD42" w14:textId="77777777">
      <w:pPr>
        <w:contextualSpacing/>
      </w:pPr>
    </w:p>
    <w:p w:rsidR="00F277FC" w:rsidRPr="00F36BA5" w:rsidP="00F277FC" w14:paraId="49299821" w14:textId="7CE96CEE">
      <w:pPr>
        <w:ind w:left="2160"/>
        <w:contextualSpacing/>
      </w:pPr>
      <w:r>
        <w:t>Neither t</w:t>
      </w:r>
      <w:r w:rsidRPr="00F36BA5">
        <w:t xml:space="preserve">he </w:t>
      </w:r>
      <w:r>
        <w:t>Fair Housing Act nor the</w:t>
      </w:r>
      <w:r w:rsidRPr="00F36BA5">
        <w:t xml:space="preserve"> HOPA </w:t>
      </w:r>
      <w:r>
        <w:t>Final Rule</w:t>
      </w:r>
      <w:r w:rsidRPr="00F36BA5">
        <w:t xml:space="preserve"> authorizes HUD to consider a housing provider’s financial records as relevant factual evidence when determining, in accordance with section 810(g) of the Fair Housing Act, </w:t>
      </w:r>
      <w:r w:rsidRPr="00F36BA5" w:rsidR="00221D0D">
        <w:t>whether</w:t>
      </w:r>
      <w:r w:rsidRPr="00F36BA5">
        <w:t xml:space="preserve"> the housing provider qualified for the “55 or older” housing exemption</w:t>
      </w:r>
      <w:r>
        <w:t xml:space="preserve"> on the date of the alleged violation</w:t>
      </w:r>
      <w:r w:rsidRPr="00F36BA5">
        <w:t>.</w:t>
      </w:r>
    </w:p>
    <w:p w:rsidR="00F277FC" w:rsidP="00F277FC" w14:paraId="5BBE0AF2" w14:textId="77777777">
      <w:pPr>
        <w:ind w:left="2160"/>
        <w:contextualSpacing/>
      </w:pPr>
    </w:p>
    <w:p w:rsidR="00F277FC" w:rsidP="00F277FC" w14:paraId="12265DF1" w14:textId="5DF34300">
      <w:pPr>
        <w:spacing w:after="0" w:line="240" w:lineRule="auto"/>
        <w:ind w:left="2160"/>
        <w:rPr>
          <w:rFonts w:eastAsia="Times New Roman"/>
        </w:rPr>
      </w:pPr>
      <w:r>
        <w:rPr>
          <w:rFonts w:eastAsia="Times New Roman"/>
        </w:rPr>
        <w:t xml:space="preserve">Since 2017, </w:t>
      </w:r>
      <w:r w:rsidR="00942D0D">
        <w:rPr>
          <w:rFonts w:eastAsia="Times New Roman"/>
        </w:rPr>
        <w:t xml:space="preserve">HUD’s Paperwork Reduction Act Office </w:t>
      </w:r>
      <w:r>
        <w:rPr>
          <w:rFonts w:eastAsia="Times New Roman"/>
        </w:rPr>
        <w:t xml:space="preserve">has </w:t>
      </w:r>
      <w:r w:rsidR="00942D0D">
        <w:rPr>
          <w:rFonts w:eastAsia="Times New Roman"/>
        </w:rPr>
        <w:t xml:space="preserve">instructed FHEO to retrieve </w:t>
      </w:r>
      <w:r>
        <w:rPr>
          <w:rFonts w:eastAsia="Times New Roman"/>
        </w:rPr>
        <w:t>current national income data from PayScale Human Capital’s Internet website at</w:t>
      </w:r>
      <w:r w:rsidR="00F4312F">
        <w:rPr>
          <w:rFonts w:eastAsia="Times New Roman"/>
        </w:rPr>
        <w:t xml:space="preserve">: </w:t>
      </w:r>
      <w:hyperlink r:id="rId4" w:history="1">
        <w:r w:rsidRPr="00335AF2" w:rsidR="004B6475">
          <w:rPr>
            <w:rStyle w:val="Hyperlink"/>
            <w:rFonts w:eastAsia="Times New Roman"/>
          </w:rPr>
          <w:t>https://www.payscale.com/research/US/Job=Office_Manager/Hourly_Rate</w:t>
        </w:r>
      </w:hyperlink>
      <w:r>
        <w:rPr>
          <w:rFonts w:eastAsia="Times New Roman"/>
        </w:rPr>
        <w:t>.</w:t>
      </w:r>
      <w:r w:rsidR="004B6475">
        <w:rPr>
          <w:rFonts w:eastAsia="Times New Roman"/>
        </w:rPr>
        <w:t xml:space="preserve"> </w:t>
      </w:r>
      <w:r>
        <w:rPr>
          <w:rFonts w:eastAsia="Times New Roman"/>
        </w:rPr>
        <w:t xml:space="preserve">to calculate the Respondents’ annual hourly cost burden for the HOPA Final Rule information collection requirements.  </w:t>
      </w:r>
      <w:r>
        <w:rPr>
          <w:rFonts w:eastAsia="Times New Roman"/>
        </w:rPr>
        <w:t xml:space="preserve">PayScale collects and analyzes national income data to generate average salaries for specific job titles, including the Office Manager position.  In </w:t>
      </w:r>
      <w:r w:rsidR="00A27167">
        <w:rPr>
          <w:rFonts w:eastAsia="Times New Roman"/>
        </w:rPr>
        <w:t>March 2024</w:t>
      </w:r>
      <w:r>
        <w:rPr>
          <w:rFonts w:eastAsia="Times New Roman"/>
        </w:rPr>
        <w:t xml:space="preserve">, PayScale reported that the average US hourly pay rate for an Office Manager is </w:t>
      </w:r>
      <w:r w:rsidRPr="0016087E">
        <w:rPr>
          <w:rFonts w:eastAsia="Times New Roman"/>
          <w:b/>
          <w:bCs/>
        </w:rPr>
        <w:t>$</w:t>
      </w:r>
      <w:r w:rsidR="00A27167">
        <w:rPr>
          <w:rFonts w:eastAsia="Times New Roman"/>
          <w:b/>
          <w:bCs/>
        </w:rPr>
        <w:t>20.02</w:t>
      </w:r>
      <w:r>
        <w:rPr>
          <w:rFonts w:eastAsia="Times New Roman"/>
        </w:rPr>
        <w:t xml:space="preserve"> per hour.  Neither the HOPA nor HUD’s HOPA regulation requires that a “55 or older” </w:t>
      </w:r>
      <w:r>
        <w:rPr>
          <w:rFonts w:eastAsia="Times New Roman"/>
        </w:rPr>
        <w:t>housing facilities or communities</w:t>
      </w:r>
      <w:r>
        <w:rPr>
          <w:rFonts w:eastAsia="Times New Roman"/>
        </w:rPr>
        <w:t xml:space="preserve"> must hire an office manager for HOPA recordkeeping purposes.  However, for the reasons cited above, HUD </w:t>
      </w:r>
      <w:r>
        <w:rPr>
          <w:rFonts w:eastAsia="Times New Roman"/>
        </w:rPr>
        <w:t xml:space="preserve">utilizes </w:t>
      </w:r>
      <w:r>
        <w:rPr>
          <w:rFonts w:eastAsia="Times New Roman"/>
        </w:rPr>
        <w:t xml:space="preserve">PayScale’s average national income data for the Office Manager position to calculate the annual hourly cost burden for the HOPA information collection </w:t>
      </w:r>
      <w:r>
        <w:rPr>
          <w:rFonts w:eastAsia="Times New Roman"/>
        </w:rPr>
        <w:t xml:space="preserve">requirements </w:t>
      </w:r>
      <w:r>
        <w:rPr>
          <w:rFonts w:eastAsia="Times New Roman"/>
        </w:rPr>
        <w:t>because PayScale’s Office Manager job description includes the following</w:t>
      </w:r>
      <w:r>
        <w:rPr>
          <w:rFonts w:eastAsia="Times New Roman"/>
        </w:rPr>
        <w:t xml:space="preserve"> </w:t>
      </w:r>
      <w:r>
        <w:rPr>
          <w:rFonts w:eastAsia="Times New Roman"/>
        </w:rPr>
        <w:t xml:space="preserve">relevant </w:t>
      </w:r>
      <w:r w:rsidR="005B48A3">
        <w:rPr>
          <w:rFonts w:eastAsia="Times New Roman"/>
        </w:rPr>
        <w:t xml:space="preserve">skills and/or </w:t>
      </w:r>
      <w:r>
        <w:rPr>
          <w:rFonts w:eastAsia="Times New Roman"/>
        </w:rPr>
        <w:t>duties:</w:t>
      </w:r>
    </w:p>
    <w:p w:rsidR="00F277FC" w:rsidP="00F277FC" w14:paraId="64EEB200" w14:textId="77777777">
      <w:pPr>
        <w:spacing w:after="0" w:line="240" w:lineRule="auto"/>
        <w:ind w:left="2160"/>
        <w:rPr>
          <w:rFonts w:eastAsia="Times New Roman"/>
        </w:rPr>
      </w:pPr>
    </w:p>
    <w:p w:rsidR="002C3121" w:rsidP="00F277FC" w14:paraId="6106C255" w14:textId="3C1656F9">
      <w:pPr>
        <w:spacing w:after="0" w:line="240" w:lineRule="auto"/>
        <w:ind w:left="2880"/>
        <w:rPr>
          <w:rFonts w:eastAsia="Times New Roman"/>
        </w:rPr>
      </w:pPr>
      <w:r>
        <w:rPr>
          <w:rFonts w:eastAsia="Times New Roman"/>
        </w:rPr>
        <w:t>“</w:t>
      </w:r>
      <w:r w:rsidR="00AF1379">
        <w:rPr>
          <w:rFonts w:eastAsia="Times New Roman"/>
        </w:rPr>
        <w:t xml:space="preserve">Customer </w:t>
      </w:r>
      <w:r w:rsidR="00ED2D7F">
        <w:rPr>
          <w:rFonts w:eastAsia="Times New Roman"/>
        </w:rPr>
        <w:t>S</w:t>
      </w:r>
      <w:r>
        <w:rPr>
          <w:rFonts w:eastAsia="Times New Roman"/>
        </w:rPr>
        <w:t>ervice”</w:t>
      </w:r>
    </w:p>
    <w:p w:rsidR="00F277FC" w:rsidP="00F277FC" w14:paraId="342FA6D5" w14:textId="4147B7CB">
      <w:pPr>
        <w:spacing w:after="0" w:line="240" w:lineRule="auto"/>
        <w:ind w:left="2880"/>
        <w:rPr>
          <w:rFonts w:eastAsia="Times New Roman"/>
        </w:rPr>
      </w:pPr>
      <w:r>
        <w:rPr>
          <w:rFonts w:eastAsia="Times New Roman"/>
        </w:rPr>
        <w:t xml:space="preserve">“Office </w:t>
      </w:r>
      <w:r w:rsidR="00ED2D7F">
        <w:rPr>
          <w:rFonts w:eastAsia="Times New Roman"/>
        </w:rPr>
        <w:t>A</w:t>
      </w:r>
      <w:r>
        <w:rPr>
          <w:rFonts w:eastAsia="Times New Roman"/>
        </w:rPr>
        <w:t>dministration”</w:t>
      </w:r>
    </w:p>
    <w:p w:rsidR="007B599A" w:rsidP="00F277FC" w14:paraId="4B7A5713" w14:textId="3356CAB4">
      <w:pPr>
        <w:spacing w:after="0" w:line="240" w:lineRule="auto"/>
        <w:ind w:left="2880"/>
        <w:rPr>
          <w:rFonts w:eastAsia="Times New Roman"/>
        </w:rPr>
      </w:pPr>
      <w:r>
        <w:rPr>
          <w:rFonts w:eastAsia="Times New Roman"/>
        </w:rPr>
        <w:t xml:space="preserve">“Program </w:t>
      </w:r>
      <w:r w:rsidR="00EA4524">
        <w:rPr>
          <w:rFonts w:eastAsia="Times New Roman"/>
        </w:rPr>
        <w:t>Management”</w:t>
      </w:r>
    </w:p>
    <w:p w:rsidR="00F277FC" w:rsidP="00F277FC" w14:paraId="23200462" w14:textId="22916B85">
      <w:pPr>
        <w:spacing w:after="0" w:line="240" w:lineRule="auto"/>
        <w:ind w:left="2880"/>
        <w:rPr>
          <w:rFonts w:eastAsia="Times New Roman"/>
        </w:rPr>
      </w:pPr>
      <w:r>
        <w:rPr>
          <w:rFonts w:eastAsia="Times New Roman"/>
        </w:rPr>
        <w:t xml:space="preserve">“Legal </w:t>
      </w:r>
      <w:r w:rsidR="00ED2D7F">
        <w:rPr>
          <w:rFonts w:eastAsia="Times New Roman"/>
        </w:rPr>
        <w:t>C</w:t>
      </w:r>
      <w:r>
        <w:rPr>
          <w:rFonts w:eastAsia="Times New Roman"/>
        </w:rPr>
        <w:t>ompliance”</w:t>
      </w:r>
    </w:p>
    <w:p w:rsidR="00F277FC" w:rsidP="00F277FC" w14:paraId="3C86157E" w14:textId="77777777">
      <w:pPr>
        <w:spacing w:after="0" w:line="240" w:lineRule="auto"/>
        <w:ind w:left="2160"/>
        <w:rPr>
          <w:rFonts w:eastAsia="Times New Roman"/>
        </w:rPr>
      </w:pPr>
    </w:p>
    <w:p w:rsidR="00F277FC" w:rsidP="00F277FC" w14:paraId="7EF3538B" w14:textId="31F2AB50">
      <w:pPr>
        <w:ind w:left="2160"/>
        <w:contextualSpacing/>
      </w:pPr>
      <w:r w:rsidRPr="00F36BA5">
        <w:t xml:space="preserve">Since HUD lacks authority under the </w:t>
      </w:r>
      <w:r>
        <w:t xml:space="preserve">Act or the </w:t>
      </w:r>
      <w:r w:rsidRPr="00F36BA5">
        <w:t xml:space="preserve">HOPA </w:t>
      </w:r>
      <w:r>
        <w:t xml:space="preserve">Final Rule </w:t>
      </w:r>
      <w:r w:rsidRPr="00F36BA5">
        <w:t xml:space="preserve">to collect financial data for calculation of </w:t>
      </w:r>
      <w:r>
        <w:t xml:space="preserve">a </w:t>
      </w:r>
      <w:r w:rsidRPr="00F36BA5">
        <w:t>“55 and older” housing provider</w:t>
      </w:r>
      <w:r>
        <w:t>’</w:t>
      </w:r>
      <w:r w:rsidRPr="00F36BA5">
        <w:t xml:space="preserve">s actual operating costs, HUD </w:t>
      </w:r>
      <w:r>
        <w:t>has calculated a</w:t>
      </w:r>
      <w:r w:rsidRPr="00F36BA5">
        <w:t xml:space="preserve">n estimated </w:t>
      </w:r>
      <w:r>
        <w:t xml:space="preserve">average US annual salary of </w:t>
      </w:r>
      <w:r w:rsidRPr="003B4C52">
        <w:rPr>
          <w:b/>
          <w:bCs/>
        </w:rPr>
        <w:t>$</w:t>
      </w:r>
      <w:r w:rsidR="004F0629">
        <w:rPr>
          <w:b/>
          <w:bCs/>
        </w:rPr>
        <w:t>41,641.60</w:t>
      </w:r>
      <w:r>
        <w:t xml:space="preserve"> for an Office Manager position based on the following formula:</w:t>
      </w:r>
    </w:p>
    <w:p w:rsidR="00F277FC" w:rsidP="00F277FC" w14:paraId="57D8F45B" w14:textId="77777777">
      <w:pPr>
        <w:ind w:left="2160"/>
        <w:contextualSpacing/>
      </w:pPr>
    </w:p>
    <w:p w:rsidR="00F277FC" w:rsidP="00F277FC" w14:paraId="39232073" w14:textId="53135B46">
      <w:pPr>
        <w:ind w:left="2880"/>
        <w:contextualSpacing/>
      </w:pPr>
      <w:r w:rsidRPr="009571A6">
        <w:rPr>
          <w:b/>
          <w:bCs/>
        </w:rPr>
        <w:t>$</w:t>
      </w:r>
      <w:r w:rsidR="00B473A1">
        <w:rPr>
          <w:b/>
          <w:bCs/>
        </w:rPr>
        <w:t>20.02</w:t>
      </w:r>
      <w:r>
        <w:t xml:space="preserve"> (Average hourly Office Manager pay rate) x </w:t>
      </w:r>
      <w:r w:rsidRPr="009571A6">
        <w:rPr>
          <w:b/>
          <w:bCs/>
        </w:rPr>
        <w:t>2080</w:t>
      </w:r>
      <w:r>
        <w:t xml:space="preserve"> (Total annual labor hours) = </w:t>
      </w:r>
      <w:r w:rsidRPr="009571A6">
        <w:rPr>
          <w:b/>
          <w:bCs/>
        </w:rPr>
        <w:t>$</w:t>
      </w:r>
      <w:r w:rsidR="004F0629">
        <w:rPr>
          <w:b/>
          <w:bCs/>
        </w:rPr>
        <w:t>41,641.</w:t>
      </w:r>
      <w:r w:rsidR="00910E17">
        <w:rPr>
          <w:b/>
          <w:bCs/>
        </w:rPr>
        <w:t>60</w:t>
      </w:r>
    </w:p>
    <w:p w:rsidR="00F277FC" w:rsidP="00F277FC" w14:paraId="13A0AA01" w14:textId="77777777">
      <w:pPr>
        <w:ind w:left="2160"/>
        <w:contextualSpacing/>
      </w:pPr>
    </w:p>
    <w:p w:rsidR="00F277FC" w:rsidP="00F277FC" w14:paraId="15A6B41E" w14:textId="77777777">
      <w:pPr>
        <w:ind w:left="2160"/>
        <w:contextualSpacing/>
      </w:pPr>
      <w:r>
        <w:t xml:space="preserve">Absent </w:t>
      </w:r>
      <w:r w:rsidRPr="00F36BA5">
        <w:t xml:space="preserve">a national registry of “55 or older” housing providers, and </w:t>
      </w:r>
      <w:r>
        <w:t>absent</w:t>
      </w:r>
      <w:r w:rsidRPr="00F36BA5">
        <w:t xml:space="preserve"> </w:t>
      </w:r>
      <w:r>
        <w:t xml:space="preserve">statutory </w:t>
      </w:r>
      <w:r w:rsidRPr="00F36BA5">
        <w:t xml:space="preserve">authority to conduct periodic certification/compliance reviews of “55 or older” housing facilities or communities, HUD’s estimated annual cost burden and estimated hourly </w:t>
      </w:r>
      <w:r>
        <w:t>cost burden</w:t>
      </w:r>
      <w:r w:rsidRPr="00F36BA5">
        <w:t xml:space="preserve"> cannot and do not reflect the </w:t>
      </w:r>
      <w:r>
        <w:t xml:space="preserve">actual operating costs of individual </w:t>
      </w:r>
      <w:r w:rsidRPr="00F36BA5">
        <w:t xml:space="preserve">“55 or older” housing providers during any </w:t>
      </w:r>
      <w:r>
        <w:t xml:space="preserve">given </w:t>
      </w:r>
      <w:r>
        <w:t>time</w:t>
      </w:r>
      <w:r w:rsidRPr="00F36BA5">
        <w:t xml:space="preserve"> period</w:t>
      </w:r>
      <w:r w:rsidRPr="00F36BA5">
        <w:t>.</w:t>
      </w:r>
    </w:p>
    <w:p w:rsidR="00F277FC" w:rsidP="00F277FC" w14:paraId="3758AEE0" w14:textId="77777777">
      <w:pPr>
        <w:ind w:left="2160"/>
        <w:contextualSpacing/>
      </w:pPr>
    </w:p>
    <w:p w:rsidR="00F277FC" w:rsidRPr="00A008F5" w:rsidP="00F277FC" w14:paraId="6039A841" w14:textId="1D287297">
      <w:pPr>
        <w:spacing w:after="0" w:line="240" w:lineRule="auto"/>
        <w:ind w:left="2160"/>
        <w:rPr>
          <w:rFonts w:eastAsia="Times New Roman"/>
        </w:rPr>
      </w:pPr>
      <w:r w:rsidRPr="00A008F5">
        <w:rPr>
          <w:rFonts w:eastAsia="Times New Roman"/>
        </w:rPr>
        <w:t xml:space="preserve">For purposes of this information collection, HUD multiplied the total estimated annual burden hours [5,500] by the estimated </w:t>
      </w:r>
      <w:r>
        <w:rPr>
          <w:rFonts w:eastAsia="Times New Roman"/>
        </w:rPr>
        <w:t xml:space="preserve">hourly </w:t>
      </w:r>
      <w:r w:rsidRPr="00A008F5">
        <w:rPr>
          <w:rFonts w:eastAsia="Times New Roman"/>
        </w:rPr>
        <w:t xml:space="preserve">cost </w:t>
      </w:r>
      <w:r>
        <w:rPr>
          <w:rFonts w:eastAsia="Times New Roman"/>
        </w:rPr>
        <w:t>burden</w:t>
      </w:r>
      <w:r w:rsidRPr="00A008F5">
        <w:rPr>
          <w:rFonts w:eastAsia="Times New Roman"/>
        </w:rPr>
        <w:t xml:space="preserve"> </w:t>
      </w:r>
      <w:r w:rsidRPr="009571A6">
        <w:rPr>
          <w:rFonts w:eastAsia="Times New Roman"/>
          <w:b/>
          <w:bCs/>
        </w:rPr>
        <w:t>[$</w:t>
      </w:r>
      <w:r w:rsidR="00910E17">
        <w:rPr>
          <w:rFonts w:eastAsia="Times New Roman"/>
          <w:b/>
          <w:bCs/>
        </w:rPr>
        <w:t>20.02</w:t>
      </w:r>
      <w:r w:rsidRPr="00A008F5">
        <w:rPr>
          <w:rFonts w:eastAsia="Times New Roman"/>
        </w:rPr>
        <w:t xml:space="preserve">] for a total estimated annual cost burden of </w:t>
      </w:r>
      <w:r w:rsidRPr="009571A6">
        <w:rPr>
          <w:rFonts w:eastAsia="Times New Roman"/>
          <w:b/>
          <w:bCs/>
        </w:rPr>
        <w:t>$</w:t>
      </w:r>
      <w:r w:rsidR="00461681">
        <w:rPr>
          <w:rFonts w:eastAsia="Times New Roman"/>
          <w:b/>
          <w:bCs/>
        </w:rPr>
        <w:t>110,110.00</w:t>
      </w:r>
      <w:r w:rsidRPr="00A008F5">
        <w:rPr>
          <w:rFonts w:eastAsia="Times New Roman"/>
        </w:rPr>
        <w:t xml:space="preserve">, or approximately </w:t>
      </w:r>
      <w:r w:rsidRPr="009571A6">
        <w:rPr>
          <w:rFonts w:eastAsia="Times New Roman"/>
          <w:b/>
          <w:bCs/>
        </w:rPr>
        <w:t>$</w:t>
      </w:r>
      <w:r w:rsidR="00FA3D03">
        <w:rPr>
          <w:rFonts w:eastAsia="Times New Roman"/>
          <w:b/>
          <w:bCs/>
        </w:rPr>
        <w:t>110.</w:t>
      </w:r>
      <w:r w:rsidR="00BD147D">
        <w:rPr>
          <w:rFonts w:eastAsia="Times New Roman"/>
          <w:b/>
          <w:bCs/>
        </w:rPr>
        <w:t>11</w:t>
      </w:r>
      <w:r w:rsidRPr="00A008F5">
        <w:rPr>
          <w:rFonts w:eastAsia="Times New Roman"/>
        </w:rPr>
        <w:t xml:space="preserve"> per year for each housing facility or community that intends to qualify for the “55 or older” housing exemption.  There are no additional cost burdens identified for “55 or older” housing providers beyond those reported under Item 12 of this Supporting Statement.</w:t>
      </w:r>
    </w:p>
    <w:p w:rsidR="00F277FC" w:rsidP="00F277FC" w14:paraId="1EF8C07F" w14:textId="77777777">
      <w:pPr>
        <w:ind w:left="2160"/>
        <w:contextualSpacing/>
      </w:pPr>
    </w:p>
    <w:p w:rsidR="00F277FC" w:rsidRPr="00F36BA5" w:rsidP="00F277FC" w14:paraId="47FD9DC8" w14:textId="77777777">
      <w:pPr>
        <w:ind w:left="2160"/>
        <w:contextualSpacing/>
      </w:pPr>
    </w:p>
    <w:p w:rsidR="00DC1975" w:rsidP="00DC1975" w14:paraId="45014714" w14:textId="15FFE055">
      <w:pPr>
        <w:ind w:left="720"/>
        <w:rPr>
          <w:b/>
          <w:color w:val="000000"/>
        </w:rPr>
      </w:pPr>
      <w:r w:rsidRPr="00C879B4">
        <w:rPr>
          <w:b/>
          <w:color w:val="000000"/>
        </w:rPr>
        <w:t xml:space="preserve">14. </w:t>
      </w:r>
      <w:r w:rsidR="00997791">
        <w:rPr>
          <w:b/>
          <w:color w:val="000000"/>
        </w:rPr>
        <w:t xml:space="preserve"> </w:t>
      </w:r>
      <w:r w:rsidRPr="00C879B4">
        <w:rPr>
          <w:b/>
          <w:color w:val="000000"/>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F277FC" w:rsidRPr="00A65142" w:rsidP="00F277FC" w14:paraId="38AD2249" w14:textId="77777777">
      <w:pPr>
        <w:spacing w:after="0" w:line="240" w:lineRule="auto"/>
        <w:ind w:left="1080"/>
        <w:rPr>
          <w:rFonts w:eastAsia="Times New Roman"/>
        </w:rPr>
      </w:pPr>
    </w:p>
    <w:p w:rsidR="00F277FC" w:rsidRPr="00A65142" w:rsidP="00F277FC" w14:paraId="65092A20" w14:textId="77777777">
      <w:pPr>
        <w:spacing w:after="0" w:line="240" w:lineRule="auto"/>
        <w:ind w:left="1800"/>
        <w:rPr>
          <w:rFonts w:eastAsia="Times New Roman"/>
        </w:rPr>
      </w:pPr>
      <w:r w:rsidRPr="00A65142">
        <w:rPr>
          <w:rFonts w:eastAsia="Times New Roman"/>
        </w:rPr>
        <w:t>The record keeping requirements for this information collection are the responsibility of the housing facility or community that intends to qualify for the HOPA’s “55 or older” housing exemption.  Therefore, this information collection imposes no annual cost burden upon the Federal Government.</w:t>
      </w:r>
    </w:p>
    <w:p w:rsidR="00F277FC" w:rsidP="00F277FC" w14:paraId="2BA20523" w14:textId="77777777">
      <w:pPr>
        <w:spacing w:after="0" w:line="240" w:lineRule="auto"/>
        <w:rPr>
          <w:rFonts w:eastAsia="Times New Roman"/>
        </w:rPr>
      </w:pPr>
    </w:p>
    <w:p w:rsidR="00555789" w:rsidRPr="00A65142" w:rsidP="00F277FC" w14:paraId="6E4C6EA1" w14:textId="77777777">
      <w:pPr>
        <w:spacing w:after="0" w:line="240" w:lineRule="auto"/>
        <w:rPr>
          <w:rFonts w:eastAsia="Times New Roman"/>
        </w:rPr>
      </w:pPr>
    </w:p>
    <w:p w:rsidR="00225AF4" w:rsidRPr="0031555A" w:rsidP="00225AF4" w14:paraId="0A430DEE" w14:textId="19BA2A92">
      <w:pPr>
        <w:spacing w:before="40" w:line="260" w:lineRule="exact"/>
        <w:ind w:left="720"/>
        <w:rPr>
          <w:rFonts w:ascii="CG Times" w:hAnsi="CG Times"/>
          <w:b/>
          <w:bCs/>
        </w:rPr>
      </w:pPr>
      <w:r w:rsidRPr="0031555A">
        <w:rPr>
          <w:rFonts w:ascii="CG Times" w:hAnsi="CG Times"/>
          <w:b/>
          <w:bCs/>
        </w:rPr>
        <w:t xml:space="preserve">15. </w:t>
      </w:r>
      <w:r w:rsidR="00997791">
        <w:rPr>
          <w:rFonts w:ascii="CG Times" w:hAnsi="CG Times"/>
          <w:b/>
          <w:bCs/>
        </w:rPr>
        <w:t xml:space="preserve"> </w:t>
      </w:r>
      <w:r w:rsidRPr="0031555A">
        <w:rPr>
          <w:rFonts w:ascii="CG Times" w:hAnsi="CG Times"/>
          <w:b/>
          <w:bCs/>
        </w:rPr>
        <w:t>Explain the reasons for any program changes or adjustments reported in Items 13 or 14 of Form OMB-83i.</w:t>
      </w:r>
    </w:p>
    <w:p w:rsidR="00F277FC" w:rsidRPr="00A65142" w:rsidP="0010606B" w14:paraId="398AF103" w14:textId="77777777">
      <w:pPr>
        <w:spacing w:after="0" w:line="240" w:lineRule="auto"/>
        <w:rPr>
          <w:rFonts w:eastAsia="Times New Roman"/>
          <w:b/>
          <w:bCs/>
        </w:rPr>
      </w:pPr>
    </w:p>
    <w:p w:rsidR="00F277FC" w:rsidRPr="00A65142" w:rsidP="00F277FC" w14:paraId="224CC939" w14:textId="741D173A">
      <w:pPr>
        <w:spacing w:after="0" w:line="240" w:lineRule="auto"/>
        <w:ind w:left="1872"/>
        <w:rPr>
          <w:rFonts w:eastAsia="Times New Roman"/>
        </w:rPr>
      </w:pPr>
      <w:r>
        <w:rPr>
          <w:rFonts w:eastAsia="Times New Roman"/>
        </w:rPr>
        <w:t xml:space="preserve">As reported in Paragraph 13 of this Statement, HUD has revised the estimated annual cost burden for this information collection from </w:t>
      </w:r>
      <w:r w:rsidRPr="009761E9">
        <w:rPr>
          <w:rFonts w:eastAsia="Times New Roman"/>
          <w:b/>
          <w:bCs/>
        </w:rPr>
        <w:t>$</w:t>
      </w:r>
      <w:r w:rsidR="00F6040E">
        <w:rPr>
          <w:rFonts w:eastAsia="Times New Roman"/>
          <w:b/>
          <w:bCs/>
        </w:rPr>
        <w:t>99.99</w:t>
      </w:r>
      <w:r>
        <w:rPr>
          <w:rFonts w:eastAsia="Times New Roman"/>
        </w:rPr>
        <w:t xml:space="preserve"> per year to </w:t>
      </w:r>
      <w:r w:rsidRPr="009761E9">
        <w:rPr>
          <w:rFonts w:eastAsia="Times New Roman"/>
          <w:b/>
          <w:bCs/>
        </w:rPr>
        <w:t>$</w:t>
      </w:r>
      <w:r w:rsidR="002D1A6D">
        <w:rPr>
          <w:rFonts w:eastAsia="Times New Roman"/>
          <w:b/>
          <w:bCs/>
        </w:rPr>
        <w:t>110.11</w:t>
      </w:r>
      <w:r>
        <w:rPr>
          <w:rFonts w:eastAsia="Times New Roman"/>
        </w:rPr>
        <w:t xml:space="preserve"> per year for each “55 or older” housing </w:t>
      </w:r>
      <w:r w:rsidRPr="00380ED1" w:rsidR="00F87457">
        <w:rPr>
          <w:rFonts w:eastAsia="Times New Roman"/>
        </w:rPr>
        <w:t>facility or community</w:t>
      </w:r>
      <w:r w:rsidR="00F87457">
        <w:rPr>
          <w:rFonts w:eastAsia="Times New Roman"/>
        </w:rPr>
        <w:t>.</w:t>
      </w:r>
      <w:r>
        <w:rPr>
          <w:rFonts w:eastAsia="Times New Roman"/>
        </w:rPr>
        <w:t xml:space="preserve">  HUD also has revised the estimated hourly cost burden for this information collection from </w:t>
      </w:r>
      <w:r w:rsidRPr="009761E9">
        <w:rPr>
          <w:rFonts w:eastAsia="Times New Roman"/>
          <w:b/>
          <w:bCs/>
        </w:rPr>
        <w:t>$</w:t>
      </w:r>
      <w:r w:rsidR="002D1A6D">
        <w:rPr>
          <w:rFonts w:eastAsia="Times New Roman"/>
          <w:b/>
          <w:bCs/>
        </w:rPr>
        <w:t>18.18</w:t>
      </w:r>
      <w:r>
        <w:rPr>
          <w:rFonts w:eastAsia="Times New Roman"/>
        </w:rPr>
        <w:t xml:space="preserve"> per hour to </w:t>
      </w:r>
      <w:r w:rsidRPr="009761E9">
        <w:rPr>
          <w:rFonts w:eastAsia="Times New Roman"/>
          <w:b/>
          <w:bCs/>
        </w:rPr>
        <w:t>$</w:t>
      </w:r>
      <w:r w:rsidR="002D1A6D">
        <w:rPr>
          <w:rFonts w:eastAsia="Times New Roman"/>
          <w:b/>
          <w:bCs/>
        </w:rPr>
        <w:t>20.02</w:t>
      </w:r>
      <w:r>
        <w:rPr>
          <w:rFonts w:eastAsia="Times New Roman"/>
        </w:rPr>
        <w:t xml:space="preserve"> per hour.  </w:t>
      </w:r>
      <w:r w:rsidRPr="00A65142">
        <w:rPr>
          <w:rFonts w:eastAsia="Times New Roman"/>
        </w:rPr>
        <w:t xml:space="preserve">No changes have been made to the information provided under </w:t>
      </w:r>
      <w:r w:rsidRPr="000D1363">
        <w:rPr>
          <w:rFonts w:eastAsia="Times New Roman"/>
          <w:b/>
          <w:bCs/>
        </w:rPr>
        <w:t>Items 13 and 14</w:t>
      </w:r>
      <w:r w:rsidRPr="00A65142">
        <w:rPr>
          <w:rFonts w:eastAsia="Times New Roman"/>
        </w:rPr>
        <w:t xml:space="preserve"> on Form OMB 83-1.  This will be a</w:t>
      </w:r>
      <w:r w:rsidR="009C0684">
        <w:rPr>
          <w:rFonts w:eastAsia="Times New Roman"/>
        </w:rPr>
        <w:t xml:space="preserve">n extension of approval for a currently approved </w:t>
      </w:r>
      <w:r w:rsidRPr="00A65142">
        <w:rPr>
          <w:rFonts w:eastAsia="Times New Roman"/>
        </w:rPr>
        <w:t>information collection</w:t>
      </w:r>
      <w:r w:rsidR="004141F8">
        <w:rPr>
          <w:rFonts w:eastAsia="Times New Roman"/>
        </w:rPr>
        <w:t xml:space="preserve"> requirement</w:t>
      </w:r>
      <w:r w:rsidRPr="00A65142">
        <w:rPr>
          <w:rFonts w:eastAsia="Times New Roman"/>
        </w:rPr>
        <w:t>.</w:t>
      </w:r>
    </w:p>
    <w:p w:rsidR="00F277FC" w:rsidP="00F277FC" w14:paraId="76D064F9" w14:textId="77777777">
      <w:pPr>
        <w:spacing w:after="0" w:line="240" w:lineRule="auto"/>
        <w:rPr>
          <w:rFonts w:eastAsia="Times New Roman"/>
          <w:b/>
          <w:bCs/>
        </w:rPr>
      </w:pPr>
    </w:p>
    <w:p w:rsidR="00F277FC" w:rsidP="00F277FC" w14:paraId="33BE996C" w14:textId="77777777">
      <w:pPr>
        <w:spacing w:after="0" w:line="240" w:lineRule="auto"/>
        <w:rPr>
          <w:rFonts w:eastAsia="Times New Roman"/>
          <w:b/>
          <w:bCs/>
        </w:rPr>
      </w:pPr>
    </w:p>
    <w:p w:rsidR="009B513E" w:rsidP="009B513E" w14:paraId="18C38550" w14:textId="1F18BEC1">
      <w:pPr>
        <w:ind w:left="720"/>
        <w:rPr>
          <w:b/>
          <w:color w:val="000000"/>
        </w:rPr>
      </w:pPr>
      <w:r w:rsidRPr="0031555A">
        <w:rPr>
          <w:rFonts w:ascii="CG Times" w:hAnsi="CG Times"/>
          <w:b/>
          <w:bCs/>
        </w:rPr>
        <w:t xml:space="preserve">16. </w:t>
      </w:r>
      <w:r w:rsidR="00997791">
        <w:rPr>
          <w:rFonts w:ascii="CG Times" w:hAnsi="CG Times"/>
          <w:b/>
          <w:bCs/>
        </w:rPr>
        <w:t xml:space="preserve"> </w:t>
      </w:r>
      <w:r w:rsidRPr="0031555A">
        <w:rPr>
          <w:b/>
          <w:bCs/>
          <w:color w:val="000000"/>
        </w:rPr>
        <w:t>For collections</w:t>
      </w:r>
      <w:r w:rsidRPr="00C879B4">
        <w:rPr>
          <w:b/>
          <w:color w:val="000000"/>
        </w:rPr>
        <w:t xml:space="preserve"> of information whose results will be published, outline plans for tabulation and publication. </w:t>
      </w:r>
      <w:r>
        <w:rPr>
          <w:b/>
          <w:color w:val="000000"/>
        </w:rPr>
        <w:t xml:space="preserve"> </w:t>
      </w:r>
      <w:r w:rsidRPr="00C879B4">
        <w:rPr>
          <w:b/>
          <w:color w:val="000000"/>
        </w:rPr>
        <w:t xml:space="preserve">Address any complex analytical techniques that will be used. </w:t>
      </w:r>
      <w:r>
        <w:rPr>
          <w:b/>
          <w:color w:val="000000"/>
        </w:rPr>
        <w:t xml:space="preserve"> </w:t>
      </w:r>
      <w:r w:rsidRPr="00C879B4">
        <w:rPr>
          <w:b/>
          <w:color w:val="000000"/>
        </w:rPr>
        <w:t>Provide the time schedule for the entire project, including beginning and ending dates of the collection of information, completion of report, publication dates, and other actions.</w:t>
      </w:r>
    </w:p>
    <w:p w:rsidR="00F277FC" w:rsidRPr="00A65142" w:rsidP="0014627A" w14:paraId="75E6DA85" w14:textId="77777777">
      <w:pPr>
        <w:spacing w:after="0" w:line="240" w:lineRule="auto"/>
        <w:rPr>
          <w:rFonts w:eastAsia="Times New Roman"/>
        </w:rPr>
      </w:pPr>
    </w:p>
    <w:p w:rsidR="00F277FC" w:rsidP="00F277FC" w14:paraId="345A2504" w14:textId="77777777">
      <w:pPr>
        <w:ind w:left="1800"/>
        <w:rPr>
          <w:rFonts w:eastAsia="Times New Roman"/>
        </w:rPr>
      </w:pPr>
      <w:r w:rsidRPr="00A65142">
        <w:rPr>
          <w:rFonts w:eastAsia="Times New Roman"/>
        </w:rPr>
        <w:t>This information collection does not include a requirement for publication of results with HUD.</w:t>
      </w:r>
      <w:r w:rsidRPr="009C67D2">
        <w:rPr>
          <w:rFonts w:eastAsia="Times New Roman"/>
        </w:rPr>
        <w:t xml:space="preserve"> </w:t>
      </w:r>
    </w:p>
    <w:p w:rsidR="00F277FC" w:rsidP="00997791" w14:paraId="014AD84F" w14:textId="77777777">
      <w:pPr>
        <w:rPr>
          <w:rFonts w:eastAsia="Times New Roman"/>
        </w:rPr>
      </w:pPr>
    </w:p>
    <w:p w:rsidR="00997791" w:rsidP="00997791" w14:paraId="727DA134" w14:textId="135AB40E">
      <w:pPr>
        <w:ind w:left="720"/>
        <w:rPr>
          <w:b/>
          <w:color w:val="000000"/>
        </w:rPr>
      </w:pPr>
      <w:r w:rsidRPr="002F355C">
        <w:rPr>
          <w:rFonts w:ascii="CG Times" w:hAnsi="CG Times"/>
          <w:b/>
          <w:bCs/>
        </w:rPr>
        <w:t xml:space="preserve">17. </w:t>
      </w:r>
      <w:r>
        <w:rPr>
          <w:rFonts w:ascii="CG Times" w:hAnsi="CG Times"/>
          <w:b/>
          <w:bCs/>
        </w:rPr>
        <w:t xml:space="preserve"> </w:t>
      </w:r>
      <w:r w:rsidRPr="002F355C">
        <w:rPr>
          <w:b/>
          <w:bCs/>
          <w:color w:val="000000"/>
        </w:rPr>
        <w:t>If</w:t>
      </w:r>
      <w:r w:rsidRPr="00C879B4">
        <w:rPr>
          <w:b/>
          <w:color w:val="000000"/>
        </w:rPr>
        <w:t xml:space="preserve"> seeking approval to not display the expiration date for OMB approval of the information collection, explain the reasons that display would be inappropriate.</w:t>
      </w:r>
    </w:p>
    <w:p w:rsidR="00F277FC" w:rsidRPr="009C67D2" w:rsidP="003727FA" w14:paraId="031FFC42" w14:textId="77777777">
      <w:pPr>
        <w:spacing w:after="0" w:line="240" w:lineRule="auto"/>
        <w:rPr>
          <w:rFonts w:eastAsia="Times New Roman"/>
        </w:rPr>
      </w:pPr>
    </w:p>
    <w:p w:rsidR="00F277FC" w:rsidRPr="009C67D2" w:rsidP="00F277FC" w14:paraId="7D1D341F" w14:textId="77E2EFD8">
      <w:pPr>
        <w:spacing w:after="0" w:line="240" w:lineRule="auto"/>
        <w:ind w:left="1800"/>
        <w:rPr>
          <w:rFonts w:eastAsia="Times New Roman"/>
        </w:rPr>
      </w:pPr>
      <w:r w:rsidRPr="009C67D2">
        <w:rPr>
          <w:rFonts w:eastAsia="Times New Roman"/>
        </w:rPr>
        <w:t>This information collection does</w:t>
      </w:r>
      <w:r w:rsidR="00525CD4">
        <w:rPr>
          <w:rFonts w:eastAsia="Times New Roman"/>
        </w:rPr>
        <w:t>n’t</w:t>
      </w:r>
      <w:r w:rsidRPr="009C67D2">
        <w:rPr>
          <w:rFonts w:eastAsia="Times New Roman"/>
        </w:rPr>
        <w:t xml:space="preserve"> require an expiration date display, because HUD does</w:t>
      </w:r>
      <w:r w:rsidR="00525CD4">
        <w:rPr>
          <w:rFonts w:eastAsia="Times New Roman"/>
        </w:rPr>
        <w:t>n’t</w:t>
      </w:r>
      <w:r w:rsidRPr="009C67D2">
        <w:rPr>
          <w:rFonts w:eastAsia="Times New Roman"/>
        </w:rPr>
        <w:t xml:space="preserve"> require Respondents identified in a housing discrimination complaint investigation to u</w:t>
      </w:r>
      <w:r w:rsidR="00525CD4">
        <w:rPr>
          <w:rFonts w:eastAsia="Times New Roman"/>
        </w:rPr>
        <w:t>se</w:t>
      </w:r>
      <w:r w:rsidRPr="009C67D2">
        <w:rPr>
          <w:rFonts w:eastAsia="Times New Roman"/>
        </w:rPr>
        <w:t xml:space="preserve"> any </w:t>
      </w:r>
      <w:r w:rsidR="00F87457">
        <w:rPr>
          <w:rFonts w:eastAsia="Times New Roman"/>
        </w:rPr>
        <w:t xml:space="preserve">mandatory or </w:t>
      </w:r>
      <w:r w:rsidRPr="009C67D2">
        <w:rPr>
          <w:rFonts w:eastAsia="Times New Roman"/>
        </w:rPr>
        <w:t xml:space="preserve">official </w:t>
      </w:r>
      <w:r w:rsidR="00F87457">
        <w:rPr>
          <w:rFonts w:eastAsia="Times New Roman"/>
        </w:rPr>
        <w:t xml:space="preserve">HUD </w:t>
      </w:r>
      <w:r w:rsidRPr="009C67D2">
        <w:rPr>
          <w:rFonts w:eastAsia="Times New Roman"/>
        </w:rPr>
        <w:t>forms to collect, maintain, or submit HOPA exemption-related information to HUD.</w:t>
      </w:r>
    </w:p>
    <w:p w:rsidR="00F277FC" w:rsidP="00F277FC" w14:paraId="64657E0A" w14:textId="77777777">
      <w:pPr>
        <w:spacing w:after="0" w:line="240" w:lineRule="auto"/>
        <w:rPr>
          <w:rFonts w:eastAsia="Times New Roman"/>
        </w:rPr>
      </w:pPr>
    </w:p>
    <w:p w:rsidR="002A12E0" w:rsidRPr="009C67D2" w:rsidP="00F277FC" w14:paraId="293B99B8" w14:textId="77777777">
      <w:pPr>
        <w:spacing w:after="0" w:line="240" w:lineRule="auto"/>
        <w:rPr>
          <w:rFonts w:eastAsia="Times New Roman"/>
        </w:rPr>
      </w:pPr>
    </w:p>
    <w:p w:rsidR="00080C29" w:rsidP="00080C29" w14:paraId="06DBA5C8" w14:textId="77777777">
      <w:pPr>
        <w:ind w:left="720"/>
        <w:rPr>
          <w:b/>
          <w:color w:val="000000"/>
        </w:rPr>
      </w:pPr>
      <w:r w:rsidRPr="002F355C">
        <w:rPr>
          <w:rFonts w:ascii="CG Times" w:hAnsi="CG Times"/>
          <w:b/>
          <w:bCs/>
        </w:rPr>
        <w:t xml:space="preserve">18. </w:t>
      </w:r>
      <w:r w:rsidRPr="002F355C">
        <w:rPr>
          <w:b/>
          <w:bCs/>
          <w:color w:val="000000"/>
        </w:rPr>
        <w:t>Explain</w:t>
      </w:r>
      <w:r w:rsidRPr="00C879B4">
        <w:rPr>
          <w:b/>
          <w:color w:val="000000"/>
        </w:rPr>
        <w:t xml:space="preserve"> each exception to the certification statement identified in Item 19, "Certification for Paperwork Reduction Act Submissions," of OMB Form 83-</w:t>
      </w:r>
      <w:r>
        <w:rPr>
          <w:b/>
          <w:color w:val="000000"/>
        </w:rPr>
        <w:t>i</w:t>
      </w:r>
      <w:r w:rsidRPr="00C879B4">
        <w:rPr>
          <w:b/>
          <w:color w:val="000000"/>
        </w:rPr>
        <w:t xml:space="preserve">. </w:t>
      </w:r>
    </w:p>
    <w:p w:rsidR="00F277FC" w:rsidRPr="009C67D2" w:rsidP="00080C29" w14:paraId="55552A36" w14:textId="77777777">
      <w:pPr>
        <w:spacing w:after="0" w:line="240" w:lineRule="auto"/>
        <w:rPr>
          <w:rFonts w:eastAsia="Times New Roman"/>
        </w:rPr>
      </w:pPr>
    </w:p>
    <w:p w:rsidR="00F277FC" w:rsidRPr="009C67D2" w:rsidP="00F277FC" w14:paraId="3F414D62" w14:textId="1AABF565">
      <w:pPr>
        <w:spacing w:after="0" w:line="240" w:lineRule="auto"/>
        <w:ind w:left="1800"/>
        <w:rPr>
          <w:rFonts w:eastAsia="Times New Roman"/>
        </w:rPr>
      </w:pPr>
      <w:r w:rsidRPr="009C67D2">
        <w:rPr>
          <w:rFonts w:eastAsia="Times New Roman"/>
        </w:rPr>
        <w:t>There are no certification exceptions associated with this information collection</w:t>
      </w:r>
      <w:r w:rsidR="00EA2752">
        <w:rPr>
          <w:rFonts w:eastAsia="Times New Roman"/>
        </w:rPr>
        <w:t xml:space="preserve"> requirement</w:t>
      </w:r>
      <w:r w:rsidRPr="009C67D2">
        <w:rPr>
          <w:rFonts w:eastAsia="Times New Roman"/>
        </w:rPr>
        <w:t xml:space="preserve">, because HUD lacks statutory authority to </w:t>
      </w:r>
      <w:r w:rsidRPr="009C67D2">
        <w:rPr>
          <w:rFonts w:eastAsia="Times New Roman"/>
          <w:u w:val="single"/>
        </w:rPr>
        <w:t>certify</w:t>
      </w:r>
      <w:r w:rsidRPr="009C67D2">
        <w:rPr>
          <w:rFonts w:eastAsia="Times New Roman"/>
        </w:rPr>
        <w:t xml:space="preserve"> that a housing facility or community qualifies for the “55 or older” housing exemption.</w:t>
      </w:r>
    </w:p>
    <w:p w:rsidR="00F277FC" w:rsidP="00F277FC" w14:paraId="4742746E" w14:textId="77777777">
      <w:pPr>
        <w:spacing w:after="0" w:line="240" w:lineRule="auto"/>
        <w:rPr>
          <w:rFonts w:eastAsia="Times New Roman"/>
        </w:rPr>
      </w:pPr>
    </w:p>
    <w:p w:rsidR="002A12E0" w:rsidRPr="009C67D2" w:rsidP="00F277FC" w14:paraId="7A7423BC" w14:textId="77777777">
      <w:pPr>
        <w:spacing w:after="0" w:line="240" w:lineRule="auto"/>
        <w:rPr>
          <w:rFonts w:eastAsia="Times New Roman"/>
        </w:rPr>
      </w:pPr>
    </w:p>
    <w:p w:rsidR="00D204D0" w:rsidP="00D204D0" w14:paraId="6A4DDED4" w14:textId="77777777">
      <w:pPr>
        <w:rPr>
          <w:rFonts w:ascii="CG Times" w:hAnsi="CG Times"/>
          <w:b/>
        </w:rPr>
      </w:pPr>
      <w:r>
        <w:rPr>
          <w:rFonts w:ascii="CG Times" w:hAnsi="CG Times"/>
          <w:b/>
        </w:rPr>
        <w:t>B. Collection of Information Employing Statistical Methods</w:t>
      </w:r>
    </w:p>
    <w:p w:rsidR="00F277FC" w:rsidRPr="00BF6E7E" w:rsidP="00F277FC" w14:paraId="5D3A0B0B" w14:textId="77777777">
      <w:pPr>
        <w:spacing w:after="0" w:line="240" w:lineRule="auto"/>
        <w:rPr>
          <w:rFonts w:eastAsia="Times New Roman"/>
        </w:rPr>
      </w:pPr>
    </w:p>
    <w:p w:rsidR="00F277FC" w:rsidP="00F277FC" w14:paraId="16C679E5" w14:textId="77777777">
      <w:pPr>
        <w:spacing w:after="0" w:line="240" w:lineRule="auto"/>
        <w:ind w:left="720"/>
        <w:rPr>
          <w:rFonts w:eastAsia="Times New Roman"/>
        </w:rPr>
      </w:pPr>
      <w:r w:rsidRPr="00BF6E7E">
        <w:rPr>
          <w:rFonts w:eastAsia="Times New Roman"/>
        </w:rPr>
        <w:t>This information collection does not involve the use of statistical methods.</w:t>
      </w:r>
    </w:p>
    <w:p w:rsidR="00F277FC" w:rsidP="00380ED1" w14:paraId="573EF1F3" w14:textId="77777777">
      <w:pPr>
        <w:spacing w:after="0" w:line="240" w:lineRule="auto"/>
        <w:rPr>
          <w:rFonts w:eastAsia="Times New Roman"/>
        </w:rPr>
      </w:pPr>
    </w:p>
    <w:p w:rsidR="00F277FC" w:rsidP="00380ED1" w14:paraId="24D4D41E" w14:textId="77777777">
      <w:pPr>
        <w:spacing w:after="0" w:line="240" w:lineRule="auto"/>
        <w:rPr>
          <w:rFonts w:eastAsia="Times New Roman"/>
        </w:rPr>
      </w:pPr>
    </w:p>
    <w:p w:rsidR="00F277FC" w:rsidP="00380ED1" w14:paraId="13DA3866" w14:textId="77777777">
      <w:pPr>
        <w:spacing w:after="0" w:line="240" w:lineRule="auto"/>
        <w:rPr>
          <w:rFonts w:eastAsia="Times New Roman"/>
        </w:rPr>
      </w:pPr>
    </w:p>
    <w:p w:rsidR="00F277FC" w:rsidP="00380ED1" w14:paraId="3F28A8BC" w14:textId="77777777">
      <w:pPr>
        <w:spacing w:after="0" w:line="240" w:lineRule="auto"/>
        <w:rPr>
          <w:rFonts w:eastAsia="Times New Roman"/>
        </w:rPr>
      </w:pPr>
    </w:p>
    <w:p w:rsidR="00F277FC" w:rsidP="00380ED1" w14:paraId="15DE0440" w14:textId="77777777">
      <w:pPr>
        <w:spacing w:after="0" w:line="240" w:lineRule="auto"/>
        <w:rPr>
          <w:rFonts w:eastAsia="Times New Roman"/>
        </w:rPr>
      </w:pPr>
    </w:p>
    <w:p w:rsidR="00F277FC" w:rsidP="00380ED1" w14:paraId="0155B776" w14:textId="77777777">
      <w:pPr>
        <w:spacing w:after="0" w:line="240" w:lineRule="auto"/>
        <w:rPr>
          <w:rFonts w:eastAsia="Times New Roman"/>
        </w:rPr>
      </w:pPr>
    </w:p>
    <w:p w:rsidR="00F277FC" w:rsidRPr="00DF1C0A" w:rsidP="00F277FC" w14:paraId="506BE3C9" w14:textId="3DC41740">
      <w:pPr>
        <w:rPr>
          <w:rFonts w:eastAsia="Times New Roman"/>
        </w:rPr>
      </w:pPr>
      <w:r w:rsidRPr="00BF6E7E">
        <w:rPr>
          <w:rFonts w:eastAsia="Times New Roman"/>
        </w:rPr>
        <w:t>Filename:  20</w:t>
      </w:r>
      <w:r>
        <w:rPr>
          <w:rFonts w:eastAsia="Times New Roman"/>
        </w:rPr>
        <w:t>2</w:t>
      </w:r>
      <w:r w:rsidR="00F6561A">
        <w:rPr>
          <w:rFonts w:eastAsia="Times New Roman"/>
        </w:rPr>
        <w:t>4</w:t>
      </w:r>
      <w:r w:rsidRPr="00BF6E7E">
        <w:rPr>
          <w:rFonts w:eastAsia="Times New Roman"/>
        </w:rPr>
        <w:t xml:space="preserve"> </w:t>
      </w:r>
      <w:r w:rsidRPr="00BF6E7E" w:rsidR="00262C1A">
        <w:rPr>
          <w:rFonts w:eastAsia="Times New Roman"/>
        </w:rPr>
        <w:t>OMB-2529-0046</w:t>
      </w:r>
      <w:r w:rsidR="00262C1A">
        <w:rPr>
          <w:rFonts w:eastAsia="Times New Roman"/>
        </w:rPr>
        <w:t xml:space="preserve"> </w:t>
      </w:r>
      <w:r w:rsidRPr="00BF6E7E">
        <w:rPr>
          <w:rFonts w:eastAsia="Times New Roman"/>
        </w:rPr>
        <w:t>HOPA PRA</w:t>
      </w:r>
      <w:r w:rsidR="00262C1A">
        <w:rPr>
          <w:rFonts w:eastAsia="Times New Roman"/>
        </w:rPr>
        <w:t xml:space="preserve"> </w:t>
      </w:r>
      <w:r w:rsidR="00513B4D">
        <w:rPr>
          <w:rFonts w:eastAsia="Times New Roman"/>
        </w:rPr>
        <w:t xml:space="preserve">FORM </w:t>
      </w:r>
      <w:r w:rsidR="00712A65">
        <w:rPr>
          <w:rFonts w:eastAsia="Times New Roman"/>
        </w:rPr>
        <w:t xml:space="preserve">OMB-83-I </w:t>
      </w:r>
      <w:r>
        <w:rPr>
          <w:rFonts w:eastAsia="Times New Roman"/>
        </w:rPr>
        <w:t>SUPPORTING STATEMENT</w:t>
      </w:r>
      <w:r w:rsidR="00924266">
        <w:rPr>
          <w:rFonts w:eastAsia="Times New Roman"/>
        </w:rPr>
        <w:t>.Rev.1</w:t>
      </w:r>
    </w:p>
    <w:p w:rsidR="00EE4903" w14:paraId="7505A1AC" w14:textId="77777777"/>
    <w:sectPr w:rsidSect="00CB70D1">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9893358"/>
      <w:docPartObj>
        <w:docPartGallery w:val="Page Numbers (Bottom of Page)"/>
        <w:docPartUnique/>
      </w:docPartObj>
    </w:sdtPr>
    <w:sdtEndPr>
      <w:rPr>
        <w:noProof/>
      </w:rPr>
    </w:sdtEndPr>
    <w:sdtContent>
      <w:p w:rsidR="008B4625" w14:paraId="560E7F85"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B4625" w14:paraId="053EED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3F66E7"/>
    <w:multiLevelType w:val="hybridMultilevel"/>
    <w:tmpl w:val="01A6B980"/>
    <w:lvl w:ilvl="0">
      <w:start w:val="1"/>
      <w:numFmt w:val="decimal"/>
      <w:lvlText w:val="%1."/>
      <w:lvlJc w:val="left"/>
      <w:pPr>
        <w:ind w:left="8190" w:hanging="360"/>
      </w:pPr>
      <w:rPr>
        <w:rFonts w:ascii="CG Times" w:hAnsi="CG Times" w:hint="default"/>
        <w:b w:val="0"/>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E970CB4"/>
    <w:multiLevelType w:val="hybridMultilevel"/>
    <w:tmpl w:val="0E648ABC"/>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367D0EA4"/>
    <w:multiLevelType w:val="hybridMultilevel"/>
    <w:tmpl w:val="CAD4A18E"/>
    <w:lvl w:ilvl="0">
      <w:start w:val="1"/>
      <w:numFmt w:val="bullet"/>
      <w:lvlText w:val=""/>
      <w:lvlJc w:val="left"/>
      <w:pPr>
        <w:tabs>
          <w:tab w:val="num" w:pos="2520"/>
        </w:tabs>
        <w:ind w:left="2520" w:hanging="360"/>
      </w:pPr>
      <w:rPr>
        <w:rFonts w:ascii="Symbol" w:hAnsi="Symbol" w:hint="default"/>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num w:numId="1" w16cid:durableId="2132700383">
    <w:abstractNumId w:val="2"/>
  </w:num>
  <w:num w:numId="2" w16cid:durableId="1763720980">
    <w:abstractNumId w:val="1"/>
  </w:num>
  <w:num w:numId="3" w16cid:durableId="1232428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1A"/>
    <w:rsid w:val="00017F61"/>
    <w:rsid w:val="0002575B"/>
    <w:rsid w:val="00031FEE"/>
    <w:rsid w:val="0004256A"/>
    <w:rsid w:val="000454A0"/>
    <w:rsid w:val="0005030E"/>
    <w:rsid w:val="00061C74"/>
    <w:rsid w:val="00070C39"/>
    <w:rsid w:val="00080C29"/>
    <w:rsid w:val="00087578"/>
    <w:rsid w:val="0009370E"/>
    <w:rsid w:val="000A5F01"/>
    <w:rsid w:val="000B3A63"/>
    <w:rsid w:val="000D1363"/>
    <w:rsid w:val="000E35BC"/>
    <w:rsid w:val="000E4D49"/>
    <w:rsid w:val="000F3963"/>
    <w:rsid w:val="000F41A2"/>
    <w:rsid w:val="0010606B"/>
    <w:rsid w:val="001104E0"/>
    <w:rsid w:val="001113CA"/>
    <w:rsid w:val="0014627A"/>
    <w:rsid w:val="001563C4"/>
    <w:rsid w:val="0016087E"/>
    <w:rsid w:val="00164876"/>
    <w:rsid w:val="0017048C"/>
    <w:rsid w:val="001B617F"/>
    <w:rsid w:val="001C3A65"/>
    <w:rsid w:val="001D0410"/>
    <w:rsid w:val="001E3199"/>
    <w:rsid w:val="00202C97"/>
    <w:rsid w:val="00213443"/>
    <w:rsid w:val="00217FEF"/>
    <w:rsid w:val="00221D0D"/>
    <w:rsid w:val="00225AF4"/>
    <w:rsid w:val="00235200"/>
    <w:rsid w:val="00250F0B"/>
    <w:rsid w:val="00262C1A"/>
    <w:rsid w:val="002736BE"/>
    <w:rsid w:val="0029449A"/>
    <w:rsid w:val="002A12E0"/>
    <w:rsid w:val="002B2E8D"/>
    <w:rsid w:val="002C3121"/>
    <w:rsid w:val="002D11CB"/>
    <w:rsid w:val="002D1A6D"/>
    <w:rsid w:val="002F355C"/>
    <w:rsid w:val="002F4B6E"/>
    <w:rsid w:val="00305C7C"/>
    <w:rsid w:val="00310C1A"/>
    <w:rsid w:val="0031555A"/>
    <w:rsid w:val="00321F97"/>
    <w:rsid w:val="00335AF2"/>
    <w:rsid w:val="00345388"/>
    <w:rsid w:val="00365955"/>
    <w:rsid w:val="003727FA"/>
    <w:rsid w:val="00380ED1"/>
    <w:rsid w:val="00383F1A"/>
    <w:rsid w:val="0038596A"/>
    <w:rsid w:val="003868A6"/>
    <w:rsid w:val="003947AB"/>
    <w:rsid w:val="003B2357"/>
    <w:rsid w:val="003B421C"/>
    <w:rsid w:val="003B4C52"/>
    <w:rsid w:val="003C79AC"/>
    <w:rsid w:val="003D07D4"/>
    <w:rsid w:val="003D19A0"/>
    <w:rsid w:val="003D54AB"/>
    <w:rsid w:val="003E047F"/>
    <w:rsid w:val="00407441"/>
    <w:rsid w:val="004078E4"/>
    <w:rsid w:val="004141F8"/>
    <w:rsid w:val="00432935"/>
    <w:rsid w:val="00434CD4"/>
    <w:rsid w:val="00461681"/>
    <w:rsid w:val="00466DE6"/>
    <w:rsid w:val="004711D7"/>
    <w:rsid w:val="00473451"/>
    <w:rsid w:val="004A4F76"/>
    <w:rsid w:val="004B414D"/>
    <w:rsid w:val="004B6475"/>
    <w:rsid w:val="004D0F2F"/>
    <w:rsid w:val="004F03DC"/>
    <w:rsid w:val="004F0629"/>
    <w:rsid w:val="004F4038"/>
    <w:rsid w:val="005026EE"/>
    <w:rsid w:val="00513B4D"/>
    <w:rsid w:val="00517DC8"/>
    <w:rsid w:val="00525CD4"/>
    <w:rsid w:val="005465E9"/>
    <w:rsid w:val="00552583"/>
    <w:rsid w:val="00555789"/>
    <w:rsid w:val="00567EE5"/>
    <w:rsid w:val="00576D1D"/>
    <w:rsid w:val="005832CA"/>
    <w:rsid w:val="0058657B"/>
    <w:rsid w:val="00597873"/>
    <w:rsid w:val="005B48A3"/>
    <w:rsid w:val="005B691D"/>
    <w:rsid w:val="005D0554"/>
    <w:rsid w:val="005D105F"/>
    <w:rsid w:val="00603C2A"/>
    <w:rsid w:val="00614118"/>
    <w:rsid w:val="00627179"/>
    <w:rsid w:val="006277FD"/>
    <w:rsid w:val="00652833"/>
    <w:rsid w:val="00674853"/>
    <w:rsid w:val="00687E6D"/>
    <w:rsid w:val="006910E2"/>
    <w:rsid w:val="00694D3F"/>
    <w:rsid w:val="00696333"/>
    <w:rsid w:val="006A7ED3"/>
    <w:rsid w:val="006C0361"/>
    <w:rsid w:val="006E0B07"/>
    <w:rsid w:val="007056AF"/>
    <w:rsid w:val="0071034D"/>
    <w:rsid w:val="00712A65"/>
    <w:rsid w:val="00744477"/>
    <w:rsid w:val="0075217E"/>
    <w:rsid w:val="007713B5"/>
    <w:rsid w:val="00773821"/>
    <w:rsid w:val="00780013"/>
    <w:rsid w:val="0078373E"/>
    <w:rsid w:val="00791F35"/>
    <w:rsid w:val="007947C4"/>
    <w:rsid w:val="007B599A"/>
    <w:rsid w:val="007B7000"/>
    <w:rsid w:val="007C1141"/>
    <w:rsid w:val="007C34BB"/>
    <w:rsid w:val="007C5F5C"/>
    <w:rsid w:val="007C79A9"/>
    <w:rsid w:val="007D5207"/>
    <w:rsid w:val="007F4746"/>
    <w:rsid w:val="0080158F"/>
    <w:rsid w:val="00802F39"/>
    <w:rsid w:val="008245F6"/>
    <w:rsid w:val="00827F3D"/>
    <w:rsid w:val="00831259"/>
    <w:rsid w:val="0084407E"/>
    <w:rsid w:val="008443FA"/>
    <w:rsid w:val="00846A84"/>
    <w:rsid w:val="0085305D"/>
    <w:rsid w:val="00870967"/>
    <w:rsid w:val="0087647D"/>
    <w:rsid w:val="008774A5"/>
    <w:rsid w:val="008846CA"/>
    <w:rsid w:val="008B3BBD"/>
    <w:rsid w:val="008B4625"/>
    <w:rsid w:val="008D7A3C"/>
    <w:rsid w:val="008E00B6"/>
    <w:rsid w:val="008F46C7"/>
    <w:rsid w:val="00900C24"/>
    <w:rsid w:val="00910E17"/>
    <w:rsid w:val="009119D7"/>
    <w:rsid w:val="00915C9D"/>
    <w:rsid w:val="009167F8"/>
    <w:rsid w:val="00924266"/>
    <w:rsid w:val="00931727"/>
    <w:rsid w:val="00931B34"/>
    <w:rsid w:val="0093540F"/>
    <w:rsid w:val="00942D0D"/>
    <w:rsid w:val="009571A6"/>
    <w:rsid w:val="009715B9"/>
    <w:rsid w:val="00973AB8"/>
    <w:rsid w:val="009761E9"/>
    <w:rsid w:val="00997791"/>
    <w:rsid w:val="009A1065"/>
    <w:rsid w:val="009A7798"/>
    <w:rsid w:val="009B0608"/>
    <w:rsid w:val="009B4B52"/>
    <w:rsid w:val="009B513E"/>
    <w:rsid w:val="009C0684"/>
    <w:rsid w:val="009C67D2"/>
    <w:rsid w:val="009C7C25"/>
    <w:rsid w:val="009F59F4"/>
    <w:rsid w:val="00A008F5"/>
    <w:rsid w:val="00A00D7A"/>
    <w:rsid w:val="00A12B23"/>
    <w:rsid w:val="00A27167"/>
    <w:rsid w:val="00A36689"/>
    <w:rsid w:val="00A44F15"/>
    <w:rsid w:val="00A5011C"/>
    <w:rsid w:val="00A52E77"/>
    <w:rsid w:val="00A56FAE"/>
    <w:rsid w:val="00A63018"/>
    <w:rsid w:val="00A65142"/>
    <w:rsid w:val="00A67551"/>
    <w:rsid w:val="00AC354B"/>
    <w:rsid w:val="00AD08E9"/>
    <w:rsid w:val="00AD3B3C"/>
    <w:rsid w:val="00AF06AD"/>
    <w:rsid w:val="00AF1379"/>
    <w:rsid w:val="00AF4A32"/>
    <w:rsid w:val="00AF4CB0"/>
    <w:rsid w:val="00B0146D"/>
    <w:rsid w:val="00B365E7"/>
    <w:rsid w:val="00B45EEC"/>
    <w:rsid w:val="00B473A1"/>
    <w:rsid w:val="00B61E3E"/>
    <w:rsid w:val="00B7659D"/>
    <w:rsid w:val="00B7670D"/>
    <w:rsid w:val="00B81783"/>
    <w:rsid w:val="00B87663"/>
    <w:rsid w:val="00B9023D"/>
    <w:rsid w:val="00B961BF"/>
    <w:rsid w:val="00BB3D97"/>
    <w:rsid w:val="00BB552C"/>
    <w:rsid w:val="00BC4CAA"/>
    <w:rsid w:val="00BD147D"/>
    <w:rsid w:val="00BE0BD3"/>
    <w:rsid w:val="00BF0E6A"/>
    <w:rsid w:val="00BF598F"/>
    <w:rsid w:val="00BF6E7E"/>
    <w:rsid w:val="00C01A06"/>
    <w:rsid w:val="00C12692"/>
    <w:rsid w:val="00C15589"/>
    <w:rsid w:val="00C264FE"/>
    <w:rsid w:val="00C31994"/>
    <w:rsid w:val="00C52E6B"/>
    <w:rsid w:val="00C568A4"/>
    <w:rsid w:val="00C63057"/>
    <w:rsid w:val="00C732DB"/>
    <w:rsid w:val="00C832C4"/>
    <w:rsid w:val="00C84934"/>
    <w:rsid w:val="00C86A83"/>
    <w:rsid w:val="00C879B4"/>
    <w:rsid w:val="00C91ADA"/>
    <w:rsid w:val="00CB70D1"/>
    <w:rsid w:val="00CD065B"/>
    <w:rsid w:val="00CD20C1"/>
    <w:rsid w:val="00CD2A99"/>
    <w:rsid w:val="00CD6820"/>
    <w:rsid w:val="00CE599D"/>
    <w:rsid w:val="00CE5E22"/>
    <w:rsid w:val="00CF186E"/>
    <w:rsid w:val="00CF5B0E"/>
    <w:rsid w:val="00D204D0"/>
    <w:rsid w:val="00D25CFC"/>
    <w:rsid w:val="00D304D0"/>
    <w:rsid w:val="00D41B40"/>
    <w:rsid w:val="00D47E01"/>
    <w:rsid w:val="00D5197C"/>
    <w:rsid w:val="00D62CE9"/>
    <w:rsid w:val="00D635BB"/>
    <w:rsid w:val="00D63F02"/>
    <w:rsid w:val="00D67F33"/>
    <w:rsid w:val="00D70A41"/>
    <w:rsid w:val="00DA0874"/>
    <w:rsid w:val="00DA3ADD"/>
    <w:rsid w:val="00DA760B"/>
    <w:rsid w:val="00DB26CF"/>
    <w:rsid w:val="00DC1975"/>
    <w:rsid w:val="00DD5462"/>
    <w:rsid w:val="00DD59F9"/>
    <w:rsid w:val="00DD6FAC"/>
    <w:rsid w:val="00DD72E5"/>
    <w:rsid w:val="00DE2CC5"/>
    <w:rsid w:val="00DF1C0A"/>
    <w:rsid w:val="00E00863"/>
    <w:rsid w:val="00E01180"/>
    <w:rsid w:val="00E04D9F"/>
    <w:rsid w:val="00E13240"/>
    <w:rsid w:val="00E153B4"/>
    <w:rsid w:val="00E26522"/>
    <w:rsid w:val="00E30FD2"/>
    <w:rsid w:val="00E375FA"/>
    <w:rsid w:val="00E42BC5"/>
    <w:rsid w:val="00E44E3B"/>
    <w:rsid w:val="00E47ED1"/>
    <w:rsid w:val="00E56717"/>
    <w:rsid w:val="00E6337A"/>
    <w:rsid w:val="00E76FA5"/>
    <w:rsid w:val="00E91864"/>
    <w:rsid w:val="00E9738D"/>
    <w:rsid w:val="00EA2752"/>
    <w:rsid w:val="00EA2C4D"/>
    <w:rsid w:val="00EA4524"/>
    <w:rsid w:val="00EB2686"/>
    <w:rsid w:val="00ED2D7F"/>
    <w:rsid w:val="00EE4903"/>
    <w:rsid w:val="00EE7A5A"/>
    <w:rsid w:val="00EF294B"/>
    <w:rsid w:val="00EF32A7"/>
    <w:rsid w:val="00EF418D"/>
    <w:rsid w:val="00EF6B3B"/>
    <w:rsid w:val="00F033F9"/>
    <w:rsid w:val="00F22B1E"/>
    <w:rsid w:val="00F27743"/>
    <w:rsid w:val="00F277FC"/>
    <w:rsid w:val="00F3051E"/>
    <w:rsid w:val="00F351F4"/>
    <w:rsid w:val="00F353F6"/>
    <w:rsid w:val="00F35F63"/>
    <w:rsid w:val="00F36BA5"/>
    <w:rsid w:val="00F37773"/>
    <w:rsid w:val="00F4312F"/>
    <w:rsid w:val="00F4472E"/>
    <w:rsid w:val="00F5365E"/>
    <w:rsid w:val="00F54DD7"/>
    <w:rsid w:val="00F6040E"/>
    <w:rsid w:val="00F622FE"/>
    <w:rsid w:val="00F63E07"/>
    <w:rsid w:val="00F6561A"/>
    <w:rsid w:val="00F70B5B"/>
    <w:rsid w:val="00F7206C"/>
    <w:rsid w:val="00F74426"/>
    <w:rsid w:val="00F87457"/>
    <w:rsid w:val="00F87FD0"/>
    <w:rsid w:val="00F976DD"/>
    <w:rsid w:val="00FA3D03"/>
    <w:rsid w:val="00FA5CF6"/>
    <w:rsid w:val="00FB2B33"/>
    <w:rsid w:val="00FD4F06"/>
    <w:rsid w:val="00FE41FE"/>
    <w:rsid w:val="00FE57F0"/>
    <w:rsid w:val="00FF2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81B6DB"/>
  <w15:chartTrackingRefBased/>
  <w15:docId w15:val="{56845E01-64B6-426E-B11E-397D1F154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7FC"/>
    <w:rPr>
      <w:kern w:val="0"/>
      <w14:ligatures w14:val="none"/>
    </w:rPr>
  </w:style>
  <w:style w:type="paragraph" w:styleId="Heading1">
    <w:name w:val="heading 1"/>
    <w:basedOn w:val="Normal"/>
    <w:next w:val="Normal"/>
    <w:link w:val="Heading1Char"/>
    <w:qFormat/>
    <w:rsid w:val="00310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C1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C1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0C1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0C1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0C1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0C1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0C1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C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C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C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C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0C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0C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0C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0C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0C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0C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C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C1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C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0C1A"/>
    <w:pPr>
      <w:spacing w:before="160"/>
      <w:jc w:val="center"/>
    </w:pPr>
    <w:rPr>
      <w:i/>
      <w:iCs/>
      <w:color w:val="404040" w:themeColor="text1" w:themeTint="BF"/>
    </w:rPr>
  </w:style>
  <w:style w:type="character" w:customStyle="1" w:styleId="QuoteChar">
    <w:name w:val="Quote Char"/>
    <w:basedOn w:val="DefaultParagraphFont"/>
    <w:link w:val="Quote"/>
    <w:uiPriority w:val="29"/>
    <w:rsid w:val="00310C1A"/>
    <w:rPr>
      <w:i/>
      <w:iCs/>
      <w:color w:val="404040" w:themeColor="text1" w:themeTint="BF"/>
    </w:rPr>
  </w:style>
  <w:style w:type="paragraph" w:styleId="ListParagraph">
    <w:name w:val="List Paragraph"/>
    <w:basedOn w:val="Normal"/>
    <w:uiPriority w:val="34"/>
    <w:qFormat/>
    <w:rsid w:val="00310C1A"/>
    <w:pPr>
      <w:ind w:left="720"/>
      <w:contextualSpacing/>
    </w:pPr>
  </w:style>
  <w:style w:type="character" w:styleId="IntenseEmphasis">
    <w:name w:val="Intense Emphasis"/>
    <w:basedOn w:val="DefaultParagraphFont"/>
    <w:uiPriority w:val="21"/>
    <w:qFormat/>
    <w:rsid w:val="00310C1A"/>
    <w:rPr>
      <w:i/>
      <w:iCs/>
      <w:color w:val="0F4761" w:themeColor="accent1" w:themeShade="BF"/>
    </w:rPr>
  </w:style>
  <w:style w:type="paragraph" w:styleId="IntenseQuote">
    <w:name w:val="Intense Quote"/>
    <w:basedOn w:val="Normal"/>
    <w:next w:val="Normal"/>
    <w:link w:val="IntenseQuoteChar"/>
    <w:uiPriority w:val="30"/>
    <w:qFormat/>
    <w:rsid w:val="00310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C1A"/>
    <w:rPr>
      <w:i/>
      <w:iCs/>
      <w:color w:val="0F4761" w:themeColor="accent1" w:themeShade="BF"/>
    </w:rPr>
  </w:style>
  <w:style w:type="character" w:styleId="IntenseReference">
    <w:name w:val="Intense Reference"/>
    <w:basedOn w:val="DefaultParagraphFont"/>
    <w:uiPriority w:val="32"/>
    <w:qFormat/>
    <w:rsid w:val="00310C1A"/>
    <w:rPr>
      <w:b/>
      <w:bCs/>
      <w:smallCaps/>
      <w:color w:val="0F4761" w:themeColor="accent1" w:themeShade="BF"/>
      <w:spacing w:val="5"/>
    </w:rPr>
  </w:style>
  <w:style w:type="character" w:styleId="Hyperlink">
    <w:name w:val="Hyperlink"/>
    <w:basedOn w:val="DefaultParagraphFont"/>
    <w:uiPriority w:val="99"/>
    <w:unhideWhenUsed/>
    <w:rsid w:val="00F277FC"/>
    <w:rPr>
      <w:color w:val="467886" w:themeColor="hyperlink"/>
      <w:u w:val="single"/>
    </w:rPr>
  </w:style>
  <w:style w:type="paragraph" w:styleId="Footer">
    <w:name w:val="footer"/>
    <w:basedOn w:val="Normal"/>
    <w:link w:val="FooterChar"/>
    <w:uiPriority w:val="99"/>
    <w:unhideWhenUsed/>
    <w:rsid w:val="00F27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7FC"/>
    <w:rPr>
      <w:kern w:val="0"/>
      <w14:ligatures w14:val="none"/>
    </w:rPr>
  </w:style>
  <w:style w:type="character" w:styleId="UnresolvedMention">
    <w:name w:val="Unresolved Mention"/>
    <w:basedOn w:val="DefaultParagraphFont"/>
    <w:uiPriority w:val="99"/>
    <w:semiHidden/>
    <w:unhideWhenUsed/>
    <w:rsid w:val="004B6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ayscale.com/research/US/Job=Office_Manager/Hourly_Rate" TargetMode="Externa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5885</Words>
  <Characters>33550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Ambers, Deborahthalia</dc:creator>
  <cp:lastModifiedBy>Pollard, Colette</cp:lastModifiedBy>
  <cp:revision>2</cp:revision>
  <dcterms:created xsi:type="dcterms:W3CDTF">2024-08-28T17:26:00Z</dcterms:created>
  <dcterms:modified xsi:type="dcterms:W3CDTF">2024-08-28T17:26:00Z</dcterms:modified>
</cp:coreProperties>
</file>