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E55F9E" w:rsidP="00E55F9E" w14:paraId="08F7F352" w14:textId="5A186AFB">
      <w:pPr>
        <w:jc w:val="center"/>
        <w:rPr>
          <w:sz w:val="22"/>
          <w:szCs w:val="22"/>
          <w:u w:val="single"/>
        </w:rPr>
      </w:pPr>
      <w:r w:rsidRPr="00553727">
        <w:rPr>
          <w:sz w:val="22"/>
          <w:szCs w:val="22"/>
          <w:u w:val="single"/>
        </w:rPr>
        <w:t>VA FORM 29-</w:t>
      </w:r>
      <w:r>
        <w:rPr>
          <w:sz w:val="22"/>
          <w:szCs w:val="22"/>
          <w:u w:val="single"/>
        </w:rPr>
        <w:t>1546 Application for Cash Surrender or Policy Loan</w:t>
      </w:r>
    </w:p>
    <w:p w:rsidR="00E55F9E" w:rsidRPr="00E55F9E" w:rsidP="00E55F9E" w14:paraId="19D383B1" w14:textId="69A78E25">
      <w:pPr>
        <w:jc w:val="center"/>
        <w:rPr>
          <w:sz w:val="22"/>
          <w:szCs w:val="22"/>
          <w:u w:val="single"/>
        </w:rPr>
      </w:pPr>
      <w:r w:rsidRPr="00E55F9E">
        <w:rPr>
          <w:sz w:val="22"/>
          <w:szCs w:val="22"/>
          <w:u w:val="single"/>
        </w:rPr>
        <w:t>VA FORM 29-1546e</w:t>
      </w:r>
      <w:r w:rsidR="00ED3856">
        <w:rPr>
          <w:sz w:val="22"/>
          <w:szCs w:val="22"/>
          <w:u w:val="single"/>
        </w:rPr>
        <w:t xml:space="preserve"> (DocuSign)</w:t>
      </w:r>
      <w:r w:rsidRPr="00E55F9E">
        <w:rPr>
          <w:sz w:val="22"/>
          <w:szCs w:val="22"/>
          <w:u w:val="single"/>
        </w:rPr>
        <w:t xml:space="preserve"> Application for Cash Surrender</w:t>
      </w:r>
    </w:p>
    <w:p w:rsidR="00224C68" w:rsidRPr="00E55F9E" w:rsidP="00E55F9E" w14:paraId="50A79A92" w14:textId="626FE2FB">
      <w:pPr>
        <w:jc w:val="center"/>
        <w:rPr>
          <w:sz w:val="22"/>
          <w:szCs w:val="22"/>
          <w:u w:val="single"/>
        </w:rPr>
      </w:pPr>
      <w:r w:rsidRPr="00E55F9E">
        <w:rPr>
          <w:sz w:val="22"/>
          <w:szCs w:val="22"/>
          <w:u w:val="single"/>
        </w:rPr>
        <w:t>2900-0012</w:t>
      </w:r>
    </w:p>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9B7EA1" w:rsidRPr="001F5990" w:rsidP="00C8663D" w14:paraId="25068D82" w14:textId="126882E0">
            <w:pPr>
              <w:numPr>
                <w:ilvl w:val="0"/>
                <w:numId w:val="9"/>
              </w:numPr>
              <w:ind w:left="360" w:right="-720" w:hanging="360"/>
            </w:pPr>
            <w:r>
              <w:t>No comments were received in response to the 60-Day Federal Register Notice.</w:t>
            </w:r>
          </w:p>
          <w:p w:rsidR="000262E6" w:rsidP="00E55F9E" w14:paraId="1B776B98" w14:textId="38862EF8">
            <w:pPr>
              <w:numPr>
                <w:ilvl w:val="0"/>
                <w:numId w:val="9"/>
              </w:numPr>
              <w:ind w:left="360" w:right="-720" w:hanging="360"/>
            </w:pPr>
            <w:r w:rsidRPr="001E6E87">
              <w:t xml:space="preserve">Title:  </w:t>
            </w:r>
            <w:r>
              <w:t xml:space="preserve">Application for </w:t>
            </w:r>
            <w:r w:rsidR="0068795F">
              <w:t>C</w:t>
            </w:r>
            <w:r>
              <w:t>ash Surrender or Policy Loan</w:t>
            </w:r>
            <w:r w:rsidRPr="001E6E87">
              <w:t xml:space="preserve">, VA Form </w:t>
            </w:r>
            <w:r>
              <w:t>29-1546</w:t>
            </w:r>
            <w:r w:rsidR="0068795F">
              <w:t>,</w:t>
            </w:r>
            <w:r w:rsidR="009B7EA1">
              <w:t xml:space="preserve"> and</w:t>
            </w:r>
            <w:r>
              <w:t xml:space="preserve"> Application for</w:t>
            </w:r>
          </w:p>
          <w:p w:rsidR="00E55F9E" w:rsidP="000262E6" w14:paraId="53E096A4" w14:textId="495C0138">
            <w:pPr>
              <w:ind w:left="360" w:right="-720"/>
            </w:pPr>
            <w:r>
              <w:t>C</w:t>
            </w:r>
            <w:r w:rsidR="000262E6">
              <w:t>a</w:t>
            </w:r>
            <w:r>
              <w:t>sh Surrender, VA Form 29-1546e</w:t>
            </w:r>
            <w:r w:rsidR="00ED3856">
              <w:t xml:space="preserve"> (DocuSign)</w:t>
            </w:r>
            <w:r>
              <w:t>.</w:t>
            </w:r>
          </w:p>
          <w:p w:rsidR="00C8663D" w:rsidP="0068795F" w14:paraId="5D0C0481" w14:textId="77777777">
            <w:pPr>
              <w:ind w:left="360"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BB212A" w:rsidP="006309B9" w14:paraId="297D606F" w14:textId="52D08B7B">
      <w:pPr>
        <w:ind w:left="360" w:right="-720"/>
      </w:pPr>
      <w:r w:rsidRPr="006309B9">
        <w:t xml:space="preserve">These forms are used by the insured to apply for cash surrender value or policy loan on his/her insurance.  The information on these forms </w:t>
      </w:r>
      <w:r w:rsidRPr="006309B9">
        <w:t>are</w:t>
      </w:r>
      <w:r w:rsidRPr="006309B9">
        <w:t xml:space="preserve"> required by law, 38 USC 1906 and 1944, 38 CFR 6.115, 6.116, 6.117, 8.27, 6.100, 6.101 and 8.28.</w:t>
      </w:r>
    </w:p>
    <w:p w:rsidR="006309B9" w:rsidP="00125A85" w14:paraId="4A8D3CBB"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6309B9" w:rsidP="006309B9" w14:paraId="1ED73F60" w14:textId="77777777">
      <w:pPr>
        <w:ind w:left="360" w:right="-720"/>
      </w:pPr>
      <w:r w:rsidRPr="00714256">
        <w:t xml:space="preserve">The data collected on </w:t>
      </w:r>
      <w:r>
        <w:t>these</w:t>
      </w:r>
      <w:r w:rsidRPr="00714256">
        <w:t xml:space="preserve"> form</w:t>
      </w:r>
      <w:r>
        <w:t>s</w:t>
      </w:r>
      <w:r w:rsidRPr="00714256">
        <w:t xml:space="preserve"> </w:t>
      </w:r>
      <w:r>
        <w:t>are</w:t>
      </w:r>
      <w:r w:rsidRPr="00714256">
        <w:t xml:space="preserve"> used by the Department of Veterans Affairs (VA) to indicate the processing of the insured’s request for a loan or cash surrender.  </w:t>
      </w:r>
      <w:r>
        <w:t>These</w:t>
      </w:r>
      <w:r w:rsidRPr="00714256">
        <w:t xml:space="preserve"> form</w:t>
      </w:r>
      <w:r>
        <w:t>s</w:t>
      </w:r>
      <w:r w:rsidRPr="00714256">
        <w:t xml:space="preserve"> </w:t>
      </w:r>
      <w:r>
        <w:t>are</w:t>
      </w:r>
      <w:r w:rsidRPr="00714256">
        <w:t xml:space="preserve"> being revised due to the change in law informing insureds they can no longer receive paper checks. The Treasury will only send payments by direct deposit.  Additionally, Block 8 of the Loan portion of the form, the insured can inform us of how much he would like deducted from his compensation check or military retirement to reduce the loan.  The expiration date has also been added to the form</w:t>
      </w:r>
      <w:r>
        <w:t>s</w:t>
      </w:r>
      <w:r w:rsidRPr="00714256">
        <w:t>.</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6309B9" w:rsidP="006309B9" w14:paraId="64E0F2EE" w14:textId="77777777">
      <w:pPr>
        <w:ind w:left="360" w:right="-720"/>
      </w:pPr>
      <w:r w:rsidRPr="00714256">
        <w:t>VA Form 29-1546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6309B9" w:rsidP="006309B9" w14:paraId="24D47139" w14:textId="77777777">
      <w:pPr>
        <w:ind w:left="720" w:right="-720"/>
      </w:pPr>
    </w:p>
    <w:p w:rsidR="006309B9" w:rsidP="006309B9" w14:paraId="05086C9B" w14:textId="77777777">
      <w:pPr>
        <w:ind w:left="360" w:right="-720"/>
      </w:pPr>
      <w:r>
        <w:t>The 29-1546e is an electronic version of the 29-1546 and supports digital signature through VA approved DocuSign.  This form is for Cash Surrenders only and will not be available on any VBA websites.</w:t>
      </w:r>
    </w:p>
    <w:p w:rsidR="006309B9" w:rsidP="006309B9" w14:paraId="6BFBB6CE" w14:textId="77777777">
      <w:pPr>
        <w:ind w:left="360" w:right="-720"/>
      </w:pP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6309B9" w:rsidP="006309B9" w14:paraId="6477419F" w14:textId="77777777">
      <w:pPr>
        <w:ind w:left="360" w:right="-720"/>
      </w:pPr>
      <w:r>
        <w:t>These forms are</w:t>
      </w:r>
      <w:r w:rsidRPr="00714256">
        <w:t xml:space="preserve"> designed for use by the insured to establish his/her eligibility to obtain a loan or cash surrender.</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0C80B7E1">
      <w:pPr>
        <w:overflowPunct w:val="0"/>
        <w:autoSpaceDE w:val="0"/>
        <w:autoSpaceDN w:val="0"/>
        <w:adjustRightInd w:val="0"/>
        <w:ind w:left="360"/>
        <w:textAlignment w:val="baseline"/>
      </w:pPr>
      <w:r>
        <w:t>A 60-Day Federal Register Notice for the collection published on</w:t>
      </w:r>
      <w:r w:rsidR="0021134C">
        <w:t xml:space="preserve"> </w:t>
      </w:r>
      <w:r w:rsidR="005F2917">
        <w:t>Tuesday,</w:t>
      </w:r>
      <w:r>
        <w:t xml:space="preserve"> </w:t>
      </w:r>
      <w:r w:rsidR="0069530C">
        <w:t>September 10, 2024</w:t>
      </w:r>
      <w:r>
        <w:t xml:space="preserve">.  The 60-Day FRN citation is </w:t>
      </w:r>
      <w:r w:rsidR="00D173EE">
        <w:t>Vol</w:t>
      </w:r>
      <w:r w:rsidR="005F2917">
        <w:t>ume</w:t>
      </w:r>
      <w:r w:rsidR="00D173EE">
        <w:t xml:space="preserve"> </w:t>
      </w:r>
      <w:r w:rsidR="0069530C">
        <w:t>89</w:t>
      </w:r>
      <w:r w:rsidR="000C665E">
        <w:t xml:space="preserve"> </w:t>
      </w:r>
      <w:r>
        <w:t xml:space="preserve">FRN </w:t>
      </w:r>
      <w:r w:rsidR="0069530C">
        <w:t>73507</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D3EA4BB" w14:textId="69F2FE3B">
      <w:pPr>
        <w:overflowPunct w:val="0"/>
        <w:autoSpaceDE w:val="0"/>
        <w:autoSpaceDN w:val="0"/>
        <w:adjustRightInd w:val="0"/>
        <w:ind w:left="360"/>
        <w:textAlignment w:val="baseline"/>
      </w:pPr>
      <w:r>
        <w:t xml:space="preserve">A 30-Day Federal Register Notice for the collection published on </w:t>
      </w:r>
      <w:r w:rsidR="005F2917">
        <w:t>Monday</w:t>
      </w:r>
      <w:r>
        <w:t xml:space="preserve">, </w:t>
      </w:r>
      <w:r w:rsidR="005F2917">
        <w:t>November 18</w:t>
      </w:r>
      <w:r>
        <w:t xml:space="preserve">, </w:t>
      </w:r>
      <w:r w:rsidR="00E80C52">
        <w:t>2024</w:t>
      </w:r>
      <w:r>
        <w:t xml:space="preserve">.  The 30-Day FRN citation is </w:t>
      </w:r>
      <w:r w:rsidR="00E80C52">
        <w:t>Volume 89</w:t>
      </w:r>
      <w:r>
        <w:t xml:space="preserve"> FRN </w:t>
      </w:r>
      <w:r w:rsidR="00E80C52">
        <w:t>90834</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6309B9" w:rsidRPr="00187B51" w:rsidP="006309B9" w14:paraId="6061D589" w14:textId="77777777">
      <w:pPr>
        <w:ind w:right="-720" w:firstLine="360"/>
      </w:pPr>
      <w:r>
        <w:t xml:space="preserve">The information collected is supplied by the respondent.  No remuneration is made.  </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77F6C222">
      <w:pPr>
        <w:numPr>
          <w:ilvl w:val="1"/>
          <w:numId w:val="13"/>
        </w:numPr>
        <w:overflowPunct w:val="0"/>
        <w:autoSpaceDE w:val="0"/>
        <w:autoSpaceDN w:val="0"/>
        <w:adjustRightInd w:val="0"/>
        <w:spacing w:after="120"/>
        <w:textAlignment w:val="baseline"/>
      </w:pPr>
      <w:r>
        <w:t xml:space="preserve">Number of Respondents: </w:t>
      </w:r>
      <w:r w:rsidR="006309B9">
        <w:t>29,636</w:t>
      </w:r>
    </w:p>
    <w:p w:rsidR="00176D9C" w:rsidP="00C33614" w14:paraId="7D4F6570" w14:textId="6FE9B3ED">
      <w:pPr>
        <w:numPr>
          <w:ilvl w:val="1"/>
          <w:numId w:val="13"/>
        </w:numPr>
        <w:overflowPunct w:val="0"/>
        <w:autoSpaceDE w:val="0"/>
        <w:autoSpaceDN w:val="0"/>
        <w:adjustRightInd w:val="0"/>
        <w:spacing w:after="120"/>
        <w:textAlignment w:val="baseline"/>
      </w:pPr>
      <w:r>
        <w:t>Frequency of Response: On occasion</w:t>
      </w:r>
    </w:p>
    <w:p w:rsidR="00176D9C" w:rsidP="00C33614" w14:paraId="69F38414" w14:textId="3CCE8720">
      <w:pPr>
        <w:numPr>
          <w:ilvl w:val="1"/>
          <w:numId w:val="13"/>
        </w:numPr>
        <w:overflowPunct w:val="0"/>
        <w:autoSpaceDE w:val="0"/>
        <w:autoSpaceDN w:val="0"/>
        <w:adjustRightInd w:val="0"/>
        <w:spacing w:after="120"/>
        <w:textAlignment w:val="baseline"/>
      </w:pPr>
      <w:r>
        <w:t xml:space="preserve">Annual Burden Hours: </w:t>
      </w:r>
      <w:r w:rsidR="006309B9">
        <w:t>4,939</w:t>
      </w:r>
      <w:r>
        <w:t xml:space="preserve"> hours</w:t>
      </w:r>
    </w:p>
    <w:p w:rsidR="00176D9C" w:rsidP="00C33614" w14:paraId="3E1EDFFD" w14:textId="473EE3E8">
      <w:pPr>
        <w:numPr>
          <w:ilvl w:val="1"/>
          <w:numId w:val="13"/>
        </w:numPr>
        <w:overflowPunct w:val="0"/>
        <w:autoSpaceDE w:val="0"/>
        <w:autoSpaceDN w:val="0"/>
        <w:adjustRightInd w:val="0"/>
        <w:spacing w:after="120"/>
        <w:textAlignment w:val="baseline"/>
      </w:pPr>
      <w:r>
        <w:t xml:space="preserve">Estimated Completion Time: </w:t>
      </w:r>
      <w:r w:rsidR="006309B9">
        <w:t>10</w:t>
      </w:r>
      <w:r>
        <w:t xml:space="preserve"> </w:t>
      </w:r>
      <w:r>
        <w:t>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78012A08">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6309B9">
        <w:rPr>
          <w:b/>
          <w:bCs/>
          <w:u w:val="single"/>
        </w:rPr>
        <w:t>155,480</w:t>
      </w:r>
      <w:r w:rsidRPr="00EC2788" w:rsidR="00EC2788">
        <w:t xml:space="preserve"> </w:t>
      </w:r>
      <w:r w:rsidRPr="00EC2788" w:rsidR="00C53ED9">
        <w:t>(</w:t>
      </w:r>
      <w:r w:rsidR="006309B9">
        <w:t>4,939</w:t>
      </w:r>
      <w:r w:rsidRPr="00EC2788" w:rsidR="00C53ED9">
        <w:t xml:space="preserve"> burden hours x $</w:t>
      </w:r>
      <w:r w:rsidR="00A02229">
        <w:t>31.48</w:t>
      </w:r>
      <w:r w:rsidRPr="00EC2788" w:rsidR="00C53ED9">
        <w:t xml:space="preserve"> per hour).</w:t>
      </w:r>
    </w:p>
    <w:p w:rsidR="000C665E" w:rsidP="006309B9" w14:paraId="479769FD" w14:textId="77777777">
      <w:pPr>
        <w:pStyle w:val="ListParagraph"/>
        <w:spacing w:after="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6309B9" w:rsidP="00125A85" w14:paraId="03B85EEE" w14:textId="77777777">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16DCFE97">
            <w:pPr>
              <w:rPr>
                <w:color w:val="000000"/>
              </w:rPr>
            </w:pPr>
            <w:r>
              <w:rPr>
                <w:color w:val="000000"/>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023226DD">
            <w:pPr>
              <w:rPr>
                <w:color w:val="000000"/>
              </w:rPr>
            </w:pPr>
            <w:r>
              <w:rPr>
                <w:color w:val="000000"/>
              </w:rPr>
              <w:t>.</w:t>
            </w:r>
            <w:r w:rsidR="006309B9">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4F3D666D">
            <w:pPr>
              <w:rPr>
                <w:color w:val="000000"/>
              </w:rPr>
            </w:pPr>
            <w:r w:rsidRPr="00AB6B86">
              <w:rPr>
                <w:color w:val="000000"/>
              </w:rPr>
              <w:t>$</w:t>
            </w:r>
            <w:r w:rsidR="006309B9">
              <w:rPr>
                <w:color w:val="000000"/>
              </w:rPr>
              <w:t>4.46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1B206D4F">
            <w:pPr>
              <w:rPr>
                <w:color w:val="000000"/>
              </w:rPr>
            </w:pPr>
            <w:r>
              <w:rPr>
                <w:color w:val="000000"/>
              </w:rPr>
              <w:t>   </w:t>
            </w:r>
            <w:r w:rsidR="006309B9">
              <w:rPr>
                <w:color w:val="000000"/>
              </w:rPr>
              <w:t>29,636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346108F6">
            <w:pPr>
              <w:jc w:val="right"/>
              <w:rPr>
                <w:color w:val="000000"/>
              </w:rPr>
            </w:pPr>
            <w:r w:rsidRPr="00AB6B86">
              <w:rPr>
                <w:color w:val="000000"/>
              </w:rPr>
              <w:t>$</w:t>
            </w:r>
            <w:r w:rsidR="006309B9">
              <w:rPr>
                <w:color w:val="000000"/>
              </w:rPr>
              <w:t>132,177</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5AC0F2DF">
            <w:pPr>
              <w:jc w:val="right"/>
              <w:rPr>
                <w:color w:val="000000"/>
              </w:rPr>
            </w:pPr>
            <w:r w:rsidRPr="00AB6B86">
              <w:rPr>
                <w:color w:val="000000"/>
              </w:rPr>
              <w:t>$</w:t>
            </w:r>
            <w:r w:rsidR="006309B9">
              <w:rPr>
                <w:color w:val="000000"/>
              </w:rPr>
              <w:t>132,177</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42F088AA">
            <w:pPr>
              <w:rPr>
                <w:color w:val="000000"/>
              </w:rPr>
            </w:pPr>
            <w:r>
              <w:rPr>
                <w:color w:val="000000"/>
              </w:rPr>
              <w:t>   </w:t>
            </w:r>
            <w:r w:rsidR="006309B9">
              <w:rPr>
                <w:color w:val="000000"/>
              </w:rPr>
              <w:t>29,636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24B3037E">
            <w:pPr>
              <w:jc w:val="right"/>
              <w:rPr>
                <w:color w:val="000000"/>
              </w:rPr>
            </w:pPr>
            <w:r w:rsidRPr="00AB6B86">
              <w:rPr>
                <w:color w:val="000000"/>
              </w:rPr>
              <w:t>$</w:t>
            </w:r>
            <w:r w:rsidR="006309B9">
              <w:rPr>
                <w:color w:val="000000"/>
              </w:rPr>
              <w:t>15,411</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418FE389">
            <w:pPr>
              <w:jc w:val="right"/>
              <w:rPr>
                <w:color w:val="000000"/>
              </w:rPr>
            </w:pPr>
            <w:r w:rsidRPr="00AB6B86">
              <w:rPr>
                <w:color w:val="000000"/>
              </w:rPr>
              <w:t>$</w:t>
            </w:r>
            <w:r>
              <w:rPr>
                <w:color w:val="000000"/>
              </w:rPr>
              <w:t>15,411</w:t>
            </w:r>
            <w:r w:rsidRPr="00AB6B86" w:rsidR="00CE18D9">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085B1E25">
            <w:pPr>
              <w:rPr>
                <w:color w:val="000000"/>
              </w:rPr>
            </w:pPr>
            <w:r>
              <w:rPr>
                <w:color w:val="000000"/>
              </w:rPr>
              <w:t xml:space="preserve">   </w:t>
            </w:r>
            <w:r w:rsidR="006309B9">
              <w:rPr>
                <w:color w:val="000000"/>
              </w:rPr>
              <w:t>29,636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7E5ED9F0">
            <w:pPr>
              <w:jc w:val="right"/>
              <w:rPr>
                <w:color w:val="000000"/>
              </w:rPr>
            </w:pPr>
            <w:r w:rsidRPr="00AB6B86">
              <w:rPr>
                <w:color w:val="000000"/>
              </w:rPr>
              <w:t>$</w:t>
            </w:r>
            <w:r w:rsidR="006309B9">
              <w:rPr>
                <w:color w:val="000000"/>
              </w:rPr>
              <w:t>13,633</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667F68AD">
            <w:pPr>
              <w:jc w:val="right"/>
              <w:rPr>
                <w:color w:val="000000"/>
              </w:rPr>
            </w:pPr>
            <w:r w:rsidRPr="00AB6B86">
              <w:rPr>
                <w:color w:val="000000"/>
              </w:rPr>
              <w:t>$</w:t>
            </w:r>
            <w:r w:rsidR="006309B9">
              <w:rPr>
                <w:color w:val="000000"/>
              </w:rPr>
              <w:t>13,633</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4B981DA7">
            <w:pPr>
              <w:jc w:val="right"/>
              <w:rPr>
                <w:color w:val="000000"/>
              </w:rPr>
            </w:pPr>
            <w:r w:rsidRPr="00AB6B86">
              <w:rPr>
                <w:color w:val="000000"/>
              </w:rPr>
              <w:t>$</w:t>
            </w:r>
            <w:r w:rsidR="00FE0F01">
              <w:rPr>
                <w:color w:val="000000"/>
              </w:rPr>
              <w:t>322442</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47B0F79F">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45E94176">
            <w:pPr>
              <w:jc w:val="right"/>
              <w:rPr>
                <w:rFonts w:eastAsia="Calibri"/>
                <w:color w:val="000000"/>
                <w:sz w:val="22"/>
                <w:szCs w:val="22"/>
              </w:rPr>
            </w:pPr>
            <w:r>
              <w:rPr>
                <w:color w:val="000000"/>
              </w:rPr>
              <w:t>$</w:t>
            </w:r>
            <w:r w:rsidR="00FE0F01">
              <w:rPr>
                <w:color w:val="000000"/>
              </w:rPr>
              <w:t>322,496</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176D9C" w14:paraId="24DF68EC" w14:textId="4EC4F2B1">
      <w:r>
        <w:tab/>
      </w:r>
      <w:r>
        <w:tab/>
        <w:t xml:space="preserve"> </w:t>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882563" w:rsidP="00FC40CA" w14:paraId="2EFE0517" w14:textId="77777777">
      <w:pPr>
        <w:ind w:firstLine="360"/>
        <w:rPr>
          <w:color w:val="FF0000"/>
        </w:rPr>
      </w:pPr>
      <w:r w:rsidRPr="00FC40CA">
        <w:t>There is no change in respondent burden</w:t>
      </w:r>
      <w:r w:rsidRPr="00882563">
        <w:rPr>
          <w:color w:val="FF0000"/>
        </w:rPr>
        <w:t>.</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FC40CA" w14:paraId="7BDC2B37" w14:textId="1982F4D5">
      <w:pPr>
        <w:ind w:left="360" w:right="-720"/>
      </w:pPr>
      <w:r>
        <w:t>The information is collected for insurance purposes only and there are no plans for publication.</w:t>
      </w:r>
    </w:p>
    <w:p w:rsidR="00176D9C" w14:paraId="4872D0D2" w14:textId="77777777">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FC40CA" w:rsidP="00FC40CA" w14:paraId="453F9811" w14:textId="77777777">
      <w:pPr>
        <w:ind w:right="-720" w:firstLine="360"/>
      </w:pPr>
      <w:r>
        <w:t xml:space="preserve">We are not seeking approval to omit the expiration date for OMB approval.  </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FC40CA" w:rsidP="00FC40CA" w14:paraId="7C0A09B6" w14:textId="77777777">
      <w:pPr>
        <w:ind w:firstLine="360"/>
      </w:pPr>
      <w:r>
        <w:t>This submission does not contain any exceptions to the certification statement.</w:t>
      </w:r>
    </w:p>
    <w:p w:rsidR="00E42780" w:rsidP="00FC40CA" w14:paraId="724A49FF" w14:textId="5BDB02DF">
      <w:pPr>
        <w:ind w:right="-720" w:firstLine="360"/>
      </w:pP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262E6"/>
    <w:rsid w:val="00034747"/>
    <w:rsid w:val="00040990"/>
    <w:rsid w:val="0007467F"/>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1134C"/>
    <w:rsid w:val="00224C68"/>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647C"/>
    <w:rsid w:val="003D34B9"/>
    <w:rsid w:val="0041612F"/>
    <w:rsid w:val="00452C53"/>
    <w:rsid w:val="00486D6A"/>
    <w:rsid w:val="004E3EAA"/>
    <w:rsid w:val="004F367C"/>
    <w:rsid w:val="005118FC"/>
    <w:rsid w:val="00515875"/>
    <w:rsid w:val="00521A78"/>
    <w:rsid w:val="0054468C"/>
    <w:rsid w:val="00544E50"/>
    <w:rsid w:val="00553727"/>
    <w:rsid w:val="005649C9"/>
    <w:rsid w:val="005749DA"/>
    <w:rsid w:val="00586435"/>
    <w:rsid w:val="005B0D87"/>
    <w:rsid w:val="005B4EC5"/>
    <w:rsid w:val="005C5802"/>
    <w:rsid w:val="005D5EBB"/>
    <w:rsid w:val="005F2917"/>
    <w:rsid w:val="00600466"/>
    <w:rsid w:val="00604766"/>
    <w:rsid w:val="006139BA"/>
    <w:rsid w:val="006309B9"/>
    <w:rsid w:val="00636107"/>
    <w:rsid w:val="006541B5"/>
    <w:rsid w:val="0066365C"/>
    <w:rsid w:val="0068795F"/>
    <w:rsid w:val="00693B0B"/>
    <w:rsid w:val="0069530C"/>
    <w:rsid w:val="006B6AE4"/>
    <w:rsid w:val="006C02FC"/>
    <w:rsid w:val="006E527A"/>
    <w:rsid w:val="007073BD"/>
    <w:rsid w:val="00714256"/>
    <w:rsid w:val="00767ABA"/>
    <w:rsid w:val="00791297"/>
    <w:rsid w:val="007B1D06"/>
    <w:rsid w:val="007B581E"/>
    <w:rsid w:val="007D0F41"/>
    <w:rsid w:val="007F1099"/>
    <w:rsid w:val="007F2242"/>
    <w:rsid w:val="00806417"/>
    <w:rsid w:val="00815EF2"/>
    <w:rsid w:val="008229D3"/>
    <w:rsid w:val="00844C42"/>
    <w:rsid w:val="0086151A"/>
    <w:rsid w:val="00882563"/>
    <w:rsid w:val="00883D2D"/>
    <w:rsid w:val="00892029"/>
    <w:rsid w:val="008E525B"/>
    <w:rsid w:val="008F2BFC"/>
    <w:rsid w:val="008F73A6"/>
    <w:rsid w:val="00970F00"/>
    <w:rsid w:val="00986633"/>
    <w:rsid w:val="009A0BF3"/>
    <w:rsid w:val="009B7EA1"/>
    <w:rsid w:val="00A02229"/>
    <w:rsid w:val="00A2463A"/>
    <w:rsid w:val="00A31C3D"/>
    <w:rsid w:val="00A73E23"/>
    <w:rsid w:val="00A80154"/>
    <w:rsid w:val="00AB6B86"/>
    <w:rsid w:val="00AF63CC"/>
    <w:rsid w:val="00B0105C"/>
    <w:rsid w:val="00B20FFA"/>
    <w:rsid w:val="00B37B10"/>
    <w:rsid w:val="00B64A87"/>
    <w:rsid w:val="00B852B9"/>
    <w:rsid w:val="00BA3EA4"/>
    <w:rsid w:val="00BA6B61"/>
    <w:rsid w:val="00BB212A"/>
    <w:rsid w:val="00C135F2"/>
    <w:rsid w:val="00C162B0"/>
    <w:rsid w:val="00C16A5F"/>
    <w:rsid w:val="00C3347D"/>
    <w:rsid w:val="00C33614"/>
    <w:rsid w:val="00C53ED9"/>
    <w:rsid w:val="00C652D9"/>
    <w:rsid w:val="00C7194B"/>
    <w:rsid w:val="00C8663D"/>
    <w:rsid w:val="00CA3771"/>
    <w:rsid w:val="00CB1264"/>
    <w:rsid w:val="00CD7DC3"/>
    <w:rsid w:val="00CE18D9"/>
    <w:rsid w:val="00CE550F"/>
    <w:rsid w:val="00CF5945"/>
    <w:rsid w:val="00CF6B80"/>
    <w:rsid w:val="00D15B1F"/>
    <w:rsid w:val="00D173EE"/>
    <w:rsid w:val="00D17DC4"/>
    <w:rsid w:val="00D3433F"/>
    <w:rsid w:val="00D45F1B"/>
    <w:rsid w:val="00D739E4"/>
    <w:rsid w:val="00D81661"/>
    <w:rsid w:val="00D84D8F"/>
    <w:rsid w:val="00D96175"/>
    <w:rsid w:val="00D9699E"/>
    <w:rsid w:val="00DF2B18"/>
    <w:rsid w:val="00E26200"/>
    <w:rsid w:val="00E42780"/>
    <w:rsid w:val="00E55F9E"/>
    <w:rsid w:val="00E6451B"/>
    <w:rsid w:val="00E80C52"/>
    <w:rsid w:val="00E86FB8"/>
    <w:rsid w:val="00E87688"/>
    <w:rsid w:val="00E94953"/>
    <w:rsid w:val="00EC2788"/>
    <w:rsid w:val="00ED3856"/>
    <w:rsid w:val="00EE4E09"/>
    <w:rsid w:val="00F00568"/>
    <w:rsid w:val="00F47D99"/>
    <w:rsid w:val="00F50E0D"/>
    <w:rsid w:val="00F52865"/>
    <w:rsid w:val="00F53576"/>
    <w:rsid w:val="00F84310"/>
    <w:rsid w:val="00F917F1"/>
    <w:rsid w:val="00F95AA2"/>
    <w:rsid w:val="00FA2524"/>
    <w:rsid w:val="00FA581D"/>
    <w:rsid w:val="00FC40CA"/>
    <w:rsid w:val="00FD18B0"/>
    <w:rsid w:val="00FE0F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Kessinger, Nancy J., VBAVACO</cp:lastModifiedBy>
  <cp:revision>2</cp:revision>
  <cp:lastPrinted>2010-01-07T19:39:00Z</cp:lastPrinted>
  <dcterms:created xsi:type="dcterms:W3CDTF">2024-11-18T12:27:00Z</dcterms:created>
  <dcterms:modified xsi:type="dcterms:W3CDTF">2024-11-18T12:27:00Z</dcterms:modified>
</cp:coreProperties>
</file>