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716C9" w:rsidRPr="00E716C9" w:rsidP="00E716C9" w14:paraId="744DEEE1" w14:textId="77777777">
      <w:pPr>
        <w:widowControl w:val="0"/>
        <w:spacing w:after="0" w:line="240" w:lineRule="auto"/>
        <w:jc w:val="center"/>
        <w:rPr>
          <w:rFonts w:eastAsia="Arial" w:asciiTheme="majorHAnsi" w:hAnsiTheme="majorHAnsi" w:cs="Times New Roman"/>
          <w:b/>
          <w:sz w:val="24"/>
          <w:szCs w:val="24"/>
        </w:rPr>
      </w:pPr>
      <w:r w:rsidRPr="00E716C9">
        <w:rPr>
          <w:rFonts w:eastAsia="Arial" w:asciiTheme="majorHAnsi" w:hAnsiTheme="majorHAnsi" w:cs="Times New Roman"/>
          <w:b/>
          <w:sz w:val="24"/>
          <w:szCs w:val="24"/>
        </w:rPr>
        <w:t>Supporting</w:t>
      </w:r>
      <w:r w:rsidRPr="00E716C9">
        <w:rPr>
          <w:rFonts w:eastAsia="Arial" w:asciiTheme="majorHAnsi" w:hAnsiTheme="majorHAnsi" w:cs="Times New Roman"/>
          <w:b/>
          <w:spacing w:val="28"/>
          <w:sz w:val="24"/>
          <w:szCs w:val="24"/>
        </w:rPr>
        <w:t xml:space="preserve"> </w:t>
      </w:r>
      <w:r w:rsidRPr="00E716C9">
        <w:rPr>
          <w:rFonts w:eastAsia="Arial" w:asciiTheme="majorHAnsi" w:hAnsiTheme="majorHAnsi" w:cs="Times New Roman"/>
          <w:b/>
          <w:sz w:val="24"/>
          <w:szCs w:val="24"/>
        </w:rPr>
        <w:t>Statement</w:t>
      </w:r>
      <w:r w:rsidRPr="00E716C9">
        <w:rPr>
          <w:rFonts w:eastAsia="Arial" w:asciiTheme="majorHAnsi" w:hAnsiTheme="majorHAnsi" w:cs="Times New Roman"/>
          <w:b/>
          <w:spacing w:val="18"/>
          <w:sz w:val="24"/>
          <w:szCs w:val="24"/>
        </w:rPr>
        <w:t xml:space="preserve"> </w:t>
      </w:r>
      <w:r w:rsidRPr="00E716C9">
        <w:rPr>
          <w:rFonts w:eastAsia="Arial" w:asciiTheme="majorHAnsi" w:hAnsiTheme="majorHAnsi" w:cs="Times New Roman"/>
          <w:b/>
          <w:sz w:val="24"/>
          <w:szCs w:val="24"/>
        </w:rPr>
        <w:t>for</w:t>
      </w:r>
    </w:p>
    <w:p w:rsidR="00E716C9" w:rsidRPr="00E716C9" w:rsidP="00E716C9" w14:paraId="6CD21A62" w14:textId="77777777">
      <w:pPr>
        <w:widowControl w:val="0"/>
        <w:spacing w:after="0" w:line="240" w:lineRule="auto"/>
        <w:jc w:val="center"/>
        <w:rPr>
          <w:rFonts w:eastAsia="Arial" w:asciiTheme="majorHAnsi" w:hAnsiTheme="majorHAnsi" w:cs="Times New Roman"/>
          <w:b/>
          <w:sz w:val="24"/>
          <w:szCs w:val="24"/>
        </w:rPr>
      </w:pPr>
      <w:r w:rsidRPr="00E716C9">
        <w:rPr>
          <w:rFonts w:eastAsia="Arial" w:asciiTheme="majorHAnsi" w:hAnsiTheme="majorHAnsi" w:cs="Times New Roman"/>
          <w:b/>
          <w:sz w:val="24"/>
          <w:szCs w:val="24"/>
        </w:rPr>
        <w:t>Department</w:t>
      </w:r>
      <w:r w:rsidRPr="00E716C9">
        <w:rPr>
          <w:rFonts w:eastAsia="Arial" w:asciiTheme="majorHAnsi" w:hAnsiTheme="majorHAnsi" w:cs="Times New Roman"/>
          <w:b/>
          <w:spacing w:val="20"/>
          <w:sz w:val="24"/>
          <w:szCs w:val="24"/>
        </w:rPr>
        <w:t xml:space="preserve"> </w:t>
      </w:r>
      <w:r w:rsidRPr="00E716C9">
        <w:rPr>
          <w:rFonts w:eastAsia="Arial" w:asciiTheme="majorHAnsi" w:hAnsiTheme="majorHAnsi" w:cs="Times New Roman"/>
          <w:b/>
          <w:sz w:val="24"/>
          <w:szCs w:val="24"/>
        </w:rPr>
        <w:t>of</w:t>
      </w:r>
      <w:r w:rsidRPr="00E716C9">
        <w:rPr>
          <w:rFonts w:eastAsia="Arial" w:asciiTheme="majorHAnsi" w:hAnsiTheme="majorHAnsi" w:cs="Times New Roman"/>
          <w:b/>
          <w:spacing w:val="-2"/>
          <w:sz w:val="24"/>
          <w:szCs w:val="24"/>
        </w:rPr>
        <w:t xml:space="preserve"> </w:t>
      </w:r>
      <w:r w:rsidRPr="00E716C9">
        <w:rPr>
          <w:rFonts w:eastAsia="Arial" w:asciiTheme="majorHAnsi" w:hAnsiTheme="majorHAnsi" w:cs="Times New Roman"/>
          <w:b/>
          <w:sz w:val="24"/>
          <w:szCs w:val="24"/>
        </w:rPr>
        <w:t>Veterans</w:t>
      </w:r>
      <w:r w:rsidRPr="00E716C9">
        <w:rPr>
          <w:rFonts w:eastAsia="Arial" w:asciiTheme="majorHAnsi" w:hAnsiTheme="majorHAnsi" w:cs="Times New Roman"/>
          <w:b/>
          <w:spacing w:val="18"/>
          <w:sz w:val="24"/>
          <w:szCs w:val="24"/>
        </w:rPr>
        <w:t xml:space="preserve"> </w:t>
      </w:r>
      <w:r w:rsidRPr="00E716C9">
        <w:rPr>
          <w:rFonts w:eastAsia="Arial" w:asciiTheme="majorHAnsi" w:hAnsiTheme="majorHAnsi" w:cs="Times New Roman"/>
          <w:b/>
          <w:sz w:val="24"/>
          <w:szCs w:val="24"/>
        </w:rPr>
        <w:t>Affairs</w:t>
      </w:r>
      <w:r w:rsidRPr="00E716C9">
        <w:rPr>
          <w:rFonts w:eastAsia="Arial" w:asciiTheme="majorHAnsi" w:hAnsiTheme="majorHAnsi" w:cs="Times New Roman"/>
          <w:b/>
          <w:spacing w:val="24"/>
          <w:sz w:val="24"/>
          <w:szCs w:val="24"/>
        </w:rPr>
        <w:t xml:space="preserve"> </w:t>
      </w:r>
      <w:r w:rsidRPr="00E716C9">
        <w:rPr>
          <w:rFonts w:eastAsia="Arial" w:asciiTheme="majorHAnsi" w:hAnsiTheme="majorHAnsi" w:cs="Times New Roman"/>
          <w:b/>
          <w:sz w:val="24"/>
          <w:szCs w:val="24"/>
        </w:rPr>
        <w:t>Acquisition</w:t>
      </w:r>
      <w:r w:rsidRPr="00E716C9">
        <w:rPr>
          <w:rFonts w:eastAsia="Arial" w:asciiTheme="majorHAnsi" w:hAnsiTheme="majorHAnsi" w:cs="Times New Roman"/>
          <w:b/>
          <w:spacing w:val="37"/>
          <w:sz w:val="24"/>
          <w:szCs w:val="24"/>
        </w:rPr>
        <w:t xml:space="preserve"> </w:t>
      </w:r>
      <w:r w:rsidRPr="00E716C9">
        <w:rPr>
          <w:rFonts w:eastAsia="Arial" w:asciiTheme="majorHAnsi" w:hAnsiTheme="majorHAnsi" w:cs="Times New Roman"/>
          <w:b/>
          <w:sz w:val="24"/>
          <w:szCs w:val="24"/>
        </w:rPr>
        <w:t>Regulation</w:t>
      </w:r>
      <w:r w:rsidRPr="00E716C9">
        <w:rPr>
          <w:rFonts w:eastAsia="Arial" w:asciiTheme="majorHAnsi" w:hAnsiTheme="majorHAnsi" w:cs="Times New Roman"/>
          <w:b/>
          <w:spacing w:val="17"/>
          <w:sz w:val="24"/>
          <w:szCs w:val="24"/>
        </w:rPr>
        <w:t xml:space="preserve"> </w:t>
      </w:r>
      <w:r w:rsidRPr="00E716C9">
        <w:rPr>
          <w:rFonts w:eastAsia="Arial" w:asciiTheme="majorHAnsi" w:hAnsiTheme="majorHAnsi" w:cs="Times New Roman"/>
          <w:b/>
          <w:sz w:val="24"/>
          <w:szCs w:val="24"/>
        </w:rPr>
        <w:t>(VAAR)</w:t>
      </w:r>
    </w:p>
    <w:p w:rsidR="009F61F9" w:rsidP="00E716C9" w14:paraId="0716DBDF" w14:textId="77777777">
      <w:pPr>
        <w:widowControl w:val="0"/>
        <w:spacing w:after="0" w:line="240" w:lineRule="auto"/>
        <w:ind w:right="37"/>
        <w:jc w:val="center"/>
        <w:rPr>
          <w:rFonts w:eastAsia="Arial" w:asciiTheme="majorHAnsi" w:hAnsiTheme="majorHAnsi" w:cs="Times New Roman"/>
          <w:b/>
          <w:sz w:val="24"/>
          <w:szCs w:val="24"/>
        </w:rPr>
      </w:pPr>
      <w:r w:rsidRPr="009F61F9">
        <w:rPr>
          <w:rFonts w:eastAsia="Arial" w:asciiTheme="majorHAnsi" w:hAnsiTheme="majorHAnsi" w:cs="Times New Roman"/>
          <w:b/>
          <w:sz w:val="24"/>
          <w:szCs w:val="24"/>
        </w:rPr>
        <w:t>Clause 852.211-70, Equipment Operation and Maintenance Manuals</w:t>
      </w:r>
    </w:p>
    <w:p w:rsidR="00E716C9" w:rsidP="00E716C9" w14:paraId="00D05674" w14:textId="6EF9FAC9">
      <w:pPr>
        <w:widowControl w:val="0"/>
        <w:spacing w:after="0" w:line="240" w:lineRule="auto"/>
        <w:ind w:right="37"/>
        <w:jc w:val="center"/>
        <w:rPr>
          <w:rFonts w:eastAsia="Arial" w:asciiTheme="majorHAnsi" w:hAnsiTheme="majorHAnsi" w:cs="Times New Roman"/>
          <w:b/>
          <w:sz w:val="24"/>
          <w:szCs w:val="24"/>
        </w:rPr>
      </w:pPr>
      <w:r w:rsidRPr="009F61F9">
        <w:rPr>
          <w:rFonts w:eastAsia="Arial" w:asciiTheme="majorHAnsi" w:hAnsiTheme="majorHAnsi" w:cs="Times New Roman"/>
          <w:b/>
          <w:sz w:val="24"/>
          <w:szCs w:val="24"/>
        </w:rPr>
        <w:t xml:space="preserve"> </w:t>
      </w:r>
      <w:r w:rsidRPr="00E716C9">
        <w:rPr>
          <w:rFonts w:eastAsia="Arial" w:asciiTheme="majorHAnsi" w:hAnsiTheme="majorHAnsi" w:cs="Times New Roman"/>
          <w:b/>
          <w:sz w:val="24"/>
          <w:szCs w:val="24"/>
        </w:rPr>
        <w:t>OMB</w:t>
      </w:r>
      <w:r w:rsidRPr="00E716C9">
        <w:rPr>
          <w:rFonts w:eastAsia="Arial" w:asciiTheme="majorHAnsi" w:hAnsiTheme="majorHAnsi" w:cs="Times New Roman"/>
          <w:b/>
          <w:spacing w:val="29"/>
          <w:sz w:val="24"/>
          <w:szCs w:val="24"/>
        </w:rPr>
        <w:t xml:space="preserve"> </w:t>
      </w:r>
      <w:r w:rsidRPr="00E716C9">
        <w:rPr>
          <w:rFonts w:asciiTheme="majorHAnsi" w:hAnsiTheme="majorHAnsi" w:cs="Times New Roman"/>
          <w:b/>
          <w:bCs/>
          <w:sz w:val="24"/>
          <w:szCs w:val="24"/>
        </w:rPr>
        <w:t xml:space="preserve">Control </w:t>
      </w:r>
      <w:r w:rsidRPr="00E716C9">
        <w:rPr>
          <w:rFonts w:asciiTheme="majorHAnsi" w:hAnsiTheme="majorHAnsi"/>
          <w:b/>
          <w:bCs/>
          <w:sz w:val="24"/>
          <w:szCs w:val="24"/>
        </w:rPr>
        <w:t>N</w:t>
      </w:r>
      <w:r w:rsidRPr="00E716C9">
        <w:rPr>
          <w:rFonts w:eastAsia="Arial" w:asciiTheme="majorHAnsi" w:hAnsiTheme="majorHAnsi" w:cs="Times New Roman"/>
          <w:b/>
          <w:sz w:val="24"/>
          <w:szCs w:val="24"/>
        </w:rPr>
        <w:t>o.</w:t>
      </w:r>
      <w:r w:rsidRPr="00E716C9">
        <w:rPr>
          <w:rFonts w:eastAsia="Arial" w:asciiTheme="majorHAnsi" w:hAnsiTheme="majorHAnsi" w:cs="Times New Roman"/>
          <w:b/>
          <w:spacing w:val="2"/>
          <w:sz w:val="24"/>
          <w:szCs w:val="24"/>
        </w:rPr>
        <w:t xml:space="preserve"> </w:t>
      </w:r>
      <w:r w:rsidRPr="009F61F9">
        <w:rPr>
          <w:rFonts w:eastAsia="Arial" w:asciiTheme="majorHAnsi" w:hAnsiTheme="majorHAnsi" w:cs="Times New Roman"/>
          <w:b/>
          <w:sz w:val="24"/>
          <w:szCs w:val="24"/>
        </w:rPr>
        <w:t>2900-0587</w:t>
      </w:r>
    </w:p>
    <w:p w:rsidR="00D13285" w:rsidP="00E716C9" w14:paraId="5B4B3926" w14:textId="6FDC4968">
      <w:pPr>
        <w:widowControl w:val="0"/>
        <w:spacing w:after="0" w:line="240" w:lineRule="auto"/>
        <w:ind w:right="37"/>
        <w:jc w:val="center"/>
        <w:rPr>
          <w:rFonts w:eastAsia="Arial" w:asciiTheme="majorHAnsi" w:hAnsiTheme="majorHAnsi" w:cs="Times New Roman"/>
          <w:b/>
          <w:sz w:val="24"/>
          <w:szCs w:val="24"/>
        </w:rPr>
      </w:pPr>
    </w:p>
    <w:p w:rsidR="00340D9B"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482576">
        <w:tblPrEx>
          <w:tblW w:w="9515" w:type="dxa"/>
          <w:tblInd w:w="-5" w:type="dxa"/>
          <w:tblLook w:val="04A0"/>
        </w:tblPrEx>
        <w:trPr>
          <w:trHeight w:val="3203"/>
        </w:trPr>
        <w:tc>
          <w:tcPr>
            <w:tcW w:w="9515" w:type="dxa"/>
          </w:tcPr>
          <w:p w:rsidR="00594B6B" w:rsidRPr="00E716C9" w:rsidP="00594B6B" w14:paraId="3409E7F1" w14:textId="77777777">
            <w:pPr>
              <w:rPr>
                <w:rFonts w:asciiTheme="majorHAnsi" w:hAnsiTheme="majorHAnsi"/>
                <w:sz w:val="24"/>
              </w:rPr>
            </w:pPr>
            <w:r w:rsidRPr="00E716C9">
              <w:rPr>
                <w:rFonts w:asciiTheme="majorHAnsi" w:hAnsiTheme="majorHAnsi"/>
                <w:sz w:val="24"/>
              </w:rPr>
              <w:t xml:space="preserve">Summary of Changes from Previously Approved Collection </w:t>
            </w:r>
          </w:p>
          <w:p w:rsidR="00E716C9" w:rsidP="00594B6B" w14:paraId="41FB87F0" w14:textId="77777777">
            <w:pPr>
              <w:rPr>
                <w:rFonts w:asciiTheme="majorHAnsi" w:hAnsiTheme="majorHAnsi"/>
                <w:i/>
                <w:sz w:val="24"/>
                <w:highlight w:val="yellow"/>
              </w:rPr>
            </w:pPr>
          </w:p>
          <w:p w:rsidR="00E716C9" w:rsidP="00E716C9" w14:paraId="73146B0F" w14:textId="69C8782D">
            <w:pPr>
              <w:pStyle w:val="ListParagraph"/>
              <w:numPr>
                <w:ilvl w:val="0"/>
                <w:numId w:val="25"/>
              </w:numPr>
              <w:spacing w:after="200" w:line="276" w:lineRule="auto"/>
              <w:rPr>
                <w:rFonts w:eastAsia="Arial" w:asciiTheme="majorHAnsi" w:hAnsiTheme="majorHAnsi" w:cs="Times New Roman"/>
                <w:bCs/>
                <w:sz w:val="24"/>
                <w:szCs w:val="24"/>
              </w:rPr>
            </w:pPr>
            <w:r>
              <w:rPr>
                <w:rFonts w:eastAsia="Arial" w:asciiTheme="majorHAnsi" w:hAnsiTheme="majorHAnsi" w:cs="Times New Roman"/>
                <w:bCs/>
                <w:sz w:val="24"/>
                <w:szCs w:val="24"/>
              </w:rPr>
              <w:t>The s</w:t>
            </w:r>
            <w:r w:rsidRPr="00E716C9">
              <w:rPr>
                <w:rFonts w:eastAsia="Arial" w:asciiTheme="majorHAnsi" w:hAnsiTheme="majorHAnsi" w:cs="Times New Roman"/>
                <w:bCs/>
                <w:sz w:val="24"/>
                <w:szCs w:val="24"/>
              </w:rPr>
              <w:t xml:space="preserve">upporting </w:t>
            </w:r>
            <w:r>
              <w:rPr>
                <w:rFonts w:eastAsia="Arial" w:asciiTheme="majorHAnsi" w:hAnsiTheme="majorHAnsi" w:cs="Times New Roman"/>
                <w:bCs/>
                <w:sz w:val="24"/>
                <w:szCs w:val="24"/>
              </w:rPr>
              <w:t>s</w:t>
            </w:r>
            <w:r w:rsidRPr="00E716C9">
              <w:rPr>
                <w:rFonts w:eastAsia="Arial" w:asciiTheme="majorHAnsi" w:hAnsiTheme="majorHAnsi" w:cs="Times New Roman"/>
                <w:bCs/>
                <w:sz w:val="24"/>
                <w:szCs w:val="24"/>
              </w:rPr>
              <w:t>tatement</w:t>
            </w:r>
            <w:r w:rsidR="002B67A2">
              <w:rPr>
                <w:rFonts w:eastAsia="Arial" w:asciiTheme="majorHAnsi" w:hAnsiTheme="majorHAnsi" w:cs="Times New Roman"/>
                <w:bCs/>
                <w:sz w:val="24"/>
                <w:szCs w:val="24"/>
              </w:rPr>
              <w:t xml:space="preserve"> format was updated to </w:t>
            </w:r>
            <w:r w:rsidR="007D07EC">
              <w:rPr>
                <w:rFonts w:eastAsia="Arial" w:asciiTheme="majorHAnsi" w:hAnsiTheme="majorHAnsi" w:cs="Times New Roman"/>
                <w:bCs/>
                <w:sz w:val="24"/>
                <w:szCs w:val="24"/>
              </w:rPr>
              <w:t xml:space="preserve">a </w:t>
            </w:r>
            <w:r w:rsidR="002B67A2">
              <w:rPr>
                <w:rFonts w:eastAsia="Arial" w:asciiTheme="majorHAnsi" w:hAnsiTheme="majorHAnsi" w:cs="Times New Roman"/>
                <w:bCs/>
                <w:sz w:val="24"/>
                <w:szCs w:val="24"/>
              </w:rPr>
              <w:t xml:space="preserve">current form and format, </w:t>
            </w:r>
            <w:r w:rsidR="007D07EC">
              <w:rPr>
                <w:rFonts w:eastAsia="Arial" w:asciiTheme="majorHAnsi" w:hAnsiTheme="majorHAnsi" w:cs="Times New Roman"/>
                <w:bCs/>
                <w:sz w:val="24"/>
                <w:szCs w:val="24"/>
              </w:rPr>
              <w:t>however</w:t>
            </w:r>
            <w:r w:rsidR="002B67A2">
              <w:rPr>
                <w:rFonts w:eastAsia="Arial" w:asciiTheme="majorHAnsi" w:hAnsiTheme="majorHAnsi" w:cs="Times New Roman"/>
                <w:bCs/>
                <w:sz w:val="24"/>
                <w:szCs w:val="24"/>
              </w:rPr>
              <w:t xml:space="preserve"> the information provided is similar </w:t>
            </w:r>
            <w:r w:rsidR="007D07EC">
              <w:rPr>
                <w:rFonts w:eastAsia="Arial" w:asciiTheme="majorHAnsi" w:hAnsiTheme="majorHAnsi" w:cs="Times New Roman"/>
                <w:bCs/>
                <w:sz w:val="24"/>
                <w:szCs w:val="24"/>
              </w:rPr>
              <w:t>and</w:t>
            </w:r>
            <w:r w:rsidR="002B67A2">
              <w:rPr>
                <w:rFonts w:eastAsia="Arial" w:asciiTheme="majorHAnsi" w:hAnsiTheme="majorHAnsi" w:cs="Times New Roman"/>
                <w:bCs/>
                <w:sz w:val="24"/>
                <w:szCs w:val="24"/>
              </w:rPr>
              <w:t xml:space="preserve"> updated for clarity and us</w:t>
            </w:r>
            <w:r w:rsidR="007D07EC">
              <w:rPr>
                <w:rFonts w:eastAsia="Arial" w:asciiTheme="majorHAnsi" w:hAnsiTheme="majorHAnsi" w:cs="Times New Roman"/>
                <w:bCs/>
                <w:sz w:val="24"/>
                <w:szCs w:val="24"/>
              </w:rPr>
              <w:t>e</w:t>
            </w:r>
            <w:r w:rsidR="002B67A2">
              <w:rPr>
                <w:rFonts w:eastAsia="Arial" w:asciiTheme="majorHAnsi" w:hAnsiTheme="majorHAnsi" w:cs="Times New Roman"/>
                <w:bCs/>
                <w:sz w:val="24"/>
                <w:szCs w:val="24"/>
              </w:rPr>
              <w:t xml:space="preserve"> of standard terminology. </w:t>
            </w:r>
          </w:p>
          <w:p w:rsidR="00917506" w:rsidP="00482576" w14:paraId="77C49CF9" w14:textId="1DBAEE0E">
            <w:pPr>
              <w:pStyle w:val="ListParagraph"/>
              <w:numPr>
                <w:ilvl w:val="0"/>
                <w:numId w:val="25"/>
              </w:numPr>
              <w:rPr>
                <w:rFonts w:eastAsia="Arial" w:asciiTheme="majorHAnsi" w:hAnsiTheme="majorHAnsi" w:cs="Times New Roman"/>
                <w:bCs/>
                <w:sz w:val="24"/>
                <w:szCs w:val="24"/>
              </w:rPr>
            </w:pPr>
            <w:r w:rsidRPr="00917506">
              <w:rPr>
                <w:rFonts w:eastAsia="Arial" w:asciiTheme="majorHAnsi" w:hAnsiTheme="majorHAnsi" w:cs="Times New Roman"/>
                <w:bCs/>
                <w:sz w:val="24"/>
                <w:szCs w:val="24"/>
              </w:rPr>
              <w:t xml:space="preserve">As reflected in Section 15, </w:t>
            </w:r>
            <w:r w:rsidR="00482576">
              <w:rPr>
                <w:rFonts w:eastAsia="Arial" w:asciiTheme="majorHAnsi" w:hAnsiTheme="majorHAnsi" w:cs="Times New Roman"/>
                <w:bCs/>
                <w:sz w:val="24"/>
                <w:szCs w:val="24"/>
              </w:rPr>
              <w:t>t</w:t>
            </w:r>
            <w:r w:rsidRPr="00482576" w:rsidR="00482576">
              <w:rPr>
                <w:rFonts w:eastAsia="Arial" w:asciiTheme="majorHAnsi" w:hAnsiTheme="majorHAnsi" w:cs="Times New Roman"/>
                <w:bCs/>
                <w:sz w:val="24"/>
                <w:szCs w:val="24"/>
              </w:rPr>
              <w:t xml:space="preserve">he estimate burden hour has increased </w:t>
            </w:r>
            <w:r w:rsidR="007D07EC">
              <w:rPr>
                <w:rFonts w:eastAsia="Arial" w:asciiTheme="majorHAnsi" w:hAnsiTheme="majorHAnsi" w:cs="Times New Roman"/>
                <w:bCs/>
                <w:sz w:val="24"/>
                <w:szCs w:val="24"/>
              </w:rPr>
              <w:t xml:space="preserve">by </w:t>
            </w:r>
            <w:r w:rsidR="00482576">
              <w:rPr>
                <w:rFonts w:eastAsia="Arial" w:asciiTheme="majorHAnsi" w:hAnsiTheme="majorHAnsi" w:cs="Times New Roman"/>
                <w:bCs/>
                <w:sz w:val="24"/>
                <w:szCs w:val="24"/>
              </w:rPr>
              <w:t>12</w:t>
            </w:r>
            <w:r w:rsidR="0047510C">
              <w:rPr>
                <w:rFonts w:eastAsia="Arial" w:asciiTheme="majorHAnsi" w:hAnsiTheme="majorHAnsi" w:cs="Times New Roman"/>
                <w:bCs/>
                <w:sz w:val="24"/>
                <w:szCs w:val="24"/>
              </w:rPr>
              <w:t>4</w:t>
            </w:r>
            <w:r w:rsidR="00482576">
              <w:rPr>
                <w:rFonts w:eastAsia="Arial" w:asciiTheme="majorHAnsi" w:hAnsiTheme="majorHAnsi" w:cs="Times New Roman"/>
                <w:bCs/>
                <w:sz w:val="24"/>
                <w:szCs w:val="24"/>
              </w:rPr>
              <w:t xml:space="preserve"> hours </w:t>
            </w:r>
            <w:r w:rsidRPr="00482576" w:rsidR="00482576">
              <w:rPr>
                <w:rFonts w:eastAsia="Arial" w:asciiTheme="majorHAnsi" w:hAnsiTheme="majorHAnsi" w:cs="Times New Roman"/>
                <w:bCs/>
                <w:sz w:val="24"/>
                <w:szCs w:val="24"/>
              </w:rPr>
              <w:t xml:space="preserve">due to the increased responses for the last </w:t>
            </w:r>
            <w:r w:rsidR="00482576">
              <w:rPr>
                <w:rFonts w:eastAsia="Arial" w:asciiTheme="majorHAnsi" w:hAnsiTheme="majorHAnsi" w:cs="Times New Roman"/>
                <w:bCs/>
                <w:sz w:val="24"/>
                <w:szCs w:val="24"/>
              </w:rPr>
              <w:t xml:space="preserve">three </w:t>
            </w:r>
            <w:r w:rsidRPr="00482576" w:rsidR="00482576">
              <w:rPr>
                <w:rFonts w:eastAsia="Arial" w:asciiTheme="majorHAnsi" w:hAnsiTheme="majorHAnsi" w:cs="Times New Roman"/>
                <w:bCs/>
                <w:sz w:val="24"/>
                <w:szCs w:val="24"/>
              </w:rPr>
              <w:t xml:space="preserve">FYs. </w:t>
            </w:r>
            <w:r w:rsidR="00482576">
              <w:rPr>
                <w:rFonts w:eastAsia="Arial" w:asciiTheme="majorHAnsi" w:hAnsiTheme="majorHAnsi" w:cs="Times New Roman"/>
                <w:bCs/>
                <w:sz w:val="24"/>
                <w:szCs w:val="24"/>
              </w:rPr>
              <w:t>In addition to the increased responses, t</w:t>
            </w:r>
            <w:r w:rsidRPr="00482576" w:rsidR="00482576">
              <w:rPr>
                <w:rFonts w:eastAsia="Arial" w:asciiTheme="majorHAnsi" w:hAnsiTheme="majorHAnsi" w:cs="Times New Roman"/>
                <w:bCs/>
                <w:sz w:val="24"/>
                <w:szCs w:val="24"/>
              </w:rPr>
              <w:t xml:space="preserve">he burden cost estimate has increased since due to revised wage rates to current and appropriate levels. </w:t>
            </w:r>
            <w:r w:rsidRPr="00482576">
              <w:rPr>
                <w:rFonts w:eastAsia="Arial" w:asciiTheme="majorHAnsi" w:hAnsiTheme="majorHAnsi" w:cs="Times New Roman"/>
                <w:bCs/>
                <w:sz w:val="24"/>
                <w:szCs w:val="24"/>
              </w:rPr>
              <w:t xml:space="preserve">This results in </w:t>
            </w:r>
            <w:r w:rsidR="007D07EC">
              <w:rPr>
                <w:rFonts w:eastAsia="Arial" w:asciiTheme="majorHAnsi" w:hAnsiTheme="majorHAnsi" w:cs="Times New Roman"/>
                <w:bCs/>
                <w:sz w:val="24"/>
                <w:szCs w:val="24"/>
              </w:rPr>
              <w:t xml:space="preserve">a </w:t>
            </w:r>
            <w:r w:rsidRPr="00482576">
              <w:rPr>
                <w:rFonts w:eastAsia="Arial" w:asciiTheme="majorHAnsi" w:hAnsiTheme="majorHAnsi" w:cs="Times New Roman"/>
                <w:bCs/>
                <w:sz w:val="24"/>
                <w:szCs w:val="24"/>
              </w:rPr>
              <w:t xml:space="preserve">net </w:t>
            </w:r>
            <w:r w:rsidR="007D07EC">
              <w:rPr>
                <w:rFonts w:eastAsia="Arial" w:asciiTheme="majorHAnsi" w:hAnsiTheme="majorHAnsi" w:cs="Times New Roman"/>
                <w:bCs/>
                <w:sz w:val="24"/>
                <w:szCs w:val="24"/>
              </w:rPr>
              <w:t>increase</w:t>
            </w:r>
            <w:r w:rsidRPr="00482576" w:rsidR="007D07EC">
              <w:rPr>
                <w:rFonts w:eastAsia="Arial" w:asciiTheme="majorHAnsi" w:hAnsiTheme="majorHAnsi" w:cs="Times New Roman"/>
                <w:bCs/>
                <w:sz w:val="24"/>
                <w:szCs w:val="24"/>
              </w:rPr>
              <w:t xml:space="preserve"> </w:t>
            </w:r>
            <w:r w:rsidRPr="00482576">
              <w:rPr>
                <w:rFonts w:eastAsia="Arial" w:asciiTheme="majorHAnsi" w:hAnsiTheme="majorHAnsi" w:cs="Times New Roman"/>
                <w:bCs/>
                <w:sz w:val="24"/>
                <w:szCs w:val="24"/>
              </w:rPr>
              <w:t>of $</w:t>
            </w:r>
            <w:r w:rsidR="00482576">
              <w:rPr>
                <w:rFonts w:eastAsia="Arial" w:asciiTheme="majorHAnsi" w:hAnsiTheme="majorHAnsi" w:cs="Times New Roman"/>
                <w:bCs/>
                <w:sz w:val="24"/>
                <w:szCs w:val="24"/>
              </w:rPr>
              <w:t>68,006</w:t>
            </w:r>
            <w:r w:rsidRPr="00482576">
              <w:rPr>
                <w:rFonts w:eastAsia="Arial" w:asciiTheme="majorHAnsi" w:hAnsiTheme="majorHAnsi" w:cs="Times New Roman"/>
                <w:bCs/>
                <w:sz w:val="24"/>
                <w:szCs w:val="24"/>
              </w:rPr>
              <w:t xml:space="preserve"> in</w:t>
            </w:r>
            <w:r w:rsidR="00EE2FCD">
              <w:rPr>
                <w:rFonts w:eastAsia="Arial" w:asciiTheme="majorHAnsi" w:hAnsiTheme="majorHAnsi" w:cs="Times New Roman"/>
                <w:bCs/>
                <w:sz w:val="24"/>
                <w:szCs w:val="24"/>
              </w:rPr>
              <w:t xml:space="preserve"> </w:t>
            </w:r>
            <w:r w:rsidRPr="00482576">
              <w:rPr>
                <w:rFonts w:eastAsia="Arial" w:asciiTheme="majorHAnsi" w:hAnsiTheme="majorHAnsi" w:cs="Times New Roman"/>
                <w:bCs/>
                <w:sz w:val="24"/>
                <w:szCs w:val="24"/>
              </w:rPr>
              <w:t xml:space="preserve">burden cost. </w:t>
            </w:r>
          </w:p>
          <w:p w:rsidR="008B445B" w:rsidRPr="00A92F76" w:rsidP="00482576" w14:paraId="1F472EB1" w14:textId="19F3254B">
            <w:pPr>
              <w:pStyle w:val="ListParagraph"/>
              <w:numPr>
                <w:ilvl w:val="0"/>
                <w:numId w:val="25"/>
              </w:numPr>
              <w:rPr>
                <w:rFonts w:eastAsia="Arial" w:asciiTheme="majorHAnsi" w:hAnsiTheme="majorHAnsi" w:cs="Times New Roman"/>
                <w:bCs/>
                <w:sz w:val="24"/>
                <w:szCs w:val="24"/>
              </w:rPr>
            </w:pPr>
            <w:r w:rsidRPr="00A92F76">
              <w:rPr>
                <w:rFonts w:asciiTheme="majorHAnsi" w:hAnsiTheme="majorHAnsi"/>
                <w:sz w:val="24"/>
                <w:szCs w:val="24"/>
              </w:rPr>
              <w:t>As reflected in Section 8, VA did not receive any public comments on the 60-Day Federal Register</w:t>
            </w:r>
            <w:r w:rsidRPr="00A92F76" w:rsidR="00E0558F">
              <w:rPr>
                <w:rFonts w:asciiTheme="majorHAnsi" w:hAnsiTheme="majorHAnsi"/>
                <w:sz w:val="24"/>
                <w:szCs w:val="24"/>
              </w:rPr>
              <w:t xml:space="preserve"> notice</w:t>
            </w:r>
            <w:r w:rsidRPr="00A92F76">
              <w:rPr>
                <w:rFonts w:asciiTheme="majorHAnsi" w:hAnsiTheme="majorHAnsi"/>
                <w:sz w:val="24"/>
                <w:szCs w:val="24"/>
              </w:rPr>
              <w:t>.</w:t>
            </w:r>
          </w:p>
          <w:p w:rsidR="00594B6B" w:rsidRPr="00482576" w:rsidP="00482576" w14:paraId="4A54E5CD" w14:textId="1CFD9934">
            <w:pPr>
              <w:ind w:left="36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222D1B" w:rsidRPr="00510F0C" w:rsidP="009F61F9" w14:paraId="4A2D3BC4" w14:textId="12FDAE6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5E9F" w:rsidP="006E563D" w14:paraId="445AB77A" w14:textId="77777777">
      <w:pPr>
        <w:spacing w:after="0" w:line="240" w:lineRule="auto"/>
        <w:rPr>
          <w:rFonts w:asciiTheme="majorHAnsi" w:hAnsiTheme="majorHAnsi"/>
          <w:i/>
          <w:sz w:val="24"/>
        </w:rPr>
      </w:pPr>
    </w:p>
    <w:p w:rsidR="00983895" w:rsidP="003A753A" w14:paraId="329C95AE" w14:textId="53061680">
      <w:pPr>
        <w:spacing w:after="0" w:line="240" w:lineRule="auto"/>
        <w:rPr>
          <w:rFonts w:asciiTheme="majorHAnsi" w:hAnsiTheme="majorHAnsi"/>
          <w:iCs/>
          <w:sz w:val="24"/>
        </w:rPr>
      </w:pPr>
      <w:r w:rsidRPr="007B7547">
        <w:rPr>
          <w:rFonts w:asciiTheme="majorHAnsi" w:hAnsiTheme="majorHAnsi"/>
          <w:iCs/>
          <w:sz w:val="24"/>
        </w:rPr>
        <w:t xml:space="preserve">The Department of Veterans Affairs (VA), Office of Acquisition and Logistics (OAL), Office of Procurement Policy, Systems and Oversight, Procurement Policy and Warrant Management Service is requesting the Office of Management and Budget (OMB) grant a </w:t>
      </w:r>
      <w:r w:rsidRPr="00482576" w:rsidR="00482576">
        <w:rPr>
          <w:rFonts w:asciiTheme="majorHAnsi" w:hAnsiTheme="majorHAnsi"/>
          <w:iCs/>
          <w:sz w:val="24"/>
        </w:rPr>
        <w:t>revision</w:t>
      </w:r>
      <w:r w:rsidRPr="007B7547">
        <w:rPr>
          <w:rFonts w:asciiTheme="majorHAnsi" w:hAnsiTheme="majorHAnsi"/>
          <w:iCs/>
          <w:sz w:val="24"/>
        </w:rPr>
        <w:t xml:space="preserve"> on a previously approved information collection request, OMB control number 2900-0</w:t>
      </w:r>
      <w:r w:rsidR="009F61F9">
        <w:rPr>
          <w:rFonts w:asciiTheme="majorHAnsi" w:hAnsiTheme="majorHAnsi"/>
          <w:iCs/>
          <w:sz w:val="24"/>
        </w:rPr>
        <w:t>587</w:t>
      </w:r>
      <w:r w:rsidRPr="007B7547">
        <w:rPr>
          <w:rFonts w:asciiTheme="majorHAnsi" w:hAnsiTheme="majorHAnsi"/>
          <w:iCs/>
          <w:sz w:val="24"/>
        </w:rPr>
        <w:t xml:space="preserve">, </w:t>
      </w:r>
      <w:r>
        <w:rPr>
          <w:rFonts w:asciiTheme="majorHAnsi" w:hAnsiTheme="majorHAnsi"/>
          <w:iCs/>
          <w:sz w:val="24"/>
        </w:rPr>
        <w:t xml:space="preserve">concerning </w:t>
      </w:r>
      <w:r w:rsidRPr="009F61F9" w:rsidR="009F61F9">
        <w:rPr>
          <w:rFonts w:asciiTheme="majorHAnsi" w:hAnsiTheme="majorHAnsi"/>
          <w:iCs/>
          <w:sz w:val="24"/>
        </w:rPr>
        <w:t>Equipment Operation and Maintenance Manuals</w:t>
      </w:r>
      <w:r>
        <w:rPr>
          <w:rFonts w:asciiTheme="majorHAnsi" w:hAnsiTheme="majorHAnsi"/>
          <w:iCs/>
          <w:sz w:val="24"/>
        </w:rPr>
        <w:t>.</w:t>
      </w:r>
      <w:r w:rsidRPr="007B7547">
        <w:rPr>
          <w:rFonts w:asciiTheme="majorHAnsi" w:hAnsiTheme="majorHAnsi"/>
          <w:iCs/>
          <w:sz w:val="24"/>
        </w:rPr>
        <w:t xml:space="preserve"> </w:t>
      </w:r>
      <w:r w:rsidRPr="00983895">
        <w:rPr>
          <w:rFonts w:asciiTheme="majorHAnsi" w:hAnsiTheme="majorHAnsi"/>
          <w:iCs/>
          <w:sz w:val="24"/>
        </w:rPr>
        <w:t xml:space="preserve">The requirements </w:t>
      </w:r>
      <w:r w:rsidR="007D07EC">
        <w:rPr>
          <w:rFonts w:asciiTheme="majorHAnsi" w:hAnsiTheme="majorHAnsi"/>
          <w:iCs/>
          <w:sz w:val="24"/>
        </w:rPr>
        <w:t xml:space="preserve">that the </w:t>
      </w:r>
      <w:r w:rsidRPr="00983895">
        <w:rPr>
          <w:rFonts w:asciiTheme="majorHAnsi" w:hAnsiTheme="majorHAnsi"/>
          <w:iCs/>
          <w:sz w:val="24"/>
        </w:rPr>
        <w:t>contracting officer shall insert this clause in solicitations and contracts are prescribed in VAAR 811.107-70.</w:t>
      </w:r>
      <w:r w:rsidR="001D57F7">
        <w:rPr>
          <w:rFonts w:asciiTheme="majorHAnsi" w:hAnsiTheme="majorHAnsi"/>
          <w:iCs/>
          <w:sz w:val="24"/>
        </w:rPr>
        <w:t xml:space="preserve"> </w:t>
      </w:r>
      <w:r w:rsidRPr="001D57F7" w:rsidR="001D57F7">
        <w:rPr>
          <w:rFonts w:asciiTheme="majorHAnsi" w:hAnsiTheme="majorHAnsi"/>
          <w:iCs/>
          <w:sz w:val="24"/>
        </w:rPr>
        <w:t>The contracting officer shall insert the clause at 852.211-70, Equipment Operation and Maintenance Manuals, in solicitations and contracts for technical medical equipment, and other technical and mechanical equipment and devices where the requiring activity determines manuals are a necessary requirement for operation and maintenance of the equipment.</w:t>
      </w:r>
    </w:p>
    <w:p w:rsidR="00624B1D" w:rsidP="003A753A" w14:paraId="0AE606AE" w14:textId="77777777">
      <w:pPr>
        <w:spacing w:after="0" w:line="240" w:lineRule="auto"/>
        <w:rPr>
          <w:rFonts w:asciiTheme="majorHAnsi" w:hAnsiTheme="majorHAnsi"/>
          <w:iCs/>
          <w:sz w:val="24"/>
        </w:rPr>
      </w:pPr>
    </w:p>
    <w:p w:rsidR="00624B1D" w:rsidP="003A753A" w14:paraId="16F9FAF9" w14:textId="0D9797B8">
      <w:pPr>
        <w:spacing w:after="0" w:line="240" w:lineRule="auto"/>
        <w:rPr>
          <w:rFonts w:asciiTheme="majorHAnsi" w:hAnsiTheme="majorHAnsi"/>
          <w:iCs/>
          <w:sz w:val="24"/>
        </w:rPr>
      </w:pPr>
      <w:r w:rsidRPr="00624B1D">
        <w:rPr>
          <w:rFonts w:asciiTheme="majorHAnsi" w:hAnsiTheme="majorHAnsi"/>
          <w:iCs/>
          <w:sz w:val="24"/>
        </w:rPr>
        <w:t>Failure to collect the information would have a negative impact on VA. Without the information, VA would be purchasing equipment for which it would not have proper operating instructions. This could be hazardous to VA employees and to VA patients. In addition, without maintenance manuals, VA would be unable to make repairs to the equipment.</w:t>
      </w:r>
    </w:p>
    <w:p w:rsidR="00624B1D" w:rsidP="003A753A" w14:paraId="3DB52EA0" w14:textId="77777777">
      <w:pPr>
        <w:spacing w:after="0" w:line="240" w:lineRule="auto"/>
        <w:rPr>
          <w:rFonts w:asciiTheme="majorHAnsi" w:hAnsiTheme="majorHAnsi"/>
          <w:iCs/>
          <w:sz w:val="24"/>
        </w:rPr>
      </w:pPr>
    </w:p>
    <w:p w:rsidR="007B7547" w:rsidRPr="007B7547" w:rsidP="007B7547" w14:paraId="2DC6FFCB" w14:textId="3532FF35">
      <w:pPr>
        <w:spacing w:after="0" w:line="240" w:lineRule="auto"/>
        <w:rPr>
          <w:rFonts w:asciiTheme="majorHAnsi" w:hAnsiTheme="majorHAnsi"/>
          <w:iCs/>
          <w:sz w:val="24"/>
        </w:rPr>
      </w:pPr>
      <w:r w:rsidRPr="007B7547">
        <w:rPr>
          <w:rFonts w:asciiTheme="majorHAnsi" w:hAnsiTheme="majorHAnsi"/>
          <w:iCs/>
          <w:sz w:val="24"/>
        </w:rPr>
        <w:t xml:space="preserve">The Agency is requesting a 3-year </w:t>
      </w:r>
      <w:r w:rsidRPr="00482576" w:rsidR="00482576">
        <w:rPr>
          <w:rFonts w:asciiTheme="majorHAnsi" w:hAnsiTheme="majorHAnsi"/>
          <w:iCs/>
          <w:sz w:val="24"/>
        </w:rPr>
        <w:t>revision</w:t>
      </w:r>
      <w:r w:rsidRPr="007B7547">
        <w:rPr>
          <w:rFonts w:asciiTheme="majorHAnsi" w:hAnsiTheme="majorHAnsi"/>
          <w:iCs/>
          <w:sz w:val="24"/>
        </w:rPr>
        <w:t xml:space="preserve"> to collect this information from public or private businesses.</w:t>
      </w:r>
    </w:p>
    <w:p w:rsidR="00482576" w:rsidP="006E563D" w14:paraId="193D4625" w14:textId="77777777">
      <w:pPr>
        <w:spacing w:after="0" w:line="240" w:lineRule="auto"/>
        <w:rPr>
          <w:rFonts w:asciiTheme="majorHAnsi" w:hAnsiTheme="majorHAnsi"/>
          <w:iCs/>
          <w:sz w:val="24"/>
        </w:rPr>
      </w:pPr>
    </w:p>
    <w:p w:rsidR="007B7547" w:rsidRPr="00B635B9" w:rsidP="006E563D" w14:paraId="1E68FDD9" w14:textId="78DEDFD1">
      <w:pPr>
        <w:spacing w:after="0" w:line="240" w:lineRule="auto"/>
        <w:rPr>
          <w:rFonts w:asciiTheme="majorHAnsi" w:hAnsiTheme="majorHAnsi"/>
          <w:iCs/>
          <w:sz w:val="24"/>
        </w:rPr>
      </w:pPr>
      <w:r>
        <w:rPr>
          <w:rFonts w:asciiTheme="majorHAnsi" w:hAnsiTheme="majorHAnsi"/>
          <w:iCs/>
          <w:sz w:val="24"/>
        </w:rPr>
        <w:t>Authorities:</w:t>
      </w:r>
      <w:r w:rsidRPr="006C490C" w:rsidR="006C490C">
        <w:rPr>
          <w:rFonts w:asciiTheme="majorHAnsi" w:hAnsiTheme="majorHAnsi"/>
          <w:iCs/>
          <w:sz w:val="24"/>
        </w:rPr>
        <w:t xml:space="preserve"> </w:t>
      </w:r>
      <w:r w:rsidRPr="00B635B9">
        <w:rPr>
          <w:rFonts w:asciiTheme="majorHAnsi" w:hAnsiTheme="majorHAnsi"/>
          <w:iCs/>
          <w:sz w:val="24"/>
        </w:rPr>
        <w:t>44 U</w:t>
      </w:r>
      <w:r>
        <w:rPr>
          <w:rFonts w:asciiTheme="majorHAnsi" w:hAnsiTheme="majorHAnsi"/>
          <w:iCs/>
          <w:sz w:val="24"/>
        </w:rPr>
        <w:t>.</w:t>
      </w:r>
      <w:r w:rsidRPr="00B635B9">
        <w:rPr>
          <w:rFonts w:asciiTheme="majorHAnsi" w:hAnsiTheme="majorHAnsi"/>
          <w:iCs/>
          <w:sz w:val="24"/>
        </w:rPr>
        <w:t>S</w:t>
      </w:r>
      <w:r>
        <w:rPr>
          <w:rFonts w:asciiTheme="majorHAnsi" w:hAnsiTheme="majorHAnsi"/>
          <w:iCs/>
          <w:sz w:val="24"/>
        </w:rPr>
        <w:t>.</w:t>
      </w:r>
      <w:r w:rsidRPr="00B635B9">
        <w:rPr>
          <w:rFonts w:asciiTheme="majorHAnsi" w:hAnsiTheme="majorHAnsi"/>
          <w:iCs/>
          <w:sz w:val="24"/>
        </w:rPr>
        <w:t>C</w:t>
      </w:r>
      <w:r>
        <w:rPr>
          <w:rFonts w:asciiTheme="majorHAnsi" w:hAnsiTheme="majorHAnsi"/>
          <w:iCs/>
          <w:sz w:val="24"/>
        </w:rPr>
        <w:t>.</w:t>
      </w:r>
      <w:r w:rsidRPr="00B635B9">
        <w:rPr>
          <w:rFonts w:asciiTheme="majorHAnsi" w:hAnsiTheme="majorHAnsi"/>
          <w:iCs/>
          <w:sz w:val="24"/>
        </w:rPr>
        <w:t xml:space="preserve"> 3507</w:t>
      </w:r>
      <w:r>
        <w:rPr>
          <w:rFonts w:asciiTheme="majorHAnsi" w:hAnsiTheme="majorHAnsi"/>
          <w:iCs/>
          <w:sz w:val="24"/>
        </w:rPr>
        <w:t xml:space="preserve">, </w:t>
      </w:r>
      <w:r w:rsidRPr="00B635B9">
        <w:rPr>
          <w:rFonts w:asciiTheme="majorHAnsi" w:hAnsiTheme="majorHAnsi"/>
          <w:iCs/>
          <w:sz w:val="24"/>
        </w:rPr>
        <w:t>Paperwork Reduction Act of 1995</w:t>
      </w:r>
      <w:r>
        <w:rPr>
          <w:rFonts w:asciiTheme="majorHAnsi" w:hAnsiTheme="majorHAnsi"/>
          <w:iCs/>
          <w:sz w:val="24"/>
        </w:rPr>
        <w:t xml:space="preserve">; </w:t>
      </w:r>
      <w:r w:rsidR="004560DC">
        <w:rPr>
          <w:rFonts w:asciiTheme="majorHAnsi" w:hAnsiTheme="majorHAnsi"/>
          <w:iCs/>
          <w:sz w:val="24"/>
        </w:rPr>
        <w:t xml:space="preserve">and </w:t>
      </w:r>
      <w:r w:rsidRPr="004560DC" w:rsidR="004560DC">
        <w:rPr>
          <w:rFonts w:asciiTheme="majorHAnsi" w:hAnsiTheme="majorHAnsi"/>
          <w:iCs/>
          <w:sz w:val="24"/>
        </w:rPr>
        <w:t>48 CFR 1.301–1.304</w:t>
      </w:r>
      <w:r w:rsidRPr="00B635B9">
        <w:rPr>
          <w:rFonts w:asciiTheme="majorHAnsi" w:hAnsiTheme="majorHAnsi"/>
          <w:iCs/>
          <w:sz w:val="24"/>
        </w:rPr>
        <w:t>.</w:t>
      </w:r>
    </w:p>
    <w:p w:rsidR="00B635B9" w:rsidRPr="003A753A" w:rsidP="002553D8" w14:paraId="1F52BB20" w14:textId="0615BDFB">
      <w:pPr>
        <w:spacing w:after="0" w:line="240" w:lineRule="auto"/>
        <w:rPr>
          <w:rFonts w:asciiTheme="majorHAnsi" w:hAnsiTheme="majorHAnsi"/>
          <w:i/>
          <w:sz w:val="24"/>
          <w:highlight w:val="yellow"/>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B635B9" w:rsidP="00B635B9" w14:paraId="38772A88" w14:textId="4EA76C16">
      <w:pPr>
        <w:pStyle w:val="ListParagraph"/>
        <w:spacing w:after="0" w:line="240" w:lineRule="auto"/>
        <w:ind w:left="0"/>
        <w:rPr>
          <w:rFonts w:asciiTheme="majorHAnsi" w:hAnsiTheme="majorHAnsi"/>
          <w:i/>
          <w:sz w:val="24"/>
        </w:rPr>
      </w:pPr>
    </w:p>
    <w:p w:rsidR="002553D8" w:rsidP="00B635B9" w14:paraId="47F70D20" w14:textId="263F0329">
      <w:pPr>
        <w:pStyle w:val="ListParagraph"/>
        <w:spacing w:after="0" w:line="240" w:lineRule="auto"/>
        <w:ind w:left="0"/>
        <w:rPr>
          <w:rFonts w:asciiTheme="majorHAnsi" w:hAnsiTheme="majorHAnsi"/>
          <w:iCs/>
          <w:sz w:val="24"/>
        </w:rPr>
      </w:pPr>
      <w:r>
        <w:rPr>
          <w:rFonts w:asciiTheme="majorHAnsi" w:hAnsiTheme="majorHAnsi"/>
          <w:iCs/>
          <w:sz w:val="24"/>
        </w:rPr>
        <w:t xml:space="preserve">Contractors are required to </w:t>
      </w:r>
      <w:r w:rsidRPr="002553D8">
        <w:rPr>
          <w:rFonts w:asciiTheme="majorHAnsi" w:hAnsiTheme="majorHAnsi"/>
          <w:iCs/>
          <w:sz w:val="24"/>
        </w:rPr>
        <w:t>furnish both operat</w:t>
      </w:r>
      <w:r w:rsidR="007D07EC">
        <w:rPr>
          <w:rFonts w:asciiTheme="majorHAnsi" w:hAnsiTheme="majorHAnsi"/>
          <w:iCs/>
          <w:sz w:val="24"/>
        </w:rPr>
        <w:t>ion</w:t>
      </w:r>
      <w:r w:rsidRPr="002553D8">
        <w:rPr>
          <w:rFonts w:asciiTheme="majorHAnsi" w:hAnsiTheme="majorHAnsi"/>
          <w:iCs/>
          <w:sz w:val="24"/>
        </w:rPr>
        <w:t xml:space="preserve"> manuals and maintenance/repair manuals with the equipment provided to the Government. This clause sets forth those requirements and sets forth the minimum standards those manuals must meet to be acceptable. Generally, this is the same </w:t>
      </w:r>
      <w:r w:rsidR="009B7620">
        <w:rPr>
          <w:rFonts w:asciiTheme="majorHAnsi" w:hAnsiTheme="majorHAnsi"/>
          <w:iCs/>
          <w:sz w:val="24"/>
        </w:rPr>
        <w:t>operation</w:t>
      </w:r>
      <w:r w:rsidRPr="002553D8" w:rsidR="009B7620">
        <w:rPr>
          <w:rFonts w:asciiTheme="majorHAnsi" w:hAnsiTheme="majorHAnsi"/>
          <w:iCs/>
          <w:sz w:val="24"/>
        </w:rPr>
        <w:t xml:space="preserve"> </w:t>
      </w:r>
      <w:r w:rsidRPr="002553D8">
        <w:rPr>
          <w:rFonts w:asciiTheme="majorHAnsi" w:hAnsiTheme="majorHAnsi"/>
          <w:iCs/>
          <w:sz w:val="24"/>
        </w:rPr>
        <w:t xml:space="preserve">manual furnished with each piece of equipment sold to the </w:t>
      </w:r>
      <w:r w:rsidRPr="002553D8">
        <w:rPr>
          <w:rFonts w:asciiTheme="majorHAnsi" w:hAnsiTheme="majorHAnsi"/>
          <w:iCs/>
          <w:sz w:val="24"/>
        </w:rPr>
        <w:t>general public</w:t>
      </w:r>
      <w:r w:rsidRPr="002553D8">
        <w:rPr>
          <w:rFonts w:asciiTheme="majorHAnsi" w:hAnsiTheme="majorHAnsi"/>
          <w:iCs/>
          <w:sz w:val="24"/>
        </w:rPr>
        <w:t xml:space="preserve"> and the same repair manual used by company technicians in repairing the company's equipment. The cost of the manuals </w:t>
      </w:r>
      <w:r w:rsidR="00F30DC9">
        <w:rPr>
          <w:rFonts w:asciiTheme="majorHAnsi" w:hAnsiTheme="majorHAnsi"/>
          <w:iCs/>
          <w:sz w:val="24"/>
        </w:rPr>
        <w:t>is</w:t>
      </w:r>
      <w:r w:rsidR="009B7620">
        <w:rPr>
          <w:rFonts w:asciiTheme="majorHAnsi" w:hAnsiTheme="majorHAnsi"/>
          <w:iCs/>
          <w:sz w:val="24"/>
        </w:rPr>
        <w:t xml:space="preserve"> </w:t>
      </w:r>
      <w:r w:rsidRPr="002553D8">
        <w:rPr>
          <w:rFonts w:asciiTheme="majorHAnsi" w:hAnsiTheme="majorHAnsi"/>
          <w:iCs/>
          <w:sz w:val="24"/>
        </w:rPr>
        <w:t xml:space="preserve">included in the contract price or listed as separately priced line items on the purchase order. The </w:t>
      </w:r>
      <w:r w:rsidR="009B7620">
        <w:rPr>
          <w:rFonts w:asciiTheme="majorHAnsi" w:hAnsiTheme="majorHAnsi"/>
          <w:iCs/>
          <w:sz w:val="24"/>
        </w:rPr>
        <w:t>operation</w:t>
      </w:r>
      <w:r w:rsidRPr="002553D8" w:rsidR="009B7620">
        <w:rPr>
          <w:rFonts w:asciiTheme="majorHAnsi" w:hAnsiTheme="majorHAnsi"/>
          <w:iCs/>
          <w:sz w:val="24"/>
        </w:rPr>
        <w:t xml:space="preserve"> </w:t>
      </w:r>
      <w:r w:rsidRPr="002553D8">
        <w:rPr>
          <w:rFonts w:asciiTheme="majorHAnsi" w:hAnsiTheme="majorHAnsi"/>
          <w:iCs/>
          <w:sz w:val="24"/>
        </w:rPr>
        <w:t xml:space="preserve">manual will be used by the individual </w:t>
      </w:r>
      <w:r w:rsidRPr="002553D8">
        <w:rPr>
          <w:rFonts w:asciiTheme="majorHAnsi" w:hAnsiTheme="majorHAnsi"/>
          <w:iCs/>
          <w:sz w:val="24"/>
        </w:rPr>
        <w:t>actually operating</w:t>
      </w:r>
      <w:r w:rsidRPr="002553D8">
        <w:rPr>
          <w:rFonts w:asciiTheme="majorHAnsi" w:hAnsiTheme="majorHAnsi"/>
          <w:iCs/>
          <w:sz w:val="24"/>
        </w:rPr>
        <w:t xml:space="preserve"> the equipment to ensure proper operation and cleaning. The repair manual will be used by VA equipment repair staff to repair the equipment.</w:t>
      </w:r>
    </w:p>
    <w:p w:rsidR="00B635B9" w:rsidP="00B635B9" w14:paraId="693889EF" w14:textId="3910737C">
      <w:pPr>
        <w:pStyle w:val="ListParagraph"/>
        <w:spacing w:after="0" w:line="240" w:lineRule="auto"/>
        <w:ind w:left="0"/>
        <w:rPr>
          <w:rFonts w:asciiTheme="majorHAnsi" w:hAnsiTheme="majorHAnsi"/>
          <w:iCs/>
          <w:sz w:val="24"/>
        </w:rPr>
      </w:pPr>
    </w:p>
    <w:p w:rsidR="00B55E9F" w:rsidP="002553D8" w14:paraId="13C9FEEB" w14:textId="321431D7">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47452CA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624B1D" w:rsidP="006E563D" w14:paraId="22172133" w14:textId="72E046AF">
      <w:pPr>
        <w:spacing w:after="0" w:line="240" w:lineRule="auto"/>
        <w:rPr>
          <w:rFonts w:asciiTheme="majorHAnsi" w:hAnsiTheme="majorHAnsi"/>
          <w:sz w:val="24"/>
        </w:rPr>
      </w:pPr>
      <w:r w:rsidRPr="0010064D">
        <w:rPr>
          <w:rFonts w:asciiTheme="majorHAnsi" w:hAnsiTheme="majorHAnsi"/>
          <w:sz w:val="24"/>
        </w:rPr>
        <w:t xml:space="preserve">VA uses information technology to the maximum extent practicable. </w:t>
      </w:r>
      <w:r>
        <w:rPr>
          <w:rFonts w:asciiTheme="majorHAnsi" w:hAnsiTheme="majorHAnsi"/>
          <w:sz w:val="24"/>
        </w:rPr>
        <w:t>D</w:t>
      </w:r>
      <w:r w:rsidRPr="002F66FF" w:rsidR="002F66FF">
        <w:rPr>
          <w:rFonts w:asciiTheme="majorHAnsi" w:hAnsiTheme="majorHAnsi"/>
          <w:sz w:val="24"/>
        </w:rPr>
        <w:t xml:space="preserve">ata submitted by contractors is </w:t>
      </w:r>
      <w:r w:rsidR="002F66FF">
        <w:rPr>
          <w:rFonts w:asciiTheme="majorHAnsi" w:hAnsiTheme="majorHAnsi"/>
          <w:sz w:val="24"/>
        </w:rPr>
        <w:t xml:space="preserve">typically </w:t>
      </w:r>
      <w:r w:rsidRPr="002F66FF" w:rsidR="002F66FF">
        <w:rPr>
          <w:rFonts w:asciiTheme="majorHAnsi" w:hAnsiTheme="majorHAnsi"/>
          <w:sz w:val="24"/>
        </w:rPr>
        <w:t>requested to be submitted electronically</w:t>
      </w:r>
      <w:r w:rsidR="002553D8">
        <w:rPr>
          <w:rFonts w:asciiTheme="majorHAnsi" w:hAnsiTheme="majorHAnsi"/>
          <w:sz w:val="24"/>
        </w:rPr>
        <w:t xml:space="preserve"> whenever possible. </w:t>
      </w:r>
      <w:r>
        <w:rPr>
          <w:rFonts w:asciiTheme="majorHAnsi" w:hAnsiTheme="majorHAnsi"/>
          <w:sz w:val="24"/>
        </w:rPr>
        <w:t xml:space="preserve">VA complies with the policy in FAR 4.502(a) that mandates the Federal Government shall use electronic commerce whenever practicable or cost-effective. </w:t>
      </w:r>
      <w:r w:rsidRPr="00D13285">
        <w:rPr>
          <w:rFonts w:asciiTheme="majorHAnsi" w:hAnsiTheme="majorHAnsi"/>
          <w:sz w:val="24"/>
        </w:rPr>
        <w:t>Contracting officers may supplement electronic transactions by using other media to meet the requirements of any contract action governed by the FAR</w:t>
      </w:r>
      <w:r>
        <w:rPr>
          <w:rFonts w:asciiTheme="majorHAnsi" w:hAnsiTheme="majorHAnsi"/>
          <w:sz w:val="24"/>
        </w:rPr>
        <w:t>.</w:t>
      </w:r>
    </w:p>
    <w:p w:rsidR="00624B1D" w:rsidP="006E563D" w14:paraId="6E7C8838" w14:textId="77777777">
      <w:pPr>
        <w:spacing w:after="0" w:line="240" w:lineRule="auto"/>
        <w:rPr>
          <w:rFonts w:asciiTheme="majorHAnsi" w:hAnsiTheme="majorHAnsi"/>
          <w:sz w:val="24"/>
        </w:rPr>
      </w:pPr>
    </w:p>
    <w:p w:rsidR="002553D8" w:rsidP="006E563D" w14:paraId="3CE7FD08" w14:textId="414EA2E9">
      <w:pPr>
        <w:spacing w:after="0" w:line="240" w:lineRule="auto"/>
        <w:rPr>
          <w:rFonts w:asciiTheme="majorHAnsi" w:hAnsiTheme="majorHAnsi"/>
          <w:sz w:val="24"/>
        </w:rPr>
      </w:pPr>
      <w:r>
        <w:rPr>
          <w:rFonts w:asciiTheme="majorHAnsi" w:hAnsiTheme="majorHAnsi"/>
          <w:sz w:val="24"/>
        </w:rPr>
        <w:t>Since t</w:t>
      </w:r>
      <w:r>
        <w:rPr>
          <w:rFonts w:asciiTheme="majorHAnsi" w:hAnsiTheme="majorHAnsi"/>
          <w:sz w:val="24"/>
        </w:rPr>
        <w:t xml:space="preserve">his </w:t>
      </w:r>
      <w:r>
        <w:rPr>
          <w:rFonts w:asciiTheme="majorHAnsi" w:hAnsiTheme="majorHAnsi"/>
          <w:sz w:val="24"/>
        </w:rPr>
        <w:t>particular information</w:t>
      </w:r>
      <w:r>
        <w:rPr>
          <w:rFonts w:asciiTheme="majorHAnsi" w:hAnsiTheme="majorHAnsi"/>
          <w:sz w:val="24"/>
        </w:rPr>
        <w:t xml:space="preserve"> requirement </w:t>
      </w:r>
      <w:r w:rsidRPr="002553D8">
        <w:rPr>
          <w:rFonts w:asciiTheme="majorHAnsi" w:hAnsiTheme="majorHAnsi"/>
          <w:sz w:val="24"/>
        </w:rPr>
        <w:t>is specific to each item of equipment and the information must accompany the delivery of the equipment</w:t>
      </w:r>
      <w:r w:rsidR="00EA7874">
        <w:rPr>
          <w:rFonts w:asciiTheme="majorHAnsi" w:hAnsiTheme="majorHAnsi"/>
          <w:sz w:val="24"/>
        </w:rPr>
        <w:t>, o</w:t>
      </w:r>
      <w:r w:rsidRPr="002553D8">
        <w:rPr>
          <w:rFonts w:asciiTheme="majorHAnsi" w:hAnsiTheme="majorHAnsi"/>
          <w:sz w:val="24"/>
        </w:rPr>
        <w:t>fferors</w:t>
      </w:r>
      <w:r w:rsidR="00B43D17">
        <w:rPr>
          <w:rFonts w:asciiTheme="majorHAnsi" w:hAnsiTheme="majorHAnsi"/>
          <w:sz w:val="24"/>
        </w:rPr>
        <w:t xml:space="preserve"> and contractors</w:t>
      </w:r>
      <w:r w:rsidRPr="002553D8">
        <w:rPr>
          <w:rFonts w:asciiTheme="majorHAnsi" w:hAnsiTheme="majorHAnsi"/>
          <w:sz w:val="24"/>
        </w:rPr>
        <w:t xml:space="preserve"> are required to provide specific information, unique to the product that they are offering, to show how that product is operated and maintained. However, the information could be furnished on disk or other electronic media.</w:t>
      </w:r>
    </w:p>
    <w:p w:rsidR="002553D8" w:rsidP="006E563D" w14:paraId="5DA1AD16" w14:textId="77777777">
      <w:pPr>
        <w:spacing w:after="0" w:line="240" w:lineRule="auto"/>
        <w:rPr>
          <w:rFonts w:asciiTheme="majorHAnsi" w:hAnsiTheme="majorHAnsi"/>
          <w:sz w:val="24"/>
        </w:rPr>
      </w:pPr>
    </w:p>
    <w:p w:rsidR="008635C4" w:rsidRPr="008635C4" w:rsidP="00624B1D" w14:paraId="7EDA2C7B" w14:textId="3A82CD72">
      <w:pPr>
        <w:spacing w:after="0" w:line="240" w:lineRule="auto"/>
        <w:rPr>
          <w:rFonts w:asciiTheme="majorHAnsi" w:hAnsiTheme="majorHAnsi"/>
          <w: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12E96233" w14:textId="77777777">
      <w:pPr>
        <w:spacing w:after="0" w:line="240" w:lineRule="auto"/>
        <w:rPr>
          <w:rFonts w:asciiTheme="majorHAnsi" w:hAnsiTheme="majorHAnsi"/>
          <w:i/>
          <w:sz w:val="24"/>
        </w:rPr>
      </w:pPr>
    </w:p>
    <w:p w:rsidR="00D13285" w:rsidRPr="00D13285" w:rsidP="006E563D" w14:paraId="54677A09" w14:textId="4669360D">
      <w:pPr>
        <w:spacing w:after="0" w:line="240" w:lineRule="auto"/>
        <w:rPr>
          <w:rFonts w:asciiTheme="majorHAnsi" w:hAnsiTheme="majorHAnsi"/>
          <w:iCs/>
          <w:sz w:val="24"/>
        </w:rPr>
      </w:pPr>
      <w:r w:rsidRPr="003E6192">
        <w:rPr>
          <w:rFonts w:asciiTheme="majorHAnsi" w:hAnsiTheme="majorHAnsi"/>
          <w:iCs/>
          <w:sz w:val="24"/>
        </w:rPr>
        <w:t>The information obtained through this collection is unique and is not already available for use or adaptation from another cleared source.</w:t>
      </w:r>
    </w:p>
    <w:p w:rsidR="00CA15B1" w:rsidP="006E563D" w14:paraId="397AF4A9" w14:textId="77777777">
      <w:pPr>
        <w:spacing w:after="0" w:line="240" w:lineRule="auto"/>
        <w:rPr>
          <w:rFonts w:asciiTheme="majorHAnsi" w:hAnsiTheme="majorHAnsi"/>
          <w:i/>
          <w:sz w:val="24"/>
        </w:rPr>
      </w:pPr>
    </w:p>
    <w:p w:rsidR="002567F9" w:rsidRPr="002567F9" w:rsidP="00624B1D" w14:paraId="1330A06D" w14:textId="4710670E">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2567F9">
        <w:rPr>
          <w:rFonts w:asciiTheme="majorHAnsi" w:hAnsiTheme="majorHAnsi"/>
          <w:i/>
          <w:sz w:val="24"/>
        </w:rPr>
        <w:t xml:space="preserve"> </w:t>
      </w:r>
    </w:p>
    <w:p w:rsidR="00B55E9F" w:rsidP="006E563D" w14:paraId="4B872361" w14:textId="77777777">
      <w:pPr>
        <w:spacing w:after="0" w:line="240" w:lineRule="auto"/>
        <w:rPr>
          <w:rFonts w:asciiTheme="majorHAnsi" w:hAnsiTheme="majorHAnsi"/>
          <w:i/>
          <w:sz w:val="24"/>
        </w:rPr>
      </w:pPr>
    </w:p>
    <w:p w:rsidR="00633EE7" w:rsidRPr="00633EE7" w:rsidP="006E563D" w14:paraId="26B7E729" w14:textId="0743CBC6">
      <w:pPr>
        <w:spacing w:after="0" w:line="240" w:lineRule="auto"/>
        <w:rPr>
          <w:rFonts w:asciiTheme="majorHAnsi" w:hAnsiTheme="majorHAnsi"/>
          <w:iCs/>
          <w:sz w:val="24"/>
        </w:rPr>
      </w:pPr>
      <w:r w:rsidRPr="00633EE7">
        <w:rPr>
          <w:rFonts w:asciiTheme="majorHAnsi" w:hAnsiTheme="majorHAnsi"/>
          <w:iCs/>
          <w:sz w:val="24"/>
        </w:rPr>
        <w:t>This information collection does not impose a significant economic impact on a substantial number of small businesses or entities.</w:t>
      </w:r>
    </w:p>
    <w:p w:rsidR="00633EE7" w:rsidRPr="00633EE7" w:rsidP="006E563D" w14:paraId="636B6D1A" w14:textId="77777777">
      <w:pPr>
        <w:spacing w:after="0" w:line="240" w:lineRule="auto"/>
        <w:rPr>
          <w:rFonts w:asciiTheme="majorHAnsi" w:hAnsiTheme="majorHAnsi"/>
          <w:iCs/>
          <w:sz w:val="24"/>
        </w:rPr>
      </w:pPr>
    </w:p>
    <w:p w:rsidR="00F86C35" w:rsidP="00624B1D" w14:paraId="27538C2B" w14:textId="5B4E595A">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p>
    <w:p w:rsidR="008730FC" w:rsidP="006E563D" w14:paraId="202E6A2B" w14:textId="2FABAB72">
      <w:pPr>
        <w:spacing w:after="0" w:line="240" w:lineRule="auto"/>
        <w:rPr>
          <w:rFonts w:asciiTheme="majorHAnsi" w:hAnsiTheme="majorHAnsi"/>
          <w:i/>
          <w:sz w:val="24"/>
        </w:rPr>
      </w:pPr>
    </w:p>
    <w:p w:rsidR="00231BCE" w:rsidRPr="00231BCE" w:rsidP="00231BCE" w14:paraId="270A4134" w14:textId="53FF43D2">
      <w:pPr>
        <w:spacing w:after="0" w:line="240" w:lineRule="auto"/>
        <w:rPr>
          <w:rFonts w:asciiTheme="majorHAnsi" w:hAnsiTheme="majorHAnsi"/>
          <w:iCs/>
          <w:sz w:val="24"/>
        </w:rPr>
      </w:pPr>
      <w:r w:rsidRPr="00231BCE">
        <w:rPr>
          <w:rFonts w:asciiTheme="majorHAnsi" w:hAnsiTheme="majorHAnsi"/>
          <w:iCs/>
          <w:sz w:val="24"/>
        </w:rPr>
        <w:t xml:space="preserve">Generally, </w:t>
      </w:r>
      <w:r w:rsidR="00D1576A">
        <w:rPr>
          <w:rFonts w:asciiTheme="majorHAnsi" w:hAnsiTheme="majorHAnsi"/>
          <w:iCs/>
          <w:sz w:val="24"/>
        </w:rPr>
        <w:t xml:space="preserve">offerors and </w:t>
      </w:r>
      <w:r w:rsidRPr="00231BCE">
        <w:rPr>
          <w:rFonts w:asciiTheme="majorHAnsi" w:hAnsiTheme="majorHAnsi"/>
          <w:iCs/>
          <w:sz w:val="24"/>
        </w:rPr>
        <w:t xml:space="preserve">contractors will be required to provide the requisite information with proposal submission. In most cases contractors will have 30 days or more to prepare a proposal submission. With contracting officer approval, the </w:t>
      </w:r>
      <w:r w:rsidR="00D1576A">
        <w:rPr>
          <w:rFonts w:asciiTheme="majorHAnsi" w:hAnsiTheme="majorHAnsi"/>
          <w:iCs/>
          <w:sz w:val="24"/>
        </w:rPr>
        <w:t xml:space="preserve">offeror or </w:t>
      </w:r>
      <w:r w:rsidRPr="00231BCE">
        <w:rPr>
          <w:rFonts w:asciiTheme="majorHAnsi" w:hAnsiTheme="majorHAnsi"/>
          <w:iCs/>
          <w:sz w:val="24"/>
        </w:rPr>
        <w:t xml:space="preserve">contractor may submit a waiver within a specified time frame after proposal submission. </w:t>
      </w:r>
      <w:r>
        <w:rPr>
          <w:rFonts w:asciiTheme="majorHAnsi" w:hAnsiTheme="majorHAnsi"/>
          <w:iCs/>
          <w:sz w:val="24"/>
        </w:rPr>
        <w:t>T</w:t>
      </w:r>
      <w:r w:rsidRPr="00231BCE">
        <w:rPr>
          <w:rFonts w:asciiTheme="majorHAnsi" w:hAnsiTheme="majorHAnsi"/>
          <w:iCs/>
          <w:sz w:val="24"/>
        </w:rPr>
        <w:t xml:space="preserve">he protection of </w:t>
      </w:r>
      <w:r w:rsidR="00D1576A">
        <w:rPr>
          <w:rFonts w:asciiTheme="majorHAnsi" w:hAnsiTheme="majorHAnsi"/>
          <w:iCs/>
          <w:sz w:val="24"/>
        </w:rPr>
        <w:t xml:space="preserve">offeror or </w:t>
      </w:r>
      <w:r w:rsidRPr="00231BCE">
        <w:rPr>
          <w:rFonts w:asciiTheme="majorHAnsi" w:hAnsiTheme="majorHAnsi"/>
          <w:iCs/>
          <w:sz w:val="24"/>
        </w:rPr>
        <w:t>contractor proprietary, trade secret, or other confidential information and the Government’s right to use that data are covered by contract-specific clauses.</w:t>
      </w:r>
    </w:p>
    <w:p w:rsidR="00F86C35" w:rsidP="006E563D" w14:paraId="4B3512B4" w14:textId="77777777">
      <w:pPr>
        <w:spacing w:after="0" w:line="240" w:lineRule="auto"/>
        <w:rPr>
          <w:rFonts w:asciiTheme="majorHAnsi" w:hAnsiTheme="majorHAnsi"/>
          <w:i/>
          <w:sz w:val="24"/>
        </w:rPr>
      </w:pPr>
    </w:p>
    <w:p w:rsidR="000F2788" w:rsidP="00624B1D" w14:paraId="3B05E84F" w14:textId="5CC203C3">
      <w:pPr>
        <w:spacing w:after="0" w:line="240" w:lineRule="auto"/>
        <w:rPr>
          <w:rFonts w:asciiTheme="majorHAnsi" w:hAnsiTheme="majorHAns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256108C" w14:textId="51B56F73">
      <w:pPr>
        <w:pStyle w:val="NormalWeb"/>
        <w:spacing w:line="288" w:lineRule="atLeast"/>
        <w:rPr>
          <w:rFonts w:asciiTheme="majorHAnsi" w:eastAsiaTheme="minorHAnsi" w:hAnsiTheme="majorHAnsi" w:cstheme="minorBidi"/>
          <w:szCs w:val="22"/>
        </w:rPr>
      </w:pPr>
      <w:r w:rsidRPr="000F2788">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r w:rsidR="0007006D">
        <w:rPr>
          <w:rFonts w:asciiTheme="majorHAnsi" w:eastAsiaTheme="minorHAnsi" w:hAnsiTheme="majorHAnsi" w:cstheme="minorBidi"/>
          <w:szCs w:val="22"/>
        </w:rPr>
        <w:t>More specifically to two requirements</w:t>
      </w:r>
      <w:r w:rsidR="00407CC0">
        <w:rPr>
          <w:rFonts w:asciiTheme="majorHAnsi" w:eastAsiaTheme="minorHAnsi" w:hAnsiTheme="majorHAnsi" w:cstheme="minorBidi"/>
          <w:szCs w:val="22"/>
        </w:rPr>
        <w:t xml:space="preserve"> – one, the nature and extent of confidentiality</w:t>
      </w:r>
      <w:r w:rsidR="0007006D">
        <w:rPr>
          <w:rFonts w:asciiTheme="majorHAnsi" w:eastAsiaTheme="minorHAnsi" w:hAnsiTheme="majorHAnsi" w:cstheme="minorBidi"/>
          <w:szCs w:val="22"/>
        </w:rPr>
        <w:t>, t</w:t>
      </w:r>
      <w:r w:rsidRPr="000F2788">
        <w:rPr>
          <w:rFonts w:asciiTheme="majorHAnsi" w:eastAsiaTheme="minorHAnsi" w:hAnsiTheme="majorHAnsi" w:cstheme="minorBidi"/>
          <w:szCs w:val="22"/>
        </w:rPr>
        <w:t>he protection of contractor proprietary, trade secret, or other confidential information and the Government’s right to use that data are covered by contract-specific clauses</w:t>
      </w:r>
      <w:r w:rsidR="0007006D">
        <w:rPr>
          <w:rFonts w:asciiTheme="majorHAnsi" w:eastAsiaTheme="minorHAnsi" w:hAnsiTheme="majorHAnsi" w:cstheme="minorBidi"/>
          <w:szCs w:val="22"/>
        </w:rPr>
        <w:t xml:space="preserve"> available to all offerors</w:t>
      </w:r>
      <w:r w:rsidRPr="000F2788">
        <w:rPr>
          <w:rFonts w:asciiTheme="majorHAnsi" w:eastAsiaTheme="minorHAnsi" w:hAnsiTheme="majorHAnsi" w:cstheme="minorBidi"/>
          <w:szCs w:val="22"/>
        </w:rPr>
        <w:t>.</w:t>
      </w:r>
      <w:r w:rsidR="0007006D">
        <w:rPr>
          <w:rFonts w:asciiTheme="majorHAnsi" w:eastAsiaTheme="minorHAnsi" w:hAnsiTheme="majorHAnsi" w:cstheme="minorBidi"/>
          <w:szCs w:val="22"/>
        </w:rPr>
        <w:t xml:space="preserve"> </w:t>
      </w:r>
      <w:r w:rsidR="00407CC0">
        <w:rPr>
          <w:rFonts w:asciiTheme="majorHAnsi" w:eastAsiaTheme="minorHAnsi" w:hAnsiTheme="majorHAnsi" w:cstheme="minorBidi"/>
          <w:szCs w:val="22"/>
        </w:rPr>
        <w:t>Second, regarding reducing burden on small entities</w:t>
      </w:r>
      <w:r w:rsidRPr="00516F39" w:rsidR="00516F39">
        <w:t xml:space="preserve"> </w:t>
      </w:r>
      <w:r w:rsidRPr="00516F39" w:rsidR="00516F39">
        <w:rPr>
          <w:rFonts w:asciiTheme="majorHAnsi" w:eastAsiaTheme="minorHAnsi" w:hAnsiTheme="majorHAnsi" w:cstheme="minorBidi"/>
          <w:szCs w:val="22"/>
        </w:rPr>
        <w:t>to the extent practicable and appropriate</w:t>
      </w:r>
      <w:r w:rsidR="00407CC0">
        <w:rPr>
          <w:rFonts w:asciiTheme="majorHAnsi" w:eastAsiaTheme="minorHAnsi" w:hAnsiTheme="majorHAnsi" w:cstheme="minorBidi"/>
          <w:szCs w:val="22"/>
        </w:rPr>
        <w:t>, t</w:t>
      </w:r>
      <w:r w:rsidR="0007006D">
        <w:rPr>
          <w:rFonts w:asciiTheme="majorHAnsi" w:eastAsiaTheme="minorHAnsi" w:hAnsiTheme="majorHAnsi" w:cstheme="minorBidi"/>
          <w:szCs w:val="22"/>
        </w:rPr>
        <w:t xml:space="preserve">his information is required by the Government </w:t>
      </w:r>
      <w:r w:rsidR="00407CC0">
        <w:rPr>
          <w:rFonts w:asciiTheme="majorHAnsi" w:eastAsiaTheme="minorHAnsi" w:hAnsiTheme="majorHAnsi" w:cstheme="minorBidi"/>
          <w:szCs w:val="22"/>
        </w:rPr>
        <w:t>to</w:t>
      </w:r>
      <w:r w:rsidR="0007006D">
        <w:rPr>
          <w:rFonts w:asciiTheme="majorHAnsi" w:eastAsiaTheme="minorHAnsi" w:hAnsiTheme="majorHAnsi" w:cstheme="minorBidi"/>
          <w:szCs w:val="22"/>
        </w:rPr>
        <w:t xml:space="preserve"> protect transparency and fairness in government contract transactions </w:t>
      </w:r>
      <w:r w:rsidR="00407CC0">
        <w:rPr>
          <w:rFonts w:asciiTheme="majorHAnsi" w:eastAsiaTheme="minorHAnsi" w:hAnsiTheme="majorHAnsi" w:cstheme="minorBidi"/>
          <w:szCs w:val="22"/>
        </w:rPr>
        <w:t xml:space="preserve">by ensuring </w:t>
      </w:r>
      <w:r w:rsidR="00624B1D">
        <w:rPr>
          <w:rFonts w:asciiTheme="majorHAnsi" w:eastAsiaTheme="minorHAnsi" w:hAnsiTheme="majorHAnsi" w:cstheme="minorBidi"/>
          <w:szCs w:val="22"/>
        </w:rPr>
        <w:t xml:space="preserve">the </w:t>
      </w:r>
      <w:r w:rsidRPr="00624B1D" w:rsidR="00624B1D">
        <w:rPr>
          <w:rFonts w:asciiTheme="majorHAnsi" w:eastAsiaTheme="minorHAnsi" w:hAnsiTheme="majorHAnsi" w:cstheme="minorBidi"/>
          <w:szCs w:val="22"/>
        </w:rPr>
        <w:t>operat</w:t>
      </w:r>
      <w:r w:rsidR="00652D62">
        <w:rPr>
          <w:rFonts w:asciiTheme="majorHAnsi" w:eastAsiaTheme="minorHAnsi" w:hAnsiTheme="majorHAnsi" w:cstheme="minorBidi"/>
          <w:szCs w:val="22"/>
        </w:rPr>
        <w:t>ion</w:t>
      </w:r>
      <w:r w:rsidRPr="00624B1D" w:rsidR="00624B1D">
        <w:rPr>
          <w:rFonts w:asciiTheme="majorHAnsi" w:eastAsiaTheme="minorHAnsi" w:hAnsiTheme="majorHAnsi" w:cstheme="minorBidi"/>
          <w:szCs w:val="22"/>
        </w:rPr>
        <w:t xml:space="preserve"> manual will be used by the individual </w:t>
      </w:r>
      <w:r w:rsidRPr="00624B1D" w:rsidR="00624B1D">
        <w:rPr>
          <w:rFonts w:asciiTheme="majorHAnsi" w:eastAsiaTheme="minorHAnsi" w:hAnsiTheme="majorHAnsi" w:cstheme="minorBidi"/>
          <w:szCs w:val="22"/>
        </w:rPr>
        <w:t>actually operating</w:t>
      </w:r>
      <w:r w:rsidRPr="00624B1D" w:rsidR="00624B1D">
        <w:rPr>
          <w:rFonts w:asciiTheme="majorHAnsi" w:eastAsiaTheme="minorHAnsi" w:hAnsiTheme="majorHAnsi" w:cstheme="minorBidi"/>
          <w:szCs w:val="22"/>
        </w:rPr>
        <w:t xml:space="preserve"> the equipment to ensure proper operation and cleaning.</w:t>
      </w:r>
      <w:r w:rsidR="00624B1D">
        <w:rPr>
          <w:rFonts w:asciiTheme="majorHAnsi" w:eastAsiaTheme="minorHAnsi" w:hAnsiTheme="majorHAnsi" w:cstheme="minorBidi"/>
          <w:szCs w:val="22"/>
        </w:rPr>
        <w:t xml:space="preserve"> </w:t>
      </w:r>
      <w:r w:rsidR="00D92D61">
        <w:rPr>
          <w:rFonts w:asciiTheme="majorHAnsi" w:eastAsiaTheme="minorHAnsi" w:hAnsiTheme="majorHAnsi" w:cstheme="minorBidi"/>
          <w:szCs w:val="22"/>
        </w:rPr>
        <w:t xml:space="preserve">The </w:t>
      </w:r>
      <w:r w:rsidRPr="00F46609" w:rsidR="00D92D61">
        <w:rPr>
          <w:rFonts w:asciiTheme="majorHAnsi" w:eastAsiaTheme="minorHAnsi" w:hAnsiTheme="majorHAnsi" w:cstheme="minorBidi"/>
          <w:szCs w:val="22"/>
        </w:rPr>
        <w:t>capture and maintenance by an offeror/contractor of such information is a standard</w:t>
      </w:r>
      <w:r w:rsidR="00D92D61">
        <w:rPr>
          <w:rFonts w:asciiTheme="majorHAnsi" w:eastAsiaTheme="minorHAnsi" w:hAnsiTheme="majorHAnsi" w:cstheme="minorBidi"/>
          <w:szCs w:val="22"/>
        </w:rPr>
        <w:t xml:space="preserve"> business practice</w:t>
      </w:r>
      <w:r w:rsidR="00407CC0">
        <w:rPr>
          <w:rFonts w:asciiTheme="majorHAnsi" w:eastAsiaTheme="minorHAnsi" w:hAnsiTheme="majorHAnsi" w:cstheme="minorBidi"/>
          <w:szCs w:val="22"/>
        </w:rPr>
        <w:t xml:space="preserve"> </w:t>
      </w:r>
      <w:r w:rsidR="003278B9">
        <w:rPr>
          <w:rFonts w:asciiTheme="majorHAnsi" w:eastAsiaTheme="minorHAnsi" w:hAnsiTheme="majorHAnsi" w:cstheme="minorBidi"/>
          <w:szCs w:val="22"/>
        </w:rPr>
        <w:t xml:space="preserve">they would routinely retain and </w:t>
      </w:r>
      <w:r w:rsidR="00C11238">
        <w:rPr>
          <w:rFonts w:asciiTheme="majorHAnsi" w:eastAsiaTheme="minorHAnsi" w:hAnsiTheme="majorHAnsi" w:cstheme="minorBidi"/>
          <w:szCs w:val="22"/>
        </w:rPr>
        <w:t>gather and</w:t>
      </w:r>
      <w:r w:rsidR="00407CC0">
        <w:rPr>
          <w:rFonts w:asciiTheme="majorHAnsi" w:eastAsiaTheme="minorHAnsi" w:hAnsiTheme="majorHAnsi" w:cstheme="minorBidi"/>
          <w:szCs w:val="22"/>
        </w:rPr>
        <w:t xml:space="preserve"> </w:t>
      </w:r>
      <w:r w:rsidR="00516F39">
        <w:rPr>
          <w:rFonts w:asciiTheme="majorHAnsi" w:eastAsiaTheme="minorHAnsi" w:hAnsiTheme="majorHAnsi" w:cstheme="minorBidi"/>
          <w:szCs w:val="22"/>
        </w:rPr>
        <w:t>that is most suitable to their needs.</w:t>
      </w:r>
      <w:r w:rsidR="00407CC0">
        <w:rPr>
          <w:rFonts w:asciiTheme="majorHAnsi" w:eastAsiaTheme="minorHAnsi" w:hAnsiTheme="majorHAnsi" w:cstheme="minorBidi"/>
          <w:szCs w:val="22"/>
        </w:rPr>
        <w:t xml:space="preserve"> </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531FB81" w14:textId="45B3DB6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sidR="00C920E8">
        <w:rPr>
          <w:rFonts w:asciiTheme="majorHAnsi" w:eastAsiaTheme="minorHAnsi" w:hAnsiTheme="majorHAnsi" w:cstheme="minorBidi"/>
          <w:szCs w:val="22"/>
        </w:rPr>
        <w:t xml:space="preserve">was </w:t>
      </w:r>
      <w:r>
        <w:rPr>
          <w:rFonts w:asciiTheme="majorHAnsi" w:eastAsiaTheme="minorHAnsi" w:hAnsiTheme="majorHAnsi" w:cstheme="minorBidi"/>
          <w:szCs w:val="22"/>
        </w:rPr>
        <w:t>published on</w:t>
      </w:r>
      <w:r w:rsidR="006013B4">
        <w:rPr>
          <w:rFonts w:asciiTheme="majorHAnsi" w:eastAsiaTheme="minorHAnsi" w:hAnsiTheme="majorHAnsi" w:cstheme="minorBidi"/>
          <w:szCs w:val="22"/>
        </w:rPr>
        <w:t xml:space="preserve"> Wednesday, September 17, 2024.</w:t>
      </w:r>
      <w:r w:rsidR="00D92D61">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60-Day FRN citation is </w:t>
      </w:r>
      <w:r w:rsidR="006013B4">
        <w:t>89 FR 76193</w:t>
      </w:r>
      <w:r>
        <w:rPr>
          <w:rFonts w:asciiTheme="majorHAnsi" w:eastAsiaTheme="minorHAnsi" w:hAnsiTheme="majorHAnsi" w:cstheme="minorBidi"/>
          <w:szCs w:val="22"/>
        </w:rPr>
        <w:t xml:space="preserve">. </w:t>
      </w:r>
      <w:r w:rsidRPr="00F30DC9" w:rsidR="006013B4">
        <w:rPr>
          <w:rFonts w:asciiTheme="majorHAnsi" w:eastAsiaTheme="minorHAnsi" w:hAnsiTheme="majorHAnsi" w:cstheme="minorBidi"/>
          <w:szCs w:val="22"/>
        </w:rPr>
        <w:t>VA did not receive any public comments.</w:t>
      </w:r>
      <w:r w:rsidR="00954EC4">
        <w:rPr>
          <w:rFonts w:asciiTheme="majorHAnsi" w:eastAsiaTheme="minorHAnsi" w:hAnsiTheme="majorHAnsi" w:cstheme="minorBidi"/>
          <w:szCs w:val="22"/>
        </w:rPr>
        <w:t xml:space="preserve"> A 30-Day FRN for the collection </w:t>
      </w:r>
      <w:r w:rsidR="00C920E8">
        <w:rPr>
          <w:rFonts w:asciiTheme="majorHAnsi" w:eastAsiaTheme="minorHAnsi" w:hAnsiTheme="majorHAnsi" w:cstheme="minorBidi"/>
          <w:szCs w:val="22"/>
        </w:rPr>
        <w:t xml:space="preserve">was </w:t>
      </w:r>
      <w:r w:rsidR="00954EC4">
        <w:rPr>
          <w:rFonts w:asciiTheme="majorHAnsi" w:eastAsiaTheme="minorHAnsi" w:hAnsiTheme="majorHAnsi" w:cstheme="minorBidi"/>
          <w:szCs w:val="22"/>
        </w:rPr>
        <w:t xml:space="preserve">published on Wednesday, November 27, 2024. The 30-Day FRN citation is </w:t>
      </w:r>
      <w:r w:rsidRPr="00954EC4" w:rsidR="00954EC4">
        <w:rPr>
          <w:rFonts w:asciiTheme="majorHAnsi" w:eastAsiaTheme="minorHAnsi" w:hAnsiTheme="majorHAnsi" w:cstheme="minorBidi"/>
          <w:szCs w:val="22"/>
        </w:rPr>
        <w:t>89 FR 93907</w:t>
      </w:r>
      <w:r w:rsidR="00954EC4">
        <w:rPr>
          <w:rFonts w:asciiTheme="majorHAnsi" w:eastAsiaTheme="minorHAnsi" w:hAnsiTheme="majorHAnsi" w:cstheme="minorBidi"/>
          <w:szCs w:val="22"/>
        </w:rPr>
        <w:t>.</w:t>
      </w:r>
    </w:p>
    <w:p w:rsidR="00571698" w:rsidP="00624B1D" w14:paraId="70A4183A" w14:textId="14828AA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BF30EE" w:rsidRPr="00BF30EE" w:rsidP="00B55E9F" w14:paraId="000D31A0" w14:textId="5E4AAB33">
      <w:pPr>
        <w:pStyle w:val="NormalWeb"/>
        <w:spacing w:line="288" w:lineRule="atLeast"/>
        <w:rPr>
          <w:rFonts w:asciiTheme="majorHAnsi" w:hAnsiTheme="majorHAnsi"/>
          <w:iCs/>
        </w:rPr>
      </w:pPr>
      <w:r w:rsidRPr="00BF30EE">
        <w:rPr>
          <w:rFonts w:asciiTheme="majorHAnsi" w:hAnsiTheme="majorHAnsi"/>
          <w:iCs/>
        </w:rPr>
        <w:t>No additional consultation apart from soliciting public comments through the Federal Register was conducted for this submission.</w:t>
      </w:r>
    </w:p>
    <w:p w:rsidR="006A13FA" w:rsidP="00624B1D" w14:paraId="53A391A2" w14:textId="091E1469">
      <w:pPr>
        <w:spacing w:after="0" w:line="240" w:lineRule="auto"/>
        <w:rPr>
          <w:rFonts w:asciiTheme="majorHAnsi" w:hAnsiTheme="majorHAnsi"/>
          <w:iCs/>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F30EE" w:rsidP="006A13FA" w14:paraId="09B169A6" w14:textId="762EAAD7">
      <w:pPr>
        <w:spacing w:after="0" w:line="240" w:lineRule="auto"/>
        <w:rPr>
          <w:rFonts w:asciiTheme="majorHAnsi" w:hAnsiTheme="majorHAnsi"/>
          <w:iCs/>
          <w:sz w:val="24"/>
        </w:rPr>
      </w:pPr>
    </w:p>
    <w:p w:rsidR="00BF30EE" w:rsidRPr="00BF30EE" w:rsidP="006A13FA" w14:paraId="775CFA61" w14:textId="29E12CCD">
      <w:pPr>
        <w:spacing w:after="0" w:line="240" w:lineRule="auto"/>
        <w:rPr>
          <w:rFonts w:asciiTheme="majorHAnsi" w:hAnsiTheme="majorHAnsi"/>
          <w:iCs/>
          <w:sz w:val="24"/>
        </w:rPr>
      </w:pPr>
      <w:r w:rsidRPr="00BF30EE">
        <w:rPr>
          <w:rFonts w:asciiTheme="majorHAnsi" w:hAnsiTheme="majorHAnsi"/>
          <w:iCs/>
          <w:sz w:val="24"/>
        </w:rPr>
        <w:t>No payments or gifts are being offered to respondents as an incentive to participate in the collection.</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44AA7" w:rsidP="006A13FA" w14:paraId="38D238B8" w14:textId="4CEF4DFE">
      <w:pPr>
        <w:spacing w:after="0" w:line="240" w:lineRule="auto"/>
        <w:rPr>
          <w:rFonts w:asciiTheme="majorHAnsi" w:hAnsiTheme="majorHAnsi"/>
          <w:iCs/>
          <w:sz w:val="24"/>
          <w:highlight w:val="yellow"/>
        </w:rPr>
      </w:pPr>
    </w:p>
    <w:p w:rsidR="00344AA7" w:rsidP="006A13FA" w14:paraId="138FD88D" w14:textId="429485A2">
      <w:pPr>
        <w:spacing w:after="0" w:line="240" w:lineRule="auto"/>
        <w:rPr>
          <w:rFonts w:asciiTheme="majorHAnsi" w:hAnsiTheme="majorHAnsi"/>
          <w:iCs/>
          <w:sz w:val="24"/>
          <w:highlight w:val="yellow"/>
        </w:rPr>
      </w:pPr>
      <w:r w:rsidRPr="00344AA7">
        <w:rPr>
          <w:rFonts w:asciiTheme="majorHAnsi" w:hAnsiTheme="majorHAnsi"/>
          <w:iCs/>
          <w:sz w:val="24"/>
        </w:rPr>
        <w:t>Data will be kept private to the extent allowed by law.  Information provided to VA by a contractor is subject to being requested by third parties under the Freedom of Information Act (FOIA), as amended (5 U.S.C. 552), but business proprietary information is generally exempt from public disclosure under the FOIA.</w:t>
      </w:r>
      <w:r w:rsidR="009502E6">
        <w:rPr>
          <w:rFonts w:asciiTheme="majorHAnsi" w:hAnsiTheme="majorHAnsi"/>
          <w:iCs/>
          <w:sz w:val="24"/>
        </w:rPr>
        <w:t xml:space="preserve"> </w:t>
      </w:r>
    </w:p>
    <w:p w:rsidR="00344AA7" w:rsidP="006A13FA" w14:paraId="1207B674" w14:textId="77777777">
      <w:pPr>
        <w:spacing w:after="0" w:line="240" w:lineRule="auto"/>
        <w:rPr>
          <w:rFonts w:asciiTheme="majorHAnsi" w:hAnsiTheme="majorHAnsi"/>
          <w:iCs/>
          <w:sz w:val="24"/>
          <w:highlight w:val="yellow"/>
        </w:rPr>
      </w:pPr>
    </w:p>
    <w:p w:rsidR="00BF30EE" w:rsidP="00BF30EE" w14:paraId="7992CFB2" w14:textId="1BB0B7D8">
      <w:pPr>
        <w:spacing w:after="0" w:line="240" w:lineRule="auto"/>
        <w:rPr>
          <w:rFonts w:asciiTheme="majorHAnsi" w:hAnsiTheme="majorHAnsi"/>
          <w:sz w:val="24"/>
        </w:rPr>
      </w:pPr>
      <w:r w:rsidRPr="00BF30EE">
        <w:rPr>
          <w:rFonts w:asciiTheme="majorHAnsi" w:hAnsiTheme="majorHAnsi"/>
          <w:sz w:val="24"/>
        </w:rPr>
        <w:t>A Privacy Act Statement is not required for this collection because we are not requesting individuals to furnish personal information for a system of records.</w:t>
      </w:r>
    </w:p>
    <w:p w:rsidR="00E95FFB" w:rsidP="00E95FFB" w14:paraId="562048FF" w14:textId="77777777">
      <w:pPr>
        <w:spacing w:after="0" w:line="240" w:lineRule="auto"/>
        <w:rPr>
          <w:rFonts w:asciiTheme="majorHAnsi" w:hAnsiTheme="majorHAnsi"/>
          <w:sz w:val="24"/>
        </w:rPr>
      </w:pPr>
    </w:p>
    <w:p w:rsidR="005D5C81" w:rsidP="00490797" w14:paraId="1B9A947A" w14:textId="45DC71B9">
      <w:pPr>
        <w:spacing w:after="0" w:line="240" w:lineRule="auto"/>
        <w:rPr>
          <w:rFonts w:asciiTheme="majorHAnsi" w:hAnsiTheme="majorHAnsi"/>
          <w:sz w:val="24"/>
        </w:rPr>
      </w:pPr>
      <w:r w:rsidRPr="00BF30EE">
        <w:rPr>
          <w:rFonts w:asciiTheme="majorHAnsi" w:hAnsiTheme="majorHAnsi"/>
          <w:sz w:val="24"/>
        </w:rPr>
        <w:t xml:space="preserve">A System of Record Notice (SORN) is not required for this collection because records are not retrievable by </w:t>
      </w:r>
      <w:r>
        <w:rPr>
          <w:rFonts w:asciiTheme="majorHAnsi" w:hAnsiTheme="majorHAnsi"/>
          <w:sz w:val="24"/>
        </w:rPr>
        <w:t>personally identifiable information (</w:t>
      </w:r>
      <w:r w:rsidRPr="00BF30EE">
        <w:rPr>
          <w:rFonts w:asciiTheme="majorHAnsi" w:hAnsiTheme="majorHAnsi"/>
          <w:sz w:val="24"/>
        </w:rPr>
        <w:t>PII</w:t>
      </w:r>
      <w:r>
        <w:rPr>
          <w:rFonts w:asciiTheme="majorHAnsi" w:hAnsiTheme="majorHAnsi"/>
          <w:sz w:val="24"/>
        </w:rPr>
        <w:t>)</w:t>
      </w:r>
      <w:r w:rsidRPr="00BF30EE">
        <w:rPr>
          <w:rFonts w:asciiTheme="majorHAnsi" w:hAnsiTheme="majorHAnsi"/>
          <w:sz w:val="24"/>
        </w:rPr>
        <w:t>.</w:t>
      </w:r>
    </w:p>
    <w:p w:rsidR="00F42186" w:rsidP="00F42186" w14:paraId="24523199" w14:textId="77777777">
      <w:pPr>
        <w:spacing w:after="0" w:line="240" w:lineRule="auto"/>
        <w:rPr>
          <w:rFonts w:asciiTheme="majorHAnsi" w:hAnsiTheme="majorHAnsi"/>
          <w:sz w:val="24"/>
        </w:rPr>
      </w:pPr>
    </w:p>
    <w:p w:rsidR="00996894" w:rsidP="00996894" w14:paraId="2F87086C" w14:textId="15876A6F">
      <w:pPr>
        <w:spacing w:after="0" w:line="240" w:lineRule="auto"/>
        <w:rPr>
          <w:rFonts w:asciiTheme="majorHAnsi" w:hAnsiTheme="majorHAnsi"/>
          <w:iCs/>
          <w:sz w:val="24"/>
        </w:rPr>
      </w:pPr>
      <w:r w:rsidRPr="00F42186">
        <w:rPr>
          <w:rFonts w:asciiTheme="majorHAnsi" w:hAnsiTheme="majorHAnsi"/>
          <w:iCs/>
          <w:sz w:val="24"/>
        </w:rPr>
        <w:t>A Privacy Impact Assessment (PIA) is not required for this collection because PII is not being collected electronically.</w:t>
      </w:r>
    </w:p>
    <w:p w:rsidR="00F42186" w:rsidRPr="00F42186" w:rsidP="00996894" w14:paraId="070AEE95" w14:textId="77777777">
      <w:pPr>
        <w:spacing w:after="0" w:line="240" w:lineRule="auto"/>
        <w:rPr>
          <w:rFonts w:asciiTheme="majorHAnsi" w:hAnsiTheme="majorHAnsi"/>
          <w:iCs/>
          <w:sz w:val="24"/>
        </w:rPr>
      </w:pPr>
    </w:p>
    <w:p w:rsidR="00F42186" w:rsidRPr="00F42186" w:rsidP="00996894" w14:paraId="3421B83D" w14:textId="235AFF07">
      <w:pPr>
        <w:spacing w:after="0" w:line="240" w:lineRule="auto"/>
        <w:rPr>
          <w:rFonts w:asciiTheme="majorHAnsi" w:hAnsiTheme="majorHAnsi"/>
          <w:iCs/>
          <w:sz w:val="24"/>
        </w:rPr>
      </w:pPr>
      <w:r w:rsidRPr="009502E6">
        <w:rPr>
          <w:rFonts w:asciiTheme="majorHAnsi" w:hAnsiTheme="majorHAnsi"/>
          <w:iCs/>
          <w:sz w:val="24"/>
        </w:rPr>
        <w:t>Contract laws and regulations specify record retention requirements for contracts</w:t>
      </w:r>
      <w:r>
        <w:rPr>
          <w:rFonts w:asciiTheme="majorHAnsi" w:hAnsiTheme="majorHAnsi"/>
          <w:iCs/>
          <w:sz w:val="24"/>
        </w:rPr>
        <w:t xml:space="preserve"> that such organizational conflicts of interest information collections would be submitted under</w:t>
      </w:r>
      <w:r w:rsidRPr="009502E6">
        <w:rPr>
          <w:rFonts w:asciiTheme="majorHAnsi" w:hAnsiTheme="majorHAnsi"/>
          <w:iCs/>
          <w:sz w:val="24"/>
        </w:rPr>
        <w:t>.</w:t>
      </w:r>
      <w:r>
        <w:rPr>
          <w:rFonts w:asciiTheme="majorHAnsi" w:hAnsiTheme="majorHAnsi"/>
          <w:iCs/>
          <w:sz w:val="24"/>
        </w:rPr>
        <w:t xml:space="preserve"> FAR 4.703, Policy, states the required </w:t>
      </w:r>
      <w:r w:rsidR="008A11C6">
        <w:rPr>
          <w:rFonts w:asciiTheme="majorHAnsi" w:hAnsiTheme="majorHAnsi"/>
          <w:iCs/>
          <w:sz w:val="24"/>
        </w:rPr>
        <w:t>records retention p</w:t>
      </w:r>
      <w:r>
        <w:rPr>
          <w:rFonts w:asciiTheme="majorHAnsi" w:hAnsiTheme="majorHAnsi"/>
          <w:iCs/>
          <w:sz w:val="24"/>
        </w:rPr>
        <w:t xml:space="preserve">eriod based on different contract actions and </w:t>
      </w:r>
      <w:r w:rsidR="008A11C6">
        <w:rPr>
          <w:rFonts w:asciiTheme="majorHAnsi" w:hAnsiTheme="majorHAnsi"/>
          <w:iCs/>
          <w:sz w:val="24"/>
        </w:rPr>
        <w:t xml:space="preserve">circumstances, and </w:t>
      </w:r>
      <w:r>
        <w:rPr>
          <w:rFonts w:asciiTheme="majorHAnsi" w:hAnsiTheme="majorHAnsi"/>
          <w:iCs/>
          <w:sz w:val="24"/>
        </w:rPr>
        <w:t>is applicable for all awarded contracts that had VAAR provision 852.209-70 inserted. Certain records are required to be maintained for a longer period</w:t>
      </w:r>
      <w:r w:rsidR="008A11C6">
        <w:rPr>
          <w:rFonts w:asciiTheme="majorHAnsi" w:hAnsiTheme="majorHAnsi"/>
          <w:iCs/>
          <w:sz w:val="24"/>
        </w:rPr>
        <w:t xml:space="preserve"> in accordance with the </w:t>
      </w:r>
      <w:r w:rsidR="00C11238">
        <w:rPr>
          <w:rFonts w:asciiTheme="majorHAnsi" w:hAnsiTheme="majorHAnsi"/>
          <w:iCs/>
          <w:sz w:val="24"/>
        </w:rPr>
        <w:t>FAR.</w:t>
      </w:r>
    </w:p>
    <w:p w:rsidR="00996894" w:rsidP="00996894" w14:paraId="399AE8B8" w14:textId="77777777">
      <w:pPr>
        <w:spacing w:after="0" w:line="240" w:lineRule="auto"/>
        <w:rPr>
          <w:rFonts w:asciiTheme="majorHAnsi" w:hAnsiTheme="majorHAnsi"/>
          <w:i/>
          <w:sz w:val="24"/>
        </w:rPr>
      </w:pPr>
    </w:p>
    <w:p w:rsidR="00337EF1" w:rsidRPr="009A6246" w:rsidP="00EE1565" w14:paraId="381E1B58" w14:textId="7334E090">
      <w:pPr>
        <w:spacing w:after="0" w:line="240" w:lineRule="auto"/>
        <w:rPr>
          <w:rFonts w:asciiTheme="majorHAnsi" w:hAnsiTheme="majorHAnsi"/>
          <w: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Pr="009A6246" w:rsidP="00337EF1" w14:paraId="760BDECD" w14:textId="77777777">
      <w:pPr>
        <w:spacing w:after="0" w:line="240" w:lineRule="auto"/>
        <w:rPr>
          <w:rFonts w:asciiTheme="majorHAnsi" w:hAnsiTheme="majorHAnsi"/>
          <w:i/>
          <w:sz w:val="24"/>
        </w:rPr>
      </w:pPr>
    </w:p>
    <w:p w:rsidR="009502E6" w:rsidP="00337EF1" w14:paraId="5BE42D05" w14:textId="080F9ECE">
      <w:pPr>
        <w:spacing w:after="0" w:line="240" w:lineRule="auto"/>
        <w:rPr>
          <w:rFonts w:asciiTheme="majorHAnsi" w:hAnsiTheme="majorHAnsi"/>
          <w:sz w:val="24"/>
        </w:rPr>
      </w:pPr>
      <w:r w:rsidRPr="009502E6">
        <w:rPr>
          <w:rFonts w:asciiTheme="majorHAnsi" w:hAnsiTheme="majorHAnsi"/>
          <w:sz w:val="24"/>
        </w:rPr>
        <w:t>No questions considered sensitive are being asked in this collection</w:t>
      </w:r>
      <w:r>
        <w:rPr>
          <w:rFonts w:asciiTheme="majorHAnsi" w:hAnsiTheme="majorHAnsi"/>
          <w:sz w:val="24"/>
        </w:rPr>
        <w:t xml:space="preserve">, although they may pertain to matters considered business confidential and thus are appropriately protected by the Government. </w:t>
      </w:r>
    </w:p>
    <w:p w:rsidR="00D21AA6" w:rsidP="00337EF1" w14:paraId="07A4B1CF"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235D71" w:rsidP="00235D71"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4D2976" w14:paraId="16DFA365" w14:textId="690F6F0D">
      <w:pPr>
        <w:pStyle w:val="ListParagraph"/>
        <w:spacing w:after="0" w:line="240" w:lineRule="auto"/>
        <w:rPr>
          <w:rFonts w:asciiTheme="majorHAnsi" w:hAnsiTheme="majorHAnsi"/>
          <w:sz w:val="24"/>
        </w:rPr>
      </w:pPr>
      <w:r w:rsidRPr="00765AB9">
        <w:rPr>
          <w:rFonts w:asciiTheme="majorHAnsi" w:hAnsiTheme="majorHAnsi"/>
          <w:sz w:val="24"/>
        </w:rPr>
        <w:t>VAAR 811.107-70</w:t>
      </w:r>
      <w:r>
        <w:rPr>
          <w:rFonts w:asciiTheme="majorHAnsi" w:hAnsiTheme="majorHAnsi"/>
          <w:sz w:val="24"/>
        </w:rPr>
        <w:t xml:space="preserve"> </w:t>
      </w:r>
      <w:r w:rsidRPr="004D2976" w:rsidR="004D2976">
        <w:rPr>
          <w:rFonts w:asciiTheme="majorHAnsi" w:hAnsiTheme="majorHAnsi"/>
          <w:sz w:val="24"/>
        </w:rPr>
        <w:t xml:space="preserve">and </w:t>
      </w:r>
      <w:r w:rsidRPr="00765AB9">
        <w:rPr>
          <w:rFonts w:asciiTheme="majorHAnsi" w:hAnsiTheme="majorHAnsi"/>
          <w:sz w:val="24"/>
        </w:rPr>
        <w:t>VAAR clause 852.211-70</w:t>
      </w:r>
    </w:p>
    <w:p w:rsidR="00235D71" w:rsidP="00235D71" w14:paraId="1C8C0AEC" w14:textId="710A675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F6871">
        <w:rPr>
          <w:rFonts w:asciiTheme="majorHAnsi" w:hAnsiTheme="majorHAnsi"/>
          <w:sz w:val="24"/>
        </w:rPr>
        <w:t>22,337</w:t>
      </w:r>
    </w:p>
    <w:p w:rsidR="00235D71" w:rsidP="00235D71" w14:paraId="438BC02C" w14:textId="1666F5E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A4C98">
        <w:rPr>
          <w:rFonts w:asciiTheme="majorHAnsi" w:hAnsiTheme="majorHAnsi"/>
          <w:sz w:val="24"/>
        </w:rPr>
        <w:t xml:space="preserve">1 per each </w:t>
      </w:r>
      <w:r w:rsidR="008A26D5">
        <w:rPr>
          <w:rFonts w:asciiTheme="majorHAnsi" w:hAnsiTheme="majorHAnsi"/>
          <w:sz w:val="24"/>
        </w:rPr>
        <w:t>contract</w:t>
      </w:r>
    </w:p>
    <w:p w:rsidR="00235D71" w:rsidP="00235D71" w14:paraId="635839EA" w14:textId="7D753815">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3F6871">
        <w:rPr>
          <w:rFonts w:asciiTheme="majorHAnsi" w:hAnsiTheme="majorHAnsi"/>
          <w:sz w:val="24"/>
        </w:rPr>
        <w:t xml:space="preserve"> 22,337</w:t>
      </w:r>
    </w:p>
    <w:p w:rsidR="00502FF3" w:rsidP="00235D71" w14:paraId="4AB2AF5B" w14:textId="6E41D10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F6871">
        <w:rPr>
          <w:rFonts w:asciiTheme="majorHAnsi" w:hAnsiTheme="majorHAnsi"/>
          <w:sz w:val="24"/>
        </w:rPr>
        <w:t xml:space="preserve">2 </w:t>
      </w:r>
      <w:r w:rsidR="00BA4C98">
        <w:rPr>
          <w:rFonts w:asciiTheme="majorHAnsi" w:hAnsiTheme="majorHAnsi"/>
          <w:sz w:val="24"/>
        </w:rPr>
        <w:t>minutes</w:t>
      </w:r>
    </w:p>
    <w:p w:rsidR="00A76F7E" w:rsidP="00235D71" w14:paraId="43FE1EBC" w14:textId="0AE56FC8">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003F6871">
        <w:rPr>
          <w:rFonts w:asciiTheme="majorHAnsi" w:hAnsiTheme="majorHAnsi"/>
          <w:sz w:val="24"/>
        </w:rPr>
        <w:t>22,337</w:t>
      </w:r>
      <w:r w:rsidR="00BA4C98">
        <w:rPr>
          <w:rFonts w:asciiTheme="majorHAnsi" w:hAnsiTheme="majorHAnsi"/>
          <w:i/>
          <w:sz w:val="24"/>
        </w:rPr>
        <w:t xml:space="preserve"> x </w:t>
      </w:r>
      <w:r w:rsidR="003F6871">
        <w:rPr>
          <w:rFonts w:asciiTheme="majorHAnsi" w:hAnsiTheme="majorHAnsi"/>
          <w:i/>
          <w:sz w:val="24"/>
        </w:rPr>
        <w:t>2</w:t>
      </w:r>
      <w:r w:rsidR="00520B36">
        <w:rPr>
          <w:rFonts w:asciiTheme="majorHAnsi" w:hAnsiTheme="majorHAnsi"/>
          <w:sz w:val="24"/>
        </w:rPr>
        <w:t>)</w:t>
      </w:r>
      <w:r w:rsidR="00BA4C98">
        <w:rPr>
          <w:rFonts w:asciiTheme="majorHAnsi" w:hAnsiTheme="majorHAnsi"/>
          <w:sz w:val="24"/>
        </w:rPr>
        <w:t xml:space="preserve"> ÷ 60 equals</w:t>
      </w:r>
      <w:r w:rsidR="00520B36">
        <w:rPr>
          <w:rFonts w:asciiTheme="majorHAnsi" w:hAnsiTheme="majorHAnsi"/>
          <w:sz w:val="24"/>
        </w:rPr>
        <w:t>:</w:t>
      </w:r>
      <w:r w:rsidR="003F6871">
        <w:rPr>
          <w:rFonts w:asciiTheme="majorHAnsi" w:hAnsiTheme="majorHAnsi"/>
          <w:sz w:val="24"/>
        </w:rPr>
        <w:t>74</w:t>
      </w:r>
      <w:r w:rsidR="006433FD">
        <w:rPr>
          <w:rFonts w:asciiTheme="majorHAnsi" w:hAnsiTheme="majorHAnsi"/>
          <w:sz w:val="24"/>
        </w:rPr>
        <w:t>5</w:t>
      </w:r>
      <w:r w:rsidR="00A77157">
        <w:rPr>
          <w:rFonts w:asciiTheme="majorHAnsi" w:hAnsiTheme="majorHAnsi"/>
          <w:sz w:val="24"/>
        </w:rPr>
        <w:t xml:space="preserve"> hours </w:t>
      </w:r>
    </w:p>
    <w:p w:rsidR="00B55E9F" w:rsidP="00B55E9F" w14:paraId="06EDE2A0" w14:textId="77777777">
      <w:pPr>
        <w:pStyle w:val="ListParagraph"/>
        <w:spacing w:after="0" w:line="240" w:lineRule="auto"/>
        <w:ind w:left="1440"/>
        <w:rPr>
          <w:rFonts w:asciiTheme="majorHAnsi" w:hAnsiTheme="majorHAnsi"/>
          <w:sz w:val="24"/>
        </w:rPr>
      </w:pPr>
    </w:p>
    <w:p w:rsidR="00235D71" w:rsidP="00235D71"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1627433E" w14:textId="58C4CC1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F6871">
        <w:rPr>
          <w:rFonts w:asciiTheme="majorHAnsi" w:hAnsiTheme="majorHAnsi"/>
          <w:sz w:val="24"/>
        </w:rPr>
        <w:t>22,337</w:t>
      </w:r>
    </w:p>
    <w:p w:rsidR="00235D71" w:rsidP="00235D71" w14:paraId="7B4B66AE" w14:textId="7043CBD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F6871">
        <w:rPr>
          <w:rFonts w:asciiTheme="majorHAnsi" w:hAnsiTheme="majorHAnsi"/>
          <w:sz w:val="24"/>
        </w:rPr>
        <w:t>22,337</w:t>
      </w:r>
    </w:p>
    <w:p w:rsidR="00A77157" w:rsidRPr="00235D71" w:rsidP="00337EF1" w14:paraId="16AF1427" w14:textId="2D1DD122">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3F6871">
        <w:rPr>
          <w:rFonts w:asciiTheme="majorHAnsi" w:hAnsiTheme="majorHAnsi"/>
          <w:sz w:val="24"/>
        </w:rPr>
        <w:t>74</w:t>
      </w:r>
      <w:r w:rsidR="00273862">
        <w:rPr>
          <w:rFonts w:asciiTheme="majorHAnsi" w:hAnsiTheme="majorHAnsi"/>
          <w:sz w:val="24"/>
        </w:rPr>
        <w:t>5</w:t>
      </w:r>
      <w:r w:rsidR="001E7F77">
        <w:rPr>
          <w:rFonts w:asciiTheme="majorHAnsi" w:hAnsiTheme="majorHAnsi"/>
          <w:sz w:val="24"/>
        </w:rPr>
        <w:t xml:space="preserve"> </w:t>
      </w:r>
      <w:r>
        <w:rPr>
          <w:rFonts w:asciiTheme="majorHAnsi" w:hAnsiTheme="majorHAnsi"/>
          <w:sz w:val="24"/>
        </w:rPr>
        <w:t>hours</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9991611" w14:textId="77777777">
      <w:pPr>
        <w:pStyle w:val="ListParagraph"/>
        <w:spacing w:after="0" w:line="240" w:lineRule="auto"/>
        <w:rPr>
          <w:rFonts w:asciiTheme="majorHAnsi" w:hAnsiTheme="majorHAnsi"/>
          <w:sz w:val="24"/>
        </w:rPr>
      </w:pPr>
    </w:p>
    <w:p w:rsidR="00235D71" w:rsidP="00235D71" w14:paraId="00F092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3F6871" w:rsidP="003F6871" w14:paraId="526ABDAF" w14:textId="77777777">
      <w:pPr>
        <w:pStyle w:val="ListParagraph"/>
        <w:spacing w:after="0" w:line="240" w:lineRule="auto"/>
        <w:rPr>
          <w:rFonts w:asciiTheme="majorHAnsi" w:hAnsiTheme="majorHAnsi"/>
          <w:sz w:val="24"/>
        </w:rPr>
      </w:pPr>
      <w:bookmarkStart w:id="0" w:name="_Hlk175607509"/>
      <w:r w:rsidRPr="00765AB9">
        <w:rPr>
          <w:rFonts w:asciiTheme="majorHAnsi" w:hAnsiTheme="majorHAnsi"/>
          <w:sz w:val="24"/>
        </w:rPr>
        <w:t>VAAR 811.107-70</w:t>
      </w:r>
      <w:r>
        <w:rPr>
          <w:rFonts w:asciiTheme="majorHAnsi" w:hAnsiTheme="majorHAnsi"/>
          <w:sz w:val="24"/>
        </w:rPr>
        <w:t xml:space="preserve"> </w:t>
      </w:r>
      <w:r w:rsidRPr="004D2976">
        <w:rPr>
          <w:rFonts w:asciiTheme="majorHAnsi" w:hAnsiTheme="majorHAnsi"/>
          <w:sz w:val="24"/>
        </w:rPr>
        <w:t xml:space="preserve">and </w:t>
      </w:r>
      <w:r w:rsidRPr="00765AB9">
        <w:rPr>
          <w:rFonts w:asciiTheme="majorHAnsi" w:hAnsiTheme="majorHAnsi"/>
          <w:sz w:val="24"/>
        </w:rPr>
        <w:t>VAAR clause 852.211-70</w:t>
      </w:r>
    </w:p>
    <w:bookmarkEnd w:id="0"/>
    <w:p w:rsidR="00235D71" w:rsidP="00235D71" w14:paraId="3C4AE0C1" w14:textId="698F635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3F6871">
        <w:rPr>
          <w:rFonts w:asciiTheme="majorHAnsi" w:hAnsiTheme="majorHAnsi"/>
          <w:sz w:val="24"/>
        </w:rPr>
        <w:t>22,337</w:t>
      </w:r>
    </w:p>
    <w:p w:rsidR="00235D71" w:rsidP="00235D71" w14:paraId="1F9D2192" w14:textId="00B6546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3F6871">
        <w:rPr>
          <w:rFonts w:asciiTheme="majorHAnsi" w:hAnsiTheme="majorHAnsi"/>
          <w:sz w:val="24"/>
        </w:rPr>
        <w:t>0.0</w:t>
      </w:r>
      <w:r w:rsidR="00867599">
        <w:rPr>
          <w:rFonts w:asciiTheme="majorHAnsi" w:hAnsiTheme="majorHAnsi"/>
          <w:sz w:val="24"/>
        </w:rPr>
        <w:t>33</w:t>
      </w:r>
      <w:r w:rsidR="00AC7B34">
        <w:rPr>
          <w:rFonts w:asciiTheme="majorHAnsi" w:hAnsiTheme="majorHAnsi"/>
          <w:sz w:val="24"/>
        </w:rPr>
        <w:t xml:space="preserve"> hour</w:t>
      </w:r>
    </w:p>
    <w:p w:rsidR="00235D71" w:rsidP="00235D71" w14:paraId="6A1DAAEA" w14:textId="62AEC42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867599">
        <w:rPr>
          <w:rFonts w:asciiTheme="majorHAnsi" w:hAnsiTheme="majorHAnsi"/>
          <w:sz w:val="24"/>
        </w:rPr>
        <w:t>$51</w:t>
      </w:r>
    </w:p>
    <w:p w:rsidR="00235D71" w:rsidP="00235D71" w14:paraId="0F32BAC9" w14:textId="3EE0D5E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867599">
        <w:rPr>
          <w:rFonts w:asciiTheme="majorHAnsi" w:hAnsiTheme="majorHAnsi"/>
          <w:sz w:val="24"/>
        </w:rPr>
        <w:t xml:space="preserve">: </w:t>
      </w:r>
      <w:r w:rsidR="00E8639C">
        <w:rPr>
          <w:rFonts w:asciiTheme="majorHAnsi" w:hAnsiTheme="majorHAnsi"/>
          <w:sz w:val="24"/>
        </w:rPr>
        <w:t>$</w:t>
      </w:r>
      <w:r w:rsidR="00867599">
        <w:rPr>
          <w:rFonts w:asciiTheme="majorHAnsi" w:hAnsiTheme="majorHAnsi"/>
          <w:sz w:val="24"/>
        </w:rPr>
        <w:t>1.70</w:t>
      </w:r>
    </w:p>
    <w:p w:rsidR="00235D71" w:rsidP="00235D71" w14:paraId="28347A73" w14:textId="520373E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8639C">
        <w:rPr>
          <w:rFonts w:asciiTheme="majorHAnsi" w:hAnsiTheme="majorHAnsi"/>
          <w:sz w:val="24"/>
        </w:rPr>
        <w:t>$</w:t>
      </w:r>
      <w:r w:rsidR="00867599">
        <w:rPr>
          <w:rFonts w:asciiTheme="majorHAnsi" w:hAnsiTheme="majorHAnsi"/>
          <w:sz w:val="24"/>
        </w:rPr>
        <w:t>37,973</w:t>
      </w:r>
    </w:p>
    <w:p w:rsidR="00B55E9F" w:rsidP="00B55E9F" w14:paraId="004A67EC" w14:textId="77777777">
      <w:pPr>
        <w:pStyle w:val="ListParagraph"/>
        <w:spacing w:after="0" w:line="240" w:lineRule="auto"/>
        <w:ind w:left="1440"/>
        <w:rPr>
          <w:rFonts w:asciiTheme="majorHAnsi" w:hAnsiTheme="majorHAnsi"/>
          <w:sz w:val="24"/>
        </w:rPr>
      </w:pPr>
    </w:p>
    <w:p w:rsidR="00235D71" w:rsidP="00235D71"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1CBB357F" w14:textId="218CD91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67599">
        <w:rPr>
          <w:rFonts w:asciiTheme="majorHAnsi" w:hAnsiTheme="majorHAnsi"/>
          <w:sz w:val="24"/>
        </w:rPr>
        <w:t>22,337</w:t>
      </w:r>
    </w:p>
    <w:p w:rsidR="00235D71" w:rsidP="00235D71" w14:paraId="550000E2" w14:textId="49D4A434">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867599">
        <w:rPr>
          <w:rFonts w:asciiTheme="majorHAnsi" w:hAnsiTheme="majorHAnsi"/>
          <w:sz w:val="24"/>
        </w:rPr>
        <w:t>$37,973</w:t>
      </w:r>
    </w:p>
    <w:p w:rsidR="00520B36" w:rsidP="006F2DF8" w14:paraId="7C2EBD55" w14:textId="77777777">
      <w:pPr>
        <w:spacing w:after="0" w:line="240" w:lineRule="auto"/>
        <w:rPr>
          <w:rFonts w:asciiTheme="majorHAnsi" w:hAnsiTheme="majorHAnsi"/>
          <w:sz w:val="24"/>
        </w:rPr>
      </w:pPr>
    </w:p>
    <w:p w:rsidR="00BD0CE8" w:rsidRPr="009B7620" w:rsidP="0019309D" w14:paraId="24B8EFB5" w14:textId="6734EFD4">
      <w:pPr>
        <w:spacing w:after="0" w:line="240" w:lineRule="auto"/>
        <w:rPr>
          <w:rFonts w:asciiTheme="majorHAnsi" w:hAnsiTheme="majorHAnsi"/>
          <w:sz w:val="24"/>
          <w:szCs w:val="24"/>
        </w:rPr>
      </w:pPr>
      <w:r w:rsidRPr="009B7620">
        <w:rPr>
          <w:rFonts w:asciiTheme="majorHAnsi" w:hAnsiTheme="majorHAnsi"/>
          <w:sz w:val="24"/>
          <w:szCs w:val="24"/>
        </w:rPr>
        <w:t xml:space="preserve">The Respondent hourly wage was determined by using the Bureau of Labor Statistics (BLS) </w:t>
      </w:r>
      <w:r w:rsidRPr="00EE2FCD">
        <w:rPr>
          <w:rFonts w:ascii="Times New Roman" w:hAnsi="Times New Roman" w:cs="Times New Roman"/>
          <w:sz w:val="24"/>
          <w:szCs w:val="24"/>
        </w:rPr>
        <w:t xml:space="preserve">website at </w:t>
      </w:r>
      <w:hyperlink r:id="rId4" w:history="1">
        <w:r w:rsidRPr="00EE2FCD">
          <w:rPr>
            <w:rStyle w:val="Hyperlink"/>
            <w:rFonts w:ascii="Times New Roman" w:hAnsi="Times New Roman" w:cs="Times New Roman"/>
            <w:sz w:val="24"/>
            <w:szCs w:val="24"/>
          </w:rPr>
          <w:t>https://www.bls.gov/home.htm</w:t>
        </w:r>
      </w:hyperlink>
      <w:r w:rsidRPr="00EE2FCD">
        <w:rPr>
          <w:rFonts w:ascii="Times New Roman" w:hAnsi="Times New Roman" w:cs="Times New Roman"/>
          <w:sz w:val="24"/>
          <w:szCs w:val="24"/>
        </w:rPr>
        <w:t xml:space="preserve"> and the particular index at </w:t>
      </w:r>
      <w:hyperlink r:id="rId5" w:history="1">
        <w:r w:rsidRPr="00EE2FCD" w:rsidR="00867599">
          <w:rPr>
            <w:rStyle w:val="Hyperlink"/>
            <w:rFonts w:ascii="Times New Roman" w:hAnsi="Times New Roman" w:cs="Times New Roman"/>
            <w:sz w:val="24"/>
            <w:szCs w:val="24"/>
          </w:rPr>
          <w:t>Buyers and Purchasing Agents (bls.gov)</w:t>
        </w:r>
      </w:hyperlink>
      <w:r w:rsidRPr="00EE2FCD">
        <w:rPr>
          <w:rFonts w:ascii="Times New Roman" w:hAnsi="Times New Roman" w:cs="Times New Roman"/>
          <w:sz w:val="24"/>
          <w:szCs w:val="24"/>
        </w:rPr>
        <w:t xml:space="preserve"> The Bureau of Labor Statistics (BLS) gathers information on full-time wage and salary workers.  According to the latest (May 202</w:t>
      </w:r>
      <w:r w:rsidRPr="00EE2FCD" w:rsidR="003F6871">
        <w:rPr>
          <w:rFonts w:ascii="Times New Roman" w:hAnsi="Times New Roman" w:cs="Times New Roman"/>
          <w:sz w:val="24"/>
          <w:szCs w:val="24"/>
        </w:rPr>
        <w:t>3</w:t>
      </w:r>
      <w:r w:rsidRPr="00EE2FCD">
        <w:rPr>
          <w:rFonts w:ascii="Times New Roman" w:hAnsi="Times New Roman" w:cs="Times New Roman"/>
          <w:sz w:val="24"/>
          <w:szCs w:val="24"/>
        </w:rPr>
        <w:t>) available BLS data, the mean</w:t>
      </w:r>
      <w:r w:rsidRPr="009B7620">
        <w:rPr>
          <w:rFonts w:asciiTheme="majorHAnsi" w:hAnsiTheme="majorHAnsi"/>
          <w:sz w:val="24"/>
          <w:szCs w:val="24"/>
        </w:rPr>
        <w:t xml:space="preserve"> hourly wage is $</w:t>
      </w:r>
      <w:r w:rsidRPr="009B7620" w:rsidR="00867599">
        <w:rPr>
          <w:rFonts w:asciiTheme="majorHAnsi" w:hAnsiTheme="majorHAnsi"/>
          <w:sz w:val="24"/>
          <w:szCs w:val="24"/>
        </w:rPr>
        <w:t>37.43</w:t>
      </w:r>
      <w:r w:rsidRPr="009B7620">
        <w:rPr>
          <w:rFonts w:asciiTheme="majorHAnsi" w:hAnsiTheme="majorHAnsi"/>
          <w:sz w:val="24"/>
          <w:szCs w:val="24"/>
        </w:rPr>
        <w:t xml:space="preserve"> on BLS wage code – “</w:t>
      </w:r>
      <w:r w:rsidRPr="009B7620" w:rsidR="00867599">
        <w:rPr>
          <w:rFonts w:asciiTheme="majorHAnsi" w:hAnsiTheme="majorHAnsi"/>
          <w:sz w:val="24"/>
          <w:szCs w:val="24"/>
        </w:rPr>
        <w:t>13-1020 Buyers and Purchasing Agents</w:t>
      </w:r>
      <w:r w:rsidRPr="009B7620">
        <w:rPr>
          <w:rFonts w:asciiTheme="majorHAnsi" w:hAnsiTheme="majorHAnsi"/>
          <w:sz w:val="24"/>
          <w:szCs w:val="24"/>
        </w:rPr>
        <w:t>” plus 36.25% per OMB Memo M-08-13 dated March 11, 2008.</w:t>
      </w:r>
    </w:p>
    <w:p w:rsidR="006F2DF8" w:rsidP="00337EF1" w14:paraId="49ECAE60" w14:textId="77777777">
      <w:pPr>
        <w:spacing w:after="0" w:line="240" w:lineRule="auto"/>
        <w:rPr>
          <w:rFonts w:asciiTheme="majorHAnsi" w:hAnsiTheme="majorHAnsi"/>
          <w:sz w:val="24"/>
        </w:rPr>
      </w:pPr>
    </w:p>
    <w:p w:rsidR="0019309D" w:rsidP="00867599" w14:paraId="64B2ECBE" w14:textId="7DAC452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D0CE8" w:rsidP="0019309D" w14:paraId="61858582" w14:textId="5A5FAC82">
      <w:pPr>
        <w:spacing w:after="0" w:line="240" w:lineRule="auto"/>
        <w:rPr>
          <w:rFonts w:asciiTheme="majorHAnsi" w:hAnsiTheme="majorHAnsi"/>
          <w:sz w:val="24"/>
        </w:rPr>
      </w:pPr>
    </w:p>
    <w:p w:rsidR="00BD0CE8" w:rsidP="0019309D" w14:paraId="2369E0BA" w14:textId="62DA0C79">
      <w:pPr>
        <w:spacing w:after="0" w:line="240" w:lineRule="auto"/>
        <w:rPr>
          <w:rFonts w:asciiTheme="majorHAnsi" w:hAnsiTheme="majorHAnsi"/>
          <w:sz w:val="24"/>
        </w:rPr>
      </w:pPr>
      <w:r w:rsidRPr="00E440CB">
        <w:rPr>
          <w:rFonts w:asciiTheme="majorHAnsi" w:hAnsiTheme="majorHAnsi"/>
          <w:sz w:val="24"/>
        </w:rPr>
        <w:t>There are no annualized costs to respondents other than the labor burden costs addressed in Section 12 of this document to complete this collection.</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867599" w14:paraId="7C39DD68" w14:textId="241CD08D">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867599" w:rsidRPr="00867599" w:rsidP="00867599" w14:paraId="4830DF8A" w14:textId="77777777">
      <w:pPr>
        <w:spacing w:after="0" w:line="240" w:lineRule="auto"/>
        <w:ind w:firstLine="720"/>
        <w:rPr>
          <w:rFonts w:asciiTheme="majorHAnsi" w:hAnsiTheme="majorHAnsi"/>
          <w:sz w:val="24"/>
        </w:rPr>
      </w:pPr>
      <w:r w:rsidRPr="00867599">
        <w:rPr>
          <w:rFonts w:asciiTheme="majorHAnsi" w:hAnsiTheme="majorHAnsi"/>
          <w:sz w:val="24"/>
        </w:rPr>
        <w:t>VAAR 811.107-70 and VAAR clause 852.211-70</w:t>
      </w:r>
    </w:p>
    <w:p w:rsidR="00235D71" w:rsidP="00235D71" w14:paraId="6974E6A5" w14:textId="74857A2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867599">
        <w:rPr>
          <w:rFonts w:asciiTheme="majorHAnsi" w:hAnsiTheme="majorHAnsi"/>
          <w:sz w:val="24"/>
        </w:rPr>
        <w:t>22,337</w:t>
      </w:r>
    </w:p>
    <w:p w:rsidR="00235D71" w:rsidP="00235D71" w14:paraId="44C14166" w14:textId="2567231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867599">
        <w:rPr>
          <w:rFonts w:asciiTheme="majorHAnsi" w:hAnsiTheme="majorHAnsi"/>
          <w:sz w:val="24"/>
        </w:rPr>
        <w:t>0.</w:t>
      </w:r>
      <w:r w:rsidR="005C4FE1">
        <w:rPr>
          <w:rFonts w:asciiTheme="majorHAnsi" w:hAnsiTheme="majorHAnsi"/>
          <w:sz w:val="24"/>
        </w:rPr>
        <w:t>083</w:t>
      </w:r>
      <w:r w:rsidR="00983763">
        <w:rPr>
          <w:rFonts w:asciiTheme="majorHAnsi" w:hAnsiTheme="majorHAnsi"/>
          <w:sz w:val="24"/>
        </w:rPr>
        <w:t xml:space="preserve"> </w:t>
      </w:r>
      <w:r>
        <w:rPr>
          <w:rFonts w:asciiTheme="majorHAnsi" w:hAnsiTheme="majorHAnsi"/>
          <w:sz w:val="24"/>
        </w:rPr>
        <w:t>hour</w:t>
      </w:r>
    </w:p>
    <w:p w:rsidR="00235D71" w:rsidP="00235D71" w14:paraId="44F6D0C1" w14:textId="434D552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983763" w:rsidR="00ED22BD">
        <w:rPr>
          <w:rFonts w:asciiTheme="majorHAnsi" w:hAnsiTheme="majorHAnsi"/>
          <w:sz w:val="24"/>
        </w:rPr>
        <w:t>$</w:t>
      </w:r>
      <w:r w:rsidR="0021652A">
        <w:rPr>
          <w:rFonts w:asciiTheme="majorHAnsi" w:hAnsiTheme="majorHAnsi"/>
          <w:sz w:val="24"/>
        </w:rPr>
        <w:t>45.95</w:t>
      </w:r>
    </w:p>
    <w:p w:rsidR="00235D71" w:rsidP="00235D71" w14:paraId="4BB348C4" w14:textId="788F91B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ED22BD">
        <w:rPr>
          <w:rFonts w:asciiTheme="majorHAnsi" w:hAnsiTheme="majorHAnsi"/>
          <w:sz w:val="24"/>
        </w:rPr>
        <w:t>$</w:t>
      </w:r>
      <w:r w:rsidR="0021652A">
        <w:rPr>
          <w:rFonts w:asciiTheme="majorHAnsi" w:hAnsiTheme="majorHAnsi"/>
          <w:sz w:val="24"/>
        </w:rPr>
        <w:t>3.81</w:t>
      </w:r>
    </w:p>
    <w:p w:rsidR="00235D71" w:rsidP="00235D71" w14:paraId="37FB5A13" w14:textId="18A0206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ED22BD">
        <w:rPr>
          <w:rFonts w:asciiTheme="majorHAnsi" w:hAnsiTheme="majorHAnsi"/>
          <w:sz w:val="24"/>
        </w:rPr>
        <w:t>$</w:t>
      </w:r>
      <w:r w:rsidR="007B10DB">
        <w:rPr>
          <w:rFonts w:asciiTheme="majorHAnsi" w:hAnsiTheme="majorHAnsi"/>
          <w:sz w:val="24"/>
        </w:rPr>
        <w:t>85,103</w:t>
      </w:r>
      <w:r w:rsidR="00ED22BD">
        <w:rPr>
          <w:rFonts w:asciiTheme="majorHAnsi" w:hAnsiTheme="majorHAnsi"/>
          <w:sz w:val="24"/>
        </w:rPr>
        <w:t>.</w:t>
      </w:r>
    </w:p>
    <w:p w:rsidR="00B55E9F" w:rsidP="00B55E9F" w14:paraId="40BB60B2" w14:textId="77777777">
      <w:pPr>
        <w:pStyle w:val="ListParagraph"/>
        <w:spacing w:after="0" w:line="240" w:lineRule="auto"/>
        <w:ind w:left="1440"/>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1F3E95F6" w14:textId="7CF91944">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D22BD">
        <w:rPr>
          <w:rFonts w:asciiTheme="majorHAnsi" w:hAnsiTheme="majorHAnsi"/>
          <w:sz w:val="24"/>
        </w:rPr>
        <w:t>22,337</w:t>
      </w:r>
    </w:p>
    <w:p w:rsidR="00B55E9F" w:rsidP="00722FDB" w14:paraId="3F0BB870" w14:textId="6393B33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ED22BD">
        <w:rPr>
          <w:rFonts w:asciiTheme="majorHAnsi" w:hAnsiTheme="majorHAnsi"/>
          <w:iCs/>
          <w:sz w:val="24"/>
        </w:rPr>
        <w:t>$</w:t>
      </w:r>
      <w:r w:rsidR="0021652A">
        <w:rPr>
          <w:rFonts w:asciiTheme="majorHAnsi" w:hAnsiTheme="majorHAnsi"/>
          <w:iCs/>
          <w:sz w:val="24"/>
        </w:rPr>
        <w:t>85,1</w:t>
      </w:r>
      <w:r w:rsidR="007B10DB">
        <w:rPr>
          <w:rFonts w:asciiTheme="majorHAnsi" w:hAnsiTheme="majorHAnsi"/>
          <w:iCs/>
          <w:sz w:val="24"/>
        </w:rPr>
        <w:t>03</w:t>
      </w:r>
    </w:p>
    <w:p w:rsidR="00983763" w:rsidP="00983763" w14:paraId="3C7EE280" w14:textId="4103ABC6">
      <w:pPr>
        <w:spacing w:after="0" w:line="240" w:lineRule="auto"/>
        <w:rPr>
          <w:rFonts w:asciiTheme="majorHAnsi" w:hAnsiTheme="majorHAnsi"/>
          <w:sz w:val="24"/>
        </w:rPr>
      </w:pPr>
    </w:p>
    <w:p w:rsidR="00983763" w:rsidRPr="00983763" w:rsidP="00983763" w14:paraId="44E198EE" w14:textId="7A4B97EB">
      <w:pPr>
        <w:spacing w:after="0" w:line="240" w:lineRule="auto"/>
        <w:rPr>
          <w:rFonts w:asciiTheme="majorHAnsi" w:hAnsiTheme="majorHAnsi"/>
          <w:sz w:val="24"/>
        </w:rPr>
      </w:pPr>
      <w:r w:rsidRPr="00983763">
        <w:rPr>
          <w:rFonts w:asciiTheme="majorHAnsi" w:hAnsiTheme="majorHAnsi"/>
          <w:sz w:val="24"/>
        </w:rPr>
        <w:t xml:space="preserve">It is estimated that the review </w:t>
      </w:r>
      <w:r w:rsidR="00867599">
        <w:rPr>
          <w:rFonts w:asciiTheme="majorHAnsi" w:hAnsiTheme="majorHAnsi"/>
          <w:sz w:val="24"/>
        </w:rPr>
        <w:t>equipment manual</w:t>
      </w:r>
      <w:r w:rsidRPr="00983763">
        <w:rPr>
          <w:rFonts w:asciiTheme="majorHAnsi" w:hAnsiTheme="majorHAnsi"/>
          <w:sz w:val="24"/>
        </w:rPr>
        <w:t xml:space="preserve"> will be </w:t>
      </w:r>
      <w:r w:rsidR="00867599">
        <w:rPr>
          <w:rFonts w:asciiTheme="majorHAnsi" w:hAnsiTheme="majorHAnsi"/>
          <w:sz w:val="24"/>
        </w:rPr>
        <w:t>completed VA medical equipment operator</w:t>
      </w:r>
      <w:r w:rsidRPr="00983763">
        <w:rPr>
          <w:rFonts w:asciiTheme="majorHAnsi" w:hAnsiTheme="majorHAnsi"/>
          <w:sz w:val="24"/>
        </w:rPr>
        <w:t xml:space="preserve"> equivalent to a GS-1</w:t>
      </w:r>
      <w:r w:rsidR="005C4FE1">
        <w:rPr>
          <w:rFonts w:asciiTheme="majorHAnsi" w:hAnsiTheme="majorHAnsi"/>
          <w:sz w:val="24"/>
        </w:rPr>
        <w:t>1</w:t>
      </w:r>
      <w:r w:rsidRPr="00983763">
        <w:rPr>
          <w:rFonts w:asciiTheme="majorHAnsi" w:hAnsiTheme="majorHAnsi"/>
          <w:sz w:val="24"/>
        </w:rPr>
        <w:t xml:space="preserve">. </w:t>
      </w:r>
      <w:r w:rsidRPr="00983763">
        <w:rPr>
          <w:rFonts w:asciiTheme="majorHAnsi" w:hAnsiTheme="majorHAnsi"/>
          <w:sz w:val="24"/>
        </w:rPr>
        <w:t>Based on a GS-1</w:t>
      </w:r>
      <w:r w:rsidR="005C4FE1">
        <w:rPr>
          <w:rFonts w:asciiTheme="majorHAnsi" w:hAnsiTheme="majorHAnsi"/>
          <w:sz w:val="24"/>
        </w:rPr>
        <w:t>1</w:t>
      </w:r>
      <w:r w:rsidRPr="00983763">
        <w:rPr>
          <w:rFonts w:asciiTheme="majorHAnsi" w:hAnsiTheme="majorHAnsi"/>
          <w:sz w:val="24"/>
        </w:rPr>
        <w:t>, step 5 salary, for FY2</w:t>
      </w:r>
      <w:r w:rsidR="00ED22BD">
        <w:rPr>
          <w:rFonts w:asciiTheme="majorHAnsi" w:hAnsiTheme="majorHAnsi"/>
          <w:sz w:val="24"/>
        </w:rPr>
        <w:t>4</w:t>
      </w:r>
      <w:r w:rsidR="00D00358">
        <w:rPr>
          <w:rFonts w:asciiTheme="majorHAnsi" w:hAnsiTheme="majorHAnsi"/>
          <w:sz w:val="24"/>
        </w:rPr>
        <w:t xml:space="preserve"> – see Salary Table 202</w:t>
      </w:r>
      <w:r w:rsidR="00ED22BD">
        <w:rPr>
          <w:rFonts w:asciiTheme="majorHAnsi" w:hAnsiTheme="majorHAnsi"/>
          <w:sz w:val="24"/>
        </w:rPr>
        <w:t>4</w:t>
      </w:r>
      <w:r w:rsidR="00D00358">
        <w:rPr>
          <w:rFonts w:asciiTheme="majorHAnsi" w:hAnsiTheme="majorHAnsi"/>
          <w:sz w:val="24"/>
        </w:rPr>
        <w:t xml:space="preserve">-GS </w:t>
      </w:r>
      <w:r w:rsidRPr="00EE2FCD">
        <w:rPr>
          <w:rFonts w:ascii="Times New Roman" w:hAnsi="Times New Roman" w:cs="Times New Roman"/>
          <w:sz w:val="24"/>
          <w:szCs w:val="24"/>
        </w:rPr>
        <w:t>(</w:t>
      </w:r>
      <w:hyperlink r:id="rId6" w:history="1">
        <w:r w:rsidRPr="00EE2FCD" w:rsidR="00ED22BD">
          <w:rPr>
            <w:rStyle w:val="Hyperlink"/>
            <w:rFonts w:ascii="Times New Roman" w:hAnsi="Times New Roman" w:cs="Times New Roman"/>
            <w:sz w:val="24"/>
            <w:szCs w:val="24"/>
          </w:rPr>
          <w:t>GS.pdf (opm.gov)</w:t>
        </w:r>
      </w:hyperlink>
      <w:r w:rsidRPr="00EE2FCD">
        <w:rPr>
          <w:rFonts w:ascii="Times New Roman" w:hAnsi="Times New Roman" w:cs="Times New Roman"/>
          <w:sz w:val="24"/>
          <w:szCs w:val="24"/>
        </w:rPr>
        <w:t>) plus 36.25% per OMB Memo M-08-13 dated March 11, 2008, the hourly</w:t>
      </w:r>
      <w:r w:rsidRPr="00983763">
        <w:rPr>
          <w:rFonts w:asciiTheme="majorHAnsi" w:hAnsiTheme="majorHAnsi"/>
          <w:sz w:val="24"/>
        </w:rPr>
        <w:t xml:space="preserve"> rate is ($</w:t>
      </w:r>
      <w:r w:rsidR="00ED22BD">
        <w:rPr>
          <w:rFonts w:asciiTheme="majorHAnsi" w:hAnsiTheme="majorHAnsi"/>
          <w:sz w:val="24"/>
        </w:rPr>
        <w:t>40.42</w:t>
      </w:r>
      <w:r w:rsidRPr="00983763">
        <w:rPr>
          <w:rFonts w:asciiTheme="majorHAnsi" w:hAnsiTheme="majorHAnsi"/>
          <w:sz w:val="24"/>
        </w:rPr>
        <w:t xml:space="preserve"> X 136.25% = $</w:t>
      </w:r>
      <w:r w:rsidR="00ED22BD">
        <w:rPr>
          <w:rFonts w:asciiTheme="majorHAnsi" w:hAnsiTheme="majorHAnsi"/>
          <w:sz w:val="24"/>
        </w:rPr>
        <w:t>55.07</w:t>
      </w:r>
      <w:r w:rsidRPr="00983763">
        <w:rPr>
          <w:rFonts w:asciiTheme="majorHAnsi" w:hAnsiTheme="majorHAnsi"/>
          <w:sz w:val="24"/>
        </w:rPr>
        <w:t xml:space="preserve">).  </w:t>
      </w:r>
    </w:p>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DC139BD" w14:textId="1DABF65F">
      <w:pPr>
        <w:spacing w:after="0" w:line="240" w:lineRule="auto"/>
        <w:rPr>
          <w:rFonts w:asciiTheme="majorHAnsi" w:hAnsiTheme="majorHAnsi"/>
          <w:sz w:val="24"/>
        </w:rPr>
      </w:pPr>
      <w:r w:rsidRPr="00722FDB">
        <w:rPr>
          <w:rFonts w:asciiTheme="majorHAnsi" w:hAnsiTheme="majorHAnsi"/>
          <w:i/>
          <w:sz w:val="24"/>
        </w:rPr>
        <w:t xml:space="preserve"> </w:t>
      </w: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400B771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83763">
        <w:rPr>
          <w:rFonts w:asciiTheme="majorHAnsi" w:hAnsiTheme="majorHAnsi"/>
          <w:sz w:val="24"/>
        </w:rPr>
        <w:t>0</w:t>
      </w:r>
    </w:p>
    <w:p w:rsidR="00235D71" w:rsidRPr="00235D71" w:rsidP="00235D71" w14:paraId="2B0A8F21" w14:textId="12E3778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83763">
        <w:rPr>
          <w:rFonts w:asciiTheme="majorHAnsi" w:hAnsiTheme="majorHAnsi"/>
          <w:sz w:val="24"/>
        </w:rPr>
        <w:t>0</w:t>
      </w:r>
    </w:p>
    <w:p w:rsidR="00235D71" w:rsidRPr="00235D71" w:rsidP="00235D71" w14:paraId="4F21BF6D" w14:textId="3B6C6FC6">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83763">
        <w:rPr>
          <w:rFonts w:asciiTheme="majorHAnsi" w:hAnsiTheme="majorHAnsi"/>
          <w:sz w:val="24"/>
        </w:rPr>
        <w:t>0</w:t>
      </w:r>
    </w:p>
    <w:p w:rsidR="00235D71" w:rsidRPr="00235D71" w:rsidP="00235D71" w14:paraId="5CB99BA7" w14:textId="4A08C596">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83763">
        <w:rPr>
          <w:rFonts w:asciiTheme="majorHAnsi" w:hAnsiTheme="majorHAnsi"/>
          <w:sz w:val="24"/>
        </w:rPr>
        <w:t>0</w:t>
      </w:r>
    </w:p>
    <w:p w:rsidR="00235D71" w:rsidRPr="00235D71" w:rsidP="00235D71" w14:paraId="57953473" w14:textId="4D90F05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83763">
        <w:rPr>
          <w:rFonts w:asciiTheme="majorHAnsi" w:hAnsiTheme="majorHAnsi"/>
          <w:sz w:val="24"/>
        </w:rPr>
        <w:t>0</w:t>
      </w:r>
    </w:p>
    <w:p w:rsidR="00235D71" w:rsidRPr="00B55E9F" w:rsidP="00235D71" w14:paraId="120A175E" w14:textId="4C614C8A">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83763">
        <w:rPr>
          <w:rFonts w:asciiTheme="majorHAnsi" w:hAnsiTheme="majorHAnsi"/>
          <w:sz w:val="24"/>
        </w:rPr>
        <w:t>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691754C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83763">
        <w:rPr>
          <w:rFonts w:asciiTheme="majorHAnsi" w:hAnsiTheme="majorHAnsi"/>
          <w:sz w:val="24"/>
        </w:rPr>
        <w:t>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3C48DE93">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ED22BD">
        <w:rPr>
          <w:rFonts w:asciiTheme="majorHAnsi" w:hAnsiTheme="majorHAnsi"/>
          <w:iCs/>
          <w:sz w:val="24"/>
        </w:rPr>
        <w:t>$</w:t>
      </w:r>
      <w:r w:rsidR="0021652A">
        <w:rPr>
          <w:rFonts w:asciiTheme="majorHAnsi" w:hAnsiTheme="majorHAnsi"/>
          <w:iCs/>
          <w:sz w:val="24"/>
        </w:rPr>
        <w:t>85,103</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01284B92">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83763">
        <w:rPr>
          <w:rFonts w:asciiTheme="majorHAnsi" w:hAnsiTheme="majorHAnsi"/>
          <w:sz w:val="24"/>
        </w:rPr>
        <w:t>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092BEDC1">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ED22BD">
        <w:rPr>
          <w:rFonts w:asciiTheme="majorHAnsi" w:hAnsiTheme="majorHAnsi"/>
          <w:iCs/>
          <w:sz w:val="24"/>
        </w:rPr>
        <w:t>$</w:t>
      </w:r>
      <w:r w:rsidR="0021652A">
        <w:rPr>
          <w:rFonts w:asciiTheme="majorHAnsi" w:hAnsiTheme="majorHAnsi"/>
          <w:iCs/>
          <w:sz w:val="24"/>
        </w:rPr>
        <w:t>85,103</w:t>
      </w:r>
    </w:p>
    <w:p w:rsidR="00486235" w:rsidP="00486235" w14:paraId="00E8F084" w14:textId="77777777">
      <w:pPr>
        <w:spacing w:after="0" w:line="240" w:lineRule="auto"/>
        <w:rPr>
          <w:rFonts w:asciiTheme="majorHAnsi" w:hAnsiTheme="majorHAnsi"/>
          <w:sz w:val="24"/>
        </w:rPr>
      </w:pPr>
    </w:p>
    <w:p w:rsidR="00DA2B37" w:rsidRPr="00A50A0F" w:rsidP="00ED22BD" w14:paraId="073AD868" w14:textId="2150DE56">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778CC3AF" w14:textId="0D2041CF">
      <w:pPr>
        <w:spacing w:after="0" w:line="240" w:lineRule="auto"/>
        <w:rPr>
          <w:rFonts w:asciiTheme="majorHAnsi" w:hAnsiTheme="majorHAnsi"/>
          <w:i/>
          <w:sz w:val="24"/>
        </w:rPr>
      </w:pPr>
    </w:p>
    <w:p w:rsidR="00E86D58" w:rsidP="00486235" w14:paraId="29896543" w14:textId="55F9F39D">
      <w:pPr>
        <w:spacing w:after="0" w:line="240" w:lineRule="auto"/>
        <w:rPr>
          <w:rFonts w:asciiTheme="majorHAnsi" w:hAnsiTheme="majorHAnsi"/>
          <w:iCs/>
          <w:sz w:val="24"/>
        </w:rPr>
      </w:pPr>
      <w:r>
        <w:rPr>
          <w:rFonts w:asciiTheme="majorHAnsi" w:hAnsiTheme="majorHAnsi"/>
          <w:iCs/>
          <w:sz w:val="24"/>
        </w:rPr>
        <w:t xml:space="preserve">The estimate </w:t>
      </w:r>
      <w:r w:rsidRPr="000D7CD4" w:rsidR="000D7CD4">
        <w:rPr>
          <w:rFonts w:asciiTheme="majorHAnsi" w:hAnsiTheme="majorHAnsi"/>
          <w:iCs/>
          <w:sz w:val="24"/>
        </w:rPr>
        <w:t xml:space="preserve">burden hour </w:t>
      </w:r>
      <w:r>
        <w:rPr>
          <w:rFonts w:asciiTheme="majorHAnsi" w:hAnsiTheme="majorHAnsi"/>
          <w:iCs/>
          <w:sz w:val="24"/>
        </w:rPr>
        <w:t xml:space="preserve">has increased since </w:t>
      </w:r>
      <w:r w:rsidRPr="000D7CD4">
        <w:rPr>
          <w:rFonts w:asciiTheme="majorHAnsi" w:hAnsiTheme="majorHAnsi"/>
          <w:iCs/>
          <w:sz w:val="24"/>
        </w:rPr>
        <w:t>the previous approval due to</w:t>
      </w:r>
      <w:r>
        <w:rPr>
          <w:rFonts w:asciiTheme="majorHAnsi" w:hAnsiTheme="majorHAnsi"/>
          <w:iCs/>
          <w:sz w:val="24"/>
        </w:rPr>
        <w:t xml:space="preserve"> the increased responses for the last </w:t>
      </w:r>
      <w:r w:rsidR="008324DB">
        <w:rPr>
          <w:rFonts w:asciiTheme="majorHAnsi" w:hAnsiTheme="majorHAnsi"/>
          <w:iCs/>
          <w:sz w:val="24"/>
        </w:rPr>
        <w:t xml:space="preserve">three </w:t>
      </w:r>
      <w:r>
        <w:rPr>
          <w:rFonts w:asciiTheme="majorHAnsi" w:hAnsiTheme="majorHAnsi"/>
          <w:iCs/>
          <w:sz w:val="24"/>
        </w:rPr>
        <w:t>FYs</w:t>
      </w:r>
      <w:r w:rsidRPr="000D7CD4" w:rsidR="000D7CD4">
        <w:rPr>
          <w:rFonts w:asciiTheme="majorHAnsi" w:hAnsiTheme="majorHAnsi"/>
          <w:iCs/>
          <w:sz w:val="24"/>
        </w:rPr>
        <w:t xml:space="preserve">. The burden cost estimate has increased since the previous approval due to revised wage rates to more current and appropriate levels. </w:t>
      </w:r>
    </w:p>
    <w:p w:rsidR="005C4FE1" w:rsidP="00486235" w14:paraId="563FF18C" w14:textId="77777777">
      <w:pPr>
        <w:spacing w:after="0" w:line="240" w:lineRule="auto"/>
        <w:rPr>
          <w:rFonts w:asciiTheme="majorHAnsi" w:hAnsiTheme="majorHAnsi"/>
          <w:iCs/>
          <w:sz w:val="24"/>
        </w:rPr>
      </w:pPr>
    </w:p>
    <w:p w:rsidR="005C4FE1" w:rsidP="00486235" w14:paraId="391635AC" w14:textId="634166F0">
      <w:pPr>
        <w:spacing w:after="0" w:line="240" w:lineRule="auto"/>
        <w:rPr>
          <w:rFonts w:asciiTheme="majorHAnsi" w:hAnsiTheme="majorHAnsi"/>
          <w:iCs/>
          <w:sz w:val="24"/>
        </w:rPr>
      </w:pPr>
      <w:r>
        <w:rPr>
          <w:rFonts w:asciiTheme="majorHAnsi" w:hAnsiTheme="majorHAnsi"/>
          <w:iCs/>
          <w:sz w:val="24"/>
        </w:rPr>
        <w:tab/>
        <w:t xml:space="preserve">Summary of the burden hour differences between this SS and last </w:t>
      </w:r>
      <w:r>
        <w:rPr>
          <w:rFonts w:asciiTheme="majorHAnsi" w:hAnsiTheme="majorHAnsi"/>
          <w:iCs/>
          <w:sz w:val="24"/>
        </w:rPr>
        <w:t>SS</w:t>
      </w:r>
    </w:p>
    <w:tbl>
      <w:tblPr>
        <w:tblStyle w:val="TableGrid"/>
        <w:tblW w:w="0" w:type="auto"/>
        <w:tblInd w:w="169" w:type="dxa"/>
        <w:tblLook w:val="04A0"/>
      </w:tblPr>
      <w:tblGrid>
        <w:gridCol w:w="1449"/>
        <w:gridCol w:w="1697"/>
        <w:gridCol w:w="1555"/>
        <w:gridCol w:w="1843"/>
        <w:gridCol w:w="2637"/>
      </w:tblGrid>
      <w:tr w14:paraId="2287D0FC" w14:textId="77777777" w:rsidTr="005C4FE1">
        <w:tblPrEx>
          <w:tblW w:w="0" w:type="auto"/>
          <w:tblInd w:w="169" w:type="dxa"/>
          <w:tblLook w:val="04A0"/>
        </w:tblPrEx>
        <w:tc>
          <w:tcPr>
            <w:tcW w:w="1449" w:type="dxa"/>
          </w:tcPr>
          <w:p w:rsidR="005C4FE1" w:rsidRPr="00B5742A" w:rsidP="0059573D" w14:paraId="1A15923D" w14:textId="77777777">
            <w:pPr>
              <w:widowControl w:val="0"/>
              <w:tabs>
                <w:tab w:val="left" w:pos="759"/>
              </w:tabs>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SS Block #</w:t>
            </w:r>
          </w:p>
        </w:tc>
        <w:tc>
          <w:tcPr>
            <w:tcW w:w="1697" w:type="dxa"/>
          </w:tcPr>
          <w:p w:rsidR="005C4FE1" w:rsidRPr="00B5742A" w:rsidP="0059573D" w14:paraId="4897E861" w14:textId="18AF38D3">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Burden Hour</w:t>
            </w:r>
            <w:r w:rsidRPr="00B5742A">
              <w:rPr>
                <w:rFonts w:eastAsia="Arial" w:asciiTheme="majorHAnsi" w:hAnsiTheme="majorHAnsi" w:cs="Times New Roman"/>
                <w:sz w:val="24"/>
                <w:szCs w:val="24"/>
              </w:rPr>
              <w:t xml:space="preserve"> This SS</w:t>
            </w:r>
          </w:p>
        </w:tc>
        <w:tc>
          <w:tcPr>
            <w:tcW w:w="1555" w:type="dxa"/>
          </w:tcPr>
          <w:p w:rsidR="005C4FE1" w:rsidRPr="00B5742A" w:rsidP="0059573D" w14:paraId="06BAB040" w14:textId="5EA3CE1D">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Burden Hour</w:t>
            </w:r>
            <w:r w:rsidRPr="00B5742A">
              <w:rPr>
                <w:rFonts w:eastAsia="Arial" w:asciiTheme="majorHAnsi" w:hAnsiTheme="majorHAnsi" w:cs="Times New Roman"/>
                <w:sz w:val="24"/>
                <w:szCs w:val="24"/>
              </w:rPr>
              <w:t xml:space="preserve"> Last SS</w:t>
            </w:r>
          </w:p>
        </w:tc>
        <w:tc>
          <w:tcPr>
            <w:tcW w:w="1843" w:type="dxa"/>
          </w:tcPr>
          <w:p w:rsidR="005C4FE1" w:rsidRPr="00B5742A" w:rsidP="0059573D" w14:paraId="43084704"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Increase (Decrease)</w:t>
            </w:r>
          </w:p>
        </w:tc>
        <w:tc>
          <w:tcPr>
            <w:tcW w:w="2637" w:type="dxa"/>
          </w:tcPr>
          <w:p w:rsidR="005C4FE1" w:rsidRPr="00B5742A" w:rsidP="0059573D" w14:paraId="2F992E09"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Reason</w:t>
            </w:r>
          </w:p>
        </w:tc>
      </w:tr>
      <w:tr w14:paraId="13F4BA32" w14:textId="77777777" w:rsidTr="005C4FE1">
        <w:tblPrEx>
          <w:tblW w:w="0" w:type="auto"/>
          <w:tblInd w:w="169" w:type="dxa"/>
          <w:tblLook w:val="04A0"/>
        </w:tblPrEx>
        <w:tc>
          <w:tcPr>
            <w:tcW w:w="1449" w:type="dxa"/>
          </w:tcPr>
          <w:p w:rsidR="005C4FE1" w:rsidRPr="00B5742A" w:rsidP="0059573D" w14:paraId="4F69127C" w14:textId="7255C48C">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12</w:t>
            </w:r>
          </w:p>
        </w:tc>
        <w:tc>
          <w:tcPr>
            <w:tcW w:w="1697" w:type="dxa"/>
          </w:tcPr>
          <w:p w:rsidR="005C4FE1" w:rsidRPr="00B5742A" w:rsidP="0059573D" w14:paraId="0CF70F11" w14:textId="1E49BE4F">
            <w:pPr>
              <w:widowControl w:val="0"/>
              <w:spacing w:before="70" w:line="241" w:lineRule="auto"/>
              <w:rPr>
                <w:rFonts w:eastAsia="Arial" w:asciiTheme="majorHAnsi" w:hAnsiTheme="majorHAnsi" w:cs="Times New Roman"/>
                <w:sz w:val="24"/>
                <w:szCs w:val="24"/>
              </w:rPr>
            </w:pPr>
            <w:r>
              <w:rPr>
                <w:rFonts w:asciiTheme="majorHAnsi" w:hAnsiTheme="majorHAnsi"/>
                <w:sz w:val="24"/>
              </w:rPr>
              <w:t>74</w:t>
            </w:r>
            <w:r w:rsidR="0047510C">
              <w:rPr>
                <w:rFonts w:asciiTheme="majorHAnsi" w:hAnsiTheme="majorHAnsi"/>
                <w:sz w:val="24"/>
              </w:rPr>
              <w:t>5</w:t>
            </w:r>
          </w:p>
        </w:tc>
        <w:tc>
          <w:tcPr>
            <w:tcW w:w="1555" w:type="dxa"/>
          </w:tcPr>
          <w:p w:rsidR="005C4FE1" w:rsidRPr="00B5742A" w:rsidP="0059573D" w14:paraId="7D09C7DA" w14:textId="2D78B211">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621</w:t>
            </w:r>
          </w:p>
        </w:tc>
        <w:tc>
          <w:tcPr>
            <w:tcW w:w="1843" w:type="dxa"/>
          </w:tcPr>
          <w:p w:rsidR="005C4FE1" w:rsidRPr="00B5742A" w:rsidP="0059573D" w14:paraId="7B44FDBD" w14:textId="16D60FC9">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12</w:t>
            </w:r>
            <w:r w:rsidR="0047510C">
              <w:rPr>
                <w:rFonts w:eastAsia="Arial" w:asciiTheme="majorHAnsi" w:hAnsiTheme="majorHAnsi" w:cs="Times New Roman"/>
                <w:sz w:val="24"/>
                <w:szCs w:val="24"/>
              </w:rPr>
              <w:t>4</w:t>
            </w:r>
          </w:p>
        </w:tc>
        <w:tc>
          <w:tcPr>
            <w:tcW w:w="2637" w:type="dxa"/>
          </w:tcPr>
          <w:p w:rsidR="005C4FE1" w:rsidRPr="00B5742A" w:rsidP="0059573D" w14:paraId="20C72C21" w14:textId="5CD9B9AE">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Incr</w:t>
            </w:r>
            <w:r>
              <w:rPr>
                <w:rFonts w:eastAsia="Arial" w:asciiTheme="majorHAnsi" w:hAnsiTheme="majorHAnsi" w:cs="Times New Roman"/>
                <w:sz w:val="24"/>
                <w:szCs w:val="24"/>
              </w:rPr>
              <w:t xml:space="preserve">ease in </w:t>
            </w:r>
            <w:r w:rsidR="00652D62">
              <w:rPr>
                <w:rFonts w:eastAsia="Arial" w:asciiTheme="majorHAnsi" w:hAnsiTheme="majorHAnsi" w:cs="Times New Roman"/>
                <w:sz w:val="24"/>
                <w:szCs w:val="24"/>
              </w:rPr>
              <w:t>r</w:t>
            </w:r>
            <w:r>
              <w:rPr>
                <w:rFonts w:eastAsia="Arial" w:asciiTheme="majorHAnsi" w:hAnsiTheme="majorHAnsi" w:cs="Times New Roman"/>
                <w:sz w:val="24"/>
                <w:szCs w:val="24"/>
              </w:rPr>
              <w:t>esponses</w:t>
            </w:r>
            <w:r w:rsidRPr="00B5742A">
              <w:rPr>
                <w:rFonts w:eastAsia="Arial" w:asciiTheme="majorHAnsi" w:hAnsiTheme="majorHAnsi" w:cs="Times New Roman"/>
                <w:sz w:val="24"/>
                <w:szCs w:val="24"/>
              </w:rPr>
              <w:t xml:space="preserve"> </w:t>
            </w:r>
          </w:p>
        </w:tc>
      </w:tr>
    </w:tbl>
    <w:p w:rsidR="009111A4" w:rsidP="00486235" w14:paraId="093B940C" w14:textId="4DAB4928">
      <w:pPr>
        <w:spacing w:after="0" w:line="240" w:lineRule="auto"/>
        <w:rPr>
          <w:rFonts w:asciiTheme="majorHAnsi" w:hAnsiTheme="majorHAnsi"/>
          <w:iCs/>
          <w:sz w:val="24"/>
        </w:rPr>
      </w:pPr>
    </w:p>
    <w:p w:rsidR="009111A4" w:rsidRPr="00B5742A" w:rsidP="009111A4" w14:paraId="22932C23" w14:textId="77777777">
      <w:pPr>
        <w:widowControl w:val="0"/>
        <w:spacing w:before="70" w:after="0" w:line="241" w:lineRule="auto"/>
        <w:ind w:left="720" w:firstLine="7"/>
        <w:rPr>
          <w:rFonts w:eastAsia="Arial" w:asciiTheme="majorHAnsi" w:hAnsiTheme="majorHAnsi" w:cs="Times New Roman"/>
          <w:sz w:val="24"/>
          <w:szCs w:val="24"/>
        </w:rPr>
      </w:pPr>
      <w:r w:rsidRPr="00B5742A">
        <w:rPr>
          <w:rFonts w:eastAsia="Arial" w:asciiTheme="majorHAnsi" w:hAnsiTheme="majorHAnsi" w:cs="Times New Roman"/>
          <w:sz w:val="24"/>
          <w:szCs w:val="24"/>
        </w:rPr>
        <w:t>Summary of the cost differences between this SS and last SS</w:t>
      </w:r>
    </w:p>
    <w:tbl>
      <w:tblPr>
        <w:tblStyle w:val="TableGrid"/>
        <w:tblW w:w="0" w:type="auto"/>
        <w:tblInd w:w="169" w:type="dxa"/>
        <w:tblLook w:val="04A0"/>
      </w:tblPr>
      <w:tblGrid>
        <w:gridCol w:w="1447"/>
        <w:gridCol w:w="1711"/>
        <w:gridCol w:w="1558"/>
        <w:gridCol w:w="1842"/>
        <w:gridCol w:w="2623"/>
      </w:tblGrid>
      <w:tr w14:paraId="4797B617" w14:textId="77777777" w:rsidTr="00430FCC">
        <w:tblPrEx>
          <w:tblW w:w="0" w:type="auto"/>
          <w:tblInd w:w="169" w:type="dxa"/>
          <w:tblLook w:val="04A0"/>
        </w:tblPrEx>
        <w:tc>
          <w:tcPr>
            <w:tcW w:w="1626" w:type="dxa"/>
          </w:tcPr>
          <w:p w:rsidR="009111A4" w:rsidRPr="00B5742A" w:rsidP="00430FCC" w14:paraId="0310FD2E" w14:textId="77777777">
            <w:pPr>
              <w:widowControl w:val="0"/>
              <w:tabs>
                <w:tab w:val="left" w:pos="759"/>
              </w:tabs>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SS Block #</w:t>
            </w:r>
          </w:p>
        </w:tc>
        <w:tc>
          <w:tcPr>
            <w:tcW w:w="1890" w:type="dxa"/>
          </w:tcPr>
          <w:p w:rsidR="009111A4" w:rsidRPr="00B5742A" w:rsidP="00430FCC" w14:paraId="3DCD859C"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Cost This SS</w:t>
            </w:r>
          </w:p>
        </w:tc>
        <w:tc>
          <w:tcPr>
            <w:tcW w:w="1710" w:type="dxa"/>
          </w:tcPr>
          <w:p w:rsidR="009111A4" w:rsidRPr="00B5742A" w:rsidP="00430FCC" w14:paraId="108B787C"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Cost Last SS</w:t>
            </w:r>
          </w:p>
        </w:tc>
        <w:tc>
          <w:tcPr>
            <w:tcW w:w="1980" w:type="dxa"/>
          </w:tcPr>
          <w:p w:rsidR="009111A4" w:rsidRPr="00B5742A" w:rsidP="00430FCC" w14:paraId="5199EA1D"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Increase (Decrease)</w:t>
            </w:r>
          </w:p>
        </w:tc>
        <w:tc>
          <w:tcPr>
            <w:tcW w:w="2995" w:type="dxa"/>
          </w:tcPr>
          <w:p w:rsidR="009111A4" w:rsidRPr="00B5742A" w:rsidP="00430FCC" w14:paraId="18B735CD"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Reason</w:t>
            </w:r>
          </w:p>
        </w:tc>
      </w:tr>
      <w:tr w14:paraId="0C4AEED3" w14:textId="77777777" w:rsidTr="00430FCC">
        <w:tblPrEx>
          <w:tblW w:w="0" w:type="auto"/>
          <w:tblInd w:w="169" w:type="dxa"/>
          <w:tblLook w:val="04A0"/>
        </w:tblPrEx>
        <w:tc>
          <w:tcPr>
            <w:tcW w:w="1626" w:type="dxa"/>
          </w:tcPr>
          <w:p w:rsidR="009111A4" w:rsidRPr="00B5742A" w:rsidP="00430FCC" w14:paraId="2231682C" w14:textId="7FC06D4D">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12</w:t>
            </w:r>
          </w:p>
        </w:tc>
        <w:tc>
          <w:tcPr>
            <w:tcW w:w="1890" w:type="dxa"/>
          </w:tcPr>
          <w:p w:rsidR="009111A4" w:rsidRPr="00B5742A" w:rsidP="00430FCC" w14:paraId="5C763554" w14:textId="0B4A1F15">
            <w:pPr>
              <w:widowControl w:val="0"/>
              <w:spacing w:before="70" w:line="241" w:lineRule="auto"/>
              <w:rPr>
                <w:rFonts w:eastAsia="Arial" w:asciiTheme="majorHAnsi" w:hAnsiTheme="majorHAnsi" w:cs="Times New Roman"/>
                <w:sz w:val="24"/>
                <w:szCs w:val="24"/>
              </w:rPr>
            </w:pPr>
            <w:r>
              <w:rPr>
                <w:rFonts w:asciiTheme="majorHAnsi" w:hAnsiTheme="majorHAnsi"/>
                <w:sz w:val="24"/>
              </w:rPr>
              <w:t>$37,973</w:t>
            </w:r>
          </w:p>
        </w:tc>
        <w:tc>
          <w:tcPr>
            <w:tcW w:w="1710" w:type="dxa"/>
          </w:tcPr>
          <w:p w:rsidR="009111A4" w:rsidRPr="00EE2FCD" w:rsidP="00430FCC" w14:paraId="3DE8AD16" w14:textId="5E8218DD">
            <w:pPr>
              <w:widowControl w:val="0"/>
              <w:spacing w:before="70" w:line="241" w:lineRule="auto"/>
              <w:rPr>
                <w:rFonts w:ascii="Times New Roman" w:eastAsia="Arial" w:hAnsi="Times New Roman" w:cs="Times New Roman"/>
                <w:sz w:val="24"/>
                <w:szCs w:val="24"/>
              </w:rPr>
            </w:pPr>
            <w:r w:rsidRPr="00EE2FCD">
              <w:rPr>
                <w:rFonts w:ascii="Times New Roman" w:hAnsi="Times New Roman" w:cs="Times New Roman"/>
                <w:sz w:val="24"/>
                <w:szCs w:val="24"/>
              </w:rPr>
              <w:t>$29,448</w:t>
            </w:r>
          </w:p>
        </w:tc>
        <w:tc>
          <w:tcPr>
            <w:tcW w:w="1980" w:type="dxa"/>
          </w:tcPr>
          <w:p w:rsidR="009111A4" w:rsidRPr="00B5742A" w:rsidP="00430FCC" w14:paraId="2244E91B" w14:textId="3B063F4F">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$8,525</w:t>
            </w:r>
          </w:p>
        </w:tc>
        <w:tc>
          <w:tcPr>
            <w:tcW w:w="2995" w:type="dxa"/>
          </w:tcPr>
          <w:p w:rsidR="009111A4" w:rsidRPr="00B5742A" w:rsidP="00430FCC" w14:paraId="48AF688E" w14:textId="1FF73F4E">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Increase in BLS rate</w:t>
            </w:r>
            <w:r w:rsidR="005C4FE1">
              <w:rPr>
                <w:rFonts w:eastAsia="Arial" w:asciiTheme="majorHAnsi" w:hAnsiTheme="majorHAnsi" w:cs="Times New Roman"/>
                <w:sz w:val="24"/>
                <w:szCs w:val="24"/>
              </w:rPr>
              <w:t xml:space="preserve"> and responses</w:t>
            </w:r>
            <w:r w:rsidRPr="00B5742A">
              <w:rPr>
                <w:rFonts w:eastAsia="Arial" w:asciiTheme="majorHAnsi" w:hAnsiTheme="majorHAnsi" w:cs="Times New Roman"/>
                <w:sz w:val="24"/>
                <w:szCs w:val="24"/>
              </w:rPr>
              <w:t xml:space="preserve"> </w:t>
            </w:r>
          </w:p>
        </w:tc>
      </w:tr>
      <w:tr w14:paraId="7C436F02" w14:textId="77777777" w:rsidTr="00430FCC">
        <w:tblPrEx>
          <w:tblW w:w="0" w:type="auto"/>
          <w:tblInd w:w="169" w:type="dxa"/>
          <w:tblLook w:val="04A0"/>
        </w:tblPrEx>
        <w:tc>
          <w:tcPr>
            <w:tcW w:w="1626" w:type="dxa"/>
          </w:tcPr>
          <w:p w:rsidR="009111A4" w:rsidRPr="00B5742A" w:rsidP="00430FCC" w14:paraId="31B8C2F6" w14:textId="77777777">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14</w:t>
            </w:r>
          </w:p>
        </w:tc>
        <w:tc>
          <w:tcPr>
            <w:tcW w:w="1890" w:type="dxa"/>
          </w:tcPr>
          <w:p w:rsidR="009111A4" w:rsidRPr="00B5742A" w:rsidP="00430FCC" w14:paraId="181C1496" w14:textId="24407176">
            <w:pPr>
              <w:widowControl w:val="0"/>
              <w:spacing w:before="70" w:line="241" w:lineRule="auto"/>
              <w:rPr>
                <w:rFonts w:eastAsia="Arial" w:asciiTheme="majorHAnsi" w:hAnsiTheme="majorHAnsi" w:cs="Times New Roman"/>
                <w:sz w:val="24"/>
                <w:szCs w:val="24"/>
              </w:rPr>
            </w:pPr>
            <w:r>
              <w:rPr>
                <w:rFonts w:eastAsia="Arial" w:asciiTheme="majorHAnsi" w:hAnsiTheme="majorHAnsi" w:cs="Times New Roman"/>
                <w:sz w:val="24"/>
                <w:szCs w:val="24"/>
              </w:rPr>
              <w:t>$</w:t>
            </w:r>
            <w:r w:rsidR="0021652A">
              <w:rPr>
                <w:rFonts w:eastAsia="Arial" w:asciiTheme="majorHAnsi" w:hAnsiTheme="majorHAnsi" w:cs="Times New Roman"/>
                <w:sz w:val="24"/>
                <w:szCs w:val="24"/>
              </w:rPr>
              <w:t>85,103</w:t>
            </w:r>
          </w:p>
        </w:tc>
        <w:tc>
          <w:tcPr>
            <w:tcW w:w="1710" w:type="dxa"/>
          </w:tcPr>
          <w:p w:rsidR="009111A4" w:rsidRPr="00EE2FCD" w:rsidP="00430FCC" w14:paraId="084E8155" w14:textId="511FC485">
            <w:pPr>
              <w:widowControl w:val="0"/>
              <w:spacing w:before="70" w:line="241" w:lineRule="auto"/>
              <w:rPr>
                <w:rFonts w:ascii="Times New Roman" w:eastAsia="Arial" w:hAnsi="Times New Roman" w:cs="Times New Roman"/>
                <w:sz w:val="24"/>
                <w:szCs w:val="24"/>
              </w:rPr>
            </w:pPr>
            <w:r w:rsidRPr="00EE2FCD">
              <w:rPr>
                <w:rFonts w:ascii="Times New Roman" w:hAnsi="Times New Roman" w:cs="Times New Roman"/>
                <w:sz w:val="24"/>
                <w:szCs w:val="24"/>
              </w:rPr>
              <w:t>$25,622</w:t>
            </w:r>
          </w:p>
        </w:tc>
        <w:tc>
          <w:tcPr>
            <w:tcW w:w="1980" w:type="dxa"/>
          </w:tcPr>
          <w:p w:rsidR="009111A4" w:rsidRPr="00B5742A" w:rsidP="00430FCC" w14:paraId="46C44E41" w14:textId="6FEF65F9">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w:t>
            </w:r>
            <w:r w:rsidR="0021652A">
              <w:rPr>
                <w:rFonts w:eastAsia="Arial" w:asciiTheme="majorHAnsi" w:hAnsiTheme="majorHAnsi" w:cs="Times New Roman"/>
                <w:sz w:val="24"/>
                <w:szCs w:val="24"/>
              </w:rPr>
              <w:t>59,481</w:t>
            </w:r>
          </w:p>
        </w:tc>
        <w:tc>
          <w:tcPr>
            <w:tcW w:w="2995" w:type="dxa"/>
          </w:tcPr>
          <w:p w:rsidR="009111A4" w:rsidRPr="00B5742A" w:rsidP="00430FCC" w14:paraId="73FAEC2D" w14:textId="05E4AFFC">
            <w:pPr>
              <w:widowControl w:val="0"/>
              <w:spacing w:before="70" w:line="241" w:lineRule="auto"/>
              <w:rPr>
                <w:rFonts w:eastAsia="Arial" w:asciiTheme="majorHAnsi" w:hAnsiTheme="majorHAnsi" w:cs="Times New Roman"/>
                <w:sz w:val="24"/>
                <w:szCs w:val="24"/>
              </w:rPr>
            </w:pPr>
            <w:r w:rsidRPr="00B5742A">
              <w:rPr>
                <w:rFonts w:eastAsia="Arial" w:asciiTheme="majorHAnsi" w:hAnsiTheme="majorHAnsi" w:cs="Times New Roman"/>
                <w:sz w:val="24"/>
                <w:szCs w:val="24"/>
              </w:rPr>
              <w:t>Increase in GS rate</w:t>
            </w:r>
            <w:r w:rsidR="005C4FE1">
              <w:rPr>
                <w:rFonts w:eastAsia="Arial" w:asciiTheme="majorHAnsi" w:hAnsiTheme="majorHAnsi" w:cs="Times New Roman"/>
                <w:sz w:val="24"/>
                <w:szCs w:val="24"/>
              </w:rPr>
              <w:t xml:space="preserve"> and responses</w:t>
            </w:r>
          </w:p>
        </w:tc>
      </w:tr>
    </w:tbl>
    <w:p w:rsidR="009111A4" w:rsidP="00486235" w14:paraId="3F22513B" w14:textId="77777777">
      <w:pPr>
        <w:spacing w:after="0" w:line="240" w:lineRule="auto"/>
        <w:rPr>
          <w:rFonts w:asciiTheme="majorHAnsi" w:hAnsiTheme="majorHAnsi"/>
          <w:iCs/>
          <w:sz w:val="24"/>
        </w:rPr>
      </w:pPr>
    </w:p>
    <w:p w:rsidR="000D7CD4" w:rsidRPr="00E86D58" w:rsidP="00486235" w14:paraId="09AC9237" w14:textId="77777777">
      <w:pPr>
        <w:spacing w:after="0" w:line="240" w:lineRule="auto"/>
        <w:rPr>
          <w:rFonts w:asciiTheme="majorHAnsi" w:hAnsiTheme="majorHAnsi"/>
          <w:iCs/>
          <w:sz w:val="24"/>
        </w:rPr>
      </w:pPr>
    </w:p>
    <w:p w:rsidR="00DA2B37" w:rsidP="0021652A" w14:paraId="1D5240A1" w14:textId="72585358">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21652A" w:rsidP="0021652A" w14:paraId="7FC60CC1" w14:textId="77777777">
      <w:pPr>
        <w:spacing w:after="0" w:line="240" w:lineRule="auto"/>
        <w:rPr>
          <w:rFonts w:asciiTheme="majorHAnsi" w:hAnsiTheme="majorHAnsi"/>
          <w:sz w:val="24"/>
        </w:rPr>
      </w:pPr>
    </w:p>
    <w:p w:rsidR="00671704" w:rsidP="00486235" w14:paraId="7B7EE366" w14:textId="4DD4F479">
      <w:pPr>
        <w:spacing w:after="0" w:line="240" w:lineRule="auto"/>
        <w:rPr>
          <w:rFonts w:asciiTheme="majorHAnsi" w:hAnsiTheme="majorHAnsi"/>
          <w:sz w:val="24"/>
        </w:rPr>
      </w:pPr>
      <w:r w:rsidRPr="00671704">
        <w:rPr>
          <w:rFonts w:asciiTheme="majorHAnsi" w:hAnsiTheme="majorHAnsi"/>
          <w:sz w:val="24"/>
        </w:rPr>
        <w:t xml:space="preserve">The results will not be published.  Approval is requested by </w:t>
      </w:r>
      <w:r w:rsidR="0021652A">
        <w:rPr>
          <w:rFonts w:asciiTheme="majorHAnsi" w:hAnsiTheme="majorHAnsi"/>
          <w:sz w:val="24"/>
        </w:rPr>
        <w:t>January</w:t>
      </w:r>
      <w:r w:rsidRPr="00671704">
        <w:rPr>
          <w:rFonts w:asciiTheme="majorHAnsi" w:hAnsiTheme="majorHAnsi"/>
          <w:sz w:val="24"/>
        </w:rPr>
        <w:t xml:space="preserve"> 31, </w:t>
      </w:r>
      <w:r w:rsidRPr="00671704">
        <w:rPr>
          <w:rFonts w:asciiTheme="majorHAnsi" w:hAnsiTheme="majorHAnsi"/>
          <w:sz w:val="24"/>
        </w:rPr>
        <w:t>202</w:t>
      </w:r>
      <w:r w:rsidR="0021652A">
        <w:rPr>
          <w:rFonts w:asciiTheme="majorHAnsi" w:hAnsiTheme="majorHAnsi"/>
          <w:sz w:val="24"/>
        </w:rPr>
        <w:t>5</w:t>
      </w:r>
      <w:r w:rsidRPr="00671704">
        <w:rPr>
          <w:rFonts w:asciiTheme="majorHAnsi" w:hAnsiTheme="majorHAnsi"/>
          <w:sz w:val="24"/>
        </w:rPr>
        <w:t xml:space="preserve"> to allow for continued use of the VA provision.</w:t>
      </w:r>
    </w:p>
    <w:p w:rsidR="00671704" w:rsidP="00486235" w14:paraId="4D1866AB" w14:textId="77777777">
      <w:pPr>
        <w:spacing w:after="0" w:line="240" w:lineRule="auto"/>
        <w:rPr>
          <w:rFonts w:asciiTheme="majorHAnsi" w:hAnsiTheme="majorHAnsi"/>
          <w:sz w:val="24"/>
        </w:rPr>
      </w:pPr>
    </w:p>
    <w:p w:rsidR="00C62D17" w:rsidP="0021652A" w14:paraId="2111A279" w14:textId="7DB3A1AA">
      <w:pPr>
        <w:spacing w:after="0" w:line="240" w:lineRule="auto"/>
        <w:rPr>
          <w:rFonts w:asciiTheme="majorHAnsi" w:hAnsiTheme="majorHAnsi"/>
          <w:sz w:val="24"/>
        </w:rPr>
      </w:pPr>
      <w:r>
        <w:rPr>
          <w:rFonts w:asciiTheme="majorHAnsi" w:hAnsiTheme="majorHAnsi"/>
          <w:sz w:val="24"/>
        </w:rPr>
        <w:t xml:space="preserve">17. </w:t>
      </w:r>
      <w:r>
        <w:rPr>
          <w:rFonts w:asciiTheme="majorHAnsi" w:hAnsiTheme="majorHAnsi"/>
          <w:sz w:val="24"/>
        </w:rPr>
        <w:tab/>
      </w:r>
      <w:r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671704" w:rsidP="00486235" w14:paraId="2D3D28E5" w14:textId="1E56A0E6">
      <w:pPr>
        <w:spacing w:after="0" w:line="240" w:lineRule="auto"/>
        <w:rPr>
          <w:rFonts w:asciiTheme="majorHAnsi" w:hAnsiTheme="majorHAnsi"/>
          <w:sz w:val="24"/>
        </w:rPr>
      </w:pPr>
    </w:p>
    <w:p w:rsidR="00671704" w:rsidP="00486235" w14:paraId="7C676ADF" w14:textId="5AA7A36D">
      <w:pPr>
        <w:spacing w:after="0" w:line="240" w:lineRule="auto"/>
        <w:rPr>
          <w:rFonts w:asciiTheme="majorHAnsi" w:hAnsiTheme="majorHAnsi"/>
          <w:sz w:val="24"/>
        </w:rPr>
      </w:pPr>
      <w:r w:rsidRPr="00671704">
        <w:rPr>
          <w:rFonts w:asciiTheme="majorHAnsi" w:hAnsiTheme="majorHAnsi"/>
          <w:sz w:val="24"/>
        </w:rPr>
        <w:t>We are not seeking approval to omit the display of the expiration date of the OMB approval on the collection instrument.</w:t>
      </w:r>
    </w:p>
    <w:p w:rsidR="00C62D17" w:rsidP="00486235" w14:paraId="3C92B966" w14:textId="77777777">
      <w:pPr>
        <w:spacing w:after="0" w:line="240" w:lineRule="auto"/>
        <w:rPr>
          <w:rFonts w:asciiTheme="majorHAnsi" w:hAnsiTheme="majorHAnsi"/>
          <w:sz w:val="24"/>
        </w:rPr>
      </w:pPr>
    </w:p>
    <w:p w:rsidR="00A50A0F" w:rsidP="0021652A" w14:paraId="4F232EA1" w14:textId="6F4E038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71704" w:rsidP="00B55E9F" w14:paraId="4E6D3B3C" w14:textId="4F864523">
      <w:pPr>
        <w:spacing w:after="0" w:line="240" w:lineRule="auto"/>
        <w:rPr>
          <w:rFonts w:asciiTheme="majorHAnsi" w:hAnsiTheme="majorHAnsi"/>
          <w:sz w:val="24"/>
        </w:rPr>
      </w:pPr>
    </w:p>
    <w:p w:rsidR="00671704" w:rsidRPr="00671704" w:rsidP="00B55E9F" w14:paraId="6D172F79" w14:textId="3C15B11D">
      <w:pPr>
        <w:spacing w:after="0" w:line="240" w:lineRule="auto"/>
        <w:rPr>
          <w:rFonts w:asciiTheme="majorHAnsi" w:hAnsiTheme="majorHAnsi"/>
          <w:iCs/>
          <w:sz w:val="24"/>
        </w:rPr>
      </w:pPr>
      <w:r w:rsidRPr="00671704">
        <w:rPr>
          <w:rFonts w:asciiTheme="majorHAnsi" w:hAnsiTheme="majorHAnsi"/>
          <w:iCs/>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45B56B6"/>
    <w:multiLevelType w:val="hybridMultilevel"/>
    <w:tmpl w:val="AA948000"/>
    <w:lvl w:ilvl="0">
      <w:start w:val="1"/>
      <w:numFmt w:val="bullet"/>
      <w:lvlText w:val=""/>
      <w:lvlJc w:val="left"/>
      <w:pPr>
        <w:ind w:left="14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6"/>
  </w:num>
  <w:num w:numId="2" w16cid:durableId="1482695173">
    <w:abstractNumId w:val="0"/>
  </w:num>
  <w:num w:numId="3" w16cid:durableId="316612182">
    <w:abstractNumId w:val="13"/>
  </w:num>
  <w:num w:numId="4" w16cid:durableId="1955089295">
    <w:abstractNumId w:val="11"/>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3"/>
  </w:num>
  <w:num w:numId="11" w16cid:durableId="21369453">
    <w:abstractNumId w:val="17"/>
  </w:num>
  <w:num w:numId="12" w16cid:durableId="1498229727">
    <w:abstractNumId w:val="19"/>
  </w:num>
  <w:num w:numId="13" w16cid:durableId="665396776">
    <w:abstractNumId w:val="24"/>
  </w:num>
  <w:num w:numId="14" w16cid:durableId="932128350">
    <w:abstractNumId w:val="25"/>
  </w:num>
  <w:num w:numId="15" w16cid:durableId="131096987">
    <w:abstractNumId w:val="10"/>
  </w:num>
  <w:num w:numId="16" w16cid:durableId="1791894794">
    <w:abstractNumId w:val="9"/>
  </w:num>
  <w:num w:numId="17" w16cid:durableId="204560230">
    <w:abstractNumId w:val="14"/>
  </w:num>
  <w:num w:numId="18" w16cid:durableId="2037191835">
    <w:abstractNumId w:val="7"/>
  </w:num>
  <w:num w:numId="19" w16cid:durableId="700475658">
    <w:abstractNumId w:val="6"/>
  </w:num>
  <w:num w:numId="20" w16cid:durableId="805969465">
    <w:abstractNumId w:val="5"/>
  </w:num>
  <w:num w:numId="21" w16cid:durableId="472255321">
    <w:abstractNumId w:val="15"/>
  </w:num>
  <w:num w:numId="22" w16cid:durableId="1141387440">
    <w:abstractNumId w:val="2"/>
  </w:num>
  <w:num w:numId="23" w16cid:durableId="817233956">
    <w:abstractNumId w:val="4"/>
  </w:num>
  <w:num w:numId="24" w16cid:durableId="639655722">
    <w:abstractNumId w:val="23"/>
  </w:num>
  <w:num w:numId="25" w16cid:durableId="1472677375">
    <w:abstractNumId w:val="8"/>
  </w:num>
  <w:num w:numId="26" w16cid:durableId="281766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7006D"/>
    <w:rsid w:val="000B0E70"/>
    <w:rsid w:val="000D7CD4"/>
    <w:rsid w:val="000F2788"/>
    <w:rsid w:val="000F3527"/>
    <w:rsid w:val="0010064D"/>
    <w:rsid w:val="00105F45"/>
    <w:rsid w:val="00127B46"/>
    <w:rsid w:val="00185B5E"/>
    <w:rsid w:val="0019309D"/>
    <w:rsid w:val="0019387E"/>
    <w:rsid w:val="001C55B2"/>
    <w:rsid w:val="001D57F7"/>
    <w:rsid w:val="001D6E18"/>
    <w:rsid w:val="001E7F77"/>
    <w:rsid w:val="001F526C"/>
    <w:rsid w:val="00200261"/>
    <w:rsid w:val="0020037D"/>
    <w:rsid w:val="00200CB7"/>
    <w:rsid w:val="00203BC2"/>
    <w:rsid w:val="00211832"/>
    <w:rsid w:val="0021652A"/>
    <w:rsid w:val="00222D1B"/>
    <w:rsid w:val="00231BCE"/>
    <w:rsid w:val="00235D71"/>
    <w:rsid w:val="0024335E"/>
    <w:rsid w:val="00254DCF"/>
    <w:rsid w:val="002553D8"/>
    <w:rsid w:val="002567F9"/>
    <w:rsid w:val="00273862"/>
    <w:rsid w:val="0027743E"/>
    <w:rsid w:val="00294E92"/>
    <w:rsid w:val="002B67A2"/>
    <w:rsid w:val="002D7713"/>
    <w:rsid w:val="002E6039"/>
    <w:rsid w:val="002F0242"/>
    <w:rsid w:val="002F66FF"/>
    <w:rsid w:val="00304F63"/>
    <w:rsid w:val="003132E7"/>
    <w:rsid w:val="003278B9"/>
    <w:rsid w:val="00331D7E"/>
    <w:rsid w:val="00334B44"/>
    <w:rsid w:val="00337EF1"/>
    <w:rsid w:val="00340D9B"/>
    <w:rsid w:val="00344AA7"/>
    <w:rsid w:val="00394A8A"/>
    <w:rsid w:val="003959F5"/>
    <w:rsid w:val="003A753A"/>
    <w:rsid w:val="003C0540"/>
    <w:rsid w:val="003E6192"/>
    <w:rsid w:val="003F6871"/>
    <w:rsid w:val="00407CC0"/>
    <w:rsid w:val="00420AE9"/>
    <w:rsid w:val="00430FCC"/>
    <w:rsid w:val="004560DC"/>
    <w:rsid w:val="0047510C"/>
    <w:rsid w:val="00480AFF"/>
    <w:rsid w:val="00482576"/>
    <w:rsid w:val="00486235"/>
    <w:rsid w:val="00490797"/>
    <w:rsid w:val="004C74D6"/>
    <w:rsid w:val="004D2976"/>
    <w:rsid w:val="004D40C1"/>
    <w:rsid w:val="004F4F5D"/>
    <w:rsid w:val="00502FF3"/>
    <w:rsid w:val="00510F0C"/>
    <w:rsid w:val="00513DBD"/>
    <w:rsid w:val="00514500"/>
    <w:rsid w:val="00516F39"/>
    <w:rsid w:val="00520B36"/>
    <w:rsid w:val="00525E66"/>
    <w:rsid w:val="00571698"/>
    <w:rsid w:val="00576EDB"/>
    <w:rsid w:val="00594B6B"/>
    <w:rsid w:val="0059573D"/>
    <w:rsid w:val="00596BBA"/>
    <w:rsid w:val="005C3A95"/>
    <w:rsid w:val="005C4FE1"/>
    <w:rsid w:val="005C7428"/>
    <w:rsid w:val="005D5C81"/>
    <w:rsid w:val="006013B4"/>
    <w:rsid w:val="006055B0"/>
    <w:rsid w:val="00624B1D"/>
    <w:rsid w:val="00633EE7"/>
    <w:rsid w:val="00642741"/>
    <w:rsid w:val="006433FD"/>
    <w:rsid w:val="00651996"/>
    <w:rsid w:val="00652D62"/>
    <w:rsid w:val="0065530D"/>
    <w:rsid w:val="00671704"/>
    <w:rsid w:val="006A13FA"/>
    <w:rsid w:val="006B5315"/>
    <w:rsid w:val="006C490C"/>
    <w:rsid w:val="006C5921"/>
    <w:rsid w:val="006C7A9E"/>
    <w:rsid w:val="006E563D"/>
    <w:rsid w:val="006F2DF8"/>
    <w:rsid w:val="00722FDB"/>
    <w:rsid w:val="007619F2"/>
    <w:rsid w:val="00765AB9"/>
    <w:rsid w:val="0077261C"/>
    <w:rsid w:val="007825C3"/>
    <w:rsid w:val="007B10DB"/>
    <w:rsid w:val="007B7547"/>
    <w:rsid w:val="007B7899"/>
    <w:rsid w:val="007D07EC"/>
    <w:rsid w:val="008324DB"/>
    <w:rsid w:val="0085688C"/>
    <w:rsid w:val="008635C4"/>
    <w:rsid w:val="00867599"/>
    <w:rsid w:val="008730FC"/>
    <w:rsid w:val="0088733C"/>
    <w:rsid w:val="008A06EF"/>
    <w:rsid w:val="008A11C6"/>
    <w:rsid w:val="008A26D5"/>
    <w:rsid w:val="008B445B"/>
    <w:rsid w:val="008D1294"/>
    <w:rsid w:val="008E3029"/>
    <w:rsid w:val="008F5713"/>
    <w:rsid w:val="009111A4"/>
    <w:rsid w:val="00911692"/>
    <w:rsid w:val="00917506"/>
    <w:rsid w:val="009502E6"/>
    <w:rsid w:val="00954EC4"/>
    <w:rsid w:val="00983763"/>
    <w:rsid w:val="00983895"/>
    <w:rsid w:val="0098628F"/>
    <w:rsid w:val="00994F2B"/>
    <w:rsid w:val="00996894"/>
    <w:rsid w:val="009A197A"/>
    <w:rsid w:val="009A3D60"/>
    <w:rsid w:val="009A6246"/>
    <w:rsid w:val="009B7620"/>
    <w:rsid w:val="009F2544"/>
    <w:rsid w:val="009F61F9"/>
    <w:rsid w:val="00A50A0F"/>
    <w:rsid w:val="00A55B56"/>
    <w:rsid w:val="00A76F7E"/>
    <w:rsid w:val="00A77157"/>
    <w:rsid w:val="00A92F76"/>
    <w:rsid w:val="00AC7B34"/>
    <w:rsid w:val="00B265CC"/>
    <w:rsid w:val="00B43D17"/>
    <w:rsid w:val="00B52F4E"/>
    <w:rsid w:val="00B55E9F"/>
    <w:rsid w:val="00B5742A"/>
    <w:rsid w:val="00B60319"/>
    <w:rsid w:val="00B635B9"/>
    <w:rsid w:val="00B933B0"/>
    <w:rsid w:val="00BA4C98"/>
    <w:rsid w:val="00BA6D9C"/>
    <w:rsid w:val="00BC7E62"/>
    <w:rsid w:val="00BD0CE8"/>
    <w:rsid w:val="00BD7755"/>
    <w:rsid w:val="00BE535D"/>
    <w:rsid w:val="00BF30EE"/>
    <w:rsid w:val="00BF336C"/>
    <w:rsid w:val="00C04B7E"/>
    <w:rsid w:val="00C11238"/>
    <w:rsid w:val="00C11E68"/>
    <w:rsid w:val="00C33684"/>
    <w:rsid w:val="00C44A57"/>
    <w:rsid w:val="00C62D17"/>
    <w:rsid w:val="00C62E5A"/>
    <w:rsid w:val="00C808F4"/>
    <w:rsid w:val="00C80DA7"/>
    <w:rsid w:val="00C920E8"/>
    <w:rsid w:val="00CA15B1"/>
    <w:rsid w:val="00CC24D5"/>
    <w:rsid w:val="00CC2835"/>
    <w:rsid w:val="00D00358"/>
    <w:rsid w:val="00D03C51"/>
    <w:rsid w:val="00D13285"/>
    <w:rsid w:val="00D1576A"/>
    <w:rsid w:val="00D21AA6"/>
    <w:rsid w:val="00D462F7"/>
    <w:rsid w:val="00D734A2"/>
    <w:rsid w:val="00D92D61"/>
    <w:rsid w:val="00D97FC4"/>
    <w:rsid w:val="00DA2B37"/>
    <w:rsid w:val="00E0558F"/>
    <w:rsid w:val="00E2489B"/>
    <w:rsid w:val="00E440CB"/>
    <w:rsid w:val="00E52EF5"/>
    <w:rsid w:val="00E5409A"/>
    <w:rsid w:val="00E64359"/>
    <w:rsid w:val="00E65D41"/>
    <w:rsid w:val="00E716C9"/>
    <w:rsid w:val="00E8639C"/>
    <w:rsid w:val="00E86D58"/>
    <w:rsid w:val="00E95FFB"/>
    <w:rsid w:val="00EA328D"/>
    <w:rsid w:val="00EA6C04"/>
    <w:rsid w:val="00EA7874"/>
    <w:rsid w:val="00ED1215"/>
    <w:rsid w:val="00ED22BD"/>
    <w:rsid w:val="00EE1565"/>
    <w:rsid w:val="00EE2FCD"/>
    <w:rsid w:val="00F25499"/>
    <w:rsid w:val="00F30DC9"/>
    <w:rsid w:val="00F42186"/>
    <w:rsid w:val="00F46609"/>
    <w:rsid w:val="00F63950"/>
    <w:rsid w:val="00F80FF3"/>
    <w:rsid w:val="00F83118"/>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53A"/>
    <w:pPr>
      <w:spacing w:after="0" w:line="240" w:lineRule="auto"/>
    </w:pPr>
  </w:style>
  <w:style w:type="character" w:styleId="CommentReference">
    <w:name w:val="annotation reference"/>
    <w:basedOn w:val="DefaultParagraphFont"/>
    <w:uiPriority w:val="99"/>
    <w:semiHidden/>
    <w:unhideWhenUsed/>
    <w:rsid w:val="0007006D"/>
    <w:rPr>
      <w:sz w:val="16"/>
      <w:szCs w:val="16"/>
    </w:rPr>
  </w:style>
  <w:style w:type="paragraph" w:styleId="CommentText">
    <w:name w:val="annotation text"/>
    <w:basedOn w:val="Normal"/>
    <w:link w:val="CommentTextChar"/>
    <w:uiPriority w:val="99"/>
    <w:unhideWhenUsed/>
    <w:rsid w:val="0007006D"/>
    <w:pPr>
      <w:spacing w:line="240" w:lineRule="auto"/>
    </w:pPr>
    <w:rPr>
      <w:sz w:val="20"/>
      <w:szCs w:val="20"/>
    </w:rPr>
  </w:style>
  <w:style w:type="character" w:customStyle="1" w:styleId="CommentTextChar">
    <w:name w:val="Comment Text Char"/>
    <w:basedOn w:val="DefaultParagraphFont"/>
    <w:link w:val="CommentText"/>
    <w:uiPriority w:val="99"/>
    <w:rsid w:val="0007006D"/>
    <w:rPr>
      <w:sz w:val="20"/>
      <w:szCs w:val="20"/>
    </w:rPr>
  </w:style>
  <w:style w:type="paragraph" w:styleId="CommentSubject">
    <w:name w:val="annotation subject"/>
    <w:basedOn w:val="CommentText"/>
    <w:next w:val="CommentText"/>
    <w:link w:val="CommentSubjectChar"/>
    <w:uiPriority w:val="99"/>
    <w:semiHidden/>
    <w:unhideWhenUsed/>
    <w:rsid w:val="0007006D"/>
    <w:rPr>
      <w:b/>
      <w:bCs/>
    </w:rPr>
  </w:style>
  <w:style w:type="character" w:customStyle="1" w:styleId="CommentSubjectChar">
    <w:name w:val="Comment Subject Char"/>
    <w:basedOn w:val="CommentTextChar"/>
    <w:link w:val="CommentSubject"/>
    <w:uiPriority w:val="99"/>
    <w:semiHidden/>
    <w:rsid w:val="0007006D"/>
    <w:rPr>
      <w:b/>
      <w:bCs/>
      <w:sz w:val="20"/>
      <w:szCs w:val="20"/>
    </w:rPr>
  </w:style>
  <w:style w:type="character" w:styleId="UnresolvedMention">
    <w:name w:val="Unresolved Mention"/>
    <w:basedOn w:val="DefaultParagraphFont"/>
    <w:uiPriority w:val="99"/>
    <w:semiHidden/>
    <w:unhideWhenUsed/>
    <w:rsid w:val="00BD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home.htm" TargetMode="External" /><Relationship Id="rId5" Type="http://schemas.openxmlformats.org/officeDocument/2006/relationships/hyperlink" Target="https://www.bls.gov/oes/current/oes131020.htm" TargetMode="External" /><Relationship Id="rId6" Type="http://schemas.openxmlformats.org/officeDocument/2006/relationships/hyperlink" Target="https://www.opm.gov/policy-data-oversight/pay-leave/salaries-wages/salary-tables/pdf/2024/GS.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2024-11-27T14:06:00Z</dcterms:created>
  <dcterms:modified xsi:type="dcterms:W3CDTF">2024-11-27T14:47:00Z</dcterms:modified>
</cp:coreProperties>
</file>